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8D" w:rsidRDefault="00401C8D" w:rsidP="00011001">
      <w:pPr>
        <w:spacing w:after="120"/>
        <w:jc w:val="center"/>
        <w:rPr>
          <w:rFonts w:ascii="Verdana" w:hAnsi="Verdana"/>
          <w:b/>
          <w:sz w:val="20"/>
          <w:szCs w:val="20"/>
          <w:lang w:val="es-CR"/>
        </w:rPr>
      </w:pPr>
    </w:p>
    <w:p w:rsidR="00401C8D" w:rsidRDefault="00401C8D" w:rsidP="00011001">
      <w:pPr>
        <w:spacing w:after="120"/>
        <w:jc w:val="center"/>
        <w:rPr>
          <w:rFonts w:ascii="Verdana" w:hAnsi="Verdana"/>
          <w:b/>
          <w:sz w:val="20"/>
          <w:szCs w:val="20"/>
          <w:lang w:val="es-CR"/>
        </w:rPr>
      </w:pPr>
    </w:p>
    <w:p w:rsidR="00401C8D" w:rsidRDefault="00401C8D" w:rsidP="00011001">
      <w:pPr>
        <w:spacing w:after="120"/>
        <w:jc w:val="center"/>
        <w:rPr>
          <w:rFonts w:ascii="Verdana" w:hAnsi="Verdana"/>
          <w:b/>
          <w:sz w:val="20"/>
          <w:szCs w:val="20"/>
          <w:lang w:val="es-CR"/>
        </w:rPr>
      </w:pPr>
    </w:p>
    <w:p w:rsidR="00401C8D" w:rsidRDefault="00401C8D" w:rsidP="00011001">
      <w:pPr>
        <w:spacing w:after="120"/>
        <w:jc w:val="center"/>
        <w:rPr>
          <w:rFonts w:ascii="Verdana" w:hAnsi="Verdana"/>
          <w:b/>
          <w:sz w:val="20"/>
          <w:szCs w:val="20"/>
          <w:lang w:val="es-CR"/>
        </w:rPr>
      </w:pPr>
    </w:p>
    <w:p w:rsidR="00F4757D" w:rsidRDefault="00F4757D" w:rsidP="00011001">
      <w:pPr>
        <w:spacing w:after="120"/>
        <w:jc w:val="center"/>
        <w:rPr>
          <w:rFonts w:ascii="Verdana" w:hAnsi="Verdana"/>
          <w:b/>
          <w:sz w:val="20"/>
          <w:szCs w:val="20"/>
          <w:lang w:val="es-CR"/>
        </w:rPr>
      </w:pPr>
      <w:r w:rsidRPr="00F4757D">
        <w:rPr>
          <w:rFonts w:ascii="Verdana" w:hAnsi="Verdana"/>
          <w:b/>
          <w:sz w:val="20"/>
          <w:szCs w:val="20"/>
          <w:lang w:val="es-CR"/>
        </w:rPr>
        <w:t xml:space="preserve">RESOLUCIÓN DEL PRESIDENTE DE LA </w:t>
      </w:r>
      <w:r>
        <w:rPr>
          <w:rFonts w:ascii="Verdana" w:hAnsi="Verdana"/>
          <w:b/>
          <w:sz w:val="20"/>
          <w:szCs w:val="20"/>
          <w:lang w:val="es-CR"/>
        </w:rPr>
        <w:br/>
      </w:r>
      <w:r w:rsidRPr="00F4757D">
        <w:rPr>
          <w:rFonts w:ascii="Verdana" w:hAnsi="Verdana"/>
          <w:b/>
          <w:sz w:val="20"/>
          <w:szCs w:val="20"/>
          <w:lang w:val="es-CR"/>
        </w:rPr>
        <w:t xml:space="preserve">CORTE INTERAMERICANA DE DERECHOS HUMANOS </w:t>
      </w:r>
      <w:r>
        <w:rPr>
          <w:rFonts w:ascii="Verdana" w:hAnsi="Verdana"/>
          <w:b/>
          <w:sz w:val="20"/>
          <w:szCs w:val="20"/>
          <w:lang w:val="es-CR"/>
        </w:rPr>
        <w:br/>
      </w:r>
    </w:p>
    <w:p w:rsidR="00F4757D" w:rsidRDefault="00F4757D" w:rsidP="00011001">
      <w:pPr>
        <w:spacing w:after="120"/>
        <w:jc w:val="center"/>
        <w:rPr>
          <w:rFonts w:ascii="Verdana" w:hAnsi="Verdana"/>
          <w:b/>
          <w:sz w:val="20"/>
          <w:szCs w:val="20"/>
          <w:lang w:val="es-CR"/>
        </w:rPr>
      </w:pPr>
      <w:r w:rsidRPr="007F1614">
        <w:rPr>
          <w:rFonts w:ascii="Verdana" w:hAnsi="Verdana"/>
          <w:b/>
          <w:sz w:val="20"/>
          <w:szCs w:val="20"/>
          <w:lang w:val="es-CR"/>
        </w:rPr>
        <w:t xml:space="preserve">DE </w:t>
      </w:r>
      <w:r w:rsidR="00A448F9" w:rsidRPr="007F1614">
        <w:rPr>
          <w:rFonts w:ascii="Verdana" w:hAnsi="Verdana"/>
          <w:b/>
          <w:sz w:val="20"/>
          <w:szCs w:val="20"/>
          <w:lang w:val="es-CR"/>
        </w:rPr>
        <w:t>15</w:t>
      </w:r>
      <w:r w:rsidRPr="007F1614">
        <w:rPr>
          <w:rFonts w:ascii="Verdana" w:hAnsi="Verdana"/>
          <w:b/>
          <w:sz w:val="20"/>
          <w:szCs w:val="20"/>
          <w:lang w:val="es-CR"/>
        </w:rPr>
        <w:t xml:space="preserve"> DE </w:t>
      </w:r>
      <w:r w:rsidR="00D17F3A" w:rsidRPr="007F1614">
        <w:rPr>
          <w:rFonts w:ascii="Verdana" w:hAnsi="Verdana"/>
          <w:b/>
          <w:sz w:val="20"/>
          <w:szCs w:val="20"/>
          <w:lang w:val="es-CR"/>
        </w:rPr>
        <w:t>FEBRERO</w:t>
      </w:r>
      <w:r w:rsidR="00161261">
        <w:rPr>
          <w:rFonts w:ascii="Verdana" w:hAnsi="Verdana"/>
          <w:b/>
          <w:sz w:val="20"/>
          <w:szCs w:val="20"/>
          <w:lang w:val="es-CR"/>
        </w:rPr>
        <w:t xml:space="preserve"> DE 2019</w:t>
      </w:r>
    </w:p>
    <w:p w:rsidR="00F4757D" w:rsidRDefault="00F4757D" w:rsidP="00011001">
      <w:pPr>
        <w:spacing w:after="120"/>
        <w:jc w:val="center"/>
        <w:rPr>
          <w:rFonts w:ascii="Verdana" w:hAnsi="Verdana"/>
          <w:b/>
          <w:sz w:val="20"/>
          <w:szCs w:val="20"/>
          <w:lang w:val="es-CR"/>
        </w:rPr>
      </w:pPr>
    </w:p>
    <w:p w:rsidR="00F54463" w:rsidRDefault="00F4757D" w:rsidP="00011001">
      <w:pPr>
        <w:spacing w:after="120"/>
        <w:jc w:val="center"/>
        <w:rPr>
          <w:rFonts w:ascii="Verdana" w:hAnsi="Verdana"/>
          <w:b/>
          <w:sz w:val="20"/>
          <w:szCs w:val="20"/>
          <w:lang w:val="es-CR"/>
        </w:rPr>
      </w:pPr>
      <w:r w:rsidRPr="00F4757D">
        <w:rPr>
          <w:rFonts w:ascii="Verdana" w:hAnsi="Verdana"/>
          <w:b/>
          <w:sz w:val="20"/>
          <w:szCs w:val="20"/>
          <w:lang w:val="es-CR"/>
        </w:rPr>
        <w:t xml:space="preserve"> CASO </w:t>
      </w:r>
      <w:r w:rsidR="006D4911">
        <w:rPr>
          <w:rFonts w:ascii="Verdana" w:hAnsi="Verdana"/>
          <w:b/>
          <w:sz w:val="20"/>
          <w:szCs w:val="20"/>
          <w:lang w:val="es-CR"/>
        </w:rPr>
        <w:t>VALENZUELA ÁVILA</w:t>
      </w:r>
      <w:r>
        <w:rPr>
          <w:rFonts w:ascii="Verdana" w:hAnsi="Verdana"/>
          <w:b/>
          <w:sz w:val="20"/>
          <w:szCs w:val="20"/>
          <w:lang w:val="es-CR"/>
        </w:rPr>
        <w:t xml:space="preserve"> </w:t>
      </w:r>
      <w:r w:rsidRPr="00F4757D">
        <w:rPr>
          <w:rFonts w:ascii="Verdana" w:hAnsi="Verdana"/>
          <w:b/>
          <w:sz w:val="20"/>
          <w:szCs w:val="20"/>
          <w:lang w:val="es-CR"/>
        </w:rPr>
        <w:t xml:space="preserve">VS. </w:t>
      </w:r>
      <w:r>
        <w:rPr>
          <w:rFonts w:ascii="Verdana" w:hAnsi="Verdana"/>
          <w:b/>
          <w:sz w:val="20"/>
          <w:szCs w:val="20"/>
          <w:lang w:val="es-CR"/>
        </w:rPr>
        <w:t>GUATEMALA</w:t>
      </w:r>
    </w:p>
    <w:p w:rsidR="00011001" w:rsidRDefault="00011001" w:rsidP="00011001">
      <w:pPr>
        <w:spacing w:after="120"/>
        <w:jc w:val="center"/>
        <w:rPr>
          <w:rFonts w:ascii="Verdana" w:hAnsi="Verdana"/>
          <w:b/>
          <w:sz w:val="20"/>
          <w:szCs w:val="20"/>
          <w:lang w:val="es-CR"/>
        </w:rPr>
      </w:pPr>
      <w:r>
        <w:rPr>
          <w:rFonts w:ascii="Verdana" w:hAnsi="Verdana"/>
          <w:b/>
          <w:sz w:val="20"/>
          <w:szCs w:val="20"/>
          <w:lang w:val="es-CR"/>
        </w:rPr>
        <w:t>CONVOCATORIA A AUDIENCIA</w:t>
      </w:r>
    </w:p>
    <w:p w:rsidR="00F4757D" w:rsidRPr="00DC6807" w:rsidRDefault="00F4757D" w:rsidP="00DC6807">
      <w:pPr>
        <w:jc w:val="both"/>
        <w:rPr>
          <w:rFonts w:ascii="Verdana" w:hAnsi="Verdana"/>
          <w:b/>
          <w:sz w:val="20"/>
          <w:szCs w:val="20"/>
          <w:lang w:val="es-CR"/>
        </w:rPr>
      </w:pPr>
    </w:p>
    <w:p w:rsidR="00DC6807" w:rsidRPr="00DC6807" w:rsidRDefault="00F4757D" w:rsidP="00DC6807">
      <w:pPr>
        <w:jc w:val="both"/>
        <w:rPr>
          <w:rFonts w:ascii="Verdana" w:hAnsi="Verdana"/>
          <w:b/>
          <w:sz w:val="20"/>
          <w:szCs w:val="20"/>
          <w:lang w:val="es-CR"/>
        </w:rPr>
      </w:pPr>
      <w:r w:rsidRPr="00DC6807">
        <w:rPr>
          <w:rFonts w:ascii="Verdana" w:hAnsi="Verdana"/>
          <w:b/>
          <w:sz w:val="20"/>
          <w:szCs w:val="20"/>
          <w:lang w:val="es-CR"/>
        </w:rPr>
        <w:t>VISTO:</w:t>
      </w:r>
    </w:p>
    <w:p w:rsidR="006C4D19" w:rsidRDefault="00DC6807" w:rsidP="006C4D19">
      <w:pPr>
        <w:pStyle w:val="Normal1"/>
        <w:widowControl/>
        <w:numPr>
          <w:ilvl w:val="0"/>
          <w:numId w:val="1"/>
        </w:numPr>
        <w:ind w:left="0" w:firstLine="0"/>
        <w:contextualSpacing/>
        <w:jc w:val="both"/>
        <w:rPr>
          <w:rFonts w:ascii="Verdana" w:eastAsia="Verdana" w:hAnsi="Verdana" w:cs="Verdana"/>
          <w:color w:val="000000"/>
          <w:sz w:val="20"/>
          <w:szCs w:val="20"/>
        </w:rPr>
      </w:pPr>
      <w:r w:rsidRPr="00DC6807">
        <w:rPr>
          <w:rFonts w:ascii="Verdana" w:hAnsi="Verdana"/>
          <w:sz w:val="20"/>
          <w:szCs w:val="20"/>
        </w:rPr>
        <w:t xml:space="preserve">El escrito de sometimiento del caso y el Informe de </w:t>
      </w:r>
      <w:r w:rsidR="00082C26">
        <w:rPr>
          <w:rFonts w:ascii="Verdana" w:hAnsi="Verdana"/>
          <w:sz w:val="20"/>
          <w:szCs w:val="20"/>
        </w:rPr>
        <w:t xml:space="preserve">Admisibilidad y </w:t>
      </w:r>
      <w:r w:rsidRPr="00DC6807">
        <w:rPr>
          <w:rFonts w:ascii="Verdana" w:hAnsi="Verdana"/>
          <w:sz w:val="20"/>
          <w:szCs w:val="20"/>
        </w:rPr>
        <w:t xml:space="preserve">Fondo </w:t>
      </w:r>
      <w:r w:rsidR="0077131C">
        <w:rPr>
          <w:rFonts w:ascii="Verdana" w:hAnsi="Verdana"/>
          <w:sz w:val="20"/>
          <w:szCs w:val="20"/>
        </w:rPr>
        <w:t xml:space="preserve">(en adelante también “Informe de Fondo”) </w:t>
      </w:r>
      <w:r w:rsidRPr="00DC6807">
        <w:rPr>
          <w:rFonts w:ascii="Verdana" w:hAnsi="Verdana"/>
          <w:sz w:val="20"/>
          <w:szCs w:val="20"/>
        </w:rPr>
        <w:t xml:space="preserve">de la Comisión Interamericana de Derechos Humanos (en adelante “la Comisión Interamericana” o “la Comisión”); el escrito de solicitudes, argumentos y pruebas (en adelante el “escrito de </w:t>
      </w:r>
      <w:r w:rsidR="008C0BE1">
        <w:rPr>
          <w:rFonts w:ascii="Verdana" w:hAnsi="Verdana"/>
          <w:sz w:val="20"/>
          <w:szCs w:val="20"/>
        </w:rPr>
        <w:t>solicitudes y argumentos”) de lo</w:t>
      </w:r>
      <w:r w:rsidRPr="00DC6807">
        <w:rPr>
          <w:rFonts w:ascii="Verdana" w:hAnsi="Verdana"/>
          <w:sz w:val="20"/>
          <w:szCs w:val="20"/>
        </w:rPr>
        <w:t>s representantes</w:t>
      </w:r>
      <w:r w:rsidR="007E75A7">
        <w:rPr>
          <w:rFonts w:ascii="Verdana" w:hAnsi="Verdana"/>
          <w:sz w:val="20"/>
          <w:szCs w:val="20"/>
        </w:rPr>
        <w:t xml:space="preserve"> de la presunta víctima</w:t>
      </w:r>
      <w:r w:rsidR="008C0BE1">
        <w:rPr>
          <w:rStyle w:val="FootnoteReference"/>
          <w:rFonts w:ascii="Verdana" w:hAnsi="Verdana"/>
          <w:sz w:val="20"/>
          <w:szCs w:val="20"/>
        </w:rPr>
        <w:footnoteReference w:id="1"/>
      </w:r>
      <w:r w:rsidRPr="00DC6807">
        <w:rPr>
          <w:rFonts w:ascii="Verdana" w:hAnsi="Verdana"/>
          <w:sz w:val="20"/>
          <w:szCs w:val="20"/>
        </w:rPr>
        <w:t xml:space="preserve"> (en adelante “</w:t>
      </w:r>
      <w:r w:rsidR="008C0BE1">
        <w:rPr>
          <w:rFonts w:ascii="Verdana" w:hAnsi="Verdana"/>
          <w:sz w:val="20"/>
          <w:szCs w:val="20"/>
        </w:rPr>
        <w:t>lo</w:t>
      </w:r>
      <w:r w:rsidRPr="00DC6807">
        <w:rPr>
          <w:rFonts w:ascii="Verdana" w:hAnsi="Verdana"/>
          <w:sz w:val="20"/>
          <w:szCs w:val="20"/>
        </w:rPr>
        <w:t>s representantes”); el escrito de contestación al sometimiento del caso y al escrito de solicitudes y argumentos (en adelante “escrito de contestación”) de la República de Guatemala (en adelante “Guatemala</w:t>
      </w:r>
      <w:r w:rsidR="00E757B6">
        <w:rPr>
          <w:rFonts w:ascii="Verdana" w:hAnsi="Verdana"/>
          <w:sz w:val="20"/>
          <w:szCs w:val="20"/>
        </w:rPr>
        <w:t>” o “el Estado”)</w:t>
      </w:r>
      <w:r w:rsidR="00B62CF5">
        <w:rPr>
          <w:rFonts w:ascii="Verdana" w:hAnsi="Verdana"/>
          <w:sz w:val="20"/>
          <w:szCs w:val="20"/>
        </w:rPr>
        <w:t>.</w:t>
      </w:r>
    </w:p>
    <w:p w:rsidR="006C4D19" w:rsidRDefault="006C4D19" w:rsidP="006C4D19">
      <w:pPr>
        <w:pStyle w:val="Normal1"/>
        <w:widowControl/>
        <w:contextualSpacing/>
        <w:jc w:val="both"/>
        <w:rPr>
          <w:rFonts w:ascii="Verdana" w:eastAsia="Verdana" w:hAnsi="Verdana" w:cs="Verdana"/>
          <w:color w:val="000000"/>
          <w:sz w:val="20"/>
          <w:szCs w:val="20"/>
        </w:rPr>
      </w:pPr>
    </w:p>
    <w:p w:rsidR="00A53D21" w:rsidRPr="00A53D21" w:rsidRDefault="00A53D21" w:rsidP="00A53D21">
      <w:pPr>
        <w:pStyle w:val="Normal1"/>
        <w:widowControl/>
        <w:numPr>
          <w:ilvl w:val="0"/>
          <w:numId w:val="1"/>
        </w:numPr>
        <w:ind w:left="0" w:firstLine="0"/>
        <w:contextualSpacing/>
        <w:jc w:val="both"/>
        <w:rPr>
          <w:rFonts w:ascii="Verdana" w:eastAsia="Verdana" w:hAnsi="Verdana" w:cs="Verdana"/>
          <w:color w:val="000000"/>
          <w:sz w:val="20"/>
          <w:szCs w:val="20"/>
        </w:rPr>
      </w:pPr>
      <w:r>
        <w:rPr>
          <w:rFonts w:ascii="Verdana" w:hAnsi="Verdana"/>
          <w:sz w:val="20"/>
          <w:szCs w:val="20"/>
        </w:rPr>
        <w:t>La comunicación</w:t>
      </w:r>
      <w:r w:rsidRPr="00B62CF5">
        <w:rPr>
          <w:rFonts w:ascii="Verdana" w:hAnsi="Verdana"/>
          <w:sz w:val="20"/>
          <w:szCs w:val="20"/>
        </w:rPr>
        <w:t xml:space="preserve"> de </w:t>
      </w:r>
      <w:r>
        <w:rPr>
          <w:rFonts w:ascii="Verdana" w:hAnsi="Verdana"/>
          <w:sz w:val="20"/>
          <w:szCs w:val="20"/>
        </w:rPr>
        <w:t xml:space="preserve">la </w:t>
      </w:r>
      <w:r w:rsidRPr="00B62CF5">
        <w:rPr>
          <w:rFonts w:ascii="Verdana" w:hAnsi="Verdana"/>
          <w:sz w:val="20"/>
          <w:szCs w:val="20"/>
        </w:rPr>
        <w:t xml:space="preserve">Secretaría de </w:t>
      </w:r>
      <w:r w:rsidR="003C1DF1">
        <w:rPr>
          <w:rFonts w:ascii="Verdana" w:hAnsi="Verdana"/>
          <w:sz w:val="20"/>
          <w:szCs w:val="20"/>
        </w:rPr>
        <w:t xml:space="preserve">11 </w:t>
      </w:r>
      <w:r w:rsidRPr="00B62CF5">
        <w:rPr>
          <w:rFonts w:ascii="Verdana" w:hAnsi="Verdana"/>
          <w:sz w:val="20"/>
          <w:szCs w:val="20"/>
        </w:rPr>
        <w:t xml:space="preserve">de </w:t>
      </w:r>
      <w:r>
        <w:rPr>
          <w:rFonts w:ascii="Verdana" w:hAnsi="Verdana"/>
          <w:sz w:val="20"/>
          <w:szCs w:val="20"/>
        </w:rPr>
        <w:t>enero</w:t>
      </w:r>
      <w:r w:rsidRPr="00B62CF5">
        <w:rPr>
          <w:rFonts w:ascii="Verdana" w:hAnsi="Verdana"/>
          <w:sz w:val="20"/>
          <w:szCs w:val="20"/>
        </w:rPr>
        <w:t xml:space="preserve"> de 201</w:t>
      </w:r>
      <w:r>
        <w:rPr>
          <w:rFonts w:ascii="Verdana" w:hAnsi="Verdana"/>
          <w:sz w:val="20"/>
          <w:szCs w:val="20"/>
        </w:rPr>
        <w:t>9</w:t>
      </w:r>
      <w:r w:rsidRPr="00B62CF5">
        <w:rPr>
          <w:rFonts w:ascii="Verdana" w:hAnsi="Verdana"/>
          <w:sz w:val="20"/>
          <w:szCs w:val="20"/>
        </w:rPr>
        <w:t xml:space="preserve"> relativa a la procedencia del Fondo de Asistencia Legal de Víctimas de la Corte Interamericana de Derechos Humanos (en adelante “Fondo de Asistencia Legal de Víctimas”). </w:t>
      </w:r>
    </w:p>
    <w:p w:rsidR="00A53D21" w:rsidRPr="00B62CF5" w:rsidRDefault="00A53D21" w:rsidP="00A53D21">
      <w:pPr>
        <w:pStyle w:val="Normal1"/>
        <w:widowControl/>
        <w:contextualSpacing/>
        <w:jc w:val="both"/>
        <w:rPr>
          <w:rFonts w:ascii="Verdana" w:eastAsia="Verdana" w:hAnsi="Verdana" w:cs="Verdana"/>
          <w:color w:val="000000"/>
          <w:sz w:val="20"/>
          <w:szCs w:val="20"/>
        </w:rPr>
      </w:pPr>
    </w:p>
    <w:p w:rsidR="00151137" w:rsidRPr="00E77AED" w:rsidRDefault="00151137" w:rsidP="001D2750">
      <w:pPr>
        <w:pStyle w:val="Normal1"/>
        <w:widowControl/>
        <w:numPr>
          <w:ilvl w:val="0"/>
          <w:numId w:val="1"/>
        </w:numPr>
        <w:ind w:left="0" w:firstLine="0"/>
        <w:contextualSpacing/>
        <w:jc w:val="both"/>
        <w:rPr>
          <w:rFonts w:ascii="Verdana" w:hAnsi="Verdana"/>
          <w:sz w:val="20"/>
          <w:szCs w:val="20"/>
        </w:rPr>
      </w:pPr>
      <w:r w:rsidRPr="00E77AED">
        <w:rPr>
          <w:rFonts w:ascii="Verdana" w:hAnsi="Verdana"/>
          <w:sz w:val="20"/>
          <w:szCs w:val="20"/>
        </w:rPr>
        <w:t>Las listas definitivas de declarantes presentadas por los representante</w:t>
      </w:r>
      <w:r w:rsidR="0027508E" w:rsidRPr="00E77AED">
        <w:rPr>
          <w:rFonts w:ascii="Verdana" w:hAnsi="Verdana"/>
          <w:sz w:val="20"/>
          <w:szCs w:val="20"/>
        </w:rPr>
        <w:t>s,</w:t>
      </w:r>
      <w:r w:rsidRPr="00E77AED">
        <w:rPr>
          <w:rFonts w:ascii="Verdana" w:hAnsi="Verdana"/>
          <w:sz w:val="20"/>
          <w:szCs w:val="20"/>
        </w:rPr>
        <w:t xml:space="preserve"> la Comisión</w:t>
      </w:r>
      <w:r w:rsidR="0033218F">
        <w:rPr>
          <w:rFonts w:ascii="Verdana" w:hAnsi="Verdana"/>
          <w:sz w:val="20"/>
          <w:szCs w:val="20"/>
        </w:rPr>
        <w:t xml:space="preserve"> y el Estado y las correspondientes observaciones </w:t>
      </w:r>
      <w:r w:rsidR="00356216">
        <w:rPr>
          <w:rFonts w:ascii="Verdana" w:hAnsi="Verdana"/>
          <w:sz w:val="20"/>
          <w:szCs w:val="20"/>
        </w:rPr>
        <w:t xml:space="preserve">del Estado </w:t>
      </w:r>
      <w:r w:rsidR="0033218F">
        <w:rPr>
          <w:rFonts w:ascii="Verdana" w:hAnsi="Verdana"/>
          <w:sz w:val="20"/>
          <w:szCs w:val="20"/>
        </w:rPr>
        <w:t>y la Comisión a los ofrecimientos probatorios.</w:t>
      </w:r>
      <w:r w:rsidR="002B3E5E">
        <w:rPr>
          <w:rFonts w:ascii="Verdana" w:hAnsi="Verdana"/>
          <w:sz w:val="20"/>
          <w:szCs w:val="20"/>
        </w:rPr>
        <w:t xml:space="preserve"> </w:t>
      </w:r>
    </w:p>
    <w:p w:rsidR="00DC6807" w:rsidRPr="00DC6807" w:rsidRDefault="00DC6807" w:rsidP="00DC6807">
      <w:pPr>
        <w:pStyle w:val="Normal1"/>
        <w:widowControl/>
        <w:contextualSpacing/>
        <w:jc w:val="both"/>
        <w:rPr>
          <w:rFonts w:ascii="Verdana" w:eastAsiaTheme="minorHAnsi" w:hAnsi="Verdana" w:cstheme="minorBidi"/>
          <w:b/>
          <w:sz w:val="20"/>
          <w:szCs w:val="20"/>
        </w:rPr>
      </w:pPr>
    </w:p>
    <w:p w:rsidR="00DC6807" w:rsidRPr="00E757B6" w:rsidRDefault="00DC6807" w:rsidP="00DC6807">
      <w:pPr>
        <w:pStyle w:val="Normal1"/>
        <w:widowControl/>
        <w:contextualSpacing/>
        <w:jc w:val="both"/>
        <w:rPr>
          <w:rFonts w:ascii="Verdana" w:hAnsi="Verdana"/>
          <w:b/>
          <w:sz w:val="20"/>
          <w:szCs w:val="20"/>
        </w:rPr>
      </w:pPr>
      <w:r w:rsidRPr="00E757B6">
        <w:rPr>
          <w:rFonts w:ascii="Verdana" w:hAnsi="Verdana"/>
          <w:b/>
          <w:sz w:val="20"/>
          <w:szCs w:val="20"/>
        </w:rPr>
        <w:t>CONSIDERANDO QUE:</w:t>
      </w:r>
    </w:p>
    <w:p w:rsidR="00DC6807" w:rsidRPr="00E757B6" w:rsidRDefault="00DC6807" w:rsidP="00E757B6">
      <w:pPr>
        <w:pStyle w:val="Normal1"/>
        <w:widowControl/>
        <w:contextualSpacing/>
        <w:jc w:val="both"/>
        <w:rPr>
          <w:rFonts w:ascii="Verdana" w:hAnsi="Verdana"/>
          <w:sz w:val="20"/>
          <w:szCs w:val="20"/>
        </w:rPr>
      </w:pPr>
    </w:p>
    <w:p w:rsidR="00E80AC3" w:rsidRDefault="00E757B6" w:rsidP="00E80AC3">
      <w:pPr>
        <w:pStyle w:val="Normal1"/>
        <w:widowControl/>
        <w:numPr>
          <w:ilvl w:val="0"/>
          <w:numId w:val="3"/>
        </w:numPr>
        <w:ind w:left="0" w:firstLine="0"/>
        <w:contextualSpacing/>
        <w:jc w:val="both"/>
        <w:rPr>
          <w:rFonts w:ascii="Verdana" w:eastAsia="Verdana" w:hAnsi="Verdana" w:cs="Verdana"/>
          <w:color w:val="000000"/>
          <w:sz w:val="20"/>
          <w:szCs w:val="20"/>
        </w:rPr>
      </w:pPr>
      <w:r w:rsidRPr="009059E9">
        <w:rPr>
          <w:rFonts w:ascii="Verdana" w:hAnsi="Verdana"/>
          <w:sz w:val="20"/>
          <w:szCs w:val="20"/>
        </w:rPr>
        <w:t xml:space="preserve">El ofrecimiento y la admisión de la prueba, así como la citación de declarantes se encuentran </w:t>
      </w:r>
      <w:r w:rsidRPr="00CE51A5">
        <w:rPr>
          <w:rFonts w:ascii="Verdana" w:hAnsi="Verdana"/>
          <w:sz w:val="20"/>
          <w:szCs w:val="20"/>
        </w:rPr>
        <w:t xml:space="preserve">regulados en los artículos </w:t>
      </w:r>
      <w:r w:rsidR="00E7603E">
        <w:rPr>
          <w:rFonts w:ascii="Verdana" w:hAnsi="Verdana"/>
          <w:sz w:val="20"/>
          <w:szCs w:val="20"/>
        </w:rPr>
        <w:t>35</w:t>
      </w:r>
      <w:r w:rsidRPr="00883AC2">
        <w:rPr>
          <w:rFonts w:ascii="Verdana" w:hAnsi="Verdana"/>
          <w:sz w:val="20"/>
          <w:szCs w:val="20"/>
        </w:rPr>
        <w:t xml:space="preserve">, 40.2.c, 41.1.c, </w:t>
      </w:r>
      <w:r w:rsidR="00E7603E">
        <w:rPr>
          <w:rFonts w:ascii="Verdana" w:hAnsi="Verdana"/>
          <w:sz w:val="20"/>
          <w:szCs w:val="20"/>
        </w:rPr>
        <w:t>45 a</w:t>
      </w:r>
      <w:r w:rsidR="00082C26">
        <w:rPr>
          <w:rFonts w:ascii="Verdana" w:hAnsi="Verdana"/>
          <w:sz w:val="20"/>
          <w:szCs w:val="20"/>
        </w:rPr>
        <w:t xml:space="preserve"> </w:t>
      </w:r>
      <w:r w:rsidR="0052585F" w:rsidRPr="00883AC2">
        <w:rPr>
          <w:rFonts w:ascii="Verdana" w:hAnsi="Verdana"/>
          <w:sz w:val="20"/>
          <w:szCs w:val="20"/>
        </w:rPr>
        <w:t xml:space="preserve">51, </w:t>
      </w:r>
      <w:r w:rsidR="00A14900" w:rsidRPr="00883AC2">
        <w:rPr>
          <w:rFonts w:ascii="Verdana" w:hAnsi="Verdana"/>
          <w:sz w:val="20"/>
          <w:szCs w:val="20"/>
        </w:rPr>
        <w:t>y 57</w:t>
      </w:r>
      <w:r w:rsidR="00A14900" w:rsidRPr="00923F9E">
        <w:rPr>
          <w:rFonts w:ascii="Verdana" w:hAnsi="Verdana"/>
          <w:sz w:val="20"/>
          <w:szCs w:val="20"/>
        </w:rPr>
        <w:t xml:space="preserve"> </w:t>
      </w:r>
      <w:r w:rsidRPr="00923F9E">
        <w:rPr>
          <w:rFonts w:ascii="Verdana" w:hAnsi="Verdana"/>
          <w:sz w:val="20"/>
          <w:szCs w:val="20"/>
        </w:rPr>
        <w:t>del Reglamento de la Corte Interamericana de Derechos Humanos (en adelante</w:t>
      </w:r>
      <w:r w:rsidR="00D8004D">
        <w:rPr>
          <w:rFonts w:ascii="Verdana" w:hAnsi="Verdana"/>
          <w:sz w:val="20"/>
          <w:szCs w:val="20"/>
        </w:rPr>
        <w:t xml:space="preserve"> también</w:t>
      </w:r>
      <w:r w:rsidRPr="00CE51A5">
        <w:rPr>
          <w:rFonts w:ascii="Verdana" w:hAnsi="Verdana"/>
          <w:sz w:val="20"/>
          <w:szCs w:val="20"/>
        </w:rPr>
        <w:t xml:space="preserve"> “la Corte Interamericana”, “la Corte” o “el Tribunal”).</w:t>
      </w:r>
    </w:p>
    <w:p w:rsidR="00E80AC3" w:rsidRDefault="00E80AC3" w:rsidP="00E80AC3">
      <w:pPr>
        <w:pStyle w:val="Normal1"/>
        <w:widowControl/>
        <w:contextualSpacing/>
        <w:jc w:val="both"/>
        <w:rPr>
          <w:rFonts w:ascii="Verdana" w:eastAsia="Verdana" w:hAnsi="Verdana" w:cs="Verdana"/>
          <w:color w:val="000000"/>
          <w:sz w:val="20"/>
          <w:szCs w:val="20"/>
        </w:rPr>
      </w:pPr>
    </w:p>
    <w:p w:rsidR="00E80AC3" w:rsidRPr="00883AC2" w:rsidRDefault="00707768" w:rsidP="00E80AC3">
      <w:pPr>
        <w:pStyle w:val="Normal1"/>
        <w:widowControl/>
        <w:numPr>
          <w:ilvl w:val="0"/>
          <w:numId w:val="3"/>
        </w:numPr>
        <w:ind w:left="0" w:firstLine="0"/>
        <w:contextualSpacing/>
        <w:jc w:val="both"/>
        <w:rPr>
          <w:rFonts w:ascii="Verdana" w:eastAsia="Verdana" w:hAnsi="Verdana" w:cs="Verdana"/>
          <w:color w:val="000000"/>
          <w:sz w:val="20"/>
          <w:szCs w:val="20"/>
        </w:rPr>
      </w:pPr>
      <w:r w:rsidRPr="00883AC2">
        <w:rPr>
          <w:rFonts w:ascii="Verdana" w:hAnsi="Verdana"/>
          <w:sz w:val="20"/>
          <w:szCs w:val="20"/>
        </w:rPr>
        <w:t xml:space="preserve">La Comisión ofreció dos peritos, quienes rendirán un peritaje conjunto </w:t>
      </w:r>
      <w:r w:rsidR="00EF0470" w:rsidRPr="00883AC2">
        <w:rPr>
          <w:rFonts w:ascii="Verdana" w:hAnsi="Verdana"/>
          <w:sz w:val="20"/>
          <w:szCs w:val="20"/>
        </w:rPr>
        <w:t>en</w:t>
      </w:r>
      <w:r w:rsidRPr="00883AC2">
        <w:rPr>
          <w:rFonts w:ascii="Verdana" w:hAnsi="Verdana"/>
          <w:sz w:val="20"/>
          <w:szCs w:val="20"/>
        </w:rPr>
        <w:t xml:space="preserve"> los casos </w:t>
      </w:r>
      <w:r w:rsidR="00082C26">
        <w:rPr>
          <w:rFonts w:ascii="Verdana" w:hAnsi="Verdana"/>
          <w:sz w:val="20"/>
          <w:szCs w:val="20"/>
        </w:rPr>
        <w:t>“</w:t>
      </w:r>
      <w:r w:rsidRPr="00883AC2">
        <w:rPr>
          <w:rFonts w:ascii="Verdana" w:hAnsi="Verdana"/>
          <w:i/>
          <w:sz w:val="20"/>
          <w:szCs w:val="20"/>
        </w:rPr>
        <w:t>Girón</w:t>
      </w:r>
      <w:r w:rsidR="00B125C4" w:rsidRPr="00883AC2">
        <w:rPr>
          <w:rFonts w:ascii="Verdana" w:hAnsi="Verdana"/>
          <w:i/>
          <w:sz w:val="20"/>
          <w:szCs w:val="20"/>
        </w:rPr>
        <w:t xml:space="preserve"> y </w:t>
      </w:r>
      <w:r w:rsidR="00082C26">
        <w:rPr>
          <w:rFonts w:ascii="Verdana" w:hAnsi="Verdana"/>
          <w:i/>
          <w:sz w:val="20"/>
          <w:szCs w:val="20"/>
        </w:rPr>
        <w:t>Castillo, Martínez Coronado,</w:t>
      </w:r>
      <w:r w:rsidRPr="00883AC2">
        <w:rPr>
          <w:rFonts w:ascii="Verdana" w:hAnsi="Verdana"/>
          <w:i/>
          <w:sz w:val="20"/>
          <w:szCs w:val="20"/>
        </w:rPr>
        <w:t xml:space="preserve"> Ruiz </w:t>
      </w:r>
      <w:r w:rsidRPr="00082C26">
        <w:rPr>
          <w:rFonts w:ascii="Verdana" w:hAnsi="Verdana"/>
          <w:i/>
          <w:sz w:val="20"/>
          <w:szCs w:val="20"/>
        </w:rPr>
        <w:t xml:space="preserve">Fuentes </w:t>
      </w:r>
      <w:r w:rsidR="00082C26">
        <w:rPr>
          <w:rFonts w:ascii="Verdana" w:hAnsi="Verdana"/>
          <w:i/>
          <w:sz w:val="20"/>
          <w:szCs w:val="20"/>
        </w:rPr>
        <w:t>y</w:t>
      </w:r>
      <w:r w:rsidR="00082C26" w:rsidRPr="00082C26">
        <w:rPr>
          <w:rFonts w:ascii="Verdana" w:hAnsi="Verdana"/>
          <w:i/>
          <w:sz w:val="20"/>
          <w:szCs w:val="20"/>
        </w:rPr>
        <w:t xml:space="preserve"> Rodríguez </w:t>
      </w:r>
      <w:proofErr w:type="spellStart"/>
      <w:r w:rsidR="00082C26" w:rsidRPr="00082C26">
        <w:rPr>
          <w:rFonts w:ascii="Verdana" w:hAnsi="Verdana"/>
          <w:i/>
          <w:sz w:val="20"/>
          <w:szCs w:val="20"/>
        </w:rPr>
        <w:t>Revolorio</w:t>
      </w:r>
      <w:proofErr w:type="spellEnd"/>
      <w:r w:rsidR="00082C26">
        <w:rPr>
          <w:rFonts w:ascii="Verdana" w:hAnsi="Verdana"/>
          <w:sz w:val="20"/>
          <w:szCs w:val="20"/>
        </w:rPr>
        <w:t xml:space="preserve">”, </w:t>
      </w:r>
      <w:r w:rsidR="00EF0470" w:rsidRPr="00883AC2">
        <w:rPr>
          <w:rFonts w:ascii="Verdana" w:hAnsi="Verdana"/>
          <w:sz w:val="20"/>
          <w:szCs w:val="20"/>
        </w:rPr>
        <w:t xml:space="preserve">todos </w:t>
      </w:r>
      <w:r w:rsidR="00082C26">
        <w:rPr>
          <w:rFonts w:ascii="Verdana" w:hAnsi="Verdana"/>
          <w:sz w:val="20"/>
          <w:szCs w:val="20"/>
        </w:rPr>
        <w:t>contra Guatemala,</w:t>
      </w:r>
      <w:r w:rsidRPr="00883AC2">
        <w:rPr>
          <w:rFonts w:ascii="Verdana" w:hAnsi="Verdana"/>
          <w:sz w:val="16"/>
          <w:szCs w:val="16"/>
        </w:rPr>
        <w:t xml:space="preserve"> </w:t>
      </w:r>
      <w:r w:rsidR="00EF0470" w:rsidRPr="00883AC2">
        <w:rPr>
          <w:rFonts w:ascii="Verdana" w:hAnsi="Verdana"/>
          <w:sz w:val="20"/>
          <w:szCs w:val="20"/>
        </w:rPr>
        <w:t>mismos</w:t>
      </w:r>
      <w:r w:rsidRPr="00883AC2">
        <w:rPr>
          <w:rFonts w:ascii="Verdana" w:hAnsi="Verdana"/>
          <w:sz w:val="20"/>
          <w:szCs w:val="20"/>
        </w:rPr>
        <w:t xml:space="preserve"> que se encuentran </w:t>
      </w:r>
      <w:r w:rsidR="00EF0470" w:rsidRPr="00883AC2">
        <w:rPr>
          <w:rFonts w:ascii="Verdana" w:hAnsi="Verdana"/>
          <w:sz w:val="20"/>
          <w:szCs w:val="20"/>
        </w:rPr>
        <w:t xml:space="preserve">actualmente </w:t>
      </w:r>
      <w:r w:rsidRPr="00883AC2">
        <w:rPr>
          <w:rFonts w:ascii="Verdana" w:hAnsi="Verdana"/>
          <w:sz w:val="20"/>
          <w:szCs w:val="20"/>
        </w:rPr>
        <w:t>en trámite ante esta Corte, y solicitó que el dictamen pericial sea trasladado al presente caso</w:t>
      </w:r>
      <w:r w:rsidR="00E80AC3" w:rsidRPr="00883AC2">
        <w:rPr>
          <w:rFonts w:ascii="Verdana" w:hAnsi="Verdana"/>
          <w:sz w:val="20"/>
          <w:szCs w:val="20"/>
        </w:rPr>
        <w:t>. Los representantes ofrecieron las declaraci</w:t>
      </w:r>
      <w:r w:rsidR="00A53D21" w:rsidRPr="00883AC2">
        <w:rPr>
          <w:rFonts w:ascii="Verdana" w:hAnsi="Verdana"/>
          <w:sz w:val="20"/>
          <w:szCs w:val="20"/>
        </w:rPr>
        <w:t>ones de cinco declarantes</w:t>
      </w:r>
      <w:r w:rsidR="00E80AC3" w:rsidRPr="00883AC2">
        <w:rPr>
          <w:rFonts w:ascii="Verdana" w:hAnsi="Verdana"/>
          <w:sz w:val="20"/>
          <w:szCs w:val="20"/>
        </w:rPr>
        <w:t xml:space="preserve">, cinco testigos y siete peritos. Por su parte, el Estado </w:t>
      </w:r>
      <w:r w:rsidR="0033218F" w:rsidRPr="00883AC2">
        <w:rPr>
          <w:rFonts w:ascii="Verdana" w:hAnsi="Verdana"/>
          <w:sz w:val="20"/>
          <w:szCs w:val="20"/>
        </w:rPr>
        <w:t xml:space="preserve">en </w:t>
      </w:r>
      <w:r w:rsidR="0033218F" w:rsidRPr="00883AC2">
        <w:rPr>
          <w:rFonts w:ascii="Verdana" w:hAnsi="Verdana"/>
          <w:sz w:val="20"/>
          <w:szCs w:val="20"/>
        </w:rPr>
        <w:lastRenderedPageBreak/>
        <w:t xml:space="preserve">su </w:t>
      </w:r>
      <w:r w:rsidR="00EF0470" w:rsidRPr="00883AC2">
        <w:rPr>
          <w:rFonts w:ascii="Verdana" w:hAnsi="Verdana"/>
          <w:sz w:val="20"/>
          <w:szCs w:val="20"/>
        </w:rPr>
        <w:t xml:space="preserve">escrito de </w:t>
      </w:r>
      <w:r w:rsidR="0033218F" w:rsidRPr="00883AC2">
        <w:rPr>
          <w:rFonts w:ascii="Verdana" w:hAnsi="Verdana"/>
          <w:sz w:val="20"/>
          <w:szCs w:val="20"/>
        </w:rPr>
        <w:t xml:space="preserve">contestación </w:t>
      </w:r>
      <w:r w:rsidR="00E80AC3" w:rsidRPr="00883AC2">
        <w:rPr>
          <w:rFonts w:ascii="Verdana" w:hAnsi="Verdana"/>
          <w:sz w:val="20"/>
          <w:szCs w:val="20"/>
        </w:rPr>
        <w:t>ofreció la</w:t>
      </w:r>
      <w:r w:rsidR="0033218F" w:rsidRPr="00883AC2">
        <w:rPr>
          <w:rFonts w:ascii="Verdana" w:hAnsi="Verdana"/>
          <w:sz w:val="20"/>
          <w:szCs w:val="20"/>
        </w:rPr>
        <w:t>s declaraciones</w:t>
      </w:r>
      <w:r w:rsidR="00E80AC3" w:rsidRPr="00883AC2">
        <w:rPr>
          <w:rFonts w:ascii="Verdana" w:hAnsi="Verdana"/>
          <w:sz w:val="20"/>
          <w:szCs w:val="20"/>
        </w:rPr>
        <w:t xml:space="preserve"> de cinco testigos</w:t>
      </w:r>
      <w:r w:rsidR="0033218F" w:rsidRPr="00883AC2">
        <w:rPr>
          <w:rFonts w:ascii="Verdana" w:hAnsi="Verdana"/>
          <w:sz w:val="20"/>
          <w:szCs w:val="20"/>
        </w:rPr>
        <w:t xml:space="preserve"> sin </w:t>
      </w:r>
      <w:r w:rsidR="00EF0470" w:rsidRPr="00883AC2">
        <w:rPr>
          <w:rFonts w:ascii="Verdana" w:hAnsi="Verdana"/>
          <w:sz w:val="20"/>
          <w:szCs w:val="20"/>
        </w:rPr>
        <w:t xml:space="preserve">haber </w:t>
      </w:r>
      <w:r w:rsidR="0033218F" w:rsidRPr="00883AC2">
        <w:rPr>
          <w:rFonts w:ascii="Verdana" w:hAnsi="Verdana"/>
          <w:sz w:val="20"/>
          <w:szCs w:val="20"/>
        </w:rPr>
        <w:t>identifica</w:t>
      </w:r>
      <w:r w:rsidR="00F4785A" w:rsidRPr="00883AC2">
        <w:rPr>
          <w:rFonts w:ascii="Verdana" w:hAnsi="Verdana"/>
          <w:sz w:val="20"/>
          <w:szCs w:val="20"/>
        </w:rPr>
        <w:t>do</w:t>
      </w:r>
      <w:r w:rsidR="00EF0470" w:rsidRPr="00883AC2">
        <w:rPr>
          <w:rFonts w:ascii="Verdana" w:hAnsi="Verdana"/>
          <w:sz w:val="20"/>
          <w:szCs w:val="20"/>
        </w:rPr>
        <w:t xml:space="preserve"> a estos</w:t>
      </w:r>
      <w:r w:rsidR="0033218F" w:rsidRPr="00883AC2">
        <w:rPr>
          <w:rFonts w:ascii="Verdana" w:hAnsi="Verdana"/>
          <w:sz w:val="20"/>
          <w:szCs w:val="20"/>
        </w:rPr>
        <w:t xml:space="preserve"> (</w:t>
      </w:r>
      <w:r w:rsidR="0033218F" w:rsidRPr="00883AC2">
        <w:rPr>
          <w:rFonts w:ascii="Verdana" w:hAnsi="Verdana"/>
          <w:i/>
          <w:sz w:val="20"/>
          <w:szCs w:val="20"/>
        </w:rPr>
        <w:t>infra</w:t>
      </w:r>
      <w:r w:rsidR="00A85A23" w:rsidRPr="00883AC2">
        <w:rPr>
          <w:rFonts w:ascii="Verdana" w:hAnsi="Verdana"/>
          <w:i/>
          <w:sz w:val="20"/>
          <w:szCs w:val="20"/>
        </w:rPr>
        <w:t xml:space="preserve">  </w:t>
      </w:r>
      <w:r w:rsidR="00082C26">
        <w:rPr>
          <w:rFonts w:ascii="Verdana" w:hAnsi="Verdana"/>
          <w:i/>
          <w:sz w:val="20"/>
          <w:szCs w:val="20"/>
        </w:rPr>
        <w:t>25</w:t>
      </w:r>
      <w:r w:rsidR="0033218F" w:rsidRPr="00883AC2">
        <w:rPr>
          <w:rFonts w:ascii="Verdana" w:hAnsi="Verdana"/>
          <w:sz w:val="20"/>
          <w:szCs w:val="20"/>
        </w:rPr>
        <w:t>)</w:t>
      </w:r>
      <w:r w:rsidR="00E80AC3" w:rsidRPr="00883AC2">
        <w:rPr>
          <w:rFonts w:ascii="Verdana" w:hAnsi="Verdana"/>
          <w:sz w:val="20"/>
          <w:szCs w:val="20"/>
        </w:rPr>
        <w:t xml:space="preserve">. </w:t>
      </w:r>
    </w:p>
    <w:p w:rsidR="000B3812" w:rsidRPr="000B3812" w:rsidRDefault="000B3812" w:rsidP="000B3812">
      <w:pPr>
        <w:pStyle w:val="Normal1"/>
        <w:widowControl/>
        <w:contextualSpacing/>
        <w:jc w:val="both"/>
        <w:rPr>
          <w:rFonts w:ascii="Verdana" w:eastAsia="Verdana" w:hAnsi="Verdana" w:cs="Verdana"/>
          <w:color w:val="000000"/>
          <w:sz w:val="20"/>
          <w:szCs w:val="20"/>
        </w:rPr>
      </w:pPr>
    </w:p>
    <w:p w:rsidR="00C46EB3" w:rsidRPr="00C94849" w:rsidRDefault="00C46EB3" w:rsidP="00626CA7">
      <w:pPr>
        <w:pStyle w:val="Normal1"/>
        <w:widowControl/>
        <w:numPr>
          <w:ilvl w:val="0"/>
          <w:numId w:val="3"/>
        </w:numPr>
        <w:ind w:left="0" w:firstLine="0"/>
        <w:contextualSpacing/>
        <w:jc w:val="both"/>
        <w:rPr>
          <w:rFonts w:ascii="Verdana" w:eastAsia="Verdana" w:hAnsi="Verdana" w:cs="Verdana"/>
          <w:color w:val="000000"/>
          <w:sz w:val="20"/>
          <w:szCs w:val="20"/>
        </w:rPr>
      </w:pPr>
      <w:r w:rsidRPr="00C46EB3">
        <w:rPr>
          <w:rFonts w:ascii="Verdana" w:eastAsia="Verdana" w:hAnsi="Verdana" w:cs="Verdana"/>
          <w:color w:val="000000"/>
          <w:sz w:val="20"/>
          <w:szCs w:val="20"/>
        </w:rPr>
        <w:t>La Corte garantizó a las partes</w:t>
      </w:r>
      <w:r w:rsidR="00082C26">
        <w:rPr>
          <w:rFonts w:ascii="Verdana" w:eastAsia="Verdana" w:hAnsi="Verdana" w:cs="Verdana"/>
          <w:color w:val="000000"/>
          <w:sz w:val="20"/>
          <w:szCs w:val="20"/>
        </w:rPr>
        <w:t xml:space="preserve"> y a la Comisión</w:t>
      </w:r>
      <w:r w:rsidRPr="00C46EB3">
        <w:rPr>
          <w:rFonts w:ascii="Verdana" w:eastAsia="Verdana" w:hAnsi="Verdana" w:cs="Verdana"/>
          <w:color w:val="000000"/>
          <w:sz w:val="20"/>
          <w:szCs w:val="20"/>
        </w:rPr>
        <w:t xml:space="preserve"> el derecho de defensa respecto de los ofrecimientos probatorios opo</w:t>
      </w:r>
      <w:r>
        <w:rPr>
          <w:rFonts w:ascii="Verdana" w:eastAsia="Verdana" w:hAnsi="Verdana" w:cs="Verdana"/>
          <w:color w:val="000000"/>
          <w:sz w:val="20"/>
          <w:szCs w:val="20"/>
        </w:rPr>
        <w:t>rtunamente realizados</w:t>
      </w:r>
      <w:r w:rsidRPr="00C94849">
        <w:rPr>
          <w:rFonts w:ascii="Verdana" w:eastAsia="Verdana" w:hAnsi="Verdana" w:cs="Verdana"/>
          <w:color w:val="000000"/>
          <w:sz w:val="20"/>
          <w:szCs w:val="20"/>
        </w:rPr>
        <w:t xml:space="preserve">. </w:t>
      </w:r>
      <w:r w:rsidR="00356216">
        <w:rPr>
          <w:rFonts w:ascii="Verdana" w:eastAsia="Verdana" w:hAnsi="Verdana" w:cs="Verdana"/>
          <w:color w:val="000000"/>
          <w:sz w:val="20"/>
          <w:szCs w:val="20"/>
        </w:rPr>
        <w:t>L</w:t>
      </w:r>
      <w:r w:rsidRPr="00D17F3A">
        <w:rPr>
          <w:rFonts w:ascii="Verdana" w:eastAsia="Verdana" w:hAnsi="Verdana" w:cs="Verdana"/>
          <w:color w:val="000000"/>
          <w:sz w:val="20"/>
          <w:szCs w:val="20"/>
        </w:rPr>
        <w:t>a Comisión</w:t>
      </w:r>
      <w:r w:rsidRPr="00C94849">
        <w:rPr>
          <w:rFonts w:ascii="Verdana" w:eastAsia="Verdana" w:hAnsi="Verdana" w:cs="Verdana"/>
          <w:color w:val="000000"/>
          <w:sz w:val="20"/>
          <w:szCs w:val="20"/>
        </w:rPr>
        <w:t xml:space="preserve"> como </w:t>
      </w:r>
      <w:r w:rsidR="004C2FF2" w:rsidRPr="00C94849">
        <w:rPr>
          <w:rFonts w:ascii="Verdana" w:eastAsia="Verdana" w:hAnsi="Verdana" w:cs="Verdana"/>
          <w:color w:val="000000"/>
          <w:sz w:val="20"/>
          <w:szCs w:val="20"/>
        </w:rPr>
        <w:t xml:space="preserve">el Estado </w:t>
      </w:r>
      <w:r w:rsidRPr="00C94849">
        <w:rPr>
          <w:rFonts w:ascii="Verdana" w:eastAsia="Verdana" w:hAnsi="Verdana" w:cs="Verdana"/>
          <w:color w:val="000000"/>
          <w:sz w:val="20"/>
          <w:szCs w:val="20"/>
        </w:rPr>
        <w:t>presentaron observaciones respecto de los ofrecimientos probatorios</w:t>
      </w:r>
      <w:r w:rsidR="00FA7D3C" w:rsidRPr="00C94849">
        <w:rPr>
          <w:rFonts w:ascii="Verdana" w:eastAsia="Verdana" w:hAnsi="Verdana" w:cs="Verdana"/>
          <w:color w:val="000000"/>
          <w:sz w:val="20"/>
          <w:szCs w:val="20"/>
        </w:rPr>
        <w:t>.</w:t>
      </w:r>
      <w:r w:rsidR="00356216">
        <w:rPr>
          <w:rFonts w:ascii="Verdana" w:eastAsia="Verdana" w:hAnsi="Verdana" w:cs="Verdana"/>
          <w:color w:val="000000"/>
          <w:sz w:val="20"/>
          <w:szCs w:val="20"/>
        </w:rPr>
        <w:t xml:space="preserve"> Los representantes</w:t>
      </w:r>
      <w:r w:rsidR="00EF0470">
        <w:rPr>
          <w:rFonts w:ascii="Verdana" w:eastAsia="Verdana" w:hAnsi="Verdana" w:cs="Verdana"/>
          <w:color w:val="000000"/>
          <w:sz w:val="20"/>
          <w:szCs w:val="20"/>
        </w:rPr>
        <w:t xml:space="preserve"> presentaron sus observaciones</w:t>
      </w:r>
      <w:r w:rsidR="00356216">
        <w:rPr>
          <w:rFonts w:ascii="Verdana" w:eastAsia="Verdana" w:hAnsi="Verdana" w:cs="Verdana"/>
          <w:color w:val="000000"/>
          <w:sz w:val="20"/>
          <w:szCs w:val="20"/>
        </w:rPr>
        <w:t xml:space="preserve"> de manera extemporánea. </w:t>
      </w:r>
      <w:r w:rsidR="00356216">
        <w:rPr>
          <w:rFonts w:ascii="Verdana" w:eastAsia="Verdana" w:hAnsi="Verdana" w:cs="Verdana"/>
          <w:b/>
          <w:color w:val="000000"/>
          <w:sz w:val="16"/>
          <w:szCs w:val="16"/>
        </w:rPr>
        <w:t xml:space="preserve"> </w:t>
      </w:r>
    </w:p>
    <w:p w:rsidR="0024712C" w:rsidRPr="0024712C" w:rsidRDefault="0024712C" w:rsidP="0024712C">
      <w:pPr>
        <w:pStyle w:val="Normal1"/>
        <w:widowControl/>
        <w:contextualSpacing/>
        <w:jc w:val="both"/>
        <w:rPr>
          <w:rFonts w:ascii="Verdana" w:eastAsia="Verdana" w:hAnsi="Verdana" w:cs="Verdana"/>
          <w:b/>
          <w:color w:val="000000"/>
          <w:sz w:val="20"/>
          <w:szCs w:val="20"/>
        </w:rPr>
      </w:pPr>
    </w:p>
    <w:p w:rsidR="0064236D" w:rsidRPr="00F73CE8" w:rsidRDefault="00130130" w:rsidP="00AE0641">
      <w:pPr>
        <w:pStyle w:val="Normal1"/>
        <w:widowControl/>
        <w:numPr>
          <w:ilvl w:val="0"/>
          <w:numId w:val="3"/>
        </w:numPr>
        <w:ind w:left="0" w:firstLine="0"/>
        <w:contextualSpacing/>
        <w:jc w:val="both"/>
        <w:rPr>
          <w:rFonts w:ascii="Verdana" w:eastAsia="Verdana" w:hAnsi="Verdana" w:cs="Verdana"/>
          <w:b/>
          <w:color w:val="000000"/>
          <w:sz w:val="20"/>
          <w:szCs w:val="20"/>
        </w:rPr>
      </w:pPr>
      <w:r w:rsidRPr="00130130">
        <w:rPr>
          <w:rFonts w:ascii="Verdana" w:hAnsi="Verdana"/>
          <w:sz w:val="20"/>
          <w:szCs w:val="20"/>
        </w:rPr>
        <w:t>A continuación, el Presidente</w:t>
      </w:r>
      <w:r w:rsidR="002C4573">
        <w:rPr>
          <w:rFonts w:ascii="Verdana" w:hAnsi="Verdana"/>
          <w:sz w:val="20"/>
          <w:szCs w:val="20"/>
        </w:rPr>
        <w:t xml:space="preserve"> de la Corte (en adelante “el Presidente” o “esta Presidencia”)</w:t>
      </w:r>
      <w:r w:rsidRPr="00130130">
        <w:rPr>
          <w:rFonts w:ascii="Verdana" w:hAnsi="Verdana"/>
          <w:sz w:val="20"/>
          <w:szCs w:val="20"/>
        </w:rPr>
        <w:t xml:space="preserve"> analizará en forma particular: a)</w:t>
      </w:r>
      <w:r w:rsidR="00AE0641">
        <w:rPr>
          <w:rFonts w:ascii="Verdana" w:hAnsi="Verdana"/>
          <w:sz w:val="20"/>
          <w:szCs w:val="20"/>
        </w:rPr>
        <w:t xml:space="preserve"> </w:t>
      </w:r>
      <w:r w:rsidR="00031D6F">
        <w:rPr>
          <w:rFonts w:ascii="Verdana" w:hAnsi="Verdana"/>
          <w:sz w:val="20"/>
          <w:szCs w:val="20"/>
        </w:rPr>
        <w:t xml:space="preserve">admisibilidad de las declaraciones </w:t>
      </w:r>
      <w:r w:rsidR="00F73CE8">
        <w:rPr>
          <w:rFonts w:ascii="Verdana" w:hAnsi="Verdana"/>
          <w:sz w:val="20"/>
          <w:szCs w:val="20"/>
        </w:rPr>
        <w:t>y dictámen</w:t>
      </w:r>
      <w:r w:rsidR="00707F92">
        <w:rPr>
          <w:rFonts w:ascii="Verdana" w:hAnsi="Verdana"/>
          <w:sz w:val="20"/>
          <w:szCs w:val="20"/>
        </w:rPr>
        <w:t>e</w:t>
      </w:r>
      <w:r w:rsidR="00F73CE8">
        <w:rPr>
          <w:rFonts w:ascii="Verdana" w:hAnsi="Verdana"/>
          <w:sz w:val="20"/>
          <w:szCs w:val="20"/>
        </w:rPr>
        <w:t>s periciales ofrecido</w:t>
      </w:r>
      <w:r w:rsidR="00031D6F">
        <w:rPr>
          <w:rFonts w:ascii="Verdana" w:hAnsi="Verdana"/>
          <w:sz w:val="20"/>
          <w:szCs w:val="20"/>
        </w:rPr>
        <w:t xml:space="preserve">s </w:t>
      </w:r>
      <w:r w:rsidR="00356216">
        <w:rPr>
          <w:rFonts w:ascii="Verdana" w:hAnsi="Verdana"/>
          <w:sz w:val="20"/>
          <w:szCs w:val="20"/>
        </w:rPr>
        <w:t>por la</w:t>
      </w:r>
      <w:r w:rsidR="00AE0641">
        <w:rPr>
          <w:rFonts w:ascii="Verdana" w:hAnsi="Verdana"/>
          <w:sz w:val="20"/>
          <w:szCs w:val="20"/>
        </w:rPr>
        <w:t>s representantes; b</w:t>
      </w:r>
      <w:r w:rsidR="00031D6F">
        <w:rPr>
          <w:rFonts w:ascii="Verdana" w:hAnsi="Verdana"/>
          <w:sz w:val="20"/>
          <w:szCs w:val="20"/>
        </w:rPr>
        <w:t xml:space="preserve">) admisibilidad de las declaraciones ofrecidas por el Estado; </w:t>
      </w:r>
      <w:r w:rsidR="00AE0641">
        <w:rPr>
          <w:rFonts w:ascii="Verdana" w:hAnsi="Verdana"/>
          <w:sz w:val="20"/>
          <w:szCs w:val="20"/>
        </w:rPr>
        <w:t>c) admisibilidad</w:t>
      </w:r>
      <w:r w:rsidR="00615BD2">
        <w:rPr>
          <w:rFonts w:ascii="Verdana" w:hAnsi="Verdana"/>
          <w:sz w:val="20"/>
          <w:szCs w:val="20"/>
        </w:rPr>
        <w:t xml:space="preserve"> del traslado </w:t>
      </w:r>
      <w:r w:rsidR="00AE0641">
        <w:rPr>
          <w:rFonts w:ascii="Verdana" w:hAnsi="Verdana"/>
          <w:sz w:val="20"/>
          <w:szCs w:val="20"/>
        </w:rPr>
        <w:t xml:space="preserve">de la prueba pericial ofrecida por la Comisión Interamericana, </w:t>
      </w:r>
      <w:r w:rsidR="00B53419">
        <w:rPr>
          <w:rFonts w:ascii="Verdana" w:hAnsi="Verdana"/>
          <w:sz w:val="20"/>
          <w:szCs w:val="20"/>
        </w:rPr>
        <w:t xml:space="preserve">y </w:t>
      </w:r>
      <w:r w:rsidR="000C6179">
        <w:rPr>
          <w:rFonts w:ascii="Verdana" w:hAnsi="Verdana"/>
          <w:sz w:val="20"/>
          <w:szCs w:val="20"/>
        </w:rPr>
        <w:t>d</w:t>
      </w:r>
      <w:r w:rsidR="000B3812">
        <w:rPr>
          <w:rFonts w:ascii="Verdana" w:hAnsi="Verdana"/>
          <w:sz w:val="20"/>
          <w:szCs w:val="20"/>
        </w:rPr>
        <w:t>)</w:t>
      </w:r>
      <w:r w:rsidRPr="00F70598">
        <w:rPr>
          <w:rFonts w:ascii="Verdana" w:hAnsi="Verdana"/>
          <w:sz w:val="20"/>
          <w:szCs w:val="20"/>
        </w:rPr>
        <w:t xml:space="preserve"> aplicación del Fondo de Asistencia Legal de Víctimas ante la Corte en el caso concreto.</w:t>
      </w:r>
    </w:p>
    <w:p w:rsidR="00F73CE8" w:rsidRPr="00AE0641" w:rsidRDefault="00F73CE8" w:rsidP="00F73CE8">
      <w:pPr>
        <w:pStyle w:val="Normal1"/>
        <w:widowControl/>
        <w:contextualSpacing/>
        <w:jc w:val="both"/>
        <w:rPr>
          <w:rFonts w:ascii="Verdana" w:eastAsia="Verdana" w:hAnsi="Verdana" w:cs="Verdana"/>
          <w:b/>
          <w:color w:val="000000"/>
          <w:sz w:val="20"/>
          <w:szCs w:val="20"/>
        </w:rPr>
      </w:pPr>
    </w:p>
    <w:p w:rsidR="006860BD" w:rsidRPr="00C84C50" w:rsidRDefault="00AE0641" w:rsidP="00356216">
      <w:pPr>
        <w:spacing w:line="240" w:lineRule="auto"/>
        <w:ind w:left="720"/>
        <w:rPr>
          <w:rFonts w:ascii="Verdana" w:hAnsi="Verdana"/>
          <w:b/>
          <w:i/>
          <w:sz w:val="20"/>
          <w:szCs w:val="20"/>
          <w:lang w:val="es-CR"/>
        </w:rPr>
      </w:pPr>
      <w:r w:rsidRPr="00C84C50">
        <w:rPr>
          <w:rFonts w:ascii="Verdana" w:hAnsi="Verdana"/>
          <w:b/>
          <w:i/>
          <w:sz w:val="20"/>
          <w:szCs w:val="20"/>
          <w:lang w:val="es-CR"/>
        </w:rPr>
        <w:t>A</w:t>
      </w:r>
      <w:r w:rsidR="0037111E" w:rsidRPr="00C84C50">
        <w:rPr>
          <w:rFonts w:ascii="Verdana" w:hAnsi="Verdana"/>
          <w:b/>
          <w:i/>
          <w:sz w:val="20"/>
          <w:szCs w:val="20"/>
          <w:lang w:val="es-CR"/>
        </w:rPr>
        <w:t>.</w:t>
      </w:r>
      <w:r w:rsidR="006860BD" w:rsidRPr="00C84C50">
        <w:rPr>
          <w:rFonts w:ascii="Verdana" w:hAnsi="Verdana"/>
          <w:b/>
          <w:i/>
          <w:sz w:val="20"/>
          <w:szCs w:val="20"/>
          <w:lang w:val="es-CR"/>
        </w:rPr>
        <w:t xml:space="preserve"> </w:t>
      </w:r>
      <w:r w:rsidR="00AE6A1D" w:rsidRPr="00C84C50">
        <w:rPr>
          <w:rFonts w:ascii="Verdana" w:hAnsi="Verdana"/>
          <w:b/>
          <w:i/>
          <w:sz w:val="20"/>
          <w:szCs w:val="20"/>
          <w:lang w:val="es-CR"/>
        </w:rPr>
        <w:t>Admisibilidad de los declarantes y dictámenes periciales ofrecido</w:t>
      </w:r>
      <w:r w:rsidR="00356216">
        <w:rPr>
          <w:rFonts w:ascii="Verdana" w:hAnsi="Verdana"/>
          <w:b/>
          <w:i/>
          <w:sz w:val="20"/>
          <w:szCs w:val="20"/>
          <w:lang w:val="es-CR"/>
        </w:rPr>
        <w:t>s por l</w:t>
      </w:r>
      <w:r w:rsidR="00BE1909">
        <w:rPr>
          <w:rFonts w:ascii="Verdana" w:hAnsi="Verdana"/>
          <w:b/>
          <w:i/>
          <w:sz w:val="20"/>
          <w:szCs w:val="20"/>
          <w:lang w:val="es-CR"/>
        </w:rPr>
        <w:t>o</w:t>
      </w:r>
      <w:r w:rsidR="006860BD" w:rsidRPr="00C84C50">
        <w:rPr>
          <w:rFonts w:ascii="Verdana" w:hAnsi="Verdana"/>
          <w:b/>
          <w:i/>
          <w:sz w:val="20"/>
          <w:szCs w:val="20"/>
          <w:lang w:val="es-CR"/>
        </w:rPr>
        <w:t>s representantes</w:t>
      </w:r>
    </w:p>
    <w:p w:rsidR="006860BD" w:rsidRPr="00C84C50" w:rsidRDefault="00AE6A1D" w:rsidP="0033670D">
      <w:pPr>
        <w:spacing w:line="240" w:lineRule="auto"/>
        <w:rPr>
          <w:rFonts w:ascii="Verdana" w:hAnsi="Verdana"/>
          <w:i/>
          <w:sz w:val="20"/>
          <w:szCs w:val="20"/>
          <w:lang w:val="es-CR"/>
        </w:rPr>
      </w:pPr>
      <w:r w:rsidRPr="00C84C50">
        <w:rPr>
          <w:rFonts w:ascii="Verdana" w:hAnsi="Verdana"/>
          <w:i/>
          <w:sz w:val="20"/>
          <w:szCs w:val="20"/>
          <w:lang w:val="es-CR"/>
        </w:rPr>
        <w:t>A</w:t>
      </w:r>
      <w:r w:rsidR="00AE0641" w:rsidRPr="00C84C50">
        <w:rPr>
          <w:rFonts w:ascii="Verdana" w:hAnsi="Verdana"/>
          <w:i/>
          <w:sz w:val="20"/>
          <w:szCs w:val="20"/>
          <w:lang w:val="es-CR"/>
        </w:rPr>
        <w:t>.1) Admisibilidad de los declarantes ofrecid</w:t>
      </w:r>
      <w:r w:rsidRPr="00C84C50">
        <w:rPr>
          <w:rFonts w:ascii="Verdana" w:hAnsi="Verdana"/>
          <w:i/>
          <w:sz w:val="20"/>
          <w:szCs w:val="20"/>
          <w:lang w:val="es-CR"/>
        </w:rPr>
        <w:t>o</w:t>
      </w:r>
      <w:r w:rsidR="0033670D" w:rsidRPr="00C84C50">
        <w:rPr>
          <w:rFonts w:ascii="Verdana" w:hAnsi="Verdana"/>
          <w:i/>
          <w:sz w:val="20"/>
          <w:szCs w:val="20"/>
          <w:lang w:val="es-CR"/>
        </w:rPr>
        <w:t>s por los representantes</w:t>
      </w:r>
    </w:p>
    <w:p w:rsidR="006860BD" w:rsidRPr="00A85A23" w:rsidRDefault="0033670D" w:rsidP="0088736E">
      <w:pPr>
        <w:pStyle w:val="Normal1"/>
        <w:numPr>
          <w:ilvl w:val="0"/>
          <w:numId w:val="3"/>
        </w:numPr>
        <w:ind w:left="0" w:firstLine="0"/>
        <w:contextualSpacing/>
        <w:jc w:val="both"/>
        <w:rPr>
          <w:rFonts w:ascii="Verdana" w:hAnsi="Verdana"/>
          <w:sz w:val="20"/>
          <w:szCs w:val="20"/>
        </w:rPr>
      </w:pPr>
      <w:r w:rsidRPr="00A85A23">
        <w:rPr>
          <w:rFonts w:ascii="Verdana" w:hAnsi="Verdana"/>
          <w:sz w:val="20"/>
          <w:szCs w:val="20"/>
        </w:rPr>
        <w:t xml:space="preserve">Los </w:t>
      </w:r>
      <w:r w:rsidRPr="00A85A23">
        <w:rPr>
          <w:rFonts w:ascii="Verdana" w:hAnsi="Verdana"/>
          <w:b/>
          <w:i/>
          <w:sz w:val="20"/>
          <w:szCs w:val="20"/>
        </w:rPr>
        <w:t>representantes</w:t>
      </w:r>
      <w:r w:rsidRPr="00A85A23">
        <w:rPr>
          <w:rFonts w:ascii="Verdana" w:hAnsi="Verdana"/>
          <w:sz w:val="20"/>
          <w:szCs w:val="20"/>
        </w:rPr>
        <w:t xml:space="preserve"> en su escr</w:t>
      </w:r>
      <w:r w:rsidR="007A6929" w:rsidRPr="00A85A23">
        <w:rPr>
          <w:rFonts w:ascii="Verdana" w:hAnsi="Verdana"/>
          <w:sz w:val="20"/>
          <w:szCs w:val="20"/>
        </w:rPr>
        <w:t>ito de solicitudes y argumentos y en su lista definitiva</w:t>
      </w:r>
      <w:r w:rsidRPr="00A85A23">
        <w:rPr>
          <w:rFonts w:ascii="Verdana" w:hAnsi="Verdana"/>
          <w:sz w:val="20"/>
          <w:szCs w:val="20"/>
        </w:rPr>
        <w:t xml:space="preserve"> ofrecieron</w:t>
      </w:r>
      <w:r w:rsidR="00E81E5D" w:rsidRPr="00A85A23">
        <w:rPr>
          <w:rFonts w:ascii="Verdana" w:hAnsi="Verdana"/>
          <w:sz w:val="20"/>
          <w:szCs w:val="20"/>
        </w:rPr>
        <w:t xml:space="preserve"> la</w:t>
      </w:r>
      <w:r w:rsidR="00176EE6" w:rsidRPr="00A85A23">
        <w:rPr>
          <w:rFonts w:ascii="Verdana" w:hAnsi="Verdana"/>
          <w:sz w:val="20"/>
          <w:szCs w:val="20"/>
        </w:rPr>
        <w:t>s</w:t>
      </w:r>
      <w:r w:rsidR="00E81E5D" w:rsidRPr="00A85A23">
        <w:rPr>
          <w:rFonts w:ascii="Verdana" w:hAnsi="Verdana"/>
          <w:sz w:val="20"/>
          <w:szCs w:val="20"/>
        </w:rPr>
        <w:t xml:space="preserve"> </w:t>
      </w:r>
      <w:r w:rsidR="00176EE6" w:rsidRPr="00A85A23">
        <w:rPr>
          <w:rFonts w:ascii="Verdana" w:hAnsi="Verdana"/>
          <w:sz w:val="20"/>
          <w:szCs w:val="20"/>
        </w:rPr>
        <w:t>declaraciones</w:t>
      </w:r>
      <w:r w:rsidR="00E81E5D" w:rsidRPr="00A85A23">
        <w:rPr>
          <w:rFonts w:ascii="Verdana" w:hAnsi="Verdana"/>
          <w:sz w:val="20"/>
          <w:szCs w:val="20"/>
        </w:rPr>
        <w:t xml:space="preserve"> de </w:t>
      </w:r>
      <w:r w:rsidR="00AE0641" w:rsidRPr="00A85A23">
        <w:rPr>
          <w:rFonts w:ascii="Verdana" w:hAnsi="Verdana"/>
          <w:sz w:val="20"/>
          <w:szCs w:val="20"/>
        </w:rPr>
        <w:t>seis</w:t>
      </w:r>
      <w:r w:rsidR="00E81E5D" w:rsidRPr="00A85A23">
        <w:rPr>
          <w:rFonts w:ascii="Verdana" w:hAnsi="Verdana"/>
          <w:sz w:val="20"/>
          <w:szCs w:val="20"/>
        </w:rPr>
        <w:t xml:space="preserve"> familiares</w:t>
      </w:r>
      <w:r w:rsidR="00524758" w:rsidRPr="00A85A23">
        <w:rPr>
          <w:rFonts w:ascii="Verdana" w:hAnsi="Verdana"/>
          <w:sz w:val="20"/>
          <w:szCs w:val="20"/>
        </w:rPr>
        <w:t xml:space="preserve"> del</w:t>
      </w:r>
      <w:r w:rsidR="00E81E5D" w:rsidRPr="00A85A23">
        <w:rPr>
          <w:rFonts w:ascii="Verdana" w:hAnsi="Verdana"/>
          <w:sz w:val="20"/>
          <w:szCs w:val="20"/>
        </w:rPr>
        <w:t xml:space="preserve"> señor Tirso Román Valenzuela Ávila</w:t>
      </w:r>
      <w:r w:rsidR="00DB1BE9" w:rsidRPr="00A85A23">
        <w:rPr>
          <w:rFonts w:ascii="Verdana" w:hAnsi="Verdana"/>
          <w:sz w:val="20"/>
          <w:szCs w:val="20"/>
        </w:rPr>
        <w:t>:</w:t>
      </w:r>
      <w:r w:rsidRPr="00A85A23">
        <w:rPr>
          <w:rFonts w:ascii="Verdana" w:hAnsi="Verdana"/>
          <w:sz w:val="20"/>
          <w:szCs w:val="20"/>
        </w:rPr>
        <w:t xml:space="preserve"> </w:t>
      </w:r>
      <w:r w:rsidR="00356216" w:rsidRPr="00A85A23">
        <w:rPr>
          <w:rFonts w:ascii="Verdana" w:hAnsi="Verdana"/>
          <w:sz w:val="20"/>
          <w:szCs w:val="20"/>
        </w:rPr>
        <w:t>las señoras Florinda López de López</w:t>
      </w:r>
      <w:r w:rsidR="00356216" w:rsidRPr="00C84C50">
        <w:rPr>
          <w:rStyle w:val="FootnoteReference"/>
          <w:rFonts w:ascii="Verdana" w:hAnsi="Verdana"/>
          <w:sz w:val="20"/>
          <w:szCs w:val="20"/>
        </w:rPr>
        <w:footnoteReference w:id="2"/>
      </w:r>
      <w:r w:rsidR="00082C26">
        <w:rPr>
          <w:rFonts w:ascii="Verdana" w:hAnsi="Verdana"/>
          <w:sz w:val="20"/>
          <w:szCs w:val="20"/>
        </w:rPr>
        <w:t xml:space="preserve">, </w:t>
      </w:r>
      <w:proofErr w:type="spellStart"/>
      <w:r w:rsidR="00082C26">
        <w:rPr>
          <w:rFonts w:ascii="Verdana" w:hAnsi="Verdana"/>
          <w:sz w:val="20"/>
          <w:szCs w:val="20"/>
        </w:rPr>
        <w:t>Ludim</w:t>
      </w:r>
      <w:proofErr w:type="spellEnd"/>
      <w:r w:rsidR="00082C26">
        <w:rPr>
          <w:rFonts w:ascii="Verdana" w:hAnsi="Verdana"/>
          <w:sz w:val="20"/>
          <w:szCs w:val="20"/>
        </w:rPr>
        <w:t xml:space="preserve"> Azucena Ruí</w:t>
      </w:r>
      <w:r w:rsidR="00356216" w:rsidRPr="00A85A23">
        <w:rPr>
          <w:rFonts w:ascii="Verdana" w:hAnsi="Verdana"/>
          <w:sz w:val="20"/>
          <w:szCs w:val="20"/>
        </w:rPr>
        <w:t>z López</w:t>
      </w:r>
      <w:r w:rsidR="00356216" w:rsidRPr="00011001">
        <w:rPr>
          <w:rStyle w:val="FootnoteReference"/>
          <w:rFonts w:ascii="Verdana" w:hAnsi="Verdana"/>
          <w:sz w:val="20"/>
          <w:szCs w:val="20"/>
        </w:rPr>
        <w:footnoteReference w:id="3"/>
      </w:r>
      <w:r w:rsidR="00356216" w:rsidRPr="00A85A23">
        <w:rPr>
          <w:rFonts w:ascii="Verdana" w:hAnsi="Verdana"/>
          <w:sz w:val="20"/>
          <w:szCs w:val="20"/>
        </w:rPr>
        <w:t xml:space="preserve"> y Rosa María Mendoza López</w:t>
      </w:r>
      <w:r w:rsidR="00356216" w:rsidRPr="00011001">
        <w:rPr>
          <w:rStyle w:val="FootnoteReference"/>
          <w:rFonts w:ascii="Verdana" w:hAnsi="Verdana"/>
          <w:sz w:val="20"/>
          <w:szCs w:val="20"/>
        </w:rPr>
        <w:footnoteReference w:id="4"/>
      </w:r>
      <w:r w:rsidR="00356216" w:rsidRPr="00A85A23">
        <w:rPr>
          <w:rFonts w:ascii="Verdana" w:hAnsi="Verdana"/>
          <w:sz w:val="20"/>
          <w:szCs w:val="20"/>
        </w:rPr>
        <w:t xml:space="preserve"> y </w:t>
      </w:r>
      <w:r w:rsidR="001664B6" w:rsidRPr="00A85A23">
        <w:rPr>
          <w:rFonts w:ascii="Verdana" w:hAnsi="Verdana"/>
          <w:sz w:val="20"/>
          <w:szCs w:val="20"/>
        </w:rPr>
        <w:t>los s</w:t>
      </w:r>
      <w:r w:rsidR="00082C26">
        <w:rPr>
          <w:rFonts w:ascii="Verdana" w:hAnsi="Verdana"/>
          <w:sz w:val="20"/>
          <w:szCs w:val="20"/>
        </w:rPr>
        <w:t>eñores Jorge Luis Valenzuela Ruí</w:t>
      </w:r>
      <w:r w:rsidR="001664B6" w:rsidRPr="00A85A23">
        <w:rPr>
          <w:rFonts w:ascii="Verdana" w:hAnsi="Verdana"/>
          <w:sz w:val="20"/>
          <w:szCs w:val="20"/>
        </w:rPr>
        <w:t>z</w:t>
      </w:r>
      <w:r w:rsidR="000C54A3">
        <w:rPr>
          <w:rStyle w:val="FootnoteReference"/>
          <w:rFonts w:ascii="Verdana" w:hAnsi="Verdana"/>
          <w:sz w:val="20"/>
          <w:szCs w:val="20"/>
        </w:rPr>
        <w:footnoteReference w:id="5"/>
      </w:r>
      <w:r w:rsidR="001664B6" w:rsidRPr="00A85A23">
        <w:rPr>
          <w:rFonts w:ascii="Verdana" w:hAnsi="Verdana"/>
          <w:sz w:val="20"/>
          <w:szCs w:val="20"/>
        </w:rPr>
        <w:t xml:space="preserve">, Luis Fernando </w:t>
      </w:r>
      <w:r w:rsidR="00082C26">
        <w:rPr>
          <w:rFonts w:ascii="Verdana" w:hAnsi="Verdana"/>
          <w:sz w:val="20"/>
          <w:szCs w:val="20"/>
        </w:rPr>
        <w:t>Valenzuela Ruí</w:t>
      </w:r>
      <w:r w:rsidR="001664B6" w:rsidRPr="00A85A23">
        <w:rPr>
          <w:rFonts w:ascii="Verdana" w:hAnsi="Verdana"/>
          <w:sz w:val="20"/>
          <w:szCs w:val="20"/>
        </w:rPr>
        <w:t>z</w:t>
      </w:r>
      <w:r w:rsidR="000C54A3">
        <w:rPr>
          <w:rStyle w:val="FootnoteReference"/>
          <w:rFonts w:ascii="Verdana" w:hAnsi="Verdana"/>
          <w:sz w:val="20"/>
          <w:szCs w:val="20"/>
        </w:rPr>
        <w:footnoteReference w:id="6"/>
      </w:r>
      <w:r w:rsidR="00DB1BE9" w:rsidRPr="00A85A23">
        <w:rPr>
          <w:rFonts w:ascii="Verdana" w:hAnsi="Verdana"/>
          <w:sz w:val="20"/>
          <w:szCs w:val="20"/>
        </w:rPr>
        <w:t xml:space="preserve"> y</w:t>
      </w:r>
      <w:r w:rsidR="00082C26">
        <w:rPr>
          <w:rFonts w:ascii="Verdana" w:hAnsi="Verdana"/>
          <w:sz w:val="20"/>
          <w:szCs w:val="20"/>
        </w:rPr>
        <w:t xml:space="preserve"> </w:t>
      </w:r>
      <w:r w:rsidR="00082C26">
        <w:rPr>
          <w:rFonts w:ascii="Verdana" w:hAnsi="Verdana"/>
          <w:sz w:val="20"/>
          <w:szCs w:val="20"/>
        </w:rPr>
        <w:lastRenderedPageBreak/>
        <w:t>Tirso Román Valenzuela Ruí</w:t>
      </w:r>
      <w:r w:rsidR="001664B6" w:rsidRPr="00A85A23">
        <w:rPr>
          <w:rFonts w:ascii="Verdana" w:hAnsi="Verdana"/>
          <w:sz w:val="20"/>
          <w:szCs w:val="20"/>
        </w:rPr>
        <w:t>z</w:t>
      </w:r>
      <w:r w:rsidR="00495347" w:rsidRPr="00C84C50">
        <w:rPr>
          <w:rStyle w:val="FootnoteReference"/>
          <w:rFonts w:ascii="Verdana" w:hAnsi="Verdana"/>
          <w:sz w:val="20"/>
          <w:szCs w:val="20"/>
        </w:rPr>
        <w:footnoteReference w:id="7"/>
      </w:r>
      <w:r w:rsidR="00A85A23" w:rsidRPr="00A85A23">
        <w:rPr>
          <w:rFonts w:ascii="Verdana" w:hAnsi="Verdana"/>
          <w:sz w:val="20"/>
          <w:szCs w:val="20"/>
        </w:rPr>
        <w:t>.</w:t>
      </w:r>
      <w:r w:rsidR="001664B6" w:rsidRPr="00A85A23">
        <w:rPr>
          <w:rFonts w:ascii="Verdana" w:hAnsi="Verdana"/>
          <w:sz w:val="20"/>
          <w:szCs w:val="20"/>
        </w:rPr>
        <w:t xml:space="preserve"> </w:t>
      </w:r>
      <w:r w:rsidRPr="00A85A23">
        <w:rPr>
          <w:rFonts w:ascii="Verdana" w:hAnsi="Verdana"/>
          <w:sz w:val="20"/>
          <w:szCs w:val="20"/>
        </w:rPr>
        <w:t xml:space="preserve">También ofrecieron </w:t>
      </w:r>
      <w:r w:rsidR="00E81E5D" w:rsidRPr="00A85A23">
        <w:rPr>
          <w:rFonts w:ascii="Verdana" w:hAnsi="Verdana"/>
          <w:sz w:val="20"/>
          <w:szCs w:val="20"/>
        </w:rPr>
        <w:t xml:space="preserve">las declaraciones testimoniales de </w:t>
      </w:r>
      <w:r w:rsidR="000D6ECE" w:rsidRPr="00A85A23">
        <w:rPr>
          <w:rFonts w:ascii="Verdana" w:hAnsi="Verdana"/>
          <w:sz w:val="20"/>
          <w:szCs w:val="20"/>
        </w:rPr>
        <w:t xml:space="preserve">los señores </w:t>
      </w:r>
      <w:r w:rsidRPr="00A85A23">
        <w:rPr>
          <w:rFonts w:ascii="Verdana" w:hAnsi="Verdana"/>
          <w:sz w:val="20"/>
          <w:szCs w:val="20"/>
        </w:rPr>
        <w:t>Edgardo Enrique Enríquez Cabrera</w:t>
      </w:r>
      <w:r w:rsidR="005462D8" w:rsidRPr="00C84C50">
        <w:rPr>
          <w:rStyle w:val="FootnoteReference"/>
          <w:rFonts w:ascii="Verdana" w:hAnsi="Verdana"/>
          <w:sz w:val="20"/>
          <w:szCs w:val="20"/>
        </w:rPr>
        <w:footnoteReference w:id="8"/>
      </w:r>
      <w:r w:rsidRPr="00A85A23">
        <w:rPr>
          <w:rFonts w:ascii="Verdana" w:hAnsi="Verdana"/>
          <w:sz w:val="20"/>
          <w:szCs w:val="20"/>
        </w:rPr>
        <w:t>, Gerónimo Chales</w:t>
      </w:r>
      <w:r w:rsidR="002D2B32" w:rsidRPr="00C84C50">
        <w:rPr>
          <w:rStyle w:val="FootnoteReference"/>
          <w:rFonts w:ascii="Verdana" w:hAnsi="Verdana"/>
          <w:sz w:val="20"/>
          <w:szCs w:val="20"/>
        </w:rPr>
        <w:footnoteReference w:id="9"/>
      </w:r>
      <w:r w:rsidR="00997859" w:rsidRPr="00A85A23">
        <w:rPr>
          <w:rFonts w:ascii="Verdana" w:hAnsi="Verdana"/>
          <w:sz w:val="20"/>
          <w:szCs w:val="20"/>
        </w:rPr>
        <w:t xml:space="preserve">, </w:t>
      </w:r>
      <w:r w:rsidR="00082C26">
        <w:rPr>
          <w:rFonts w:ascii="Verdana" w:hAnsi="Verdana"/>
          <w:sz w:val="20"/>
          <w:szCs w:val="20"/>
        </w:rPr>
        <w:t>Saulo Ruí</w:t>
      </w:r>
      <w:r w:rsidRPr="00A85A23">
        <w:rPr>
          <w:rFonts w:ascii="Verdana" w:hAnsi="Verdana"/>
          <w:sz w:val="20"/>
          <w:szCs w:val="20"/>
        </w:rPr>
        <w:t>z López</w:t>
      </w:r>
      <w:r w:rsidR="002D2B32" w:rsidRPr="00C84C50">
        <w:rPr>
          <w:rStyle w:val="FootnoteReference"/>
          <w:rFonts w:ascii="Verdana" w:hAnsi="Verdana"/>
          <w:sz w:val="20"/>
          <w:szCs w:val="20"/>
        </w:rPr>
        <w:footnoteReference w:id="10"/>
      </w:r>
      <w:r w:rsidR="00997859" w:rsidRPr="00A85A23">
        <w:rPr>
          <w:rFonts w:ascii="Verdana" w:hAnsi="Verdana"/>
          <w:sz w:val="20"/>
          <w:szCs w:val="20"/>
        </w:rPr>
        <w:t xml:space="preserve"> y de la señora Karla Villagrán</w:t>
      </w:r>
      <w:r w:rsidR="00997859" w:rsidRPr="00C84C50">
        <w:rPr>
          <w:rStyle w:val="FootnoteReference"/>
          <w:rFonts w:ascii="Verdana" w:hAnsi="Verdana"/>
          <w:sz w:val="20"/>
          <w:szCs w:val="20"/>
        </w:rPr>
        <w:footnoteReference w:id="11"/>
      </w:r>
      <w:r w:rsidR="007A6929" w:rsidRPr="00A85A23">
        <w:rPr>
          <w:rFonts w:ascii="Verdana" w:hAnsi="Verdana"/>
          <w:sz w:val="20"/>
          <w:szCs w:val="20"/>
        </w:rPr>
        <w:t>. No obstante</w:t>
      </w:r>
      <w:r w:rsidR="00997859" w:rsidRPr="00A85A23">
        <w:rPr>
          <w:rFonts w:ascii="Verdana" w:hAnsi="Verdana"/>
          <w:sz w:val="20"/>
          <w:szCs w:val="20"/>
        </w:rPr>
        <w:t xml:space="preserve"> lo anterior</w:t>
      </w:r>
      <w:r w:rsidR="007A6929" w:rsidRPr="00A85A23">
        <w:rPr>
          <w:rFonts w:ascii="Verdana" w:hAnsi="Verdana"/>
          <w:sz w:val="20"/>
          <w:szCs w:val="20"/>
        </w:rPr>
        <w:t xml:space="preserve">, los representantes en su lista definitiva no incluyeron </w:t>
      </w:r>
      <w:r w:rsidR="000D6ECE" w:rsidRPr="00A85A23">
        <w:rPr>
          <w:rFonts w:ascii="Verdana" w:hAnsi="Verdana"/>
          <w:sz w:val="20"/>
          <w:szCs w:val="20"/>
        </w:rPr>
        <w:t>como declarante</w:t>
      </w:r>
      <w:r w:rsidR="00997859" w:rsidRPr="00A85A23">
        <w:rPr>
          <w:rFonts w:ascii="Verdana" w:hAnsi="Verdana"/>
          <w:sz w:val="20"/>
          <w:szCs w:val="20"/>
        </w:rPr>
        <w:t xml:space="preserve"> a la</w:t>
      </w:r>
      <w:r w:rsidR="000D6ECE" w:rsidRPr="00A85A23">
        <w:rPr>
          <w:rFonts w:ascii="Verdana" w:hAnsi="Verdana"/>
          <w:sz w:val="20"/>
          <w:szCs w:val="20"/>
        </w:rPr>
        <w:t xml:space="preserve"> señora</w:t>
      </w:r>
      <w:r w:rsidR="00997859" w:rsidRPr="00A85A23">
        <w:rPr>
          <w:rFonts w:ascii="Verdana" w:hAnsi="Verdana"/>
          <w:sz w:val="20"/>
          <w:szCs w:val="20"/>
        </w:rPr>
        <w:t xml:space="preserve"> Karla Villagrán. Adicionalmente, en su lista definitiva</w:t>
      </w:r>
      <w:r w:rsidR="000D6ECE" w:rsidRPr="00A85A23">
        <w:rPr>
          <w:rFonts w:ascii="Verdana" w:hAnsi="Verdana"/>
          <w:sz w:val="20"/>
          <w:szCs w:val="20"/>
        </w:rPr>
        <w:t xml:space="preserve"> ofrecieron</w:t>
      </w:r>
      <w:r w:rsidR="00753FB4" w:rsidRPr="00A85A23">
        <w:rPr>
          <w:rFonts w:ascii="Verdana" w:hAnsi="Verdana"/>
          <w:sz w:val="20"/>
          <w:szCs w:val="20"/>
        </w:rPr>
        <w:t>,</w:t>
      </w:r>
      <w:r w:rsidR="000D6ECE" w:rsidRPr="00A85A23">
        <w:rPr>
          <w:rFonts w:ascii="Verdana" w:hAnsi="Verdana"/>
          <w:sz w:val="20"/>
          <w:szCs w:val="20"/>
        </w:rPr>
        <w:t xml:space="preserve"> por primera vez</w:t>
      </w:r>
      <w:r w:rsidR="00753FB4" w:rsidRPr="00A85A23">
        <w:rPr>
          <w:rFonts w:ascii="Verdana" w:hAnsi="Verdana"/>
          <w:sz w:val="20"/>
          <w:szCs w:val="20"/>
        </w:rPr>
        <w:t>,</w:t>
      </w:r>
      <w:r w:rsidR="000D6ECE" w:rsidRPr="00A85A23">
        <w:rPr>
          <w:rFonts w:ascii="Verdana" w:hAnsi="Verdana"/>
          <w:sz w:val="20"/>
          <w:szCs w:val="20"/>
        </w:rPr>
        <w:t xml:space="preserve"> como declarante a la señora Claudia Virginia Samayoa Pineda</w:t>
      </w:r>
      <w:r w:rsidR="007A6929" w:rsidRPr="00A85A23">
        <w:rPr>
          <w:rFonts w:ascii="Verdana" w:hAnsi="Verdana"/>
          <w:sz w:val="20"/>
          <w:szCs w:val="20"/>
        </w:rPr>
        <w:t>.</w:t>
      </w:r>
      <w:r w:rsidRPr="00A85A23">
        <w:rPr>
          <w:rFonts w:ascii="Verdana" w:hAnsi="Verdana"/>
          <w:sz w:val="20"/>
          <w:szCs w:val="20"/>
        </w:rPr>
        <w:t xml:space="preserve"> </w:t>
      </w:r>
    </w:p>
    <w:p w:rsidR="00A85A23" w:rsidRPr="00A85A23" w:rsidRDefault="00A85A23" w:rsidP="00A85A23">
      <w:pPr>
        <w:pStyle w:val="Normal1"/>
        <w:contextualSpacing/>
        <w:jc w:val="both"/>
        <w:rPr>
          <w:rFonts w:ascii="Verdana" w:hAnsi="Verdana"/>
          <w:sz w:val="20"/>
          <w:szCs w:val="20"/>
        </w:rPr>
      </w:pPr>
    </w:p>
    <w:p w:rsidR="009F53DA" w:rsidRPr="00017347" w:rsidRDefault="009F53DA" w:rsidP="00594333">
      <w:pPr>
        <w:pStyle w:val="Normal1"/>
        <w:numPr>
          <w:ilvl w:val="0"/>
          <w:numId w:val="3"/>
        </w:numPr>
        <w:ind w:left="0" w:firstLine="0"/>
        <w:contextualSpacing/>
        <w:jc w:val="both"/>
        <w:rPr>
          <w:rFonts w:ascii="Verdana" w:hAnsi="Verdana"/>
          <w:sz w:val="20"/>
          <w:szCs w:val="20"/>
        </w:rPr>
      </w:pPr>
      <w:r w:rsidRPr="009F53DA">
        <w:rPr>
          <w:rFonts w:ascii="Verdana" w:hAnsi="Verdana"/>
          <w:sz w:val="20"/>
          <w:szCs w:val="20"/>
        </w:rPr>
        <w:t xml:space="preserve">Respecto de las declaraciones de Florinda </w:t>
      </w:r>
      <w:r w:rsidR="00082C26">
        <w:rPr>
          <w:rFonts w:ascii="Verdana" w:hAnsi="Verdana"/>
          <w:sz w:val="20"/>
          <w:szCs w:val="20"/>
        </w:rPr>
        <w:t xml:space="preserve">López de López, </w:t>
      </w:r>
      <w:proofErr w:type="spellStart"/>
      <w:r w:rsidR="00082C26">
        <w:rPr>
          <w:rFonts w:ascii="Verdana" w:hAnsi="Verdana"/>
          <w:sz w:val="20"/>
          <w:szCs w:val="20"/>
        </w:rPr>
        <w:t>Ludim</w:t>
      </w:r>
      <w:proofErr w:type="spellEnd"/>
      <w:r w:rsidR="00082C26">
        <w:rPr>
          <w:rFonts w:ascii="Verdana" w:hAnsi="Verdana"/>
          <w:sz w:val="20"/>
          <w:szCs w:val="20"/>
        </w:rPr>
        <w:t xml:space="preserve"> Azucen Ruí</w:t>
      </w:r>
      <w:r w:rsidRPr="009F53DA">
        <w:rPr>
          <w:rFonts w:ascii="Verdana" w:hAnsi="Verdana"/>
          <w:sz w:val="20"/>
          <w:szCs w:val="20"/>
        </w:rPr>
        <w:t>z López, Ros</w:t>
      </w:r>
      <w:r w:rsidR="00082C26">
        <w:rPr>
          <w:rFonts w:ascii="Verdana" w:hAnsi="Verdana"/>
          <w:sz w:val="20"/>
          <w:szCs w:val="20"/>
        </w:rPr>
        <w:t>a María Mendoza López, Saulo Ruí</w:t>
      </w:r>
      <w:r w:rsidRPr="009F53DA">
        <w:rPr>
          <w:rFonts w:ascii="Verdana" w:hAnsi="Verdana"/>
          <w:sz w:val="20"/>
          <w:szCs w:val="20"/>
        </w:rPr>
        <w:t>z López, Jorge Luis Valenzuela Ru</w:t>
      </w:r>
      <w:r w:rsidR="00082C26">
        <w:rPr>
          <w:rFonts w:ascii="Verdana" w:hAnsi="Verdana"/>
          <w:sz w:val="20"/>
          <w:szCs w:val="20"/>
        </w:rPr>
        <w:t>iz, Luis Fernando Valenzuela Ruíz y Tirso Román Valenzuela Ruí</w:t>
      </w:r>
      <w:r w:rsidRPr="009F53DA">
        <w:rPr>
          <w:rFonts w:ascii="Verdana" w:hAnsi="Verdana"/>
          <w:sz w:val="20"/>
          <w:szCs w:val="20"/>
        </w:rPr>
        <w:t>z</w:t>
      </w:r>
      <w:r w:rsidR="0088736E" w:rsidRPr="009F53DA">
        <w:rPr>
          <w:rFonts w:ascii="Verdana" w:hAnsi="Verdana"/>
          <w:sz w:val="20"/>
          <w:szCs w:val="20"/>
        </w:rPr>
        <w:t xml:space="preserve">, </w:t>
      </w:r>
      <w:r w:rsidRPr="009F53DA">
        <w:rPr>
          <w:rFonts w:ascii="Verdana" w:hAnsi="Verdana"/>
          <w:sz w:val="20"/>
          <w:szCs w:val="20"/>
        </w:rPr>
        <w:t>el Estado solicitó a la Corte que sean descartadas, toda vez que ninguna de estas personas fue identificada como víctima dentro del Informe de Fondo e intentan incluir hechos nuevos a través de declaraciones en cuanto a supuestas amenazas y hostigamientos que pudieran haber sufrido, hechos que no forman parte del Informe de Fondo.</w:t>
      </w:r>
      <w:r w:rsidR="00017347">
        <w:rPr>
          <w:rFonts w:ascii="Verdana" w:hAnsi="Verdana"/>
          <w:sz w:val="20"/>
          <w:szCs w:val="20"/>
        </w:rPr>
        <w:t xml:space="preserve"> Adicionalmente, respecto a Florinda López de López y </w:t>
      </w:r>
      <w:proofErr w:type="spellStart"/>
      <w:r w:rsidR="00017347">
        <w:rPr>
          <w:rFonts w:ascii="Verdana" w:hAnsi="Verdana"/>
          <w:sz w:val="20"/>
          <w:szCs w:val="20"/>
        </w:rPr>
        <w:t>Ludim</w:t>
      </w:r>
      <w:proofErr w:type="spellEnd"/>
      <w:r w:rsidR="00017347">
        <w:rPr>
          <w:rFonts w:ascii="Verdana" w:hAnsi="Verdana"/>
          <w:sz w:val="20"/>
          <w:szCs w:val="20"/>
        </w:rPr>
        <w:t xml:space="preserve"> Azuc</w:t>
      </w:r>
      <w:r w:rsidR="00082C26">
        <w:rPr>
          <w:rFonts w:ascii="Verdana" w:hAnsi="Verdana"/>
          <w:sz w:val="20"/>
          <w:szCs w:val="20"/>
        </w:rPr>
        <w:t>ena Ruiz López, el Estado señaló</w:t>
      </w:r>
      <w:r w:rsidR="00017347">
        <w:rPr>
          <w:rFonts w:ascii="Verdana" w:hAnsi="Verdana"/>
          <w:sz w:val="20"/>
          <w:szCs w:val="20"/>
        </w:rPr>
        <w:t xml:space="preserve"> que los representantes acreditaron el parentesco de las declarantes en forma extemporánea.</w:t>
      </w:r>
      <w:r w:rsidRPr="009F53DA">
        <w:rPr>
          <w:rFonts w:ascii="Verdana" w:hAnsi="Verdana"/>
          <w:sz w:val="20"/>
          <w:szCs w:val="20"/>
        </w:rPr>
        <w:t xml:space="preserve"> </w:t>
      </w:r>
      <w:r w:rsidR="00082C26">
        <w:rPr>
          <w:rFonts w:ascii="Verdana" w:hAnsi="Verdana"/>
          <w:sz w:val="20"/>
          <w:szCs w:val="20"/>
        </w:rPr>
        <w:t>Ante esto, alegó</w:t>
      </w:r>
      <w:r w:rsidR="00C463AE">
        <w:rPr>
          <w:rFonts w:ascii="Verdana" w:hAnsi="Verdana"/>
          <w:sz w:val="20"/>
          <w:szCs w:val="20"/>
        </w:rPr>
        <w:t xml:space="preserve"> que </w:t>
      </w:r>
      <w:r w:rsidRPr="009F53DA">
        <w:rPr>
          <w:rFonts w:ascii="Verdana" w:hAnsi="Verdana"/>
          <w:sz w:val="20"/>
          <w:szCs w:val="20"/>
        </w:rPr>
        <w:t>estos declarantes carecen de i</w:t>
      </w:r>
      <w:r w:rsidR="00A85A23">
        <w:rPr>
          <w:rFonts w:ascii="Verdana" w:hAnsi="Verdana"/>
          <w:sz w:val="20"/>
          <w:szCs w:val="20"/>
        </w:rPr>
        <w:t>doneidad y deben ser rechazados.</w:t>
      </w:r>
    </w:p>
    <w:p w:rsidR="00017347" w:rsidRDefault="00017347" w:rsidP="00017347">
      <w:pPr>
        <w:pStyle w:val="Normal1"/>
        <w:contextualSpacing/>
        <w:jc w:val="both"/>
        <w:rPr>
          <w:rFonts w:ascii="Verdana" w:hAnsi="Verdana"/>
          <w:sz w:val="20"/>
          <w:szCs w:val="20"/>
        </w:rPr>
      </w:pPr>
    </w:p>
    <w:p w:rsidR="00A85A23" w:rsidRDefault="00017347" w:rsidP="00A85A23">
      <w:pPr>
        <w:pStyle w:val="Normal1"/>
        <w:numPr>
          <w:ilvl w:val="0"/>
          <w:numId w:val="3"/>
        </w:numPr>
        <w:ind w:left="0" w:firstLine="0"/>
        <w:contextualSpacing/>
        <w:jc w:val="both"/>
        <w:rPr>
          <w:rFonts w:ascii="Verdana" w:hAnsi="Verdana"/>
          <w:sz w:val="20"/>
          <w:szCs w:val="20"/>
        </w:rPr>
      </w:pPr>
      <w:r>
        <w:rPr>
          <w:rFonts w:ascii="Verdana" w:hAnsi="Verdana"/>
          <w:sz w:val="20"/>
          <w:szCs w:val="20"/>
        </w:rPr>
        <w:t>En relación con la declaración de Claudia Virginia Sam</w:t>
      </w:r>
      <w:r w:rsidR="00082C26">
        <w:rPr>
          <w:rFonts w:ascii="Verdana" w:hAnsi="Verdana"/>
          <w:sz w:val="20"/>
          <w:szCs w:val="20"/>
        </w:rPr>
        <w:t>ayoa Pineda, el Estado consideró</w:t>
      </w:r>
      <w:r>
        <w:rPr>
          <w:rFonts w:ascii="Verdana" w:hAnsi="Verdana"/>
          <w:sz w:val="20"/>
          <w:szCs w:val="20"/>
        </w:rPr>
        <w:t xml:space="preserve"> que no hay motivo para solicitar la “sustitución” del testimonio de Karla Villagrán por el suyo, toda vez que esta última podría haber declarado mediante </w:t>
      </w:r>
      <w:r w:rsidR="00C463AE">
        <w:rPr>
          <w:rFonts w:ascii="Verdana" w:hAnsi="Verdana"/>
          <w:sz w:val="20"/>
          <w:szCs w:val="20"/>
        </w:rPr>
        <w:t xml:space="preserve">afidávit </w:t>
      </w:r>
      <w:r>
        <w:rPr>
          <w:rFonts w:ascii="Verdana" w:hAnsi="Verdana"/>
          <w:sz w:val="20"/>
          <w:szCs w:val="20"/>
        </w:rPr>
        <w:t>en forma anticipada. Además</w:t>
      </w:r>
      <w:r w:rsidR="00082C26">
        <w:rPr>
          <w:rFonts w:ascii="Verdana" w:hAnsi="Verdana"/>
          <w:sz w:val="20"/>
          <w:szCs w:val="20"/>
        </w:rPr>
        <w:t>,</w:t>
      </w:r>
      <w:r>
        <w:rPr>
          <w:rFonts w:ascii="Verdana" w:hAnsi="Verdana"/>
          <w:sz w:val="20"/>
          <w:szCs w:val="20"/>
        </w:rPr>
        <w:t xml:space="preserve"> el Estado cuestiona la idoneidad de la señora Samayoa</w:t>
      </w:r>
      <w:r w:rsidR="00D17F3A">
        <w:rPr>
          <w:rFonts w:ascii="Verdana" w:hAnsi="Verdana"/>
          <w:sz w:val="20"/>
          <w:szCs w:val="20"/>
        </w:rPr>
        <w:t xml:space="preserve"> Pineda, dado que no presenció </w:t>
      </w:r>
      <w:r>
        <w:rPr>
          <w:rFonts w:ascii="Verdana" w:hAnsi="Verdana"/>
          <w:sz w:val="20"/>
          <w:szCs w:val="20"/>
        </w:rPr>
        <w:t xml:space="preserve">los hechos del caso, por lo que </w:t>
      </w:r>
      <w:r w:rsidR="00082C26">
        <w:rPr>
          <w:rFonts w:ascii="Verdana" w:hAnsi="Verdana"/>
          <w:sz w:val="20"/>
          <w:szCs w:val="20"/>
        </w:rPr>
        <w:t>alegó</w:t>
      </w:r>
      <w:r w:rsidR="00C463AE">
        <w:rPr>
          <w:rFonts w:ascii="Verdana" w:hAnsi="Verdana"/>
          <w:sz w:val="20"/>
          <w:szCs w:val="20"/>
        </w:rPr>
        <w:t xml:space="preserve"> que </w:t>
      </w:r>
      <w:r>
        <w:rPr>
          <w:rFonts w:ascii="Verdana" w:hAnsi="Verdana"/>
          <w:sz w:val="20"/>
          <w:szCs w:val="20"/>
        </w:rPr>
        <w:t>pareciera que los representantes buscan simular una declaración pericial de testimonial.</w:t>
      </w:r>
      <w:r w:rsidR="00D17F3A">
        <w:rPr>
          <w:rFonts w:ascii="Verdana" w:hAnsi="Verdana"/>
          <w:sz w:val="20"/>
          <w:szCs w:val="20"/>
        </w:rPr>
        <w:t xml:space="preserve"> El Estado señaló</w:t>
      </w:r>
      <w:r w:rsidR="00602E69">
        <w:rPr>
          <w:rFonts w:ascii="Verdana" w:hAnsi="Verdana"/>
          <w:sz w:val="20"/>
          <w:szCs w:val="20"/>
        </w:rPr>
        <w:t xml:space="preserve"> que </w:t>
      </w:r>
      <w:r w:rsidR="00D17F3A">
        <w:rPr>
          <w:rFonts w:ascii="Verdana" w:hAnsi="Verdana"/>
          <w:sz w:val="20"/>
          <w:szCs w:val="20"/>
        </w:rPr>
        <w:t>la hoja de vida presentada</w:t>
      </w:r>
      <w:r w:rsidR="00602E69">
        <w:rPr>
          <w:rFonts w:ascii="Verdana" w:hAnsi="Verdana"/>
          <w:sz w:val="20"/>
          <w:szCs w:val="20"/>
        </w:rPr>
        <w:t xml:space="preserve"> no refleja que haya trabajado en la oficina del Procurador de los Derechos Humanos como se afirma en el escrito de los representantes. Por último</w:t>
      </w:r>
      <w:r w:rsidR="00D17F3A">
        <w:rPr>
          <w:rFonts w:ascii="Verdana" w:hAnsi="Verdana"/>
          <w:sz w:val="20"/>
          <w:szCs w:val="20"/>
        </w:rPr>
        <w:t>, el Estado argumentó</w:t>
      </w:r>
      <w:r w:rsidR="00602E69">
        <w:rPr>
          <w:rFonts w:ascii="Verdana" w:hAnsi="Verdana"/>
          <w:sz w:val="20"/>
          <w:szCs w:val="20"/>
        </w:rPr>
        <w:t xml:space="preserve"> que la declaración de </w:t>
      </w:r>
      <w:r w:rsidR="00D17F3A">
        <w:rPr>
          <w:rFonts w:ascii="Verdana" w:hAnsi="Verdana"/>
          <w:sz w:val="20"/>
          <w:szCs w:val="20"/>
        </w:rPr>
        <w:t xml:space="preserve">la señora </w:t>
      </w:r>
      <w:r w:rsidR="00602E69">
        <w:rPr>
          <w:rFonts w:ascii="Verdana" w:hAnsi="Verdana"/>
          <w:sz w:val="20"/>
          <w:szCs w:val="20"/>
        </w:rPr>
        <w:t xml:space="preserve">Samayoa Pineda sólo pretende aportar </w:t>
      </w:r>
      <w:r w:rsidR="00602E69">
        <w:rPr>
          <w:rFonts w:ascii="Verdana" w:hAnsi="Verdana"/>
          <w:sz w:val="20"/>
          <w:szCs w:val="20"/>
        </w:rPr>
        <w:lastRenderedPageBreak/>
        <w:t xml:space="preserve">elementos de contexto que ya fueron presentados en el Informe de Fondo y en el </w:t>
      </w:r>
      <w:r w:rsidR="00C463AE">
        <w:rPr>
          <w:rFonts w:ascii="Verdana" w:hAnsi="Verdana"/>
          <w:sz w:val="20"/>
          <w:szCs w:val="20"/>
        </w:rPr>
        <w:t>escrito de</w:t>
      </w:r>
      <w:r w:rsidR="00602E69">
        <w:rPr>
          <w:rFonts w:ascii="Verdana" w:hAnsi="Verdana"/>
          <w:sz w:val="20"/>
          <w:szCs w:val="20"/>
        </w:rPr>
        <w:t xml:space="preserve"> </w:t>
      </w:r>
      <w:r w:rsidR="00C463AE">
        <w:rPr>
          <w:rFonts w:ascii="Verdana" w:hAnsi="Verdana"/>
          <w:sz w:val="20"/>
          <w:szCs w:val="20"/>
        </w:rPr>
        <w:t xml:space="preserve">solicitudes y argumentos. </w:t>
      </w:r>
      <w:r w:rsidR="00602E69">
        <w:rPr>
          <w:rFonts w:ascii="Verdana" w:hAnsi="Verdana"/>
          <w:sz w:val="20"/>
          <w:szCs w:val="20"/>
        </w:rPr>
        <w:t>En razó</w:t>
      </w:r>
      <w:r w:rsidR="00D17F3A">
        <w:rPr>
          <w:rFonts w:ascii="Verdana" w:hAnsi="Verdana"/>
          <w:sz w:val="20"/>
          <w:szCs w:val="20"/>
        </w:rPr>
        <w:t>n de todo lo anterior, solicitó</w:t>
      </w:r>
      <w:r w:rsidR="00602E69">
        <w:rPr>
          <w:rFonts w:ascii="Verdana" w:hAnsi="Verdana"/>
          <w:sz w:val="20"/>
          <w:szCs w:val="20"/>
        </w:rPr>
        <w:t xml:space="preserve"> que sea </w:t>
      </w:r>
      <w:r w:rsidR="00C463AE">
        <w:rPr>
          <w:rFonts w:ascii="Verdana" w:hAnsi="Verdana"/>
          <w:sz w:val="20"/>
          <w:szCs w:val="20"/>
        </w:rPr>
        <w:t>declarada inadmisible</w:t>
      </w:r>
      <w:r w:rsidR="00A85A23">
        <w:rPr>
          <w:rFonts w:ascii="Verdana" w:hAnsi="Verdana"/>
          <w:sz w:val="20"/>
          <w:szCs w:val="20"/>
        </w:rPr>
        <w:t>.</w:t>
      </w:r>
    </w:p>
    <w:p w:rsidR="00F713FF" w:rsidRDefault="00A85A23" w:rsidP="00A85A23">
      <w:pPr>
        <w:pStyle w:val="Normal1"/>
        <w:contextualSpacing/>
        <w:jc w:val="both"/>
        <w:rPr>
          <w:rFonts w:ascii="Verdana" w:hAnsi="Verdana"/>
          <w:sz w:val="20"/>
          <w:szCs w:val="20"/>
        </w:rPr>
      </w:pPr>
      <w:r>
        <w:rPr>
          <w:rFonts w:ascii="Verdana" w:hAnsi="Verdana"/>
          <w:sz w:val="20"/>
          <w:szCs w:val="20"/>
        </w:rPr>
        <w:t xml:space="preserve"> </w:t>
      </w:r>
    </w:p>
    <w:p w:rsidR="00AE6A1D" w:rsidRPr="0021372F" w:rsidRDefault="0008583D" w:rsidP="00AE6A1D">
      <w:pPr>
        <w:pStyle w:val="Normal1"/>
        <w:numPr>
          <w:ilvl w:val="0"/>
          <w:numId w:val="3"/>
        </w:numPr>
        <w:ind w:left="0" w:firstLine="0"/>
        <w:contextualSpacing/>
        <w:jc w:val="both"/>
        <w:rPr>
          <w:rFonts w:ascii="Verdana" w:hAnsi="Verdana"/>
          <w:sz w:val="20"/>
          <w:szCs w:val="20"/>
        </w:rPr>
      </w:pPr>
      <w:r w:rsidRPr="0021372F">
        <w:rPr>
          <w:rFonts w:ascii="Verdana" w:hAnsi="Verdana"/>
          <w:sz w:val="20"/>
          <w:szCs w:val="20"/>
        </w:rPr>
        <w:t xml:space="preserve">En </w:t>
      </w:r>
      <w:r w:rsidR="000820CA" w:rsidRPr="0021372F">
        <w:rPr>
          <w:rFonts w:ascii="Verdana" w:hAnsi="Verdana"/>
          <w:sz w:val="20"/>
          <w:szCs w:val="20"/>
        </w:rPr>
        <w:t xml:space="preserve">primer lugar, en relación con </w:t>
      </w:r>
      <w:r w:rsidR="00B42539" w:rsidRPr="0021372F">
        <w:rPr>
          <w:rFonts w:ascii="Verdana" w:hAnsi="Verdana"/>
          <w:sz w:val="20"/>
          <w:szCs w:val="20"/>
        </w:rPr>
        <w:t>las declaraciones</w:t>
      </w:r>
      <w:r w:rsidR="005D5DD3" w:rsidRPr="0021372F">
        <w:rPr>
          <w:rFonts w:ascii="Verdana" w:hAnsi="Verdana"/>
          <w:sz w:val="20"/>
          <w:szCs w:val="20"/>
        </w:rPr>
        <w:t xml:space="preserve"> </w:t>
      </w:r>
      <w:r w:rsidR="00A26F00" w:rsidRPr="0021372F">
        <w:rPr>
          <w:rFonts w:ascii="Verdana" w:hAnsi="Verdana"/>
          <w:sz w:val="20"/>
          <w:szCs w:val="20"/>
        </w:rPr>
        <w:t>de las señoras Florinda L</w:t>
      </w:r>
      <w:r w:rsidR="00082C26">
        <w:rPr>
          <w:rFonts w:ascii="Verdana" w:hAnsi="Verdana"/>
          <w:sz w:val="20"/>
          <w:szCs w:val="20"/>
        </w:rPr>
        <w:t xml:space="preserve">ópez de López, </w:t>
      </w:r>
      <w:proofErr w:type="spellStart"/>
      <w:r w:rsidR="00082C26">
        <w:rPr>
          <w:rFonts w:ascii="Verdana" w:hAnsi="Verdana"/>
          <w:sz w:val="20"/>
          <w:szCs w:val="20"/>
        </w:rPr>
        <w:t>Ludim</w:t>
      </w:r>
      <w:proofErr w:type="spellEnd"/>
      <w:r w:rsidR="00082C26">
        <w:rPr>
          <w:rFonts w:ascii="Verdana" w:hAnsi="Verdana"/>
          <w:sz w:val="20"/>
          <w:szCs w:val="20"/>
        </w:rPr>
        <w:t xml:space="preserve"> Azucena Ruí</w:t>
      </w:r>
      <w:r w:rsidR="00A26F00" w:rsidRPr="0021372F">
        <w:rPr>
          <w:rFonts w:ascii="Verdana" w:hAnsi="Verdana"/>
          <w:sz w:val="20"/>
          <w:szCs w:val="20"/>
        </w:rPr>
        <w:t xml:space="preserve">z López y Rosa María Mendoza López </w:t>
      </w:r>
      <w:r w:rsidR="00A26F00">
        <w:rPr>
          <w:rFonts w:ascii="Verdana" w:hAnsi="Verdana"/>
          <w:sz w:val="20"/>
          <w:szCs w:val="20"/>
        </w:rPr>
        <w:t xml:space="preserve">y </w:t>
      </w:r>
      <w:r w:rsidR="005D5DD3" w:rsidRPr="0021372F">
        <w:rPr>
          <w:rFonts w:ascii="Verdana" w:hAnsi="Verdana"/>
          <w:sz w:val="20"/>
          <w:szCs w:val="20"/>
        </w:rPr>
        <w:t>de los s</w:t>
      </w:r>
      <w:r w:rsidR="00082C26">
        <w:rPr>
          <w:rFonts w:ascii="Verdana" w:hAnsi="Verdana"/>
          <w:sz w:val="20"/>
          <w:szCs w:val="20"/>
        </w:rPr>
        <w:t>eñores Jorge Luis Valenzuela Ruíz, Luis Fernando Valenzuela Ruí</w:t>
      </w:r>
      <w:r w:rsidR="00A26F00">
        <w:rPr>
          <w:rFonts w:ascii="Verdana" w:hAnsi="Verdana"/>
          <w:sz w:val="20"/>
          <w:szCs w:val="20"/>
        </w:rPr>
        <w:t>z</w:t>
      </w:r>
      <w:r w:rsidR="00C463AE">
        <w:rPr>
          <w:rFonts w:ascii="Verdana" w:hAnsi="Verdana"/>
          <w:sz w:val="20"/>
          <w:szCs w:val="20"/>
        </w:rPr>
        <w:t xml:space="preserve"> y</w:t>
      </w:r>
      <w:r w:rsidR="00082C26">
        <w:rPr>
          <w:rFonts w:ascii="Verdana" w:hAnsi="Verdana"/>
          <w:sz w:val="20"/>
          <w:szCs w:val="20"/>
        </w:rPr>
        <w:t xml:space="preserve"> Tirso Román Valenzuela Ruí</w:t>
      </w:r>
      <w:r w:rsidR="00A26F00">
        <w:rPr>
          <w:rFonts w:ascii="Verdana" w:hAnsi="Verdana"/>
          <w:sz w:val="20"/>
          <w:szCs w:val="20"/>
        </w:rPr>
        <w:t>z</w:t>
      </w:r>
      <w:r w:rsidR="000820CA" w:rsidRPr="0021372F">
        <w:rPr>
          <w:rFonts w:ascii="Verdana" w:hAnsi="Verdana"/>
          <w:sz w:val="20"/>
          <w:szCs w:val="20"/>
        </w:rPr>
        <w:t>,</w:t>
      </w:r>
      <w:r w:rsidR="00682773" w:rsidRPr="0021372F">
        <w:rPr>
          <w:rFonts w:ascii="Verdana" w:hAnsi="Verdana"/>
          <w:sz w:val="20"/>
          <w:szCs w:val="20"/>
        </w:rPr>
        <w:t xml:space="preserve"> el Presidente nota</w:t>
      </w:r>
      <w:r w:rsidR="007E17D0" w:rsidRPr="0021372F">
        <w:rPr>
          <w:rFonts w:ascii="Verdana" w:hAnsi="Verdana"/>
          <w:sz w:val="20"/>
          <w:szCs w:val="20"/>
        </w:rPr>
        <w:t xml:space="preserve"> que</w:t>
      </w:r>
      <w:r w:rsidR="00D17F3A">
        <w:rPr>
          <w:rFonts w:ascii="Verdana" w:hAnsi="Verdana"/>
          <w:sz w:val="20"/>
          <w:szCs w:val="20"/>
        </w:rPr>
        <w:t xml:space="preserve"> lo planteado por el Estado se relaciona con aspectos procesales y fácticos que el Tribunal resolverá oportunamente</w:t>
      </w:r>
      <w:r w:rsidR="004718A1">
        <w:rPr>
          <w:rStyle w:val="FootnoteReference"/>
          <w:rFonts w:ascii="Verdana" w:hAnsi="Verdana"/>
          <w:sz w:val="20"/>
          <w:szCs w:val="20"/>
        </w:rPr>
        <w:footnoteReference w:id="12"/>
      </w:r>
      <w:r w:rsidR="00CE178A">
        <w:rPr>
          <w:rFonts w:ascii="Verdana" w:hAnsi="Verdana"/>
          <w:sz w:val="20"/>
          <w:szCs w:val="20"/>
        </w:rPr>
        <w:t xml:space="preserve">, </w:t>
      </w:r>
      <w:r w:rsidR="00082C26">
        <w:rPr>
          <w:rFonts w:ascii="Verdana" w:hAnsi="Verdana"/>
          <w:sz w:val="20"/>
          <w:szCs w:val="20"/>
        </w:rPr>
        <w:t xml:space="preserve">y </w:t>
      </w:r>
      <w:r w:rsidR="00CE178A">
        <w:rPr>
          <w:rFonts w:ascii="Verdana" w:hAnsi="Verdana"/>
          <w:sz w:val="20"/>
          <w:szCs w:val="20"/>
        </w:rPr>
        <w:t xml:space="preserve">con el peso probatorio </w:t>
      </w:r>
      <w:r w:rsidR="00CE178A" w:rsidRPr="00870DB2">
        <w:rPr>
          <w:rFonts w:ascii="Verdana" w:hAnsi="Verdana"/>
          <w:sz w:val="20"/>
          <w:szCs w:val="20"/>
          <w:lang w:val="es-PE"/>
        </w:rPr>
        <w:t>de las declaraciones propuestas, mas no con su admisibilidad y eventual valoración por parte de la Corte</w:t>
      </w:r>
      <w:r w:rsidR="00CE178A">
        <w:rPr>
          <w:rFonts w:ascii="Verdana" w:hAnsi="Verdana"/>
          <w:sz w:val="20"/>
          <w:szCs w:val="20"/>
          <w:lang w:val="es-PE"/>
        </w:rPr>
        <w:t xml:space="preserve">. </w:t>
      </w:r>
      <w:r w:rsidR="00CE178A">
        <w:rPr>
          <w:rFonts w:ascii="Verdana" w:hAnsi="Verdana"/>
          <w:sz w:val="20"/>
          <w:szCs w:val="20"/>
        </w:rPr>
        <w:t>El</w:t>
      </w:r>
      <w:r w:rsidR="007E17D0" w:rsidRPr="0021372F">
        <w:rPr>
          <w:rFonts w:ascii="Verdana" w:hAnsi="Verdana"/>
          <w:sz w:val="20"/>
          <w:szCs w:val="20"/>
        </w:rPr>
        <w:t xml:space="preserve"> objeto de dichas declaraciones se relaciona con aspectos relevantes para la resolución del caso, puesto que aporta la apreciación que tienen</w:t>
      </w:r>
      <w:r w:rsidR="005D5DD3" w:rsidRPr="0021372F">
        <w:rPr>
          <w:rFonts w:ascii="Verdana" w:hAnsi="Verdana"/>
          <w:sz w:val="20"/>
          <w:szCs w:val="20"/>
        </w:rPr>
        <w:t xml:space="preserve"> los familiares de la presunta víctima</w:t>
      </w:r>
      <w:r w:rsidR="007E17D0" w:rsidRPr="0021372F">
        <w:rPr>
          <w:rFonts w:ascii="Verdana" w:hAnsi="Verdana"/>
          <w:sz w:val="20"/>
          <w:szCs w:val="20"/>
        </w:rPr>
        <w:t xml:space="preserve"> sobre los hechos del </w:t>
      </w:r>
      <w:r w:rsidR="00C463AE">
        <w:rPr>
          <w:rFonts w:ascii="Verdana" w:hAnsi="Verdana"/>
          <w:sz w:val="20"/>
          <w:szCs w:val="20"/>
        </w:rPr>
        <w:t xml:space="preserve">presente </w:t>
      </w:r>
      <w:r w:rsidR="007E17D0" w:rsidRPr="0021372F">
        <w:rPr>
          <w:rFonts w:ascii="Verdana" w:hAnsi="Verdana"/>
          <w:sz w:val="20"/>
          <w:szCs w:val="20"/>
        </w:rPr>
        <w:t>caso.</w:t>
      </w:r>
      <w:r w:rsidR="00CE178A">
        <w:rPr>
          <w:rFonts w:ascii="Verdana" w:hAnsi="Verdana"/>
          <w:sz w:val="20"/>
          <w:szCs w:val="20"/>
        </w:rPr>
        <w:t xml:space="preserve"> En ese sentido,</w:t>
      </w:r>
      <w:r w:rsidR="00CE178A" w:rsidRPr="00CE178A">
        <w:rPr>
          <w:rFonts w:ascii="Verdana" w:hAnsi="Verdana"/>
          <w:sz w:val="20"/>
          <w:szCs w:val="20"/>
          <w:lang w:val="es-PE"/>
        </w:rPr>
        <w:t xml:space="preserve"> </w:t>
      </w:r>
      <w:r w:rsidR="00CE178A" w:rsidRPr="00870DB2">
        <w:rPr>
          <w:rFonts w:ascii="Verdana" w:hAnsi="Verdana"/>
          <w:sz w:val="20"/>
          <w:szCs w:val="20"/>
          <w:lang w:val="es-PE"/>
        </w:rPr>
        <w:t xml:space="preserve">esta Presidencia </w:t>
      </w:r>
      <w:r w:rsidR="00CE178A">
        <w:rPr>
          <w:rFonts w:ascii="Verdana" w:hAnsi="Verdana"/>
          <w:sz w:val="20"/>
          <w:szCs w:val="20"/>
          <w:lang w:val="es-PE"/>
        </w:rPr>
        <w:t xml:space="preserve">recuerda que </w:t>
      </w:r>
      <w:r w:rsidR="00CE178A" w:rsidRPr="00870DB2">
        <w:rPr>
          <w:rFonts w:ascii="Verdana" w:hAnsi="Verdana"/>
          <w:sz w:val="20"/>
          <w:szCs w:val="20"/>
          <w:lang w:val="es-PE"/>
        </w:rPr>
        <w:t>ha considerado reiteradamente que las declaraciones de las presuntas víctimas y otras personas con un interés directo en el caso son útiles en la medida en que pueden proporcionar mayor información sobre las alegadas violaciones y sus consecuencias</w:t>
      </w:r>
      <w:r w:rsidR="00CE178A" w:rsidRPr="00870DB2">
        <w:rPr>
          <w:rStyle w:val="FootnoteReference"/>
          <w:rFonts w:ascii="Verdana" w:hAnsi="Verdana"/>
          <w:sz w:val="20"/>
          <w:szCs w:val="20"/>
          <w:lang w:val="es-PE"/>
        </w:rPr>
        <w:footnoteReference w:id="13"/>
      </w:r>
      <w:r w:rsidR="00CE178A" w:rsidRPr="00870DB2">
        <w:rPr>
          <w:rFonts w:ascii="Verdana" w:hAnsi="Verdana"/>
          <w:sz w:val="20"/>
          <w:szCs w:val="20"/>
          <w:lang w:val="es-PE"/>
        </w:rPr>
        <w:t xml:space="preserve">. </w:t>
      </w:r>
      <w:r w:rsidR="00A85A23">
        <w:rPr>
          <w:rFonts w:ascii="Verdana" w:hAnsi="Verdana"/>
          <w:sz w:val="20"/>
          <w:szCs w:val="20"/>
        </w:rPr>
        <w:t>Por lo tanto</w:t>
      </w:r>
      <w:r w:rsidR="00CE178A">
        <w:rPr>
          <w:rFonts w:ascii="Verdana" w:hAnsi="Verdana"/>
          <w:sz w:val="20"/>
          <w:szCs w:val="20"/>
        </w:rPr>
        <w:t xml:space="preserve">, </w:t>
      </w:r>
      <w:r w:rsidR="007E17D0" w:rsidRPr="0021372F">
        <w:rPr>
          <w:rFonts w:ascii="Verdana" w:hAnsi="Verdana"/>
          <w:sz w:val="20"/>
          <w:szCs w:val="20"/>
        </w:rPr>
        <w:t>el Presidente admit</w:t>
      </w:r>
      <w:r w:rsidR="00F4785A">
        <w:rPr>
          <w:rFonts w:ascii="Verdana" w:hAnsi="Verdana"/>
          <w:sz w:val="20"/>
          <w:szCs w:val="20"/>
        </w:rPr>
        <w:t>e</w:t>
      </w:r>
      <w:r w:rsidR="007E17D0" w:rsidRPr="0021372F">
        <w:rPr>
          <w:rFonts w:ascii="Verdana" w:hAnsi="Verdana"/>
          <w:sz w:val="20"/>
          <w:szCs w:val="20"/>
        </w:rPr>
        <w:t xml:space="preserve"> dichas declaraciones. </w:t>
      </w:r>
    </w:p>
    <w:p w:rsidR="008E5A90" w:rsidRPr="008E5A90" w:rsidRDefault="008E5A90" w:rsidP="008E5A90">
      <w:pPr>
        <w:pStyle w:val="Normal1"/>
        <w:contextualSpacing/>
        <w:jc w:val="both"/>
        <w:rPr>
          <w:rFonts w:ascii="Verdana" w:hAnsi="Verdana"/>
          <w:sz w:val="20"/>
          <w:szCs w:val="20"/>
        </w:rPr>
      </w:pPr>
    </w:p>
    <w:p w:rsidR="000D6ECE" w:rsidRPr="000D6ECE" w:rsidRDefault="0076159D" w:rsidP="005E3C25">
      <w:pPr>
        <w:pStyle w:val="Normal1"/>
        <w:numPr>
          <w:ilvl w:val="0"/>
          <w:numId w:val="3"/>
        </w:numPr>
        <w:ind w:left="0" w:firstLine="0"/>
        <w:contextualSpacing/>
        <w:jc w:val="both"/>
        <w:rPr>
          <w:rFonts w:ascii="Verdana" w:hAnsi="Verdana"/>
          <w:sz w:val="20"/>
          <w:szCs w:val="20"/>
          <w:u w:val="single"/>
        </w:rPr>
      </w:pPr>
      <w:r>
        <w:rPr>
          <w:rFonts w:ascii="Verdana" w:hAnsi="Verdana"/>
          <w:sz w:val="20"/>
          <w:szCs w:val="20"/>
        </w:rPr>
        <w:t>En segundo lugar, con el ofrecimiento de la prueba testimonial</w:t>
      </w:r>
      <w:r w:rsidR="00BA3B3F">
        <w:rPr>
          <w:rFonts w:ascii="Verdana" w:hAnsi="Verdana"/>
          <w:sz w:val="20"/>
          <w:szCs w:val="20"/>
        </w:rPr>
        <w:t>, respecto de la declaración del señor</w:t>
      </w:r>
      <w:r w:rsidR="0008583D" w:rsidRPr="0008583D">
        <w:rPr>
          <w:rFonts w:ascii="Verdana" w:hAnsi="Verdana"/>
          <w:sz w:val="20"/>
          <w:szCs w:val="20"/>
        </w:rPr>
        <w:t xml:space="preserve"> </w:t>
      </w:r>
      <w:r w:rsidR="00082C26">
        <w:rPr>
          <w:rFonts w:ascii="Verdana" w:hAnsi="Verdana"/>
          <w:sz w:val="20"/>
          <w:szCs w:val="20"/>
        </w:rPr>
        <w:t>Saulo Ruí</w:t>
      </w:r>
      <w:r w:rsidR="00BA3B3F" w:rsidRPr="0008583D">
        <w:rPr>
          <w:rFonts w:ascii="Verdana" w:hAnsi="Verdana"/>
          <w:sz w:val="20"/>
          <w:szCs w:val="20"/>
        </w:rPr>
        <w:t>z López</w:t>
      </w:r>
      <w:r>
        <w:rPr>
          <w:rFonts w:ascii="Verdana" w:hAnsi="Verdana"/>
          <w:sz w:val="20"/>
          <w:szCs w:val="20"/>
        </w:rPr>
        <w:t>, el Presidente advierte que</w:t>
      </w:r>
      <w:r w:rsidR="00BA3B3F" w:rsidRPr="0008583D">
        <w:rPr>
          <w:rFonts w:ascii="Verdana" w:hAnsi="Verdana"/>
          <w:sz w:val="20"/>
          <w:szCs w:val="20"/>
        </w:rPr>
        <w:t xml:space="preserve"> el objeto de la declaración es sustancialmente similar a las declaraci</w:t>
      </w:r>
      <w:r w:rsidR="00D33661">
        <w:rPr>
          <w:rFonts w:ascii="Verdana" w:hAnsi="Verdana"/>
          <w:sz w:val="20"/>
          <w:szCs w:val="20"/>
        </w:rPr>
        <w:t>ones realizadas por los familiares directos de la presunta víctima</w:t>
      </w:r>
      <w:r w:rsidR="00BA3B3F">
        <w:rPr>
          <w:rFonts w:ascii="Verdana" w:hAnsi="Verdana"/>
          <w:sz w:val="20"/>
          <w:szCs w:val="20"/>
        </w:rPr>
        <w:t>. Por este motivo,</w:t>
      </w:r>
      <w:r w:rsidR="00BA3B3F" w:rsidRPr="0008583D">
        <w:rPr>
          <w:rFonts w:ascii="Verdana" w:hAnsi="Verdana"/>
          <w:sz w:val="20"/>
          <w:szCs w:val="20"/>
        </w:rPr>
        <w:t xml:space="preserve"> </w:t>
      </w:r>
      <w:r w:rsidR="0008583D" w:rsidRPr="0008583D">
        <w:rPr>
          <w:rFonts w:ascii="Verdana" w:hAnsi="Verdana"/>
          <w:sz w:val="20"/>
          <w:szCs w:val="20"/>
        </w:rPr>
        <w:t>y atendiendo al principio de economía pro</w:t>
      </w:r>
      <w:r w:rsidR="00BA3B3F">
        <w:rPr>
          <w:rFonts w:ascii="Verdana" w:hAnsi="Verdana"/>
          <w:sz w:val="20"/>
          <w:szCs w:val="20"/>
        </w:rPr>
        <w:t>cesal, el Presidente decide desestimar</w:t>
      </w:r>
      <w:r w:rsidR="0008583D" w:rsidRPr="0008583D">
        <w:rPr>
          <w:rFonts w:ascii="Verdana" w:hAnsi="Verdana"/>
          <w:sz w:val="20"/>
          <w:szCs w:val="20"/>
        </w:rPr>
        <w:t xml:space="preserve"> </w:t>
      </w:r>
      <w:r w:rsidR="0011363C">
        <w:rPr>
          <w:rFonts w:ascii="Verdana" w:hAnsi="Verdana"/>
          <w:sz w:val="20"/>
          <w:szCs w:val="20"/>
        </w:rPr>
        <w:t>esta</w:t>
      </w:r>
      <w:r w:rsidR="0008583D" w:rsidRPr="0008583D">
        <w:rPr>
          <w:rFonts w:ascii="Verdana" w:hAnsi="Verdana"/>
          <w:sz w:val="20"/>
          <w:szCs w:val="20"/>
        </w:rPr>
        <w:t xml:space="preserve"> declaración. </w:t>
      </w:r>
    </w:p>
    <w:p w:rsidR="000D6ECE" w:rsidRPr="001664B6" w:rsidRDefault="000D6ECE" w:rsidP="005E3C25">
      <w:pPr>
        <w:pStyle w:val="ListParagraph"/>
        <w:spacing w:after="0"/>
        <w:rPr>
          <w:rFonts w:ascii="Verdana" w:hAnsi="Verdana"/>
          <w:sz w:val="20"/>
          <w:szCs w:val="20"/>
          <w:u w:val="single"/>
          <w:lang w:val="es-CR"/>
        </w:rPr>
      </w:pPr>
    </w:p>
    <w:p w:rsidR="003B78C4" w:rsidRPr="00880653" w:rsidRDefault="00067D76" w:rsidP="005E3C25">
      <w:pPr>
        <w:pStyle w:val="Normal1"/>
        <w:numPr>
          <w:ilvl w:val="0"/>
          <w:numId w:val="3"/>
        </w:numPr>
        <w:ind w:left="0" w:firstLine="0"/>
        <w:contextualSpacing/>
        <w:jc w:val="both"/>
        <w:rPr>
          <w:rFonts w:ascii="Verdana" w:hAnsi="Verdana"/>
          <w:sz w:val="20"/>
          <w:szCs w:val="20"/>
          <w:u w:val="single"/>
        </w:rPr>
      </w:pPr>
      <w:r w:rsidRPr="00880653">
        <w:rPr>
          <w:rFonts w:ascii="Verdana" w:hAnsi="Verdana"/>
          <w:sz w:val="20"/>
          <w:szCs w:val="20"/>
        </w:rPr>
        <w:t>En tercer lugar, re</w:t>
      </w:r>
      <w:r w:rsidR="003C1DF1">
        <w:rPr>
          <w:rFonts w:ascii="Verdana" w:hAnsi="Verdana"/>
          <w:sz w:val="20"/>
          <w:szCs w:val="20"/>
        </w:rPr>
        <w:t>specto a la declaración de Karla</w:t>
      </w:r>
      <w:r w:rsidRPr="00880653">
        <w:rPr>
          <w:rFonts w:ascii="Verdana" w:hAnsi="Verdana"/>
          <w:sz w:val="20"/>
          <w:szCs w:val="20"/>
        </w:rPr>
        <w:t xml:space="preserve"> Villagrán, el artículo 46.1 del Reglamento establece que el momento procesal oportuno para que las partes confirme</w:t>
      </w:r>
      <w:r w:rsidR="00996BCC">
        <w:rPr>
          <w:rFonts w:ascii="Verdana" w:hAnsi="Verdana"/>
          <w:sz w:val="20"/>
          <w:szCs w:val="20"/>
        </w:rPr>
        <w:t>n</w:t>
      </w:r>
      <w:r w:rsidRPr="00880653">
        <w:rPr>
          <w:rFonts w:ascii="Verdana" w:hAnsi="Verdana"/>
          <w:sz w:val="20"/>
          <w:szCs w:val="20"/>
        </w:rPr>
        <w:t xml:space="preserve"> o desistan de la</w:t>
      </w:r>
      <w:r w:rsidR="00996BCC">
        <w:rPr>
          <w:rFonts w:ascii="Verdana" w:hAnsi="Verdana"/>
          <w:sz w:val="20"/>
          <w:szCs w:val="20"/>
        </w:rPr>
        <w:t>s</w:t>
      </w:r>
      <w:r w:rsidRPr="00880653">
        <w:rPr>
          <w:rFonts w:ascii="Verdana" w:hAnsi="Verdana"/>
          <w:sz w:val="20"/>
          <w:szCs w:val="20"/>
        </w:rPr>
        <w:t xml:space="preserve"> declaraciones ofrecidas</w:t>
      </w:r>
      <w:r w:rsidR="00996BCC">
        <w:rPr>
          <w:rFonts w:ascii="Verdana" w:hAnsi="Verdana"/>
          <w:sz w:val="20"/>
          <w:szCs w:val="20"/>
        </w:rPr>
        <w:t xml:space="preserve"> </w:t>
      </w:r>
      <w:r w:rsidRPr="00880653">
        <w:rPr>
          <w:rFonts w:ascii="Verdana" w:hAnsi="Verdana"/>
          <w:sz w:val="20"/>
          <w:szCs w:val="20"/>
        </w:rPr>
        <w:t xml:space="preserve">en su escrito </w:t>
      </w:r>
      <w:r w:rsidR="003B78C4" w:rsidRPr="00880653">
        <w:rPr>
          <w:rFonts w:ascii="Verdana" w:hAnsi="Verdana"/>
          <w:sz w:val="20"/>
          <w:szCs w:val="20"/>
        </w:rPr>
        <w:t>de solicit</w:t>
      </w:r>
      <w:r w:rsidRPr="00880653">
        <w:rPr>
          <w:rFonts w:ascii="Verdana" w:hAnsi="Verdana"/>
          <w:sz w:val="20"/>
          <w:szCs w:val="20"/>
        </w:rPr>
        <w:t>u</w:t>
      </w:r>
      <w:r w:rsidR="003B78C4" w:rsidRPr="00880653">
        <w:rPr>
          <w:rFonts w:ascii="Verdana" w:hAnsi="Verdana"/>
          <w:sz w:val="20"/>
          <w:szCs w:val="20"/>
        </w:rPr>
        <w:t>d</w:t>
      </w:r>
      <w:r w:rsidRPr="00880653">
        <w:rPr>
          <w:rFonts w:ascii="Verdana" w:hAnsi="Verdana"/>
          <w:sz w:val="20"/>
          <w:szCs w:val="20"/>
        </w:rPr>
        <w:t xml:space="preserve">es y argumentos o en su escrito de contestación es </w:t>
      </w:r>
      <w:r w:rsidR="0076562E">
        <w:rPr>
          <w:rFonts w:ascii="Verdana" w:hAnsi="Verdana"/>
          <w:sz w:val="20"/>
          <w:szCs w:val="20"/>
        </w:rPr>
        <w:t>en la</w:t>
      </w:r>
      <w:r w:rsidRPr="00880653">
        <w:rPr>
          <w:rFonts w:ascii="Verdana" w:hAnsi="Verdana"/>
          <w:sz w:val="20"/>
          <w:szCs w:val="20"/>
        </w:rPr>
        <w:t xml:space="preserve"> lista definitiva solicitada por el Tribunal. </w:t>
      </w:r>
      <w:r w:rsidR="00996BCC">
        <w:rPr>
          <w:rFonts w:ascii="Verdana" w:hAnsi="Verdana"/>
          <w:sz w:val="20"/>
          <w:szCs w:val="20"/>
        </w:rPr>
        <w:t>Dado</w:t>
      </w:r>
      <w:r w:rsidRPr="00880653">
        <w:rPr>
          <w:rFonts w:ascii="Verdana" w:hAnsi="Verdana"/>
          <w:sz w:val="20"/>
          <w:szCs w:val="20"/>
        </w:rPr>
        <w:t xml:space="preserve"> que la declaración de la señora Karla Villagrán no fue confirmada en la lista definitiva, esta Presidencia ent</w:t>
      </w:r>
      <w:r w:rsidR="00F75FCF">
        <w:rPr>
          <w:rFonts w:ascii="Verdana" w:hAnsi="Verdana"/>
          <w:sz w:val="20"/>
          <w:szCs w:val="20"/>
        </w:rPr>
        <w:t xml:space="preserve">iende que los representantes </w:t>
      </w:r>
      <w:r w:rsidRPr="00880653">
        <w:rPr>
          <w:rFonts w:ascii="Verdana" w:hAnsi="Verdana"/>
          <w:sz w:val="20"/>
          <w:szCs w:val="20"/>
        </w:rPr>
        <w:t>desistier</w:t>
      </w:r>
      <w:r w:rsidR="005E3C25">
        <w:rPr>
          <w:rFonts w:ascii="Verdana" w:hAnsi="Verdana"/>
          <w:sz w:val="20"/>
          <w:szCs w:val="20"/>
        </w:rPr>
        <w:t>on de su ofrecimiento. En razón</w:t>
      </w:r>
      <w:r w:rsidRPr="00880653">
        <w:rPr>
          <w:rFonts w:ascii="Verdana" w:hAnsi="Verdana"/>
          <w:sz w:val="20"/>
          <w:szCs w:val="20"/>
        </w:rPr>
        <w:t xml:space="preserve"> de lo an</w:t>
      </w:r>
      <w:r w:rsidR="003B78C4" w:rsidRPr="00880653">
        <w:rPr>
          <w:rFonts w:ascii="Verdana" w:hAnsi="Verdana"/>
          <w:sz w:val="20"/>
          <w:szCs w:val="20"/>
        </w:rPr>
        <w:t>terior, el Presidente toma nota de dicho desistimiento</w:t>
      </w:r>
      <w:r w:rsidR="00880653" w:rsidRPr="00880653">
        <w:rPr>
          <w:rFonts w:ascii="Verdana" w:hAnsi="Verdana"/>
          <w:sz w:val="20"/>
          <w:szCs w:val="20"/>
        </w:rPr>
        <w:t>.</w:t>
      </w:r>
    </w:p>
    <w:p w:rsidR="00880653" w:rsidRPr="00880653" w:rsidRDefault="00880653" w:rsidP="00880653">
      <w:pPr>
        <w:pStyle w:val="Normal1"/>
        <w:contextualSpacing/>
        <w:jc w:val="both"/>
        <w:rPr>
          <w:rFonts w:ascii="Verdana" w:hAnsi="Verdana"/>
          <w:sz w:val="20"/>
          <w:szCs w:val="20"/>
          <w:u w:val="single"/>
        </w:rPr>
      </w:pPr>
    </w:p>
    <w:p w:rsidR="00F91D18" w:rsidRPr="00A85A23" w:rsidRDefault="00753FB4" w:rsidP="00F91D18">
      <w:pPr>
        <w:pStyle w:val="Normal1"/>
        <w:numPr>
          <w:ilvl w:val="0"/>
          <w:numId w:val="3"/>
        </w:numPr>
        <w:ind w:left="0" w:firstLine="0"/>
        <w:contextualSpacing/>
        <w:jc w:val="both"/>
        <w:rPr>
          <w:rFonts w:ascii="Verdana" w:hAnsi="Verdana"/>
          <w:sz w:val="20"/>
          <w:szCs w:val="20"/>
          <w:u w:val="single"/>
        </w:rPr>
      </w:pPr>
      <w:r>
        <w:rPr>
          <w:rFonts w:ascii="Verdana" w:hAnsi="Verdana"/>
          <w:sz w:val="20"/>
          <w:szCs w:val="20"/>
        </w:rPr>
        <w:t>Por último, en cuanto al ofrecimiento de</w:t>
      </w:r>
      <w:r w:rsidR="003B78C4" w:rsidRPr="005E3C25">
        <w:rPr>
          <w:rFonts w:ascii="Verdana" w:hAnsi="Verdana"/>
          <w:sz w:val="20"/>
          <w:szCs w:val="20"/>
        </w:rPr>
        <w:t xml:space="preserve"> la declaración de Claudia Virginia Samayoa Pineda, esta Presidencia recuerda que el artículo 40.2 inciso c</w:t>
      </w:r>
      <w:r w:rsidR="005E3C25" w:rsidRPr="005E3C25">
        <w:rPr>
          <w:rFonts w:ascii="Verdana" w:hAnsi="Verdana"/>
          <w:sz w:val="20"/>
          <w:szCs w:val="20"/>
        </w:rPr>
        <w:t>)</w:t>
      </w:r>
      <w:r w:rsidR="003B78C4" w:rsidRPr="005E3C25">
        <w:rPr>
          <w:rFonts w:ascii="Verdana" w:hAnsi="Verdana"/>
          <w:sz w:val="20"/>
          <w:szCs w:val="20"/>
        </w:rPr>
        <w:t xml:space="preserve"> establece que el momento procesal oportuno para la presentación e individualización de los declarantes ofrecidos por los representantes es en el escrito de</w:t>
      </w:r>
      <w:r w:rsidR="005E3C25" w:rsidRPr="005E3C25">
        <w:rPr>
          <w:rFonts w:ascii="Verdana" w:hAnsi="Verdana"/>
          <w:sz w:val="20"/>
          <w:szCs w:val="20"/>
        </w:rPr>
        <w:t xml:space="preserve"> solicitudes y argumentos</w:t>
      </w:r>
      <w:r w:rsidR="003B78C4" w:rsidRPr="005E3C25">
        <w:rPr>
          <w:rFonts w:ascii="Verdana" w:hAnsi="Verdana"/>
          <w:sz w:val="20"/>
          <w:szCs w:val="20"/>
        </w:rPr>
        <w:t>. Por tanto, la presentación de las listas definitivas de declarantes no constituye una nueva oportunidad procesal para proponer probanzas por las partes en el procedimiento ante la Corte, salvo las excepciones establecidas en el artículo 57.2 del Reglamento, esto es: fuerza mayor, impedimento grave o hechos supervinientes, si se justificare de manera adecuada, previamente oído el parecer de todas las partes intervinientes en el proceso</w:t>
      </w:r>
      <w:r>
        <w:rPr>
          <w:rStyle w:val="FootnoteReference"/>
          <w:rFonts w:ascii="Verdana" w:hAnsi="Verdana"/>
          <w:sz w:val="20"/>
          <w:szCs w:val="20"/>
        </w:rPr>
        <w:footnoteReference w:id="14"/>
      </w:r>
      <w:r w:rsidR="003B78C4" w:rsidRPr="005E3C25">
        <w:rPr>
          <w:rFonts w:ascii="Verdana" w:hAnsi="Verdana"/>
          <w:sz w:val="20"/>
          <w:szCs w:val="20"/>
        </w:rPr>
        <w:t xml:space="preserve">. </w:t>
      </w:r>
      <w:r w:rsidR="00B619C7" w:rsidRPr="005E3C25">
        <w:rPr>
          <w:rFonts w:ascii="Verdana" w:hAnsi="Verdana"/>
          <w:sz w:val="20"/>
          <w:szCs w:val="20"/>
        </w:rPr>
        <w:t>Esta Presidencia n</w:t>
      </w:r>
      <w:r w:rsidR="00F75FCF">
        <w:rPr>
          <w:rFonts w:ascii="Verdana" w:hAnsi="Verdana"/>
          <w:sz w:val="20"/>
          <w:szCs w:val="20"/>
        </w:rPr>
        <w:t>ota que en este caso no se ha</w:t>
      </w:r>
      <w:r w:rsidR="00B619C7" w:rsidRPr="005E3C25">
        <w:rPr>
          <w:rFonts w:ascii="Verdana" w:hAnsi="Verdana"/>
          <w:sz w:val="20"/>
          <w:szCs w:val="20"/>
        </w:rPr>
        <w:t xml:space="preserve"> alegado ninguna de las situaciones excepcionales previamente señaladas, por lo que  </w:t>
      </w:r>
      <w:r w:rsidR="002446E4" w:rsidRPr="005E3C25">
        <w:rPr>
          <w:rFonts w:ascii="Verdana" w:hAnsi="Verdana"/>
          <w:sz w:val="20"/>
          <w:szCs w:val="20"/>
        </w:rPr>
        <w:lastRenderedPageBreak/>
        <w:t>declar</w:t>
      </w:r>
      <w:r w:rsidR="002446E4">
        <w:rPr>
          <w:rFonts w:ascii="Verdana" w:hAnsi="Verdana"/>
          <w:sz w:val="20"/>
          <w:szCs w:val="20"/>
        </w:rPr>
        <w:t>a</w:t>
      </w:r>
      <w:r w:rsidR="00B619C7" w:rsidRPr="005E3C25">
        <w:rPr>
          <w:rFonts w:ascii="Verdana" w:hAnsi="Verdana"/>
          <w:sz w:val="20"/>
          <w:szCs w:val="20"/>
        </w:rPr>
        <w:t xml:space="preserve"> inadmisible el ofrecimiento de esta declaración por haber sido realizada extemporáneamente. </w:t>
      </w:r>
    </w:p>
    <w:p w:rsidR="000B3F41" w:rsidRPr="00467CB0" w:rsidRDefault="000B3F41" w:rsidP="00A85A23">
      <w:pPr>
        <w:pStyle w:val="Normal1"/>
        <w:contextualSpacing/>
        <w:jc w:val="both"/>
        <w:rPr>
          <w:rFonts w:ascii="Verdana" w:hAnsi="Verdana"/>
          <w:sz w:val="20"/>
          <w:szCs w:val="20"/>
          <w:u w:val="single"/>
        </w:rPr>
      </w:pPr>
    </w:p>
    <w:p w:rsidR="0037111E" w:rsidRPr="007A6929" w:rsidRDefault="00603D7B" w:rsidP="007A6929">
      <w:pPr>
        <w:pStyle w:val="Normal1"/>
        <w:numPr>
          <w:ilvl w:val="0"/>
          <w:numId w:val="3"/>
        </w:numPr>
        <w:ind w:left="0" w:firstLine="0"/>
        <w:contextualSpacing/>
        <w:jc w:val="both"/>
        <w:rPr>
          <w:rFonts w:ascii="Verdana" w:hAnsi="Verdana"/>
          <w:sz w:val="20"/>
          <w:szCs w:val="20"/>
        </w:rPr>
      </w:pPr>
      <w:r w:rsidRPr="007A6929">
        <w:rPr>
          <w:rFonts w:ascii="Verdana" w:hAnsi="Verdana"/>
          <w:sz w:val="20"/>
          <w:szCs w:val="20"/>
        </w:rPr>
        <w:t>El objeto y modalidad de las declaraciones se determina en la parte resolutiva de la presente Resolución (</w:t>
      </w:r>
      <w:r w:rsidRPr="007A6929">
        <w:rPr>
          <w:rFonts w:ascii="Verdana" w:hAnsi="Verdana"/>
          <w:i/>
          <w:sz w:val="20"/>
          <w:szCs w:val="20"/>
        </w:rPr>
        <w:t>infra</w:t>
      </w:r>
      <w:r w:rsidRPr="007A6929">
        <w:rPr>
          <w:rFonts w:ascii="Verdana" w:hAnsi="Verdana"/>
          <w:sz w:val="20"/>
          <w:szCs w:val="20"/>
        </w:rPr>
        <w:t xml:space="preserve"> puntos </w:t>
      </w:r>
      <w:r w:rsidRPr="00082C26">
        <w:rPr>
          <w:rFonts w:ascii="Verdana" w:hAnsi="Verdana"/>
          <w:sz w:val="20"/>
          <w:szCs w:val="20"/>
        </w:rPr>
        <w:t>resolutivos</w:t>
      </w:r>
      <w:r w:rsidR="005E3C25" w:rsidRPr="00082C26">
        <w:rPr>
          <w:rFonts w:ascii="Verdana" w:hAnsi="Verdana"/>
          <w:sz w:val="20"/>
          <w:szCs w:val="20"/>
        </w:rPr>
        <w:t xml:space="preserve"> </w:t>
      </w:r>
      <w:r w:rsidR="00BE1909" w:rsidRPr="00082C26">
        <w:rPr>
          <w:rFonts w:ascii="Verdana" w:hAnsi="Verdana"/>
          <w:sz w:val="20"/>
          <w:szCs w:val="20"/>
        </w:rPr>
        <w:t>1 y 3</w:t>
      </w:r>
      <w:r w:rsidRPr="00082C26">
        <w:rPr>
          <w:rFonts w:ascii="Verdana" w:hAnsi="Verdana"/>
          <w:sz w:val="20"/>
          <w:szCs w:val="20"/>
        </w:rPr>
        <w:t>)</w:t>
      </w:r>
      <w:r w:rsidR="005E3C25" w:rsidRPr="00082C26">
        <w:rPr>
          <w:rFonts w:ascii="Verdana" w:hAnsi="Verdana"/>
          <w:sz w:val="20"/>
          <w:szCs w:val="20"/>
        </w:rPr>
        <w:t>.</w:t>
      </w:r>
    </w:p>
    <w:p w:rsidR="00082C26" w:rsidRDefault="00082C26" w:rsidP="00DE5AC7">
      <w:pPr>
        <w:pStyle w:val="Normal1"/>
        <w:contextualSpacing/>
        <w:jc w:val="both"/>
        <w:rPr>
          <w:rFonts w:ascii="Verdana" w:hAnsi="Verdana"/>
          <w:sz w:val="20"/>
          <w:szCs w:val="20"/>
        </w:rPr>
      </w:pPr>
    </w:p>
    <w:p w:rsidR="00082C26" w:rsidRDefault="00082C26" w:rsidP="00DE5AC7">
      <w:pPr>
        <w:pStyle w:val="Normal1"/>
        <w:contextualSpacing/>
        <w:jc w:val="both"/>
        <w:rPr>
          <w:rFonts w:ascii="Verdana" w:hAnsi="Verdana"/>
          <w:sz w:val="20"/>
          <w:szCs w:val="20"/>
        </w:rPr>
      </w:pPr>
    </w:p>
    <w:p w:rsidR="0008583D" w:rsidRPr="0033670D" w:rsidRDefault="00707F92" w:rsidP="0008583D">
      <w:pPr>
        <w:spacing w:line="240" w:lineRule="auto"/>
        <w:rPr>
          <w:rFonts w:ascii="Verdana" w:hAnsi="Verdana"/>
          <w:i/>
          <w:sz w:val="20"/>
          <w:szCs w:val="20"/>
          <w:lang w:val="es-CR"/>
        </w:rPr>
      </w:pPr>
      <w:r>
        <w:rPr>
          <w:rFonts w:ascii="Verdana" w:hAnsi="Verdana"/>
          <w:i/>
          <w:sz w:val="20"/>
          <w:szCs w:val="20"/>
          <w:lang w:val="es-CR"/>
        </w:rPr>
        <w:t>A</w:t>
      </w:r>
      <w:r w:rsidR="0008583D">
        <w:rPr>
          <w:rFonts w:ascii="Verdana" w:hAnsi="Verdana"/>
          <w:i/>
          <w:sz w:val="20"/>
          <w:szCs w:val="20"/>
          <w:lang w:val="es-CR"/>
        </w:rPr>
        <w:t>.2) Ad</w:t>
      </w:r>
      <w:r w:rsidR="000D6ECE">
        <w:rPr>
          <w:rFonts w:ascii="Verdana" w:hAnsi="Verdana"/>
          <w:i/>
          <w:sz w:val="20"/>
          <w:szCs w:val="20"/>
          <w:lang w:val="es-CR"/>
        </w:rPr>
        <w:t>misibilidad de los dictámen</w:t>
      </w:r>
      <w:r w:rsidR="007410CA">
        <w:rPr>
          <w:rFonts w:ascii="Verdana" w:hAnsi="Verdana"/>
          <w:i/>
          <w:sz w:val="20"/>
          <w:szCs w:val="20"/>
          <w:lang w:val="es-CR"/>
        </w:rPr>
        <w:t>e</w:t>
      </w:r>
      <w:r w:rsidR="000D6ECE">
        <w:rPr>
          <w:rFonts w:ascii="Verdana" w:hAnsi="Verdana"/>
          <w:i/>
          <w:sz w:val="20"/>
          <w:szCs w:val="20"/>
          <w:lang w:val="es-CR"/>
        </w:rPr>
        <w:t>s periciales ofrecido</w:t>
      </w:r>
      <w:r w:rsidR="0008583D">
        <w:rPr>
          <w:rFonts w:ascii="Verdana" w:hAnsi="Verdana"/>
          <w:i/>
          <w:sz w:val="20"/>
          <w:szCs w:val="20"/>
          <w:lang w:val="es-CR"/>
        </w:rPr>
        <w:t>s por los representantes</w:t>
      </w:r>
    </w:p>
    <w:p w:rsidR="0008583D" w:rsidRPr="007F2452" w:rsidRDefault="0085071B" w:rsidP="00DE5AC7">
      <w:pPr>
        <w:pStyle w:val="Normal1"/>
        <w:widowControl/>
        <w:numPr>
          <w:ilvl w:val="0"/>
          <w:numId w:val="3"/>
        </w:numPr>
        <w:autoSpaceDE w:val="0"/>
        <w:autoSpaceDN w:val="0"/>
        <w:adjustRightInd w:val="0"/>
        <w:ind w:left="0" w:firstLine="0"/>
        <w:contextualSpacing/>
        <w:jc w:val="both"/>
        <w:rPr>
          <w:rFonts w:ascii="Verdana" w:hAnsi="Verdana"/>
          <w:sz w:val="20"/>
          <w:szCs w:val="20"/>
        </w:rPr>
      </w:pPr>
      <w:r>
        <w:rPr>
          <w:rFonts w:ascii="Verdana" w:hAnsi="Verdana"/>
          <w:sz w:val="20"/>
          <w:szCs w:val="20"/>
        </w:rPr>
        <w:t xml:space="preserve">Los </w:t>
      </w:r>
      <w:r w:rsidRPr="00603D7B">
        <w:rPr>
          <w:rFonts w:ascii="Verdana" w:hAnsi="Verdana"/>
          <w:b/>
          <w:i/>
          <w:sz w:val="20"/>
          <w:szCs w:val="20"/>
        </w:rPr>
        <w:t>representantes</w:t>
      </w:r>
      <w:r>
        <w:rPr>
          <w:rFonts w:ascii="Verdana" w:hAnsi="Verdana"/>
          <w:sz w:val="20"/>
          <w:szCs w:val="20"/>
        </w:rPr>
        <w:t xml:space="preserve"> en su escrito de solicitudes y argumento</w:t>
      </w:r>
      <w:r w:rsidR="007410CA">
        <w:rPr>
          <w:rFonts w:ascii="Verdana" w:hAnsi="Verdana"/>
          <w:sz w:val="20"/>
          <w:szCs w:val="20"/>
        </w:rPr>
        <w:t xml:space="preserve">s, ofrecieron los dictámenes </w:t>
      </w:r>
      <w:r>
        <w:rPr>
          <w:rFonts w:ascii="Verdana" w:hAnsi="Verdana"/>
          <w:sz w:val="20"/>
          <w:szCs w:val="20"/>
        </w:rPr>
        <w:t>periciales</w:t>
      </w:r>
      <w:r w:rsidR="00707F92">
        <w:rPr>
          <w:rFonts w:ascii="Verdana" w:hAnsi="Verdana"/>
          <w:sz w:val="20"/>
          <w:szCs w:val="20"/>
        </w:rPr>
        <w:t xml:space="preserve"> de la</w:t>
      </w:r>
      <w:r w:rsidR="005E3C25">
        <w:rPr>
          <w:rFonts w:ascii="Verdana" w:hAnsi="Verdana"/>
          <w:sz w:val="20"/>
          <w:szCs w:val="20"/>
        </w:rPr>
        <w:t>s</w:t>
      </w:r>
      <w:r w:rsidR="00707F92">
        <w:rPr>
          <w:rFonts w:ascii="Verdana" w:hAnsi="Verdana"/>
          <w:sz w:val="20"/>
          <w:szCs w:val="20"/>
        </w:rPr>
        <w:t xml:space="preserve"> señora</w:t>
      </w:r>
      <w:r w:rsidR="005E3C25">
        <w:rPr>
          <w:rFonts w:ascii="Verdana" w:hAnsi="Verdana"/>
          <w:sz w:val="20"/>
          <w:szCs w:val="20"/>
        </w:rPr>
        <w:t>s</w:t>
      </w:r>
      <w:r w:rsidR="00707F92">
        <w:rPr>
          <w:rFonts w:ascii="Verdana" w:hAnsi="Verdana"/>
          <w:sz w:val="20"/>
          <w:szCs w:val="20"/>
        </w:rPr>
        <w:t xml:space="preserve"> </w:t>
      </w:r>
      <w:r w:rsidR="00707F92" w:rsidRPr="00707F92">
        <w:rPr>
          <w:rFonts w:ascii="Verdana" w:hAnsi="Verdana"/>
          <w:sz w:val="20"/>
          <w:szCs w:val="20"/>
        </w:rPr>
        <w:t xml:space="preserve">Edna Karina </w:t>
      </w:r>
      <w:proofErr w:type="spellStart"/>
      <w:r w:rsidR="00707F92" w:rsidRPr="00707F92">
        <w:rPr>
          <w:rFonts w:ascii="Verdana" w:hAnsi="Verdana"/>
          <w:sz w:val="20"/>
          <w:szCs w:val="20"/>
        </w:rPr>
        <w:t>Vaquerano</w:t>
      </w:r>
      <w:proofErr w:type="spellEnd"/>
      <w:r w:rsidR="00707F92" w:rsidRPr="00707F92">
        <w:rPr>
          <w:rFonts w:ascii="Verdana" w:hAnsi="Verdana"/>
          <w:sz w:val="20"/>
          <w:szCs w:val="20"/>
        </w:rPr>
        <w:t xml:space="preserve"> Martínez</w:t>
      </w:r>
      <w:r w:rsidR="00707F92" w:rsidRPr="00707F92">
        <w:rPr>
          <w:rStyle w:val="FootnoteReference"/>
          <w:rFonts w:ascii="Verdana" w:hAnsi="Verdana"/>
          <w:sz w:val="20"/>
          <w:szCs w:val="20"/>
        </w:rPr>
        <w:footnoteReference w:id="15"/>
      </w:r>
      <w:r w:rsidRPr="00707F92">
        <w:rPr>
          <w:rFonts w:ascii="Verdana" w:hAnsi="Verdana"/>
          <w:sz w:val="20"/>
          <w:szCs w:val="20"/>
        </w:rPr>
        <w:t>,</w:t>
      </w:r>
      <w:r>
        <w:rPr>
          <w:rFonts w:ascii="Verdana" w:hAnsi="Verdana"/>
          <w:sz w:val="20"/>
          <w:szCs w:val="20"/>
        </w:rPr>
        <w:t xml:space="preserve"> </w:t>
      </w:r>
      <w:r w:rsidR="005E3C25" w:rsidRPr="00BE1909">
        <w:rPr>
          <w:rFonts w:ascii="Verdana" w:hAnsi="Verdana"/>
          <w:sz w:val="20"/>
          <w:szCs w:val="20"/>
        </w:rPr>
        <w:t>Olga Patricia Roldán Monterroso</w:t>
      </w:r>
      <w:r w:rsidR="005E3C25">
        <w:rPr>
          <w:rStyle w:val="FootnoteReference"/>
          <w:rFonts w:ascii="Verdana" w:hAnsi="Verdana"/>
          <w:sz w:val="20"/>
          <w:szCs w:val="20"/>
        </w:rPr>
        <w:footnoteReference w:id="16"/>
      </w:r>
      <w:r w:rsidR="005E3C25">
        <w:rPr>
          <w:rFonts w:ascii="Verdana" w:hAnsi="Verdana"/>
          <w:sz w:val="20"/>
          <w:szCs w:val="20"/>
        </w:rPr>
        <w:t xml:space="preserve"> y </w:t>
      </w:r>
      <w:r w:rsidR="00082C26">
        <w:rPr>
          <w:rFonts w:ascii="Verdana" w:hAnsi="Verdana"/>
          <w:sz w:val="20"/>
          <w:szCs w:val="20"/>
        </w:rPr>
        <w:t>Patricia Saraí Villator</w:t>
      </w:r>
      <w:r w:rsidR="005E3C25">
        <w:rPr>
          <w:rFonts w:ascii="Verdana" w:hAnsi="Verdana"/>
          <w:sz w:val="20"/>
          <w:szCs w:val="20"/>
        </w:rPr>
        <w:t>o Martínez</w:t>
      </w:r>
      <w:r w:rsidR="005E3C25">
        <w:rPr>
          <w:rStyle w:val="FootnoteReference"/>
          <w:rFonts w:ascii="Verdana" w:hAnsi="Verdana"/>
          <w:sz w:val="20"/>
          <w:szCs w:val="20"/>
        </w:rPr>
        <w:footnoteReference w:id="17"/>
      </w:r>
      <w:r w:rsidR="005E3C25">
        <w:rPr>
          <w:rFonts w:ascii="Verdana" w:hAnsi="Verdana"/>
          <w:sz w:val="20"/>
          <w:szCs w:val="20"/>
        </w:rPr>
        <w:t xml:space="preserve"> y de los</w:t>
      </w:r>
      <w:r>
        <w:rPr>
          <w:rFonts w:ascii="Verdana" w:hAnsi="Verdana"/>
          <w:sz w:val="20"/>
          <w:szCs w:val="20"/>
        </w:rPr>
        <w:t xml:space="preserve"> señor</w:t>
      </w:r>
      <w:r w:rsidR="005E3C25">
        <w:rPr>
          <w:rFonts w:ascii="Verdana" w:hAnsi="Verdana"/>
          <w:sz w:val="20"/>
          <w:szCs w:val="20"/>
        </w:rPr>
        <w:t>es</w:t>
      </w:r>
      <w:r>
        <w:rPr>
          <w:rFonts w:ascii="Verdana" w:hAnsi="Verdana"/>
          <w:sz w:val="20"/>
          <w:szCs w:val="20"/>
        </w:rPr>
        <w:t xml:space="preserve"> Juan Cristóbal Aldana</w:t>
      </w:r>
      <w:r>
        <w:rPr>
          <w:rStyle w:val="FootnoteReference"/>
          <w:rFonts w:ascii="Verdana" w:hAnsi="Verdana"/>
          <w:sz w:val="20"/>
          <w:szCs w:val="20"/>
        </w:rPr>
        <w:footnoteReference w:id="18"/>
      </w:r>
      <w:r>
        <w:rPr>
          <w:rFonts w:ascii="Verdana" w:hAnsi="Verdana"/>
          <w:sz w:val="20"/>
          <w:szCs w:val="20"/>
        </w:rPr>
        <w:t>, Leonel González</w:t>
      </w:r>
      <w:r>
        <w:rPr>
          <w:rStyle w:val="FootnoteReference"/>
          <w:rFonts w:ascii="Verdana" w:hAnsi="Verdana"/>
          <w:sz w:val="20"/>
          <w:szCs w:val="20"/>
        </w:rPr>
        <w:footnoteReference w:id="19"/>
      </w:r>
      <w:r>
        <w:rPr>
          <w:rFonts w:ascii="Verdana" w:hAnsi="Verdana"/>
          <w:sz w:val="20"/>
          <w:szCs w:val="20"/>
        </w:rPr>
        <w:t>, Denis Martínez</w:t>
      </w:r>
      <w:r>
        <w:rPr>
          <w:rStyle w:val="FootnoteReference"/>
          <w:rFonts w:ascii="Verdana" w:hAnsi="Verdana"/>
          <w:sz w:val="20"/>
          <w:szCs w:val="20"/>
        </w:rPr>
        <w:footnoteReference w:id="20"/>
      </w:r>
      <w:r>
        <w:rPr>
          <w:rFonts w:ascii="Verdana" w:hAnsi="Verdana"/>
          <w:sz w:val="20"/>
          <w:szCs w:val="20"/>
        </w:rPr>
        <w:t xml:space="preserve">, </w:t>
      </w:r>
      <w:r w:rsidR="005E3C25">
        <w:rPr>
          <w:rFonts w:ascii="Verdana" w:hAnsi="Verdana"/>
          <w:sz w:val="20"/>
          <w:szCs w:val="20"/>
        </w:rPr>
        <w:t xml:space="preserve">y </w:t>
      </w:r>
      <w:r>
        <w:rPr>
          <w:rFonts w:ascii="Verdana" w:hAnsi="Verdana"/>
          <w:sz w:val="20"/>
          <w:szCs w:val="20"/>
        </w:rPr>
        <w:t>Luis Rodolfo Ramírez García</w:t>
      </w:r>
      <w:r>
        <w:rPr>
          <w:rStyle w:val="FootnoteReference"/>
          <w:rFonts w:ascii="Verdana" w:hAnsi="Verdana"/>
          <w:sz w:val="20"/>
          <w:szCs w:val="20"/>
        </w:rPr>
        <w:footnoteReference w:id="21"/>
      </w:r>
      <w:r w:rsidR="00707F92">
        <w:rPr>
          <w:rFonts w:ascii="Verdana" w:hAnsi="Verdana"/>
          <w:sz w:val="20"/>
          <w:szCs w:val="20"/>
        </w:rPr>
        <w:t xml:space="preserve">. </w:t>
      </w:r>
      <w:r w:rsidR="003A458D">
        <w:rPr>
          <w:rFonts w:ascii="Verdana" w:hAnsi="Verdana"/>
          <w:sz w:val="20"/>
          <w:szCs w:val="20"/>
        </w:rPr>
        <w:t>En su lista definitiva los representantes</w:t>
      </w:r>
      <w:r w:rsidR="00233A4F">
        <w:rPr>
          <w:rFonts w:ascii="Verdana" w:hAnsi="Verdana"/>
          <w:sz w:val="20"/>
          <w:szCs w:val="20"/>
        </w:rPr>
        <w:t xml:space="preserve"> reiteraron su ofrecimiento original</w:t>
      </w:r>
      <w:r w:rsidR="003A458D">
        <w:rPr>
          <w:rFonts w:ascii="Verdana" w:hAnsi="Verdana"/>
          <w:sz w:val="20"/>
          <w:szCs w:val="20"/>
        </w:rPr>
        <w:t xml:space="preserve"> exceptua</w:t>
      </w:r>
      <w:r w:rsidR="002446E4">
        <w:rPr>
          <w:rFonts w:ascii="Verdana" w:hAnsi="Verdana"/>
          <w:sz w:val="20"/>
          <w:szCs w:val="20"/>
        </w:rPr>
        <w:t>ron</w:t>
      </w:r>
      <w:r w:rsidR="003A458D">
        <w:rPr>
          <w:rFonts w:ascii="Verdana" w:hAnsi="Verdana"/>
          <w:sz w:val="20"/>
          <w:szCs w:val="20"/>
        </w:rPr>
        <w:t xml:space="preserve"> el dictamen de </w:t>
      </w:r>
      <w:r w:rsidR="003A458D">
        <w:rPr>
          <w:rFonts w:ascii="Verdana" w:hAnsi="Verdana"/>
          <w:sz w:val="20"/>
          <w:szCs w:val="20"/>
        </w:rPr>
        <w:lastRenderedPageBreak/>
        <w:t xml:space="preserve">la señora Edna Karina </w:t>
      </w:r>
      <w:proofErr w:type="spellStart"/>
      <w:r w:rsidR="003A458D">
        <w:rPr>
          <w:rFonts w:ascii="Verdana" w:hAnsi="Verdana"/>
          <w:sz w:val="20"/>
          <w:szCs w:val="20"/>
        </w:rPr>
        <w:t>Vaquerano</w:t>
      </w:r>
      <w:proofErr w:type="spellEnd"/>
      <w:r w:rsidR="003A458D">
        <w:rPr>
          <w:rFonts w:ascii="Verdana" w:hAnsi="Verdana"/>
          <w:sz w:val="20"/>
          <w:szCs w:val="20"/>
        </w:rPr>
        <w:t xml:space="preserve"> Martínez</w:t>
      </w:r>
      <w:r w:rsidR="001D302D">
        <w:rPr>
          <w:rFonts w:ascii="Verdana" w:hAnsi="Verdana"/>
          <w:sz w:val="20"/>
          <w:szCs w:val="20"/>
        </w:rPr>
        <w:t>. Con</w:t>
      </w:r>
      <w:r w:rsidR="003A458D">
        <w:rPr>
          <w:rFonts w:ascii="Verdana" w:hAnsi="Verdana"/>
          <w:sz w:val="20"/>
          <w:szCs w:val="20"/>
        </w:rPr>
        <w:t xml:space="preserve"> respecto </w:t>
      </w:r>
      <w:r w:rsidR="001D302D">
        <w:rPr>
          <w:rFonts w:ascii="Verdana" w:hAnsi="Verdana"/>
          <w:sz w:val="20"/>
          <w:szCs w:val="20"/>
        </w:rPr>
        <w:t xml:space="preserve">al dictamen de la señora </w:t>
      </w:r>
      <w:proofErr w:type="spellStart"/>
      <w:r w:rsidR="001D302D">
        <w:rPr>
          <w:rFonts w:ascii="Verdana" w:hAnsi="Verdana"/>
          <w:sz w:val="20"/>
          <w:szCs w:val="20"/>
        </w:rPr>
        <w:t>Vaquerano</w:t>
      </w:r>
      <w:proofErr w:type="spellEnd"/>
      <w:r w:rsidR="001D302D">
        <w:rPr>
          <w:rFonts w:ascii="Verdana" w:hAnsi="Verdana"/>
          <w:sz w:val="20"/>
          <w:szCs w:val="20"/>
        </w:rPr>
        <w:t xml:space="preserve"> Martínez, </w:t>
      </w:r>
      <w:r w:rsidR="003A458D">
        <w:rPr>
          <w:rFonts w:ascii="Verdana" w:hAnsi="Verdana"/>
          <w:sz w:val="20"/>
          <w:szCs w:val="20"/>
        </w:rPr>
        <w:t xml:space="preserve"> señalaron que “se renuncia</w:t>
      </w:r>
      <w:r w:rsidR="001D302D">
        <w:rPr>
          <w:rFonts w:ascii="Verdana" w:hAnsi="Verdana"/>
          <w:sz w:val="20"/>
          <w:szCs w:val="20"/>
        </w:rPr>
        <w:t xml:space="preserve"> [a]</w:t>
      </w:r>
      <w:r w:rsidR="003A458D">
        <w:rPr>
          <w:rFonts w:ascii="Verdana" w:hAnsi="Verdana"/>
          <w:sz w:val="20"/>
          <w:szCs w:val="20"/>
        </w:rPr>
        <w:t xml:space="preserve"> la declaración de la perito […] por economía procesal en virtud </w:t>
      </w:r>
      <w:r w:rsidR="001D302D">
        <w:rPr>
          <w:rFonts w:ascii="Verdana" w:hAnsi="Verdana"/>
          <w:sz w:val="20"/>
          <w:szCs w:val="20"/>
        </w:rPr>
        <w:t xml:space="preserve">[a] </w:t>
      </w:r>
      <w:r w:rsidR="003A458D">
        <w:rPr>
          <w:rFonts w:ascii="Verdana" w:hAnsi="Verdana"/>
          <w:sz w:val="20"/>
          <w:szCs w:val="20"/>
        </w:rPr>
        <w:t>que su peritaje […] se encuentra ya incorporado en los anexos presentados por la Comisión”.</w:t>
      </w:r>
      <w:r w:rsidR="00623F45" w:rsidRPr="00623F45">
        <w:rPr>
          <w:rFonts w:ascii="Verdana" w:hAnsi="Verdana"/>
          <w:sz w:val="20"/>
          <w:szCs w:val="20"/>
        </w:rPr>
        <w:t xml:space="preserve"> </w:t>
      </w:r>
      <w:r w:rsidR="00623F45" w:rsidRPr="007F2452">
        <w:rPr>
          <w:rFonts w:ascii="Verdana" w:hAnsi="Verdana"/>
          <w:sz w:val="20"/>
          <w:szCs w:val="20"/>
        </w:rPr>
        <w:t xml:space="preserve">Por su parte, el </w:t>
      </w:r>
      <w:r w:rsidR="00623F45" w:rsidRPr="00233A4F">
        <w:rPr>
          <w:rFonts w:ascii="Verdana" w:hAnsi="Verdana"/>
          <w:b/>
          <w:i/>
          <w:sz w:val="20"/>
          <w:szCs w:val="20"/>
        </w:rPr>
        <w:t>Estado</w:t>
      </w:r>
      <w:r w:rsidR="00623F45" w:rsidRPr="007F2452">
        <w:rPr>
          <w:rFonts w:ascii="Verdana" w:hAnsi="Verdana"/>
          <w:sz w:val="20"/>
          <w:szCs w:val="20"/>
        </w:rPr>
        <w:t xml:space="preserve"> en sus observaciones a la lista definitiva recusó al señor Luis Rodolfo Ramírez G</w:t>
      </w:r>
      <w:r w:rsidR="00180E48">
        <w:rPr>
          <w:rFonts w:ascii="Verdana" w:hAnsi="Verdana"/>
          <w:sz w:val="20"/>
          <w:szCs w:val="20"/>
        </w:rPr>
        <w:t xml:space="preserve">arcía y a la señora Patricia Saraí Villatoro </w:t>
      </w:r>
      <w:r w:rsidR="00623F45" w:rsidRPr="007F2452">
        <w:rPr>
          <w:rFonts w:ascii="Verdana" w:hAnsi="Verdana"/>
          <w:sz w:val="20"/>
          <w:szCs w:val="20"/>
        </w:rPr>
        <w:t xml:space="preserve">Martínez, lo cual se resolverá </w:t>
      </w:r>
      <w:r w:rsidR="00623F45" w:rsidRPr="007F2452">
        <w:rPr>
          <w:rFonts w:ascii="Verdana" w:hAnsi="Verdana"/>
          <w:i/>
          <w:sz w:val="20"/>
          <w:szCs w:val="20"/>
        </w:rPr>
        <w:t>infra</w:t>
      </w:r>
      <w:r w:rsidR="00623F45" w:rsidRPr="007F2452">
        <w:rPr>
          <w:rFonts w:ascii="Verdana" w:hAnsi="Verdana"/>
          <w:sz w:val="20"/>
          <w:szCs w:val="20"/>
        </w:rPr>
        <w:t>.</w:t>
      </w:r>
    </w:p>
    <w:p w:rsidR="00623F45" w:rsidRPr="00623F45" w:rsidRDefault="00623F45" w:rsidP="00623F45">
      <w:pPr>
        <w:pStyle w:val="Normal1"/>
        <w:widowControl/>
        <w:autoSpaceDE w:val="0"/>
        <w:autoSpaceDN w:val="0"/>
        <w:adjustRightInd w:val="0"/>
        <w:contextualSpacing/>
        <w:jc w:val="both"/>
        <w:rPr>
          <w:rFonts w:ascii="Verdana" w:hAnsi="Verdana"/>
          <w:sz w:val="20"/>
          <w:szCs w:val="20"/>
        </w:rPr>
      </w:pPr>
    </w:p>
    <w:p w:rsidR="00623F45" w:rsidRPr="001C4E77" w:rsidRDefault="00623F45" w:rsidP="00623F45">
      <w:pPr>
        <w:pStyle w:val="Normal1"/>
        <w:widowControl/>
        <w:numPr>
          <w:ilvl w:val="0"/>
          <w:numId w:val="3"/>
        </w:numPr>
        <w:autoSpaceDE w:val="0"/>
        <w:autoSpaceDN w:val="0"/>
        <w:adjustRightInd w:val="0"/>
        <w:ind w:left="0" w:firstLine="0"/>
        <w:contextualSpacing/>
        <w:jc w:val="both"/>
        <w:rPr>
          <w:rFonts w:ascii="Verdana" w:hAnsi="Verdana"/>
          <w:sz w:val="20"/>
          <w:szCs w:val="20"/>
        </w:rPr>
      </w:pPr>
      <w:r>
        <w:rPr>
          <w:rFonts w:ascii="Verdana" w:hAnsi="Verdana"/>
          <w:sz w:val="20"/>
          <w:szCs w:val="20"/>
        </w:rPr>
        <w:t xml:space="preserve">El </w:t>
      </w:r>
      <w:r w:rsidRPr="00A32A2E">
        <w:rPr>
          <w:rFonts w:ascii="Verdana" w:hAnsi="Verdana"/>
          <w:b/>
          <w:i/>
          <w:sz w:val="20"/>
          <w:szCs w:val="20"/>
        </w:rPr>
        <w:t>Estado</w:t>
      </w:r>
      <w:r>
        <w:rPr>
          <w:rFonts w:ascii="Verdana" w:hAnsi="Verdana"/>
          <w:sz w:val="20"/>
          <w:szCs w:val="20"/>
        </w:rPr>
        <w:t xml:space="preserve"> alegó que no se cuenta con documentos que acrediten el área de experiencia de los peritos propuestos por lo</w:t>
      </w:r>
      <w:r w:rsidR="007E07F6">
        <w:rPr>
          <w:rFonts w:ascii="Verdana" w:hAnsi="Verdana"/>
          <w:sz w:val="20"/>
          <w:szCs w:val="20"/>
        </w:rPr>
        <w:t>s</w:t>
      </w:r>
      <w:r>
        <w:rPr>
          <w:rFonts w:ascii="Verdana" w:hAnsi="Verdana"/>
          <w:sz w:val="20"/>
          <w:szCs w:val="20"/>
        </w:rPr>
        <w:t xml:space="preserve"> representantes, ni con </w:t>
      </w:r>
      <w:r w:rsidR="007E07F6">
        <w:rPr>
          <w:rFonts w:ascii="Verdana" w:hAnsi="Verdana"/>
          <w:sz w:val="20"/>
          <w:szCs w:val="20"/>
        </w:rPr>
        <w:t xml:space="preserve">los </w:t>
      </w:r>
      <w:r>
        <w:rPr>
          <w:rFonts w:ascii="Verdana" w:hAnsi="Verdana"/>
          <w:sz w:val="20"/>
          <w:szCs w:val="20"/>
        </w:rPr>
        <w:t>documentos que permitan identificarlos para poder evaluar su idoneidad</w:t>
      </w:r>
      <w:r w:rsidR="007E07F6">
        <w:rPr>
          <w:rFonts w:ascii="Verdana" w:hAnsi="Verdana"/>
          <w:sz w:val="20"/>
          <w:szCs w:val="20"/>
        </w:rPr>
        <w:t xml:space="preserve"> por lo que </w:t>
      </w:r>
      <w:r>
        <w:rPr>
          <w:rFonts w:ascii="Verdana" w:hAnsi="Verdana"/>
          <w:sz w:val="20"/>
          <w:szCs w:val="20"/>
        </w:rPr>
        <w:t xml:space="preserve">solicitó que dicha documentación sea remitida de forma inmediata o que los peritos sean descartados. </w:t>
      </w:r>
      <w:r>
        <w:rPr>
          <w:rFonts w:ascii="Verdana" w:hAnsi="Verdana"/>
          <w:b/>
          <w:sz w:val="16"/>
          <w:szCs w:val="16"/>
        </w:rPr>
        <w:t>(f.620</w:t>
      </w:r>
      <w:r w:rsidRPr="00B62CF5">
        <w:rPr>
          <w:rFonts w:ascii="Verdana" w:hAnsi="Verdana"/>
          <w:b/>
          <w:sz w:val="16"/>
          <w:szCs w:val="16"/>
        </w:rPr>
        <w:t>)</w:t>
      </w:r>
      <w:r>
        <w:rPr>
          <w:rFonts w:ascii="Verdana" w:hAnsi="Verdana"/>
          <w:sz w:val="20"/>
          <w:szCs w:val="20"/>
        </w:rPr>
        <w:t xml:space="preserve"> </w:t>
      </w:r>
      <w:r w:rsidRPr="001C4E77">
        <w:rPr>
          <w:rFonts w:ascii="Verdana" w:hAnsi="Verdana"/>
          <w:sz w:val="20"/>
          <w:szCs w:val="20"/>
        </w:rPr>
        <w:t>Al respecto, el Presidente advierte</w:t>
      </w:r>
      <w:r w:rsidR="007E07F6">
        <w:rPr>
          <w:rFonts w:ascii="Verdana" w:hAnsi="Verdana"/>
          <w:sz w:val="20"/>
          <w:szCs w:val="20"/>
        </w:rPr>
        <w:t xml:space="preserve"> </w:t>
      </w:r>
      <w:r w:rsidRPr="001C4E77">
        <w:rPr>
          <w:rFonts w:ascii="Verdana" w:hAnsi="Verdana"/>
          <w:sz w:val="20"/>
          <w:szCs w:val="20"/>
        </w:rPr>
        <w:t>que las hojas de vida de las personas ofrecidas para rendir dictámenes periciales por los representantes fueron remitid</w:t>
      </w:r>
      <w:r w:rsidR="007E07F6">
        <w:rPr>
          <w:rFonts w:ascii="Verdana" w:hAnsi="Verdana"/>
          <w:sz w:val="20"/>
          <w:szCs w:val="20"/>
        </w:rPr>
        <w:t>a</w:t>
      </w:r>
      <w:r w:rsidRPr="001C4E77">
        <w:rPr>
          <w:rFonts w:ascii="Verdana" w:hAnsi="Verdana"/>
          <w:sz w:val="20"/>
          <w:szCs w:val="20"/>
        </w:rPr>
        <w:t>s</w:t>
      </w:r>
      <w:r w:rsidR="00180E48">
        <w:rPr>
          <w:rFonts w:ascii="Verdana" w:hAnsi="Verdana"/>
          <w:sz w:val="20"/>
          <w:szCs w:val="20"/>
        </w:rPr>
        <w:t xml:space="preserve"> el 17 de octubre de 2018</w:t>
      </w:r>
      <w:r w:rsidRPr="001C4E77">
        <w:rPr>
          <w:rFonts w:ascii="Verdana" w:hAnsi="Verdana"/>
          <w:sz w:val="20"/>
          <w:szCs w:val="20"/>
        </w:rPr>
        <w:t xml:space="preserve"> junto con los anexos a</w:t>
      </w:r>
      <w:r w:rsidR="001C4E77">
        <w:rPr>
          <w:rFonts w:ascii="Verdana" w:hAnsi="Verdana"/>
          <w:sz w:val="20"/>
          <w:szCs w:val="20"/>
        </w:rPr>
        <w:t>l escrito de solicitudes</w:t>
      </w:r>
      <w:r w:rsidR="007E07F6">
        <w:rPr>
          <w:rFonts w:ascii="Verdana" w:hAnsi="Verdana"/>
          <w:sz w:val="20"/>
          <w:szCs w:val="20"/>
        </w:rPr>
        <w:t xml:space="preserve"> y </w:t>
      </w:r>
      <w:r w:rsidR="001C4E77">
        <w:rPr>
          <w:rFonts w:ascii="Verdana" w:hAnsi="Verdana"/>
          <w:sz w:val="20"/>
          <w:szCs w:val="20"/>
        </w:rPr>
        <w:t>argumentos y pruebas</w:t>
      </w:r>
      <w:r w:rsidRPr="001C4E77">
        <w:rPr>
          <w:rFonts w:ascii="Verdana" w:hAnsi="Verdana"/>
          <w:sz w:val="20"/>
          <w:szCs w:val="20"/>
        </w:rPr>
        <w:t>.</w:t>
      </w:r>
      <w:r w:rsidR="007E07F6">
        <w:rPr>
          <w:rFonts w:ascii="Verdana" w:hAnsi="Verdana"/>
          <w:sz w:val="20"/>
          <w:szCs w:val="20"/>
        </w:rPr>
        <w:t xml:space="preserve"> </w:t>
      </w:r>
    </w:p>
    <w:p w:rsidR="00623F45" w:rsidRPr="00623F45" w:rsidRDefault="00623F45" w:rsidP="001777F4">
      <w:pPr>
        <w:pStyle w:val="ListParagraph"/>
        <w:spacing w:after="0"/>
        <w:rPr>
          <w:rFonts w:ascii="Verdana" w:hAnsi="Verdana"/>
          <w:sz w:val="20"/>
          <w:szCs w:val="20"/>
          <w:lang w:val="es-CR"/>
        </w:rPr>
      </w:pPr>
    </w:p>
    <w:p w:rsidR="003F0BC0" w:rsidRPr="00B437C1" w:rsidRDefault="003F0BC0" w:rsidP="003F0BC0">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B437C1">
        <w:rPr>
          <w:rFonts w:ascii="Verdana" w:hAnsi="Verdana"/>
          <w:sz w:val="20"/>
          <w:szCs w:val="20"/>
        </w:rPr>
        <w:t>En primer lugar, en relación con el dictamen pericial de</w:t>
      </w:r>
      <w:r w:rsidR="00E353A3" w:rsidRPr="00B437C1">
        <w:rPr>
          <w:rFonts w:ascii="Verdana" w:hAnsi="Verdana"/>
          <w:sz w:val="20"/>
          <w:szCs w:val="20"/>
        </w:rPr>
        <w:t>l señor</w:t>
      </w:r>
      <w:r w:rsidRPr="00B437C1">
        <w:rPr>
          <w:rFonts w:ascii="Verdana" w:hAnsi="Verdana"/>
          <w:sz w:val="20"/>
          <w:szCs w:val="20"/>
        </w:rPr>
        <w:t xml:space="preserve"> Juan Cristóbal Aldana</w:t>
      </w:r>
      <w:r w:rsidR="00DD76EB" w:rsidRPr="00B437C1">
        <w:rPr>
          <w:rFonts w:ascii="Verdana" w:hAnsi="Verdana"/>
          <w:sz w:val="20"/>
          <w:szCs w:val="20"/>
        </w:rPr>
        <w:t xml:space="preserve"> Alfaro</w:t>
      </w:r>
      <w:r w:rsidRPr="00B437C1">
        <w:rPr>
          <w:rFonts w:ascii="Verdana" w:hAnsi="Verdana"/>
          <w:sz w:val="20"/>
          <w:szCs w:val="20"/>
        </w:rPr>
        <w:t xml:space="preserve">, el Presidente </w:t>
      </w:r>
      <w:r w:rsidR="00147B2D" w:rsidRPr="00B437C1">
        <w:rPr>
          <w:rFonts w:ascii="Verdana" w:hAnsi="Verdana"/>
          <w:sz w:val="20"/>
          <w:szCs w:val="20"/>
        </w:rPr>
        <w:t xml:space="preserve">nota </w:t>
      </w:r>
      <w:r w:rsidR="003E1440" w:rsidRPr="00B437C1">
        <w:rPr>
          <w:rFonts w:ascii="Verdana" w:hAnsi="Verdana"/>
          <w:sz w:val="20"/>
          <w:szCs w:val="20"/>
        </w:rPr>
        <w:t>que la Comisi</w:t>
      </w:r>
      <w:r w:rsidR="00B437C1">
        <w:rPr>
          <w:rFonts w:ascii="Verdana" w:hAnsi="Verdana"/>
          <w:sz w:val="20"/>
          <w:szCs w:val="20"/>
        </w:rPr>
        <w:t>ón</w:t>
      </w:r>
      <w:r w:rsidR="003E1440" w:rsidRPr="00B437C1">
        <w:rPr>
          <w:rFonts w:ascii="Verdana" w:hAnsi="Verdana"/>
          <w:sz w:val="20"/>
          <w:szCs w:val="20"/>
        </w:rPr>
        <w:t xml:space="preserve"> adjuntó </w:t>
      </w:r>
      <w:r w:rsidR="00B437C1">
        <w:rPr>
          <w:rFonts w:ascii="Verdana" w:hAnsi="Verdana"/>
          <w:sz w:val="20"/>
          <w:szCs w:val="20"/>
        </w:rPr>
        <w:t xml:space="preserve">como prueba </w:t>
      </w:r>
      <w:r w:rsidR="003E1440" w:rsidRPr="00B437C1">
        <w:rPr>
          <w:rFonts w:ascii="Verdana" w:hAnsi="Verdana"/>
          <w:sz w:val="20"/>
          <w:szCs w:val="20"/>
        </w:rPr>
        <w:t>el anex</w:t>
      </w:r>
      <w:r w:rsidR="00B437C1" w:rsidRPr="00B437C1">
        <w:rPr>
          <w:rFonts w:ascii="Verdana" w:hAnsi="Verdana"/>
          <w:sz w:val="20"/>
          <w:szCs w:val="20"/>
        </w:rPr>
        <w:t xml:space="preserve">o </w:t>
      </w:r>
      <w:r w:rsidR="003E1440" w:rsidRPr="00B437C1">
        <w:rPr>
          <w:rFonts w:ascii="Verdana" w:hAnsi="Verdana"/>
          <w:sz w:val="20"/>
          <w:szCs w:val="20"/>
        </w:rPr>
        <w:t>12</w:t>
      </w:r>
      <w:r w:rsidR="00B437C1" w:rsidRPr="00B437C1">
        <w:rPr>
          <w:rFonts w:ascii="Verdana" w:hAnsi="Verdana"/>
          <w:sz w:val="20"/>
          <w:szCs w:val="20"/>
        </w:rPr>
        <w:t>,</w:t>
      </w:r>
      <w:r w:rsidR="003E1440" w:rsidRPr="00B437C1">
        <w:rPr>
          <w:rFonts w:ascii="Verdana" w:hAnsi="Verdana"/>
          <w:sz w:val="20"/>
          <w:szCs w:val="20"/>
        </w:rPr>
        <w:t xml:space="preserve"> que corresponde a un peritaje rendido por </w:t>
      </w:r>
      <w:r w:rsidR="00180E48">
        <w:rPr>
          <w:rFonts w:ascii="Verdana" w:hAnsi="Verdana"/>
          <w:sz w:val="20"/>
          <w:szCs w:val="20"/>
        </w:rPr>
        <w:t xml:space="preserve">el </w:t>
      </w:r>
      <w:r w:rsidR="00B437C1" w:rsidRPr="00B437C1">
        <w:rPr>
          <w:rFonts w:ascii="Verdana" w:hAnsi="Verdana"/>
          <w:sz w:val="20"/>
          <w:szCs w:val="20"/>
        </w:rPr>
        <w:t>señor Aldana Alfaro</w:t>
      </w:r>
      <w:r w:rsidR="003E1440" w:rsidRPr="00B437C1">
        <w:rPr>
          <w:rFonts w:ascii="Verdana" w:hAnsi="Verdana"/>
          <w:sz w:val="20"/>
          <w:szCs w:val="20"/>
        </w:rPr>
        <w:t xml:space="preserve">. </w:t>
      </w:r>
      <w:r w:rsidRPr="00B437C1">
        <w:rPr>
          <w:rFonts w:ascii="Verdana" w:hAnsi="Verdana"/>
          <w:sz w:val="20"/>
          <w:szCs w:val="20"/>
        </w:rPr>
        <w:t>En razón de lo anterior,</w:t>
      </w:r>
      <w:r w:rsidR="00B437C1" w:rsidRPr="00B437C1">
        <w:rPr>
          <w:rFonts w:ascii="Verdana" w:hAnsi="Verdana"/>
          <w:sz w:val="20"/>
          <w:szCs w:val="20"/>
        </w:rPr>
        <w:t xml:space="preserve"> y de conformidad con el principio de economía procesal,</w:t>
      </w:r>
      <w:r w:rsidRPr="00B437C1">
        <w:rPr>
          <w:rFonts w:ascii="Verdana" w:hAnsi="Verdana"/>
          <w:sz w:val="20"/>
          <w:szCs w:val="20"/>
        </w:rPr>
        <w:t xml:space="preserve"> esta Presidencia </w:t>
      </w:r>
      <w:r w:rsidR="00CE7EC1" w:rsidRPr="00B437C1">
        <w:rPr>
          <w:rFonts w:ascii="Verdana" w:hAnsi="Verdana"/>
          <w:sz w:val="20"/>
          <w:szCs w:val="20"/>
        </w:rPr>
        <w:t>d</w:t>
      </w:r>
      <w:r w:rsidR="001D302D" w:rsidRPr="00B437C1">
        <w:rPr>
          <w:rFonts w:ascii="Verdana" w:hAnsi="Verdana"/>
          <w:sz w:val="20"/>
          <w:szCs w:val="20"/>
        </w:rPr>
        <w:t>eclara inadmisible</w:t>
      </w:r>
      <w:r w:rsidR="00F31C91" w:rsidRPr="00B437C1">
        <w:rPr>
          <w:rFonts w:ascii="Verdana" w:hAnsi="Verdana"/>
          <w:sz w:val="20"/>
          <w:szCs w:val="20"/>
        </w:rPr>
        <w:t xml:space="preserve"> </w:t>
      </w:r>
      <w:r w:rsidR="00E25D3B" w:rsidRPr="00B437C1">
        <w:rPr>
          <w:rFonts w:ascii="Verdana" w:hAnsi="Verdana"/>
          <w:sz w:val="20"/>
          <w:szCs w:val="20"/>
        </w:rPr>
        <w:t>dicho</w:t>
      </w:r>
      <w:r w:rsidR="00CE7EC1" w:rsidRPr="00B437C1">
        <w:rPr>
          <w:rFonts w:ascii="Verdana" w:hAnsi="Verdana"/>
          <w:sz w:val="20"/>
          <w:szCs w:val="20"/>
        </w:rPr>
        <w:t xml:space="preserve"> </w:t>
      </w:r>
      <w:r w:rsidR="007B2079" w:rsidRPr="00B437C1">
        <w:rPr>
          <w:rFonts w:ascii="Verdana" w:hAnsi="Verdana"/>
          <w:sz w:val="20"/>
          <w:szCs w:val="20"/>
        </w:rPr>
        <w:t>ofrecimiento pericial.</w:t>
      </w:r>
      <w:r w:rsidR="00417801" w:rsidRPr="00B437C1">
        <w:rPr>
          <w:rFonts w:ascii="Verdana" w:hAnsi="Verdana"/>
          <w:sz w:val="20"/>
          <w:szCs w:val="20"/>
        </w:rPr>
        <w:t xml:space="preserve"> </w:t>
      </w:r>
    </w:p>
    <w:p w:rsidR="003F0BC0" w:rsidRPr="003F0BC0" w:rsidRDefault="003F0BC0" w:rsidP="003F0BC0">
      <w:pPr>
        <w:pStyle w:val="Normal1"/>
        <w:widowControl/>
        <w:autoSpaceDE w:val="0"/>
        <w:autoSpaceDN w:val="0"/>
        <w:adjustRightInd w:val="0"/>
        <w:contextualSpacing/>
        <w:jc w:val="both"/>
        <w:rPr>
          <w:rFonts w:ascii="Verdana" w:hAnsi="Verdana"/>
          <w:sz w:val="20"/>
          <w:szCs w:val="20"/>
        </w:rPr>
      </w:pPr>
    </w:p>
    <w:p w:rsidR="00623F45" w:rsidRPr="00731B5A" w:rsidRDefault="00623F45" w:rsidP="00B437C1">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411B31">
        <w:rPr>
          <w:rFonts w:ascii="Verdana" w:hAnsi="Verdana"/>
          <w:sz w:val="20"/>
          <w:szCs w:val="20"/>
        </w:rPr>
        <w:t xml:space="preserve">En segundo lugar, en lo que respecta </w:t>
      </w:r>
      <w:r>
        <w:rPr>
          <w:rFonts w:ascii="Verdana" w:hAnsi="Verdana"/>
          <w:sz w:val="20"/>
          <w:szCs w:val="20"/>
        </w:rPr>
        <w:t xml:space="preserve">al dictamen </w:t>
      </w:r>
      <w:r w:rsidRPr="00411B31">
        <w:rPr>
          <w:rFonts w:ascii="Verdana" w:hAnsi="Verdana"/>
          <w:sz w:val="20"/>
          <w:szCs w:val="20"/>
        </w:rPr>
        <w:t>pericial de la señora Olga Patricia Roldán Monterroso</w:t>
      </w:r>
      <w:r w:rsidR="00BE1909">
        <w:rPr>
          <w:rFonts w:ascii="Verdana" w:hAnsi="Verdana"/>
          <w:sz w:val="20"/>
          <w:szCs w:val="20"/>
        </w:rPr>
        <w:t>, el Presidente nota</w:t>
      </w:r>
      <w:r>
        <w:rPr>
          <w:rFonts w:ascii="Verdana" w:hAnsi="Verdana"/>
          <w:sz w:val="20"/>
          <w:szCs w:val="20"/>
        </w:rPr>
        <w:t xml:space="preserve"> que su </w:t>
      </w:r>
      <w:r w:rsidRPr="00411B31">
        <w:rPr>
          <w:rFonts w:ascii="Verdana" w:hAnsi="Verdana"/>
          <w:sz w:val="20"/>
          <w:szCs w:val="20"/>
        </w:rPr>
        <w:t>objeto se relaciona con aspectos relevantes para la resolución del presente caso, pues versa sobre las negligencias, irregularidades y omisiones cometidas durante la investigación de la ejecución de Tirso Román Valenzuela Ávila, así como las medidas que debería adoptar el Estado para evi</w:t>
      </w:r>
      <w:r w:rsidR="00B437C1">
        <w:rPr>
          <w:rFonts w:ascii="Verdana" w:hAnsi="Verdana"/>
          <w:sz w:val="20"/>
          <w:szCs w:val="20"/>
        </w:rPr>
        <w:t>tar la repetición de los hechos</w:t>
      </w:r>
      <w:r>
        <w:rPr>
          <w:rFonts w:ascii="Verdana" w:hAnsi="Verdana"/>
          <w:sz w:val="20"/>
          <w:szCs w:val="20"/>
        </w:rPr>
        <w:t>. Por lo tanto, esta Presidencia</w:t>
      </w:r>
      <w:r w:rsidR="00F31C91">
        <w:rPr>
          <w:rFonts w:ascii="Verdana" w:hAnsi="Verdana"/>
          <w:sz w:val="20"/>
          <w:szCs w:val="20"/>
        </w:rPr>
        <w:t xml:space="preserve"> admite este dictamen pericial </w:t>
      </w:r>
      <w:r w:rsidR="00F31C91" w:rsidRPr="00441C82">
        <w:rPr>
          <w:rFonts w:ascii="Verdana" w:hAnsi="Verdana"/>
          <w:sz w:val="20"/>
          <w:szCs w:val="20"/>
        </w:rPr>
        <w:t>según el objeto y modalidad determinados en la parte resolutiva de la presente Resolución</w:t>
      </w:r>
      <w:r w:rsidR="00180E48">
        <w:rPr>
          <w:rFonts w:ascii="Verdana" w:hAnsi="Verdana"/>
          <w:sz w:val="20"/>
          <w:szCs w:val="20"/>
        </w:rPr>
        <w:t xml:space="preserve"> (</w:t>
      </w:r>
      <w:r w:rsidR="00180E48" w:rsidRPr="00180E48">
        <w:rPr>
          <w:rFonts w:ascii="Verdana" w:hAnsi="Verdana"/>
          <w:i/>
          <w:sz w:val="20"/>
          <w:szCs w:val="20"/>
        </w:rPr>
        <w:t>infra</w:t>
      </w:r>
      <w:r w:rsidR="00180E48">
        <w:rPr>
          <w:rFonts w:ascii="Verdana" w:hAnsi="Verdana"/>
          <w:sz w:val="20"/>
          <w:szCs w:val="20"/>
        </w:rPr>
        <w:t xml:space="preserve"> punto resolutivo 3)</w:t>
      </w:r>
      <w:r w:rsidR="00F31C91">
        <w:t>.</w:t>
      </w:r>
    </w:p>
    <w:p w:rsidR="00623F45" w:rsidRPr="00411B31" w:rsidRDefault="00623F45" w:rsidP="00623F45">
      <w:pPr>
        <w:pStyle w:val="Normal1"/>
        <w:widowControl/>
        <w:autoSpaceDE w:val="0"/>
        <w:autoSpaceDN w:val="0"/>
        <w:adjustRightInd w:val="0"/>
        <w:contextualSpacing/>
        <w:jc w:val="both"/>
        <w:rPr>
          <w:rFonts w:ascii="Verdana" w:hAnsi="Verdana"/>
          <w:sz w:val="20"/>
          <w:szCs w:val="20"/>
        </w:rPr>
      </w:pPr>
    </w:p>
    <w:p w:rsidR="00A32A2E" w:rsidRPr="00334268" w:rsidRDefault="00623F45" w:rsidP="00A32A2E">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582CD9">
        <w:rPr>
          <w:rFonts w:ascii="Verdana" w:hAnsi="Verdana"/>
          <w:sz w:val="20"/>
          <w:szCs w:val="20"/>
        </w:rPr>
        <w:t xml:space="preserve">En tercer lugar, </w:t>
      </w:r>
      <w:r>
        <w:rPr>
          <w:rFonts w:ascii="Verdana" w:hAnsi="Verdana"/>
          <w:sz w:val="20"/>
          <w:szCs w:val="20"/>
        </w:rPr>
        <w:t xml:space="preserve">en lo que respecta a los dictámenes periciales de los señores Leonel González y Denis Martínez ofrecidos por los representantes, el Presidente </w:t>
      </w:r>
      <w:r w:rsidR="00BE1909">
        <w:rPr>
          <w:rFonts w:ascii="Verdana" w:hAnsi="Verdana"/>
          <w:sz w:val="20"/>
          <w:szCs w:val="20"/>
        </w:rPr>
        <w:t xml:space="preserve">nota </w:t>
      </w:r>
      <w:r>
        <w:rPr>
          <w:rFonts w:ascii="Verdana" w:hAnsi="Verdana"/>
          <w:sz w:val="20"/>
          <w:szCs w:val="20"/>
        </w:rPr>
        <w:t>que el objeto de estos peritajes se relacionan con aspectos relevantes para la resolución del caso, pues versan sobre la aplicación del derecho al debido proceso y sus falencias en Guatemala, en particular sobre el derecho a recurrir en el fallo, así</w:t>
      </w:r>
      <w:r w:rsidR="00F31C91">
        <w:rPr>
          <w:rFonts w:ascii="Verdana" w:hAnsi="Verdana"/>
          <w:sz w:val="20"/>
          <w:szCs w:val="20"/>
        </w:rPr>
        <w:t xml:space="preserve"> como</w:t>
      </w:r>
      <w:r>
        <w:rPr>
          <w:rFonts w:ascii="Verdana" w:hAnsi="Verdana"/>
          <w:sz w:val="20"/>
          <w:szCs w:val="20"/>
        </w:rPr>
        <w:t xml:space="preserve"> también </w:t>
      </w:r>
      <w:r w:rsidR="00F31C91">
        <w:rPr>
          <w:rFonts w:ascii="Verdana" w:hAnsi="Verdana"/>
          <w:sz w:val="20"/>
          <w:szCs w:val="20"/>
        </w:rPr>
        <w:t>sobre</w:t>
      </w:r>
      <w:r>
        <w:rPr>
          <w:rFonts w:ascii="Verdana" w:hAnsi="Verdana"/>
          <w:sz w:val="20"/>
          <w:szCs w:val="20"/>
        </w:rPr>
        <w:t xml:space="preserve"> los programas de limpieza social a personas estigmatizadas dentro de la Policía Nacional Civil, todas cuestiones necesarias para la adecuada resolución del caso. Por este motivo, el Presidente decide admitir dichos peritajes</w:t>
      </w:r>
      <w:r w:rsidR="00F31C91">
        <w:rPr>
          <w:rFonts w:ascii="Verdana" w:hAnsi="Verdana"/>
          <w:sz w:val="20"/>
          <w:szCs w:val="20"/>
        </w:rPr>
        <w:t xml:space="preserve"> </w:t>
      </w:r>
      <w:r w:rsidR="00F31C91" w:rsidRPr="00441C82">
        <w:rPr>
          <w:rFonts w:ascii="Verdana" w:hAnsi="Verdana"/>
          <w:sz w:val="20"/>
          <w:szCs w:val="20"/>
        </w:rPr>
        <w:t>según el objeto y modalidad determinados en la parte resolutiva de la presente Resolución</w:t>
      </w:r>
      <w:r w:rsidR="00180E48">
        <w:rPr>
          <w:rFonts w:ascii="Verdana" w:hAnsi="Verdana"/>
          <w:sz w:val="20"/>
          <w:szCs w:val="20"/>
        </w:rPr>
        <w:t xml:space="preserve"> (</w:t>
      </w:r>
      <w:r w:rsidR="00180E48" w:rsidRPr="00180E48">
        <w:rPr>
          <w:rFonts w:ascii="Verdana" w:hAnsi="Verdana"/>
          <w:i/>
          <w:sz w:val="20"/>
          <w:szCs w:val="20"/>
        </w:rPr>
        <w:t>infra</w:t>
      </w:r>
      <w:r w:rsidR="00180E48">
        <w:rPr>
          <w:rFonts w:ascii="Verdana" w:hAnsi="Verdana"/>
          <w:sz w:val="20"/>
          <w:szCs w:val="20"/>
        </w:rPr>
        <w:t xml:space="preserve"> punto resolutivo 3)</w:t>
      </w:r>
      <w:r>
        <w:rPr>
          <w:rFonts w:ascii="Verdana" w:hAnsi="Verdana"/>
          <w:sz w:val="20"/>
          <w:szCs w:val="20"/>
        </w:rPr>
        <w:t xml:space="preserve">. </w:t>
      </w:r>
    </w:p>
    <w:p w:rsidR="00A32A2E" w:rsidRDefault="00A32A2E" w:rsidP="00A32A2E">
      <w:pPr>
        <w:pStyle w:val="Normal1"/>
        <w:widowControl/>
        <w:autoSpaceDE w:val="0"/>
        <w:autoSpaceDN w:val="0"/>
        <w:adjustRightInd w:val="0"/>
        <w:contextualSpacing/>
        <w:jc w:val="both"/>
        <w:rPr>
          <w:rFonts w:ascii="Verdana" w:hAnsi="Verdana"/>
          <w:sz w:val="20"/>
          <w:szCs w:val="20"/>
        </w:rPr>
      </w:pPr>
    </w:p>
    <w:p w:rsidR="00623F45" w:rsidRPr="0033670D" w:rsidRDefault="00623F45" w:rsidP="00334268">
      <w:pPr>
        <w:spacing w:after="0" w:line="240" w:lineRule="auto"/>
        <w:rPr>
          <w:rFonts w:ascii="Verdana" w:hAnsi="Verdana"/>
          <w:i/>
          <w:sz w:val="20"/>
          <w:szCs w:val="20"/>
          <w:lang w:val="es-CR"/>
        </w:rPr>
      </w:pPr>
      <w:r>
        <w:rPr>
          <w:rFonts w:ascii="Verdana" w:hAnsi="Verdana"/>
          <w:i/>
          <w:sz w:val="20"/>
          <w:szCs w:val="20"/>
          <w:lang w:val="es-CR"/>
        </w:rPr>
        <w:t>A.3) Recusación de dos peritos ofrecidos por los representantes</w:t>
      </w:r>
    </w:p>
    <w:p w:rsidR="00623F45" w:rsidRDefault="00623F45" w:rsidP="00334268">
      <w:pPr>
        <w:pStyle w:val="Normal1"/>
        <w:widowControl/>
        <w:autoSpaceDE w:val="0"/>
        <w:autoSpaceDN w:val="0"/>
        <w:adjustRightInd w:val="0"/>
        <w:contextualSpacing/>
        <w:jc w:val="both"/>
        <w:rPr>
          <w:rFonts w:ascii="Verdana" w:hAnsi="Verdana"/>
          <w:sz w:val="20"/>
          <w:szCs w:val="20"/>
        </w:rPr>
      </w:pPr>
    </w:p>
    <w:p w:rsidR="00702919" w:rsidRPr="002D1F01" w:rsidRDefault="00623F45" w:rsidP="00702919">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2D1F01">
        <w:rPr>
          <w:rFonts w:ascii="Verdana" w:hAnsi="Verdana"/>
          <w:sz w:val="20"/>
          <w:szCs w:val="20"/>
        </w:rPr>
        <w:t xml:space="preserve">El </w:t>
      </w:r>
      <w:r w:rsidRPr="002D1F01">
        <w:rPr>
          <w:rFonts w:ascii="Verdana" w:hAnsi="Verdana"/>
          <w:b/>
          <w:i/>
          <w:sz w:val="20"/>
          <w:szCs w:val="20"/>
        </w:rPr>
        <w:t>Estado</w:t>
      </w:r>
      <w:r w:rsidRPr="002D1F01">
        <w:rPr>
          <w:rFonts w:ascii="Verdana" w:hAnsi="Verdana"/>
          <w:i/>
          <w:sz w:val="20"/>
          <w:szCs w:val="20"/>
        </w:rPr>
        <w:t xml:space="preserve"> </w:t>
      </w:r>
      <w:r w:rsidRPr="002D1F01">
        <w:rPr>
          <w:rFonts w:ascii="Verdana" w:hAnsi="Verdana"/>
          <w:sz w:val="20"/>
          <w:szCs w:val="20"/>
        </w:rPr>
        <w:t xml:space="preserve">en su lista definitiva </w:t>
      </w:r>
      <w:r w:rsidR="002D1F01" w:rsidRPr="002D1F01">
        <w:rPr>
          <w:rFonts w:ascii="Verdana" w:hAnsi="Verdana"/>
          <w:sz w:val="20"/>
          <w:szCs w:val="20"/>
        </w:rPr>
        <w:t xml:space="preserve">recusó al </w:t>
      </w:r>
      <w:r w:rsidR="00CA699B" w:rsidRPr="002D1F01">
        <w:rPr>
          <w:rFonts w:ascii="Verdana" w:hAnsi="Verdana"/>
          <w:sz w:val="20"/>
          <w:szCs w:val="20"/>
        </w:rPr>
        <w:t xml:space="preserve">señor </w:t>
      </w:r>
      <w:r w:rsidR="00A32A2E" w:rsidRPr="002D1F01">
        <w:rPr>
          <w:rFonts w:ascii="Verdana" w:hAnsi="Verdana"/>
          <w:sz w:val="20"/>
          <w:szCs w:val="20"/>
        </w:rPr>
        <w:t xml:space="preserve">Luis Rodolfo Ramírez García, </w:t>
      </w:r>
      <w:r w:rsidR="000C55A1">
        <w:rPr>
          <w:rFonts w:ascii="Verdana" w:hAnsi="Verdana"/>
          <w:sz w:val="20"/>
          <w:szCs w:val="20"/>
        </w:rPr>
        <w:t xml:space="preserve">debido a que </w:t>
      </w:r>
      <w:r w:rsidR="00BE5F59">
        <w:rPr>
          <w:rFonts w:ascii="Verdana" w:hAnsi="Verdana"/>
          <w:sz w:val="20"/>
          <w:szCs w:val="20"/>
        </w:rPr>
        <w:t>el ejerció como</w:t>
      </w:r>
      <w:r w:rsidR="00A32A2E" w:rsidRPr="002D1F01">
        <w:rPr>
          <w:rFonts w:ascii="Verdana" w:hAnsi="Verdana"/>
          <w:sz w:val="20"/>
          <w:szCs w:val="20"/>
        </w:rPr>
        <w:t xml:space="preserve"> funcionario del Instituto de Estudios Comparados en Ciencias Penales de Guatemala</w:t>
      </w:r>
      <w:r w:rsidR="00467CB0" w:rsidRPr="002D1F01">
        <w:rPr>
          <w:rFonts w:ascii="Verdana" w:hAnsi="Verdana"/>
          <w:sz w:val="20"/>
          <w:szCs w:val="20"/>
        </w:rPr>
        <w:t xml:space="preserve"> (en adelante “IECCP”)</w:t>
      </w:r>
      <w:r w:rsidR="002D1F01" w:rsidRPr="002D1F01">
        <w:rPr>
          <w:rFonts w:ascii="Verdana" w:hAnsi="Verdana"/>
          <w:sz w:val="20"/>
          <w:szCs w:val="20"/>
        </w:rPr>
        <w:t xml:space="preserve">, y a la </w:t>
      </w:r>
      <w:r w:rsidR="00702919" w:rsidRPr="002D1F01">
        <w:rPr>
          <w:rFonts w:ascii="Verdana" w:hAnsi="Verdana"/>
          <w:sz w:val="20"/>
          <w:szCs w:val="20"/>
        </w:rPr>
        <w:t>señora Patricia Saraí Vill</w:t>
      </w:r>
      <w:r w:rsidR="002D1F01" w:rsidRPr="002D1F01">
        <w:rPr>
          <w:rFonts w:ascii="Verdana" w:hAnsi="Verdana"/>
          <w:sz w:val="20"/>
          <w:szCs w:val="20"/>
        </w:rPr>
        <w:t xml:space="preserve">atoro Martínez, </w:t>
      </w:r>
      <w:r w:rsidR="00BE5F59">
        <w:rPr>
          <w:rFonts w:ascii="Verdana" w:hAnsi="Verdana"/>
          <w:sz w:val="20"/>
          <w:szCs w:val="20"/>
        </w:rPr>
        <w:t>debido</w:t>
      </w:r>
      <w:r w:rsidR="002D1F01" w:rsidRPr="002D1F01">
        <w:rPr>
          <w:rFonts w:ascii="Verdana" w:hAnsi="Verdana"/>
          <w:sz w:val="20"/>
          <w:szCs w:val="20"/>
        </w:rPr>
        <w:t xml:space="preserve"> </w:t>
      </w:r>
      <w:r w:rsidR="00233A4F">
        <w:rPr>
          <w:rFonts w:ascii="Verdana" w:hAnsi="Verdana"/>
          <w:sz w:val="20"/>
          <w:szCs w:val="20"/>
        </w:rPr>
        <w:t xml:space="preserve">a que </w:t>
      </w:r>
      <w:r w:rsidR="002D1F01" w:rsidRPr="002D1F01">
        <w:rPr>
          <w:rFonts w:ascii="Verdana" w:hAnsi="Verdana"/>
          <w:sz w:val="20"/>
          <w:szCs w:val="20"/>
        </w:rPr>
        <w:t>ha</w:t>
      </w:r>
      <w:r w:rsidR="00233A4F">
        <w:rPr>
          <w:rFonts w:ascii="Verdana" w:hAnsi="Verdana"/>
          <w:sz w:val="20"/>
          <w:szCs w:val="20"/>
        </w:rPr>
        <w:t xml:space="preserve"> </w:t>
      </w:r>
      <w:r w:rsidR="002D1F01" w:rsidRPr="002D1F01">
        <w:rPr>
          <w:rFonts w:ascii="Verdana" w:hAnsi="Verdana"/>
          <w:sz w:val="20"/>
          <w:szCs w:val="20"/>
        </w:rPr>
        <w:t xml:space="preserve">sido presentada </w:t>
      </w:r>
      <w:r w:rsidR="00702919" w:rsidRPr="002D1F01">
        <w:rPr>
          <w:rFonts w:ascii="Verdana" w:hAnsi="Verdana"/>
          <w:sz w:val="20"/>
          <w:szCs w:val="20"/>
        </w:rPr>
        <w:t xml:space="preserve">como trabajadora social del Instituto de la Defensa Pública Penal (en adelante “IDPP”). En razón de ello, el Estado </w:t>
      </w:r>
      <w:r w:rsidR="002D1F01" w:rsidRPr="002D1F01">
        <w:rPr>
          <w:rFonts w:ascii="Verdana" w:hAnsi="Verdana"/>
          <w:sz w:val="20"/>
          <w:szCs w:val="20"/>
        </w:rPr>
        <w:t>adujo</w:t>
      </w:r>
      <w:r w:rsidR="00702919" w:rsidRPr="002D1F01">
        <w:rPr>
          <w:rFonts w:ascii="Verdana" w:hAnsi="Verdana"/>
          <w:sz w:val="20"/>
          <w:szCs w:val="20"/>
        </w:rPr>
        <w:t xml:space="preserve"> que han mantenido una relación de subordinación funcional y dependencia con uno de los representantes de la presunta víctima. Dado que no existe certeza de su imparcialidad y de conformidad con el artículo 48.1.c) del Reglamento, solicitó que sus dictámenes periciales sean descartados. </w:t>
      </w:r>
    </w:p>
    <w:p w:rsidR="002D619A" w:rsidRDefault="002D619A" w:rsidP="002D619A">
      <w:pPr>
        <w:pStyle w:val="Normal1"/>
        <w:widowControl/>
        <w:autoSpaceDE w:val="0"/>
        <w:autoSpaceDN w:val="0"/>
        <w:adjustRightInd w:val="0"/>
        <w:contextualSpacing/>
        <w:jc w:val="both"/>
        <w:rPr>
          <w:rFonts w:ascii="Verdana" w:hAnsi="Verdana"/>
          <w:sz w:val="20"/>
          <w:szCs w:val="20"/>
        </w:rPr>
      </w:pPr>
    </w:p>
    <w:p w:rsidR="00AE3E5B" w:rsidRDefault="002936D5" w:rsidP="0087667C">
      <w:pPr>
        <w:pStyle w:val="Normal1"/>
        <w:widowControl/>
        <w:numPr>
          <w:ilvl w:val="0"/>
          <w:numId w:val="3"/>
        </w:numPr>
        <w:autoSpaceDE w:val="0"/>
        <w:autoSpaceDN w:val="0"/>
        <w:adjustRightInd w:val="0"/>
        <w:ind w:left="0" w:firstLine="0"/>
        <w:contextualSpacing/>
        <w:jc w:val="both"/>
        <w:rPr>
          <w:rFonts w:ascii="Verdana" w:hAnsi="Verdana"/>
          <w:sz w:val="20"/>
          <w:szCs w:val="20"/>
        </w:rPr>
      </w:pPr>
      <w:r>
        <w:rPr>
          <w:rFonts w:ascii="Verdana" w:hAnsi="Verdana"/>
          <w:sz w:val="20"/>
          <w:szCs w:val="20"/>
        </w:rPr>
        <w:t xml:space="preserve">Sobre </w:t>
      </w:r>
      <w:r w:rsidR="00D1029E">
        <w:rPr>
          <w:rFonts w:ascii="Verdana" w:hAnsi="Verdana"/>
          <w:sz w:val="20"/>
          <w:szCs w:val="20"/>
        </w:rPr>
        <w:t>la primera recusación</w:t>
      </w:r>
      <w:r>
        <w:rPr>
          <w:rFonts w:ascii="Verdana" w:hAnsi="Verdana"/>
          <w:sz w:val="20"/>
          <w:szCs w:val="20"/>
        </w:rPr>
        <w:t xml:space="preserve">, </w:t>
      </w:r>
      <w:r w:rsidR="00467CB0">
        <w:rPr>
          <w:rFonts w:ascii="Verdana" w:hAnsi="Verdana"/>
          <w:sz w:val="20"/>
          <w:szCs w:val="20"/>
        </w:rPr>
        <w:t xml:space="preserve">se solicitó al señor </w:t>
      </w:r>
      <w:r>
        <w:rPr>
          <w:rFonts w:ascii="Verdana" w:hAnsi="Verdana"/>
          <w:sz w:val="20"/>
          <w:szCs w:val="20"/>
        </w:rPr>
        <w:t>Luis Rodolfo Ramírez</w:t>
      </w:r>
      <w:r w:rsidR="00623F45">
        <w:rPr>
          <w:rFonts w:ascii="Verdana" w:hAnsi="Verdana"/>
          <w:sz w:val="20"/>
          <w:szCs w:val="20"/>
        </w:rPr>
        <w:t xml:space="preserve"> sus observaciones</w:t>
      </w:r>
      <w:r w:rsidR="00467CB0">
        <w:rPr>
          <w:rFonts w:ascii="Verdana" w:hAnsi="Verdana"/>
          <w:sz w:val="20"/>
          <w:szCs w:val="20"/>
        </w:rPr>
        <w:t xml:space="preserve"> respecto a la recusación del Estado. E</w:t>
      </w:r>
      <w:r w:rsidR="00623F45">
        <w:rPr>
          <w:rFonts w:ascii="Verdana" w:hAnsi="Verdana"/>
          <w:sz w:val="20"/>
          <w:szCs w:val="20"/>
        </w:rPr>
        <w:t xml:space="preserve">n su </w:t>
      </w:r>
      <w:r w:rsidR="00CA699B">
        <w:rPr>
          <w:rFonts w:ascii="Verdana" w:hAnsi="Verdana"/>
          <w:sz w:val="20"/>
          <w:szCs w:val="20"/>
        </w:rPr>
        <w:t>escrito de respuesta, el</w:t>
      </w:r>
      <w:r w:rsidR="00467CB0">
        <w:rPr>
          <w:rFonts w:ascii="Verdana" w:hAnsi="Verdana"/>
          <w:sz w:val="20"/>
          <w:szCs w:val="20"/>
        </w:rPr>
        <w:t xml:space="preserve"> señor </w:t>
      </w:r>
      <w:r w:rsidR="00CA699B">
        <w:rPr>
          <w:rFonts w:ascii="Verdana" w:hAnsi="Verdana"/>
          <w:sz w:val="20"/>
          <w:szCs w:val="20"/>
        </w:rPr>
        <w:lastRenderedPageBreak/>
        <w:t xml:space="preserve">Ramírez </w:t>
      </w:r>
      <w:r>
        <w:rPr>
          <w:rFonts w:ascii="Verdana" w:hAnsi="Verdana"/>
          <w:sz w:val="20"/>
          <w:szCs w:val="20"/>
        </w:rPr>
        <w:t xml:space="preserve">argumentó que </w:t>
      </w:r>
      <w:r w:rsidR="002D619A">
        <w:rPr>
          <w:rFonts w:ascii="Verdana" w:hAnsi="Verdana"/>
          <w:sz w:val="20"/>
          <w:szCs w:val="20"/>
        </w:rPr>
        <w:t>efectivamente pertenece a la Junta Directiva del IECCP, pero que en dicha función no se encuentra sujeto a subordinación y dependencia. Además, las funciones que ha desempeñado no han tenido relación c</w:t>
      </w:r>
      <w:r w:rsidR="00467CB0">
        <w:rPr>
          <w:rFonts w:ascii="Verdana" w:hAnsi="Verdana"/>
          <w:sz w:val="20"/>
          <w:szCs w:val="20"/>
        </w:rPr>
        <w:t>on este caso. Por último, señaló</w:t>
      </w:r>
      <w:r w:rsidR="002D619A">
        <w:rPr>
          <w:rFonts w:ascii="Verdana" w:hAnsi="Verdana"/>
          <w:sz w:val="20"/>
          <w:szCs w:val="20"/>
        </w:rPr>
        <w:t xml:space="preserve"> que el peritaje solicitado se referirá al contexto de desarrollo de la institución y de transformación del sistema de justicia, sin referirse a hechos directos que permitan afirmar la violación a derechos humanos, por lo que su pertenencia al IECCP no afecta su imparcialidad. </w:t>
      </w:r>
    </w:p>
    <w:p w:rsidR="00401C8D" w:rsidRPr="00641DC5" w:rsidRDefault="00401C8D" w:rsidP="00401C8D">
      <w:pPr>
        <w:pStyle w:val="Normal1"/>
        <w:widowControl/>
        <w:autoSpaceDE w:val="0"/>
        <w:autoSpaceDN w:val="0"/>
        <w:adjustRightInd w:val="0"/>
        <w:contextualSpacing/>
        <w:jc w:val="both"/>
        <w:rPr>
          <w:rFonts w:ascii="Verdana" w:hAnsi="Verdana"/>
          <w:sz w:val="20"/>
          <w:szCs w:val="20"/>
        </w:rPr>
      </w:pPr>
    </w:p>
    <w:p w:rsidR="00AE3E5B" w:rsidRPr="00F106F9" w:rsidRDefault="00F73589" w:rsidP="0087667C">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87667C">
        <w:rPr>
          <w:rFonts w:ascii="Verdana" w:hAnsi="Verdana"/>
          <w:sz w:val="20"/>
          <w:szCs w:val="20"/>
        </w:rPr>
        <w:t>E</w:t>
      </w:r>
      <w:r w:rsidRPr="00731B5A">
        <w:rPr>
          <w:rFonts w:ascii="Verdana" w:hAnsi="Verdana"/>
          <w:sz w:val="20"/>
          <w:szCs w:val="20"/>
        </w:rPr>
        <w:t xml:space="preserve">n </w:t>
      </w:r>
      <w:r w:rsidRPr="00840925">
        <w:rPr>
          <w:rFonts w:ascii="Verdana" w:hAnsi="Verdana"/>
          <w:sz w:val="20"/>
          <w:szCs w:val="20"/>
        </w:rPr>
        <w:t>cuanto a la segunda recusación</w:t>
      </w:r>
      <w:r w:rsidR="002D619A" w:rsidRPr="00840925">
        <w:rPr>
          <w:rFonts w:ascii="Verdana" w:hAnsi="Verdana"/>
          <w:sz w:val="20"/>
          <w:szCs w:val="20"/>
        </w:rPr>
        <w:t xml:space="preserve">, </w:t>
      </w:r>
      <w:r w:rsidR="00623F45" w:rsidRPr="00A85A23">
        <w:rPr>
          <w:rFonts w:ascii="Verdana" w:hAnsi="Verdana"/>
          <w:sz w:val="20"/>
          <w:szCs w:val="20"/>
        </w:rPr>
        <w:t>se solicitó a la señora Patricia Saraí Villatoro</w:t>
      </w:r>
      <w:r w:rsidR="00AE3E5B">
        <w:rPr>
          <w:rFonts w:ascii="Verdana" w:hAnsi="Verdana"/>
          <w:sz w:val="20"/>
          <w:szCs w:val="20"/>
        </w:rPr>
        <w:t xml:space="preserve"> </w:t>
      </w:r>
      <w:r w:rsidR="00623F45" w:rsidRPr="0087667C">
        <w:rPr>
          <w:rFonts w:ascii="Verdana" w:hAnsi="Verdana"/>
          <w:sz w:val="20"/>
          <w:szCs w:val="20"/>
        </w:rPr>
        <w:t>Martínez</w:t>
      </w:r>
      <w:r w:rsidR="00623F45" w:rsidRPr="00731B5A">
        <w:rPr>
          <w:rFonts w:ascii="Verdana" w:hAnsi="Verdana"/>
          <w:sz w:val="20"/>
          <w:szCs w:val="20"/>
        </w:rPr>
        <w:t xml:space="preserve"> sus observaciones respecto a la recusación del Estado.</w:t>
      </w:r>
      <w:r w:rsidR="00623F45" w:rsidRPr="00840925">
        <w:rPr>
          <w:rFonts w:ascii="Verdana" w:hAnsi="Verdana"/>
          <w:sz w:val="20"/>
          <w:szCs w:val="20"/>
        </w:rPr>
        <w:t xml:space="preserve"> En su</w:t>
      </w:r>
      <w:r w:rsidR="002D619A" w:rsidRPr="00840925">
        <w:rPr>
          <w:rFonts w:ascii="Verdana" w:hAnsi="Verdana"/>
          <w:sz w:val="20"/>
          <w:szCs w:val="20"/>
        </w:rPr>
        <w:t xml:space="preserve"> escrito de respuesta, </w:t>
      </w:r>
      <w:r w:rsidR="00CA699B" w:rsidRPr="00233A4F">
        <w:rPr>
          <w:rFonts w:ascii="Verdana" w:hAnsi="Verdana"/>
          <w:sz w:val="20"/>
          <w:szCs w:val="20"/>
        </w:rPr>
        <w:t xml:space="preserve">dicha </w:t>
      </w:r>
      <w:r w:rsidR="00623F45" w:rsidRPr="00233A4F">
        <w:rPr>
          <w:rFonts w:ascii="Verdana" w:hAnsi="Verdana"/>
          <w:sz w:val="20"/>
          <w:szCs w:val="20"/>
        </w:rPr>
        <w:t xml:space="preserve">señora </w:t>
      </w:r>
      <w:r w:rsidR="002D619A" w:rsidRPr="00233A4F">
        <w:rPr>
          <w:rFonts w:ascii="Verdana" w:hAnsi="Verdana"/>
          <w:sz w:val="20"/>
          <w:szCs w:val="20"/>
        </w:rPr>
        <w:t>argumentó que, si bien es cierto que actualmente se encuentra contratada por el IDPP, no tiene ningún tipo de subordinación funcional con la parte requirente, ya que ejerce su disciplina con imparcialidad y</w:t>
      </w:r>
      <w:r w:rsidR="00623F45" w:rsidRPr="00233A4F">
        <w:rPr>
          <w:rFonts w:ascii="Verdana" w:hAnsi="Verdana"/>
          <w:sz w:val="20"/>
          <w:szCs w:val="20"/>
        </w:rPr>
        <w:t xml:space="preserve"> profesionalismo. Además, señaló</w:t>
      </w:r>
      <w:r w:rsidR="002D619A" w:rsidRPr="00233A4F">
        <w:rPr>
          <w:rFonts w:ascii="Verdana" w:hAnsi="Verdana"/>
          <w:sz w:val="20"/>
          <w:szCs w:val="20"/>
        </w:rPr>
        <w:t xml:space="preserve"> que la asignación de casos al interior de dicha institución es eminentemente aleatoria y que no tiene ningun</w:t>
      </w:r>
      <w:r w:rsidR="00623F45" w:rsidRPr="00233A4F">
        <w:rPr>
          <w:rFonts w:ascii="Verdana" w:hAnsi="Verdana"/>
          <w:sz w:val="20"/>
          <w:szCs w:val="20"/>
        </w:rPr>
        <w:t>a relación de amistad, enemistad</w:t>
      </w:r>
      <w:r w:rsidR="002D619A" w:rsidRPr="00233A4F">
        <w:rPr>
          <w:rFonts w:ascii="Verdana" w:hAnsi="Verdana"/>
          <w:sz w:val="20"/>
          <w:szCs w:val="20"/>
        </w:rPr>
        <w:t xml:space="preserve"> o de cualquier tipo con Tirso Román Valenzuela Ávila </w:t>
      </w:r>
      <w:r w:rsidR="00F17111" w:rsidRPr="00233A4F">
        <w:rPr>
          <w:rFonts w:ascii="Verdana" w:hAnsi="Verdana"/>
          <w:sz w:val="20"/>
          <w:szCs w:val="20"/>
        </w:rPr>
        <w:t xml:space="preserve">o sus familiares, ni tiene interés en el caso, ni recibe instrucciones o directrices acerca de cómo llevar a cabo su trabajo. </w:t>
      </w:r>
    </w:p>
    <w:p w:rsidR="002D1F01" w:rsidRPr="002D1F01" w:rsidRDefault="002D1F01" w:rsidP="00233A4F">
      <w:pPr>
        <w:pStyle w:val="Normal1"/>
        <w:widowControl/>
        <w:autoSpaceDE w:val="0"/>
        <w:autoSpaceDN w:val="0"/>
        <w:adjustRightInd w:val="0"/>
        <w:contextualSpacing/>
        <w:jc w:val="both"/>
        <w:rPr>
          <w:highlight w:val="yellow"/>
        </w:rPr>
      </w:pPr>
    </w:p>
    <w:p w:rsidR="00F73589" w:rsidRPr="000B4AA1" w:rsidRDefault="00F73589" w:rsidP="00F73589">
      <w:pPr>
        <w:pStyle w:val="Normal1"/>
        <w:widowControl/>
        <w:numPr>
          <w:ilvl w:val="0"/>
          <w:numId w:val="3"/>
        </w:numPr>
        <w:autoSpaceDE w:val="0"/>
        <w:autoSpaceDN w:val="0"/>
        <w:adjustRightInd w:val="0"/>
        <w:ind w:left="0" w:firstLine="0"/>
        <w:contextualSpacing/>
        <w:jc w:val="both"/>
        <w:rPr>
          <w:rFonts w:ascii="Verdana" w:hAnsi="Verdana"/>
          <w:sz w:val="20"/>
          <w:szCs w:val="20"/>
          <w:u w:val="single"/>
        </w:rPr>
      </w:pPr>
      <w:r w:rsidRPr="00034A95">
        <w:rPr>
          <w:rFonts w:ascii="Verdana" w:hAnsi="Verdana"/>
          <w:sz w:val="20"/>
          <w:szCs w:val="20"/>
        </w:rPr>
        <w:t xml:space="preserve">El Presidente recuerda que para que una recusación sobre la base del artículo 48.1 c) sea procedente es necesario que concurran dos supuestos: la existencia de un vínculo determinado del perito con la parte proponente y que esa relación afecte su imparcialidad </w:t>
      </w:r>
      <w:r w:rsidRPr="00233A4F">
        <w:rPr>
          <w:rFonts w:ascii="Verdana" w:hAnsi="Verdana"/>
          <w:sz w:val="20"/>
          <w:szCs w:val="20"/>
        </w:rPr>
        <w:t>según el criterio del Tribunal</w:t>
      </w:r>
      <w:r w:rsidRPr="00233A4F">
        <w:rPr>
          <w:rStyle w:val="FootnoteReference"/>
          <w:rFonts w:ascii="Verdana" w:hAnsi="Verdana"/>
          <w:sz w:val="20"/>
          <w:szCs w:val="20"/>
        </w:rPr>
        <w:footnoteReference w:id="22"/>
      </w:r>
      <w:r w:rsidRPr="00233A4F">
        <w:rPr>
          <w:rFonts w:ascii="Verdana" w:hAnsi="Verdana"/>
          <w:sz w:val="20"/>
          <w:szCs w:val="20"/>
        </w:rPr>
        <w:t xml:space="preserve">. En ese sentido, el Presidente nota que en lo que respecta al señor Luis Rodolfo Ramírez García existe un vínculo estrecho con el IECCP, dado que pertenece a su Junta Directiva, cuestión que fue reconocida por el mismo señor Ramírez en su escrito de observaciones. Igualmente, en lo que se refiere a la señora Patricia Saraí Villatoro Martínez, el Presidente nota, como ella lo afirma, que actualmente se encuentra contratada por IDPP. De lo anterior se desprende que existe un vínculo </w:t>
      </w:r>
      <w:r w:rsidR="00AE3E5B" w:rsidRPr="00233A4F">
        <w:rPr>
          <w:rFonts w:ascii="Verdana" w:hAnsi="Verdana"/>
          <w:sz w:val="20"/>
          <w:szCs w:val="20"/>
        </w:rPr>
        <w:t xml:space="preserve">de </w:t>
      </w:r>
      <w:r w:rsidRPr="00233A4F">
        <w:rPr>
          <w:rFonts w:ascii="Verdana" w:hAnsi="Verdana"/>
          <w:sz w:val="20"/>
          <w:szCs w:val="20"/>
        </w:rPr>
        <w:t>dichas personas con el IECCP y el IDPP, respectivamente, con la parte que los proponen como peritos. Dado lo anterior, para evitar cualquier apariencia de parcialidad, esta Presidencia decide admitir las recusaciones interpuestas por el Estado respecto al señor Luis Rodolfo Ramírez García y la señora Patricia Saraí Villatoro Martínez.</w:t>
      </w:r>
    </w:p>
    <w:p w:rsidR="00D105D4" w:rsidRPr="00D105D4" w:rsidRDefault="00D105D4" w:rsidP="00D105D4">
      <w:pPr>
        <w:pStyle w:val="Normal1"/>
        <w:widowControl/>
        <w:autoSpaceDE w:val="0"/>
        <w:autoSpaceDN w:val="0"/>
        <w:adjustRightInd w:val="0"/>
        <w:contextualSpacing/>
        <w:jc w:val="both"/>
        <w:rPr>
          <w:rFonts w:ascii="Verdana" w:hAnsi="Verdana"/>
          <w:b/>
          <w:i/>
          <w:sz w:val="20"/>
          <w:szCs w:val="20"/>
        </w:rPr>
      </w:pPr>
    </w:p>
    <w:p w:rsidR="00582CD9" w:rsidRDefault="00707F92" w:rsidP="00BE1909">
      <w:pPr>
        <w:pStyle w:val="ListParagraph"/>
        <w:spacing w:after="0"/>
        <w:ind w:left="0"/>
        <w:jc w:val="center"/>
        <w:rPr>
          <w:rFonts w:ascii="Verdana" w:hAnsi="Verdana"/>
          <w:b/>
          <w:i/>
          <w:sz w:val="20"/>
          <w:szCs w:val="20"/>
          <w:lang w:val="es-CR"/>
        </w:rPr>
      </w:pPr>
      <w:r>
        <w:rPr>
          <w:rFonts w:ascii="Verdana" w:hAnsi="Verdana"/>
          <w:b/>
          <w:i/>
          <w:sz w:val="20"/>
          <w:szCs w:val="20"/>
          <w:lang w:val="es-CR"/>
        </w:rPr>
        <w:t>B</w:t>
      </w:r>
      <w:r w:rsidR="00582CD9">
        <w:rPr>
          <w:rFonts w:ascii="Verdana" w:hAnsi="Verdana"/>
          <w:b/>
          <w:i/>
          <w:sz w:val="20"/>
          <w:szCs w:val="20"/>
          <w:lang w:val="es-CR"/>
        </w:rPr>
        <w:t>. Admisibilidad de las declaraciones ofrecidas por el Estado</w:t>
      </w:r>
    </w:p>
    <w:p w:rsidR="00582CD9" w:rsidRPr="00582CD9" w:rsidRDefault="00582CD9" w:rsidP="00F76699">
      <w:pPr>
        <w:pStyle w:val="ListParagraph"/>
        <w:spacing w:after="0"/>
        <w:jc w:val="center"/>
        <w:rPr>
          <w:rFonts w:ascii="Verdana" w:hAnsi="Verdana"/>
          <w:sz w:val="20"/>
          <w:szCs w:val="20"/>
          <w:lang w:val="es-CR"/>
        </w:rPr>
      </w:pPr>
    </w:p>
    <w:p w:rsidR="00F73589" w:rsidRDefault="00F73589" w:rsidP="00F73589">
      <w:pPr>
        <w:pStyle w:val="Normal1"/>
        <w:widowControl/>
        <w:numPr>
          <w:ilvl w:val="0"/>
          <w:numId w:val="3"/>
        </w:numPr>
        <w:autoSpaceDE w:val="0"/>
        <w:autoSpaceDN w:val="0"/>
        <w:adjustRightInd w:val="0"/>
        <w:ind w:left="0" w:firstLine="0"/>
        <w:contextualSpacing/>
        <w:jc w:val="both"/>
        <w:rPr>
          <w:rFonts w:ascii="Verdana" w:hAnsi="Verdana"/>
          <w:sz w:val="20"/>
          <w:szCs w:val="20"/>
        </w:rPr>
      </w:pPr>
      <w:r>
        <w:rPr>
          <w:rFonts w:ascii="Verdana" w:hAnsi="Verdana"/>
          <w:sz w:val="20"/>
          <w:szCs w:val="20"/>
        </w:rPr>
        <w:t xml:space="preserve">El </w:t>
      </w:r>
      <w:r w:rsidRPr="00A60D46">
        <w:rPr>
          <w:rFonts w:ascii="Verdana" w:hAnsi="Verdana"/>
          <w:b/>
          <w:i/>
          <w:sz w:val="20"/>
          <w:szCs w:val="20"/>
        </w:rPr>
        <w:t>Estado</w:t>
      </w:r>
      <w:r>
        <w:rPr>
          <w:rFonts w:ascii="Verdana" w:hAnsi="Verdana"/>
          <w:sz w:val="20"/>
          <w:szCs w:val="20"/>
        </w:rPr>
        <w:t xml:space="preserve"> en su escrito de contest</w:t>
      </w:r>
      <w:r w:rsidR="00AE3E5B">
        <w:rPr>
          <w:rFonts w:ascii="Verdana" w:hAnsi="Verdana"/>
          <w:sz w:val="20"/>
          <w:szCs w:val="20"/>
        </w:rPr>
        <w:t>ación, ofreció la prueba de un a</w:t>
      </w:r>
      <w:r>
        <w:rPr>
          <w:rFonts w:ascii="Verdana" w:hAnsi="Verdana"/>
          <w:sz w:val="20"/>
          <w:szCs w:val="20"/>
        </w:rPr>
        <w:t>gente Fiscal de la Fiscalía contra la Impunidad del Ministerio Público</w:t>
      </w:r>
      <w:r>
        <w:rPr>
          <w:rStyle w:val="FootnoteReference"/>
          <w:rFonts w:ascii="Verdana" w:hAnsi="Verdana"/>
          <w:sz w:val="20"/>
          <w:szCs w:val="20"/>
        </w:rPr>
        <w:footnoteReference w:id="23"/>
      </w:r>
      <w:r w:rsidR="00AE3E5B">
        <w:rPr>
          <w:rFonts w:ascii="Verdana" w:hAnsi="Verdana"/>
          <w:sz w:val="20"/>
          <w:szCs w:val="20"/>
        </w:rPr>
        <w:t>, un o</w:t>
      </w:r>
      <w:r>
        <w:rPr>
          <w:rFonts w:ascii="Verdana" w:hAnsi="Verdana"/>
          <w:sz w:val="20"/>
          <w:szCs w:val="20"/>
        </w:rPr>
        <w:t>ficial de la Policía Nacional Civil que se encuentre a cargo de la formación de los agentes de la Policía Nacional Civil</w:t>
      </w:r>
      <w:r>
        <w:rPr>
          <w:rStyle w:val="FootnoteReference"/>
          <w:rFonts w:ascii="Verdana" w:hAnsi="Verdana"/>
          <w:sz w:val="20"/>
          <w:szCs w:val="20"/>
        </w:rPr>
        <w:footnoteReference w:id="24"/>
      </w:r>
      <w:r>
        <w:rPr>
          <w:rFonts w:ascii="Verdana" w:hAnsi="Verdana"/>
          <w:sz w:val="20"/>
          <w:szCs w:val="20"/>
        </w:rPr>
        <w:t>, un agente Fiscal de la Fiscalía de Derechos Humanos del Ministerio Público</w:t>
      </w:r>
      <w:r>
        <w:rPr>
          <w:rStyle w:val="FootnoteReference"/>
          <w:rFonts w:ascii="Verdana" w:hAnsi="Verdana"/>
          <w:sz w:val="20"/>
          <w:szCs w:val="20"/>
        </w:rPr>
        <w:footnoteReference w:id="25"/>
      </w:r>
      <w:r>
        <w:rPr>
          <w:rFonts w:ascii="Verdana" w:hAnsi="Verdana"/>
          <w:sz w:val="20"/>
          <w:szCs w:val="20"/>
        </w:rPr>
        <w:t>, un funcionario del Instituto Nacional de Ciencias Forenses</w:t>
      </w:r>
      <w:r>
        <w:rPr>
          <w:rStyle w:val="FootnoteReference"/>
          <w:rFonts w:ascii="Verdana" w:hAnsi="Verdana"/>
          <w:sz w:val="20"/>
          <w:szCs w:val="20"/>
        </w:rPr>
        <w:footnoteReference w:id="26"/>
      </w:r>
      <w:r>
        <w:rPr>
          <w:rFonts w:ascii="Verdana" w:hAnsi="Verdana"/>
          <w:sz w:val="20"/>
          <w:szCs w:val="20"/>
        </w:rPr>
        <w:t xml:space="preserve"> y un funcionario del Sistema Penitenciario</w:t>
      </w:r>
      <w:r>
        <w:rPr>
          <w:rStyle w:val="FootnoteReference"/>
          <w:rFonts w:ascii="Verdana" w:hAnsi="Verdana"/>
          <w:sz w:val="20"/>
          <w:szCs w:val="20"/>
        </w:rPr>
        <w:footnoteReference w:id="27"/>
      </w:r>
      <w:r>
        <w:rPr>
          <w:rFonts w:ascii="Verdana" w:hAnsi="Verdana"/>
          <w:sz w:val="20"/>
          <w:szCs w:val="20"/>
        </w:rPr>
        <w:t xml:space="preserve">. Al </w:t>
      </w:r>
      <w:r>
        <w:rPr>
          <w:rFonts w:ascii="Verdana" w:hAnsi="Verdana"/>
          <w:sz w:val="20"/>
          <w:szCs w:val="20"/>
        </w:rPr>
        <w:lastRenderedPageBreak/>
        <w:t>respecto de cada uno de ellos, el Estado señaló en su escrito de contestación que dado que los testigos propuestos son funcionarios públicos están sujetos a “procesos que podrían implicar un cambio en sus funciones antes de la recepción de la prueba”, por lo que “no considera oportuno identificar a las personas en particular”.</w:t>
      </w:r>
      <w:r w:rsidRPr="00582CD9">
        <w:rPr>
          <w:rFonts w:ascii="Verdana" w:hAnsi="Verdana"/>
          <w:sz w:val="20"/>
          <w:szCs w:val="20"/>
        </w:rPr>
        <w:t xml:space="preserve"> </w:t>
      </w:r>
      <w:r>
        <w:rPr>
          <w:rFonts w:ascii="Verdana" w:hAnsi="Verdana"/>
          <w:sz w:val="20"/>
          <w:szCs w:val="20"/>
        </w:rPr>
        <w:t xml:space="preserve">Posteriormente, al presentar sus listas definitivas, el Estado informó a la Corte que los nombres de las personas que presentarían declaración son: los señores Carlos Alberto de León Moreno, Edwin </w:t>
      </w:r>
      <w:proofErr w:type="spellStart"/>
      <w:r>
        <w:rPr>
          <w:rFonts w:ascii="Verdana" w:hAnsi="Verdana"/>
          <w:sz w:val="20"/>
          <w:szCs w:val="20"/>
        </w:rPr>
        <w:t>Manfredo</w:t>
      </w:r>
      <w:proofErr w:type="spellEnd"/>
      <w:r>
        <w:rPr>
          <w:rFonts w:ascii="Verdana" w:hAnsi="Verdana"/>
          <w:sz w:val="20"/>
          <w:szCs w:val="20"/>
        </w:rPr>
        <w:t xml:space="preserve"> </w:t>
      </w:r>
      <w:proofErr w:type="spellStart"/>
      <w:r>
        <w:rPr>
          <w:rFonts w:ascii="Verdana" w:hAnsi="Verdana"/>
          <w:sz w:val="20"/>
          <w:szCs w:val="20"/>
        </w:rPr>
        <w:t>Ardiano</w:t>
      </w:r>
      <w:proofErr w:type="spellEnd"/>
      <w:r>
        <w:rPr>
          <w:rFonts w:ascii="Verdana" w:hAnsi="Verdana"/>
          <w:sz w:val="20"/>
          <w:szCs w:val="20"/>
        </w:rPr>
        <w:t xml:space="preserve"> López, Camilo Gilberto Morales Castro y las señoras Elena Gregoria </w:t>
      </w:r>
      <w:proofErr w:type="spellStart"/>
      <w:r w:rsidRPr="0087667C">
        <w:rPr>
          <w:rFonts w:ascii="Verdana" w:hAnsi="Verdana"/>
          <w:sz w:val="20"/>
          <w:szCs w:val="20"/>
        </w:rPr>
        <w:t>Sut</w:t>
      </w:r>
      <w:proofErr w:type="spellEnd"/>
      <w:r>
        <w:rPr>
          <w:rFonts w:ascii="Verdana" w:hAnsi="Verdana"/>
          <w:sz w:val="20"/>
          <w:szCs w:val="20"/>
        </w:rPr>
        <w:t xml:space="preserve"> </w:t>
      </w:r>
      <w:proofErr w:type="spellStart"/>
      <w:r>
        <w:rPr>
          <w:rFonts w:ascii="Verdana" w:hAnsi="Verdana"/>
          <w:sz w:val="20"/>
          <w:szCs w:val="20"/>
        </w:rPr>
        <w:t>Ren</w:t>
      </w:r>
      <w:proofErr w:type="spellEnd"/>
      <w:r>
        <w:rPr>
          <w:rFonts w:ascii="Verdana" w:hAnsi="Verdana"/>
          <w:sz w:val="20"/>
          <w:szCs w:val="20"/>
        </w:rPr>
        <w:t xml:space="preserve"> y Nancy Paola Porras Aguilar. El Estado informó que estas declaraciones serían realizadas p</w:t>
      </w:r>
      <w:r w:rsidR="00AE3E5B">
        <w:rPr>
          <w:rFonts w:ascii="Verdana" w:hAnsi="Verdana"/>
          <w:sz w:val="20"/>
          <w:szCs w:val="20"/>
        </w:rPr>
        <w:t xml:space="preserve">or medio de </w:t>
      </w:r>
      <w:r w:rsidR="00B125C4">
        <w:rPr>
          <w:rFonts w:ascii="Verdana" w:hAnsi="Verdana"/>
          <w:i/>
          <w:sz w:val="20"/>
          <w:szCs w:val="20"/>
        </w:rPr>
        <w:t>a</w:t>
      </w:r>
      <w:r w:rsidRPr="002A2FC1">
        <w:rPr>
          <w:rFonts w:ascii="Verdana" w:hAnsi="Verdana"/>
          <w:i/>
          <w:sz w:val="20"/>
          <w:szCs w:val="20"/>
        </w:rPr>
        <w:t>fid</w:t>
      </w:r>
      <w:r>
        <w:rPr>
          <w:rFonts w:ascii="Verdana" w:hAnsi="Verdana"/>
          <w:i/>
          <w:sz w:val="20"/>
          <w:szCs w:val="20"/>
        </w:rPr>
        <w:t>ávit</w:t>
      </w:r>
      <w:r w:rsidR="00AE3E5B">
        <w:rPr>
          <w:rFonts w:ascii="Verdana" w:hAnsi="Verdana"/>
          <w:sz w:val="20"/>
          <w:szCs w:val="20"/>
        </w:rPr>
        <w:t>s</w:t>
      </w:r>
      <w:r>
        <w:rPr>
          <w:rFonts w:ascii="Verdana" w:hAnsi="Verdana"/>
          <w:sz w:val="20"/>
          <w:szCs w:val="20"/>
        </w:rPr>
        <w:t xml:space="preserve">. </w:t>
      </w:r>
    </w:p>
    <w:p w:rsidR="001C63A7" w:rsidRDefault="00F73589" w:rsidP="00B437C1">
      <w:pPr>
        <w:pStyle w:val="Normal1"/>
        <w:widowControl/>
        <w:tabs>
          <w:tab w:val="left" w:pos="6888"/>
        </w:tabs>
        <w:autoSpaceDE w:val="0"/>
        <w:autoSpaceDN w:val="0"/>
        <w:adjustRightInd w:val="0"/>
        <w:contextualSpacing/>
        <w:jc w:val="both"/>
        <w:rPr>
          <w:rFonts w:ascii="Verdana" w:hAnsi="Verdana"/>
          <w:sz w:val="20"/>
          <w:szCs w:val="20"/>
        </w:rPr>
      </w:pPr>
      <w:r>
        <w:rPr>
          <w:rFonts w:ascii="Verdana" w:hAnsi="Verdana"/>
          <w:sz w:val="20"/>
          <w:szCs w:val="20"/>
        </w:rPr>
        <w:tab/>
      </w:r>
    </w:p>
    <w:p w:rsidR="001C63A7" w:rsidRPr="003567DA" w:rsidRDefault="001C63A7" w:rsidP="001C63A7">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3567DA">
        <w:rPr>
          <w:rFonts w:ascii="Verdana" w:hAnsi="Verdana"/>
          <w:sz w:val="20"/>
          <w:szCs w:val="20"/>
        </w:rPr>
        <w:t xml:space="preserve">Al respecto, los </w:t>
      </w:r>
      <w:r w:rsidRPr="003567DA">
        <w:rPr>
          <w:rFonts w:ascii="Verdana" w:hAnsi="Verdana"/>
          <w:b/>
          <w:i/>
          <w:sz w:val="20"/>
          <w:szCs w:val="20"/>
        </w:rPr>
        <w:t>representantes</w:t>
      </w:r>
      <w:r w:rsidRPr="003567DA">
        <w:rPr>
          <w:rFonts w:ascii="Verdana" w:hAnsi="Verdana"/>
          <w:sz w:val="20"/>
          <w:szCs w:val="20"/>
        </w:rPr>
        <w:t xml:space="preserve"> en el escrito de listas definitivas</w:t>
      </w:r>
      <w:r w:rsidR="0021372F">
        <w:rPr>
          <w:rFonts w:ascii="Verdana" w:hAnsi="Verdana"/>
          <w:sz w:val="20"/>
          <w:szCs w:val="20"/>
        </w:rPr>
        <w:t xml:space="preserve"> </w:t>
      </w:r>
      <w:r w:rsidR="00382556" w:rsidRPr="00382556">
        <w:rPr>
          <w:rFonts w:ascii="Verdana" w:hAnsi="Verdana"/>
          <w:sz w:val="20"/>
          <w:szCs w:val="20"/>
        </w:rPr>
        <w:t>solicit</w:t>
      </w:r>
      <w:r w:rsidR="00382556">
        <w:rPr>
          <w:rFonts w:ascii="Verdana" w:hAnsi="Verdana"/>
          <w:sz w:val="20"/>
          <w:szCs w:val="20"/>
        </w:rPr>
        <w:t>ó que sea</w:t>
      </w:r>
      <w:r w:rsidR="00382556">
        <w:rPr>
          <w:rFonts w:ascii="Verdana" w:hAnsi="Verdana"/>
          <w:strike/>
          <w:sz w:val="20"/>
          <w:szCs w:val="20"/>
        </w:rPr>
        <w:t xml:space="preserve"> </w:t>
      </w:r>
      <w:r w:rsidR="00382556" w:rsidRPr="00382556">
        <w:rPr>
          <w:rFonts w:ascii="Verdana" w:hAnsi="Verdana"/>
          <w:sz w:val="20"/>
          <w:szCs w:val="20"/>
        </w:rPr>
        <w:t xml:space="preserve">rechazado </w:t>
      </w:r>
      <w:r w:rsidR="00382556">
        <w:rPr>
          <w:rFonts w:ascii="Verdana" w:hAnsi="Verdana"/>
          <w:sz w:val="20"/>
          <w:szCs w:val="20"/>
        </w:rPr>
        <w:t>el ofrecimiento</w:t>
      </w:r>
      <w:r w:rsidR="00F106F9">
        <w:rPr>
          <w:rFonts w:ascii="Verdana" w:hAnsi="Verdana"/>
          <w:sz w:val="20"/>
          <w:szCs w:val="20"/>
        </w:rPr>
        <w:t xml:space="preserve"> </w:t>
      </w:r>
      <w:r w:rsidR="00382556">
        <w:rPr>
          <w:rFonts w:ascii="Verdana" w:hAnsi="Verdana"/>
          <w:sz w:val="20"/>
          <w:szCs w:val="20"/>
        </w:rPr>
        <w:t xml:space="preserve">de la prueba testimonial del Estado, dado que “no cumplió con [su] </w:t>
      </w:r>
      <w:r w:rsidRPr="003567DA">
        <w:rPr>
          <w:rFonts w:ascii="Verdana" w:hAnsi="Verdana"/>
          <w:sz w:val="20"/>
          <w:szCs w:val="20"/>
        </w:rPr>
        <w:t>identificación</w:t>
      </w:r>
      <w:r w:rsidR="00382556">
        <w:rPr>
          <w:rFonts w:ascii="Verdana" w:hAnsi="Verdana"/>
          <w:sz w:val="20"/>
          <w:szCs w:val="20"/>
        </w:rPr>
        <w:t xml:space="preserve"> […], ni el objeto de prueba en su [e]</w:t>
      </w:r>
      <w:proofErr w:type="spellStart"/>
      <w:r w:rsidR="00382556">
        <w:rPr>
          <w:rFonts w:ascii="Verdana" w:hAnsi="Verdana"/>
          <w:sz w:val="20"/>
          <w:szCs w:val="20"/>
        </w:rPr>
        <w:t>scrito</w:t>
      </w:r>
      <w:proofErr w:type="spellEnd"/>
      <w:r w:rsidR="00382556">
        <w:rPr>
          <w:rFonts w:ascii="Verdana" w:hAnsi="Verdana"/>
          <w:sz w:val="20"/>
          <w:szCs w:val="20"/>
        </w:rPr>
        <w:t xml:space="preserve"> de [c]</w:t>
      </w:r>
      <w:proofErr w:type="spellStart"/>
      <w:r w:rsidRPr="003567DA">
        <w:rPr>
          <w:rFonts w:ascii="Verdana" w:hAnsi="Verdana"/>
          <w:sz w:val="20"/>
          <w:szCs w:val="20"/>
        </w:rPr>
        <w:t>ontestación</w:t>
      </w:r>
      <w:proofErr w:type="spellEnd"/>
      <w:r w:rsidRPr="003567DA">
        <w:rPr>
          <w:rFonts w:ascii="Verdana" w:hAnsi="Verdana"/>
          <w:sz w:val="20"/>
          <w:szCs w:val="20"/>
        </w:rPr>
        <w:t>.</w:t>
      </w:r>
      <w:r w:rsidR="003567DA" w:rsidRPr="003567DA">
        <w:rPr>
          <w:rFonts w:ascii="Verdana" w:hAnsi="Verdana"/>
          <w:b/>
          <w:sz w:val="16"/>
          <w:szCs w:val="16"/>
        </w:rPr>
        <w:t xml:space="preserve"> </w:t>
      </w:r>
    </w:p>
    <w:p w:rsidR="004E78E9" w:rsidRDefault="004E78E9" w:rsidP="004E78E9">
      <w:pPr>
        <w:pStyle w:val="Normal1"/>
        <w:widowControl/>
        <w:autoSpaceDE w:val="0"/>
        <w:autoSpaceDN w:val="0"/>
        <w:adjustRightInd w:val="0"/>
        <w:contextualSpacing/>
        <w:jc w:val="both"/>
        <w:rPr>
          <w:rFonts w:ascii="Verdana" w:hAnsi="Verdana"/>
          <w:sz w:val="20"/>
          <w:szCs w:val="20"/>
        </w:rPr>
      </w:pPr>
    </w:p>
    <w:p w:rsidR="004E78E9" w:rsidRPr="001C63A7" w:rsidRDefault="001C63A7" w:rsidP="001C63A7">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4C2FF2">
        <w:rPr>
          <w:rFonts w:ascii="Verdana" w:hAnsi="Verdana"/>
          <w:sz w:val="20"/>
          <w:szCs w:val="20"/>
        </w:rPr>
        <w:t>L</w:t>
      </w:r>
      <w:r w:rsidR="004E78E9" w:rsidRPr="004C2FF2">
        <w:rPr>
          <w:rFonts w:ascii="Verdana" w:hAnsi="Verdana"/>
          <w:sz w:val="20"/>
          <w:szCs w:val="20"/>
        </w:rPr>
        <w:t xml:space="preserve">a </w:t>
      </w:r>
      <w:r w:rsidR="004E78E9" w:rsidRPr="004C2FF2">
        <w:rPr>
          <w:rFonts w:ascii="Verdana" w:hAnsi="Verdana"/>
          <w:b/>
          <w:i/>
          <w:sz w:val="20"/>
          <w:szCs w:val="20"/>
        </w:rPr>
        <w:t>Comisión</w:t>
      </w:r>
      <w:r w:rsidR="004E78E9" w:rsidRPr="004C2FF2">
        <w:rPr>
          <w:rFonts w:ascii="Verdana" w:hAnsi="Verdana"/>
          <w:sz w:val="20"/>
          <w:szCs w:val="20"/>
        </w:rPr>
        <w:t xml:space="preserve"> </w:t>
      </w:r>
      <w:r w:rsidR="004C2FF2" w:rsidRPr="004C2FF2">
        <w:rPr>
          <w:rFonts w:ascii="Verdana" w:hAnsi="Verdana"/>
          <w:sz w:val="20"/>
          <w:szCs w:val="20"/>
        </w:rPr>
        <w:t>al respecto señaló que considera inadmisible la prueba presentada por el Estado, dado que el artículo 41.1.c) establece que los declarantes ofrecidos por el Estado y el objeto de su declaración debe</w:t>
      </w:r>
      <w:r w:rsidR="004C2FF2">
        <w:rPr>
          <w:rFonts w:ascii="Verdana" w:hAnsi="Verdana"/>
          <w:sz w:val="20"/>
          <w:szCs w:val="20"/>
        </w:rPr>
        <w:t xml:space="preserve"> ser indicado en el escrito de contestación del Estado. </w:t>
      </w:r>
    </w:p>
    <w:p w:rsidR="000820CA" w:rsidRDefault="000820CA" w:rsidP="000820CA">
      <w:pPr>
        <w:pStyle w:val="Normal1"/>
        <w:widowControl/>
        <w:autoSpaceDE w:val="0"/>
        <w:autoSpaceDN w:val="0"/>
        <w:adjustRightInd w:val="0"/>
        <w:contextualSpacing/>
        <w:jc w:val="both"/>
        <w:rPr>
          <w:rFonts w:ascii="Verdana" w:hAnsi="Verdana"/>
          <w:sz w:val="20"/>
          <w:szCs w:val="20"/>
          <w:highlight w:val="green"/>
        </w:rPr>
      </w:pPr>
    </w:p>
    <w:p w:rsidR="004E78E9" w:rsidRPr="004D0905" w:rsidRDefault="004D0905" w:rsidP="004D0905">
      <w:pPr>
        <w:pStyle w:val="Normal1"/>
        <w:numPr>
          <w:ilvl w:val="0"/>
          <w:numId w:val="3"/>
        </w:numPr>
        <w:ind w:left="0" w:firstLine="0"/>
        <w:contextualSpacing/>
        <w:jc w:val="both"/>
        <w:rPr>
          <w:rFonts w:ascii="Verdana" w:hAnsi="Verdana"/>
          <w:sz w:val="20"/>
          <w:szCs w:val="20"/>
          <w:u w:val="single"/>
        </w:rPr>
      </w:pPr>
      <w:r w:rsidRPr="004D0905">
        <w:rPr>
          <w:rFonts w:ascii="Verdana" w:hAnsi="Verdana"/>
          <w:sz w:val="20"/>
          <w:szCs w:val="20"/>
        </w:rPr>
        <w:t>Al respecto, esta Presidencia recuerda que el artículo 4</w:t>
      </w:r>
      <w:r>
        <w:rPr>
          <w:rFonts w:ascii="Verdana" w:hAnsi="Verdana"/>
          <w:sz w:val="20"/>
          <w:szCs w:val="20"/>
        </w:rPr>
        <w:t>1</w:t>
      </w:r>
      <w:r w:rsidRPr="004D0905">
        <w:rPr>
          <w:rFonts w:ascii="Verdana" w:hAnsi="Verdana"/>
          <w:sz w:val="20"/>
          <w:szCs w:val="20"/>
        </w:rPr>
        <w:t>.</w:t>
      </w:r>
      <w:r>
        <w:rPr>
          <w:rFonts w:ascii="Verdana" w:hAnsi="Verdana"/>
          <w:sz w:val="20"/>
          <w:szCs w:val="20"/>
        </w:rPr>
        <w:t>1</w:t>
      </w:r>
      <w:r w:rsidRPr="004D0905">
        <w:rPr>
          <w:rFonts w:ascii="Verdana" w:hAnsi="Verdana"/>
          <w:sz w:val="20"/>
          <w:szCs w:val="20"/>
        </w:rPr>
        <w:t xml:space="preserve"> inciso c</w:t>
      </w:r>
      <w:r w:rsidR="00382556">
        <w:rPr>
          <w:rFonts w:ascii="Verdana" w:hAnsi="Verdana"/>
          <w:sz w:val="20"/>
          <w:szCs w:val="20"/>
        </w:rPr>
        <w:t>)</w:t>
      </w:r>
      <w:r w:rsidRPr="004D0905">
        <w:rPr>
          <w:rFonts w:ascii="Verdana" w:hAnsi="Verdana"/>
          <w:sz w:val="20"/>
          <w:szCs w:val="20"/>
        </w:rPr>
        <w:t xml:space="preserve"> establece que el momento procesal oportuno para la presentación e individualización de los declarantes ofrecidos por</w:t>
      </w:r>
      <w:r>
        <w:rPr>
          <w:rFonts w:ascii="Verdana" w:hAnsi="Verdana"/>
          <w:sz w:val="20"/>
          <w:szCs w:val="20"/>
        </w:rPr>
        <w:t xml:space="preserve"> el Estado</w:t>
      </w:r>
      <w:r w:rsidRPr="004D0905">
        <w:rPr>
          <w:rFonts w:ascii="Verdana" w:hAnsi="Verdana"/>
          <w:sz w:val="20"/>
          <w:szCs w:val="20"/>
        </w:rPr>
        <w:t xml:space="preserve"> es en </w:t>
      </w:r>
      <w:r>
        <w:rPr>
          <w:rFonts w:ascii="Verdana" w:hAnsi="Verdana"/>
          <w:sz w:val="20"/>
          <w:szCs w:val="20"/>
        </w:rPr>
        <w:t>la contestación</w:t>
      </w:r>
      <w:r w:rsidRPr="004D0905">
        <w:rPr>
          <w:rFonts w:ascii="Verdana" w:hAnsi="Verdana"/>
          <w:sz w:val="20"/>
          <w:szCs w:val="20"/>
        </w:rPr>
        <w:t xml:space="preserve">. Por tanto, la presentación de las listas definitivas de declarantes no constituye una oportunidad procesal para </w:t>
      </w:r>
      <w:r>
        <w:rPr>
          <w:rFonts w:ascii="Verdana" w:hAnsi="Verdana"/>
          <w:sz w:val="20"/>
          <w:szCs w:val="20"/>
        </w:rPr>
        <w:t>individualizar los declarantes ofrecidos</w:t>
      </w:r>
      <w:r w:rsidRPr="004D0905">
        <w:rPr>
          <w:rFonts w:ascii="Verdana" w:hAnsi="Verdana"/>
          <w:sz w:val="20"/>
          <w:szCs w:val="20"/>
        </w:rPr>
        <w:t xml:space="preserve"> por las partes en el procedimiento ante la Corte</w:t>
      </w:r>
      <w:r w:rsidR="00F76699">
        <w:rPr>
          <w:rFonts w:ascii="Verdana" w:hAnsi="Verdana"/>
          <w:sz w:val="20"/>
          <w:szCs w:val="20"/>
        </w:rPr>
        <w:t>. En razón</w:t>
      </w:r>
      <w:r w:rsidR="00F90B83">
        <w:rPr>
          <w:rFonts w:ascii="Verdana" w:hAnsi="Verdana"/>
          <w:sz w:val="20"/>
          <w:szCs w:val="20"/>
        </w:rPr>
        <w:t xml:space="preserve"> de lo anterior,</w:t>
      </w:r>
      <w:r w:rsidRPr="004D0905">
        <w:rPr>
          <w:rFonts w:ascii="Verdana" w:hAnsi="Verdana"/>
          <w:sz w:val="20"/>
          <w:szCs w:val="20"/>
        </w:rPr>
        <w:t xml:space="preserve"> </w:t>
      </w:r>
      <w:r w:rsidR="00F90B83">
        <w:rPr>
          <w:rFonts w:ascii="Verdana" w:hAnsi="Verdana"/>
          <w:sz w:val="20"/>
          <w:szCs w:val="20"/>
        </w:rPr>
        <w:t>e</w:t>
      </w:r>
      <w:r w:rsidRPr="004D0905">
        <w:rPr>
          <w:rFonts w:ascii="Verdana" w:hAnsi="Verdana"/>
          <w:sz w:val="20"/>
          <w:szCs w:val="20"/>
        </w:rPr>
        <w:t xml:space="preserve">sta Presidencia declara inadmisible </w:t>
      </w:r>
      <w:r w:rsidR="00F90B83">
        <w:rPr>
          <w:rFonts w:ascii="Verdana" w:hAnsi="Verdana"/>
          <w:sz w:val="20"/>
          <w:szCs w:val="20"/>
        </w:rPr>
        <w:t>las declaraciones ofrecidas por el Estado, por no haber individualizado a los declarantes oportunamente.</w:t>
      </w:r>
      <w:r w:rsidRPr="004D0905">
        <w:rPr>
          <w:rFonts w:ascii="Verdana" w:hAnsi="Verdana"/>
          <w:sz w:val="20"/>
          <w:szCs w:val="20"/>
        </w:rPr>
        <w:t xml:space="preserve"> </w:t>
      </w:r>
    </w:p>
    <w:p w:rsidR="00F76699" w:rsidRDefault="00F76699" w:rsidP="00B53419">
      <w:pPr>
        <w:pStyle w:val="Normal1"/>
        <w:widowControl/>
        <w:autoSpaceDE w:val="0"/>
        <w:autoSpaceDN w:val="0"/>
        <w:adjustRightInd w:val="0"/>
        <w:contextualSpacing/>
        <w:jc w:val="both"/>
        <w:rPr>
          <w:rFonts w:ascii="Verdana" w:hAnsi="Verdana"/>
          <w:sz w:val="20"/>
          <w:szCs w:val="20"/>
        </w:rPr>
      </w:pPr>
    </w:p>
    <w:p w:rsidR="00AE0641" w:rsidRPr="00F72BA1" w:rsidRDefault="00A82C15" w:rsidP="00F76699">
      <w:pPr>
        <w:pStyle w:val="ListParagraph"/>
        <w:spacing w:line="240" w:lineRule="auto"/>
        <w:jc w:val="both"/>
        <w:rPr>
          <w:rFonts w:ascii="Verdana" w:hAnsi="Verdana"/>
          <w:b/>
          <w:i/>
          <w:sz w:val="20"/>
          <w:szCs w:val="20"/>
          <w:lang w:val="es-CR"/>
        </w:rPr>
      </w:pPr>
      <w:r>
        <w:rPr>
          <w:rFonts w:ascii="Verdana" w:hAnsi="Verdana"/>
          <w:b/>
          <w:i/>
          <w:sz w:val="20"/>
          <w:szCs w:val="20"/>
          <w:lang w:val="es-CR"/>
        </w:rPr>
        <w:t>C</w:t>
      </w:r>
      <w:r w:rsidR="00AE0641">
        <w:rPr>
          <w:rFonts w:ascii="Verdana" w:hAnsi="Verdana"/>
          <w:b/>
          <w:i/>
          <w:sz w:val="20"/>
          <w:szCs w:val="20"/>
          <w:lang w:val="es-CR"/>
        </w:rPr>
        <w:t>. Admisibilidad de</w:t>
      </w:r>
      <w:r w:rsidR="00615BD2">
        <w:rPr>
          <w:rFonts w:ascii="Verdana" w:hAnsi="Verdana"/>
          <w:b/>
          <w:i/>
          <w:sz w:val="20"/>
          <w:szCs w:val="20"/>
          <w:lang w:val="es-CR"/>
        </w:rPr>
        <w:t>l traslado de</w:t>
      </w:r>
      <w:r w:rsidR="00AE0641">
        <w:rPr>
          <w:rFonts w:ascii="Verdana" w:hAnsi="Verdana"/>
          <w:b/>
          <w:i/>
          <w:sz w:val="20"/>
          <w:szCs w:val="20"/>
          <w:lang w:val="es-CR"/>
        </w:rPr>
        <w:t xml:space="preserve"> la prueba pericial ofrecida por la Comisión </w:t>
      </w:r>
    </w:p>
    <w:p w:rsidR="006A4740" w:rsidRPr="00CE37BB" w:rsidRDefault="00EE0D67" w:rsidP="006A4740">
      <w:pPr>
        <w:pStyle w:val="Normal1"/>
        <w:widowControl/>
        <w:numPr>
          <w:ilvl w:val="0"/>
          <w:numId w:val="3"/>
        </w:numPr>
        <w:autoSpaceDE w:val="0"/>
        <w:autoSpaceDN w:val="0"/>
        <w:adjustRightInd w:val="0"/>
        <w:spacing w:line="276" w:lineRule="auto"/>
        <w:ind w:left="0" w:firstLine="0"/>
        <w:contextualSpacing/>
        <w:jc w:val="both"/>
        <w:rPr>
          <w:rFonts w:ascii="Verdana" w:hAnsi="Verdana"/>
          <w:sz w:val="20"/>
          <w:szCs w:val="20"/>
          <w:lang w:val="es-PE"/>
        </w:rPr>
      </w:pPr>
      <w:r w:rsidRPr="00EE0D67">
        <w:rPr>
          <w:rFonts w:ascii="Verdana" w:hAnsi="Verdana"/>
          <w:sz w:val="20"/>
          <w:szCs w:val="20"/>
        </w:rPr>
        <w:t xml:space="preserve">La </w:t>
      </w:r>
      <w:r w:rsidRPr="00EE0D67">
        <w:rPr>
          <w:rFonts w:ascii="Verdana" w:hAnsi="Verdana"/>
          <w:b/>
          <w:i/>
          <w:sz w:val="20"/>
          <w:szCs w:val="20"/>
        </w:rPr>
        <w:t>Comisión</w:t>
      </w:r>
      <w:r w:rsidRPr="00EE0D67">
        <w:rPr>
          <w:rFonts w:ascii="Verdana" w:hAnsi="Verdana"/>
          <w:sz w:val="20"/>
          <w:szCs w:val="20"/>
        </w:rPr>
        <w:t xml:space="preserve"> en su escrito de sometimiento del caso </w:t>
      </w:r>
      <w:r w:rsidR="00180E48">
        <w:rPr>
          <w:rFonts w:ascii="Verdana" w:hAnsi="Verdana"/>
          <w:sz w:val="20"/>
          <w:szCs w:val="20"/>
        </w:rPr>
        <w:t>ofreció</w:t>
      </w:r>
      <w:r w:rsidRPr="00EE0D67">
        <w:rPr>
          <w:rFonts w:ascii="Verdana" w:hAnsi="Verdana"/>
          <w:sz w:val="20"/>
          <w:szCs w:val="20"/>
        </w:rPr>
        <w:t xml:space="preserve"> el peritaje conjunto de </w:t>
      </w:r>
      <w:proofErr w:type="spellStart"/>
      <w:r w:rsidRPr="00EE0D67">
        <w:rPr>
          <w:rFonts w:ascii="Verdana" w:hAnsi="Verdana" w:cs="Arial"/>
          <w:color w:val="1E1E1E"/>
          <w:sz w:val="20"/>
          <w:szCs w:val="20"/>
        </w:rPr>
        <w:t>Parvais</w:t>
      </w:r>
      <w:proofErr w:type="spellEnd"/>
      <w:r w:rsidRPr="00EE0D67">
        <w:rPr>
          <w:rFonts w:ascii="Verdana" w:hAnsi="Verdana" w:cs="Arial"/>
          <w:color w:val="1E1E1E"/>
          <w:sz w:val="20"/>
          <w:szCs w:val="20"/>
        </w:rPr>
        <w:t xml:space="preserve"> </w:t>
      </w:r>
      <w:proofErr w:type="spellStart"/>
      <w:r w:rsidRPr="00EE0D67">
        <w:rPr>
          <w:rFonts w:ascii="Verdana" w:hAnsi="Verdana" w:cs="Arial"/>
          <w:color w:val="0E0E0E"/>
          <w:sz w:val="20"/>
          <w:szCs w:val="20"/>
        </w:rPr>
        <w:t>Jabbar</w:t>
      </w:r>
      <w:proofErr w:type="spellEnd"/>
      <w:r w:rsidRPr="00EE0D67">
        <w:rPr>
          <w:rFonts w:ascii="Verdana" w:hAnsi="Verdana" w:cs="Arial"/>
          <w:color w:val="0E0E0E"/>
          <w:sz w:val="20"/>
          <w:szCs w:val="20"/>
        </w:rPr>
        <w:t xml:space="preserve"> </w:t>
      </w:r>
      <w:r w:rsidRPr="00EE0D67">
        <w:rPr>
          <w:rFonts w:ascii="Verdana" w:hAnsi="Verdana" w:cs="Arial"/>
          <w:color w:val="1E1E1E"/>
          <w:sz w:val="20"/>
          <w:szCs w:val="20"/>
        </w:rPr>
        <w:t xml:space="preserve">y </w:t>
      </w:r>
      <w:r w:rsidRPr="00EE0D67">
        <w:rPr>
          <w:rFonts w:ascii="Verdana" w:hAnsi="Verdana" w:cs="Arial"/>
          <w:color w:val="0E0E0E"/>
          <w:sz w:val="20"/>
          <w:szCs w:val="20"/>
        </w:rPr>
        <w:t xml:space="preserve">Edward </w:t>
      </w:r>
      <w:proofErr w:type="spellStart"/>
      <w:r w:rsidRPr="00EE0D67">
        <w:rPr>
          <w:rFonts w:ascii="Verdana" w:hAnsi="Verdana" w:cs="Arial"/>
          <w:color w:val="0E0E0E"/>
          <w:sz w:val="20"/>
          <w:szCs w:val="20"/>
        </w:rPr>
        <w:t>Fitzgerald</w:t>
      </w:r>
      <w:proofErr w:type="spellEnd"/>
      <w:r w:rsidRPr="00EE0D67">
        <w:rPr>
          <w:rFonts w:ascii="Verdana" w:hAnsi="Verdana"/>
          <w:sz w:val="20"/>
          <w:szCs w:val="20"/>
          <w:lang w:val="es-PE"/>
        </w:rPr>
        <w:t xml:space="preserve"> </w:t>
      </w:r>
      <w:r w:rsidR="00180E48">
        <w:rPr>
          <w:rFonts w:ascii="Verdana" w:hAnsi="Verdana"/>
          <w:sz w:val="20"/>
          <w:szCs w:val="20"/>
          <w:lang w:val="es-PE"/>
        </w:rPr>
        <w:t xml:space="preserve">propuesto </w:t>
      </w:r>
      <w:r w:rsidRPr="00EE0D67">
        <w:rPr>
          <w:rFonts w:ascii="Verdana" w:hAnsi="Verdana"/>
          <w:sz w:val="20"/>
          <w:szCs w:val="20"/>
          <w:lang w:val="es-PE"/>
        </w:rPr>
        <w:t xml:space="preserve">en los casos </w:t>
      </w:r>
      <w:r w:rsidRPr="00EE0D67">
        <w:rPr>
          <w:rFonts w:ascii="Verdana" w:hAnsi="Verdana"/>
          <w:i/>
          <w:iCs/>
          <w:sz w:val="20"/>
          <w:szCs w:val="20"/>
          <w:lang w:val="es-PE"/>
        </w:rPr>
        <w:t>Girón y Castillo, Martínez Coronado y Ruíz Fuentes</w:t>
      </w:r>
      <w:r w:rsidRPr="00EE0D67">
        <w:rPr>
          <w:rFonts w:ascii="Verdana" w:eastAsiaTheme="minorHAnsi" w:hAnsi="Verdana"/>
          <w:color w:val="1C1C1C"/>
          <w:sz w:val="20"/>
          <w:szCs w:val="20"/>
          <w:lang w:val="es-PE"/>
        </w:rPr>
        <w:t xml:space="preserve"> </w:t>
      </w:r>
      <w:r w:rsidRPr="00EE0D67">
        <w:rPr>
          <w:rFonts w:ascii="Verdana" w:hAnsi="Verdana"/>
          <w:iCs/>
          <w:sz w:val="20"/>
          <w:szCs w:val="20"/>
          <w:lang w:val="es-PE"/>
        </w:rPr>
        <w:t>contra Guatemala,</w:t>
      </w:r>
      <w:r w:rsidR="00180E48">
        <w:rPr>
          <w:rFonts w:ascii="Verdana" w:hAnsi="Verdana"/>
          <w:iCs/>
          <w:sz w:val="20"/>
          <w:szCs w:val="20"/>
          <w:lang w:val="es-PE"/>
        </w:rPr>
        <w:t xml:space="preserve"> y solicitó que</w:t>
      </w:r>
      <w:r w:rsidRPr="00EE0D67">
        <w:rPr>
          <w:rFonts w:ascii="Verdana" w:hAnsi="Verdana"/>
          <w:iCs/>
          <w:sz w:val="20"/>
          <w:szCs w:val="20"/>
          <w:lang w:val="es-PE"/>
        </w:rPr>
        <w:t xml:space="preserve"> sea trasladado al presente caso</w:t>
      </w:r>
      <w:r w:rsidR="00707768" w:rsidRPr="00EE0D67">
        <w:rPr>
          <w:rFonts w:ascii="Verdana" w:hAnsi="Verdana" w:cs="Arial"/>
          <w:color w:val="0E0E0E"/>
          <w:sz w:val="20"/>
          <w:szCs w:val="20"/>
        </w:rPr>
        <w:t>.</w:t>
      </w:r>
      <w:r w:rsidR="00AE0641" w:rsidRPr="00EE0D67">
        <w:rPr>
          <w:rFonts w:ascii="Verdana" w:hAnsi="Verdana"/>
          <w:sz w:val="20"/>
          <w:szCs w:val="20"/>
        </w:rPr>
        <w:t xml:space="preserve"> </w:t>
      </w:r>
      <w:r w:rsidR="00277DBB" w:rsidRPr="00EE0D67">
        <w:rPr>
          <w:rFonts w:ascii="Verdana" w:hAnsi="Verdana"/>
          <w:iCs/>
          <w:sz w:val="20"/>
          <w:szCs w:val="20"/>
          <w:lang w:val="es-PE"/>
        </w:rPr>
        <w:t>El ofrecimiento fue reiterado en la</w:t>
      </w:r>
      <w:r w:rsidR="00277DBB" w:rsidRPr="00EE0D67">
        <w:rPr>
          <w:rFonts w:ascii="Verdana" w:hAnsi="Verdana"/>
          <w:sz w:val="20"/>
          <w:szCs w:val="20"/>
        </w:rPr>
        <w:t xml:space="preserve"> lista definitiva, sin embargo, la Comisión en dicha ocasión indicó que según las notas de sometimiento de los casos guatemaltecos, su dictamen versará sobre “los estándares internacionales sobre la pena de muerte en los aspectos relevantes para el presente caso”, y que se referirán a las cuestiones </w:t>
      </w:r>
      <w:r w:rsidR="00277DBB" w:rsidRPr="00EE0D67">
        <w:rPr>
          <w:rFonts w:ascii="Verdana" w:hAnsi="Verdana"/>
          <w:color w:val="212121"/>
          <w:sz w:val="20"/>
          <w:szCs w:val="16"/>
        </w:rPr>
        <w:t xml:space="preserve">relacionadas con el debido proceso, tales como: 1. La asistencia jurídica por parte de estudiantes de derecho a personas procesadas en delitos que contemplan la pena de muerte; 2. La defensa común de los imputados en el marco de los procesos penales que prevén la aplicación de la pena de muerte; 3. La prohibición de utilizar la noción de peligrosidad de una persona, como expresión del derecho penal de autor, para imponer la pena de muerte; 4. El derecho de recurrir el fallo mediante una revisión integral en casos de pena de muerte; 5. La responsabilidad de control del juez de las actuaciones de la defensa en casos con posibilidad de imponer la pena de muerte”. </w:t>
      </w:r>
      <w:r w:rsidR="00277DBB" w:rsidRPr="00EE0D67">
        <w:rPr>
          <w:rFonts w:ascii="Verdana" w:hAnsi="Verdana"/>
          <w:sz w:val="20"/>
          <w:szCs w:val="20"/>
        </w:rPr>
        <w:t>Además, solicitó que dich</w:t>
      </w:r>
      <w:r>
        <w:rPr>
          <w:rFonts w:ascii="Verdana" w:hAnsi="Verdana"/>
          <w:sz w:val="20"/>
          <w:szCs w:val="20"/>
        </w:rPr>
        <w:t>os peritajes sean recibidos en a</w:t>
      </w:r>
      <w:r w:rsidR="00277DBB" w:rsidRPr="00EE0D67">
        <w:rPr>
          <w:rFonts w:ascii="Verdana" w:hAnsi="Verdana"/>
          <w:sz w:val="20"/>
          <w:szCs w:val="20"/>
        </w:rPr>
        <w:t>udiencia pública.</w:t>
      </w:r>
      <w:r w:rsidR="00277DBB" w:rsidRPr="00EE0D67">
        <w:rPr>
          <w:rFonts w:ascii="Verdana" w:hAnsi="Verdana"/>
          <w:b/>
          <w:color w:val="212121"/>
          <w:sz w:val="16"/>
          <w:szCs w:val="16"/>
        </w:rPr>
        <w:t xml:space="preserve"> </w:t>
      </w:r>
    </w:p>
    <w:p w:rsidR="00CE37BB" w:rsidRPr="007C7554" w:rsidRDefault="00CE37BB" w:rsidP="00CE37BB">
      <w:pPr>
        <w:pStyle w:val="Normal1"/>
        <w:widowControl/>
        <w:autoSpaceDE w:val="0"/>
        <w:autoSpaceDN w:val="0"/>
        <w:adjustRightInd w:val="0"/>
        <w:spacing w:line="276" w:lineRule="auto"/>
        <w:contextualSpacing/>
        <w:jc w:val="both"/>
        <w:rPr>
          <w:rFonts w:ascii="Verdana" w:hAnsi="Verdana"/>
          <w:sz w:val="20"/>
          <w:szCs w:val="20"/>
          <w:lang w:val="es-PE"/>
        </w:rPr>
      </w:pPr>
    </w:p>
    <w:p w:rsidR="00EE0D67" w:rsidRPr="006A4740" w:rsidRDefault="006A4740" w:rsidP="006A4740">
      <w:pPr>
        <w:pStyle w:val="Normal1"/>
        <w:widowControl/>
        <w:numPr>
          <w:ilvl w:val="0"/>
          <w:numId w:val="3"/>
        </w:numPr>
        <w:ind w:left="0" w:firstLine="0"/>
        <w:contextualSpacing/>
        <w:jc w:val="both"/>
        <w:rPr>
          <w:rFonts w:ascii="Verdana" w:hAnsi="Verdana"/>
          <w:sz w:val="20"/>
          <w:szCs w:val="20"/>
        </w:rPr>
      </w:pPr>
      <w:r w:rsidRPr="006A4740">
        <w:rPr>
          <w:rFonts w:ascii="Verdana" w:hAnsi="Verdana"/>
          <w:sz w:val="20"/>
          <w:szCs w:val="20"/>
          <w:lang w:val="es-PE"/>
        </w:rPr>
        <w:t xml:space="preserve">El </w:t>
      </w:r>
      <w:r w:rsidRPr="006A4740">
        <w:rPr>
          <w:rFonts w:ascii="Verdana" w:hAnsi="Verdana"/>
          <w:b/>
          <w:i/>
          <w:sz w:val="20"/>
          <w:szCs w:val="20"/>
          <w:lang w:val="es-PE"/>
        </w:rPr>
        <w:t>Estado</w:t>
      </w:r>
      <w:r w:rsidRPr="006A4740">
        <w:rPr>
          <w:rFonts w:ascii="Verdana" w:hAnsi="Verdana"/>
          <w:sz w:val="20"/>
          <w:szCs w:val="20"/>
          <w:lang w:val="es-PE"/>
        </w:rPr>
        <w:t xml:space="preserve"> en el presente caso </w:t>
      </w:r>
      <w:r w:rsidRPr="006A4740">
        <w:rPr>
          <w:rFonts w:ascii="Verdana" w:hAnsi="Verdana"/>
          <w:sz w:val="20"/>
          <w:szCs w:val="20"/>
        </w:rPr>
        <w:t>no formuló observaciones respecto a la prueba pericial ofrecida por la Comisión.</w:t>
      </w:r>
    </w:p>
    <w:p w:rsidR="009A2F45" w:rsidRPr="009A2F45" w:rsidRDefault="009A2F45" w:rsidP="009A2F45">
      <w:pPr>
        <w:pStyle w:val="Normal1"/>
        <w:widowControl/>
        <w:contextualSpacing/>
        <w:jc w:val="both"/>
        <w:rPr>
          <w:rFonts w:ascii="Verdana" w:hAnsi="Verdana"/>
          <w:sz w:val="20"/>
          <w:szCs w:val="20"/>
          <w:highlight w:val="cyan"/>
        </w:rPr>
      </w:pPr>
    </w:p>
    <w:p w:rsidR="008D2F42" w:rsidRDefault="008A173D" w:rsidP="006A4740">
      <w:pPr>
        <w:pStyle w:val="Normal1"/>
        <w:widowControl/>
        <w:numPr>
          <w:ilvl w:val="0"/>
          <w:numId w:val="3"/>
        </w:numPr>
        <w:ind w:left="0" w:firstLine="0"/>
        <w:contextualSpacing/>
        <w:jc w:val="both"/>
        <w:rPr>
          <w:rFonts w:ascii="Verdana" w:hAnsi="Verdana"/>
          <w:sz w:val="20"/>
          <w:szCs w:val="20"/>
        </w:rPr>
      </w:pPr>
      <w:r>
        <w:rPr>
          <w:rFonts w:ascii="Verdana" w:hAnsi="Verdana"/>
          <w:sz w:val="20"/>
          <w:szCs w:val="20"/>
        </w:rPr>
        <w:t>E</w:t>
      </w:r>
      <w:proofErr w:type="spellStart"/>
      <w:r w:rsidR="001D0EBC" w:rsidRPr="00BC7157">
        <w:rPr>
          <w:rFonts w:ascii="Verdana" w:hAnsi="Verdana"/>
          <w:sz w:val="20"/>
          <w:szCs w:val="20"/>
          <w:lang w:val="es-PE"/>
        </w:rPr>
        <w:t>sta</w:t>
      </w:r>
      <w:proofErr w:type="spellEnd"/>
      <w:r w:rsidR="001D0EBC" w:rsidRPr="00BC7157">
        <w:rPr>
          <w:rFonts w:ascii="Verdana" w:hAnsi="Verdana"/>
          <w:sz w:val="20"/>
          <w:szCs w:val="20"/>
          <w:lang w:val="es-PE"/>
        </w:rPr>
        <w:t xml:space="preserve"> Presidencia nota que la Comisión en el escrito de sometimiento del </w:t>
      </w:r>
      <w:r w:rsidR="001D0EBC">
        <w:rPr>
          <w:rFonts w:ascii="Verdana" w:hAnsi="Verdana"/>
          <w:sz w:val="20"/>
          <w:szCs w:val="20"/>
          <w:lang w:val="es-PE"/>
        </w:rPr>
        <w:t xml:space="preserve">presente </w:t>
      </w:r>
      <w:r w:rsidR="001D0EBC" w:rsidRPr="00BC7157">
        <w:rPr>
          <w:rFonts w:ascii="Verdana" w:hAnsi="Verdana"/>
          <w:sz w:val="20"/>
          <w:szCs w:val="20"/>
          <w:lang w:val="es-PE"/>
        </w:rPr>
        <w:t xml:space="preserve">caso </w:t>
      </w:r>
      <w:r w:rsidR="001D0EBC">
        <w:rPr>
          <w:rFonts w:ascii="Verdana" w:hAnsi="Verdana"/>
          <w:sz w:val="20"/>
          <w:szCs w:val="20"/>
          <w:lang w:val="es-PE"/>
        </w:rPr>
        <w:t>solicitó</w:t>
      </w:r>
      <w:r w:rsidR="001D0EBC" w:rsidRPr="00BC7157">
        <w:rPr>
          <w:rFonts w:ascii="Verdana" w:hAnsi="Verdana"/>
          <w:sz w:val="20"/>
          <w:szCs w:val="20"/>
          <w:lang w:val="es-PE"/>
        </w:rPr>
        <w:t xml:space="preserve"> el traslado de la prueba pericial ofrecida </w:t>
      </w:r>
      <w:r w:rsidR="001D0EBC">
        <w:rPr>
          <w:rFonts w:ascii="Verdana" w:hAnsi="Verdana"/>
          <w:sz w:val="20"/>
          <w:szCs w:val="20"/>
          <w:lang w:val="es-PE"/>
        </w:rPr>
        <w:t xml:space="preserve">por ella </w:t>
      </w:r>
      <w:r w:rsidR="001D0EBC" w:rsidRPr="00BC7157">
        <w:rPr>
          <w:rFonts w:ascii="Verdana" w:hAnsi="Verdana"/>
          <w:sz w:val="20"/>
          <w:szCs w:val="20"/>
          <w:lang w:val="es-PE"/>
        </w:rPr>
        <w:t xml:space="preserve">en los </w:t>
      </w:r>
      <w:r w:rsidR="00CE37BB">
        <w:rPr>
          <w:rFonts w:ascii="Verdana" w:hAnsi="Verdana"/>
          <w:sz w:val="20"/>
          <w:szCs w:val="20"/>
          <w:lang w:val="es-PE"/>
        </w:rPr>
        <w:t>“</w:t>
      </w:r>
      <w:r w:rsidR="001D0EBC" w:rsidRPr="00BC7157">
        <w:rPr>
          <w:rFonts w:ascii="Verdana" w:hAnsi="Verdana"/>
          <w:sz w:val="20"/>
          <w:szCs w:val="20"/>
          <w:lang w:val="es-PE"/>
        </w:rPr>
        <w:t xml:space="preserve">casos </w:t>
      </w:r>
      <w:r w:rsidR="001D0EBC" w:rsidRPr="003F3EA0">
        <w:rPr>
          <w:rFonts w:ascii="Verdana" w:hAnsi="Verdana"/>
          <w:i/>
          <w:iCs/>
          <w:sz w:val="20"/>
          <w:szCs w:val="20"/>
          <w:lang w:val="es-PE"/>
        </w:rPr>
        <w:t>Girón</w:t>
      </w:r>
      <w:r w:rsidR="001D0EBC">
        <w:rPr>
          <w:rFonts w:ascii="Verdana" w:hAnsi="Verdana"/>
          <w:i/>
          <w:iCs/>
          <w:sz w:val="20"/>
          <w:szCs w:val="20"/>
          <w:lang w:val="es-PE"/>
        </w:rPr>
        <w:t xml:space="preserve"> y Castillo, Martínez Coronado, </w:t>
      </w:r>
      <w:r w:rsidR="001D0EBC" w:rsidRPr="003F3EA0">
        <w:rPr>
          <w:rFonts w:ascii="Verdana" w:hAnsi="Verdana"/>
          <w:i/>
          <w:iCs/>
          <w:sz w:val="20"/>
          <w:szCs w:val="20"/>
          <w:lang w:val="es-PE"/>
        </w:rPr>
        <w:t>Ruíz Fuentes</w:t>
      </w:r>
      <w:r w:rsidR="001D0EBC">
        <w:rPr>
          <w:rFonts w:ascii="Verdana" w:hAnsi="Verdana"/>
          <w:i/>
          <w:iCs/>
          <w:sz w:val="20"/>
          <w:szCs w:val="20"/>
          <w:lang w:val="es-PE"/>
        </w:rPr>
        <w:t xml:space="preserve"> y Rodríguez </w:t>
      </w:r>
      <w:proofErr w:type="spellStart"/>
      <w:r w:rsidR="001D0EBC">
        <w:rPr>
          <w:rFonts w:ascii="Verdana" w:hAnsi="Verdana"/>
          <w:i/>
          <w:iCs/>
          <w:sz w:val="20"/>
          <w:szCs w:val="20"/>
          <w:lang w:val="es-PE"/>
        </w:rPr>
        <w:t>Revolorio</w:t>
      </w:r>
      <w:proofErr w:type="spellEnd"/>
      <w:r w:rsidR="001D0EBC">
        <w:rPr>
          <w:rFonts w:ascii="Verdana" w:hAnsi="Verdana"/>
          <w:i/>
          <w:iCs/>
          <w:sz w:val="20"/>
          <w:szCs w:val="20"/>
          <w:lang w:val="es-PE"/>
        </w:rPr>
        <w:t xml:space="preserve"> y otros</w:t>
      </w:r>
      <w:r w:rsidR="00CE37BB">
        <w:rPr>
          <w:rFonts w:ascii="Verdana" w:hAnsi="Verdana"/>
          <w:i/>
          <w:iCs/>
          <w:sz w:val="20"/>
          <w:szCs w:val="20"/>
          <w:lang w:val="es-PE"/>
        </w:rPr>
        <w:t>”</w:t>
      </w:r>
      <w:r w:rsidR="001D0EBC" w:rsidRPr="003F3EA0">
        <w:rPr>
          <w:rFonts w:ascii="Verdana" w:hAnsi="Verdana"/>
          <w:i/>
          <w:iCs/>
          <w:sz w:val="20"/>
          <w:szCs w:val="20"/>
          <w:lang w:val="es-PE"/>
        </w:rPr>
        <w:t>,</w:t>
      </w:r>
      <w:r w:rsidR="001D0EBC">
        <w:rPr>
          <w:rFonts w:ascii="Verdana" w:hAnsi="Verdana"/>
          <w:i/>
          <w:iCs/>
          <w:sz w:val="20"/>
          <w:szCs w:val="20"/>
          <w:lang w:val="es-PE"/>
        </w:rPr>
        <w:t xml:space="preserve"> </w:t>
      </w:r>
      <w:r w:rsidR="001D0EBC" w:rsidRPr="00F138CA">
        <w:rPr>
          <w:rFonts w:ascii="Verdana" w:hAnsi="Verdana"/>
          <w:iCs/>
          <w:sz w:val="20"/>
          <w:szCs w:val="20"/>
          <w:lang w:val="es-PE"/>
        </w:rPr>
        <w:t>todos contra Guatemala</w:t>
      </w:r>
      <w:r w:rsidR="001D0EBC">
        <w:rPr>
          <w:rFonts w:ascii="Verdana" w:hAnsi="Verdana"/>
          <w:sz w:val="20"/>
          <w:szCs w:val="20"/>
          <w:lang w:val="es-PE"/>
        </w:rPr>
        <w:t>. No obstante, en su lista definitiva, la Comisión solicitó que</w:t>
      </w:r>
      <w:r w:rsidR="001D0EBC" w:rsidRPr="003F3EA0">
        <w:rPr>
          <w:rFonts w:ascii="Verdana" w:hAnsi="Verdana"/>
          <w:sz w:val="20"/>
          <w:szCs w:val="20"/>
          <w:lang w:val="es-PE"/>
        </w:rPr>
        <w:t xml:space="preserve"> los señores </w:t>
      </w:r>
      <w:proofErr w:type="spellStart"/>
      <w:r w:rsidR="001D0EBC" w:rsidRPr="003F3EA0">
        <w:rPr>
          <w:rFonts w:ascii="Verdana" w:hAnsi="Verdana"/>
          <w:sz w:val="20"/>
          <w:szCs w:val="20"/>
          <w:lang w:val="es-PE"/>
        </w:rPr>
        <w:t>Parvais</w:t>
      </w:r>
      <w:proofErr w:type="spellEnd"/>
      <w:r w:rsidR="001D0EBC" w:rsidRPr="003F3EA0">
        <w:rPr>
          <w:rFonts w:ascii="Verdana" w:hAnsi="Verdana"/>
          <w:sz w:val="20"/>
          <w:szCs w:val="20"/>
          <w:lang w:val="es-PE"/>
        </w:rPr>
        <w:t xml:space="preserve"> </w:t>
      </w:r>
      <w:proofErr w:type="spellStart"/>
      <w:r w:rsidR="001D0EBC" w:rsidRPr="003F3EA0">
        <w:rPr>
          <w:rFonts w:ascii="Verdana" w:hAnsi="Verdana"/>
          <w:sz w:val="20"/>
          <w:szCs w:val="20"/>
          <w:lang w:val="es-PE"/>
        </w:rPr>
        <w:t>Jabbar</w:t>
      </w:r>
      <w:proofErr w:type="spellEnd"/>
      <w:r w:rsidR="001D0EBC" w:rsidRPr="003F3EA0">
        <w:rPr>
          <w:rFonts w:ascii="Verdana" w:hAnsi="Verdana"/>
          <w:sz w:val="20"/>
          <w:szCs w:val="20"/>
          <w:lang w:val="es-PE"/>
        </w:rPr>
        <w:t xml:space="preserve"> y Edward </w:t>
      </w:r>
      <w:proofErr w:type="spellStart"/>
      <w:r w:rsidR="001D0EBC" w:rsidRPr="003F3EA0">
        <w:rPr>
          <w:rFonts w:ascii="Verdana" w:hAnsi="Verdana"/>
          <w:sz w:val="20"/>
          <w:szCs w:val="20"/>
          <w:lang w:val="es-PE"/>
        </w:rPr>
        <w:t>Fitzgerald</w:t>
      </w:r>
      <w:proofErr w:type="spellEnd"/>
      <w:r w:rsidR="001D0EBC" w:rsidRPr="003F3EA0">
        <w:rPr>
          <w:rFonts w:ascii="Verdana" w:hAnsi="Verdana"/>
          <w:sz w:val="20"/>
          <w:szCs w:val="20"/>
          <w:lang w:val="es-PE"/>
        </w:rPr>
        <w:t xml:space="preserve"> rindan su dictamen pericial </w:t>
      </w:r>
      <w:r w:rsidR="001D0EBC">
        <w:rPr>
          <w:rFonts w:ascii="Verdana" w:hAnsi="Verdana"/>
          <w:sz w:val="20"/>
          <w:szCs w:val="20"/>
          <w:lang w:val="es-PE"/>
        </w:rPr>
        <w:t>en audiencia pública. Esta Presidencia entiende que dicha solicitud está relacionada con los casos anteriormente indicados</w:t>
      </w:r>
      <w:r w:rsidR="001D0EBC">
        <w:rPr>
          <w:rFonts w:ascii="Verdana" w:hAnsi="Verdana"/>
          <w:i/>
          <w:iCs/>
          <w:sz w:val="20"/>
          <w:szCs w:val="20"/>
          <w:lang w:val="es-PE"/>
        </w:rPr>
        <w:t xml:space="preserve">, </w:t>
      </w:r>
      <w:r w:rsidR="001D0EBC">
        <w:rPr>
          <w:rFonts w:ascii="Verdana" w:hAnsi="Verdana"/>
          <w:iCs/>
          <w:sz w:val="20"/>
          <w:szCs w:val="20"/>
          <w:lang w:val="es-PE"/>
        </w:rPr>
        <w:t xml:space="preserve">en donde </w:t>
      </w:r>
      <w:r w:rsidR="001D0EBC" w:rsidRPr="00F138CA">
        <w:rPr>
          <w:rFonts w:ascii="Verdana" w:hAnsi="Verdana"/>
          <w:iCs/>
          <w:sz w:val="20"/>
          <w:szCs w:val="20"/>
          <w:lang w:val="es-PE"/>
        </w:rPr>
        <w:t>ofreci</w:t>
      </w:r>
      <w:r w:rsidR="001D0EBC">
        <w:rPr>
          <w:rFonts w:ascii="Verdana" w:hAnsi="Verdana"/>
          <w:iCs/>
          <w:sz w:val="20"/>
          <w:szCs w:val="20"/>
          <w:lang w:val="es-PE"/>
        </w:rPr>
        <w:t xml:space="preserve">ó dicha prueba pericial, por lo que </w:t>
      </w:r>
      <w:r w:rsidR="001D0EBC" w:rsidRPr="00F138CA">
        <w:rPr>
          <w:rFonts w:ascii="Verdana" w:hAnsi="Verdana"/>
          <w:iCs/>
          <w:sz w:val="20"/>
          <w:szCs w:val="20"/>
          <w:lang w:val="es-PE"/>
        </w:rPr>
        <w:t>considera</w:t>
      </w:r>
      <w:r w:rsidR="001D0EBC">
        <w:rPr>
          <w:rFonts w:ascii="Verdana" w:hAnsi="Verdana"/>
          <w:i/>
          <w:iCs/>
          <w:sz w:val="20"/>
          <w:szCs w:val="20"/>
          <w:lang w:val="es-PE"/>
        </w:rPr>
        <w:t xml:space="preserve"> </w:t>
      </w:r>
      <w:r w:rsidR="001D0EBC" w:rsidRPr="003F3EA0">
        <w:rPr>
          <w:rFonts w:ascii="Verdana" w:hAnsi="Verdana"/>
          <w:iCs/>
          <w:sz w:val="20"/>
          <w:szCs w:val="20"/>
          <w:lang w:val="es-PE"/>
        </w:rPr>
        <w:t xml:space="preserve">que para el presente caso se mantiene </w:t>
      </w:r>
      <w:r w:rsidR="001D0EBC" w:rsidRPr="003F3EA0">
        <w:rPr>
          <w:rFonts w:ascii="Verdana" w:hAnsi="Verdana"/>
          <w:sz w:val="20"/>
          <w:szCs w:val="20"/>
          <w:lang w:val="es-PE"/>
        </w:rPr>
        <w:t xml:space="preserve">la solicitud realizada </w:t>
      </w:r>
      <w:r w:rsidR="001D0EBC">
        <w:rPr>
          <w:rFonts w:ascii="Verdana" w:hAnsi="Verdana"/>
          <w:sz w:val="20"/>
          <w:szCs w:val="20"/>
          <w:lang w:val="es-PE"/>
        </w:rPr>
        <w:t xml:space="preserve">originalmente </w:t>
      </w:r>
      <w:r w:rsidR="001D0EBC" w:rsidRPr="003F3EA0">
        <w:rPr>
          <w:rFonts w:ascii="Verdana" w:hAnsi="Verdana"/>
          <w:sz w:val="20"/>
          <w:szCs w:val="20"/>
          <w:lang w:val="es-PE"/>
        </w:rPr>
        <w:t>en el e</w:t>
      </w:r>
      <w:r w:rsidR="001D0EBC">
        <w:rPr>
          <w:rFonts w:ascii="Verdana" w:hAnsi="Verdana"/>
          <w:sz w:val="20"/>
          <w:szCs w:val="20"/>
          <w:lang w:val="es-PE"/>
        </w:rPr>
        <w:t>scrito de sometimiento del caso.</w:t>
      </w:r>
      <w:r w:rsidR="001D0EBC" w:rsidRPr="003F3EA0">
        <w:rPr>
          <w:rFonts w:ascii="Verdana" w:hAnsi="Verdana"/>
          <w:sz w:val="20"/>
          <w:szCs w:val="20"/>
          <w:lang w:val="es-PE"/>
        </w:rPr>
        <w:t xml:space="preserve"> </w:t>
      </w:r>
      <w:r w:rsidR="001D0EBC">
        <w:rPr>
          <w:rFonts w:ascii="Verdana" w:hAnsi="Verdana"/>
          <w:sz w:val="20"/>
          <w:szCs w:val="20"/>
          <w:lang w:val="es-PE"/>
        </w:rPr>
        <w:t>En consecuencia</w:t>
      </w:r>
      <w:r w:rsidR="00CE37BB">
        <w:rPr>
          <w:rFonts w:ascii="Verdana" w:hAnsi="Verdana"/>
          <w:sz w:val="20"/>
          <w:szCs w:val="20"/>
          <w:lang w:val="es-PE"/>
        </w:rPr>
        <w:t>,</w:t>
      </w:r>
      <w:r w:rsidR="001D0EBC">
        <w:rPr>
          <w:rFonts w:ascii="Verdana" w:hAnsi="Verdana"/>
          <w:sz w:val="20"/>
          <w:szCs w:val="20"/>
          <w:lang w:val="es-PE"/>
        </w:rPr>
        <w:t xml:space="preserve"> el Presidente</w:t>
      </w:r>
      <w:r w:rsidR="001D0EBC" w:rsidRPr="003F3EA0">
        <w:rPr>
          <w:rFonts w:ascii="Verdana" w:hAnsi="Verdana"/>
          <w:sz w:val="20"/>
          <w:szCs w:val="20"/>
          <w:lang w:val="es-PE"/>
        </w:rPr>
        <w:t xml:space="preserve"> </w:t>
      </w:r>
      <w:r w:rsidR="001D0EBC">
        <w:rPr>
          <w:rFonts w:ascii="Verdana" w:hAnsi="Verdana"/>
          <w:sz w:val="20"/>
          <w:szCs w:val="20"/>
          <w:lang w:val="es-PE"/>
        </w:rPr>
        <w:t>estima</w:t>
      </w:r>
      <w:r w:rsidR="001D0EBC" w:rsidRPr="003F3EA0">
        <w:rPr>
          <w:rFonts w:ascii="Verdana" w:hAnsi="Verdana"/>
          <w:sz w:val="20"/>
          <w:szCs w:val="20"/>
          <w:lang w:val="es-PE"/>
        </w:rPr>
        <w:t xml:space="preserve"> procedente trasladar dicho </w:t>
      </w:r>
      <w:r w:rsidR="00B125C4" w:rsidRPr="003F3EA0">
        <w:rPr>
          <w:rFonts w:ascii="Verdana" w:hAnsi="Verdana"/>
          <w:sz w:val="20"/>
          <w:szCs w:val="20"/>
          <w:lang w:val="es-PE"/>
        </w:rPr>
        <w:t>di</w:t>
      </w:r>
      <w:r w:rsidR="00180E48">
        <w:rPr>
          <w:rFonts w:ascii="Verdana" w:hAnsi="Verdana"/>
          <w:sz w:val="20"/>
          <w:szCs w:val="20"/>
          <w:lang w:val="es-PE"/>
        </w:rPr>
        <w:t>ctamen</w:t>
      </w:r>
      <w:r w:rsidR="001D0EBC">
        <w:rPr>
          <w:rFonts w:ascii="Verdana" w:hAnsi="Verdana"/>
          <w:sz w:val="20"/>
          <w:szCs w:val="20"/>
          <w:lang w:val="es-PE"/>
        </w:rPr>
        <w:t xml:space="preserve"> pericial una vez rendido </w:t>
      </w:r>
      <w:r w:rsidR="001D0EBC" w:rsidRPr="003F3EA0">
        <w:rPr>
          <w:rFonts w:ascii="Verdana" w:hAnsi="Verdana"/>
          <w:sz w:val="20"/>
          <w:szCs w:val="20"/>
          <w:lang w:val="es-PE"/>
        </w:rPr>
        <w:t>al presente caso</w:t>
      </w:r>
      <w:r w:rsidR="00395CE5">
        <w:rPr>
          <w:rFonts w:ascii="Verdana" w:hAnsi="Verdana"/>
          <w:sz w:val="20"/>
          <w:szCs w:val="20"/>
        </w:rPr>
        <w:t>.</w:t>
      </w:r>
      <w:r w:rsidR="00F662D7">
        <w:rPr>
          <w:rFonts w:ascii="Verdana" w:hAnsi="Verdana"/>
          <w:sz w:val="20"/>
          <w:szCs w:val="20"/>
        </w:rPr>
        <w:t xml:space="preserve"> </w:t>
      </w:r>
    </w:p>
    <w:p w:rsidR="00B53419" w:rsidRPr="006A4740" w:rsidRDefault="00AE0641" w:rsidP="007C7554">
      <w:pPr>
        <w:pStyle w:val="Normal1"/>
        <w:widowControl/>
        <w:contextualSpacing/>
        <w:jc w:val="both"/>
        <w:rPr>
          <w:rFonts w:ascii="Verdana" w:hAnsi="Verdana"/>
          <w:sz w:val="20"/>
          <w:szCs w:val="20"/>
        </w:rPr>
      </w:pPr>
      <w:r w:rsidRPr="00F662D7">
        <w:rPr>
          <w:rFonts w:ascii="Verdana" w:hAnsi="Verdana"/>
          <w:sz w:val="20"/>
          <w:szCs w:val="20"/>
        </w:rPr>
        <w:t xml:space="preserve"> </w:t>
      </w:r>
    </w:p>
    <w:p w:rsidR="00B53419" w:rsidRDefault="000C6179" w:rsidP="00B53419">
      <w:pPr>
        <w:pStyle w:val="Normal1"/>
        <w:widowControl/>
        <w:autoSpaceDE w:val="0"/>
        <w:autoSpaceDN w:val="0"/>
        <w:adjustRightInd w:val="0"/>
        <w:contextualSpacing/>
        <w:jc w:val="center"/>
        <w:rPr>
          <w:rFonts w:ascii="Verdana" w:hAnsi="Verdana"/>
          <w:sz w:val="20"/>
          <w:szCs w:val="20"/>
        </w:rPr>
      </w:pPr>
      <w:r>
        <w:rPr>
          <w:rFonts w:ascii="Verdana" w:hAnsi="Verdana"/>
          <w:b/>
          <w:i/>
          <w:sz w:val="20"/>
          <w:szCs w:val="20"/>
        </w:rPr>
        <w:t>D</w:t>
      </w:r>
      <w:r w:rsidR="00B53419">
        <w:rPr>
          <w:rFonts w:ascii="Verdana" w:hAnsi="Verdana"/>
          <w:b/>
          <w:i/>
          <w:sz w:val="20"/>
          <w:szCs w:val="20"/>
        </w:rPr>
        <w:t>. Aplicación al Fondo de Asistencia Legal de Víctimas ante la Corte</w:t>
      </w:r>
    </w:p>
    <w:p w:rsidR="00B53419" w:rsidRDefault="00B53419" w:rsidP="00B53419">
      <w:pPr>
        <w:pStyle w:val="Normal1"/>
        <w:widowControl/>
        <w:autoSpaceDE w:val="0"/>
        <w:autoSpaceDN w:val="0"/>
        <w:adjustRightInd w:val="0"/>
        <w:contextualSpacing/>
        <w:jc w:val="both"/>
        <w:rPr>
          <w:rFonts w:ascii="Verdana" w:hAnsi="Verdana"/>
          <w:sz w:val="20"/>
          <w:szCs w:val="20"/>
        </w:rPr>
      </w:pPr>
    </w:p>
    <w:p w:rsidR="00D474C4" w:rsidRDefault="00D474C4" w:rsidP="00D474C4">
      <w:pPr>
        <w:pStyle w:val="Normal1"/>
        <w:widowControl/>
        <w:numPr>
          <w:ilvl w:val="0"/>
          <w:numId w:val="3"/>
        </w:numPr>
        <w:autoSpaceDE w:val="0"/>
        <w:autoSpaceDN w:val="0"/>
        <w:adjustRightInd w:val="0"/>
        <w:ind w:left="0" w:firstLine="0"/>
        <w:contextualSpacing/>
        <w:jc w:val="both"/>
        <w:rPr>
          <w:rFonts w:ascii="Verdana" w:hAnsi="Verdana"/>
          <w:sz w:val="20"/>
          <w:szCs w:val="20"/>
        </w:rPr>
      </w:pPr>
      <w:r>
        <w:rPr>
          <w:rFonts w:ascii="Verdana" w:hAnsi="Verdana"/>
          <w:sz w:val="20"/>
          <w:szCs w:val="20"/>
        </w:rPr>
        <w:t xml:space="preserve">En el escrito de solicitudes, argumentos y pruebas, los representantes solicitaron la aplicación del Fondo de Asistencia Legal de Víctimas, en particular para: i) los gastos de viaje (pasaje, hotel y </w:t>
      </w:r>
      <w:r w:rsidRPr="00BE458A">
        <w:rPr>
          <w:rFonts w:ascii="Verdana" w:hAnsi="Verdana"/>
          <w:i/>
          <w:sz w:val="20"/>
          <w:szCs w:val="20"/>
        </w:rPr>
        <w:t>per diem</w:t>
      </w:r>
      <w:r>
        <w:rPr>
          <w:rFonts w:ascii="Verdana" w:hAnsi="Verdana"/>
          <w:sz w:val="20"/>
          <w:szCs w:val="20"/>
        </w:rPr>
        <w:t xml:space="preserve">) de las personas que la Corte llame a declarar en audiencia, incluyendo víctimas, testigos y peritos, de acuerdo con el artículo 50 del Reglamento; ii) los gastos de notario público derivados de las declaraciones de la víctimas, testigos y peritos que la Corte considere pertinente recibir por afidávit; y iii) los gastos derivados de la realización de los peritajes psicosociales a las víctimas del presente caso para que la Corte pueda valorar  los impactos producidos por los hechos violatorios. </w:t>
      </w:r>
    </w:p>
    <w:p w:rsidR="00D474C4" w:rsidRDefault="00D474C4" w:rsidP="00D474C4">
      <w:pPr>
        <w:pStyle w:val="Normal1"/>
        <w:widowControl/>
        <w:autoSpaceDE w:val="0"/>
        <w:autoSpaceDN w:val="0"/>
        <w:adjustRightInd w:val="0"/>
        <w:contextualSpacing/>
        <w:jc w:val="both"/>
        <w:rPr>
          <w:rFonts w:ascii="Verdana" w:hAnsi="Verdana"/>
          <w:sz w:val="20"/>
          <w:szCs w:val="20"/>
        </w:rPr>
      </w:pPr>
    </w:p>
    <w:p w:rsidR="00692807" w:rsidRPr="00D474C4" w:rsidRDefault="00180E48" w:rsidP="00B53419">
      <w:pPr>
        <w:pStyle w:val="Normal1"/>
        <w:widowControl/>
        <w:numPr>
          <w:ilvl w:val="0"/>
          <w:numId w:val="3"/>
        </w:numPr>
        <w:autoSpaceDE w:val="0"/>
        <w:autoSpaceDN w:val="0"/>
        <w:adjustRightInd w:val="0"/>
        <w:ind w:left="0" w:firstLine="0"/>
        <w:contextualSpacing/>
        <w:jc w:val="both"/>
        <w:rPr>
          <w:rFonts w:ascii="Verdana" w:hAnsi="Verdana"/>
          <w:sz w:val="20"/>
          <w:szCs w:val="20"/>
        </w:rPr>
      </w:pPr>
      <w:r>
        <w:rPr>
          <w:rFonts w:ascii="Verdana" w:hAnsi="Verdana"/>
          <w:sz w:val="20"/>
          <w:szCs w:val="20"/>
        </w:rPr>
        <w:t>El 11 de enero de 2019</w:t>
      </w:r>
      <w:r w:rsidR="00692807">
        <w:rPr>
          <w:rFonts w:ascii="Verdana" w:hAnsi="Verdana"/>
          <w:sz w:val="20"/>
          <w:szCs w:val="20"/>
        </w:rPr>
        <w:t xml:space="preserve"> se resolvió declarar procedente la solicitud realizada para acogerse al Fondo de Asistencia Legal de Víctimas, de modo que se otorgará el apoyo económico necesario, con cargo al Fondo, para solventar los gastos que ocasionaría la presentación de un máximo de tres declaraciones, ya sean en audiencia o por </w:t>
      </w:r>
      <w:r w:rsidR="00BE458A">
        <w:rPr>
          <w:rFonts w:ascii="Verdana" w:hAnsi="Verdana"/>
          <w:i/>
          <w:sz w:val="20"/>
          <w:szCs w:val="20"/>
        </w:rPr>
        <w:t>a</w:t>
      </w:r>
      <w:r w:rsidR="00692807" w:rsidRPr="00692807">
        <w:rPr>
          <w:rFonts w:ascii="Verdana" w:hAnsi="Verdana"/>
          <w:i/>
          <w:sz w:val="20"/>
          <w:szCs w:val="20"/>
        </w:rPr>
        <w:t>fidávit</w:t>
      </w:r>
      <w:r w:rsidR="00692807">
        <w:rPr>
          <w:rFonts w:ascii="Verdana" w:hAnsi="Verdana"/>
          <w:sz w:val="20"/>
          <w:szCs w:val="20"/>
        </w:rPr>
        <w:t xml:space="preserve">. Corresponde seguidamente precisar el destino y objeto específicos de dicha asistencia. </w:t>
      </w:r>
    </w:p>
    <w:p w:rsidR="00D474C4" w:rsidRDefault="00D474C4" w:rsidP="00D474C4">
      <w:pPr>
        <w:pStyle w:val="Normal1"/>
        <w:widowControl/>
        <w:autoSpaceDE w:val="0"/>
        <w:autoSpaceDN w:val="0"/>
        <w:adjustRightInd w:val="0"/>
        <w:contextualSpacing/>
        <w:jc w:val="both"/>
        <w:rPr>
          <w:rFonts w:ascii="Verdana" w:hAnsi="Verdana"/>
          <w:sz w:val="20"/>
          <w:szCs w:val="20"/>
        </w:rPr>
      </w:pPr>
    </w:p>
    <w:p w:rsidR="00D474C4" w:rsidRPr="00D474C4" w:rsidRDefault="00D474C4" w:rsidP="00D474C4">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D474C4">
        <w:rPr>
          <w:rFonts w:ascii="Verdana" w:hAnsi="Verdana"/>
          <w:sz w:val="20"/>
          <w:szCs w:val="20"/>
        </w:rPr>
        <w:t>El Presidente dispone que la asistencia económica estará asignada para cubrir los gastos de viaje</w:t>
      </w:r>
      <w:r w:rsidR="00BE458A">
        <w:rPr>
          <w:rFonts w:ascii="Verdana" w:hAnsi="Verdana"/>
          <w:sz w:val="20"/>
          <w:szCs w:val="20"/>
        </w:rPr>
        <w:t>, traslado, hospedaje y viáticos</w:t>
      </w:r>
      <w:r w:rsidRPr="00D474C4">
        <w:rPr>
          <w:rFonts w:ascii="Verdana" w:hAnsi="Verdana"/>
          <w:sz w:val="20"/>
          <w:szCs w:val="20"/>
        </w:rPr>
        <w:t xml:space="preserve"> necesarios para la</w:t>
      </w:r>
      <w:r w:rsidR="00BE458A">
        <w:rPr>
          <w:rFonts w:ascii="Verdana" w:hAnsi="Verdana"/>
          <w:sz w:val="20"/>
          <w:szCs w:val="20"/>
        </w:rPr>
        <w:t>s</w:t>
      </w:r>
      <w:r w:rsidRPr="00D474C4">
        <w:rPr>
          <w:rFonts w:ascii="Verdana" w:hAnsi="Verdana"/>
          <w:sz w:val="20"/>
          <w:szCs w:val="20"/>
        </w:rPr>
        <w:t xml:space="preserve"> señora</w:t>
      </w:r>
      <w:r w:rsidR="00BE458A">
        <w:rPr>
          <w:rFonts w:ascii="Verdana" w:hAnsi="Verdana"/>
          <w:sz w:val="20"/>
          <w:szCs w:val="20"/>
        </w:rPr>
        <w:t>s</w:t>
      </w:r>
      <w:r w:rsidRPr="00D474C4">
        <w:rPr>
          <w:rFonts w:ascii="Verdana" w:hAnsi="Verdana"/>
          <w:sz w:val="20"/>
          <w:szCs w:val="20"/>
        </w:rPr>
        <w:t xml:space="preserve"> </w:t>
      </w:r>
      <w:r w:rsidR="00BE458A" w:rsidRPr="00BE458A">
        <w:rPr>
          <w:rFonts w:ascii="Verdana" w:hAnsi="Verdana"/>
          <w:sz w:val="20"/>
          <w:szCs w:val="20"/>
        </w:rPr>
        <w:t>Florinda López de López</w:t>
      </w:r>
      <w:r w:rsidR="00610BEF">
        <w:rPr>
          <w:rFonts w:ascii="Verdana" w:hAnsi="Verdana"/>
          <w:sz w:val="20"/>
          <w:szCs w:val="20"/>
        </w:rPr>
        <w:t xml:space="preserve">, </w:t>
      </w:r>
      <w:proofErr w:type="spellStart"/>
      <w:r w:rsidR="00610BEF" w:rsidRPr="00610BEF">
        <w:rPr>
          <w:rFonts w:ascii="Verdana" w:hAnsi="Verdana"/>
          <w:sz w:val="20"/>
          <w:szCs w:val="20"/>
        </w:rPr>
        <w:t>Ludim</w:t>
      </w:r>
      <w:proofErr w:type="spellEnd"/>
      <w:r w:rsidR="00610BEF" w:rsidRPr="00610BEF">
        <w:rPr>
          <w:rFonts w:ascii="Verdana" w:hAnsi="Verdana"/>
          <w:sz w:val="20"/>
          <w:szCs w:val="20"/>
        </w:rPr>
        <w:t xml:space="preserve"> Azucena Ruiz López</w:t>
      </w:r>
      <w:r w:rsidR="00BE458A">
        <w:rPr>
          <w:rFonts w:ascii="Verdana" w:hAnsi="Verdana"/>
          <w:sz w:val="20"/>
          <w:szCs w:val="20"/>
        </w:rPr>
        <w:t xml:space="preserve"> y</w:t>
      </w:r>
      <w:r w:rsidR="00BE458A" w:rsidRPr="00D474C4">
        <w:rPr>
          <w:rFonts w:ascii="Verdana" w:hAnsi="Verdana"/>
          <w:sz w:val="20"/>
          <w:szCs w:val="20"/>
        </w:rPr>
        <w:t xml:space="preserve"> </w:t>
      </w:r>
      <w:r w:rsidRPr="00D474C4">
        <w:rPr>
          <w:rFonts w:ascii="Verdana" w:hAnsi="Verdana"/>
          <w:sz w:val="20"/>
          <w:szCs w:val="20"/>
        </w:rPr>
        <w:t xml:space="preserve">Olga Patricia Roldán Monterroso comparezcan ante el Tribunal a rendir su declaración en la audiencia pública por celebrarse en el presente caso. </w:t>
      </w:r>
    </w:p>
    <w:p w:rsidR="00692807" w:rsidRPr="00A102CB" w:rsidRDefault="00692807" w:rsidP="00692807">
      <w:pPr>
        <w:pStyle w:val="Normal1"/>
        <w:widowControl/>
        <w:autoSpaceDE w:val="0"/>
        <w:autoSpaceDN w:val="0"/>
        <w:adjustRightInd w:val="0"/>
        <w:contextualSpacing/>
        <w:jc w:val="both"/>
        <w:rPr>
          <w:rFonts w:ascii="Verdana" w:hAnsi="Verdana"/>
          <w:sz w:val="20"/>
          <w:szCs w:val="20"/>
          <w:highlight w:val="yellow"/>
        </w:rPr>
      </w:pPr>
    </w:p>
    <w:p w:rsidR="00B53419" w:rsidRPr="00692807" w:rsidRDefault="00B53419" w:rsidP="00006A3E">
      <w:pPr>
        <w:pStyle w:val="Normal1"/>
        <w:widowControl/>
        <w:numPr>
          <w:ilvl w:val="0"/>
          <w:numId w:val="3"/>
        </w:numPr>
        <w:autoSpaceDE w:val="0"/>
        <w:autoSpaceDN w:val="0"/>
        <w:adjustRightInd w:val="0"/>
        <w:ind w:left="0" w:firstLine="0"/>
        <w:contextualSpacing/>
        <w:jc w:val="both"/>
        <w:rPr>
          <w:rFonts w:ascii="Verdana" w:hAnsi="Verdana"/>
          <w:sz w:val="20"/>
          <w:szCs w:val="20"/>
        </w:rPr>
      </w:pPr>
      <w:r w:rsidRPr="00692807">
        <w:rPr>
          <w:rFonts w:ascii="Verdana" w:hAnsi="Verdana"/>
          <w:sz w:val="20"/>
          <w:szCs w:val="20"/>
        </w:rPr>
        <w:t>La Corte realizará las gestiones pertinentes y necesarias para cubrir los costos de traslado, alojamiento y manutención de las personas comparecientes con recursos provenientes del Fondo de Asistencia.</w:t>
      </w:r>
    </w:p>
    <w:p w:rsidR="00006A3E" w:rsidRDefault="00006A3E" w:rsidP="00006A3E">
      <w:pPr>
        <w:pStyle w:val="Normal1"/>
        <w:widowControl/>
        <w:autoSpaceDE w:val="0"/>
        <w:autoSpaceDN w:val="0"/>
        <w:adjustRightInd w:val="0"/>
        <w:contextualSpacing/>
        <w:jc w:val="both"/>
        <w:rPr>
          <w:rFonts w:ascii="Verdana" w:hAnsi="Verdana"/>
          <w:sz w:val="20"/>
          <w:szCs w:val="20"/>
        </w:rPr>
      </w:pPr>
    </w:p>
    <w:p w:rsidR="00006A3E" w:rsidRDefault="00006A3E" w:rsidP="00006A3E">
      <w:pPr>
        <w:pStyle w:val="Normal1"/>
        <w:widowControl/>
        <w:numPr>
          <w:ilvl w:val="0"/>
          <w:numId w:val="3"/>
        </w:numPr>
        <w:autoSpaceDE w:val="0"/>
        <w:autoSpaceDN w:val="0"/>
        <w:adjustRightInd w:val="0"/>
        <w:ind w:left="0" w:firstLine="0"/>
        <w:contextualSpacing/>
        <w:jc w:val="both"/>
        <w:rPr>
          <w:rFonts w:ascii="Verdana" w:hAnsi="Verdana"/>
          <w:sz w:val="20"/>
          <w:szCs w:val="20"/>
        </w:rPr>
      </w:pPr>
      <w:r>
        <w:rPr>
          <w:rFonts w:ascii="Verdana" w:hAnsi="Verdana"/>
          <w:sz w:val="20"/>
          <w:szCs w:val="20"/>
        </w:rPr>
        <w:t xml:space="preserve">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relación con el requerido Fondo. </w:t>
      </w:r>
    </w:p>
    <w:p w:rsidR="00006A3E" w:rsidRDefault="00006A3E" w:rsidP="00006A3E">
      <w:pPr>
        <w:pStyle w:val="Normal1"/>
        <w:widowControl/>
        <w:autoSpaceDE w:val="0"/>
        <w:autoSpaceDN w:val="0"/>
        <w:adjustRightInd w:val="0"/>
        <w:contextualSpacing/>
        <w:jc w:val="both"/>
        <w:rPr>
          <w:rFonts w:ascii="Verdana" w:hAnsi="Verdana"/>
          <w:sz w:val="20"/>
          <w:szCs w:val="20"/>
        </w:rPr>
      </w:pPr>
    </w:p>
    <w:p w:rsidR="00006A3E" w:rsidRPr="00006A3E" w:rsidRDefault="00692807" w:rsidP="00006A3E">
      <w:pPr>
        <w:pStyle w:val="Normal1"/>
        <w:widowControl/>
        <w:numPr>
          <w:ilvl w:val="0"/>
          <w:numId w:val="3"/>
        </w:numPr>
        <w:autoSpaceDE w:val="0"/>
        <w:autoSpaceDN w:val="0"/>
        <w:adjustRightInd w:val="0"/>
        <w:ind w:left="0" w:firstLine="0"/>
        <w:contextualSpacing/>
        <w:jc w:val="both"/>
        <w:rPr>
          <w:rFonts w:ascii="Verdana" w:hAnsi="Verdana"/>
          <w:sz w:val="20"/>
          <w:szCs w:val="20"/>
        </w:rPr>
      </w:pPr>
      <w:r>
        <w:rPr>
          <w:rFonts w:ascii="Verdana" w:hAnsi="Verdana"/>
          <w:sz w:val="20"/>
          <w:szCs w:val="20"/>
        </w:rPr>
        <w:t>Finalmente, est</w:t>
      </w:r>
      <w:r w:rsidR="00006A3E">
        <w:rPr>
          <w:rFonts w:ascii="Verdana" w:hAnsi="Verdana"/>
          <w:sz w:val="20"/>
          <w:szCs w:val="20"/>
        </w:rPr>
        <w:t>a Presidencia recuerda que, según el artículo 5 del Reglamento del Fondo</w:t>
      </w:r>
      <w:r w:rsidR="00B125C4">
        <w:rPr>
          <w:rFonts w:ascii="Verdana" w:hAnsi="Verdana"/>
          <w:sz w:val="20"/>
          <w:szCs w:val="20"/>
        </w:rPr>
        <w:t xml:space="preserve"> de Asistencia</w:t>
      </w:r>
      <w:r w:rsidR="00006A3E">
        <w:rPr>
          <w:rFonts w:ascii="Verdana" w:hAnsi="Verdana"/>
          <w:sz w:val="20"/>
          <w:szCs w:val="20"/>
        </w:rPr>
        <w:t xml:space="preserve">, se informará oportunamente al Estado las erogaciones realizadas en aplicación del Fondo de Asistencia Legal de Víctimas, para que presente sus observaciones, si así lo desea, dentro del plazo que se establezca al efecto. </w:t>
      </w:r>
    </w:p>
    <w:p w:rsidR="00C37B8B" w:rsidRPr="00C37B8B" w:rsidRDefault="00C37B8B" w:rsidP="00C37B8B">
      <w:pPr>
        <w:pStyle w:val="Normal1"/>
        <w:widowControl/>
        <w:autoSpaceDE w:val="0"/>
        <w:autoSpaceDN w:val="0"/>
        <w:adjustRightInd w:val="0"/>
        <w:contextualSpacing/>
        <w:jc w:val="both"/>
        <w:rPr>
          <w:rFonts w:ascii="Verdana" w:hAnsi="Verdana"/>
          <w:sz w:val="20"/>
          <w:szCs w:val="20"/>
        </w:rPr>
      </w:pPr>
    </w:p>
    <w:p w:rsidR="00197CC2" w:rsidRPr="00197CC2" w:rsidRDefault="00197CC2" w:rsidP="00197CC2">
      <w:pPr>
        <w:rPr>
          <w:rFonts w:ascii="Verdana" w:hAnsi="Verdana"/>
          <w:b/>
          <w:sz w:val="20"/>
          <w:szCs w:val="20"/>
          <w:lang w:val="es-CR"/>
        </w:rPr>
      </w:pPr>
      <w:r w:rsidRPr="00197CC2">
        <w:rPr>
          <w:rFonts w:ascii="Verdana" w:hAnsi="Verdana"/>
          <w:b/>
          <w:sz w:val="20"/>
          <w:szCs w:val="20"/>
          <w:lang w:val="es-CR"/>
        </w:rPr>
        <w:t>POR TANTO:</w:t>
      </w:r>
    </w:p>
    <w:p w:rsidR="00197CC2" w:rsidRPr="00197CC2" w:rsidRDefault="00197CC2" w:rsidP="00197CC2">
      <w:pPr>
        <w:spacing w:line="240" w:lineRule="auto"/>
        <w:jc w:val="both"/>
        <w:rPr>
          <w:rFonts w:ascii="Verdana" w:hAnsi="Verdana"/>
          <w:b/>
          <w:sz w:val="20"/>
          <w:szCs w:val="20"/>
          <w:lang w:val="es-CR"/>
        </w:rPr>
      </w:pPr>
      <w:r w:rsidRPr="00197CC2">
        <w:rPr>
          <w:rFonts w:ascii="Verdana" w:hAnsi="Verdana"/>
          <w:b/>
          <w:sz w:val="20"/>
          <w:szCs w:val="20"/>
          <w:lang w:val="es-CR"/>
        </w:rPr>
        <w:t>EL PRESIDENTE DE LA CORTE INTERAMERICANA DE DERECHOS HUMANOS,</w:t>
      </w:r>
    </w:p>
    <w:p w:rsidR="00197CC2" w:rsidRPr="00197CC2" w:rsidRDefault="00197CC2" w:rsidP="00BE458A">
      <w:pPr>
        <w:spacing w:after="0" w:line="240" w:lineRule="auto"/>
        <w:jc w:val="both"/>
        <w:rPr>
          <w:rFonts w:ascii="Verdana" w:hAnsi="Verdana"/>
          <w:sz w:val="20"/>
          <w:szCs w:val="20"/>
          <w:lang w:val="es-CR"/>
        </w:rPr>
      </w:pPr>
      <w:r w:rsidRPr="00197CC2">
        <w:rPr>
          <w:rFonts w:ascii="Verdana" w:hAnsi="Verdana"/>
          <w:sz w:val="20"/>
          <w:szCs w:val="20"/>
          <w:lang w:val="es-CR"/>
        </w:rPr>
        <w:lastRenderedPageBreak/>
        <w:t>de conformidad con el artículo 25.2 del Estatuto de la Cor</w:t>
      </w:r>
      <w:r w:rsidR="00807C85">
        <w:rPr>
          <w:rFonts w:ascii="Verdana" w:hAnsi="Verdana"/>
          <w:sz w:val="20"/>
          <w:szCs w:val="20"/>
          <w:lang w:val="es-CR"/>
        </w:rPr>
        <w:t xml:space="preserve">te y con los </w:t>
      </w:r>
      <w:r w:rsidR="00807C85" w:rsidRPr="00217EE6">
        <w:rPr>
          <w:rFonts w:ascii="Verdana" w:hAnsi="Verdana"/>
          <w:sz w:val="20"/>
          <w:szCs w:val="20"/>
          <w:lang w:val="es-CR"/>
        </w:rPr>
        <w:t>artículos</w:t>
      </w:r>
      <w:r w:rsidRPr="00217EE6">
        <w:rPr>
          <w:rFonts w:ascii="Verdana" w:hAnsi="Verdana"/>
          <w:sz w:val="20"/>
          <w:szCs w:val="20"/>
          <w:lang w:val="es-CR"/>
        </w:rPr>
        <w:t xml:space="preserve"> </w:t>
      </w:r>
      <w:r w:rsidR="007F1614">
        <w:rPr>
          <w:rFonts w:ascii="Verdana" w:hAnsi="Verdana"/>
          <w:sz w:val="20"/>
          <w:szCs w:val="20"/>
          <w:lang w:val="es-CR"/>
        </w:rPr>
        <w:t xml:space="preserve">4, </w:t>
      </w:r>
      <w:r w:rsidRPr="00883AC2">
        <w:rPr>
          <w:rFonts w:ascii="Verdana" w:hAnsi="Verdana"/>
          <w:sz w:val="20"/>
          <w:szCs w:val="20"/>
          <w:lang w:val="es-CR"/>
        </w:rPr>
        <w:t>15.1, 26.1, 31.2, 3</w:t>
      </w:r>
      <w:r w:rsidR="00E7603E">
        <w:rPr>
          <w:rFonts w:ascii="Verdana" w:hAnsi="Verdana"/>
          <w:sz w:val="20"/>
          <w:szCs w:val="20"/>
          <w:lang w:val="es-CR"/>
        </w:rPr>
        <w:t>5</w:t>
      </w:r>
      <w:r w:rsidR="00807C85" w:rsidRPr="00883AC2">
        <w:rPr>
          <w:rFonts w:ascii="Verdana" w:hAnsi="Verdana"/>
          <w:sz w:val="20"/>
          <w:szCs w:val="20"/>
          <w:lang w:val="es-CR"/>
        </w:rPr>
        <w:t>, 40.2, 41.1,</w:t>
      </w:r>
      <w:r w:rsidR="00E7603E">
        <w:rPr>
          <w:rFonts w:ascii="Verdana" w:hAnsi="Verdana"/>
          <w:sz w:val="20"/>
          <w:szCs w:val="20"/>
          <w:lang w:val="es-CR"/>
        </w:rPr>
        <w:t xml:space="preserve"> 45 </w:t>
      </w:r>
      <w:r w:rsidR="007F1614">
        <w:rPr>
          <w:rFonts w:ascii="Verdana" w:hAnsi="Verdana"/>
          <w:sz w:val="20"/>
          <w:szCs w:val="20"/>
          <w:lang w:val="es-CR"/>
        </w:rPr>
        <w:t xml:space="preserve">a 56 </w:t>
      </w:r>
      <w:r w:rsidRPr="00217EE6">
        <w:rPr>
          <w:rFonts w:ascii="Verdana" w:hAnsi="Verdana"/>
          <w:sz w:val="20"/>
          <w:szCs w:val="20"/>
          <w:lang w:val="es-CR"/>
        </w:rPr>
        <w:t>del Reglamento</w:t>
      </w:r>
      <w:r w:rsidR="007F1614">
        <w:rPr>
          <w:rFonts w:ascii="Verdana" w:hAnsi="Verdana"/>
          <w:sz w:val="20"/>
          <w:szCs w:val="20"/>
          <w:lang w:val="es-CR"/>
        </w:rPr>
        <w:t xml:space="preserve"> del Tribunal</w:t>
      </w:r>
      <w:r w:rsidR="00D80B87" w:rsidRPr="00217EE6">
        <w:rPr>
          <w:rFonts w:ascii="Verdana" w:hAnsi="Verdana"/>
          <w:sz w:val="20"/>
          <w:szCs w:val="20"/>
          <w:lang w:val="es-CR"/>
        </w:rPr>
        <w:t xml:space="preserve"> y</w:t>
      </w:r>
      <w:r w:rsidR="00585CA3">
        <w:rPr>
          <w:rFonts w:ascii="Verdana" w:hAnsi="Verdana"/>
          <w:sz w:val="20"/>
          <w:szCs w:val="20"/>
          <w:lang w:val="es-CR"/>
        </w:rPr>
        <w:t xml:space="preserve"> con </w:t>
      </w:r>
      <w:r w:rsidR="00D80B87" w:rsidRPr="00A42284">
        <w:rPr>
          <w:rFonts w:ascii="Verdana" w:hAnsi="Verdana"/>
          <w:sz w:val="20"/>
          <w:szCs w:val="20"/>
          <w:lang w:val="es-CR"/>
        </w:rPr>
        <w:t>el Reglamento sobre el Fondo de Asistencia Legal,</w:t>
      </w:r>
    </w:p>
    <w:p w:rsidR="00011001" w:rsidRDefault="00011001" w:rsidP="00BE458A">
      <w:pPr>
        <w:spacing w:after="0" w:line="240" w:lineRule="auto"/>
        <w:jc w:val="both"/>
        <w:rPr>
          <w:rFonts w:ascii="Verdana" w:hAnsi="Verdana"/>
          <w:b/>
          <w:sz w:val="20"/>
          <w:szCs w:val="20"/>
          <w:lang w:val="es-CR"/>
        </w:rPr>
      </w:pPr>
    </w:p>
    <w:p w:rsidR="00197CC2" w:rsidRDefault="00197CC2" w:rsidP="00BE458A">
      <w:pPr>
        <w:spacing w:after="0" w:line="240" w:lineRule="auto"/>
        <w:jc w:val="both"/>
        <w:rPr>
          <w:rFonts w:ascii="Verdana" w:hAnsi="Verdana"/>
          <w:b/>
          <w:sz w:val="20"/>
          <w:szCs w:val="20"/>
          <w:lang w:val="es-CR"/>
        </w:rPr>
      </w:pPr>
      <w:r w:rsidRPr="00197CC2">
        <w:rPr>
          <w:rFonts w:ascii="Verdana" w:hAnsi="Verdana"/>
          <w:b/>
          <w:sz w:val="20"/>
          <w:szCs w:val="20"/>
          <w:lang w:val="es-CR"/>
        </w:rPr>
        <w:t>RESUELVE:</w:t>
      </w:r>
    </w:p>
    <w:p w:rsidR="00BE458A" w:rsidRPr="00197CC2" w:rsidRDefault="00BE458A" w:rsidP="00BE458A">
      <w:pPr>
        <w:spacing w:after="0" w:line="240" w:lineRule="auto"/>
        <w:jc w:val="both"/>
        <w:rPr>
          <w:rFonts w:ascii="Verdana" w:hAnsi="Verdana"/>
          <w:sz w:val="20"/>
          <w:szCs w:val="20"/>
          <w:lang w:val="es-CR"/>
        </w:rPr>
      </w:pPr>
    </w:p>
    <w:p w:rsidR="00296E09" w:rsidRDefault="00197CC2" w:rsidP="00296E09">
      <w:pPr>
        <w:spacing w:line="240" w:lineRule="auto"/>
        <w:jc w:val="both"/>
        <w:rPr>
          <w:rFonts w:ascii="Verdana" w:hAnsi="Verdana"/>
          <w:sz w:val="20"/>
          <w:szCs w:val="20"/>
          <w:lang w:val="es-CR"/>
        </w:rPr>
      </w:pPr>
      <w:r>
        <w:rPr>
          <w:rFonts w:ascii="Verdana" w:hAnsi="Verdana"/>
          <w:sz w:val="20"/>
          <w:szCs w:val="20"/>
          <w:lang w:val="es-CR"/>
        </w:rPr>
        <w:t>1.</w:t>
      </w:r>
      <w:r>
        <w:rPr>
          <w:rFonts w:ascii="Verdana" w:hAnsi="Verdana"/>
          <w:sz w:val="20"/>
          <w:szCs w:val="20"/>
          <w:lang w:val="es-CR"/>
        </w:rPr>
        <w:tab/>
      </w:r>
      <w:r w:rsidR="00296E09">
        <w:rPr>
          <w:rFonts w:ascii="Verdana" w:hAnsi="Verdana"/>
          <w:sz w:val="20"/>
          <w:szCs w:val="20"/>
          <w:lang w:val="es-CR"/>
        </w:rPr>
        <w:t>Convocar al Estado de Guatemala, a los representantes y a la Comisión Interamericana de Derechos H</w:t>
      </w:r>
      <w:r w:rsidR="008656FE">
        <w:rPr>
          <w:rFonts w:ascii="Verdana" w:hAnsi="Verdana"/>
          <w:sz w:val="20"/>
          <w:szCs w:val="20"/>
          <w:lang w:val="es-CR"/>
        </w:rPr>
        <w:t>umanos, a una audiencia pública</w:t>
      </w:r>
      <w:r w:rsidR="00296E09">
        <w:rPr>
          <w:rFonts w:ascii="Verdana" w:hAnsi="Verdana"/>
          <w:sz w:val="20"/>
          <w:szCs w:val="20"/>
          <w:lang w:val="es-CR"/>
        </w:rPr>
        <w:t xml:space="preserve"> sobre </w:t>
      </w:r>
      <w:r w:rsidR="00180E48">
        <w:rPr>
          <w:rFonts w:ascii="Verdana" w:hAnsi="Verdana"/>
          <w:sz w:val="20"/>
          <w:szCs w:val="20"/>
          <w:lang w:val="es-CR"/>
        </w:rPr>
        <w:t xml:space="preserve">excepciones preliminares y eventuales </w:t>
      </w:r>
      <w:r w:rsidR="00296E09">
        <w:rPr>
          <w:rFonts w:ascii="Verdana" w:hAnsi="Verdana"/>
          <w:sz w:val="20"/>
          <w:szCs w:val="20"/>
          <w:lang w:val="es-CR"/>
        </w:rPr>
        <w:t xml:space="preserve">fondo, reparaciones y </w:t>
      </w:r>
      <w:r w:rsidR="00655719">
        <w:rPr>
          <w:rFonts w:ascii="Verdana" w:hAnsi="Verdana"/>
          <w:sz w:val="20"/>
          <w:szCs w:val="20"/>
          <w:lang w:val="es-CR"/>
        </w:rPr>
        <w:t>c</w:t>
      </w:r>
      <w:r w:rsidR="008656FE">
        <w:rPr>
          <w:rFonts w:ascii="Verdana" w:hAnsi="Verdana"/>
          <w:sz w:val="20"/>
          <w:szCs w:val="20"/>
          <w:lang w:val="es-CR"/>
        </w:rPr>
        <w:t>ostas que se celebrará el 7</w:t>
      </w:r>
      <w:r w:rsidR="00655719">
        <w:rPr>
          <w:rFonts w:ascii="Verdana" w:hAnsi="Verdana"/>
          <w:sz w:val="20"/>
          <w:szCs w:val="20"/>
          <w:lang w:val="es-CR"/>
        </w:rPr>
        <w:t xml:space="preserve"> de marzo de 2019, a</w:t>
      </w:r>
      <w:r w:rsidR="008656FE">
        <w:rPr>
          <w:rFonts w:ascii="Verdana" w:hAnsi="Verdana"/>
          <w:sz w:val="20"/>
          <w:szCs w:val="20"/>
          <w:lang w:val="es-CR"/>
        </w:rPr>
        <w:t xml:space="preserve"> partir de </w:t>
      </w:r>
      <w:r w:rsidR="00655719">
        <w:rPr>
          <w:rFonts w:ascii="Verdana" w:hAnsi="Verdana"/>
          <w:sz w:val="20"/>
          <w:szCs w:val="20"/>
          <w:lang w:val="es-CR"/>
        </w:rPr>
        <w:t>las</w:t>
      </w:r>
      <w:r w:rsidR="008656FE">
        <w:rPr>
          <w:rFonts w:ascii="Verdana" w:hAnsi="Verdana"/>
          <w:sz w:val="20"/>
          <w:szCs w:val="20"/>
          <w:lang w:val="es-CR"/>
        </w:rPr>
        <w:t xml:space="preserve"> 9</w:t>
      </w:r>
      <w:r w:rsidR="00296E09">
        <w:rPr>
          <w:rFonts w:ascii="Verdana" w:hAnsi="Verdana"/>
          <w:sz w:val="20"/>
          <w:szCs w:val="20"/>
          <w:lang w:val="es-CR"/>
        </w:rPr>
        <w:t>:00</w:t>
      </w:r>
      <w:r w:rsidR="00AB7CE0">
        <w:rPr>
          <w:rFonts w:ascii="Verdana" w:hAnsi="Verdana"/>
          <w:sz w:val="20"/>
          <w:szCs w:val="20"/>
          <w:lang w:val="es-CR"/>
        </w:rPr>
        <w:t xml:space="preserve"> horas durante el 130</w:t>
      </w:r>
      <w:r w:rsidR="00296E09">
        <w:rPr>
          <w:rFonts w:ascii="Verdana" w:hAnsi="Verdana"/>
          <w:sz w:val="20"/>
          <w:szCs w:val="20"/>
          <w:lang w:val="es-CR"/>
        </w:rPr>
        <w:t xml:space="preserve"> Período Ordinario de Sesiones, que se llevara a cabo </w:t>
      </w:r>
      <w:r w:rsidR="00A02291">
        <w:rPr>
          <w:rFonts w:ascii="Verdana" w:hAnsi="Verdana"/>
          <w:sz w:val="20"/>
          <w:szCs w:val="20"/>
          <w:lang w:val="es-CR"/>
        </w:rPr>
        <w:t xml:space="preserve">en la sede de la Corte en San José, Costa Rica, </w:t>
      </w:r>
      <w:r w:rsidR="00040DB6">
        <w:rPr>
          <w:rFonts w:ascii="Verdana" w:hAnsi="Verdana"/>
          <w:sz w:val="20"/>
          <w:szCs w:val="20"/>
          <w:lang w:val="es-CR"/>
        </w:rPr>
        <w:t xml:space="preserve">para recibir sus alegatos y observaciones finales orales, así como para recibir las declaraciones de las siguientes personas: </w:t>
      </w:r>
    </w:p>
    <w:p w:rsidR="000629A0" w:rsidRPr="007C7554" w:rsidRDefault="00040DB6" w:rsidP="009A3288">
      <w:pPr>
        <w:spacing w:line="240" w:lineRule="auto"/>
        <w:jc w:val="both"/>
        <w:rPr>
          <w:rFonts w:ascii="Verdana" w:hAnsi="Verdana"/>
          <w:b/>
          <w:i/>
          <w:sz w:val="20"/>
          <w:szCs w:val="20"/>
          <w:lang w:val="es-CR"/>
        </w:rPr>
      </w:pPr>
      <w:r w:rsidRPr="007C7554">
        <w:rPr>
          <w:rFonts w:ascii="Verdana" w:hAnsi="Verdana"/>
          <w:b/>
          <w:i/>
          <w:sz w:val="20"/>
          <w:szCs w:val="20"/>
          <w:lang w:val="es-CR"/>
        </w:rPr>
        <w:t xml:space="preserve">A. </w:t>
      </w:r>
      <w:r w:rsidR="00011001" w:rsidRPr="007C7554">
        <w:rPr>
          <w:rFonts w:ascii="Verdana" w:hAnsi="Verdana"/>
          <w:b/>
          <w:i/>
          <w:sz w:val="20"/>
          <w:szCs w:val="20"/>
          <w:lang w:val="es-CR"/>
        </w:rPr>
        <w:t>Declarantes</w:t>
      </w:r>
    </w:p>
    <w:p w:rsidR="007C7554" w:rsidRPr="00A622F0" w:rsidRDefault="009A3288" w:rsidP="007C7554">
      <w:pPr>
        <w:spacing w:line="240" w:lineRule="auto"/>
        <w:ind w:firstLine="360"/>
        <w:jc w:val="both"/>
        <w:rPr>
          <w:rFonts w:ascii="Verdana" w:hAnsi="Verdana"/>
          <w:b/>
          <w:i/>
          <w:sz w:val="16"/>
          <w:szCs w:val="16"/>
          <w:lang w:val="es-CR"/>
        </w:rPr>
      </w:pPr>
      <w:r w:rsidRPr="007C7554">
        <w:rPr>
          <w:rFonts w:ascii="Verdana" w:hAnsi="Verdana"/>
          <w:i/>
          <w:sz w:val="20"/>
          <w:szCs w:val="20"/>
          <w:lang w:val="es-CR"/>
        </w:rPr>
        <w:t>Propuesto</w:t>
      </w:r>
      <w:r w:rsidR="00011001" w:rsidRPr="007C7554">
        <w:rPr>
          <w:rFonts w:ascii="Verdana" w:hAnsi="Verdana"/>
          <w:i/>
          <w:sz w:val="20"/>
          <w:szCs w:val="20"/>
          <w:lang w:val="es-CR"/>
        </w:rPr>
        <w:t>s</w:t>
      </w:r>
      <w:r w:rsidR="000629A0" w:rsidRPr="007C7554">
        <w:rPr>
          <w:rFonts w:ascii="Verdana" w:hAnsi="Verdana"/>
          <w:i/>
          <w:sz w:val="20"/>
          <w:szCs w:val="20"/>
          <w:lang w:val="es-CR"/>
        </w:rPr>
        <w:t xml:space="preserve"> por los representantes</w:t>
      </w:r>
      <w:r w:rsidR="00BE458A" w:rsidRPr="007C7554">
        <w:rPr>
          <w:rFonts w:ascii="Verdana" w:hAnsi="Verdana"/>
          <w:i/>
          <w:sz w:val="20"/>
          <w:szCs w:val="20"/>
          <w:lang w:val="es-CR"/>
        </w:rPr>
        <w:t xml:space="preserve"> </w:t>
      </w:r>
    </w:p>
    <w:p w:rsidR="007C7554" w:rsidRPr="007C7554" w:rsidRDefault="00011001" w:rsidP="007C7554">
      <w:pPr>
        <w:pStyle w:val="ListParagraph"/>
        <w:numPr>
          <w:ilvl w:val="0"/>
          <w:numId w:val="25"/>
        </w:numPr>
        <w:spacing w:line="240" w:lineRule="auto"/>
        <w:ind w:firstLine="0"/>
        <w:jc w:val="both"/>
        <w:rPr>
          <w:rFonts w:ascii="Verdana" w:hAnsi="Verdana"/>
          <w:sz w:val="20"/>
          <w:szCs w:val="20"/>
          <w:lang w:val="es-CR"/>
        </w:rPr>
      </w:pPr>
      <w:r w:rsidRPr="007C7554">
        <w:rPr>
          <w:rFonts w:ascii="Verdana" w:hAnsi="Verdana"/>
          <w:i/>
          <w:sz w:val="20"/>
          <w:szCs w:val="20"/>
          <w:lang w:val="es-CR"/>
        </w:rPr>
        <w:t>Florinda López de López</w:t>
      </w:r>
      <w:r w:rsidRPr="007C7554">
        <w:rPr>
          <w:rFonts w:ascii="Verdana" w:hAnsi="Verdana"/>
          <w:sz w:val="20"/>
          <w:szCs w:val="20"/>
          <w:lang w:val="es-CR"/>
        </w:rPr>
        <w:t xml:space="preserve">, madre de Tirso Valenzuela Ávila, quien declarará sobre: i) los alegados hechos acontecidos en este caso desde la detención de su hijo, incluyendo los supuestos actos de tortura que sufrió, lo que conoce en relación a cómo le afectó a su hijo estar en el corredor de la muerte, lo que conoce en relación a los hechos que relacionados a la ejecución extrajudicial de su hijo; ii) la forma en la que los </w:t>
      </w:r>
      <w:r w:rsidR="007F1614">
        <w:rPr>
          <w:rFonts w:ascii="Verdana" w:hAnsi="Verdana"/>
          <w:sz w:val="20"/>
          <w:szCs w:val="20"/>
          <w:lang w:val="es-CR"/>
        </w:rPr>
        <w:t xml:space="preserve">supuestos </w:t>
      </w:r>
      <w:r w:rsidRPr="007C7554">
        <w:rPr>
          <w:rFonts w:ascii="Verdana" w:hAnsi="Verdana"/>
          <w:sz w:val="20"/>
          <w:szCs w:val="20"/>
          <w:lang w:val="es-CR"/>
        </w:rPr>
        <w:t xml:space="preserve">hechos del caso y la impunidad la afectaron a ella y a su familia, y las </w:t>
      </w:r>
      <w:r w:rsidR="007F1614">
        <w:rPr>
          <w:rFonts w:ascii="Verdana" w:hAnsi="Verdana"/>
          <w:sz w:val="20"/>
          <w:szCs w:val="20"/>
          <w:lang w:val="es-CR"/>
        </w:rPr>
        <w:t xml:space="preserve">alegadas </w:t>
      </w:r>
      <w:r w:rsidRPr="007C7554">
        <w:rPr>
          <w:rFonts w:ascii="Verdana" w:hAnsi="Verdana"/>
          <w:sz w:val="20"/>
          <w:szCs w:val="20"/>
          <w:lang w:val="es-CR"/>
        </w:rPr>
        <w:t xml:space="preserve">afectaciones sufridas por no dar las ceremonias fúnebres de los restos de su hijo ante la negativa de las autoridades judiciales, y iii) las supuestas medidas a considerar que el Estado debe adoptar para reparar el daño causado, así como otros aspectos relevantes del caso. </w:t>
      </w:r>
    </w:p>
    <w:p w:rsidR="007C7554" w:rsidRPr="007C7554" w:rsidRDefault="007C7554" w:rsidP="007C7554">
      <w:pPr>
        <w:pStyle w:val="ListParagraph"/>
        <w:spacing w:line="240" w:lineRule="auto"/>
        <w:jc w:val="both"/>
        <w:rPr>
          <w:rFonts w:ascii="Verdana" w:hAnsi="Verdana"/>
          <w:sz w:val="20"/>
          <w:szCs w:val="20"/>
          <w:lang w:val="es-CR"/>
        </w:rPr>
      </w:pPr>
    </w:p>
    <w:p w:rsidR="000629A0" w:rsidRPr="00011001" w:rsidRDefault="007C7554" w:rsidP="00011001">
      <w:pPr>
        <w:pStyle w:val="ListParagraph"/>
        <w:spacing w:after="0" w:line="240" w:lineRule="auto"/>
        <w:jc w:val="both"/>
        <w:rPr>
          <w:rFonts w:ascii="Verdana" w:hAnsi="Verdana"/>
          <w:sz w:val="20"/>
          <w:szCs w:val="20"/>
          <w:lang w:val="es-CR"/>
        </w:rPr>
      </w:pPr>
      <w:r>
        <w:rPr>
          <w:rFonts w:ascii="Verdana" w:hAnsi="Verdana"/>
          <w:i/>
          <w:sz w:val="20"/>
          <w:szCs w:val="20"/>
          <w:lang w:val="es-CR"/>
        </w:rPr>
        <w:t>2)</w:t>
      </w:r>
      <w:r w:rsidR="00011001" w:rsidRPr="00011001">
        <w:rPr>
          <w:rFonts w:ascii="Verdana" w:hAnsi="Verdana"/>
          <w:i/>
          <w:sz w:val="20"/>
          <w:szCs w:val="20"/>
          <w:lang w:val="es-CR"/>
        </w:rPr>
        <w:t xml:space="preserve"> </w:t>
      </w:r>
      <w:r w:rsidR="00BE458A">
        <w:rPr>
          <w:rFonts w:ascii="Verdana" w:hAnsi="Verdana"/>
          <w:i/>
          <w:sz w:val="20"/>
          <w:szCs w:val="20"/>
          <w:lang w:val="es-CR"/>
        </w:rPr>
        <w:tab/>
      </w:r>
      <w:r w:rsidR="000629A0" w:rsidRPr="00011001">
        <w:rPr>
          <w:rFonts w:ascii="Verdana" w:hAnsi="Verdana"/>
          <w:i/>
          <w:sz w:val="20"/>
          <w:szCs w:val="20"/>
          <w:lang w:val="es-CR"/>
        </w:rPr>
        <w:t>Edgardo Enrique Enríquez Cabrera</w:t>
      </w:r>
      <w:r w:rsidR="000629A0" w:rsidRPr="00011001">
        <w:rPr>
          <w:rFonts w:ascii="Verdana" w:hAnsi="Verdana"/>
          <w:sz w:val="20"/>
          <w:szCs w:val="20"/>
          <w:lang w:val="es-CR"/>
        </w:rPr>
        <w:t xml:space="preserve">, abogado y defensor público, quien fungió como </w:t>
      </w:r>
      <w:r w:rsidR="00D1755A" w:rsidRPr="00011001">
        <w:rPr>
          <w:rFonts w:ascii="Verdana" w:hAnsi="Verdana"/>
          <w:sz w:val="20"/>
          <w:szCs w:val="20"/>
          <w:lang w:val="es-CR"/>
        </w:rPr>
        <w:t xml:space="preserve">abogado público de Tirso Román </w:t>
      </w:r>
      <w:r w:rsidR="000629A0" w:rsidRPr="00011001">
        <w:rPr>
          <w:rFonts w:ascii="Verdana" w:hAnsi="Verdana"/>
          <w:sz w:val="20"/>
          <w:szCs w:val="20"/>
          <w:lang w:val="es-CR"/>
        </w:rPr>
        <w:t>Valenzue</w:t>
      </w:r>
      <w:r w:rsidR="00D1755A" w:rsidRPr="00011001">
        <w:rPr>
          <w:rFonts w:ascii="Verdana" w:hAnsi="Verdana"/>
          <w:sz w:val="20"/>
          <w:szCs w:val="20"/>
          <w:lang w:val="es-CR"/>
        </w:rPr>
        <w:t xml:space="preserve">la Ávila, quien declarará sobre: i) </w:t>
      </w:r>
      <w:r w:rsidR="000629A0" w:rsidRPr="00011001">
        <w:rPr>
          <w:rFonts w:ascii="Verdana" w:hAnsi="Verdana"/>
          <w:sz w:val="20"/>
          <w:szCs w:val="20"/>
          <w:lang w:val="es-CR"/>
        </w:rPr>
        <w:t xml:space="preserve">los </w:t>
      </w:r>
      <w:r w:rsidR="00D1755A" w:rsidRPr="00011001">
        <w:rPr>
          <w:rFonts w:ascii="Verdana" w:hAnsi="Verdana"/>
          <w:sz w:val="20"/>
          <w:szCs w:val="20"/>
          <w:lang w:val="es-CR"/>
        </w:rPr>
        <w:t xml:space="preserve">alegados </w:t>
      </w:r>
      <w:r w:rsidR="000629A0" w:rsidRPr="00011001">
        <w:rPr>
          <w:rFonts w:ascii="Verdana" w:hAnsi="Verdana"/>
          <w:sz w:val="20"/>
          <w:szCs w:val="20"/>
          <w:lang w:val="es-CR"/>
        </w:rPr>
        <w:t xml:space="preserve">hechos que conoce del caso, incluyendo lo que conoce acerca de </w:t>
      </w:r>
      <w:r w:rsidR="00D1755A" w:rsidRPr="00011001">
        <w:rPr>
          <w:rFonts w:ascii="Verdana" w:hAnsi="Verdana"/>
          <w:sz w:val="20"/>
          <w:szCs w:val="20"/>
          <w:lang w:val="es-CR"/>
        </w:rPr>
        <w:t xml:space="preserve">los </w:t>
      </w:r>
      <w:r w:rsidR="007F1614">
        <w:rPr>
          <w:rFonts w:ascii="Verdana" w:hAnsi="Verdana"/>
          <w:sz w:val="20"/>
          <w:szCs w:val="20"/>
          <w:lang w:val="es-CR"/>
        </w:rPr>
        <w:t xml:space="preserve">supuestos </w:t>
      </w:r>
      <w:r w:rsidR="00D1755A" w:rsidRPr="00011001">
        <w:rPr>
          <w:rFonts w:ascii="Verdana" w:hAnsi="Verdana"/>
          <w:sz w:val="20"/>
          <w:szCs w:val="20"/>
          <w:lang w:val="es-CR"/>
        </w:rPr>
        <w:t>actos de tortura que sufrió</w:t>
      </w:r>
      <w:r w:rsidR="00191854" w:rsidRPr="00011001">
        <w:rPr>
          <w:rFonts w:ascii="Verdana" w:hAnsi="Verdana"/>
          <w:sz w:val="20"/>
          <w:szCs w:val="20"/>
          <w:lang w:val="es-CR"/>
        </w:rPr>
        <w:t xml:space="preserve"> </w:t>
      </w:r>
      <w:r w:rsidR="000629A0" w:rsidRPr="00011001">
        <w:rPr>
          <w:rFonts w:ascii="Verdana" w:hAnsi="Verdana"/>
          <w:sz w:val="20"/>
          <w:szCs w:val="20"/>
          <w:lang w:val="es-CR"/>
        </w:rPr>
        <w:t>Tirso</w:t>
      </w:r>
      <w:r w:rsidR="00D1755A" w:rsidRPr="00011001">
        <w:rPr>
          <w:rFonts w:ascii="Verdana" w:hAnsi="Verdana"/>
          <w:sz w:val="20"/>
          <w:szCs w:val="20"/>
          <w:lang w:val="es-CR"/>
        </w:rPr>
        <w:t xml:space="preserve"> Román Valenzuela Ávila y</w:t>
      </w:r>
      <w:r w:rsidR="000629A0" w:rsidRPr="00011001">
        <w:rPr>
          <w:rFonts w:ascii="Verdana" w:hAnsi="Verdana"/>
          <w:sz w:val="20"/>
          <w:szCs w:val="20"/>
          <w:lang w:val="es-CR"/>
        </w:rPr>
        <w:t xml:space="preserve"> la forma en que le afectó el tiempo que permane</w:t>
      </w:r>
      <w:r w:rsidR="00D1755A" w:rsidRPr="00011001">
        <w:rPr>
          <w:rFonts w:ascii="Verdana" w:hAnsi="Verdana"/>
          <w:sz w:val="20"/>
          <w:szCs w:val="20"/>
          <w:lang w:val="es-CR"/>
        </w:rPr>
        <w:t>ció en el corredor de la muerte; ii)</w:t>
      </w:r>
      <w:r w:rsidR="000629A0" w:rsidRPr="00011001">
        <w:rPr>
          <w:rFonts w:ascii="Verdana" w:hAnsi="Verdana"/>
          <w:sz w:val="20"/>
          <w:szCs w:val="20"/>
          <w:lang w:val="es-CR"/>
        </w:rPr>
        <w:t xml:space="preserve"> los </w:t>
      </w:r>
      <w:r w:rsidR="00D1755A" w:rsidRPr="00011001">
        <w:rPr>
          <w:rFonts w:ascii="Verdana" w:hAnsi="Verdana"/>
          <w:sz w:val="20"/>
          <w:szCs w:val="20"/>
          <w:lang w:val="es-CR"/>
        </w:rPr>
        <w:t xml:space="preserve">alegados </w:t>
      </w:r>
      <w:r w:rsidR="000629A0" w:rsidRPr="00011001">
        <w:rPr>
          <w:rFonts w:ascii="Verdana" w:hAnsi="Verdana"/>
          <w:sz w:val="20"/>
          <w:szCs w:val="20"/>
          <w:lang w:val="es-CR"/>
        </w:rPr>
        <w:t>hostigamientos y amenazas que sufrió y por la búsqueda de justicia, la forma en la que los hechos del caso y la</w:t>
      </w:r>
      <w:r w:rsidR="00D1755A" w:rsidRPr="00011001">
        <w:rPr>
          <w:rFonts w:ascii="Verdana" w:hAnsi="Verdana"/>
          <w:sz w:val="20"/>
          <w:szCs w:val="20"/>
          <w:lang w:val="es-CR"/>
        </w:rPr>
        <w:t xml:space="preserve"> alegada</w:t>
      </w:r>
      <w:r w:rsidR="000629A0" w:rsidRPr="00011001">
        <w:rPr>
          <w:rFonts w:ascii="Verdana" w:hAnsi="Verdana"/>
          <w:sz w:val="20"/>
          <w:szCs w:val="20"/>
          <w:lang w:val="es-CR"/>
        </w:rPr>
        <w:t xml:space="preserve"> impunidad le afectaron a él y a su </w:t>
      </w:r>
      <w:r w:rsidR="00D1755A" w:rsidRPr="00011001">
        <w:rPr>
          <w:rFonts w:ascii="Verdana" w:hAnsi="Verdana"/>
          <w:sz w:val="20"/>
          <w:szCs w:val="20"/>
          <w:lang w:val="es-CR"/>
        </w:rPr>
        <w:t>familia, y iii)</w:t>
      </w:r>
      <w:r w:rsidR="000629A0" w:rsidRPr="00011001">
        <w:rPr>
          <w:rFonts w:ascii="Verdana" w:hAnsi="Verdana"/>
          <w:sz w:val="20"/>
          <w:szCs w:val="20"/>
          <w:lang w:val="es-CR"/>
        </w:rPr>
        <w:t xml:space="preserve"> las </w:t>
      </w:r>
      <w:r w:rsidR="00D1755A" w:rsidRPr="00011001">
        <w:rPr>
          <w:rFonts w:ascii="Verdana" w:hAnsi="Verdana"/>
          <w:sz w:val="20"/>
          <w:szCs w:val="20"/>
          <w:lang w:val="es-CR"/>
        </w:rPr>
        <w:t xml:space="preserve">supuestas </w:t>
      </w:r>
      <w:r w:rsidR="000629A0" w:rsidRPr="00011001">
        <w:rPr>
          <w:rFonts w:ascii="Verdana" w:hAnsi="Verdana"/>
          <w:sz w:val="20"/>
          <w:szCs w:val="20"/>
          <w:lang w:val="es-CR"/>
        </w:rPr>
        <w:t xml:space="preserve">medidas que considera que el Estado debe adoptar para reparar el daño causado, así como otros aspectos del caso. </w:t>
      </w:r>
    </w:p>
    <w:p w:rsidR="00011001" w:rsidRPr="00011001" w:rsidRDefault="00011001" w:rsidP="00011001">
      <w:pPr>
        <w:pStyle w:val="ListParagraph"/>
        <w:spacing w:after="0" w:line="240" w:lineRule="auto"/>
        <w:jc w:val="both"/>
        <w:rPr>
          <w:rFonts w:ascii="Verdana" w:hAnsi="Verdana"/>
          <w:sz w:val="20"/>
          <w:szCs w:val="20"/>
          <w:lang w:val="es-CR"/>
        </w:rPr>
      </w:pPr>
    </w:p>
    <w:p w:rsidR="00EC417C" w:rsidRPr="00011001" w:rsidRDefault="009A3288" w:rsidP="00EC417C">
      <w:pPr>
        <w:spacing w:line="240" w:lineRule="auto"/>
        <w:jc w:val="both"/>
        <w:rPr>
          <w:rFonts w:ascii="Verdana" w:hAnsi="Verdana"/>
          <w:b/>
          <w:i/>
          <w:sz w:val="20"/>
          <w:szCs w:val="20"/>
          <w:lang w:val="es-CR"/>
        </w:rPr>
      </w:pPr>
      <w:r w:rsidRPr="00011001">
        <w:rPr>
          <w:rFonts w:ascii="Verdana" w:hAnsi="Verdana"/>
          <w:b/>
          <w:i/>
          <w:sz w:val="20"/>
          <w:szCs w:val="20"/>
          <w:lang w:val="es-CR"/>
        </w:rPr>
        <w:t>B</w:t>
      </w:r>
      <w:r w:rsidR="00EC417C" w:rsidRPr="00011001">
        <w:rPr>
          <w:rFonts w:ascii="Verdana" w:hAnsi="Verdana"/>
          <w:b/>
          <w:i/>
          <w:sz w:val="20"/>
          <w:szCs w:val="20"/>
          <w:lang w:val="es-CR"/>
        </w:rPr>
        <w:t>.</w:t>
      </w:r>
      <w:r w:rsidR="00011001" w:rsidRPr="00011001">
        <w:rPr>
          <w:rFonts w:ascii="Verdana" w:hAnsi="Verdana"/>
          <w:b/>
          <w:i/>
          <w:sz w:val="20"/>
          <w:szCs w:val="20"/>
          <w:lang w:val="es-CR"/>
        </w:rPr>
        <w:t xml:space="preserve"> Perita</w:t>
      </w:r>
      <w:r w:rsidR="00EC417C" w:rsidRPr="00011001">
        <w:rPr>
          <w:rFonts w:ascii="Verdana" w:hAnsi="Verdana"/>
          <w:b/>
          <w:i/>
          <w:sz w:val="20"/>
          <w:szCs w:val="20"/>
          <w:lang w:val="es-CR"/>
        </w:rPr>
        <w:t xml:space="preserve"> </w:t>
      </w:r>
    </w:p>
    <w:p w:rsidR="00EC417C" w:rsidRPr="00011001" w:rsidRDefault="009A3288" w:rsidP="00EC417C">
      <w:pPr>
        <w:spacing w:line="240" w:lineRule="auto"/>
        <w:ind w:firstLine="360"/>
        <w:jc w:val="both"/>
        <w:rPr>
          <w:rFonts w:ascii="Verdana" w:hAnsi="Verdana"/>
          <w:i/>
          <w:sz w:val="20"/>
          <w:szCs w:val="20"/>
          <w:lang w:val="es-CR"/>
        </w:rPr>
      </w:pPr>
      <w:r w:rsidRPr="00011001">
        <w:rPr>
          <w:rFonts w:ascii="Verdana" w:hAnsi="Verdana"/>
          <w:i/>
          <w:sz w:val="20"/>
          <w:szCs w:val="20"/>
          <w:lang w:val="es-CR"/>
        </w:rPr>
        <w:t>Propuesta</w:t>
      </w:r>
      <w:r w:rsidR="00EC417C" w:rsidRPr="00011001">
        <w:rPr>
          <w:rFonts w:ascii="Verdana" w:hAnsi="Verdana"/>
          <w:i/>
          <w:sz w:val="20"/>
          <w:szCs w:val="20"/>
          <w:lang w:val="es-CR"/>
        </w:rPr>
        <w:t xml:space="preserve"> por los representantes</w:t>
      </w:r>
    </w:p>
    <w:p w:rsidR="00040DB6" w:rsidRPr="00135102" w:rsidRDefault="00EC417C" w:rsidP="00191854">
      <w:pPr>
        <w:pStyle w:val="ListParagraph"/>
        <w:spacing w:line="240" w:lineRule="auto"/>
        <w:ind w:left="1069"/>
        <w:jc w:val="both"/>
        <w:rPr>
          <w:rFonts w:ascii="Verdana" w:hAnsi="Verdana"/>
          <w:sz w:val="20"/>
          <w:szCs w:val="20"/>
          <w:lang w:val="es-CR"/>
        </w:rPr>
      </w:pPr>
      <w:r w:rsidRPr="00011001">
        <w:rPr>
          <w:rFonts w:ascii="Verdana" w:hAnsi="Verdana"/>
          <w:i/>
          <w:sz w:val="20"/>
          <w:szCs w:val="20"/>
          <w:lang w:val="es-CR"/>
        </w:rPr>
        <w:t>Ol</w:t>
      </w:r>
      <w:r w:rsidR="00191854" w:rsidRPr="00011001">
        <w:rPr>
          <w:rFonts w:ascii="Verdana" w:hAnsi="Verdana"/>
          <w:i/>
          <w:sz w:val="20"/>
          <w:szCs w:val="20"/>
          <w:lang w:val="es-CR"/>
        </w:rPr>
        <w:t>ga Patricia Roldán Montenegro</w:t>
      </w:r>
      <w:r w:rsidR="00191854" w:rsidRPr="00011001">
        <w:rPr>
          <w:rFonts w:ascii="Verdana" w:hAnsi="Verdana"/>
          <w:sz w:val="20"/>
          <w:szCs w:val="20"/>
          <w:lang w:val="es-CR"/>
        </w:rPr>
        <w:t>, m</w:t>
      </w:r>
      <w:r w:rsidRPr="00011001">
        <w:rPr>
          <w:rFonts w:ascii="Verdana" w:hAnsi="Verdana"/>
          <w:sz w:val="20"/>
          <w:szCs w:val="20"/>
          <w:lang w:val="es-CR"/>
        </w:rPr>
        <w:t>édico forense, quien declarará sobre</w:t>
      </w:r>
      <w:r w:rsidR="00191854" w:rsidRPr="00011001">
        <w:rPr>
          <w:rFonts w:ascii="Verdana" w:hAnsi="Verdana"/>
          <w:sz w:val="20"/>
          <w:szCs w:val="20"/>
          <w:lang w:val="es-CR"/>
        </w:rPr>
        <w:t>: i)</w:t>
      </w:r>
      <w:r w:rsidRPr="00011001">
        <w:rPr>
          <w:rFonts w:ascii="Verdana" w:hAnsi="Verdana"/>
          <w:sz w:val="20"/>
          <w:szCs w:val="20"/>
          <w:lang w:val="es-CR"/>
        </w:rPr>
        <w:t xml:space="preserve"> las </w:t>
      </w:r>
      <w:r w:rsidR="00191854" w:rsidRPr="00011001">
        <w:rPr>
          <w:rFonts w:ascii="Verdana" w:hAnsi="Verdana"/>
          <w:sz w:val="20"/>
          <w:szCs w:val="20"/>
          <w:lang w:val="es-CR"/>
        </w:rPr>
        <w:t xml:space="preserve">alegadas </w:t>
      </w:r>
      <w:r w:rsidRPr="00011001">
        <w:rPr>
          <w:rFonts w:ascii="Verdana" w:hAnsi="Verdana"/>
          <w:sz w:val="20"/>
          <w:szCs w:val="20"/>
          <w:lang w:val="es-CR"/>
        </w:rPr>
        <w:t>irregularidades, negligencias y omisiones cometidas durante las primeras diligencias de investigación acerca de la ejecución de</w:t>
      </w:r>
      <w:r w:rsidR="00191854" w:rsidRPr="00011001">
        <w:rPr>
          <w:rFonts w:ascii="Verdana" w:hAnsi="Verdana"/>
          <w:sz w:val="20"/>
          <w:szCs w:val="20"/>
          <w:lang w:val="es-CR"/>
        </w:rPr>
        <w:t xml:space="preserve">l señor </w:t>
      </w:r>
      <w:r w:rsidRPr="00011001">
        <w:rPr>
          <w:rFonts w:ascii="Verdana" w:hAnsi="Verdana"/>
          <w:sz w:val="20"/>
          <w:szCs w:val="20"/>
          <w:lang w:val="es-CR"/>
        </w:rPr>
        <w:t xml:space="preserve"> Tirso Román Valenzuela Ávila, tomando en cuenta las con</w:t>
      </w:r>
      <w:r w:rsidR="00191854" w:rsidRPr="00011001">
        <w:rPr>
          <w:rFonts w:ascii="Verdana" w:hAnsi="Verdana"/>
          <w:sz w:val="20"/>
          <w:szCs w:val="20"/>
          <w:lang w:val="es-CR"/>
        </w:rPr>
        <w:t>stancias del expediente del caso en la jurisdicción inte</w:t>
      </w:r>
      <w:r w:rsidR="00DE376D" w:rsidRPr="00011001">
        <w:rPr>
          <w:rFonts w:ascii="Verdana" w:hAnsi="Verdana"/>
          <w:sz w:val="20"/>
          <w:szCs w:val="20"/>
          <w:lang w:val="es-CR"/>
        </w:rPr>
        <w:t>r</w:t>
      </w:r>
      <w:r w:rsidR="00191854" w:rsidRPr="00011001">
        <w:rPr>
          <w:rFonts w:ascii="Verdana" w:hAnsi="Verdana"/>
          <w:sz w:val="20"/>
          <w:szCs w:val="20"/>
          <w:lang w:val="es-CR"/>
        </w:rPr>
        <w:t xml:space="preserve">na, y ii) las supuestas </w:t>
      </w:r>
      <w:r w:rsidRPr="00011001">
        <w:rPr>
          <w:rFonts w:ascii="Verdana" w:hAnsi="Verdana"/>
          <w:sz w:val="20"/>
          <w:szCs w:val="20"/>
          <w:lang w:val="es-CR"/>
        </w:rPr>
        <w:t>medidas que el Estado debería adoptar para evitar la repetición de hechos como los ocurridos en este caso.</w:t>
      </w:r>
    </w:p>
    <w:p w:rsidR="007C7554" w:rsidRDefault="007C7554" w:rsidP="00BE458A">
      <w:pPr>
        <w:pStyle w:val="Normal1"/>
        <w:widowControl/>
        <w:numPr>
          <w:ilvl w:val="0"/>
          <w:numId w:val="23"/>
        </w:numPr>
        <w:autoSpaceDE w:val="0"/>
        <w:autoSpaceDN w:val="0"/>
        <w:adjustRightInd w:val="0"/>
        <w:ind w:left="0" w:firstLine="0"/>
        <w:contextualSpacing/>
        <w:jc w:val="both"/>
        <w:rPr>
          <w:rFonts w:ascii="Verdana" w:hAnsi="Verdana"/>
          <w:sz w:val="20"/>
          <w:szCs w:val="20"/>
        </w:rPr>
      </w:pPr>
      <w:r w:rsidRPr="007C7554">
        <w:rPr>
          <w:rFonts w:ascii="Verdana" w:hAnsi="Verdana"/>
          <w:sz w:val="20"/>
          <w:szCs w:val="20"/>
        </w:rPr>
        <w:t>Requerir a la perita convocada a declarar en audiencia que, de considerarlo conveniente, aporte una versión escrita d</w:t>
      </w:r>
      <w:r w:rsidR="00B437C1">
        <w:rPr>
          <w:rFonts w:ascii="Verdana" w:hAnsi="Verdana"/>
          <w:sz w:val="20"/>
          <w:szCs w:val="20"/>
        </w:rPr>
        <w:t xml:space="preserve">e su peritaje, a más tardar </w:t>
      </w:r>
      <w:r w:rsidR="00B437C1" w:rsidRPr="00A622F0">
        <w:rPr>
          <w:rFonts w:ascii="Verdana" w:hAnsi="Verdana"/>
          <w:sz w:val="20"/>
          <w:szCs w:val="20"/>
        </w:rPr>
        <w:t xml:space="preserve">el </w:t>
      </w:r>
      <w:r w:rsidR="00A622F0" w:rsidRPr="00A622F0">
        <w:rPr>
          <w:rFonts w:ascii="Verdana" w:hAnsi="Verdana"/>
          <w:sz w:val="20"/>
          <w:szCs w:val="20"/>
        </w:rPr>
        <w:t>1 de marzo</w:t>
      </w:r>
      <w:r w:rsidRPr="00A622F0">
        <w:rPr>
          <w:rFonts w:ascii="Verdana" w:hAnsi="Verdana"/>
          <w:sz w:val="20"/>
          <w:szCs w:val="20"/>
        </w:rPr>
        <w:t xml:space="preserve"> de 2019.</w:t>
      </w:r>
    </w:p>
    <w:p w:rsidR="00A46A4C" w:rsidRPr="007C7554" w:rsidRDefault="00A46A4C" w:rsidP="00AB7CE0">
      <w:pPr>
        <w:pStyle w:val="Normal1"/>
        <w:widowControl/>
        <w:autoSpaceDE w:val="0"/>
        <w:autoSpaceDN w:val="0"/>
        <w:adjustRightInd w:val="0"/>
        <w:contextualSpacing/>
        <w:jc w:val="both"/>
        <w:rPr>
          <w:rFonts w:ascii="Verdana" w:hAnsi="Verdana"/>
          <w:sz w:val="20"/>
          <w:szCs w:val="20"/>
        </w:rPr>
      </w:pPr>
    </w:p>
    <w:p w:rsidR="00040DB6" w:rsidRDefault="00296E09" w:rsidP="00BE458A">
      <w:pPr>
        <w:pStyle w:val="Normal1"/>
        <w:widowControl/>
        <w:numPr>
          <w:ilvl w:val="0"/>
          <w:numId w:val="23"/>
        </w:numPr>
        <w:autoSpaceDE w:val="0"/>
        <w:autoSpaceDN w:val="0"/>
        <w:adjustRightInd w:val="0"/>
        <w:ind w:left="0" w:firstLine="0"/>
        <w:contextualSpacing/>
        <w:jc w:val="both"/>
        <w:rPr>
          <w:rFonts w:ascii="Verdana" w:hAnsi="Verdana"/>
          <w:sz w:val="20"/>
          <w:szCs w:val="20"/>
        </w:rPr>
      </w:pPr>
      <w:r w:rsidRPr="00040DB6">
        <w:rPr>
          <w:rFonts w:ascii="Verdana" w:hAnsi="Verdana"/>
          <w:sz w:val="20"/>
          <w:szCs w:val="20"/>
        </w:rPr>
        <w:lastRenderedPageBreak/>
        <w:t>Requerir, por las razones expuestas en la presente Resolución, de conformidad con el principio de economía procesal y en el ejercicio de la facultad que le otorga los artículos 50.1 y 50.3 del Reglamento, que las siguientes personas presenten sus declaraciones ante fedatario público:</w:t>
      </w:r>
    </w:p>
    <w:p w:rsidR="00A622F0" w:rsidRDefault="00A622F0" w:rsidP="00BE458A">
      <w:pPr>
        <w:spacing w:after="0" w:line="240" w:lineRule="auto"/>
        <w:jc w:val="both"/>
        <w:rPr>
          <w:rFonts w:ascii="Verdana" w:hAnsi="Verdana"/>
          <w:b/>
          <w:i/>
          <w:sz w:val="20"/>
          <w:szCs w:val="20"/>
          <w:lang w:val="es-CR"/>
        </w:rPr>
      </w:pPr>
    </w:p>
    <w:p w:rsidR="0009684B" w:rsidRPr="00BE458A" w:rsidRDefault="00135102" w:rsidP="00BE458A">
      <w:pPr>
        <w:pStyle w:val="ListParagraph"/>
        <w:numPr>
          <w:ilvl w:val="0"/>
          <w:numId w:val="24"/>
        </w:numPr>
        <w:spacing w:after="0" w:line="240" w:lineRule="auto"/>
        <w:jc w:val="both"/>
        <w:rPr>
          <w:rFonts w:ascii="Verdana" w:hAnsi="Verdana"/>
          <w:b/>
          <w:i/>
          <w:sz w:val="20"/>
          <w:szCs w:val="20"/>
          <w:lang w:val="es-CR"/>
        </w:rPr>
      </w:pPr>
      <w:r w:rsidRPr="00BE458A">
        <w:rPr>
          <w:rFonts w:ascii="Verdana" w:hAnsi="Verdana"/>
          <w:b/>
          <w:i/>
          <w:sz w:val="20"/>
          <w:szCs w:val="20"/>
          <w:lang w:val="es-CR"/>
        </w:rPr>
        <w:t>Declarantes</w:t>
      </w:r>
    </w:p>
    <w:p w:rsidR="00BE458A" w:rsidRPr="00BE458A" w:rsidRDefault="00BE458A" w:rsidP="00BE458A">
      <w:pPr>
        <w:spacing w:after="0" w:line="240" w:lineRule="auto"/>
        <w:ind w:left="360"/>
        <w:jc w:val="both"/>
        <w:rPr>
          <w:rFonts w:ascii="Verdana" w:hAnsi="Verdana"/>
          <w:b/>
          <w:i/>
          <w:sz w:val="20"/>
          <w:szCs w:val="20"/>
          <w:lang w:val="es-CR"/>
        </w:rPr>
      </w:pPr>
    </w:p>
    <w:p w:rsidR="009A3288" w:rsidRPr="00011001" w:rsidRDefault="0009684B" w:rsidP="00011001">
      <w:pPr>
        <w:spacing w:line="240" w:lineRule="auto"/>
        <w:ind w:firstLine="360"/>
        <w:jc w:val="both"/>
        <w:rPr>
          <w:rFonts w:ascii="Verdana" w:hAnsi="Verdana"/>
          <w:b/>
          <w:i/>
          <w:sz w:val="20"/>
          <w:szCs w:val="20"/>
          <w:lang w:val="es-CR"/>
        </w:rPr>
      </w:pPr>
      <w:r w:rsidRPr="000644F6">
        <w:rPr>
          <w:rFonts w:ascii="Verdana" w:hAnsi="Verdana"/>
          <w:i/>
          <w:sz w:val="20"/>
          <w:szCs w:val="20"/>
          <w:lang w:val="es-CR"/>
        </w:rPr>
        <w:t xml:space="preserve">Propuestos por </w:t>
      </w:r>
      <w:r w:rsidR="00EC417C">
        <w:rPr>
          <w:rFonts w:ascii="Verdana" w:hAnsi="Verdana"/>
          <w:i/>
          <w:sz w:val="20"/>
          <w:szCs w:val="20"/>
          <w:lang w:val="es-CR"/>
        </w:rPr>
        <w:t>los representantes</w:t>
      </w:r>
    </w:p>
    <w:p w:rsidR="00F25CBF" w:rsidRPr="00F25CBF" w:rsidRDefault="00A622F0" w:rsidP="00F25CBF">
      <w:pPr>
        <w:pStyle w:val="ListParagraph"/>
        <w:numPr>
          <w:ilvl w:val="0"/>
          <w:numId w:val="19"/>
        </w:numPr>
        <w:spacing w:after="0" w:line="240" w:lineRule="auto"/>
        <w:ind w:left="720" w:firstLine="0"/>
        <w:jc w:val="both"/>
        <w:rPr>
          <w:rFonts w:ascii="Verdana" w:hAnsi="Verdana"/>
          <w:sz w:val="20"/>
          <w:szCs w:val="20"/>
          <w:lang w:val="es-CR"/>
        </w:rPr>
      </w:pPr>
      <w:proofErr w:type="spellStart"/>
      <w:r>
        <w:rPr>
          <w:rFonts w:ascii="Verdana" w:hAnsi="Verdana"/>
          <w:i/>
          <w:sz w:val="20"/>
          <w:szCs w:val="20"/>
          <w:lang w:val="es-CR"/>
        </w:rPr>
        <w:t>Ludim</w:t>
      </w:r>
      <w:proofErr w:type="spellEnd"/>
      <w:r>
        <w:rPr>
          <w:rFonts w:ascii="Verdana" w:hAnsi="Verdana"/>
          <w:i/>
          <w:sz w:val="20"/>
          <w:szCs w:val="20"/>
          <w:lang w:val="es-CR"/>
        </w:rPr>
        <w:t xml:space="preserve"> Azucena Ruí</w:t>
      </w:r>
      <w:r w:rsidR="00F25CBF" w:rsidRPr="00F25CBF">
        <w:rPr>
          <w:rFonts w:ascii="Verdana" w:hAnsi="Verdana"/>
          <w:i/>
          <w:sz w:val="20"/>
          <w:szCs w:val="20"/>
          <w:lang w:val="es-CR"/>
        </w:rPr>
        <w:t>z López</w:t>
      </w:r>
      <w:r w:rsidR="00F25CBF" w:rsidRPr="00F25CBF">
        <w:rPr>
          <w:rFonts w:ascii="Verdana" w:hAnsi="Verdana"/>
          <w:sz w:val="20"/>
          <w:szCs w:val="20"/>
          <w:lang w:val="es-CR"/>
        </w:rPr>
        <w:t xml:space="preserve">, cónyuge de Tirso Román Valenzuela Ávila, quien declarará sobre: i) los alegados hechos acontecidos en este caso desde la detención de su cónyuge, incluyendo lo que conoce acerca de los supuestos actos de tortura que sufrió del señor Tirso Román Valenzuela Ávila y la forma en que supuestamente le afectó el tiempo que permaneció en el corredor de la muerte; ii) los alegados hostigamientos y amenazas que sufrieron ella y sus hijos tras la fuga del señor Valenzuela Ávila y por la búsqueda de justicia; iii) las alegadas afectaciones sufridas por no dar las ceremonias fúnebres de los restos de su cónyuge ante la negativa de las autoridades judiciales, y iv) las supuestas medidas a considerar que el Estado debe adoptar para reparar el daño causado, así como otros aspectos relevantes del caso. </w:t>
      </w:r>
    </w:p>
    <w:p w:rsidR="00F25CBF" w:rsidRPr="00F25CBF" w:rsidRDefault="00F25CBF" w:rsidP="00F25CBF">
      <w:pPr>
        <w:pStyle w:val="ListParagraph"/>
        <w:spacing w:after="0" w:line="240" w:lineRule="auto"/>
        <w:ind w:left="1080"/>
        <w:jc w:val="both"/>
        <w:rPr>
          <w:rFonts w:ascii="Verdana" w:hAnsi="Verdana"/>
          <w:sz w:val="20"/>
          <w:szCs w:val="20"/>
          <w:lang w:val="es-CR"/>
        </w:rPr>
      </w:pPr>
    </w:p>
    <w:p w:rsidR="00794BD4" w:rsidRDefault="00A622F0" w:rsidP="00011001">
      <w:pPr>
        <w:pStyle w:val="ListParagraph"/>
        <w:numPr>
          <w:ilvl w:val="0"/>
          <w:numId w:val="19"/>
        </w:numPr>
        <w:spacing w:after="0" w:line="240" w:lineRule="auto"/>
        <w:ind w:left="720" w:firstLine="0"/>
        <w:jc w:val="both"/>
        <w:rPr>
          <w:rFonts w:ascii="Verdana" w:hAnsi="Verdana"/>
          <w:sz w:val="20"/>
          <w:szCs w:val="20"/>
          <w:lang w:val="es-CR"/>
        </w:rPr>
      </w:pPr>
      <w:r>
        <w:rPr>
          <w:rFonts w:ascii="Verdana" w:hAnsi="Verdana"/>
          <w:i/>
          <w:sz w:val="20"/>
          <w:szCs w:val="20"/>
          <w:lang w:val="es-CR"/>
        </w:rPr>
        <w:t>Jorge Luis Valenzuela Ruí</w:t>
      </w:r>
      <w:r w:rsidR="0009684B" w:rsidRPr="009A3288">
        <w:rPr>
          <w:rFonts w:ascii="Verdana" w:hAnsi="Verdana"/>
          <w:i/>
          <w:sz w:val="20"/>
          <w:szCs w:val="20"/>
          <w:lang w:val="es-CR"/>
        </w:rPr>
        <w:t>z</w:t>
      </w:r>
      <w:r w:rsidR="0009684B" w:rsidRPr="009A3288">
        <w:rPr>
          <w:rFonts w:ascii="Verdana" w:hAnsi="Verdana"/>
          <w:sz w:val="20"/>
          <w:szCs w:val="20"/>
          <w:lang w:val="es-CR"/>
        </w:rPr>
        <w:t>, hijo de Tirso Valenzuela Ávila</w:t>
      </w:r>
      <w:r w:rsidR="00794BD4">
        <w:rPr>
          <w:rFonts w:ascii="Verdana" w:hAnsi="Verdana"/>
          <w:sz w:val="20"/>
          <w:szCs w:val="20"/>
          <w:lang w:val="es-CR"/>
        </w:rPr>
        <w:t>,</w:t>
      </w:r>
      <w:r w:rsidR="0009684B" w:rsidRPr="009A3288">
        <w:rPr>
          <w:rFonts w:ascii="Verdana" w:hAnsi="Verdana"/>
          <w:sz w:val="20"/>
          <w:szCs w:val="20"/>
          <w:lang w:val="es-CR"/>
        </w:rPr>
        <w:t xml:space="preserve"> </w:t>
      </w:r>
      <w:r w:rsidR="00794BD4">
        <w:rPr>
          <w:rFonts w:ascii="Verdana" w:hAnsi="Verdana"/>
          <w:sz w:val="20"/>
          <w:szCs w:val="20"/>
          <w:lang w:val="es-CR"/>
        </w:rPr>
        <w:t xml:space="preserve">quien declarará sobre: </w:t>
      </w:r>
      <w:r w:rsidR="00794BD4" w:rsidRPr="009A3288">
        <w:rPr>
          <w:rFonts w:ascii="Verdana" w:hAnsi="Verdana"/>
          <w:sz w:val="20"/>
          <w:szCs w:val="20"/>
          <w:lang w:val="es-CR"/>
        </w:rPr>
        <w:t xml:space="preserve">i) los alegados hechos acontecidos en este caso, incluyendo, lo que conoce sobre los supuestos actos de tortura a los que fue sometido; ii) la forma en la que le supuestamente afectó a su padre el tiempo que permaneció en el corredor de la muerte; iii)  lo que conoce en relación a su ejecución extrajudicial, los alegados hostigamientos y amenazas que sufrieron él, sus hermanos, su madre y su abuela tras la fuga del señor Tirso Román Valenzuela Ávila, y por su involucramiento en la búsqueda de justicia, iv) las </w:t>
      </w:r>
      <w:r>
        <w:rPr>
          <w:rFonts w:ascii="Verdana" w:hAnsi="Verdana"/>
          <w:sz w:val="20"/>
          <w:szCs w:val="20"/>
          <w:lang w:val="es-CR"/>
        </w:rPr>
        <w:t xml:space="preserve">alegadas </w:t>
      </w:r>
      <w:r w:rsidR="00794BD4" w:rsidRPr="009A3288">
        <w:rPr>
          <w:rFonts w:ascii="Verdana" w:hAnsi="Verdana"/>
          <w:sz w:val="20"/>
          <w:szCs w:val="20"/>
          <w:lang w:val="es-CR"/>
        </w:rPr>
        <w:t>afectaciones sufridas por no dar las ceremonias fúnebres de los restos de su padre ante la negativa de las autoridades judiciales, y v) las supuestas medidas a considerar que el Estado debe adoptar para reparar el daño causado, así como otros aspectos relevantes del caso.</w:t>
      </w:r>
    </w:p>
    <w:p w:rsidR="009A3288" w:rsidRPr="009A3288" w:rsidRDefault="009A3288" w:rsidP="00011001">
      <w:pPr>
        <w:pStyle w:val="ListParagraph"/>
        <w:spacing w:line="240" w:lineRule="auto"/>
        <w:jc w:val="both"/>
        <w:rPr>
          <w:rFonts w:ascii="Verdana" w:hAnsi="Verdana"/>
          <w:sz w:val="20"/>
          <w:szCs w:val="20"/>
          <w:lang w:val="es-CR"/>
        </w:rPr>
      </w:pPr>
    </w:p>
    <w:p w:rsidR="00794BD4" w:rsidRDefault="00A622F0" w:rsidP="00011001">
      <w:pPr>
        <w:pStyle w:val="ListParagraph"/>
        <w:numPr>
          <w:ilvl w:val="0"/>
          <w:numId w:val="19"/>
        </w:numPr>
        <w:spacing w:after="0" w:line="240" w:lineRule="auto"/>
        <w:ind w:left="720" w:firstLine="0"/>
        <w:jc w:val="both"/>
        <w:rPr>
          <w:rFonts w:ascii="Verdana" w:hAnsi="Verdana"/>
          <w:sz w:val="20"/>
          <w:szCs w:val="20"/>
          <w:lang w:val="es-CR"/>
        </w:rPr>
      </w:pPr>
      <w:r>
        <w:rPr>
          <w:rFonts w:ascii="Verdana" w:hAnsi="Verdana"/>
          <w:i/>
          <w:sz w:val="20"/>
          <w:szCs w:val="20"/>
          <w:lang w:val="es-CR"/>
        </w:rPr>
        <w:t>Luis Fernando Valenzuela Ruí</w:t>
      </w:r>
      <w:r w:rsidR="002E2F93" w:rsidRPr="009A3288">
        <w:rPr>
          <w:rFonts w:ascii="Verdana" w:hAnsi="Verdana"/>
          <w:i/>
          <w:sz w:val="20"/>
          <w:szCs w:val="20"/>
          <w:lang w:val="es-CR"/>
        </w:rPr>
        <w:t>z</w:t>
      </w:r>
      <w:r w:rsidR="002E2F93" w:rsidRPr="009A3288">
        <w:rPr>
          <w:rFonts w:ascii="Verdana" w:hAnsi="Verdana"/>
          <w:sz w:val="20"/>
          <w:szCs w:val="20"/>
          <w:lang w:val="es-CR"/>
        </w:rPr>
        <w:t>, hijo de Tirso Valenzuela Ávil</w:t>
      </w:r>
      <w:r w:rsidR="00C01F3C" w:rsidRPr="009A3288">
        <w:rPr>
          <w:rFonts w:ascii="Verdana" w:hAnsi="Verdana"/>
          <w:sz w:val="20"/>
          <w:szCs w:val="20"/>
          <w:lang w:val="es-CR"/>
        </w:rPr>
        <w:t>a</w:t>
      </w:r>
      <w:r w:rsidR="00794BD4">
        <w:rPr>
          <w:rFonts w:ascii="Verdana" w:hAnsi="Verdana"/>
          <w:sz w:val="20"/>
          <w:szCs w:val="20"/>
          <w:lang w:val="es-CR"/>
        </w:rPr>
        <w:t xml:space="preserve">, quien declarará sobre: </w:t>
      </w:r>
      <w:r w:rsidR="00794BD4" w:rsidRPr="009A3288">
        <w:rPr>
          <w:rFonts w:ascii="Verdana" w:hAnsi="Verdana"/>
          <w:sz w:val="20"/>
          <w:szCs w:val="20"/>
          <w:lang w:val="es-CR"/>
        </w:rPr>
        <w:t>i) los alegados hechos acontecidos en este caso, incluyendo, lo que conoce sobre los supuestos actos de tortura a los que fue sometido; ii) la forma en la que le supuestamente afectó a su padre el tiempo que permaneció en el corredor de la muerte; iii)  lo que conoce en relación a su ejecución extrajudicial, los alegados hostigamientos y amenazas que sufrieron él, sus hermanos, su madre y su abuela tras la fuga del señor Tirso Román Valenzuela Ávila, y por su involucramiento en la búsqueda de justicia, iv) las afectaciones sufridas por no dar las ceremonias fúnebres de los restos de su padre ante la negativa de las autoridades judiciales, y v) las supuestas medidas a considerar que el Estado debe adoptar para reparar el daño causado, así como otros aspectos relevantes del caso.</w:t>
      </w:r>
    </w:p>
    <w:p w:rsidR="009A3288" w:rsidRDefault="009A3288" w:rsidP="00011001">
      <w:pPr>
        <w:pStyle w:val="ListParagraph"/>
        <w:spacing w:line="240" w:lineRule="auto"/>
        <w:jc w:val="both"/>
        <w:rPr>
          <w:rFonts w:ascii="Verdana" w:hAnsi="Verdana"/>
          <w:sz w:val="20"/>
          <w:szCs w:val="20"/>
          <w:lang w:val="es-CR"/>
        </w:rPr>
      </w:pPr>
    </w:p>
    <w:p w:rsidR="009A3288" w:rsidRDefault="002E2F93" w:rsidP="00011001">
      <w:pPr>
        <w:pStyle w:val="ListParagraph"/>
        <w:numPr>
          <w:ilvl w:val="0"/>
          <w:numId w:val="19"/>
        </w:numPr>
        <w:spacing w:after="0" w:line="240" w:lineRule="auto"/>
        <w:ind w:left="720" w:firstLine="0"/>
        <w:jc w:val="both"/>
        <w:rPr>
          <w:rFonts w:ascii="Verdana" w:hAnsi="Verdana"/>
          <w:sz w:val="20"/>
          <w:szCs w:val="20"/>
          <w:lang w:val="es-CR"/>
        </w:rPr>
      </w:pPr>
      <w:r w:rsidRPr="009A3288">
        <w:rPr>
          <w:rFonts w:ascii="Verdana" w:hAnsi="Verdana"/>
          <w:i/>
          <w:sz w:val="20"/>
          <w:szCs w:val="20"/>
          <w:lang w:val="es-CR"/>
        </w:rPr>
        <w:t>Tirso Romá</w:t>
      </w:r>
      <w:r w:rsidR="00A622F0">
        <w:rPr>
          <w:rFonts w:ascii="Verdana" w:hAnsi="Verdana"/>
          <w:i/>
          <w:sz w:val="20"/>
          <w:szCs w:val="20"/>
          <w:lang w:val="es-CR"/>
        </w:rPr>
        <w:t>n Valenzuela Ruí</w:t>
      </w:r>
      <w:r w:rsidRPr="009A3288">
        <w:rPr>
          <w:rFonts w:ascii="Verdana" w:hAnsi="Verdana"/>
          <w:i/>
          <w:sz w:val="20"/>
          <w:szCs w:val="20"/>
          <w:lang w:val="es-CR"/>
        </w:rPr>
        <w:t>z</w:t>
      </w:r>
      <w:r w:rsidRPr="009A3288">
        <w:rPr>
          <w:rFonts w:ascii="Verdana" w:hAnsi="Verdana"/>
          <w:sz w:val="20"/>
          <w:szCs w:val="20"/>
          <w:lang w:val="es-CR"/>
        </w:rPr>
        <w:t>, hijo de Tirso Valenzuela Ávila</w:t>
      </w:r>
      <w:r w:rsidR="00794BD4">
        <w:rPr>
          <w:rFonts w:ascii="Verdana" w:hAnsi="Verdana"/>
          <w:sz w:val="20"/>
          <w:szCs w:val="20"/>
          <w:lang w:val="es-CR"/>
        </w:rPr>
        <w:t>, quien declarará</w:t>
      </w:r>
      <w:r w:rsidR="009A3288" w:rsidRPr="009A3288">
        <w:rPr>
          <w:rFonts w:ascii="Verdana" w:hAnsi="Verdana"/>
          <w:sz w:val="20"/>
          <w:szCs w:val="20"/>
          <w:highlight w:val="yellow"/>
          <w:lang w:val="es-CR"/>
        </w:rPr>
        <w:t xml:space="preserve"> </w:t>
      </w:r>
      <w:r w:rsidR="009A3288" w:rsidRPr="00794BD4">
        <w:rPr>
          <w:rFonts w:ascii="Verdana" w:hAnsi="Verdana"/>
          <w:sz w:val="20"/>
          <w:szCs w:val="20"/>
          <w:lang w:val="es-CR"/>
        </w:rPr>
        <w:t>sobre:</w:t>
      </w:r>
      <w:r w:rsidR="009A3288" w:rsidRPr="009A3288">
        <w:rPr>
          <w:rFonts w:ascii="Verdana" w:hAnsi="Verdana"/>
          <w:sz w:val="20"/>
          <w:szCs w:val="20"/>
          <w:lang w:val="es-CR"/>
        </w:rPr>
        <w:t xml:space="preserve"> i) los alegados hechos acontecidos en este caso, incluyendo, lo que conoce sobre los supuestos actos de tortura a los que fue sometido; ii) la forma en la que le supuestamente afectó a su padre el tiempo que permaneció en</w:t>
      </w:r>
      <w:r w:rsidR="00AF0456">
        <w:rPr>
          <w:rFonts w:ascii="Verdana" w:hAnsi="Verdana"/>
          <w:sz w:val="20"/>
          <w:szCs w:val="20"/>
          <w:lang w:val="es-CR"/>
        </w:rPr>
        <w:t xml:space="preserve"> el corredor de la muerte; iii)</w:t>
      </w:r>
      <w:r w:rsidR="009A3288" w:rsidRPr="009A3288">
        <w:rPr>
          <w:rFonts w:ascii="Verdana" w:hAnsi="Verdana"/>
          <w:sz w:val="20"/>
          <w:szCs w:val="20"/>
          <w:lang w:val="es-CR"/>
        </w:rPr>
        <w:t xml:space="preserve"> lo que conoce en relación a su ejecución extrajudicial, los alegados hostigamientos y amenazas que sufrieron él, sus hermanos, su madre y su abuela tras la fuga del señor Tirso Román Valenzuela Ávila, y por su involucramiento en la búsqueda de justicia, iv) las</w:t>
      </w:r>
      <w:r w:rsidR="00A622F0">
        <w:rPr>
          <w:rFonts w:ascii="Verdana" w:hAnsi="Verdana"/>
          <w:sz w:val="20"/>
          <w:szCs w:val="20"/>
          <w:lang w:val="es-CR"/>
        </w:rPr>
        <w:t xml:space="preserve"> alegadas</w:t>
      </w:r>
      <w:r w:rsidR="009A3288" w:rsidRPr="009A3288">
        <w:rPr>
          <w:rFonts w:ascii="Verdana" w:hAnsi="Verdana"/>
          <w:sz w:val="20"/>
          <w:szCs w:val="20"/>
          <w:lang w:val="es-CR"/>
        </w:rPr>
        <w:t xml:space="preserve"> afectaciones sufridas por no dar las </w:t>
      </w:r>
      <w:r w:rsidR="009A3288" w:rsidRPr="009A3288">
        <w:rPr>
          <w:rFonts w:ascii="Verdana" w:hAnsi="Verdana"/>
          <w:sz w:val="20"/>
          <w:szCs w:val="20"/>
          <w:lang w:val="es-CR"/>
        </w:rPr>
        <w:lastRenderedPageBreak/>
        <w:t>ceremonias fúnebres de los restos de su padre ante la negativa de las autoridades judiciales, y v) las supuestas medidas a considerar que el Estado debe adoptar para reparar el daño causado, así como otros aspectos relevantes del caso.</w:t>
      </w:r>
    </w:p>
    <w:p w:rsidR="009A3288" w:rsidRDefault="009A3288" w:rsidP="00011001">
      <w:pPr>
        <w:pStyle w:val="ListParagraph"/>
        <w:spacing w:after="0" w:line="240" w:lineRule="auto"/>
        <w:jc w:val="both"/>
        <w:rPr>
          <w:rFonts w:ascii="Verdana" w:hAnsi="Verdana"/>
          <w:sz w:val="20"/>
          <w:szCs w:val="20"/>
          <w:lang w:val="es-CR"/>
        </w:rPr>
      </w:pPr>
    </w:p>
    <w:p w:rsidR="0009684B" w:rsidRPr="009A3288" w:rsidRDefault="000E3A88" w:rsidP="00011001">
      <w:pPr>
        <w:pStyle w:val="ListParagraph"/>
        <w:numPr>
          <w:ilvl w:val="0"/>
          <w:numId w:val="19"/>
        </w:numPr>
        <w:spacing w:after="0" w:line="240" w:lineRule="auto"/>
        <w:ind w:left="720" w:firstLine="0"/>
        <w:jc w:val="both"/>
        <w:rPr>
          <w:rFonts w:ascii="Verdana" w:hAnsi="Verdana"/>
          <w:sz w:val="20"/>
          <w:szCs w:val="20"/>
          <w:lang w:val="es-CR"/>
        </w:rPr>
      </w:pPr>
      <w:r w:rsidRPr="009A3288">
        <w:rPr>
          <w:rFonts w:ascii="Verdana" w:hAnsi="Verdana"/>
          <w:i/>
          <w:sz w:val="20"/>
          <w:szCs w:val="20"/>
          <w:lang w:val="es-CR"/>
        </w:rPr>
        <w:t>Rosa María Mendoza López</w:t>
      </w:r>
      <w:r w:rsidRPr="009A3288">
        <w:rPr>
          <w:rFonts w:ascii="Verdana" w:hAnsi="Verdana"/>
          <w:sz w:val="20"/>
          <w:szCs w:val="20"/>
          <w:lang w:val="es-CR"/>
        </w:rPr>
        <w:t>, conviviente de Tirso Román Valenzuela Ávila, quien declarará sobre</w:t>
      </w:r>
      <w:r w:rsidR="00C01F3C" w:rsidRPr="009A3288">
        <w:rPr>
          <w:rFonts w:ascii="Verdana" w:hAnsi="Verdana"/>
          <w:sz w:val="20"/>
          <w:szCs w:val="20"/>
          <w:lang w:val="es-CR"/>
        </w:rPr>
        <w:t>: i) los alegados</w:t>
      </w:r>
      <w:r w:rsidRPr="009A3288">
        <w:rPr>
          <w:rFonts w:ascii="Verdana" w:hAnsi="Verdana"/>
          <w:sz w:val="20"/>
          <w:szCs w:val="20"/>
          <w:lang w:val="es-CR"/>
        </w:rPr>
        <w:t xml:space="preserve"> hechos acontecidos en este caso desde la detención de su pareja, incluyendo lo que conoce acerca de los </w:t>
      </w:r>
      <w:r w:rsidR="00C01F3C" w:rsidRPr="009A3288">
        <w:rPr>
          <w:rFonts w:ascii="Verdana" w:hAnsi="Verdana"/>
          <w:sz w:val="20"/>
          <w:szCs w:val="20"/>
          <w:lang w:val="es-CR"/>
        </w:rPr>
        <w:t xml:space="preserve">supuestos </w:t>
      </w:r>
      <w:r w:rsidRPr="009A3288">
        <w:rPr>
          <w:rFonts w:ascii="Verdana" w:hAnsi="Verdana"/>
          <w:sz w:val="20"/>
          <w:szCs w:val="20"/>
          <w:lang w:val="es-CR"/>
        </w:rPr>
        <w:t xml:space="preserve">actos de tortura que sufrió </w:t>
      </w:r>
      <w:r w:rsidR="00C01F3C" w:rsidRPr="009A3288">
        <w:rPr>
          <w:rFonts w:ascii="Verdana" w:hAnsi="Verdana"/>
          <w:sz w:val="20"/>
          <w:szCs w:val="20"/>
          <w:lang w:val="es-CR"/>
        </w:rPr>
        <w:t>el señor Tirso Román Valenzuela Ávila; ii)</w:t>
      </w:r>
      <w:r w:rsidRPr="009A3288">
        <w:rPr>
          <w:rFonts w:ascii="Verdana" w:hAnsi="Verdana"/>
          <w:sz w:val="20"/>
          <w:szCs w:val="20"/>
          <w:lang w:val="es-CR"/>
        </w:rPr>
        <w:t xml:space="preserve"> la forma en que le afectó el tiempo que permaneció en el corredor de la muerte,</w:t>
      </w:r>
      <w:r w:rsidR="00C01F3C" w:rsidRPr="009A3288">
        <w:rPr>
          <w:rFonts w:ascii="Verdana" w:hAnsi="Verdana"/>
          <w:sz w:val="20"/>
          <w:szCs w:val="20"/>
          <w:lang w:val="es-CR"/>
        </w:rPr>
        <w:t xml:space="preserve"> iii) los alegados</w:t>
      </w:r>
      <w:r w:rsidRPr="009A3288">
        <w:rPr>
          <w:rFonts w:ascii="Verdana" w:hAnsi="Verdana"/>
          <w:sz w:val="20"/>
          <w:szCs w:val="20"/>
          <w:lang w:val="es-CR"/>
        </w:rPr>
        <w:t xml:space="preserve"> hostigamientos y amenazas que sufrió</w:t>
      </w:r>
      <w:r w:rsidR="00A622F0">
        <w:rPr>
          <w:rFonts w:ascii="Verdana" w:hAnsi="Verdana"/>
          <w:sz w:val="20"/>
          <w:szCs w:val="20"/>
          <w:lang w:val="es-CR"/>
        </w:rPr>
        <w:t xml:space="preserve"> y </w:t>
      </w:r>
      <w:r w:rsidRPr="009A3288">
        <w:rPr>
          <w:rFonts w:ascii="Verdana" w:hAnsi="Verdana"/>
          <w:sz w:val="20"/>
          <w:szCs w:val="20"/>
          <w:lang w:val="es-CR"/>
        </w:rPr>
        <w:t>por la búsqueda de justicia, la forma en la que los</w:t>
      </w:r>
      <w:r w:rsidR="00A622F0">
        <w:rPr>
          <w:rFonts w:ascii="Verdana" w:hAnsi="Verdana"/>
          <w:sz w:val="20"/>
          <w:szCs w:val="20"/>
          <w:lang w:val="es-CR"/>
        </w:rPr>
        <w:t xml:space="preserve"> alegados</w:t>
      </w:r>
      <w:r w:rsidRPr="009A3288">
        <w:rPr>
          <w:rFonts w:ascii="Verdana" w:hAnsi="Verdana"/>
          <w:sz w:val="20"/>
          <w:szCs w:val="20"/>
          <w:lang w:val="es-CR"/>
        </w:rPr>
        <w:t xml:space="preserve"> hechos del caso y la impunidad le afectaron a ella y a su familia, y</w:t>
      </w:r>
      <w:r w:rsidR="00C01F3C" w:rsidRPr="009A3288">
        <w:rPr>
          <w:rFonts w:ascii="Verdana" w:hAnsi="Verdana"/>
          <w:sz w:val="20"/>
          <w:szCs w:val="20"/>
          <w:lang w:val="es-CR"/>
        </w:rPr>
        <w:t xml:space="preserve"> iv)</w:t>
      </w:r>
      <w:r w:rsidRPr="009A3288">
        <w:rPr>
          <w:rFonts w:ascii="Verdana" w:hAnsi="Verdana"/>
          <w:sz w:val="20"/>
          <w:szCs w:val="20"/>
          <w:lang w:val="es-CR"/>
        </w:rPr>
        <w:t xml:space="preserve"> las </w:t>
      </w:r>
      <w:r w:rsidR="00C01F3C" w:rsidRPr="009A3288">
        <w:rPr>
          <w:rFonts w:ascii="Verdana" w:hAnsi="Verdana"/>
          <w:sz w:val="20"/>
          <w:szCs w:val="20"/>
          <w:lang w:val="es-CR"/>
        </w:rPr>
        <w:t xml:space="preserve">supuestas </w:t>
      </w:r>
      <w:r w:rsidRPr="009A3288">
        <w:rPr>
          <w:rFonts w:ascii="Verdana" w:hAnsi="Verdana"/>
          <w:sz w:val="20"/>
          <w:szCs w:val="20"/>
          <w:lang w:val="es-CR"/>
        </w:rPr>
        <w:t>medidas que considera que el Estado debe adoptar para reparar el daño causado, así como otros aspectos relevantes del caso.</w:t>
      </w:r>
    </w:p>
    <w:p w:rsidR="00AF0456" w:rsidRPr="007C7554" w:rsidRDefault="00AF0456" w:rsidP="007C7554">
      <w:pPr>
        <w:spacing w:after="0" w:line="240" w:lineRule="auto"/>
        <w:jc w:val="both"/>
        <w:rPr>
          <w:rFonts w:ascii="Verdana" w:hAnsi="Verdana"/>
          <w:sz w:val="20"/>
          <w:szCs w:val="20"/>
          <w:lang w:val="es-CR"/>
        </w:rPr>
      </w:pPr>
    </w:p>
    <w:p w:rsidR="00040DB6" w:rsidRDefault="00EC417C" w:rsidP="00040DB6">
      <w:pPr>
        <w:spacing w:line="240" w:lineRule="auto"/>
        <w:jc w:val="both"/>
        <w:rPr>
          <w:rFonts w:ascii="Verdana" w:hAnsi="Verdana"/>
          <w:b/>
          <w:i/>
          <w:sz w:val="20"/>
          <w:szCs w:val="20"/>
          <w:lang w:val="es-CR"/>
        </w:rPr>
      </w:pPr>
      <w:r>
        <w:rPr>
          <w:rFonts w:ascii="Verdana" w:hAnsi="Verdana"/>
          <w:b/>
          <w:i/>
          <w:sz w:val="20"/>
          <w:szCs w:val="20"/>
          <w:lang w:val="es-CR"/>
        </w:rPr>
        <w:t>B.</w:t>
      </w:r>
      <w:r w:rsidR="00040DB6" w:rsidRPr="00715DE6">
        <w:rPr>
          <w:rFonts w:ascii="Verdana" w:hAnsi="Verdana"/>
          <w:b/>
          <w:i/>
          <w:sz w:val="20"/>
          <w:szCs w:val="20"/>
          <w:lang w:val="es-CR"/>
        </w:rPr>
        <w:t xml:space="preserve"> </w:t>
      </w:r>
      <w:r w:rsidR="00135102">
        <w:rPr>
          <w:rFonts w:ascii="Verdana" w:hAnsi="Verdana"/>
          <w:b/>
          <w:i/>
          <w:sz w:val="20"/>
          <w:szCs w:val="20"/>
          <w:lang w:val="es-CR"/>
        </w:rPr>
        <w:t>Testigo</w:t>
      </w:r>
      <w:r w:rsidR="00040DB6" w:rsidRPr="00715DE6">
        <w:rPr>
          <w:rFonts w:ascii="Verdana" w:hAnsi="Verdana"/>
          <w:b/>
          <w:i/>
          <w:sz w:val="20"/>
          <w:szCs w:val="20"/>
          <w:lang w:val="es-CR"/>
        </w:rPr>
        <w:t xml:space="preserve"> </w:t>
      </w:r>
    </w:p>
    <w:p w:rsidR="00040DB6" w:rsidRPr="000644F6" w:rsidRDefault="00040DB6" w:rsidP="00040DB6">
      <w:pPr>
        <w:spacing w:line="240" w:lineRule="auto"/>
        <w:ind w:firstLine="360"/>
        <w:jc w:val="both"/>
        <w:rPr>
          <w:rFonts w:ascii="Verdana" w:hAnsi="Verdana"/>
          <w:b/>
          <w:i/>
          <w:sz w:val="20"/>
          <w:szCs w:val="20"/>
          <w:lang w:val="es-CR"/>
        </w:rPr>
      </w:pPr>
      <w:r w:rsidRPr="000644F6">
        <w:rPr>
          <w:rFonts w:ascii="Verdana" w:hAnsi="Verdana"/>
          <w:i/>
          <w:sz w:val="20"/>
          <w:szCs w:val="20"/>
          <w:lang w:val="es-CR"/>
        </w:rPr>
        <w:t xml:space="preserve">Propuesto por </w:t>
      </w:r>
      <w:r w:rsidR="00EC417C">
        <w:rPr>
          <w:rFonts w:ascii="Verdana" w:hAnsi="Verdana"/>
          <w:i/>
          <w:sz w:val="20"/>
          <w:szCs w:val="20"/>
          <w:lang w:val="es-CR"/>
        </w:rPr>
        <w:t>los representantes</w:t>
      </w:r>
    </w:p>
    <w:p w:rsidR="0009684B" w:rsidRPr="009A3288" w:rsidRDefault="0009684B" w:rsidP="007C7554">
      <w:pPr>
        <w:pStyle w:val="ListParagraph"/>
        <w:spacing w:line="240" w:lineRule="auto"/>
        <w:jc w:val="both"/>
        <w:rPr>
          <w:rFonts w:ascii="Verdana" w:hAnsi="Verdana"/>
          <w:sz w:val="20"/>
          <w:szCs w:val="20"/>
          <w:lang w:val="es-CR"/>
        </w:rPr>
      </w:pPr>
      <w:r w:rsidRPr="009A3288">
        <w:rPr>
          <w:rFonts w:ascii="Verdana" w:hAnsi="Verdana"/>
          <w:i/>
          <w:sz w:val="20"/>
          <w:szCs w:val="20"/>
          <w:lang w:val="es-CR"/>
        </w:rPr>
        <w:t>Gerónimo Chales</w:t>
      </w:r>
      <w:r w:rsidRPr="009A3288">
        <w:rPr>
          <w:rFonts w:ascii="Verdana" w:hAnsi="Verdana"/>
          <w:sz w:val="20"/>
          <w:szCs w:val="20"/>
          <w:lang w:val="es-CR"/>
        </w:rPr>
        <w:t xml:space="preserve">, abogado y defensor público, quien declarará sobre la </w:t>
      </w:r>
      <w:r w:rsidR="00751178" w:rsidRPr="009A3288">
        <w:rPr>
          <w:rFonts w:ascii="Verdana" w:hAnsi="Verdana"/>
          <w:sz w:val="20"/>
          <w:szCs w:val="20"/>
          <w:lang w:val="es-CR"/>
        </w:rPr>
        <w:t xml:space="preserve">alegada </w:t>
      </w:r>
      <w:r w:rsidRPr="009A3288">
        <w:rPr>
          <w:rFonts w:ascii="Verdana" w:hAnsi="Verdana"/>
          <w:sz w:val="20"/>
          <w:szCs w:val="20"/>
          <w:lang w:val="es-CR"/>
        </w:rPr>
        <w:t>práctica de detenciones ilegales y arbitrarias seguidas de</w:t>
      </w:r>
      <w:r w:rsidR="00751178" w:rsidRPr="009A3288">
        <w:rPr>
          <w:rFonts w:ascii="Verdana" w:hAnsi="Verdana"/>
          <w:sz w:val="20"/>
          <w:szCs w:val="20"/>
          <w:lang w:val="es-CR"/>
        </w:rPr>
        <w:t xml:space="preserve"> las supuestas</w:t>
      </w:r>
      <w:r w:rsidRPr="009A3288">
        <w:rPr>
          <w:rFonts w:ascii="Verdana" w:hAnsi="Verdana"/>
          <w:sz w:val="20"/>
          <w:szCs w:val="20"/>
          <w:lang w:val="es-CR"/>
        </w:rPr>
        <w:t xml:space="preserve"> torturas cometidas por agentes de las fuerzas de seguridad del Estado en contra del señor Tirso Román Valenzuela Ávila, de los que tuvo conocimiento a raíz de su ejercicio como defensor público.</w:t>
      </w:r>
    </w:p>
    <w:p w:rsidR="00040DB6" w:rsidRDefault="00040DB6" w:rsidP="00040DB6">
      <w:pPr>
        <w:spacing w:line="240" w:lineRule="auto"/>
        <w:jc w:val="both"/>
        <w:rPr>
          <w:rFonts w:ascii="Verdana" w:hAnsi="Verdana"/>
          <w:b/>
          <w:i/>
          <w:sz w:val="20"/>
          <w:szCs w:val="20"/>
          <w:lang w:val="es-CR"/>
        </w:rPr>
      </w:pPr>
      <w:r>
        <w:rPr>
          <w:rFonts w:ascii="Verdana" w:hAnsi="Verdana"/>
          <w:b/>
          <w:i/>
          <w:sz w:val="20"/>
          <w:szCs w:val="20"/>
          <w:lang w:val="es-CR"/>
        </w:rPr>
        <w:t xml:space="preserve">B. Peritos </w:t>
      </w:r>
    </w:p>
    <w:p w:rsidR="00040DB6" w:rsidRDefault="00545759" w:rsidP="00040DB6">
      <w:pPr>
        <w:spacing w:line="240" w:lineRule="auto"/>
        <w:ind w:left="360"/>
        <w:jc w:val="both"/>
        <w:rPr>
          <w:rFonts w:ascii="Verdana" w:hAnsi="Verdana"/>
          <w:b/>
          <w:i/>
          <w:sz w:val="20"/>
          <w:szCs w:val="20"/>
          <w:lang w:val="es-CR"/>
        </w:rPr>
      </w:pPr>
      <w:r>
        <w:rPr>
          <w:rFonts w:ascii="Verdana" w:hAnsi="Verdana"/>
          <w:i/>
          <w:sz w:val="20"/>
          <w:szCs w:val="20"/>
          <w:lang w:val="es-CR"/>
        </w:rPr>
        <w:t xml:space="preserve">Propuestos por </w:t>
      </w:r>
      <w:r w:rsidR="00040DB6" w:rsidRPr="000644F6">
        <w:rPr>
          <w:rFonts w:ascii="Verdana" w:hAnsi="Verdana"/>
          <w:i/>
          <w:sz w:val="20"/>
          <w:szCs w:val="20"/>
          <w:lang w:val="es-CR"/>
        </w:rPr>
        <w:t xml:space="preserve">los representantes </w:t>
      </w:r>
      <w:r w:rsidR="00040DB6" w:rsidRPr="000644F6">
        <w:rPr>
          <w:rFonts w:ascii="Verdana" w:hAnsi="Verdana"/>
          <w:b/>
          <w:i/>
          <w:sz w:val="20"/>
          <w:szCs w:val="20"/>
          <w:lang w:val="es-CR"/>
        </w:rPr>
        <w:t xml:space="preserve"> </w:t>
      </w:r>
    </w:p>
    <w:p w:rsidR="00751178" w:rsidRDefault="00E77AED" w:rsidP="00011001">
      <w:pPr>
        <w:pStyle w:val="ListParagraph"/>
        <w:numPr>
          <w:ilvl w:val="0"/>
          <w:numId w:val="21"/>
        </w:numPr>
        <w:spacing w:line="240" w:lineRule="auto"/>
        <w:ind w:left="720" w:firstLine="0"/>
        <w:jc w:val="both"/>
        <w:rPr>
          <w:rFonts w:ascii="Verdana" w:hAnsi="Verdana"/>
          <w:sz w:val="20"/>
          <w:szCs w:val="20"/>
          <w:lang w:val="es-CR"/>
        </w:rPr>
      </w:pPr>
      <w:r w:rsidRPr="000D3A97">
        <w:rPr>
          <w:rFonts w:ascii="Verdana" w:hAnsi="Verdana"/>
          <w:i/>
          <w:sz w:val="20"/>
          <w:szCs w:val="20"/>
          <w:lang w:val="es-CR"/>
        </w:rPr>
        <w:t>Denis Mart</w:t>
      </w:r>
      <w:r w:rsidR="000E438A" w:rsidRPr="000D3A97">
        <w:rPr>
          <w:rFonts w:ascii="Verdana" w:hAnsi="Verdana"/>
          <w:i/>
          <w:sz w:val="20"/>
          <w:szCs w:val="20"/>
          <w:lang w:val="es-CR"/>
        </w:rPr>
        <w:t>ínez</w:t>
      </w:r>
      <w:r w:rsidR="000D3A97">
        <w:rPr>
          <w:rFonts w:ascii="Verdana" w:hAnsi="Verdana"/>
          <w:sz w:val="20"/>
          <w:szCs w:val="20"/>
          <w:lang w:val="es-CR"/>
        </w:rPr>
        <w:t xml:space="preserve">, antropólogo </w:t>
      </w:r>
      <w:r w:rsidR="000E438A">
        <w:rPr>
          <w:rFonts w:ascii="Verdana" w:hAnsi="Verdana"/>
          <w:sz w:val="20"/>
          <w:szCs w:val="20"/>
          <w:lang w:val="es-CR"/>
        </w:rPr>
        <w:t xml:space="preserve">social, </w:t>
      </w:r>
      <w:r w:rsidR="00751178">
        <w:rPr>
          <w:rFonts w:ascii="Verdana" w:hAnsi="Verdana"/>
          <w:sz w:val="20"/>
          <w:szCs w:val="20"/>
          <w:lang w:val="es-CR"/>
        </w:rPr>
        <w:t>quien rendirá dictamen pericial sobre: i) el p</w:t>
      </w:r>
      <w:r w:rsidR="000E438A">
        <w:rPr>
          <w:rFonts w:ascii="Verdana" w:hAnsi="Verdana"/>
          <w:sz w:val="20"/>
          <w:szCs w:val="20"/>
          <w:lang w:val="es-CR"/>
        </w:rPr>
        <w:t>rograma de limpieza s</w:t>
      </w:r>
      <w:r w:rsidR="00751178">
        <w:rPr>
          <w:rFonts w:ascii="Verdana" w:hAnsi="Verdana"/>
          <w:sz w:val="20"/>
          <w:szCs w:val="20"/>
          <w:lang w:val="es-CR"/>
        </w:rPr>
        <w:t>ocial a personas estigmatizadas; ii) las e</w:t>
      </w:r>
      <w:r w:rsidR="000E438A">
        <w:rPr>
          <w:rFonts w:ascii="Verdana" w:hAnsi="Verdana"/>
          <w:sz w:val="20"/>
          <w:szCs w:val="20"/>
          <w:lang w:val="es-CR"/>
        </w:rPr>
        <w:t xml:space="preserve">structuras paralelas dentro de la Policía Nacional Civil, desde </w:t>
      </w:r>
      <w:r w:rsidR="00751178">
        <w:rPr>
          <w:rFonts w:ascii="Verdana" w:hAnsi="Verdana"/>
          <w:sz w:val="20"/>
          <w:szCs w:val="20"/>
          <w:lang w:val="es-CR"/>
        </w:rPr>
        <w:t xml:space="preserve">su creación hasta la actualidad, y iii) </w:t>
      </w:r>
      <w:r w:rsidR="000E438A">
        <w:rPr>
          <w:rFonts w:ascii="Verdana" w:hAnsi="Verdana"/>
          <w:sz w:val="20"/>
          <w:szCs w:val="20"/>
          <w:lang w:val="es-CR"/>
        </w:rPr>
        <w:t xml:space="preserve"> las medidas que el Estado debería adoptar para evitar la repetición de hechos como los ocurridos en este caso.</w:t>
      </w:r>
      <w:r w:rsidR="008A173D">
        <w:rPr>
          <w:rFonts w:ascii="Verdana" w:hAnsi="Verdana"/>
          <w:sz w:val="20"/>
          <w:szCs w:val="20"/>
          <w:lang w:val="es-CR"/>
        </w:rPr>
        <w:t xml:space="preserve"> </w:t>
      </w:r>
    </w:p>
    <w:p w:rsidR="00E77AED" w:rsidRDefault="000E438A" w:rsidP="00011001">
      <w:pPr>
        <w:pStyle w:val="ListParagraph"/>
        <w:spacing w:line="240" w:lineRule="auto"/>
        <w:jc w:val="both"/>
        <w:rPr>
          <w:rFonts w:ascii="Verdana" w:hAnsi="Verdana"/>
          <w:sz w:val="20"/>
          <w:szCs w:val="20"/>
          <w:lang w:val="es-CR"/>
        </w:rPr>
      </w:pPr>
      <w:r>
        <w:rPr>
          <w:rFonts w:ascii="Verdana" w:hAnsi="Verdana"/>
          <w:sz w:val="20"/>
          <w:szCs w:val="20"/>
          <w:lang w:val="es-CR"/>
        </w:rPr>
        <w:t xml:space="preserve"> </w:t>
      </w:r>
    </w:p>
    <w:p w:rsidR="00E77AED" w:rsidRDefault="00E77AED" w:rsidP="00011001">
      <w:pPr>
        <w:pStyle w:val="ListParagraph"/>
        <w:numPr>
          <w:ilvl w:val="0"/>
          <w:numId w:val="21"/>
        </w:numPr>
        <w:spacing w:line="240" w:lineRule="auto"/>
        <w:ind w:left="720" w:firstLine="0"/>
        <w:jc w:val="both"/>
        <w:rPr>
          <w:rFonts w:ascii="Verdana" w:hAnsi="Verdana"/>
          <w:sz w:val="20"/>
          <w:szCs w:val="20"/>
          <w:lang w:val="es-CR"/>
        </w:rPr>
      </w:pPr>
      <w:r w:rsidRPr="000D3A97">
        <w:rPr>
          <w:rFonts w:ascii="Verdana" w:hAnsi="Verdana"/>
          <w:i/>
          <w:sz w:val="20"/>
          <w:szCs w:val="20"/>
          <w:lang w:val="es-CR"/>
        </w:rPr>
        <w:t>Leonel González</w:t>
      </w:r>
      <w:r w:rsidR="000D3A97">
        <w:rPr>
          <w:rFonts w:ascii="Verdana" w:hAnsi="Verdana"/>
          <w:sz w:val="20"/>
          <w:szCs w:val="20"/>
          <w:lang w:val="es-CR"/>
        </w:rPr>
        <w:t>, a</w:t>
      </w:r>
      <w:r w:rsidR="000E438A">
        <w:rPr>
          <w:rFonts w:ascii="Verdana" w:hAnsi="Verdana"/>
          <w:sz w:val="20"/>
          <w:szCs w:val="20"/>
          <w:lang w:val="es-CR"/>
        </w:rPr>
        <w:t xml:space="preserve">bogado especialista en derecho procesal penal guatemalteco, quien </w:t>
      </w:r>
      <w:r w:rsidR="00751178">
        <w:rPr>
          <w:rFonts w:ascii="Verdana" w:hAnsi="Verdana"/>
          <w:sz w:val="20"/>
          <w:szCs w:val="20"/>
          <w:lang w:val="es-CR"/>
        </w:rPr>
        <w:t xml:space="preserve">rendirá dictamen pericial </w:t>
      </w:r>
      <w:r w:rsidR="000E438A">
        <w:rPr>
          <w:rFonts w:ascii="Verdana" w:hAnsi="Verdana"/>
          <w:sz w:val="20"/>
          <w:szCs w:val="20"/>
          <w:lang w:val="es-CR"/>
        </w:rPr>
        <w:t>sobre</w:t>
      </w:r>
      <w:r w:rsidR="00CE7EC1">
        <w:rPr>
          <w:rFonts w:ascii="Verdana" w:hAnsi="Verdana"/>
          <w:sz w:val="20"/>
          <w:szCs w:val="20"/>
          <w:lang w:val="es-CR"/>
        </w:rPr>
        <w:t>:</w:t>
      </w:r>
      <w:r w:rsidR="00751178">
        <w:rPr>
          <w:rFonts w:ascii="Verdana" w:hAnsi="Verdana"/>
          <w:sz w:val="20"/>
          <w:szCs w:val="20"/>
          <w:lang w:val="es-CR"/>
        </w:rPr>
        <w:t xml:space="preserve"> un</w:t>
      </w:r>
      <w:r w:rsidR="000E438A">
        <w:rPr>
          <w:rFonts w:ascii="Verdana" w:hAnsi="Verdana"/>
          <w:sz w:val="20"/>
          <w:szCs w:val="20"/>
          <w:lang w:val="es-CR"/>
        </w:rPr>
        <w:t xml:space="preserve"> análisis íntegro del expediente del proceso judicial que condenó a muerte a</w:t>
      </w:r>
      <w:r w:rsidR="00751178">
        <w:rPr>
          <w:rFonts w:ascii="Verdana" w:hAnsi="Verdana"/>
          <w:sz w:val="20"/>
          <w:szCs w:val="20"/>
          <w:lang w:val="es-CR"/>
        </w:rPr>
        <w:t>l señor</w:t>
      </w:r>
      <w:r w:rsidR="000E438A">
        <w:rPr>
          <w:rFonts w:ascii="Verdana" w:hAnsi="Verdana"/>
          <w:sz w:val="20"/>
          <w:szCs w:val="20"/>
          <w:lang w:val="es-CR"/>
        </w:rPr>
        <w:t xml:space="preserve"> Ti</w:t>
      </w:r>
      <w:r w:rsidR="00751178">
        <w:rPr>
          <w:rFonts w:ascii="Verdana" w:hAnsi="Verdana"/>
          <w:sz w:val="20"/>
          <w:szCs w:val="20"/>
          <w:lang w:val="es-CR"/>
        </w:rPr>
        <w:t>rso Román Valenzuela Ávila, a saber</w:t>
      </w:r>
      <w:r w:rsidR="000E438A">
        <w:rPr>
          <w:rFonts w:ascii="Verdana" w:hAnsi="Verdana"/>
          <w:sz w:val="20"/>
          <w:szCs w:val="20"/>
          <w:lang w:val="es-CR"/>
        </w:rPr>
        <w:t xml:space="preserve">: i) si el proceso observó las garantías procesales mínimas de acuerdo con los estándares interamericanos, en particular </w:t>
      </w:r>
      <w:r w:rsidR="00A93F14">
        <w:rPr>
          <w:rFonts w:ascii="Verdana" w:hAnsi="Verdana"/>
          <w:sz w:val="20"/>
          <w:szCs w:val="20"/>
          <w:lang w:val="es-CR"/>
        </w:rPr>
        <w:t xml:space="preserve">sobre </w:t>
      </w:r>
      <w:r w:rsidR="000E438A">
        <w:rPr>
          <w:rFonts w:ascii="Verdana" w:hAnsi="Verdana"/>
          <w:sz w:val="20"/>
          <w:szCs w:val="20"/>
          <w:lang w:val="es-CR"/>
        </w:rPr>
        <w:t xml:space="preserve">el derecho a la defensa técnica y el control judicial de la misma; ii) el derecho a recurrir el fallo condenatorio, sus limitaciones en el marco de la legislación y práctica judicial guatemalteca y las violaciones que se cometieron en el presente caso; iii) medidas que </w:t>
      </w:r>
      <w:r w:rsidR="00A93F14">
        <w:rPr>
          <w:rFonts w:ascii="Verdana" w:hAnsi="Verdana"/>
          <w:sz w:val="20"/>
          <w:szCs w:val="20"/>
          <w:lang w:val="es-CR"/>
        </w:rPr>
        <w:t>debería</w:t>
      </w:r>
      <w:r w:rsidR="000E438A">
        <w:rPr>
          <w:rFonts w:ascii="Verdana" w:hAnsi="Verdana"/>
          <w:sz w:val="20"/>
          <w:szCs w:val="20"/>
          <w:lang w:val="es-CR"/>
        </w:rPr>
        <w:t xml:space="preserve"> </w:t>
      </w:r>
      <w:r w:rsidR="00A93F14">
        <w:rPr>
          <w:rFonts w:ascii="Verdana" w:hAnsi="Verdana"/>
          <w:sz w:val="20"/>
          <w:szCs w:val="20"/>
          <w:lang w:val="es-CR"/>
        </w:rPr>
        <w:t>adoptar</w:t>
      </w:r>
      <w:r w:rsidR="00A622F0">
        <w:rPr>
          <w:rFonts w:ascii="Verdana" w:hAnsi="Verdana"/>
          <w:sz w:val="20"/>
          <w:szCs w:val="20"/>
          <w:lang w:val="es-CR"/>
        </w:rPr>
        <w:t xml:space="preserve"> el E</w:t>
      </w:r>
      <w:r w:rsidR="000E438A">
        <w:rPr>
          <w:rFonts w:ascii="Verdana" w:hAnsi="Verdana"/>
          <w:sz w:val="20"/>
          <w:szCs w:val="20"/>
          <w:lang w:val="es-CR"/>
        </w:rPr>
        <w:t xml:space="preserve">stado de Guatemala para garantizar el control judicial efectivo de la defensa técnica adecuada de acuerdo con los estándares </w:t>
      </w:r>
      <w:r w:rsidR="00A93F14">
        <w:rPr>
          <w:rFonts w:ascii="Verdana" w:hAnsi="Verdana"/>
          <w:sz w:val="20"/>
          <w:szCs w:val="20"/>
          <w:lang w:val="es-CR"/>
        </w:rPr>
        <w:t>internacionales</w:t>
      </w:r>
      <w:r w:rsidR="000E438A">
        <w:rPr>
          <w:rFonts w:ascii="Verdana" w:hAnsi="Verdana"/>
          <w:sz w:val="20"/>
          <w:szCs w:val="20"/>
          <w:lang w:val="es-CR"/>
        </w:rPr>
        <w:t xml:space="preserve">; iv) las medidas que debería adoptar el Estado de Guatemala para garantizar que las personas condenadas </w:t>
      </w:r>
      <w:r w:rsidR="00A93F14">
        <w:rPr>
          <w:rFonts w:ascii="Verdana" w:hAnsi="Verdana"/>
          <w:sz w:val="20"/>
          <w:szCs w:val="20"/>
          <w:lang w:val="es-CR"/>
        </w:rPr>
        <w:t>penalmente</w:t>
      </w:r>
      <w:r w:rsidR="000E438A">
        <w:rPr>
          <w:rFonts w:ascii="Verdana" w:hAnsi="Verdana"/>
          <w:sz w:val="20"/>
          <w:szCs w:val="20"/>
          <w:lang w:val="es-CR"/>
        </w:rPr>
        <w:t xml:space="preserve"> cuenten con un recurso ante una autoridad </w:t>
      </w:r>
      <w:r w:rsidR="00A93F14">
        <w:rPr>
          <w:rFonts w:ascii="Verdana" w:hAnsi="Verdana"/>
          <w:sz w:val="20"/>
          <w:szCs w:val="20"/>
          <w:lang w:val="es-CR"/>
        </w:rPr>
        <w:t>jerárquica</w:t>
      </w:r>
      <w:r w:rsidR="000E438A">
        <w:rPr>
          <w:rFonts w:ascii="Verdana" w:hAnsi="Verdana"/>
          <w:sz w:val="20"/>
          <w:szCs w:val="20"/>
          <w:lang w:val="es-CR"/>
        </w:rPr>
        <w:t xml:space="preserve"> competente que </w:t>
      </w:r>
      <w:r w:rsidR="00A93F14">
        <w:rPr>
          <w:rFonts w:ascii="Verdana" w:hAnsi="Verdana"/>
          <w:sz w:val="20"/>
          <w:szCs w:val="20"/>
          <w:lang w:val="es-CR"/>
        </w:rPr>
        <w:t>permita</w:t>
      </w:r>
      <w:r w:rsidR="000E438A">
        <w:rPr>
          <w:rFonts w:ascii="Verdana" w:hAnsi="Verdana"/>
          <w:sz w:val="20"/>
          <w:szCs w:val="20"/>
          <w:lang w:val="es-CR"/>
        </w:rPr>
        <w:t xml:space="preserve"> una revisión integral del fallo condenatorio, y garantice la no repetición de los h</w:t>
      </w:r>
      <w:r w:rsidR="00A622F0">
        <w:rPr>
          <w:rFonts w:ascii="Verdana" w:hAnsi="Verdana"/>
          <w:sz w:val="20"/>
          <w:szCs w:val="20"/>
          <w:lang w:val="es-CR"/>
        </w:rPr>
        <w:t>echos, y</w:t>
      </w:r>
      <w:r w:rsidR="00751178">
        <w:rPr>
          <w:rFonts w:ascii="Verdana" w:hAnsi="Verdana"/>
          <w:sz w:val="20"/>
          <w:szCs w:val="20"/>
          <w:lang w:val="es-CR"/>
        </w:rPr>
        <w:t xml:space="preserve"> v) medidas que el E</w:t>
      </w:r>
      <w:r w:rsidR="000E438A">
        <w:rPr>
          <w:rFonts w:ascii="Verdana" w:hAnsi="Verdana"/>
          <w:sz w:val="20"/>
          <w:szCs w:val="20"/>
          <w:lang w:val="es-CR"/>
        </w:rPr>
        <w:t xml:space="preserve">stado debería adoptar para evitar la repetición de hechos como aquellos a los que se refiere este caso. </w:t>
      </w:r>
    </w:p>
    <w:p w:rsidR="00751178" w:rsidRDefault="00751178" w:rsidP="00011001">
      <w:pPr>
        <w:pStyle w:val="ListParagraph"/>
        <w:spacing w:line="240" w:lineRule="auto"/>
        <w:jc w:val="both"/>
        <w:rPr>
          <w:rFonts w:ascii="Verdana" w:hAnsi="Verdana"/>
          <w:sz w:val="20"/>
          <w:szCs w:val="20"/>
          <w:lang w:val="es-CR"/>
        </w:rPr>
      </w:pPr>
    </w:p>
    <w:p w:rsidR="00E77AED" w:rsidRDefault="00E77AED" w:rsidP="00011001">
      <w:pPr>
        <w:pStyle w:val="ListParagraph"/>
        <w:numPr>
          <w:ilvl w:val="0"/>
          <w:numId w:val="21"/>
        </w:numPr>
        <w:spacing w:after="0" w:line="240" w:lineRule="auto"/>
        <w:ind w:left="720" w:firstLine="0"/>
        <w:jc w:val="both"/>
        <w:rPr>
          <w:rFonts w:ascii="Verdana" w:hAnsi="Verdana"/>
          <w:sz w:val="20"/>
          <w:szCs w:val="20"/>
          <w:lang w:val="es-CR"/>
        </w:rPr>
      </w:pPr>
      <w:r w:rsidRPr="00D967E6">
        <w:rPr>
          <w:rFonts w:ascii="Verdana" w:hAnsi="Verdana"/>
          <w:i/>
          <w:sz w:val="20"/>
          <w:szCs w:val="20"/>
          <w:lang w:val="es-CR"/>
        </w:rPr>
        <w:t>Luis Rodolfo Ramírez García</w:t>
      </w:r>
      <w:r w:rsidR="00751178">
        <w:rPr>
          <w:rFonts w:ascii="Verdana" w:hAnsi="Verdana"/>
          <w:sz w:val="20"/>
          <w:szCs w:val="20"/>
          <w:lang w:val="es-CR"/>
        </w:rPr>
        <w:t>, e</w:t>
      </w:r>
      <w:r w:rsidR="00A93F14">
        <w:rPr>
          <w:rFonts w:ascii="Verdana" w:hAnsi="Verdana"/>
          <w:sz w:val="20"/>
          <w:szCs w:val="20"/>
          <w:lang w:val="es-CR"/>
        </w:rPr>
        <w:t xml:space="preserve">xperto en el sistema de justicia guatemalteco, quien rendirá </w:t>
      </w:r>
      <w:r w:rsidR="00751178">
        <w:rPr>
          <w:rFonts w:ascii="Verdana" w:hAnsi="Verdana"/>
          <w:sz w:val="20"/>
          <w:szCs w:val="20"/>
          <w:lang w:val="es-CR"/>
        </w:rPr>
        <w:t xml:space="preserve">dictamen pericial </w:t>
      </w:r>
      <w:r w:rsidR="00A93F14">
        <w:rPr>
          <w:rFonts w:ascii="Verdana" w:hAnsi="Verdana"/>
          <w:sz w:val="20"/>
          <w:szCs w:val="20"/>
          <w:lang w:val="es-CR"/>
        </w:rPr>
        <w:t>sobre</w:t>
      </w:r>
      <w:r w:rsidR="00751178">
        <w:rPr>
          <w:rFonts w:ascii="Verdana" w:hAnsi="Verdana"/>
          <w:sz w:val="20"/>
          <w:szCs w:val="20"/>
          <w:lang w:val="es-CR"/>
        </w:rPr>
        <w:t>:</w:t>
      </w:r>
      <w:r w:rsidR="00A93F14">
        <w:rPr>
          <w:rFonts w:ascii="Verdana" w:hAnsi="Verdana"/>
          <w:sz w:val="20"/>
          <w:szCs w:val="20"/>
          <w:lang w:val="es-CR"/>
        </w:rPr>
        <w:t xml:space="preserve"> i) las violaciones a los derechos humanos que se cometen dentro del Sistema Penitenciario, así como las necesidades para </w:t>
      </w:r>
      <w:r w:rsidR="00A622F0">
        <w:rPr>
          <w:rFonts w:ascii="Verdana" w:hAnsi="Verdana"/>
          <w:sz w:val="20"/>
          <w:szCs w:val="20"/>
          <w:lang w:val="es-CR"/>
        </w:rPr>
        <w:t xml:space="preserve">el </w:t>
      </w:r>
      <w:r w:rsidR="00A93F14">
        <w:rPr>
          <w:rFonts w:ascii="Verdana" w:hAnsi="Verdana"/>
          <w:sz w:val="20"/>
          <w:szCs w:val="20"/>
          <w:lang w:val="es-CR"/>
        </w:rPr>
        <w:t xml:space="preserve">logro </w:t>
      </w:r>
      <w:r w:rsidR="00A93F14">
        <w:rPr>
          <w:rFonts w:ascii="Verdana" w:hAnsi="Verdana"/>
          <w:sz w:val="20"/>
          <w:szCs w:val="20"/>
          <w:lang w:val="es-CR"/>
        </w:rPr>
        <w:lastRenderedPageBreak/>
        <w:t>de un marco legal y diseño institucional que respete los derechos humanos; ii) falta de mecanismos de documentación del actuar, de controles y de rendición de cuentas en la institución, que dieron lugar en las violaciones contra el señor Tirso Román Valenzuela Ávila; iii) el uso excesivo y arbitrario de los guardias del sistema penitenciario y la falta de investigación a</w:t>
      </w:r>
      <w:r w:rsidR="00751178">
        <w:rPr>
          <w:rFonts w:ascii="Verdana" w:hAnsi="Verdana"/>
          <w:sz w:val="20"/>
          <w:szCs w:val="20"/>
          <w:lang w:val="es-CR"/>
        </w:rPr>
        <w:t>decuada y sanción de las mismas, y</w:t>
      </w:r>
      <w:r w:rsidR="00A93F14">
        <w:rPr>
          <w:rFonts w:ascii="Verdana" w:hAnsi="Verdana"/>
          <w:sz w:val="20"/>
          <w:szCs w:val="20"/>
          <w:lang w:val="es-CR"/>
        </w:rPr>
        <w:t xml:space="preserve"> iv) elementos necesarios para un diseño adecuado de la institución penitenciaria y su importancia. </w:t>
      </w:r>
    </w:p>
    <w:p w:rsidR="008656FE" w:rsidRPr="00751178" w:rsidRDefault="00CA16AF" w:rsidP="007C7554">
      <w:pPr>
        <w:tabs>
          <w:tab w:val="left" w:pos="8115"/>
        </w:tabs>
        <w:spacing w:after="0" w:line="240" w:lineRule="auto"/>
        <w:jc w:val="both"/>
        <w:rPr>
          <w:rFonts w:ascii="Verdana" w:hAnsi="Verdana"/>
          <w:sz w:val="20"/>
          <w:szCs w:val="20"/>
          <w:lang w:val="es-CR"/>
        </w:rPr>
      </w:pPr>
      <w:r>
        <w:rPr>
          <w:rFonts w:ascii="Verdana" w:hAnsi="Verdana"/>
          <w:sz w:val="20"/>
          <w:szCs w:val="20"/>
          <w:lang w:val="es-CR"/>
        </w:rPr>
        <w:tab/>
      </w:r>
    </w:p>
    <w:p w:rsidR="00A622F0" w:rsidRDefault="00296E09" w:rsidP="00A622F0">
      <w:pPr>
        <w:pStyle w:val="Normal1"/>
        <w:widowControl/>
        <w:numPr>
          <w:ilvl w:val="0"/>
          <w:numId w:val="23"/>
        </w:numPr>
        <w:autoSpaceDE w:val="0"/>
        <w:autoSpaceDN w:val="0"/>
        <w:adjustRightInd w:val="0"/>
        <w:ind w:left="0" w:firstLine="0"/>
        <w:contextualSpacing/>
        <w:jc w:val="both"/>
        <w:rPr>
          <w:rFonts w:ascii="Verdana" w:hAnsi="Verdana"/>
          <w:sz w:val="20"/>
          <w:szCs w:val="20"/>
        </w:rPr>
      </w:pPr>
      <w:r w:rsidRPr="00040DB6">
        <w:rPr>
          <w:rFonts w:ascii="Verdana" w:hAnsi="Verdana"/>
          <w:sz w:val="20"/>
          <w:szCs w:val="20"/>
        </w:rPr>
        <w:t>Requerir a los representantes que notifiquen</w:t>
      </w:r>
      <w:r w:rsidR="00770144">
        <w:rPr>
          <w:rFonts w:ascii="Verdana" w:hAnsi="Verdana"/>
          <w:sz w:val="20"/>
          <w:szCs w:val="20"/>
        </w:rPr>
        <w:t xml:space="preserve"> la p</w:t>
      </w:r>
      <w:r w:rsidRPr="00040DB6">
        <w:rPr>
          <w:rFonts w:ascii="Verdana" w:hAnsi="Verdana"/>
          <w:sz w:val="20"/>
          <w:szCs w:val="20"/>
        </w:rPr>
        <w:t>resente Resolución a las personas propuestas</w:t>
      </w:r>
      <w:r w:rsidR="00A46A4C">
        <w:rPr>
          <w:rFonts w:ascii="Verdana" w:hAnsi="Verdana"/>
          <w:sz w:val="20"/>
          <w:szCs w:val="20"/>
        </w:rPr>
        <w:t xml:space="preserve"> por ellos</w:t>
      </w:r>
      <w:r w:rsidRPr="00040DB6">
        <w:rPr>
          <w:rFonts w:ascii="Verdana" w:hAnsi="Verdana"/>
          <w:sz w:val="20"/>
          <w:szCs w:val="20"/>
        </w:rPr>
        <w:t>, respectivamente, que han sido convocadas a rendir declaración, de conformidad con lo dispuesto en los artículos 50.2 y 50.4 del Reglamento.</w:t>
      </w:r>
    </w:p>
    <w:p w:rsidR="00A622F0" w:rsidRDefault="00A622F0" w:rsidP="00A622F0">
      <w:pPr>
        <w:pStyle w:val="Normal1"/>
        <w:widowControl/>
        <w:autoSpaceDE w:val="0"/>
        <w:autoSpaceDN w:val="0"/>
        <w:adjustRightInd w:val="0"/>
        <w:contextualSpacing/>
        <w:jc w:val="both"/>
        <w:rPr>
          <w:rFonts w:ascii="Verdana" w:hAnsi="Verdana"/>
          <w:sz w:val="20"/>
          <w:szCs w:val="20"/>
        </w:rPr>
      </w:pPr>
    </w:p>
    <w:p w:rsidR="00A622F0" w:rsidRPr="00A622F0" w:rsidRDefault="00A622F0" w:rsidP="00A622F0">
      <w:pPr>
        <w:pStyle w:val="ListParagraph"/>
        <w:numPr>
          <w:ilvl w:val="0"/>
          <w:numId w:val="23"/>
        </w:numPr>
        <w:spacing w:after="4" w:line="249" w:lineRule="auto"/>
        <w:ind w:left="0" w:right="54" w:firstLine="0"/>
        <w:jc w:val="both"/>
        <w:rPr>
          <w:rFonts w:ascii="Verdana" w:hAnsi="Verdana"/>
          <w:sz w:val="20"/>
          <w:szCs w:val="20"/>
          <w:lang w:val="es-CR"/>
        </w:rPr>
      </w:pPr>
      <w:r w:rsidRPr="00A622F0">
        <w:rPr>
          <w:rFonts w:ascii="Verdana" w:hAnsi="Verdana"/>
          <w:sz w:val="20"/>
          <w:szCs w:val="20"/>
          <w:lang w:val="es-CR"/>
        </w:rPr>
        <w:t xml:space="preserve">Requerir al Estado </w:t>
      </w:r>
      <w:r w:rsidR="00641DC5">
        <w:rPr>
          <w:rFonts w:ascii="Verdana" w:hAnsi="Verdana"/>
          <w:sz w:val="20"/>
          <w:szCs w:val="20"/>
          <w:lang w:val="es-CR"/>
        </w:rPr>
        <w:t>que remita</w:t>
      </w:r>
      <w:r w:rsidRPr="00A622F0">
        <w:rPr>
          <w:rFonts w:ascii="Verdana" w:hAnsi="Verdana"/>
          <w:sz w:val="20"/>
          <w:szCs w:val="20"/>
          <w:lang w:val="es-CR"/>
        </w:rPr>
        <w:t xml:space="preserve">, en los términos del artículo 50.5 del Reglamento y de considerarlo pertinente, en el plazo improrrogable que vence el </w:t>
      </w:r>
      <w:r>
        <w:rPr>
          <w:rFonts w:ascii="Verdana" w:hAnsi="Verdana"/>
          <w:sz w:val="20"/>
          <w:szCs w:val="20"/>
          <w:lang w:val="es-CR"/>
        </w:rPr>
        <w:t>1</w:t>
      </w:r>
      <w:r w:rsidR="00641DC5">
        <w:rPr>
          <w:rFonts w:ascii="Verdana" w:hAnsi="Verdana"/>
          <w:sz w:val="20"/>
          <w:szCs w:val="20"/>
          <w:lang w:val="es-CR"/>
        </w:rPr>
        <w:t>9</w:t>
      </w:r>
      <w:r>
        <w:rPr>
          <w:rFonts w:ascii="Verdana" w:hAnsi="Verdana"/>
          <w:sz w:val="20"/>
          <w:szCs w:val="20"/>
          <w:lang w:val="es-CR"/>
        </w:rPr>
        <w:t xml:space="preserve"> de </w:t>
      </w:r>
      <w:r w:rsidR="00641DC5">
        <w:rPr>
          <w:rFonts w:ascii="Verdana" w:hAnsi="Verdana"/>
          <w:sz w:val="20"/>
          <w:szCs w:val="20"/>
          <w:lang w:val="es-CR"/>
        </w:rPr>
        <w:t xml:space="preserve">febrero </w:t>
      </w:r>
      <w:r w:rsidRPr="00A622F0">
        <w:rPr>
          <w:rFonts w:ascii="Verdana" w:hAnsi="Verdana"/>
          <w:sz w:val="20"/>
          <w:szCs w:val="20"/>
          <w:lang w:val="es-CR"/>
        </w:rPr>
        <w:t>de</w:t>
      </w:r>
      <w:r w:rsidR="00641DC5">
        <w:rPr>
          <w:rFonts w:ascii="Verdana" w:hAnsi="Verdana"/>
          <w:sz w:val="20"/>
          <w:szCs w:val="20"/>
          <w:lang w:val="es-CR"/>
        </w:rPr>
        <w:t xml:space="preserve"> 2019, las preguntas que estime</w:t>
      </w:r>
      <w:r w:rsidRPr="00A622F0">
        <w:rPr>
          <w:rFonts w:ascii="Verdana" w:hAnsi="Verdana"/>
          <w:sz w:val="20"/>
          <w:szCs w:val="20"/>
          <w:lang w:val="es-CR"/>
        </w:rPr>
        <w:t xml:space="preserve"> pertinente formular, a través de la Corte Interamericana, a los declarantes indicados en el punto r</w:t>
      </w:r>
      <w:r>
        <w:rPr>
          <w:rFonts w:ascii="Verdana" w:hAnsi="Verdana"/>
          <w:sz w:val="20"/>
          <w:szCs w:val="20"/>
          <w:lang w:val="es-CR"/>
        </w:rPr>
        <w:t>esolutivo 3</w:t>
      </w:r>
      <w:r w:rsidRPr="00A622F0">
        <w:rPr>
          <w:rFonts w:ascii="Verdana" w:hAnsi="Verdana"/>
          <w:sz w:val="20"/>
          <w:szCs w:val="20"/>
          <w:lang w:val="es-CR"/>
        </w:rPr>
        <w:t xml:space="preserve"> de la presente Resolución, según corresponda. </w:t>
      </w:r>
    </w:p>
    <w:p w:rsidR="00237065" w:rsidRDefault="00237065" w:rsidP="00237065">
      <w:pPr>
        <w:pStyle w:val="Normal1"/>
        <w:widowControl/>
        <w:autoSpaceDE w:val="0"/>
        <w:autoSpaceDN w:val="0"/>
        <w:adjustRightInd w:val="0"/>
        <w:contextualSpacing/>
        <w:jc w:val="both"/>
        <w:rPr>
          <w:rFonts w:ascii="Verdana" w:hAnsi="Verdana"/>
          <w:sz w:val="20"/>
          <w:szCs w:val="20"/>
        </w:rPr>
      </w:pPr>
    </w:p>
    <w:p w:rsidR="00237065" w:rsidRDefault="00237065" w:rsidP="00BE458A">
      <w:pPr>
        <w:pStyle w:val="Normal1"/>
        <w:widowControl/>
        <w:numPr>
          <w:ilvl w:val="0"/>
          <w:numId w:val="23"/>
        </w:numPr>
        <w:autoSpaceDE w:val="0"/>
        <w:autoSpaceDN w:val="0"/>
        <w:adjustRightInd w:val="0"/>
        <w:ind w:left="0" w:firstLine="0"/>
        <w:contextualSpacing/>
        <w:jc w:val="both"/>
        <w:rPr>
          <w:rFonts w:ascii="Verdana" w:hAnsi="Verdana"/>
          <w:sz w:val="20"/>
          <w:szCs w:val="20"/>
        </w:rPr>
      </w:pPr>
      <w:r w:rsidRPr="00237065">
        <w:rPr>
          <w:rFonts w:ascii="Verdana" w:hAnsi="Verdana"/>
          <w:sz w:val="20"/>
          <w:szCs w:val="20"/>
        </w:rPr>
        <w:t>Requerir a l</w:t>
      </w:r>
      <w:r>
        <w:rPr>
          <w:rFonts w:ascii="Verdana" w:hAnsi="Verdana"/>
          <w:sz w:val="20"/>
          <w:szCs w:val="20"/>
        </w:rPr>
        <w:t>o</w:t>
      </w:r>
      <w:r w:rsidRPr="00237065">
        <w:rPr>
          <w:rFonts w:ascii="Verdana" w:hAnsi="Verdana"/>
          <w:sz w:val="20"/>
          <w:szCs w:val="20"/>
        </w:rPr>
        <w:t>s representantes</w:t>
      </w:r>
      <w:r w:rsidR="00A42284">
        <w:rPr>
          <w:rFonts w:ascii="Verdana" w:hAnsi="Verdana"/>
          <w:sz w:val="20"/>
          <w:szCs w:val="20"/>
        </w:rPr>
        <w:t xml:space="preserve"> </w:t>
      </w:r>
      <w:r w:rsidRPr="00237065">
        <w:rPr>
          <w:rFonts w:ascii="Verdana" w:hAnsi="Verdana"/>
          <w:sz w:val="20"/>
          <w:szCs w:val="20"/>
        </w:rPr>
        <w:t>que coordinen y realicen las diligencias necesarias para que, una vez recibidas las preguntas de la contraparte, los declarantes incluyan las respuestas en sus declaraciones rendidas ante fedatario público, salvo que el Presidente disponga lo contrario cuando la Secretaría de la Corte las transmita. Las declaraciones req</w:t>
      </w:r>
      <w:r w:rsidR="00BE458A">
        <w:rPr>
          <w:rFonts w:ascii="Verdana" w:hAnsi="Verdana"/>
          <w:sz w:val="20"/>
          <w:szCs w:val="20"/>
        </w:rPr>
        <w:t>ueridas en el punto resolutivo 3</w:t>
      </w:r>
      <w:r w:rsidRPr="00237065">
        <w:rPr>
          <w:rFonts w:ascii="Verdana" w:hAnsi="Verdana"/>
          <w:sz w:val="20"/>
          <w:szCs w:val="20"/>
        </w:rPr>
        <w:t xml:space="preserve"> de la presente Resolución deberán ser presentados a más tardar </w:t>
      </w:r>
      <w:r w:rsidR="00A622F0">
        <w:rPr>
          <w:rFonts w:ascii="Verdana" w:hAnsi="Verdana"/>
          <w:sz w:val="20"/>
          <w:szCs w:val="20"/>
        </w:rPr>
        <w:t>1 de marzo de 2019</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237065" w:rsidRDefault="00EF3B40" w:rsidP="00BE458A">
      <w:pPr>
        <w:pStyle w:val="Normal1"/>
        <w:widowControl/>
        <w:numPr>
          <w:ilvl w:val="0"/>
          <w:numId w:val="23"/>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 xml:space="preserve">Disponer, conforme al artículo 50.6 del Reglamento que, una vez recibidas las declaraciones, la Secretaría de la Corte Interamericana las transmita al Estado, a </w:t>
      </w:r>
      <w:r w:rsidR="00A42284">
        <w:rPr>
          <w:rFonts w:ascii="Verdana" w:hAnsi="Verdana"/>
          <w:sz w:val="20"/>
          <w:szCs w:val="20"/>
        </w:rPr>
        <w:t>los</w:t>
      </w:r>
      <w:r w:rsidRPr="00EF3B40">
        <w:rPr>
          <w:rFonts w:ascii="Verdana" w:hAnsi="Verdana"/>
          <w:sz w:val="20"/>
          <w:szCs w:val="20"/>
        </w:rPr>
        <w:t xml:space="preserve"> representantes </w:t>
      </w:r>
      <w:r w:rsidRPr="00FD1523">
        <w:rPr>
          <w:rFonts w:ascii="Verdana" w:hAnsi="Verdana"/>
          <w:sz w:val="20"/>
          <w:szCs w:val="20"/>
        </w:rPr>
        <w:t>y a la Comisión</w:t>
      </w:r>
      <w:r w:rsidRPr="00EF3B40">
        <w:rPr>
          <w:rFonts w:ascii="Verdana" w:hAnsi="Verdana"/>
          <w:sz w:val="20"/>
          <w:szCs w:val="20"/>
        </w:rPr>
        <w:t xml:space="preserve"> para que presenten sus observaciones a más tardar con sus alegatos u observaciones finales escritos, respectivamente.</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EF3B40" w:rsidRDefault="00EF3B40" w:rsidP="00BE458A">
      <w:pPr>
        <w:pStyle w:val="Normal1"/>
        <w:widowControl/>
        <w:numPr>
          <w:ilvl w:val="0"/>
          <w:numId w:val="23"/>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 xml:space="preserve">Informar a las partes y a la Comisión que los gastos relativos a las declaraciones ofrecidas por las representantes en el presente caso serán cubiertos por el Fondo de Asistencia Legal de Víctimas, de conformidad a lo señalado en los </w:t>
      </w:r>
      <w:r w:rsidRPr="003579A2">
        <w:rPr>
          <w:rFonts w:ascii="Verdana" w:hAnsi="Verdana"/>
          <w:sz w:val="20"/>
          <w:szCs w:val="20"/>
        </w:rPr>
        <w:t xml:space="preserve">Considerandos </w:t>
      </w:r>
      <w:r w:rsidR="008B4129">
        <w:rPr>
          <w:rFonts w:ascii="Verdana" w:hAnsi="Verdana"/>
          <w:sz w:val="20"/>
          <w:szCs w:val="20"/>
        </w:rPr>
        <w:t>31 y 32</w:t>
      </w:r>
      <w:r w:rsidR="00BE458A">
        <w:rPr>
          <w:rFonts w:ascii="Verdana" w:hAnsi="Verdana"/>
          <w:sz w:val="20"/>
          <w:szCs w:val="20"/>
        </w:rPr>
        <w:t xml:space="preserve"> </w:t>
      </w:r>
      <w:r w:rsidRPr="00EF3B40">
        <w:rPr>
          <w:rFonts w:ascii="Verdana" w:hAnsi="Verdana"/>
          <w:sz w:val="20"/>
          <w:szCs w:val="20"/>
        </w:rPr>
        <w:t>de la presente Resolución.</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EF3B40" w:rsidRDefault="00EF3B40" w:rsidP="00BE458A">
      <w:pPr>
        <w:pStyle w:val="Normal1"/>
        <w:widowControl/>
        <w:numPr>
          <w:ilvl w:val="0"/>
          <w:numId w:val="23"/>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 xml:space="preserve">Requerir a </w:t>
      </w:r>
      <w:r w:rsidR="007749DC">
        <w:rPr>
          <w:rFonts w:ascii="Verdana" w:hAnsi="Verdana"/>
          <w:sz w:val="20"/>
          <w:szCs w:val="20"/>
        </w:rPr>
        <w:t>los representantes</w:t>
      </w:r>
      <w:r w:rsidR="00605C53">
        <w:rPr>
          <w:rFonts w:ascii="Verdana" w:hAnsi="Verdana"/>
          <w:sz w:val="20"/>
          <w:szCs w:val="20"/>
        </w:rPr>
        <w:t xml:space="preserve"> </w:t>
      </w:r>
      <w:r w:rsidRPr="00EF3B40">
        <w:rPr>
          <w:rFonts w:ascii="Verdana" w:hAnsi="Verdana"/>
          <w:sz w:val="20"/>
          <w:szCs w:val="20"/>
        </w:rPr>
        <w:t>que informen a las personas convocadas por la Corte para declarar que, según lo dispuesto en el artículo 54 del Reglamento</w:t>
      </w:r>
      <w:r w:rsidR="00A46A4C">
        <w:rPr>
          <w:rFonts w:ascii="Verdana" w:hAnsi="Verdana"/>
          <w:sz w:val="20"/>
          <w:szCs w:val="20"/>
        </w:rPr>
        <w:t xml:space="preserve"> de la Corte</w:t>
      </w:r>
      <w:r w:rsidRPr="00EF3B40">
        <w:rPr>
          <w:rFonts w:ascii="Verdana" w:hAnsi="Verdana"/>
          <w:sz w:val="20"/>
          <w:szCs w:val="20"/>
        </w:rPr>
        <w:t>,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EF3B40" w:rsidRDefault="00EF3B40" w:rsidP="00BE458A">
      <w:pPr>
        <w:pStyle w:val="Normal1"/>
        <w:widowControl/>
        <w:numPr>
          <w:ilvl w:val="0"/>
          <w:numId w:val="23"/>
        </w:numPr>
        <w:autoSpaceDE w:val="0"/>
        <w:autoSpaceDN w:val="0"/>
        <w:adjustRightInd w:val="0"/>
        <w:ind w:left="0" w:firstLine="0"/>
        <w:contextualSpacing/>
        <w:jc w:val="both"/>
        <w:rPr>
          <w:rFonts w:ascii="Verdana" w:hAnsi="Verdana"/>
          <w:sz w:val="20"/>
          <w:szCs w:val="20"/>
        </w:rPr>
      </w:pPr>
      <w:r>
        <w:rPr>
          <w:rFonts w:ascii="Verdana" w:hAnsi="Verdana"/>
          <w:sz w:val="20"/>
          <w:szCs w:val="20"/>
        </w:rPr>
        <w:t>Informar a lo</w:t>
      </w:r>
      <w:r w:rsidRPr="00EF3B40">
        <w:rPr>
          <w:rFonts w:ascii="Verdana" w:hAnsi="Verdana"/>
          <w:sz w:val="20"/>
          <w:szCs w:val="20"/>
        </w:rPr>
        <w:t xml:space="preserve">s </w:t>
      </w:r>
      <w:r w:rsidRPr="00A622F0">
        <w:rPr>
          <w:rFonts w:ascii="Verdana" w:hAnsi="Verdana"/>
          <w:sz w:val="20"/>
          <w:szCs w:val="20"/>
        </w:rPr>
        <w:t xml:space="preserve">representantes, al Estado y a la Comisión Interamericana que cuentan con un plazo improrrogable hasta </w:t>
      </w:r>
      <w:r w:rsidR="00AB7CE0" w:rsidRPr="00A622F0">
        <w:rPr>
          <w:rFonts w:ascii="Verdana" w:hAnsi="Verdana"/>
          <w:sz w:val="20"/>
          <w:szCs w:val="20"/>
        </w:rPr>
        <w:t>el 8 de abril</w:t>
      </w:r>
      <w:r w:rsidRPr="00A622F0">
        <w:rPr>
          <w:rFonts w:ascii="Verdana" w:hAnsi="Verdana"/>
          <w:sz w:val="20"/>
          <w:szCs w:val="20"/>
        </w:rPr>
        <w:t xml:space="preserve"> de 2019 para presentar</w:t>
      </w:r>
      <w:r w:rsidRPr="00EF3B40">
        <w:rPr>
          <w:rFonts w:ascii="Verdana" w:hAnsi="Verdana"/>
          <w:sz w:val="20"/>
          <w:szCs w:val="20"/>
        </w:rPr>
        <w:t xml:space="preserve"> sus alegatos finales escritos y observaciones finales escritas, resp</w:t>
      </w:r>
      <w:r>
        <w:rPr>
          <w:rFonts w:ascii="Verdana" w:hAnsi="Verdana"/>
          <w:sz w:val="20"/>
          <w:szCs w:val="20"/>
        </w:rPr>
        <w:t>ectivamente, en relación con</w:t>
      </w:r>
      <w:r w:rsidR="00ED356D">
        <w:rPr>
          <w:rFonts w:ascii="Verdana" w:hAnsi="Verdana"/>
          <w:sz w:val="20"/>
          <w:szCs w:val="20"/>
        </w:rPr>
        <w:t xml:space="preserve"> las excepciones preliminares y eventuales </w:t>
      </w:r>
      <w:r w:rsidRPr="00EF3B40">
        <w:rPr>
          <w:rFonts w:ascii="Verdana" w:hAnsi="Verdana"/>
          <w:sz w:val="20"/>
          <w:szCs w:val="20"/>
        </w:rPr>
        <w:t>fondo, reparaciones y costas en el presente caso.</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EF3B40" w:rsidRDefault="00EF3B40" w:rsidP="00BE458A">
      <w:pPr>
        <w:pStyle w:val="Normal1"/>
        <w:widowControl/>
        <w:numPr>
          <w:ilvl w:val="0"/>
          <w:numId w:val="23"/>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 xml:space="preserve">Declarar procedente la </w:t>
      </w:r>
      <w:r w:rsidRPr="003579A2">
        <w:rPr>
          <w:rFonts w:ascii="Verdana" w:hAnsi="Verdana"/>
          <w:sz w:val="20"/>
          <w:szCs w:val="20"/>
        </w:rPr>
        <w:t xml:space="preserve">aplicación del Fondo de Asistencia Legal de Víctimas en los términos dispuestos en los </w:t>
      </w:r>
      <w:r w:rsidR="003579A2" w:rsidRPr="003579A2">
        <w:rPr>
          <w:rFonts w:ascii="Verdana" w:hAnsi="Verdana"/>
          <w:sz w:val="20"/>
          <w:szCs w:val="20"/>
        </w:rPr>
        <w:t>Considerando</w:t>
      </w:r>
      <w:r w:rsidRPr="003579A2">
        <w:rPr>
          <w:rFonts w:ascii="Verdana" w:hAnsi="Verdana"/>
          <w:sz w:val="20"/>
          <w:szCs w:val="20"/>
        </w:rPr>
        <w:t xml:space="preserve">s </w:t>
      </w:r>
      <w:r w:rsidR="008B4129">
        <w:rPr>
          <w:rFonts w:ascii="Verdana" w:hAnsi="Verdana"/>
          <w:sz w:val="20"/>
          <w:szCs w:val="20"/>
        </w:rPr>
        <w:t>29 a 34</w:t>
      </w:r>
      <w:r w:rsidR="00ED356D">
        <w:rPr>
          <w:rFonts w:ascii="Verdana" w:hAnsi="Verdana"/>
          <w:sz w:val="20"/>
          <w:szCs w:val="20"/>
        </w:rPr>
        <w:t xml:space="preserve"> </w:t>
      </w:r>
      <w:r w:rsidRPr="003579A2">
        <w:rPr>
          <w:rFonts w:ascii="Verdana" w:hAnsi="Verdana"/>
          <w:sz w:val="20"/>
          <w:szCs w:val="20"/>
        </w:rPr>
        <w:t>de esta</w:t>
      </w:r>
      <w:r w:rsidRPr="00EF3B40">
        <w:rPr>
          <w:rFonts w:ascii="Verdana" w:hAnsi="Verdana"/>
          <w:sz w:val="20"/>
          <w:szCs w:val="20"/>
        </w:rPr>
        <w:t xml:space="preserve"> Resolución.</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EF3B40" w:rsidRDefault="00EF3B40" w:rsidP="00BE458A">
      <w:pPr>
        <w:pStyle w:val="Normal1"/>
        <w:widowControl/>
        <w:numPr>
          <w:ilvl w:val="0"/>
          <w:numId w:val="23"/>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 xml:space="preserve">Disponer, de conformidad con el artículo 4 del Reglamento de la Corte sobre el Funcionamiento del Fondo de Asistencia Legal de Víctimas, que la Secretaría del Tribunal </w:t>
      </w:r>
      <w:r w:rsidRPr="00EF3B40">
        <w:rPr>
          <w:rFonts w:ascii="Verdana" w:hAnsi="Verdana"/>
          <w:sz w:val="20"/>
          <w:szCs w:val="20"/>
        </w:rPr>
        <w:lastRenderedPageBreak/>
        <w:t>abra un expediente de gastos, donde se documentará cada una de las erogaciones que se realicen con el Fondo de Asistencia Legal de Víctimas.</w:t>
      </w:r>
    </w:p>
    <w:p w:rsidR="00EF3B40" w:rsidRDefault="00EF3B40" w:rsidP="00EF3B40">
      <w:pPr>
        <w:pStyle w:val="Normal1"/>
        <w:widowControl/>
        <w:autoSpaceDE w:val="0"/>
        <w:autoSpaceDN w:val="0"/>
        <w:adjustRightInd w:val="0"/>
        <w:contextualSpacing/>
        <w:jc w:val="both"/>
        <w:rPr>
          <w:rFonts w:ascii="Verdana" w:hAnsi="Verdana"/>
          <w:sz w:val="20"/>
          <w:szCs w:val="20"/>
        </w:rPr>
      </w:pPr>
    </w:p>
    <w:p w:rsidR="00296E09" w:rsidRDefault="00EF3B40" w:rsidP="00D105D4">
      <w:pPr>
        <w:pStyle w:val="Normal1"/>
        <w:widowControl/>
        <w:numPr>
          <w:ilvl w:val="0"/>
          <w:numId w:val="23"/>
        </w:numPr>
        <w:autoSpaceDE w:val="0"/>
        <w:autoSpaceDN w:val="0"/>
        <w:adjustRightInd w:val="0"/>
        <w:ind w:left="0" w:firstLine="0"/>
        <w:contextualSpacing/>
        <w:jc w:val="both"/>
        <w:rPr>
          <w:rFonts w:ascii="Verdana" w:hAnsi="Verdana"/>
          <w:sz w:val="20"/>
          <w:szCs w:val="20"/>
        </w:rPr>
      </w:pPr>
      <w:r w:rsidRPr="00EF3B40">
        <w:rPr>
          <w:rFonts w:ascii="Verdana" w:hAnsi="Verdana"/>
          <w:sz w:val="20"/>
          <w:szCs w:val="20"/>
        </w:rPr>
        <w:t xml:space="preserve">Disponer que la Secretaría de la Corte Interamericana notifique la presente Resolución a la Comisión Interamericana de Derechos Humanos, a </w:t>
      </w:r>
      <w:r>
        <w:rPr>
          <w:rFonts w:ascii="Verdana" w:hAnsi="Verdana"/>
          <w:sz w:val="20"/>
          <w:szCs w:val="20"/>
        </w:rPr>
        <w:t>los representantes y al Estado de Guatemala</w:t>
      </w:r>
      <w:r w:rsidRPr="00EF3B40">
        <w:rPr>
          <w:rFonts w:ascii="Verdana" w:hAnsi="Verdana"/>
          <w:sz w:val="20"/>
          <w:szCs w:val="20"/>
        </w:rPr>
        <w:t>.</w:t>
      </w:r>
    </w:p>
    <w:p w:rsidR="00401C8D" w:rsidRPr="00680F21" w:rsidRDefault="00401C8D" w:rsidP="00401C8D">
      <w:pPr>
        <w:pStyle w:val="ListParagraph"/>
        <w:rPr>
          <w:rFonts w:ascii="Verdana" w:hAnsi="Verdana"/>
          <w:sz w:val="20"/>
          <w:szCs w:val="20"/>
          <w:lang w:val="es-CR"/>
        </w:rPr>
      </w:pPr>
    </w:p>
    <w:p w:rsidR="00401C8D" w:rsidRDefault="00401C8D" w:rsidP="00401C8D">
      <w:pPr>
        <w:pStyle w:val="Normal1"/>
        <w:widowControl/>
        <w:autoSpaceDE w:val="0"/>
        <w:autoSpaceDN w:val="0"/>
        <w:adjustRightInd w:val="0"/>
        <w:contextualSpacing/>
        <w:jc w:val="both"/>
        <w:rPr>
          <w:rFonts w:ascii="Verdana" w:hAnsi="Verdana"/>
          <w:sz w:val="20"/>
          <w:szCs w:val="20"/>
        </w:rPr>
      </w:pPr>
    </w:p>
    <w:p w:rsidR="00401C8D" w:rsidRDefault="00401C8D" w:rsidP="00401C8D">
      <w:pPr>
        <w:pStyle w:val="Normal1"/>
        <w:widowControl/>
        <w:autoSpaceDE w:val="0"/>
        <w:autoSpaceDN w:val="0"/>
        <w:adjustRightInd w:val="0"/>
        <w:contextualSpacing/>
        <w:jc w:val="both"/>
        <w:rPr>
          <w:rFonts w:ascii="Verdana" w:hAnsi="Verdana"/>
          <w:sz w:val="20"/>
          <w:szCs w:val="20"/>
        </w:rPr>
      </w:pPr>
    </w:p>
    <w:p w:rsidR="00401C8D" w:rsidRDefault="00401C8D" w:rsidP="00401C8D">
      <w:pPr>
        <w:pStyle w:val="Normal1"/>
        <w:widowControl/>
        <w:autoSpaceDE w:val="0"/>
        <w:autoSpaceDN w:val="0"/>
        <w:adjustRightInd w:val="0"/>
        <w:contextualSpacing/>
        <w:jc w:val="both"/>
        <w:rPr>
          <w:rFonts w:ascii="Verdana" w:hAnsi="Verdana"/>
          <w:sz w:val="20"/>
          <w:szCs w:val="20"/>
        </w:rPr>
      </w:pPr>
    </w:p>
    <w:p w:rsidR="00401C8D" w:rsidRDefault="00401C8D" w:rsidP="00401C8D">
      <w:pPr>
        <w:pStyle w:val="Normal1"/>
        <w:widowControl/>
        <w:autoSpaceDE w:val="0"/>
        <w:autoSpaceDN w:val="0"/>
        <w:adjustRightInd w:val="0"/>
        <w:contextualSpacing/>
        <w:jc w:val="both"/>
        <w:rPr>
          <w:rFonts w:ascii="Verdana" w:hAnsi="Verdana"/>
          <w:sz w:val="20"/>
          <w:szCs w:val="20"/>
        </w:rPr>
      </w:pPr>
    </w:p>
    <w:p w:rsidR="00401C8D" w:rsidRDefault="00401C8D" w:rsidP="00401C8D">
      <w:pPr>
        <w:pStyle w:val="Normal1"/>
        <w:widowControl/>
        <w:autoSpaceDE w:val="0"/>
        <w:autoSpaceDN w:val="0"/>
        <w:adjustRightInd w:val="0"/>
        <w:contextualSpacing/>
        <w:jc w:val="both"/>
        <w:rPr>
          <w:rFonts w:ascii="Verdana" w:hAnsi="Verdana"/>
          <w:sz w:val="20"/>
          <w:szCs w:val="20"/>
        </w:rPr>
      </w:pPr>
    </w:p>
    <w:p w:rsidR="00401C8D" w:rsidRDefault="00401C8D" w:rsidP="00401C8D">
      <w:pPr>
        <w:pStyle w:val="Normal1"/>
        <w:widowControl/>
        <w:autoSpaceDE w:val="0"/>
        <w:autoSpaceDN w:val="0"/>
        <w:adjustRightInd w:val="0"/>
        <w:contextualSpacing/>
        <w:jc w:val="both"/>
        <w:rPr>
          <w:rFonts w:ascii="Verdana" w:hAnsi="Verdana"/>
          <w:sz w:val="20"/>
          <w:szCs w:val="20"/>
        </w:rPr>
      </w:pPr>
    </w:p>
    <w:p w:rsidR="00401C8D" w:rsidRDefault="00401C8D" w:rsidP="00401C8D">
      <w:pPr>
        <w:pStyle w:val="Normal1"/>
        <w:widowControl/>
        <w:autoSpaceDE w:val="0"/>
        <w:autoSpaceDN w:val="0"/>
        <w:adjustRightInd w:val="0"/>
        <w:contextualSpacing/>
        <w:jc w:val="both"/>
        <w:rPr>
          <w:rFonts w:ascii="Verdana" w:hAnsi="Verdana"/>
          <w:sz w:val="20"/>
          <w:szCs w:val="20"/>
        </w:rPr>
      </w:pPr>
    </w:p>
    <w:p w:rsidR="00401C8D" w:rsidRDefault="00401C8D" w:rsidP="00401C8D">
      <w:pPr>
        <w:pStyle w:val="Normal1"/>
        <w:widowControl/>
        <w:autoSpaceDE w:val="0"/>
        <w:autoSpaceDN w:val="0"/>
        <w:adjustRightInd w:val="0"/>
        <w:contextualSpacing/>
        <w:jc w:val="both"/>
        <w:rPr>
          <w:rFonts w:ascii="Verdana" w:hAnsi="Verdana"/>
          <w:sz w:val="20"/>
          <w:szCs w:val="20"/>
        </w:rPr>
      </w:pPr>
    </w:p>
    <w:p w:rsidR="00401C8D" w:rsidRDefault="00401C8D" w:rsidP="00401C8D">
      <w:pPr>
        <w:pStyle w:val="Normal1"/>
        <w:widowControl/>
        <w:autoSpaceDE w:val="0"/>
        <w:autoSpaceDN w:val="0"/>
        <w:adjustRightInd w:val="0"/>
        <w:contextualSpacing/>
        <w:jc w:val="both"/>
        <w:rPr>
          <w:rFonts w:ascii="Verdana" w:hAnsi="Verdana"/>
          <w:sz w:val="20"/>
          <w:szCs w:val="20"/>
        </w:rPr>
      </w:pPr>
    </w:p>
    <w:p w:rsidR="00401C8D" w:rsidRDefault="00401C8D" w:rsidP="00401C8D">
      <w:pPr>
        <w:pStyle w:val="Normal1"/>
        <w:widowControl/>
        <w:autoSpaceDE w:val="0"/>
        <w:autoSpaceDN w:val="0"/>
        <w:adjustRightInd w:val="0"/>
        <w:contextualSpacing/>
        <w:jc w:val="both"/>
        <w:rPr>
          <w:rFonts w:ascii="Verdana" w:hAnsi="Verdana"/>
          <w:sz w:val="20"/>
          <w:szCs w:val="20"/>
        </w:rPr>
      </w:pPr>
    </w:p>
    <w:p w:rsidR="00401C8D" w:rsidRDefault="00401C8D" w:rsidP="00401C8D">
      <w:pPr>
        <w:rPr>
          <w:lang w:val="es-CR"/>
        </w:rPr>
      </w:pPr>
    </w:p>
    <w:p w:rsidR="00401C8D" w:rsidRDefault="00401C8D"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Default="0079249C" w:rsidP="00401C8D">
      <w:pPr>
        <w:rPr>
          <w:rFonts w:ascii="Verdana" w:hAnsi="Verdana"/>
          <w:sz w:val="20"/>
          <w:szCs w:val="20"/>
          <w:lang w:val="es-CR"/>
        </w:rPr>
      </w:pPr>
    </w:p>
    <w:p w:rsidR="0079249C" w:rsidRPr="00401C8D" w:rsidRDefault="0079249C" w:rsidP="00401C8D">
      <w:pPr>
        <w:rPr>
          <w:rFonts w:ascii="Verdana" w:hAnsi="Verdana"/>
          <w:sz w:val="20"/>
          <w:szCs w:val="20"/>
          <w:lang w:val="es-CR"/>
        </w:rPr>
      </w:pPr>
      <w:bookmarkStart w:id="0" w:name="_GoBack"/>
      <w:bookmarkEnd w:id="0"/>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999"/>
        <w:rPr>
          <w:rFonts w:ascii="Verdana" w:hAnsi="Verdana"/>
          <w:sz w:val="20"/>
          <w:szCs w:val="20"/>
          <w:lang w:val="es-ES"/>
        </w:rPr>
      </w:pPr>
      <w:r w:rsidRPr="00401C8D">
        <w:rPr>
          <w:rFonts w:ascii="Verdana" w:hAnsi="Verdana"/>
          <w:sz w:val="20"/>
          <w:szCs w:val="20"/>
          <w:lang w:val="es-ES"/>
        </w:rPr>
        <w:lastRenderedPageBreak/>
        <w:t xml:space="preserve">     </w:t>
      </w:r>
      <w:r w:rsidRPr="00401C8D">
        <w:rPr>
          <w:rFonts w:ascii="Verdana" w:hAnsi="Verdana"/>
          <w:sz w:val="20"/>
          <w:szCs w:val="20"/>
          <w:lang w:val="es-ES"/>
        </w:rPr>
        <w:tab/>
        <w:t xml:space="preserve"> Eduardo Ferrer Mac-Gregor Poisot</w:t>
      </w:r>
    </w:p>
    <w:p w:rsidR="00401C8D" w:rsidRPr="00401C8D" w:rsidRDefault="00401C8D" w:rsidP="00401C8D">
      <w:pPr>
        <w:spacing w:after="0" w:line="256" w:lineRule="auto"/>
        <w:ind w:left="5760"/>
        <w:rPr>
          <w:rFonts w:ascii="Verdana" w:hAnsi="Verdana"/>
          <w:sz w:val="20"/>
          <w:szCs w:val="20"/>
          <w:lang w:val="es-ES"/>
        </w:rPr>
      </w:pPr>
      <w:r w:rsidRPr="00401C8D">
        <w:rPr>
          <w:rFonts w:ascii="Verdana" w:hAnsi="Verdana"/>
          <w:sz w:val="20"/>
          <w:szCs w:val="20"/>
          <w:lang w:val="es-ES"/>
        </w:rPr>
        <w:t xml:space="preserve">                   Presidente</w:t>
      </w:r>
    </w:p>
    <w:p w:rsidR="00401C8D" w:rsidRPr="00401C8D" w:rsidRDefault="00401C8D" w:rsidP="00401C8D">
      <w:pPr>
        <w:spacing w:after="0" w:line="256" w:lineRule="auto"/>
        <w:ind w:left="43"/>
        <w:rPr>
          <w:rFonts w:ascii="Verdana" w:hAnsi="Verdana"/>
          <w:sz w:val="20"/>
          <w:szCs w:val="20"/>
          <w:lang w:val="es-ES"/>
        </w:rPr>
      </w:pPr>
    </w:p>
    <w:p w:rsidR="00401C8D" w:rsidRDefault="00401C8D" w:rsidP="00401C8D">
      <w:pPr>
        <w:spacing w:after="0" w:line="256" w:lineRule="auto"/>
        <w:ind w:left="43"/>
        <w:rPr>
          <w:rFonts w:ascii="Verdana" w:hAnsi="Verdana"/>
          <w:sz w:val="20"/>
          <w:szCs w:val="20"/>
          <w:lang w:val="es-ES"/>
        </w:rPr>
      </w:pPr>
    </w:p>
    <w:p w:rsidR="00401C8D" w:rsidRDefault="00401C8D" w:rsidP="00401C8D">
      <w:pPr>
        <w:spacing w:after="0" w:line="256" w:lineRule="auto"/>
        <w:ind w:left="43"/>
        <w:rPr>
          <w:rFonts w:ascii="Verdana" w:hAnsi="Verdana"/>
          <w:sz w:val="20"/>
          <w:szCs w:val="20"/>
          <w:lang w:val="es-ES"/>
        </w:rPr>
      </w:pPr>
    </w:p>
    <w:p w:rsidR="00401C8D" w:rsidRDefault="00401C8D" w:rsidP="00401C8D">
      <w:pPr>
        <w:spacing w:after="0" w:line="256" w:lineRule="auto"/>
        <w:ind w:left="43"/>
        <w:rPr>
          <w:rFonts w:ascii="Verdana" w:hAnsi="Verdana"/>
          <w:sz w:val="20"/>
          <w:szCs w:val="20"/>
          <w:lang w:val="es-ES"/>
        </w:rPr>
      </w:pPr>
    </w:p>
    <w:p w:rsidR="00401C8D" w:rsidRDefault="00401C8D" w:rsidP="00401C8D">
      <w:pPr>
        <w:spacing w:after="0" w:line="256" w:lineRule="auto"/>
        <w:ind w:left="43"/>
        <w:rPr>
          <w:rFonts w:ascii="Verdana" w:hAnsi="Verdana"/>
          <w:sz w:val="20"/>
          <w:szCs w:val="20"/>
          <w:lang w:val="es-ES"/>
        </w:rPr>
      </w:pPr>
    </w:p>
    <w:p w:rsidR="00401C8D" w:rsidRDefault="00401C8D" w:rsidP="00401C8D">
      <w:pPr>
        <w:spacing w:after="0" w:line="256" w:lineRule="auto"/>
        <w:ind w:left="43"/>
        <w:rPr>
          <w:rFonts w:ascii="Verdana" w:hAnsi="Verdana"/>
          <w:sz w:val="20"/>
          <w:szCs w:val="20"/>
          <w:lang w:val="es-ES"/>
        </w:rPr>
      </w:pPr>
    </w:p>
    <w:p w:rsid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r w:rsidRPr="00401C8D">
        <w:rPr>
          <w:rFonts w:ascii="Verdana" w:hAnsi="Verdana"/>
          <w:sz w:val="20"/>
          <w:szCs w:val="20"/>
          <w:lang w:val="es-ES"/>
        </w:rPr>
        <w:t>Pablo Saavedra Alessandri</w:t>
      </w:r>
    </w:p>
    <w:p w:rsidR="00401C8D" w:rsidRPr="00401C8D" w:rsidRDefault="00401C8D" w:rsidP="00401C8D">
      <w:pPr>
        <w:spacing w:after="0" w:line="256" w:lineRule="auto"/>
        <w:ind w:left="43"/>
        <w:rPr>
          <w:rFonts w:ascii="Verdana" w:hAnsi="Verdana"/>
          <w:sz w:val="20"/>
          <w:szCs w:val="20"/>
          <w:lang w:val="es-ES"/>
        </w:rPr>
      </w:pPr>
      <w:r w:rsidRPr="00401C8D">
        <w:rPr>
          <w:rFonts w:ascii="Verdana" w:hAnsi="Verdana"/>
          <w:sz w:val="20"/>
          <w:szCs w:val="20"/>
          <w:lang w:val="es-ES"/>
        </w:rPr>
        <w:t xml:space="preserve">           Secretario</w:t>
      </w: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r w:rsidRPr="00401C8D">
        <w:rPr>
          <w:rFonts w:ascii="Verdana" w:hAnsi="Verdana"/>
          <w:sz w:val="20"/>
          <w:szCs w:val="20"/>
          <w:lang w:val="es-ES"/>
        </w:rPr>
        <w:t>Comuníquese y ejecútese,</w:t>
      </w:r>
    </w:p>
    <w:p w:rsidR="00401C8D" w:rsidRDefault="00401C8D" w:rsidP="00401C8D">
      <w:pPr>
        <w:spacing w:after="0" w:line="256" w:lineRule="auto"/>
        <w:ind w:left="43"/>
        <w:rPr>
          <w:rFonts w:ascii="Verdana" w:hAnsi="Verdana"/>
          <w:sz w:val="20"/>
          <w:szCs w:val="20"/>
          <w:lang w:val="es-ES"/>
        </w:rPr>
      </w:pPr>
    </w:p>
    <w:p w:rsid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20" w:firstLine="720"/>
        <w:rPr>
          <w:rFonts w:ascii="Verdana" w:hAnsi="Verdana"/>
          <w:sz w:val="20"/>
          <w:szCs w:val="20"/>
          <w:lang w:val="es-ES"/>
        </w:rPr>
      </w:pPr>
      <w:r w:rsidRPr="00401C8D">
        <w:rPr>
          <w:rFonts w:ascii="Verdana" w:hAnsi="Verdana"/>
          <w:sz w:val="20"/>
          <w:szCs w:val="20"/>
          <w:lang w:val="es-ES"/>
        </w:rPr>
        <w:t xml:space="preserve">      </w:t>
      </w:r>
      <w:r>
        <w:rPr>
          <w:rFonts w:ascii="Verdana" w:hAnsi="Verdana"/>
          <w:sz w:val="20"/>
          <w:szCs w:val="20"/>
          <w:lang w:val="es-ES"/>
        </w:rPr>
        <w:t xml:space="preserve">      </w:t>
      </w:r>
      <w:r w:rsidRPr="00401C8D">
        <w:rPr>
          <w:rFonts w:ascii="Verdana" w:hAnsi="Verdana"/>
          <w:sz w:val="20"/>
          <w:szCs w:val="20"/>
          <w:lang w:val="es-ES"/>
        </w:rPr>
        <w:t>Eduardo Ferrer Mac-Gregor Poisot</w:t>
      </w:r>
    </w:p>
    <w:p w:rsidR="00401C8D" w:rsidRPr="00401C8D" w:rsidRDefault="00401C8D" w:rsidP="00401C8D">
      <w:pPr>
        <w:spacing w:after="0" w:line="256" w:lineRule="auto"/>
        <w:ind w:left="5760"/>
        <w:rPr>
          <w:rFonts w:ascii="Verdana" w:hAnsi="Verdana"/>
          <w:sz w:val="20"/>
          <w:szCs w:val="20"/>
          <w:lang w:val="es-ES"/>
        </w:rPr>
      </w:pPr>
      <w:r w:rsidRPr="00401C8D">
        <w:rPr>
          <w:rFonts w:ascii="Verdana" w:hAnsi="Verdana"/>
          <w:sz w:val="20"/>
          <w:szCs w:val="20"/>
          <w:lang w:val="es-ES"/>
        </w:rPr>
        <w:t xml:space="preserve">                    Presidente</w:t>
      </w: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p>
    <w:p w:rsidR="00401C8D" w:rsidRPr="00401C8D" w:rsidRDefault="00401C8D" w:rsidP="00401C8D">
      <w:pPr>
        <w:spacing w:after="0" w:line="256" w:lineRule="auto"/>
        <w:ind w:left="43"/>
        <w:rPr>
          <w:rFonts w:ascii="Verdana" w:hAnsi="Verdana"/>
          <w:sz w:val="20"/>
          <w:szCs w:val="20"/>
          <w:lang w:val="es-ES"/>
        </w:rPr>
      </w:pPr>
      <w:r w:rsidRPr="00401C8D">
        <w:rPr>
          <w:rFonts w:ascii="Verdana" w:hAnsi="Verdana"/>
          <w:sz w:val="20"/>
          <w:szCs w:val="20"/>
          <w:lang w:val="es-ES"/>
        </w:rPr>
        <w:t>Pablo Saavedra Alessandri</w:t>
      </w:r>
    </w:p>
    <w:p w:rsidR="00401C8D" w:rsidRPr="00401C8D" w:rsidRDefault="00401C8D" w:rsidP="00401C8D">
      <w:pPr>
        <w:spacing w:after="0" w:line="256" w:lineRule="auto"/>
        <w:ind w:left="43"/>
        <w:rPr>
          <w:rFonts w:ascii="Verdana" w:hAnsi="Verdana"/>
          <w:sz w:val="20"/>
          <w:szCs w:val="20"/>
          <w:lang w:val="es-CR"/>
        </w:rPr>
      </w:pPr>
      <w:r w:rsidRPr="00401C8D">
        <w:rPr>
          <w:rFonts w:ascii="Verdana" w:hAnsi="Verdana"/>
          <w:sz w:val="20"/>
          <w:szCs w:val="20"/>
          <w:lang w:val="es-ES"/>
        </w:rPr>
        <w:t xml:space="preserve">           Secretario</w:t>
      </w:r>
    </w:p>
    <w:p w:rsidR="00401C8D" w:rsidRPr="00401C8D" w:rsidRDefault="00401C8D" w:rsidP="00401C8D">
      <w:pPr>
        <w:pStyle w:val="Normal1"/>
        <w:widowControl/>
        <w:autoSpaceDE w:val="0"/>
        <w:autoSpaceDN w:val="0"/>
        <w:adjustRightInd w:val="0"/>
        <w:contextualSpacing/>
        <w:jc w:val="both"/>
        <w:rPr>
          <w:rFonts w:ascii="Verdana" w:hAnsi="Verdana"/>
          <w:sz w:val="20"/>
          <w:szCs w:val="20"/>
        </w:rPr>
      </w:pPr>
    </w:p>
    <w:p w:rsidR="00296E09" w:rsidRPr="00401C8D" w:rsidRDefault="00296E09" w:rsidP="00364D91">
      <w:pPr>
        <w:tabs>
          <w:tab w:val="left" w:pos="2214"/>
        </w:tabs>
        <w:rPr>
          <w:rFonts w:ascii="Verdana" w:hAnsi="Verdana"/>
          <w:sz w:val="20"/>
          <w:szCs w:val="20"/>
          <w:lang w:val="es-CR"/>
        </w:rPr>
      </w:pPr>
    </w:p>
    <w:sectPr w:rsidR="00296E09" w:rsidRPr="00401C8D" w:rsidSect="001153F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DD6" w:rsidRDefault="00513DD6" w:rsidP="00F4757D">
      <w:pPr>
        <w:spacing w:after="0" w:line="240" w:lineRule="auto"/>
      </w:pPr>
      <w:r>
        <w:separator/>
      </w:r>
    </w:p>
  </w:endnote>
  <w:endnote w:type="continuationSeparator" w:id="0">
    <w:p w:rsidR="00513DD6" w:rsidRDefault="00513DD6" w:rsidP="00F47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DD6" w:rsidRDefault="00513DD6" w:rsidP="00F4757D">
      <w:pPr>
        <w:spacing w:after="0" w:line="240" w:lineRule="auto"/>
      </w:pPr>
      <w:r>
        <w:separator/>
      </w:r>
    </w:p>
  </w:footnote>
  <w:footnote w:type="continuationSeparator" w:id="0">
    <w:p w:rsidR="00513DD6" w:rsidRDefault="00513DD6" w:rsidP="00F4757D">
      <w:pPr>
        <w:spacing w:after="0" w:line="240" w:lineRule="auto"/>
      </w:pPr>
      <w:r>
        <w:continuationSeparator/>
      </w:r>
    </w:p>
  </w:footnote>
  <w:footnote w:id="1">
    <w:p w:rsidR="00AD236C" w:rsidRPr="006704DB" w:rsidRDefault="00AD236C" w:rsidP="00B74D3B">
      <w:pPr>
        <w:pStyle w:val="FootnoteText"/>
        <w:jc w:val="both"/>
        <w:rPr>
          <w:rFonts w:ascii="Verdana" w:hAnsi="Verdana"/>
          <w:b/>
          <w:sz w:val="16"/>
          <w:szCs w:val="16"/>
          <w:lang w:val="es-CR"/>
        </w:rPr>
      </w:pPr>
      <w:r w:rsidRPr="00B74D3B">
        <w:rPr>
          <w:rStyle w:val="FootnoteReference"/>
          <w:rFonts w:ascii="Verdana" w:hAnsi="Verdana"/>
          <w:sz w:val="16"/>
          <w:szCs w:val="16"/>
        </w:rPr>
        <w:footnoteRef/>
      </w:r>
      <w:r w:rsidRPr="00B74D3B">
        <w:rPr>
          <w:rFonts w:ascii="Verdana" w:hAnsi="Verdana"/>
          <w:sz w:val="16"/>
          <w:szCs w:val="16"/>
          <w:lang w:val="es-CR"/>
        </w:rPr>
        <w:t xml:space="preserve"> </w:t>
      </w:r>
      <w:r w:rsidRPr="00B74D3B">
        <w:rPr>
          <w:rFonts w:ascii="Verdana" w:hAnsi="Verdana"/>
          <w:sz w:val="16"/>
          <w:szCs w:val="16"/>
          <w:lang w:val="es-CR"/>
        </w:rPr>
        <w:tab/>
      </w:r>
      <w:r w:rsidRPr="0026574D">
        <w:rPr>
          <w:rFonts w:ascii="Verdana" w:hAnsi="Verdana"/>
          <w:sz w:val="16"/>
          <w:szCs w:val="16"/>
          <w:lang w:val="es-CR"/>
        </w:rPr>
        <w:t>Las presuntas víctimas en el presente caso designaron como sus representantes a</w:t>
      </w:r>
      <w:r>
        <w:rPr>
          <w:rFonts w:ascii="Verdana" w:hAnsi="Verdana"/>
          <w:sz w:val="16"/>
          <w:szCs w:val="16"/>
          <w:lang w:val="es-CR"/>
        </w:rPr>
        <w:t>l Instituto de Estudios Comparados en Ciencias Penales de Guatemala (ICCPG) y al Instituto de la Defensa Pública Penal (IDPP)</w:t>
      </w:r>
      <w:r w:rsidRPr="0026574D">
        <w:rPr>
          <w:rFonts w:ascii="Verdana" w:hAnsi="Verdana"/>
          <w:sz w:val="16"/>
          <w:szCs w:val="16"/>
          <w:lang w:val="es-CR"/>
        </w:rPr>
        <w:t xml:space="preserve">. </w:t>
      </w:r>
    </w:p>
  </w:footnote>
  <w:footnote w:id="2">
    <w:p w:rsidR="00AD236C" w:rsidRDefault="00AD236C" w:rsidP="00356216">
      <w:pPr>
        <w:pStyle w:val="FootnoteText"/>
        <w:jc w:val="both"/>
        <w:rPr>
          <w:rFonts w:ascii="Verdana" w:hAnsi="Verdana"/>
          <w:sz w:val="16"/>
          <w:szCs w:val="16"/>
          <w:lang w:val="es-CR"/>
        </w:rPr>
      </w:pPr>
      <w:r>
        <w:rPr>
          <w:rStyle w:val="FootnoteReference"/>
        </w:rPr>
        <w:footnoteRef/>
      </w:r>
      <w:r w:rsidRPr="00A33613">
        <w:rPr>
          <w:lang w:val="es-CR"/>
        </w:rPr>
        <w:t xml:space="preserve"> </w:t>
      </w:r>
      <w:r>
        <w:rPr>
          <w:lang w:val="es-CR"/>
        </w:rPr>
        <w:tab/>
      </w:r>
      <w:r>
        <w:rPr>
          <w:rFonts w:ascii="Verdana" w:hAnsi="Verdana"/>
          <w:sz w:val="16"/>
          <w:szCs w:val="16"/>
          <w:lang w:val="es-CR"/>
        </w:rPr>
        <w:t xml:space="preserve">Declarará </w:t>
      </w:r>
      <w:r w:rsidRPr="005A1E69">
        <w:rPr>
          <w:rFonts w:ascii="Verdana" w:hAnsi="Verdana"/>
          <w:sz w:val="16"/>
          <w:szCs w:val="16"/>
          <w:lang w:val="es-CR"/>
        </w:rPr>
        <w:t>sobre</w:t>
      </w:r>
      <w:r>
        <w:rPr>
          <w:rFonts w:ascii="Verdana" w:hAnsi="Verdana"/>
          <w:sz w:val="16"/>
          <w:szCs w:val="16"/>
          <w:lang w:val="es-CR"/>
        </w:rPr>
        <w:t>:</w:t>
      </w:r>
      <w:r w:rsidRPr="005A1E69">
        <w:rPr>
          <w:rFonts w:ascii="Verdana" w:hAnsi="Verdana"/>
          <w:sz w:val="16"/>
          <w:szCs w:val="16"/>
          <w:lang w:val="es-CR"/>
        </w:rPr>
        <w:t xml:space="preserve"> </w:t>
      </w:r>
      <w:r>
        <w:rPr>
          <w:rFonts w:ascii="Verdana" w:hAnsi="Verdana"/>
          <w:sz w:val="16"/>
          <w:szCs w:val="16"/>
          <w:lang w:val="es-CR"/>
        </w:rPr>
        <w:t>“</w:t>
      </w:r>
      <w:r w:rsidRPr="005A1E69">
        <w:rPr>
          <w:rFonts w:ascii="Verdana" w:hAnsi="Verdana"/>
          <w:sz w:val="16"/>
          <w:szCs w:val="16"/>
          <w:lang w:val="es-CR"/>
        </w:rPr>
        <w:t>los hechos acontecidos en este caso desde la detención de su hijo, incluyendo los actos de tortura que sufrió, lo que conoce en relación a cómo le afectó a su hijo estar en el corredor de la muerte, lo que conoce en relación a los hechos que relacionados a la ejecución extrajudicial de su hijo, la forma en la que los hechos del caso y la impunidad la afectaron a ella y a su familia, y las afectaciones sufridas por no dar las ceremonias fúnebres de los restos de su hijo ante la negativa de las autoridades judiciales. También medidas a considerar que el Estado debe adoptar para reparar el daño causado, así como otros aspectos relevantes del caso</w:t>
      </w:r>
      <w:r>
        <w:rPr>
          <w:rFonts w:ascii="Verdana" w:hAnsi="Verdana"/>
          <w:sz w:val="16"/>
          <w:szCs w:val="16"/>
          <w:lang w:val="es-CR"/>
        </w:rPr>
        <w:t>”</w:t>
      </w:r>
      <w:r w:rsidRPr="005A1E69">
        <w:rPr>
          <w:rFonts w:ascii="Verdana" w:hAnsi="Verdana"/>
          <w:sz w:val="16"/>
          <w:szCs w:val="16"/>
          <w:lang w:val="es-CR"/>
        </w:rPr>
        <w:t>.</w:t>
      </w:r>
      <w:r w:rsidRPr="00A33613">
        <w:rPr>
          <w:rFonts w:ascii="Verdana" w:hAnsi="Verdana"/>
          <w:b/>
          <w:sz w:val="16"/>
          <w:szCs w:val="16"/>
          <w:lang w:val="es-CR"/>
        </w:rPr>
        <w:t xml:space="preserve"> </w:t>
      </w:r>
    </w:p>
    <w:p w:rsidR="00AD236C" w:rsidRPr="00A33613" w:rsidRDefault="00AD236C" w:rsidP="00356216">
      <w:pPr>
        <w:pStyle w:val="FootnoteText"/>
        <w:rPr>
          <w:lang w:val="es-CR"/>
        </w:rPr>
      </w:pPr>
    </w:p>
  </w:footnote>
  <w:footnote w:id="3">
    <w:p w:rsidR="00AD236C" w:rsidRPr="0087667C" w:rsidRDefault="00AD236C" w:rsidP="00356216">
      <w:pPr>
        <w:autoSpaceDE w:val="0"/>
        <w:autoSpaceDN w:val="0"/>
        <w:adjustRightInd w:val="0"/>
        <w:spacing w:after="0" w:line="240" w:lineRule="auto"/>
        <w:jc w:val="both"/>
        <w:rPr>
          <w:rFonts w:ascii="Verdana" w:hAnsi="Verdana"/>
          <w:b/>
          <w:sz w:val="16"/>
          <w:szCs w:val="16"/>
          <w:lang w:val="es-CR"/>
        </w:rPr>
      </w:pPr>
      <w:r>
        <w:rPr>
          <w:rStyle w:val="FootnoteReference"/>
        </w:rPr>
        <w:footnoteRef/>
      </w:r>
      <w:r w:rsidRPr="005A1E69">
        <w:rPr>
          <w:lang w:val="es-CR"/>
        </w:rPr>
        <w:t xml:space="preserve"> </w:t>
      </w:r>
      <w:r>
        <w:rPr>
          <w:lang w:val="es-CR"/>
        </w:rPr>
        <w:tab/>
      </w:r>
      <w:r w:rsidRPr="00F4785A">
        <w:rPr>
          <w:rFonts w:ascii="Verdana" w:hAnsi="Verdana"/>
          <w:sz w:val="16"/>
          <w:szCs w:val="16"/>
          <w:lang w:val="es-CR"/>
        </w:rPr>
        <w:t>Declarará sobre: “los hechos acontecidos en este caso desde la detención de su pareja, incluyendo lo que conoce acerca de los actos de tortura que sufrió Tirso Román, la forma en que le afectó el tiempo que permaneció en el corredor de la muerte, los hostigamientos y amenazas que sufrieron ella y sus hijos tras la fuga de Tirso Román y por la búsqueda de justicia, las afectaciones sufridas por no dar las ceremonias fúnebres de los restos de su cónyuge ante la negativa de las autoridades judiciales. También las medidas  a considerar que el Estado debe adoptar para reparar el daño causado, así como otros aspectos relevantes del caso”.</w:t>
      </w:r>
      <w:r w:rsidRPr="00A85A23">
        <w:rPr>
          <w:rFonts w:ascii="Verdana" w:hAnsi="Verdana"/>
          <w:sz w:val="16"/>
          <w:szCs w:val="16"/>
          <w:lang w:val="es-CR"/>
        </w:rPr>
        <w:t xml:space="preserve"> </w:t>
      </w:r>
    </w:p>
    <w:p w:rsidR="00AD236C" w:rsidRPr="00F4785A" w:rsidRDefault="00AD236C" w:rsidP="00356216">
      <w:pPr>
        <w:autoSpaceDE w:val="0"/>
        <w:autoSpaceDN w:val="0"/>
        <w:adjustRightInd w:val="0"/>
        <w:spacing w:after="0" w:line="240" w:lineRule="auto"/>
        <w:jc w:val="both"/>
        <w:rPr>
          <w:rFonts w:ascii="Verdana" w:hAnsi="Verdana"/>
          <w:sz w:val="16"/>
          <w:szCs w:val="16"/>
          <w:lang w:val="es-CR"/>
        </w:rPr>
      </w:pPr>
    </w:p>
  </w:footnote>
  <w:footnote w:id="4">
    <w:p w:rsidR="00AD236C" w:rsidRPr="00F4785A" w:rsidRDefault="00AD236C" w:rsidP="00356216">
      <w:pPr>
        <w:autoSpaceDE w:val="0"/>
        <w:autoSpaceDN w:val="0"/>
        <w:adjustRightInd w:val="0"/>
        <w:spacing w:after="0" w:line="240" w:lineRule="auto"/>
        <w:jc w:val="both"/>
        <w:rPr>
          <w:rFonts w:ascii="Verdana" w:hAnsi="Verdana"/>
          <w:b/>
          <w:sz w:val="16"/>
          <w:szCs w:val="16"/>
          <w:lang w:val="es-CR"/>
        </w:rPr>
      </w:pPr>
      <w:r w:rsidRPr="00F4785A">
        <w:rPr>
          <w:rStyle w:val="FootnoteReference"/>
          <w:rFonts w:ascii="Verdana" w:hAnsi="Verdana"/>
          <w:sz w:val="16"/>
          <w:szCs w:val="16"/>
        </w:rPr>
        <w:footnoteRef/>
      </w:r>
      <w:r w:rsidRPr="00F4785A">
        <w:rPr>
          <w:rFonts w:ascii="Verdana" w:hAnsi="Verdana"/>
          <w:sz w:val="16"/>
          <w:szCs w:val="16"/>
          <w:lang w:val="es-CR"/>
        </w:rPr>
        <w:t xml:space="preserve"> </w:t>
      </w:r>
      <w:r w:rsidRPr="00F4785A">
        <w:rPr>
          <w:rFonts w:ascii="Verdana" w:hAnsi="Verdana"/>
          <w:sz w:val="16"/>
          <w:szCs w:val="16"/>
          <w:lang w:val="es-CR"/>
        </w:rPr>
        <w:tab/>
      </w:r>
      <w:r w:rsidR="00F4785A" w:rsidRPr="00F4785A">
        <w:rPr>
          <w:rFonts w:ascii="Verdana" w:hAnsi="Verdana"/>
          <w:sz w:val="16"/>
          <w:szCs w:val="16"/>
          <w:lang w:val="es-CR"/>
        </w:rPr>
        <w:t>D</w:t>
      </w:r>
      <w:r w:rsidRPr="00F4785A">
        <w:rPr>
          <w:rFonts w:ascii="Verdana" w:hAnsi="Verdana"/>
          <w:sz w:val="16"/>
          <w:szCs w:val="16"/>
          <w:lang w:val="es-CR"/>
        </w:rPr>
        <w:t>eclarará sobre: los “hechos acontecidos en este caso desde la detención de su pareja, incluyendo lo que conoce acerca de los actos de tortura que sufrió Tirso Román, la forma en que le afectó el tiempo que permaneció en el corredor de la muerte, los hostigamientos y amenazas que sufrió y por la búsqueda de justicia, la forma en la que los hechos del caso y la impunidad la afectaron a ella y a su familia, y las medidas que considera que el Estado debe adoptar para reparar el daño causado, así como otros aspectos relevantes del caso</w:t>
      </w:r>
      <w:r w:rsidR="00A85A23">
        <w:rPr>
          <w:rFonts w:ascii="Verdana" w:hAnsi="Verdana"/>
          <w:sz w:val="16"/>
          <w:szCs w:val="16"/>
          <w:lang w:val="es-CR"/>
        </w:rPr>
        <w:t>.</w:t>
      </w:r>
    </w:p>
    <w:p w:rsidR="00AD236C" w:rsidRPr="00F4785A" w:rsidRDefault="00AD236C" w:rsidP="00356216">
      <w:pPr>
        <w:autoSpaceDE w:val="0"/>
        <w:autoSpaceDN w:val="0"/>
        <w:adjustRightInd w:val="0"/>
        <w:spacing w:after="0" w:line="240" w:lineRule="auto"/>
        <w:jc w:val="both"/>
        <w:rPr>
          <w:rFonts w:ascii="Verdana" w:hAnsi="Verdana"/>
          <w:sz w:val="16"/>
          <w:szCs w:val="16"/>
          <w:lang w:val="es-CR"/>
        </w:rPr>
      </w:pPr>
    </w:p>
  </w:footnote>
  <w:footnote w:id="5">
    <w:p w:rsidR="00AD236C" w:rsidRPr="00F4785A" w:rsidRDefault="00AD236C" w:rsidP="000C54A3">
      <w:pPr>
        <w:pStyle w:val="FootnoteText"/>
        <w:jc w:val="both"/>
        <w:rPr>
          <w:rFonts w:ascii="Verdana" w:hAnsi="Verdana"/>
          <w:b/>
          <w:sz w:val="16"/>
          <w:szCs w:val="16"/>
          <w:lang w:val="es-CR"/>
        </w:rPr>
      </w:pPr>
      <w:r w:rsidRPr="00A85A23">
        <w:rPr>
          <w:rStyle w:val="FootnoteReference"/>
          <w:rFonts w:ascii="Verdana" w:hAnsi="Verdana"/>
          <w:sz w:val="16"/>
          <w:szCs w:val="16"/>
        </w:rPr>
        <w:footnoteRef/>
      </w:r>
      <w:r w:rsidRPr="00A85A23">
        <w:rPr>
          <w:rFonts w:ascii="Verdana" w:hAnsi="Verdana"/>
          <w:sz w:val="16"/>
          <w:szCs w:val="16"/>
          <w:lang w:val="es-CR"/>
        </w:rPr>
        <w:t xml:space="preserve"> </w:t>
      </w:r>
      <w:r w:rsidRPr="00A85A23">
        <w:rPr>
          <w:rFonts w:ascii="Verdana" w:hAnsi="Verdana"/>
          <w:sz w:val="16"/>
          <w:szCs w:val="16"/>
          <w:lang w:val="es-CR"/>
        </w:rPr>
        <w:tab/>
      </w:r>
      <w:r w:rsidRPr="0087667C">
        <w:rPr>
          <w:rFonts w:ascii="Verdana" w:hAnsi="Verdana"/>
          <w:sz w:val="16"/>
          <w:szCs w:val="16"/>
          <w:lang w:val="es-CR"/>
        </w:rPr>
        <w:t>Declarará sobre:</w:t>
      </w:r>
      <w:r w:rsidRPr="00731B5A">
        <w:rPr>
          <w:rFonts w:ascii="Verdana" w:hAnsi="Verdana"/>
          <w:sz w:val="16"/>
          <w:szCs w:val="16"/>
          <w:lang w:val="es-CR"/>
        </w:rPr>
        <w:t xml:space="preserve"> “</w:t>
      </w:r>
      <w:r w:rsidRPr="00F4785A">
        <w:rPr>
          <w:rFonts w:ascii="Verdana" w:hAnsi="Verdana"/>
          <w:sz w:val="16"/>
          <w:szCs w:val="16"/>
          <w:lang w:val="es-CR"/>
        </w:rPr>
        <w:t xml:space="preserve">los hechos acontecidos en este caso, incluyendo, lo que conoce sobre los actos de tortura a los que fue sometido, la forma en la que le afectó a su padre el tiempo que permaneció en el corredor de la muerte, lo que conoce en relación a su ejecución extrajudicial, los hostigamientos y amenazas que sufrieron él, sus hermanos, su madre y su abuela tras la fuga de Tirso Román Valenzuela Ávila, y por su involucramiento en la búsqueda de justicia, las afectaciones sufridas por no dar las ceremonias fúnebres de los restos de su padre ante la negativa de las autoridades judiciales. También las medidas a considerar que el Estado debe adoptar para reparar el daño causado, así como otros aspectos relevantes del caso”. </w:t>
      </w:r>
    </w:p>
    <w:p w:rsidR="00AD236C" w:rsidRPr="00A85A23" w:rsidRDefault="00AD236C" w:rsidP="000C54A3">
      <w:pPr>
        <w:pStyle w:val="FootnoteText"/>
        <w:jc w:val="both"/>
        <w:rPr>
          <w:rFonts w:ascii="Verdana" w:hAnsi="Verdana"/>
          <w:sz w:val="16"/>
          <w:szCs w:val="16"/>
          <w:lang w:val="es-CR"/>
        </w:rPr>
      </w:pPr>
    </w:p>
  </w:footnote>
  <w:footnote w:id="6">
    <w:p w:rsidR="00AD236C" w:rsidRPr="00F4785A" w:rsidRDefault="00AD236C" w:rsidP="000C54A3">
      <w:pPr>
        <w:pStyle w:val="FootnoteText"/>
        <w:jc w:val="both"/>
        <w:rPr>
          <w:rFonts w:ascii="Verdana" w:hAnsi="Verdana"/>
          <w:b/>
          <w:sz w:val="16"/>
          <w:szCs w:val="16"/>
          <w:lang w:val="es-CR"/>
        </w:rPr>
      </w:pPr>
      <w:r w:rsidRPr="00A85A23">
        <w:rPr>
          <w:rStyle w:val="FootnoteReference"/>
          <w:rFonts w:ascii="Verdana" w:hAnsi="Verdana"/>
          <w:sz w:val="16"/>
          <w:szCs w:val="16"/>
        </w:rPr>
        <w:footnoteRef/>
      </w:r>
      <w:r w:rsidRPr="00A85A23">
        <w:rPr>
          <w:rFonts w:ascii="Verdana" w:hAnsi="Verdana"/>
          <w:sz w:val="16"/>
          <w:szCs w:val="16"/>
          <w:lang w:val="es-CR"/>
        </w:rPr>
        <w:t xml:space="preserve"> </w:t>
      </w:r>
      <w:r w:rsidRPr="00A85A23">
        <w:rPr>
          <w:rFonts w:ascii="Verdana" w:hAnsi="Verdana"/>
          <w:sz w:val="16"/>
          <w:szCs w:val="16"/>
          <w:lang w:val="es-CR"/>
        </w:rPr>
        <w:tab/>
      </w:r>
      <w:r w:rsidRPr="0087667C">
        <w:rPr>
          <w:rFonts w:ascii="Verdana" w:hAnsi="Verdana"/>
          <w:sz w:val="16"/>
          <w:szCs w:val="16"/>
          <w:lang w:val="es-CR"/>
        </w:rPr>
        <w:t>Declarará sobre</w:t>
      </w:r>
      <w:r w:rsidRPr="00731B5A">
        <w:rPr>
          <w:rFonts w:ascii="Verdana" w:hAnsi="Verdana"/>
          <w:sz w:val="16"/>
          <w:szCs w:val="16"/>
          <w:lang w:val="es-CR"/>
        </w:rPr>
        <w:t>:</w:t>
      </w:r>
      <w:r w:rsidRPr="00F4785A">
        <w:rPr>
          <w:rFonts w:ascii="Verdana" w:hAnsi="Verdana"/>
          <w:sz w:val="16"/>
          <w:szCs w:val="16"/>
          <w:lang w:val="es-CR"/>
        </w:rPr>
        <w:t xml:space="preserve"> “los hechos acontecidos en este caso, incluyendo, lo que conoce sobre los actos de tortura a los que fue sometido, la forma en la que le afectó a su padre el tiempo que permaneció en el corredor de la muerte, lo que conoce en relación a su ejecución extrajudicial, los hostigamientos y amenazas que sufrieron él, sus hermanos, su madre y su abuela tras la fuga de Tirso Román Valenzuela Ávila, y por su involucramiento en la búsqueda de justicia, las afectaciones sufridas por no dar las ceremonias fúnebres de los restos de su padre ante la negativa de las autoridades judiciales. También las medidas a considerar que el Estado debe adoptar para reparar el daño causado, así como otros aspectos relevantes del caso”. </w:t>
      </w:r>
    </w:p>
    <w:p w:rsidR="00AD236C" w:rsidRPr="00A85A23" w:rsidRDefault="00AD236C" w:rsidP="000C54A3">
      <w:pPr>
        <w:pStyle w:val="FootnoteText"/>
        <w:jc w:val="both"/>
        <w:rPr>
          <w:rFonts w:ascii="Verdana" w:hAnsi="Verdana"/>
          <w:sz w:val="16"/>
          <w:szCs w:val="16"/>
          <w:lang w:val="es-CR"/>
        </w:rPr>
      </w:pPr>
    </w:p>
  </w:footnote>
  <w:footnote w:id="7">
    <w:p w:rsidR="00AD236C" w:rsidRDefault="00AD236C" w:rsidP="00495347">
      <w:pPr>
        <w:spacing w:after="0" w:line="240" w:lineRule="auto"/>
        <w:jc w:val="both"/>
        <w:rPr>
          <w:rFonts w:ascii="Verdana" w:hAnsi="Verdana"/>
          <w:b/>
          <w:sz w:val="16"/>
          <w:szCs w:val="16"/>
          <w:lang w:val="es-CR"/>
        </w:rPr>
      </w:pPr>
      <w:r w:rsidRPr="00A85A23">
        <w:rPr>
          <w:rStyle w:val="FootnoteReference"/>
          <w:rFonts w:ascii="Verdana" w:hAnsi="Verdana"/>
          <w:sz w:val="16"/>
          <w:szCs w:val="16"/>
        </w:rPr>
        <w:footnoteRef/>
      </w:r>
      <w:r w:rsidRPr="00A85A23">
        <w:rPr>
          <w:rFonts w:ascii="Verdana" w:hAnsi="Verdana"/>
          <w:sz w:val="16"/>
          <w:szCs w:val="16"/>
          <w:lang w:val="es-CR"/>
        </w:rPr>
        <w:t xml:space="preserve"> </w:t>
      </w:r>
      <w:r w:rsidRPr="00A85A23">
        <w:rPr>
          <w:rFonts w:ascii="Verdana" w:hAnsi="Verdana"/>
          <w:sz w:val="16"/>
          <w:szCs w:val="16"/>
          <w:lang w:val="es-CR"/>
        </w:rPr>
        <w:tab/>
      </w:r>
      <w:r w:rsidRPr="0087667C">
        <w:rPr>
          <w:rFonts w:ascii="Verdana" w:hAnsi="Verdana"/>
          <w:sz w:val="16"/>
          <w:szCs w:val="16"/>
          <w:lang w:val="es-CR"/>
        </w:rPr>
        <w:t>Declarará sobre:</w:t>
      </w:r>
      <w:r w:rsidRPr="00731B5A">
        <w:rPr>
          <w:rFonts w:ascii="Verdana" w:hAnsi="Verdana"/>
          <w:sz w:val="16"/>
          <w:szCs w:val="16"/>
          <w:lang w:val="es-CR"/>
        </w:rPr>
        <w:t xml:space="preserve"> </w:t>
      </w:r>
      <w:r w:rsidRPr="00F4785A">
        <w:rPr>
          <w:rFonts w:ascii="Verdana" w:hAnsi="Verdana"/>
          <w:sz w:val="16"/>
          <w:szCs w:val="16"/>
          <w:lang w:val="es-CR"/>
        </w:rPr>
        <w:t>“los hechos acontecidos en este caso, incluyendo, lo que conoce sobre los actos de tortura a los que fue sometido, la forma en la que le afectó a su padre el tiempo que permaneció en el corredor de la muerte, lo que conoce en relación a su ejecución extrajudicial, los hostigamientos y amenazas que sufrieron él, sus hermanos, su madre y su abuela tras la fuga de Tirso Román Valenzuela Ávila, y por su involucramiento en la búsqueda de justicia, las afectaciones sufridas por no dar las ceremonias fúnebres de los restos de su padre ante la</w:t>
      </w:r>
      <w:r w:rsidRPr="001664B6">
        <w:rPr>
          <w:rFonts w:ascii="Verdana" w:hAnsi="Verdana"/>
          <w:sz w:val="16"/>
          <w:szCs w:val="16"/>
          <w:lang w:val="es-CR"/>
        </w:rPr>
        <w:t xml:space="preserve"> negativa de las autoridades judiciales. También las medidas a considerar que el Estado debe adoptar para reparar el daño causado, así como otros aspectos relevantes del caso</w:t>
      </w:r>
      <w:r>
        <w:rPr>
          <w:rFonts w:ascii="Verdana" w:hAnsi="Verdana"/>
          <w:sz w:val="16"/>
          <w:szCs w:val="16"/>
          <w:lang w:val="es-CR"/>
        </w:rPr>
        <w:t>”</w:t>
      </w:r>
      <w:r w:rsidRPr="001664B6">
        <w:rPr>
          <w:rFonts w:ascii="Verdana" w:hAnsi="Verdana"/>
          <w:sz w:val="16"/>
          <w:szCs w:val="16"/>
          <w:lang w:val="es-CR"/>
        </w:rPr>
        <w:t xml:space="preserve">. </w:t>
      </w:r>
    </w:p>
    <w:p w:rsidR="00AD236C" w:rsidRPr="00495347" w:rsidRDefault="00AD236C" w:rsidP="00495347">
      <w:pPr>
        <w:spacing w:after="0" w:line="240" w:lineRule="auto"/>
        <w:jc w:val="both"/>
        <w:rPr>
          <w:rFonts w:ascii="Verdana" w:hAnsi="Verdana"/>
          <w:b/>
          <w:sz w:val="16"/>
          <w:szCs w:val="16"/>
          <w:lang w:val="es-CR"/>
        </w:rPr>
      </w:pPr>
    </w:p>
  </w:footnote>
  <w:footnote w:id="8">
    <w:p w:rsidR="00AD236C" w:rsidRDefault="00AD236C" w:rsidP="00E922CE">
      <w:pPr>
        <w:autoSpaceDE w:val="0"/>
        <w:autoSpaceDN w:val="0"/>
        <w:adjustRightInd w:val="0"/>
        <w:spacing w:after="0" w:line="240" w:lineRule="auto"/>
        <w:jc w:val="both"/>
        <w:rPr>
          <w:rFonts w:ascii="Verdana" w:hAnsi="Verdana"/>
          <w:b/>
          <w:sz w:val="16"/>
          <w:szCs w:val="16"/>
          <w:lang w:val="es-CR"/>
        </w:rPr>
      </w:pPr>
      <w:r w:rsidRPr="00E9784E">
        <w:rPr>
          <w:rStyle w:val="FootnoteReference"/>
          <w:rFonts w:ascii="Verdana" w:hAnsi="Verdana"/>
          <w:sz w:val="16"/>
          <w:szCs w:val="16"/>
        </w:rPr>
        <w:footnoteRef/>
      </w:r>
      <w:r w:rsidRPr="00E9784E">
        <w:rPr>
          <w:rFonts w:ascii="Verdana" w:hAnsi="Verdana"/>
          <w:sz w:val="16"/>
          <w:szCs w:val="16"/>
          <w:lang w:val="es-CR"/>
        </w:rPr>
        <w:t xml:space="preserve"> </w:t>
      </w:r>
      <w:r w:rsidRPr="00E9784E">
        <w:rPr>
          <w:rFonts w:ascii="Verdana" w:hAnsi="Verdana"/>
          <w:sz w:val="16"/>
          <w:szCs w:val="16"/>
          <w:lang w:val="es-CR"/>
        </w:rPr>
        <w:tab/>
      </w:r>
      <w:r>
        <w:rPr>
          <w:rFonts w:ascii="Verdana" w:hAnsi="Verdana"/>
          <w:sz w:val="16"/>
          <w:szCs w:val="16"/>
          <w:lang w:val="es-CR"/>
        </w:rPr>
        <w:t>Declarará s</w:t>
      </w:r>
      <w:r w:rsidRPr="00E9784E">
        <w:rPr>
          <w:rFonts w:ascii="Verdana" w:hAnsi="Verdana"/>
          <w:sz w:val="16"/>
          <w:szCs w:val="16"/>
          <w:lang w:val="es-CR"/>
        </w:rPr>
        <w:t>obre</w:t>
      </w:r>
      <w:r>
        <w:rPr>
          <w:rFonts w:ascii="Verdana" w:hAnsi="Verdana"/>
          <w:sz w:val="16"/>
          <w:szCs w:val="16"/>
          <w:lang w:val="es-CR"/>
        </w:rPr>
        <w:t>:</w:t>
      </w:r>
      <w:r w:rsidRPr="00E9784E">
        <w:rPr>
          <w:rFonts w:ascii="Verdana" w:hAnsi="Verdana"/>
          <w:sz w:val="16"/>
          <w:szCs w:val="16"/>
          <w:lang w:val="es-CR"/>
        </w:rPr>
        <w:t xml:space="preserve"> “los hechos que conoce del caso, incluyendo lo que conoce acerca de los actos de tortura que sufrió Tirso Román, la forma en que le afectó el tiempo que permaneció en el corredor de la muerte, los hostigamientos y amenazas que sufrió y por la búsqueda de justicia, la forma en la que los hechos del caso y la impunidad le afectaron a él y a su familia, y las medidas que considera que el Estado debe adoptar para reparar el daño causado, así como otros aspectos relevantes del caso”. </w:t>
      </w:r>
    </w:p>
    <w:p w:rsidR="00A85A23" w:rsidRPr="00DD05CA" w:rsidRDefault="00A85A23" w:rsidP="00E922CE">
      <w:pPr>
        <w:autoSpaceDE w:val="0"/>
        <w:autoSpaceDN w:val="0"/>
        <w:adjustRightInd w:val="0"/>
        <w:spacing w:after="0" w:line="240" w:lineRule="auto"/>
        <w:jc w:val="both"/>
        <w:rPr>
          <w:rFonts w:ascii="Verdana" w:hAnsi="Verdana"/>
          <w:b/>
          <w:sz w:val="16"/>
          <w:szCs w:val="16"/>
          <w:lang w:val="es-CR"/>
        </w:rPr>
      </w:pPr>
    </w:p>
  </w:footnote>
  <w:footnote w:id="9">
    <w:p w:rsidR="00A85A23" w:rsidRDefault="00AD236C" w:rsidP="00E922CE">
      <w:pPr>
        <w:autoSpaceDE w:val="0"/>
        <w:autoSpaceDN w:val="0"/>
        <w:adjustRightInd w:val="0"/>
        <w:spacing w:after="0" w:line="240" w:lineRule="auto"/>
        <w:jc w:val="both"/>
        <w:rPr>
          <w:rFonts w:ascii="Verdana" w:hAnsi="Verdana"/>
          <w:b/>
          <w:sz w:val="16"/>
          <w:szCs w:val="16"/>
          <w:lang w:val="es-CR"/>
        </w:rPr>
      </w:pPr>
      <w:r w:rsidRPr="00E9784E">
        <w:rPr>
          <w:rStyle w:val="FootnoteReference"/>
          <w:rFonts w:ascii="Verdana" w:hAnsi="Verdana"/>
          <w:sz w:val="16"/>
          <w:szCs w:val="16"/>
        </w:rPr>
        <w:footnoteRef/>
      </w:r>
      <w:r w:rsidRPr="00E9784E">
        <w:rPr>
          <w:rFonts w:ascii="Verdana" w:hAnsi="Verdana"/>
          <w:sz w:val="16"/>
          <w:szCs w:val="16"/>
          <w:lang w:val="es-CR"/>
        </w:rPr>
        <w:t xml:space="preserve"> </w:t>
      </w:r>
      <w:r w:rsidRPr="00E9784E">
        <w:rPr>
          <w:rFonts w:ascii="Verdana" w:hAnsi="Verdana"/>
          <w:sz w:val="16"/>
          <w:szCs w:val="16"/>
          <w:lang w:val="es-CR"/>
        </w:rPr>
        <w:tab/>
      </w:r>
      <w:r>
        <w:rPr>
          <w:rFonts w:ascii="Verdana" w:hAnsi="Verdana"/>
          <w:sz w:val="16"/>
          <w:szCs w:val="16"/>
          <w:lang w:val="es-CR"/>
        </w:rPr>
        <w:t xml:space="preserve">Declarará </w:t>
      </w:r>
      <w:r w:rsidRPr="00E9784E">
        <w:rPr>
          <w:rFonts w:ascii="Verdana" w:hAnsi="Verdana"/>
          <w:sz w:val="16"/>
          <w:szCs w:val="16"/>
          <w:lang w:val="es-CR"/>
        </w:rPr>
        <w:t>sobre</w:t>
      </w:r>
      <w:r>
        <w:rPr>
          <w:rFonts w:ascii="Verdana" w:hAnsi="Verdana"/>
          <w:sz w:val="16"/>
          <w:szCs w:val="16"/>
          <w:lang w:val="es-CR"/>
        </w:rPr>
        <w:t>:</w:t>
      </w:r>
      <w:r w:rsidRPr="00E9784E">
        <w:rPr>
          <w:rFonts w:ascii="Verdana" w:hAnsi="Verdana"/>
          <w:sz w:val="16"/>
          <w:szCs w:val="16"/>
          <w:lang w:val="es-CR"/>
        </w:rPr>
        <w:t xml:space="preserve"> “la práctica de detenciones ilegales y arbitrarias seguidas de tortura cometidas por agentes de las fuerzas de seguridad del Estado en contra del señor Tirso Román Valenzuela Ávila, de los que tuvo conocimiento a raíz de su </w:t>
      </w:r>
      <w:r>
        <w:rPr>
          <w:rFonts w:ascii="Verdana" w:hAnsi="Verdana"/>
          <w:sz w:val="16"/>
          <w:szCs w:val="16"/>
          <w:lang w:val="es-CR"/>
        </w:rPr>
        <w:t>ejercicio como defensor público</w:t>
      </w:r>
      <w:r w:rsidRPr="00E9784E">
        <w:rPr>
          <w:rFonts w:ascii="Verdana" w:hAnsi="Verdana"/>
          <w:sz w:val="16"/>
          <w:szCs w:val="16"/>
          <w:lang w:val="es-CR"/>
        </w:rPr>
        <w:t xml:space="preserve">”. </w:t>
      </w:r>
    </w:p>
    <w:p w:rsidR="00AD236C" w:rsidRPr="00E9784E" w:rsidRDefault="00AD236C" w:rsidP="00E922CE">
      <w:pPr>
        <w:autoSpaceDE w:val="0"/>
        <w:autoSpaceDN w:val="0"/>
        <w:adjustRightInd w:val="0"/>
        <w:spacing w:after="0" w:line="240" w:lineRule="auto"/>
        <w:jc w:val="both"/>
        <w:rPr>
          <w:rFonts w:ascii="Verdana" w:hAnsi="Verdana"/>
          <w:sz w:val="16"/>
          <w:szCs w:val="16"/>
          <w:lang w:val="es-CR"/>
        </w:rPr>
      </w:pPr>
    </w:p>
  </w:footnote>
  <w:footnote w:id="10">
    <w:p w:rsidR="00AD236C" w:rsidRDefault="00AD236C" w:rsidP="00E922CE">
      <w:pPr>
        <w:autoSpaceDE w:val="0"/>
        <w:autoSpaceDN w:val="0"/>
        <w:adjustRightInd w:val="0"/>
        <w:spacing w:after="0" w:line="240" w:lineRule="auto"/>
        <w:jc w:val="both"/>
        <w:rPr>
          <w:rFonts w:ascii="Verdana" w:hAnsi="Verdana"/>
          <w:b/>
          <w:sz w:val="16"/>
          <w:szCs w:val="16"/>
          <w:lang w:val="es-CR"/>
        </w:rPr>
      </w:pPr>
      <w:r w:rsidRPr="00E9784E">
        <w:rPr>
          <w:rStyle w:val="FootnoteReference"/>
          <w:rFonts w:ascii="Verdana" w:hAnsi="Verdana"/>
          <w:sz w:val="16"/>
          <w:szCs w:val="16"/>
        </w:rPr>
        <w:footnoteRef/>
      </w:r>
      <w:r w:rsidRPr="00E9784E">
        <w:rPr>
          <w:rFonts w:ascii="Verdana" w:hAnsi="Verdana"/>
          <w:sz w:val="16"/>
          <w:szCs w:val="16"/>
          <w:lang w:val="es-CR"/>
        </w:rPr>
        <w:t xml:space="preserve"> </w:t>
      </w:r>
      <w:r w:rsidRPr="00E9784E">
        <w:rPr>
          <w:rFonts w:ascii="Verdana" w:hAnsi="Verdana"/>
          <w:sz w:val="16"/>
          <w:szCs w:val="16"/>
          <w:lang w:val="es-CR"/>
        </w:rPr>
        <w:tab/>
      </w:r>
      <w:r>
        <w:rPr>
          <w:rFonts w:ascii="Verdana" w:hAnsi="Verdana"/>
          <w:sz w:val="16"/>
          <w:szCs w:val="16"/>
          <w:lang w:val="es-CR"/>
        </w:rPr>
        <w:t>Declarará sobre: “</w:t>
      </w:r>
      <w:r w:rsidRPr="00E9784E">
        <w:rPr>
          <w:rFonts w:ascii="Verdana" w:hAnsi="Verdana"/>
          <w:sz w:val="16"/>
          <w:szCs w:val="16"/>
          <w:lang w:val="es-CR"/>
        </w:rPr>
        <w:t>hechos acontecidos en este caso, incluyendo, lo que conoce sobre los actos de tortura a los que fue sometido, la forma en la que le afectó a su cuñado (Tirso Román Valenzuela Ávila) el tiempo que permaneció en el corredor de la muerte, lo que conoce en relación a su ejecución extrajudicial, los hostigamientos y amenazas que sufrieron el, su hermana, sus sobrinos y demás familia, tras la fuga de Tirso Román, y por su involucramiento en la búsqueda de justicia, la forma en la que los hechos del caso le afectaron a él y a su familia, y las medidas que considera que el Estado debe adoptar para reparar el daño causado, así como otros aspectos relevantes del caso</w:t>
      </w:r>
      <w:r>
        <w:rPr>
          <w:rFonts w:ascii="Verdana" w:hAnsi="Verdana"/>
          <w:sz w:val="16"/>
          <w:szCs w:val="16"/>
          <w:lang w:val="es-CR"/>
        </w:rPr>
        <w:t>”</w:t>
      </w:r>
      <w:r w:rsidR="00A85A23">
        <w:rPr>
          <w:rFonts w:ascii="Verdana" w:hAnsi="Verdana"/>
          <w:sz w:val="16"/>
          <w:szCs w:val="16"/>
          <w:lang w:val="es-CR"/>
        </w:rPr>
        <w:t>.</w:t>
      </w:r>
    </w:p>
    <w:p w:rsidR="00AD236C" w:rsidRPr="00E9784E" w:rsidRDefault="00AD236C" w:rsidP="00E922CE">
      <w:pPr>
        <w:autoSpaceDE w:val="0"/>
        <w:autoSpaceDN w:val="0"/>
        <w:adjustRightInd w:val="0"/>
        <w:spacing w:after="0" w:line="240" w:lineRule="auto"/>
        <w:jc w:val="both"/>
        <w:rPr>
          <w:rFonts w:ascii="Verdana" w:hAnsi="Verdana"/>
          <w:sz w:val="16"/>
          <w:szCs w:val="16"/>
          <w:lang w:val="es-CR"/>
        </w:rPr>
      </w:pPr>
    </w:p>
  </w:footnote>
  <w:footnote w:id="11">
    <w:p w:rsidR="00AD236C" w:rsidRPr="002D2B32" w:rsidRDefault="00AD236C" w:rsidP="00997859">
      <w:pPr>
        <w:autoSpaceDE w:val="0"/>
        <w:autoSpaceDN w:val="0"/>
        <w:adjustRightInd w:val="0"/>
        <w:spacing w:after="0" w:line="240" w:lineRule="auto"/>
        <w:jc w:val="both"/>
        <w:rPr>
          <w:rFonts w:ascii="Verdana" w:hAnsi="Verdana"/>
          <w:sz w:val="16"/>
          <w:lang w:val="es-CR"/>
        </w:rPr>
      </w:pPr>
      <w:r w:rsidRPr="00E9784E">
        <w:rPr>
          <w:rStyle w:val="FootnoteReference"/>
          <w:rFonts w:ascii="Verdana" w:hAnsi="Verdana"/>
          <w:sz w:val="16"/>
          <w:szCs w:val="16"/>
        </w:rPr>
        <w:footnoteRef/>
      </w:r>
      <w:r w:rsidRPr="00E9784E">
        <w:rPr>
          <w:rFonts w:ascii="Verdana" w:hAnsi="Verdana"/>
          <w:sz w:val="16"/>
          <w:szCs w:val="16"/>
          <w:lang w:val="es-CR"/>
        </w:rPr>
        <w:t xml:space="preserve"> </w:t>
      </w:r>
      <w:r w:rsidRPr="00E9784E">
        <w:rPr>
          <w:rFonts w:ascii="Verdana" w:hAnsi="Verdana"/>
          <w:sz w:val="16"/>
          <w:szCs w:val="16"/>
          <w:lang w:val="es-CR"/>
        </w:rPr>
        <w:tab/>
      </w:r>
      <w:r>
        <w:rPr>
          <w:rFonts w:ascii="Verdana" w:hAnsi="Verdana"/>
          <w:sz w:val="16"/>
          <w:szCs w:val="16"/>
          <w:lang w:val="es-CR"/>
        </w:rPr>
        <w:t xml:space="preserve">Declarará </w:t>
      </w:r>
      <w:r w:rsidRPr="00E922CE">
        <w:rPr>
          <w:rFonts w:ascii="Verdana" w:hAnsi="Verdana"/>
          <w:sz w:val="16"/>
          <w:lang w:val="es-CR"/>
        </w:rPr>
        <w:t>sobre</w:t>
      </w:r>
      <w:r>
        <w:rPr>
          <w:rFonts w:ascii="Verdana" w:hAnsi="Verdana"/>
          <w:sz w:val="16"/>
          <w:lang w:val="es-CR"/>
        </w:rPr>
        <w:t>:</w:t>
      </w:r>
      <w:r w:rsidRPr="00E922CE">
        <w:rPr>
          <w:rFonts w:ascii="Verdana" w:hAnsi="Verdana"/>
          <w:sz w:val="16"/>
          <w:lang w:val="es-CR"/>
        </w:rPr>
        <w:t xml:space="preserve"> “la política de ejecuciones extrajudiciales y tortura que existía en los años 2000 a 2007 por parte de las fuerzas de seguridad del Estado de Guatemala, como parte del equipo de investigación de la oficina del Procu</w:t>
      </w:r>
      <w:r w:rsidR="00A85A23">
        <w:rPr>
          <w:rFonts w:ascii="Verdana" w:hAnsi="Verdana"/>
          <w:sz w:val="16"/>
          <w:lang w:val="es-CR"/>
        </w:rPr>
        <w:t>rador de los Derechos Humanos”.</w:t>
      </w:r>
    </w:p>
  </w:footnote>
  <w:footnote w:id="12">
    <w:p w:rsidR="00AD236C" w:rsidRPr="002446E4" w:rsidRDefault="00AD236C" w:rsidP="00A85A23">
      <w:pPr>
        <w:pStyle w:val="FootnoteText"/>
        <w:jc w:val="both"/>
        <w:rPr>
          <w:rFonts w:ascii="Verdana" w:hAnsi="Verdana"/>
          <w:sz w:val="16"/>
          <w:szCs w:val="16"/>
          <w:lang w:val="es-PE"/>
        </w:rPr>
      </w:pPr>
      <w:r w:rsidRPr="00A85A23">
        <w:rPr>
          <w:rStyle w:val="FootnoteReference"/>
          <w:rFonts w:ascii="Verdana" w:hAnsi="Verdana"/>
          <w:sz w:val="16"/>
          <w:szCs w:val="16"/>
        </w:rPr>
        <w:footnoteRef/>
      </w:r>
      <w:r w:rsidRPr="00A85A23">
        <w:rPr>
          <w:rFonts w:ascii="Verdana" w:hAnsi="Verdana"/>
          <w:sz w:val="16"/>
          <w:szCs w:val="16"/>
          <w:lang w:val="es-CR"/>
        </w:rPr>
        <w:t xml:space="preserve"> </w:t>
      </w:r>
      <w:r w:rsidRPr="00A85A23">
        <w:rPr>
          <w:rFonts w:ascii="Verdana" w:hAnsi="Verdana"/>
          <w:sz w:val="16"/>
          <w:szCs w:val="16"/>
          <w:lang w:val="es-CR"/>
        </w:rPr>
        <w:tab/>
      </w:r>
      <w:r w:rsidRPr="00A85A23">
        <w:rPr>
          <w:rFonts w:ascii="Verdana" w:hAnsi="Verdana"/>
          <w:i/>
          <w:sz w:val="16"/>
          <w:szCs w:val="16"/>
          <w:lang w:val="es-PE"/>
        </w:rPr>
        <w:t xml:space="preserve">Caso </w:t>
      </w:r>
      <w:r w:rsidRPr="0087667C">
        <w:rPr>
          <w:rFonts w:ascii="Verdana" w:hAnsi="Verdana"/>
          <w:i/>
          <w:sz w:val="16"/>
          <w:szCs w:val="16"/>
          <w:lang w:val="es-PE"/>
        </w:rPr>
        <w:t>V.R.P. y V.P.C. Vs. Nicaragua</w:t>
      </w:r>
      <w:r w:rsidRPr="00731B5A">
        <w:rPr>
          <w:rFonts w:ascii="Verdana" w:hAnsi="Verdana"/>
          <w:sz w:val="16"/>
          <w:szCs w:val="16"/>
          <w:lang w:val="es-PE"/>
        </w:rPr>
        <w:t xml:space="preserve">. </w:t>
      </w:r>
      <w:r w:rsidR="00D25EDF" w:rsidRPr="002446E4">
        <w:rPr>
          <w:rFonts w:ascii="Verdana" w:hAnsi="Verdana"/>
          <w:sz w:val="16"/>
          <w:szCs w:val="16"/>
          <w:lang w:val="es-PE"/>
        </w:rPr>
        <w:t>Convocatoria a audiencia</w:t>
      </w:r>
      <w:r w:rsidR="00D25EDF" w:rsidRPr="00731B5A">
        <w:rPr>
          <w:rFonts w:ascii="Verdana" w:hAnsi="Verdana"/>
          <w:sz w:val="16"/>
          <w:szCs w:val="16"/>
          <w:lang w:val="es-PE"/>
        </w:rPr>
        <w:t xml:space="preserve">. </w:t>
      </w:r>
      <w:r w:rsidRPr="00731B5A">
        <w:rPr>
          <w:rFonts w:ascii="Verdana" w:hAnsi="Verdana"/>
          <w:sz w:val="16"/>
          <w:szCs w:val="16"/>
          <w:lang w:val="es-PE"/>
        </w:rPr>
        <w:t xml:space="preserve">Resolución del Presidente de </w:t>
      </w:r>
      <w:r w:rsidRPr="002446E4">
        <w:rPr>
          <w:rFonts w:ascii="Verdana" w:hAnsi="Verdana"/>
          <w:sz w:val="16"/>
          <w:szCs w:val="16"/>
          <w:lang w:val="es-PE"/>
        </w:rPr>
        <w:t xml:space="preserve">la Corte de 21 de septiembre de 2017, </w:t>
      </w:r>
      <w:r w:rsidR="00D25EDF">
        <w:rPr>
          <w:rFonts w:ascii="Verdana" w:hAnsi="Verdana"/>
          <w:sz w:val="16"/>
          <w:szCs w:val="16"/>
          <w:lang w:val="es-PE"/>
        </w:rPr>
        <w:t>C</w:t>
      </w:r>
      <w:r w:rsidRPr="002446E4">
        <w:rPr>
          <w:rFonts w:ascii="Verdana" w:hAnsi="Verdana"/>
          <w:sz w:val="16"/>
          <w:szCs w:val="16"/>
          <w:lang w:val="es-PE"/>
        </w:rPr>
        <w:t>onsiderando 11.</w:t>
      </w:r>
    </w:p>
    <w:p w:rsidR="00AD236C" w:rsidRPr="00A85A23" w:rsidRDefault="00AD236C" w:rsidP="00A85A23">
      <w:pPr>
        <w:pStyle w:val="FootnoteText"/>
        <w:jc w:val="both"/>
        <w:rPr>
          <w:rFonts w:ascii="Verdana" w:hAnsi="Verdana"/>
          <w:sz w:val="16"/>
          <w:szCs w:val="16"/>
          <w:lang w:val="es-CR"/>
        </w:rPr>
      </w:pPr>
    </w:p>
  </w:footnote>
  <w:footnote w:id="13">
    <w:p w:rsidR="00AD236C" w:rsidRPr="002446E4" w:rsidRDefault="00AD236C" w:rsidP="0087667C">
      <w:pPr>
        <w:spacing w:line="240" w:lineRule="auto"/>
        <w:jc w:val="both"/>
        <w:rPr>
          <w:rFonts w:ascii="Verdana" w:hAnsi="Verdana"/>
          <w:sz w:val="16"/>
          <w:szCs w:val="16"/>
          <w:lang w:val="es-PE"/>
        </w:rPr>
      </w:pPr>
      <w:r w:rsidRPr="0087667C">
        <w:rPr>
          <w:rStyle w:val="FootnoteReference"/>
          <w:rFonts w:ascii="Verdana" w:hAnsi="Verdana"/>
          <w:sz w:val="16"/>
          <w:szCs w:val="16"/>
        </w:rPr>
        <w:footnoteRef/>
      </w:r>
      <w:r w:rsidRPr="0087667C">
        <w:rPr>
          <w:rFonts w:ascii="Verdana" w:hAnsi="Verdana"/>
          <w:sz w:val="16"/>
          <w:szCs w:val="16"/>
          <w:lang w:val="es-CR"/>
        </w:rPr>
        <w:t xml:space="preserve"> </w:t>
      </w:r>
      <w:r w:rsidRPr="0087667C">
        <w:rPr>
          <w:rFonts w:ascii="Verdana" w:hAnsi="Verdana"/>
          <w:sz w:val="16"/>
          <w:szCs w:val="16"/>
          <w:lang w:val="es-CR"/>
        </w:rPr>
        <w:tab/>
      </w:r>
      <w:r w:rsidRPr="003E1440">
        <w:rPr>
          <w:rFonts w:ascii="Verdana" w:hAnsi="Verdana"/>
          <w:i/>
          <w:sz w:val="16"/>
          <w:szCs w:val="16"/>
          <w:lang w:val="es-PE"/>
        </w:rPr>
        <w:t>Caso de la</w:t>
      </w:r>
      <w:r w:rsidRPr="002446E4">
        <w:rPr>
          <w:rFonts w:ascii="Verdana" w:hAnsi="Verdana"/>
          <w:sz w:val="16"/>
          <w:szCs w:val="16"/>
          <w:lang w:val="es-PE"/>
        </w:rPr>
        <w:t xml:space="preserve"> </w:t>
      </w:r>
      <w:r w:rsidRPr="002446E4">
        <w:rPr>
          <w:rFonts w:ascii="Verdana" w:hAnsi="Verdana"/>
          <w:i/>
          <w:sz w:val="16"/>
          <w:szCs w:val="16"/>
          <w:lang w:val="es-PE"/>
        </w:rPr>
        <w:t>Masacre de Pueblo Bello Vs. Colombia</w:t>
      </w:r>
      <w:r w:rsidRPr="002446E4">
        <w:rPr>
          <w:rFonts w:ascii="Verdana" w:hAnsi="Verdana"/>
          <w:sz w:val="16"/>
          <w:szCs w:val="16"/>
          <w:lang w:val="es-PE"/>
        </w:rPr>
        <w:t xml:space="preserve">. </w:t>
      </w:r>
      <w:r w:rsidR="00D25EDF" w:rsidRPr="002446E4">
        <w:rPr>
          <w:rFonts w:ascii="Verdana" w:hAnsi="Verdana"/>
          <w:sz w:val="16"/>
          <w:szCs w:val="16"/>
          <w:lang w:val="es-PE"/>
        </w:rPr>
        <w:t xml:space="preserve">Convocatoria a audiencia. </w:t>
      </w:r>
      <w:r w:rsidRPr="002446E4">
        <w:rPr>
          <w:rFonts w:ascii="Verdana" w:hAnsi="Verdana"/>
          <w:sz w:val="16"/>
          <w:szCs w:val="16"/>
          <w:lang w:val="es-PE"/>
        </w:rPr>
        <w:t xml:space="preserve">Resolución del Presidente de la Corte </w:t>
      </w:r>
      <w:r w:rsidR="00251E8B">
        <w:rPr>
          <w:rFonts w:ascii="Verdana" w:hAnsi="Verdana"/>
          <w:sz w:val="16"/>
          <w:szCs w:val="16"/>
          <w:lang w:val="es-PE"/>
        </w:rPr>
        <w:t>de 29 de julio de 2005</w:t>
      </w:r>
      <w:r w:rsidRPr="002446E4">
        <w:rPr>
          <w:rFonts w:ascii="Verdana" w:hAnsi="Verdana"/>
          <w:sz w:val="16"/>
          <w:szCs w:val="16"/>
          <w:lang w:val="es-PE"/>
        </w:rPr>
        <w:t xml:space="preserve">, considerando 7, y </w:t>
      </w:r>
      <w:r w:rsidR="00A448F9" w:rsidRPr="003E1440">
        <w:rPr>
          <w:rFonts w:ascii="Verdana" w:hAnsi="Verdana"/>
          <w:i/>
          <w:sz w:val="16"/>
          <w:szCs w:val="16"/>
          <w:lang w:val="es-PE"/>
        </w:rPr>
        <w:t>Caso</w:t>
      </w:r>
      <w:r w:rsidR="00A448F9" w:rsidRPr="0087667C">
        <w:rPr>
          <w:rFonts w:ascii="Verdana" w:hAnsi="Verdana"/>
          <w:sz w:val="16"/>
          <w:szCs w:val="16"/>
          <w:lang w:val="es-PE"/>
        </w:rPr>
        <w:t xml:space="preserve"> </w:t>
      </w:r>
      <w:r w:rsidR="00A448F9" w:rsidRPr="00731B5A">
        <w:rPr>
          <w:rFonts w:ascii="Verdana" w:hAnsi="Verdana"/>
          <w:i/>
          <w:sz w:val="16"/>
          <w:szCs w:val="16"/>
          <w:lang w:val="es-PE"/>
        </w:rPr>
        <w:t>Jenkins Vs. Argentina</w:t>
      </w:r>
      <w:r w:rsidR="00A448F9" w:rsidRPr="002446E4">
        <w:rPr>
          <w:rFonts w:ascii="Verdana" w:hAnsi="Verdana"/>
          <w:sz w:val="16"/>
          <w:szCs w:val="16"/>
          <w:lang w:val="es-PE"/>
        </w:rPr>
        <w:t xml:space="preserve">. </w:t>
      </w:r>
      <w:r w:rsidR="00D25EDF" w:rsidRPr="002446E4">
        <w:rPr>
          <w:rFonts w:ascii="Verdana" w:hAnsi="Verdana"/>
          <w:sz w:val="16"/>
          <w:szCs w:val="16"/>
          <w:lang w:val="es-PE"/>
        </w:rPr>
        <w:t>Convocatoria a audiencia</w:t>
      </w:r>
      <w:r w:rsidR="00D25EDF">
        <w:rPr>
          <w:rFonts w:ascii="Verdana" w:hAnsi="Verdana"/>
          <w:sz w:val="16"/>
          <w:szCs w:val="16"/>
          <w:lang w:val="es-PE"/>
        </w:rPr>
        <w:t xml:space="preserve">. </w:t>
      </w:r>
      <w:r w:rsidR="00A448F9" w:rsidRPr="002446E4">
        <w:rPr>
          <w:rFonts w:ascii="Verdana" w:hAnsi="Verdana"/>
          <w:sz w:val="16"/>
          <w:szCs w:val="16"/>
          <w:lang w:val="es-PE"/>
        </w:rPr>
        <w:t>Resolución del Presidente de la Corte de 19 de diciembre de 2018</w:t>
      </w:r>
      <w:r w:rsidR="00A448F9">
        <w:rPr>
          <w:rFonts w:ascii="Verdana" w:hAnsi="Verdana"/>
          <w:sz w:val="16"/>
          <w:szCs w:val="16"/>
          <w:lang w:val="es-PE"/>
        </w:rPr>
        <w:t xml:space="preserve">, </w:t>
      </w:r>
      <w:r w:rsidR="00D25EDF">
        <w:rPr>
          <w:rFonts w:ascii="Verdana" w:hAnsi="Verdana"/>
          <w:sz w:val="16"/>
          <w:szCs w:val="16"/>
          <w:lang w:val="es-PE"/>
        </w:rPr>
        <w:t>C</w:t>
      </w:r>
      <w:r w:rsidR="00A448F9">
        <w:rPr>
          <w:rFonts w:ascii="Verdana" w:hAnsi="Verdana"/>
          <w:sz w:val="16"/>
          <w:szCs w:val="16"/>
          <w:lang w:val="es-PE"/>
        </w:rPr>
        <w:t>onsiderando 17</w:t>
      </w:r>
      <w:r w:rsidR="003E1440">
        <w:rPr>
          <w:rFonts w:ascii="Verdana" w:hAnsi="Verdana"/>
          <w:sz w:val="16"/>
          <w:szCs w:val="16"/>
          <w:lang w:val="es-PE"/>
        </w:rPr>
        <w:t>.</w:t>
      </w:r>
    </w:p>
  </w:footnote>
  <w:footnote w:id="14">
    <w:p w:rsidR="00AD236C" w:rsidRPr="00251E8B" w:rsidRDefault="00AD236C" w:rsidP="0087667C">
      <w:pPr>
        <w:pStyle w:val="FootnoteText"/>
        <w:jc w:val="both"/>
        <w:rPr>
          <w:rFonts w:ascii="Verdana" w:hAnsi="Verdana"/>
          <w:sz w:val="16"/>
          <w:szCs w:val="16"/>
          <w:lang w:val="es-CR"/>
        </w:rPr>
      </w:pPr>
      <w:r w:rsidRPr="00E7603E">
        <w:rPr>
          <w:rStyle w:val="FootnoteReference"/>
          <w:rFonts w:ascii="Verdana" w:hAnsi="Verdana"/>
          <w:sz w:val="16"/>
          <w:szCs w:val="16"/>
        </w:rPr>
        <w:footnoteRef/>
      </w:r>
      <w:r w:rsidRPr="00E7603E">
        <w:rPr>
          <w:rFonts w:ascii="Verdana" w:hAnsi="Verdana"/>
          <w:sz w:val="16"/>
          <w:szCs w:val="16"/>
          <w:lang w:val="es-CR"/>
        </w:rPr>
        <w:t xml:space="preserve"> </w:t>
      </w:r>
      <w:r w:rsidRPr="00E7603E">
        <w:rPr>
          <w:rFonts w:ascii="Verdana" w:hAnsi="Verdana"/>
          <w:sz w:val="16"/>
          <w:szCs w:val="16"/>
          <w:lang w:val="es-CR"/>
        </w:rPr>
        <w:tab/>
      </w:r>
      <w:r w:rsidRPr="00E7603E">
        <w:rPr>
          <w:rFonts w:ascii="Verdana" w:hAnsi="Verdana"/>
          <w:i/>
          <w:sz w:val="16"/>
          <w:szCs w:val="16"/>
          <w:lang w:val="es-CR"/>
        </w:rPr>
        <w:t xml:space="preserve">Cfr. </w:t>
      </w:r>
      <w:r w:rsidR="00A448F9" w:rsidRPr="00E7603E">
        <w:rPr>
          <w:rFonts w:ascii="Verdana" w:hAnsi="Verdana"/>
          <w:i/>
          <w:sz w:val="16"/>
          <w:szCs w:val="16"/>
          <w:lang w:val="es-CR"/>
        </w:rPr>
        <w:t xml:space="preserve">Caso Alicia </w:t>
      </w:r>
      <w:proofErr w:type="spellStart"/>
      <w:r w:rsidR="00A448F9" w:rsidRPr="00E7603E">
        <w:rPr>
          <w:rFonts w:ascii="Verdana" w:hAnsi="Verdana"/>
          <w:i/>
          <w:sz w:val="16"/>
          <w:szCs w:val="16"/>
          <w:lang w:val="es-CR"/>
        </w:rPr>
        <w:t>Barbani</w:t>
      </w:r>
      <w:proofErr w:type="spellEnd"/>
      <w:r w:rsidR="00A448F9" w:rsidRPr="00E7603E">
        <w:rPr>
          <w:rFonts w:ascii="Verdana" w:hAnsi="Verdana"/>
          <w:i/>
          <w:sz w:val="16"/>
          <w:szCs w:val="16"/>
          <w:lang w:val="es-CR"/>
        </w:rPr>
        <w:t xml:space="preserve"> Duarte, María del Huerto </w:t>
      </w:r>
      <w:proofErr w:type="spellStart"/>
      <w:r w:rsidR="00A448F9" w:rsidRPr="00E7603E">
        <w:rPr>
          <w:rFonts w:ascii="Verdana" w:hAnsi="Verdana"/>
          <w:i/>
          <w:sz w:val="16"/>
          <w:szCs w:val="16"/>
          <w:lang w:val="es-CR"/>
        </w:rPr>
        <w:t>Breccia</w:t>
      </w:r>
      <w:proofErr w:type="spellEnd"/>
      <w:r w:rsidR="00A448F9" w:rsidRPr="00E7603E">
        <w:rPr>
          <w:rFonts w:ascii="Verdana" w:hAnsi="Verdana"/>
          <w:i/>
          <w:sz w:val="16"/>
          <w:szCs w:val="16"/>
          <w:lang w:val="es-CR"/>
        </w:rPr>
        <w:t xml:space="preserve"> y otros (Grupo de ahorristas del Banco de Montevideo) Vs. Uruguay</w:t>
      </w:r>
      <w:r w:rsidR="00A448F9" w:rsidRPr="00E7603E">
        <w:rPr>
          <w:rFonts w:ascii="Verdana" w:hAnsi="Verdana"/>
          <w:sz w:val="16"/>
          <w:szCs w:val="16"/>
          <w:lang w:val="es-CR"/>
        </w:rPr>
        <w:t xml:space="preserve">. </w:t>
      </w:r>
      <w:r w:rsidR="00D25EDF">
        <w:rPr>
          <w:rFonts w:ascii="Verdana" w:hAnsi="Verdana"/>
          <w:sz w:val="16"/>
          <w:szCs w:val="16"/>
          <w:lang w:val="es-CR"/>
        </w:rPr>
        <w:t>C</w:t>
      </w:r>
      <w:proofErr w:type="spellStart"/>
      <w:r w:rsidR="00D25EDF" w:rsidRPr="00E7603E">
        <w:rPr>
          <w:rFonts w:ascii="Verdana" w:hAnsi="Verdana"/>
          <w:sz w:val="16"/>
          <w:szCs w:val="16"/>
          <w:lang w:val="es-PE"/>
        </w:rPr>
        <w:t>onvocatoria</w:t>
      </w:r>
      <w:proofErr w:type="spellEnd"/>
      <w:r w:rsidR="00D25EDF" w:rsidRPr="00E7603E">
        <w:rPr>
          <w:rFonts w:ascii="Verdana" w:hAnsi="Verdana"/>
          <w:sz w:val="16"/>
          <w:szCs w:val="16"/>
          <w:lang w:val="es-PE"/>
        </w:rPr>
        <w:t xml:space="preserve"> a audiencia</w:t>
      </w:r>
      <w:r w:rsidR="00D25EDF">
        <w:rPr>
          <w:rFonts w:ascii="Verdana" w:hAnsi="Verdana"/>
          <w:sz w:val="16"/>
          <w:szCs w:val="16"/>
          <w:lang w:val="es-CR"/>
        </w:rPr>
        <w:t xml:space="preserve">. </w:t>
      </w:r>
      <w:r w:rsidR="00A448F9" w:rsidRPr="00E7603E">
        <w:rPr>
          <w:rFonts w:ascii="Verdana" w:hAnsi="Verdana"/>
          <w:sz w:val="16"/>
          <w:szCs w:val="16"/>
          <w:lang w:val="es-CR"/>
        </w:rPr>
        <w:t>Resolución del Presidente de la Corte de 31 de</w:t>
      </w:r>
      <w:r w:rsidR="003E1440" w:rsidRPr="00E7603E">
        <w:rPr>
          <w:rFonts w:ascii="Verdana" w:hAnsi="Verdana"/>
          <w:sz w:val="16"/>
          <w:szCs w:val="16"/>
          <w:lang w:val="es-CR"/>
        </w:rPr>
        <w:t xml:space="preserve"> enero de 2011, </w:t>
      </w:r>
      <w:r w:rsidR="00D25EDF">
        <w:rPr>
          <w:rFonts w:ascii="Verdana" w:hAnsi="Verdana"/>
          <w:sz w:val="16"/>
          <w:szCs w:val="16"/>
          <w:lang w:val="es-CR"/>
        </w:rPr>
        <w:t>C</w:t>
      </w:r>
      <w:r w:rsidR="003E1440" w:rsidRPr="00E7603E">
        <w:rPr>
          <w:rFonts w:ascii="Verdana" w:hAnsi="Verdana"/>
          <w:sz w:val="16"/>
          <w:szCs w:val="16"/>
          <w:lang w:val="es-CR"/>
        </w:rPr>
        <w:t>onsiderando 22,</w:t>
      </w:r>
      <w:r w:rsidR="00A448F9" w:rsidRPr="00E7603E">
        <w:rPr>
          <w:rFonts w:ascii="Verdana" w:hAnsi="Verdana"/>
          <w:i/>
          <w:sz w:val="16"/>
          <w:szCs w:val="16"/>
          <w:lang w:val="es-CR"/>
        </w:rPr>
        <w:t xml:space="preserve"> </w:t>
      </w:r>
      <w:r w:rsidR="00A448F9" w:rsidRPr="00E7603E">
        <w:rPr>
          <w:rFonts w:ascii="Verdana" w:hAnsi="Verdana"/>
          <w:sz w:val="16"/>
          <w:szCs w:val="16"/>
          <w:lang w:val="es-CR"/>
        </w:rPr>
        <w:t>y</w:t>
      </w:r>
      <w:r w:rsidR="003E1440" w:rsidRPr="00E7603E">
        <w:rPr>
          <w:rFonts w:ascii="Verdana" w:hAnsi="Verdana"/>
          <w:i/>
          <w:sz w:val="16"/>
          <w:szCs w:val="16"/>
          <w:lang w:val="es-CR"/>
        </w:rPr>
        <w:t xml:space="preserve"> Caso Perrone y Preckel vs. Argentina.</w:t>
      </w:r>
      <w:r w:rsidR="00D25EDF" w:rsidRPr="00D25EDF">
        <w:rPr>
          <w:rFonts w:ascii="Verdana" w:hAnsi="Verdana"/>
          <w:sz w:val="16"/>
          <w:szCs w:val="16"/>
          <w:lang w:val="es-PE"/>
        </w:rPr>
        <w:t xml:space="preserve"> </w:t>
      </w:r>
      <w:r w:rsidR="00D25EDF" w:rsidRPr="002446E4">
        <w:rPr>
          <w:rFonts w:ascii="Verdana" w:hAnsi="Verdana"/>
          <w:sz w:val="16"/>
          <w:szCs w:val="16"/>
          <w:lang w:val="es-PE"/>
        </w:rPr>
        <w:t>Convocatoria a audiencia</w:t>
      </w:r>
      <w:r w:rsidR="00D25EDF">
        <w:rPr>
          <w:rFonts w:ascii="Verdana" w:hAnsi="Verdana"/>
          <w:sz w:val="16"/>
          <w:szCs w:val="16"/>
          <w:lang w:val="es-PE"/>
        </w:rPr>
        <w:t xml:space="preserve">. </w:t>
      </w:r>
      <w:r w:rsidR="003E1440" w:rsidRPr="00E7603E">
        <w:rPr>
          <w:rFonts w:ascii="Verdana" w:hAnsi="Verdana"/>
          <w:i/>
          <w:sz w:val="16"/>
          <w:szCs w:val="16"/>
          <w:lang w:val="es-CR"/>
        </w:rPr>
        <w:t xml:space="preserve"> </w:t>
      </w:r>
      <w:r w:rsidR="003E1440" w:rsidRPr="00E7603E">
        <w:rPr>
          <w:rFonts w:ascii="Verdana" w:hAnsi="Verdana"/>
          <w:sz w:val="16"/>
          <w:szCs w:val="16"/>
          <w:lang w:val="es-CR"/>
        </w:rPr>
        <w:t xml:space="preserve">Resolución del Presidente de la Corte de 7 de diciembre de 2018, </w:t>
      </w:r>
      <w:r w:rsidR="00D25EDF">
        <w:rPr>
          <w:rFonts w:ascii="Verdana" w:hAnsi="Verdana"/>
          <w:sz w:val="16"/>
          <w:szCs w:val="16"/>
          <w:lang w:val="es-CR"/>
        </w:rPr>
        <w:t>C</w:t>
      </w:r>
      <w:r w:rsidR="003E1440" w:rsidRPr="00E7603E">
        <w:rPr>
          <w:rFonts w:ascii="Verdana" w:hAnsi="Verdana"/>
          <w:sz w:val="16"/>
          <w:szCs w:val="16"/>
          <w:lang w:val="es-CR"/>
        </w:rPr>
        <w:t>onsiderando 10.</w:t>
      </w:r>
    </w:p>
    <w:p w:rsidR="00AD236C" w:rsidRPr="00E10C32" w:rsidRDefault="00AD236C" w:rsidP="00E10C32">
      <w:pPr>
        <w:pStyle w:val="FootnoteText"/>
        <w:jc w:val="both"/>
        <w:rPr>
          <w:rFonts w:ascii="Verdana" w:hAnsi="Verdana"/>
          <w:sz w:val="16"/>
          <w:szCs w:val="22"/>
          <w:lang w:val="es-CR"/>
        </w:rPr>
      </w:pPr>
    </w:p>
  </w:footnote>
  <w:footnote w:id="15">
    <w:p w:rsidR="00AD236C" w:rsidRDefault="00AD236C" w:rsidP="00707F92">
      <w:pPr>
        <w:autoSpaceDE w:val="0"/>
        <w:autoSpaceDN w:val="0"/>
        <w:adjustRightInd w:val="0"/>
        <w:spacing w:after="0" w:line="240" w:lineRule="auto"/>
        <w:jc w:val="both"/>
        <w:rPr>
          <w:rFonts w:ascii="Verdana" w:hAnsi="Verdana"/>
          <w:b/>
          <w:sz w:val="16"/>
          <w:szCs w:val="16"/>
          <w:lang w:val="es-CR"/>
        </w:rPr>
      </w:pPr>
      <w:r>
        <w:rPr>
          <w:rStyle w:val="FootnoteReference"/>
        </w:rPr>
        <w:footnoteRef/>
      </w:r>
      <w:r w:rsidRPr="0085071B">
        <w:rPr>
          <w:lang w:val="es-CR"/>
        </w:rPr>
        <w:t xml:space="preserve"> </w:t>
      </w:r>
      <w:r>
        <w:rPr>
          <w:lang w:val="es-CR"/>
        </w:rPr>
        <w:tab/>
      </w:r>
      <w:r>
        <w:rPr>
          <w:rFonts w:ascii="Verdana" w:hAnsi="Verdana"/>
          <w:sz w:val="16"/>
          <w:lang w:val="es-CR"/>
        </w:rPr>
        <w:t>Rendirá peritaje sobre: “</w:t>
      </w:r>
      <w:r w:rsidRPr="0085071B">
        <w:rPr>
          <w:rFonts w:ascii="Verdana" w:hAnsi="Verdana"/>
          <w:sz w:val="16"/>
          <w:lang w:val="es-CR"/>
        </w:rPr>
        <w:t>los efectos físicos y psicológicos experimentados por Tirso Román</w:t>
      </w:r>
      <w:r>
        <w:rPr>
          <w:rFonts w:ascii="Verdana" w:hAnsi="Verdana"/>
          <w:sz w:val="16"/>
          <w:lang w:val="es-CR"/>
        </w:rPr>
        <w:t xml:space="preserve"> Valenzuela Á</w:t>
      </w:r>
      <w:r w:rsidRPr="0085071B">
        <w:rPr>
          <w:rFonts w:ascii="Verdana" w:hAnsi="Verdana"/>
          <w:sz w:val="16"/>
          <w:lang w:val="es-CR"/>
        </w:rPr>
        <w:t>vila, a causa de las violaciones padecidas en</w:t>
      </w:r>
      <w:r>
        <w:rPr>
          <w:rFonts w:ascii="Verdana" w:hAnsi="Verdana"/>
          <w:sz w:val="16"/>
          <w:lang w:val="es-CR"/>
        </w:rPr>
        <w:t xml:space="preserve"> </w:t>
      </w:r>
      <w:r w:rsidRPr="0085071B">
        <w:rPr>
          <w:rFonts w:ascii="Verdana" w:hAnsi="Verdana"/>
          <w:sz w:val="16"/>
          <w:lang w:val="es-CR"/>
        </w:rPr>
        <w:t>este caso, en particular por las</w:t>
      </w:r>
      <w:r>
        <w:rPr>
          <w:rFonts w:ascii="Verdana" w:hAnsi="Verdana"/>
          <w:sz w:val="16"/>
          <w:lang w:val="es-CR"/>
        </w:rPr>
        <w:t xml:space="preserve"> </w:t>
      </w:r>
      <w:r w:rsidRPr="0085071B">
        <w:rPr>
          <w:rFonts w:ascii="Verdana" w:hAnsi="Verdana"/>
          <w:sz w:val="16"/>
          <w:lang w:val="es-CR"/>
        </w:rPr>
        <w:t>torturas a Tirso Román, su permanencia prolongada en el corredor de la muerte, su</w:t>
      </w:r>
      <w:r>
        <w:rPr>
          <w:rFonts w:ascii="Verdana" w:hAnsi="Verdana"/>
          <w:sz w:val="16"/>
          <w:lang w:val="es-CR"/>
        </w:rPr>
        <w:t xml:space="preserve"> </w:t>
      </w:r>
      <w:r w:rsidRPr="0085071B">
        <w:rPr>
          <w:rFonts w:ascii="Verdana" w:hAnsi="Verdana"/>
          <w:sz w:val="16"/>
          <w:lang w:val="es-CR"/>
        </w:rPr>
        <w:t>posterior ejecución extrajudicial con la participación de agentes del Estado y la impunidad</w:t>
      </w:r>
      <w:r>
        <w:rPr>
          <w:rFonts w:ascii="Verdana" w:hAnsi="Verdana"/>
          <w:sz w:val="16"/>
          <w:lang w:val="es-CR"/>
        </w:rPr>
        <w:t xml:space="preserve"> </w:t>
      </w:r>
      <w:r w:rsidRPr="0085071B">
        <w:rPr>
          <w:rFonts w:ascii="Verdana" w:hAnsi="Verdana"/>
          <w:sz w:val="16"/>
          <w:lang w:val="es-CR"/>
        </w:rPr>
        <w:t>en que se mantienen todos los hechos hasta la fecha, así como las medidas que el Estado</w:t>
      </w:r>
      <w:r>
        <w:rPr>
          <w:rFonts w:ascii="Verdana" w:hAnsi="Verdana"/>
          <w:sz w:val="16"/>
          <w:lang w:val="es-CR"/>
        </w:rPr>
        <w:t xml:space="preserve"> </w:t>
      </w:r>
      <w:r w:rsidRPr="0085071B">
        <w:rPr>
          <w:rFonts w:ascii="Verdana" w:hAnsi="Verdana"/>
          <w:sz w:val="16"/>
          <w:lang w:val="es-CR"/>
        </w:rPr>
        <w:t>debe adoptar para reparar el daño causado a la víctima, entre otros aspectos relevantes</w:t>
      </w:r>
      <w:r>
        <w:rPr>
          <w:rFonts w:ascii="Verdana" w:hAnsi="Verdana"/>
          <w:sz w:val="16"/>
          <w:lang w:val="es-CR"/>
        </w:rPr>
        <w:t xml:space="preserve"> </w:t>
      </w:r>
      <w:r w:rsidRPr="0085071B">
        <w:rPr>
          <w:rFonts w:ascii="Verdana" w:hAnsi="Verdana"/>
          <w:sz w:val="16"/>
          <w:lang w:val="es-CR"/>
        </w:rPr>
        <w:t>para el caso</w:t>
      </w:r>
      <w:r>
        <w:rPr>
          <w:rFonts w:ascii="Verdana" w:hAnsi="Verdana"/>
          <w:sz w:val="16"/>
          <w:lang w:val="es-CR"/>
        </w:rPr>
        <w:t>”</w:t>
      </w:r>
      <w:r w:rsidRPr="0085071B">
        <w:rPr>
          <w:rFonts w:ascii="Verdana" w:hAnsi="Verdana"/>
          <w:sz w:val="16"/>
          <w:lang w:val="es-CR"/>
        </w:rPr>
        <w:t>.</w:t>
      </w:r>
      <w:r>
        <w:rPr>
          <w:rFonts w:ascii="Verdana" w:hAnsi="Verdana"/>
          <w:sz w:val="16"/>
          <w:lang w:val="es-CR"/>
        </w:rPr>
        <w:t xml:space="preserve"> </w:t>
      </w:r>
    </w:p>
    <w:p w:rsidR="00AD236C" w:rsidRPr="0085071B" w:rsidRDefault="00AD236C" w:rsidP="00707F92">
      <w:pPr>
        <w:autoSpaceDE w:val="0"/>
        <w:autoSpaceDN w:val="0"/>
        <w:adjustRightInd w:val="0"/>
        <w:spacing w:after="0" w:line="240" w:lineRule="auto"/>
        <w:jc w:val="both"/>
        <w:rPr>
          <w:rFonts w:ascii="Verdana" w:hAnsi="Verdana"/>
          <w:sz w:val="16"/>
          <w:lang w:val="es-CR"/>
        </w:rPr>
      </w:pPr>
    </w:p>
  </w:footnote>
  <w:footnote w:id="16">
    <w:p w:rsidR="00AD236C" w:rsidRPr="002446E4" w:rsidRDefault="00AD236C" w:rsidP="005E3C25">
      <w:pPr>
        <w:autoSpaceDE w:val="0"/>
        <w:autoSpaceDN w:val="0"/>
        <w:adjustRightInd w:val="0"/>
        <w:spacing w:after="0" w:line="240" w:lineRule="auto"/>
        <w:jc w:val="both"/>
        <w:rPr>
          <w:rFonts w:ascii="Verdana" w:hAnsi="Verdana"/>
          <w:b/>
          <w:sz w:val="16"/>
          <w:szCs w:val="16"/>
          <w:lang w:val="es-CR"/>
        </w:rPr>
      </w:pPr>
      <w:r>
        <w:rPr>
          <w:rStyle w:val="FootnoteReference"/>
        </w:rPr>
        <w:footnoteRef/>
      </w:r>
      <w:r w:rsidRPr="003F7F1F">
        <w:rPr>
          <w:lang w:val="es-CR"/>
        </w:rPr>
        <w:t xml:space="preserve"> </w:t>
      </w:r>
      <w:r w:rsidRPr="00233A4F">
        <w:rPr>
          <w:rFonts w:ascii="Verdana" w:hAnsi="Verdana"/>
          <w:sz w:val="16"/>
          <w:szCs w:val="16"/>
          <w:lang w:val="es-CR"/>
        </w:rPr>
        <w:tab/>
      </w:r>
      <w:r w:rsidRPr="0087667C">
        <w:rPr>
          <w:rFonts w:ascii="Verdana" w:hAnsi="Verdana"/>
          <w:sz w:val="16"/>
          <w:szCs w:val="16"/>
          <w:lang w:val="es-CR"/>
        </w:rPr>
        <w:t>Rendirá peritaje sobre: “</w:t>
      </w:r>
      <w:r w:rsidRPr="00731B5A">
        <w:rPr>
          <w:rFonts w:ascii="Verdana" w:hAnsi="Verdana"/>
          <w:sz w:val="16"/>
          <w:szCs w:val="16"/>
          <w:lang w:val="es-CR"/>
        </w:rPr>
        <w:t>las i</w:t>
      </w:r>
      <w:r w:rsidRPr="00840925">
        <w:rPr>
          <w:rFonts w:ascii="Verdana" w:hAnsi="Verdana"/>
          <w:sz w:val="16"/>
          <w:szCs w:val="16"/>
          <w:lang w:val="es-CR"/>
        </w:rPr>
        <w:t xml:space="preserve">rregularidades, negligencias y omisiones cometidas durante las primeras diligencias de investigación acerca de la ejecución de Tirso Román Valenzuela Ávila, tomando en cuenta las constancias dentro del expediente. También se referirá a las medidas que el Estado debería adoptar para evitar la repetición de hechos como los ocurridos </w:t>
      </w:r>
      <w:r w:rsidRPr="00233A4F">
        <w:rPr>
          <w:rFonts w:ascii="Verdana" w:hAnsi="Verdana"/>
          <w:sz w:val="16"/>
          <w:szCs w:val="16"/>
          <w:lang w:val="es-CR"/>
        </w:rPr>
        <w:t xml:space="preserve">en este caso”. </w:t>
      </w:r>
    </w:p>
    <w:p w:rsidR="00AD236C" w:rsidRPr="00840925" w:rsidRDefault="00AD236C" w:rsidP="005E3C25">
      <w:pPr>
        <w:autoSpaceDE w:val="0"/>
        <w:autoSpaceDN w:val="0"/>
        <w:adjustRightInd w:val="0"/>
        <w:spacing w:after="0" w:line="240" w:lineRule="auto"/>
        <w:jc w:val="both"/>
        <w:rPr>
          <w:rFonts w:ascii="Verdana" w:hAnsi="Verdana"/>
          <w:sz w:val="16"/>
          <w:szCs w:val="16"/>
          <w:lang w:val="es-CR"/>
        </w:rPr>
      </w:pPr>
    </w:p>
  </w:footnote>
  <w:footnote w:id="17">
    <w:p w:rsidR="00AD236C" w:rsidRPr="002446E4" w:rsidRDefault="00AD236C" w:rsidP="005E3C25">
      <w:pPr>
        <w:autoSpaceDE w:val="0"/>
        <w:autoSpaceDN w:val="0"/>
        <w:adjustRightInd w:val="0"/>
        <w:spacing w:after="0" w:line="240" w:lineRule="auto"/>
        <w:jc w:val="both"/>
        <w:rPr>
          <w:rFonts w:ascii="Verdana" w:hAnsi="Verdana"/>
          <w:b/>
          <w:sz w:val="16"/>
          <w:szCs w:val="16"/>
          <w:lang w:val="es-CR"/>
        </w:rPr>
      </w:pPr>
      <w:r w:rsidRPr="00233A4F">
        <w:rPr>
          <w:rStyle w:val="FootnoteReference"/>
          <w:rFonts w:ascii="Verdana" w:hAnsi="Verdana"/>
          <w:sz w:val="16"/>
          <w:szCs w:val="16"/>
        </w:rPr>
        <w:footnoteRef/>
      </w:r>
      <w:r w:rsidRPr="00233A4F">
        <w:rPr>
          <w:rFonts w:ascii="Verdana" w:hAnsi="Verdana"/>
          <w:sz w:val="16"/>
          <w:szCs w:val="16"/>
          <w:lang w:val="es-CR"/>
        </w:rPr>
        <w:t xml:space="preserve"> </w:t>
      </w:r>
      <w:r w:rsidRPr="00233A4F">
        <w:rPr>
          <w:rFonts w:ascii="Verdana" w:hAnsi="Verdana"/>
          <w:sz w:val="16"/>
          <w:szCs w:val="16"/>
          <w:lang w:val="es-CR"/>
        </w:rPr>
        <w:tab/>
      </w:r>
      <w:r w:rsidRPr="0087667C">
        <w:rPr>
          <w:rFonts w:ascii="Verdana" w:hAnsi="Verdana"/>
          <w:sz w:val="16"/>
          <w:szCs w:val="16"/>
          <w:lang w:val="es-CR"/>
        </w:rPr>
        <w:t>Rendirá peritaje sobre: “</w:t>
      </w:r>
      <w:r w:rsidRPr="00731B5A">
        <w:rPr>
          <w:rFonts w:ascii="Verdana" w:hAnsi="Verdana"/>
          <w:sz w:val="16"/>
          <w:szCs w:val="16"/>
          <w:lang w:val="es-CR"/>
        </w:rPr>
        <w:t>el contexto</w:t>
      </w:r>
      <w:r w:rsidRPr="00840925">
        <w:rPr>
          <w:rFonts w:ascii="Verdana" w:hAnsi="Verdana"/>
          <w:sz w:val="16"/>
          <w:szCs w:val="16"/>
          <w:lang w:val="es-CR"/>
        </w:rPr>
        <w:t xml:space="preserve"> socioeconómico de la situación de insuficiencia económica de las presuntas víctimas, y los daños causados a su familia por las violaciones ejercidas en contra del señor Valenzuela Ávila”. </w:t>
      </w:r>
    </w:p>
    <w:p w:rsidR="00AD236C" w:rsidRPr="00840925" w:rsidRDefault="00AD236C" w:rsidP="005E3C25">
      <w:pPr>
        <w:autoSpaceDE w:val="0"/>
        <w:autoSpaceDN w:val="0"/>
        <w:adjustRightInd w:val="0"/>
        <w:spacing w:after="0" w:line="240" w:lineRule="auto"/>
        <w:jc w:val="both"/>
        <w:rPr>
          <w:rFonts w:ascii="Verdana" w:hAnsi="Verdana"/>
          <w:sz w:val="16"/>
          <w:szCs w:val="16"/>
          <w:lang w:val="es-CR"/>
        </w:rPr>
      </w:pPr>
    </w:p>
  </w:footnote>
  <w:footnote w:id="18">
    <w:p w:rsidR="00AD236C" w:rsidRPr="002446E4" w:rsidRDefault="00AD236C" w:rsidP="00196619">
      <w:pPr>
        <w:autoSpaceDE w:val="0"/>
        <w:autoSpaceDN w:val="0"/>
        <w:adjustRightInd w:val="0"/>
        <w:spacing w:after="0" w:line="240" w:lineRule="auto"/>
        <w:jc w:val="both"/>
        <w:rPr>
          <w:rFonts w:ascii="Verdana" w:hAnsi="Verdana"/>
          <w:b/>
          <w:sz w:val="16"/>
          <w:szCs w:val="16"/>
          <w:lang w:val="es-CR"/>
        </w:rPr>
      </w:pPr>
      <w:r w:rsidRPr="00233A4F">
        <w:rPr>
          <w:rStyle w:val="FootnoteReference"/>
          <w:rFonts w:ascii="Verdana" w:hAnsi="Verdana"/>
          <w:sz w:val="16"/>
          <w:szCs w:val="16"/>
        </w:rPr>
        <w:footnoteRef/>
      </w:r>
      <w:r w:rsidRPr="00233A4F">
        <w:rPr>
          <w:rFonts w:ascii="Verdana" w:hAnsi="Verdana"/>
          <w:sz w:val="16"/>
          <w:szCs w:val="16"/>
          <w:lang w:val="es-CR"/>
        </w:rPr>
        <w:t xml:space="preserve"> </w:t>
      </w:r>
      <w:r w:rsidRPr="00233A4F">
        <w:rPr>
          <w:rFonts w:ascii="Verdana" w:hAnsi="Verdana"/>
          <w:sz w:val="16"/>
          <w:szCs w:val="16"/>
          <w:lang w:val="es-CR"/>
        </w:rPr>
        <w:tab/>
      </w:r>
      <w:r w:rsidRPr="0087667C">
        <w:rPr>
          <w:rFonts w:ascii="Verdana" w:hAnsi="Verdana"/>
          <w:sz w:val="16"/>
          <w:szCs w:val="16"/>
          <w:lang w:val="es-CR"/>
        </w:rPr>
        <w:t xml:space="preserve">Rendirá peritaje sobre: los </w:t>
      </w:r>
      <w:r w:rsidRPr="00731B5A">
        <w:rPr>
          <w:rFonts w:ascii="Verdana" w:hAnsi="Verdana"/>
          <w:sz w:val="16"/>
          <w:szCs w:val="16"/>
          <w:lang w:val="es-CR"/>
        </w:rPr>
        <w:t>“</w:t>
      </w:r>
      <w:r w:rsidRPr="00840925">
        <w:rPr>
          <w:rFonts w:ascii="Verdana" w:hAnsi="Verdana"/>
          <w:sz w:val="16"/>
          <w:szCs w:val="16"/>
          <w:lang w:val="es-CR"/>
        </w:rPr>
        <w:t xml:space="preserve">efectos psicosociales experimentados por Tirso Román Valenzuela Avila, </w:t>
      </w:r>
      <w:proofErr w:type="spellStart"/>
      <w:r w:rsidRPr="00840925">
        <w:rPr>
          <w:rFonts w:ascii="Verdana" w:hAnsi="Verdana"/>
          <w:sz w:val="16"/>
          <w:szCs w:val="16"/>
          <w:lang w:val="es-CR"/>
        </w:rPr>
        <w:t>Ludim</w:t>
      </w:r>
      <w:proofErr w:type="spellEnd"/>
      <w:r w:rsidRPr="00840925">
        <w:rPr>
          <w:rFonts w:ascii="Verdana" w:hAnsi="Verdana"/>
          <w:sz w:val="16"/>
          <w:szCs w:val="16"/>
          <w:lang w:val="es-CR"/>
        </w:rPr>
        <w:t xml:space="preserve"> Azucena Ruiz López, Jorge Luis Valenzuela Ruíz, Luis Fernando Valenzuela Ruíz, Tirso Román Valenzuela Ruíz y Florinda López de López, a r</w:t>
      </w:r>
      <w:r w:rsidRPr="00233A4F">
        <w:rPr>
          <w:rFonts w:ascii="Verdana" w:hAnsi="Verdana"/>
          <w:sz w:val="16"/>
          <w:szCs w:val="16"/>
          <w:lang w:val="es-CR"/>
        </w:rPr>
        <w:t>aíz de las violaciones padecidas en este caso, en particular por la tortura de Tirso Román Valenzuela Ávila, las torturas sufridas, su permanencia prolongada en el corredor de la muerte, su posterior ejecución extrajudicial con la participación de agentes del Estado y la impunidad en que se mantienen todos los hechos hasta la fecha, las medidas que el Estado debe adoptar para reparar el daño causado a las víctimas, entre otros aspectos relevantes para el caso</w:t>
      </w:r>
      <w:r w:rsidR="00233A4F">
        <w:rPr>
          <w:rFonts w:ascii="Verdana" w:hAnsi="Verdana"/>
          <w:sz w:val="16"/>
          <w:szCs w:val="16"/>
          <w:lang w:val="es-CR"/>
        </w:rPr>
        <w:t>”.</w:t>
      </w:r>
    </w:p>
    <w:p w:rsidR="00AD236C" w:rsidRPr="00840925" w:rsidRDefault="00AD236C" w:rsidP="00196619">
      <w:pPr>
        <w:autoSpaceDE w:val="0"/>
        <w:autoSpaceDN w:val="0"/>
        <w:adjustRightInd w:val="0"/>
        <w:spacing w:after="0" w:line="240" w:lineRule="auto"/>
        <w:jc w:val="both"/>
        <w:rPr>
          <w:rFonts w:ascii="Verdana" w:hAnsi="Verdana"/>
          <w:sz w:val="16"/>
          <w:szCs w:val="16"/>
          <w:lang w:val="es-CR"/>
        </w:rPr>
      </w:pPr>
    </w:p>
  </w:footnote>
  <w:footnote w:id="19">
    <w:p w:rsidR="00AD236C" w:rsidRDefault="00AD236C" w:rsidP="00196619">
      <w:pPr>
        <w:autoSpaceDE w:val="0"/>
        <w:autoSpaceDN w:val="0"/>
        <w:adjustRightInd w:val="0"/>
        <w:spacing w:after="0" w:line="240" w:lineRule="auto"/>
        <w:jc w:val="both"/>
        <w:rPr>
          <w:rFonts w:ascii="Verdana" w:hAnsi="Verdana"/>
          <w:b/>
          <w:sz w:val="16"/>
          <w:szCs w:val="16"/>
          <w:lang w:val="es-CR"/>
        </w:rPr>
      </w:pPr>
      <w:r w:rsidRPr="00233A4F">
        <w:rPr>
          <w:rStyle w:val="FootnoteReference"/>
          <w:rFonts w:ascii="Verdana" w:hAnsi="Verdana"/>
          <w:sz w:val="16"/>
          <w:szCs w:val="16"/>
        </w:rPr>
        <w:footnoteRef/>
      </w:r>
      <w:r w:rsidRPr="00233A4F">
        <w:rPr>
          <w:rFonts w:ascii="Verdana" w:hAnsi="Verdana"/>
          <w:sz w:val="16"/>
          <w:szCs w:val="16"/>
          <w:lang w:val="es-CR"/>
        </w:rPr>
        <w:t xml:space="preserve"> </w:t>
      </w:r>
      <w:r w:rsidRPr="00233A4F">
        <w:rPr>
          <w:rFonts w:ascii="Verdana" w:hAnsi="Verdana"/>
          <w:sz w:val="16"/>
          <w:szCs w:val="16"/>
          <w:lang w:val="es-CR"/>
        </w:rPr>
        <w:tab/>
      </w:r>
      <w:r w:rsidRPr="0087667C">
        <w:rPr>
          <w:rFonts w:ascii="Verdana" w:hAnsi="Verdana"/>
          <w:sz w:val="16"/>
          <w:szCs w:val="16"/>
          <w:lang w:val="es-CR"/>
        </w:rPr>
        <w:t xml:space="preserve">Rendirá peritaje sobre: el análisis </w:t>
      </w:r>
      <w:r w:rsidRPr="00731B5A">
        <w:rPr>
          <w:rFonts w:ascii="Verdana" w:hAnsi="Verdana"/>
          <w:sz w:val="16"/>
          <w:szCs w:val="16"/>
          <w:lang w:val="es-CR"/>
        </w:rPr>
        <w:t>“</w:t>
      </w:r>
      <w:r w:rsidRPr="00840925">
        <w:rPr>
          <w:rFonts w:ascii="Verdana" w:hAnsi="Verdana"/>
          <w:sz w:val="16"/>
          <w:szCs w:val="16"/>
          <w:lang w:val="es-CR"/>
        </w:rPr>
        <w:t>[integro d]el expediente del proceso judicial que condenó a muerte a Tirso Román</w:t>
      </w:r>
      <w:r w:rsidR="00180E48">
        <w:rPr>
          <w:rFonts w:ascii="Verdana" w:hAnsi="Verdana"/>
          <w:sz w:val="16"/>
          <w:szCs w:val="16"/>
          <w:lang w:val="es-CR"/>
        </w:rPr>
        <w:t xml:space="preserve"> Valenzuela Ávila, e</w:t>
      </w:r>
      <w:r w:rsidRPr="00840925">
        <w:rPr>
          <w:rFonts w:ascii="Verdana" w:hAnsi="Verdana"/>
          <w:sz w:val="16"/>
          <w:szCs w:val="16"/>
          <w:lang w:val="es-CR"/>
        </w:rPr>
        <w:t xml:space="preserve"> i) si el proceso observó las garantías procesales mínimas de acuerdo con los estándares interamericanos, en particular sobre el</w:t>
      </w:r>
      <w:r w:rsidRPr="00233A4F">
        <w:rPr>
          <w:rFonts w:ascii="Verdana" w:hAnsi="Verdana"/>
          <w:sz w:val="16"/>
          <w:szCs w:val="16"/>
          <w:lang w:val="es-CR"/>
        </w:rPr>
        <w:t xml:space="preserve"> derecho a la defensa técnica y el control judicial de la misma; ii) el derecho a recurrir el fallo condenatorio, sus limitaciones en el marco de la legislación y práctica judicial guatemalteca y las violaciones que se cometieron en el presente caso; iii) las medidas que debería adoptar el Estado de Guatemala para garantizar el control judicial efectivo de la defensa técnica adecuada de acuerdo con los estándares interamericanos; iv) las medidas que debería adoptar el Estado de Guatemala para garantizar que las personas condenadas penalmente cuenten con un recurso ante una autoridad jerárquica competente que permita una revisión integral del fallo condenatorio, y garantice la no repetición de los hechos; v) otras medidas que el Estado debería adoptar para evitar la repetición de hechos como aquellos a los que se refiere este caso”. </w:t>
      </w:r>
    </w:p>
    <w:p w:rsidR="00233A4F" w:rsidRPr="00233A4F" w:rsidRDefault="00233A4F" w:rsidP="00196619">
      <w:pPr>
        <w:autoSpaceDE w:val="0"/>
        <w:autoSpaceDN w:val="0"/>
        <w:adjustRightInd w:val="0"/>
        <w:spacing w:after="0" w:line="240" w:lineRule="auto"/>
        <w:jc w:val="both"/>
        <w:rPr>
          <w:rFonts w:ascii="Verdana" w:hAnsi="Verdana"/>
          <w:sz w:val="16"/>
          <w:szCs w:val="16"/>
          <w:lang w:val="es-CR"/>
        </w:rPr>
      </w:pPr>
    </w:p>
  </w:footnote>
  <w:footnote w:id="20">
    <w:p w:rsidR="00AD236C" w:rsidRPr="00840925" w:rsidRDefault="00AD236C" w:rsidP="001777F4">
      <w:pPr>
        <w:autoSpaceDE w:val="0"/>
        <w:autoSpaceDN w:val="0"/>
        <w:adjustRightInd w:val="0"/>
        <w:spacing w:after="0" w:line="240" w:lineRule="auto"/>
        <w:jc w:val="both"/>
        <w:rPr>
          <w:rFonts w:ascii="Verdana" w:hAnsi="Verdana"/>
          <w:sz w:val="16"/>
          <w:szCs w:val="16"/>
          <w:lang w:val="es-CR"/>
        </w:rPr>
      </w:pPr>
      <w:r w:rsidRPr="00233A4F">
        <w:rPr>
          <w:rStyle w:val="FootnoteReference"/>
          <w:rFonts w:ascii="Verdana" w:hAnsi="Verdana"/>
          <w:sz w:val="16"/>
          <w:szCs w:val="16"/>
        </w:rPr>
        <w:footnoteRef/>
      </w:r>
      <w:r w:rsidRPr="00233A4F">
        <w:rPr>
          <w:rFonts w:ascii="Verdana" w:hAnsi="Verdana"/>
          <w:sz w:val="16"/>
          <w:szCs w:val="16"/>
          <w:lang w:val="es-CR"/>
        </w:rPr>
        <w:t xml:space="preserve"> </w:t>
      </w:r>
      <w:r w:rsidRPr="00233A4F">
        <w:rPr>
          <w:rFonts w:ascii="Verdana" w:hAnsi="Verdana"/>
          <w:sz w:val="16"/>
          <w:szCs w:val="16"/>
          <w:lang w:val="es-CR"/>
        </w:rPr>
        <w:tab/>
      </w:r>
      <w:r w:rsidRPr="0087667C">
        <w:rPr>
          <w:rFonts w:ascii="Verdana" w:hAnsi="Verdana"/>
          <w:sz w:val="16"/>
          <w:szCs w:val="16"/>
          <w:lang w:val="es-CR"/>
        </w:rPr>
        <w:t>Rendirá peritaje sobre: “</w:t>
      </w:r>
      <w:r w:rsidRPr="00731B5A">
        <w:rPr>
          <w:rFonts w:ascii="Verdana" w:hAnsi="Verdana"/>
          <w:sz w:val="16"/>
          <w:szCs w:val="16"/>
          <w:lang w:val="es-CR"/>
        </w:rPr>
        <w:t>temas de Derechos Humanos, violencia política, juventud y pandillas, d</w:t>
      </w:r>
      <w:r w:rsidRPr="00840925">
        <w:rPr>
          <w:rFonts w:ascii="Verdana" w:hAnsi="Verdana"/>
          <w:sz w:val="16"/>
          <w:szCs w:val="16"/>
          <w:lang w:val="es-CR"/>
        </w:rPr>
        <w:t>esigualdad urbana y justicia transicional en Centroamérica, quien ofrecer</w:t>
      </w:r>
      <w:r w:rsidRPr="00233A4F">
        <w:rPr>
          <w:rFonts w:ascii="Verdana" w:hAnsi="Verdana"/>
          <w:sz w:val="16"/>
          <w:szCs w:val="16"/>
          <w:lang w:val="es-CR"/>
        </w:rPr>
        <w:t>á peritaje sobre: i) Programa de limpieza social a personas estigmatizadas. ii) Estructuras paralelas dentro de la Policía Nacional Civil, desde su creación hasta la actualidad. También se referirá a las medidas que el Estado debería adoptar para evitar la repetición de hechos como los ocurridos en este caso”.</w:t>
      </w:r>
    </w:p>
    <w:p w:rsidR="00AD236C" w:rsidRPr="00233A4F" w:rsidRDefault="00AD236C" w:rsidP="00196619">
      <w:pPr>
        <w:autoSpaceDE w:val="0"/>
        <w:autoSpaceDN w:val="0"/>
        <w:adjustRightInd w:val="0"/>
        <w:spacing w:after="0" w:line="240" w:lineRule="auto"/>
        <w:jc w:val="both"/>
        <w:rPr>
          <w:rFonts w:ascii="Verdana" w:hAnsi="Verdana"/>
          <w:sz w:val="16"/>
          <w:szCs w:val="16"/>
          <w:lang w:val="es-CR"/>
        </w:rPr>
      </w:pPr>
    </w:p>
  </w:footnote>
  <w:footnote w:id="21">
    <w:p w:rsidR="00AD236C" w:rsidRPr="003F7F1F" w:rsidRDefault="00AD236C" w:rsidP="003F7F1F">
      <w:pPr>
        <w:autoSpaceDE w:val="0"/>
        <w:autoSpaceDN w:val="0"/>
        <w:adjustRightInd w:val="0"/>
        <w:spacing w:after="0" w:line="240" w:lineRule="auto"/>
        <w:jc w:val="both"/>
        <w:rPr>
          <w:rFonts w:ascii="Verdana" w:hAnsi="Verdana"/>
          <w:sz w:val="16"/>
          <w:lang w:val="es-CR"/>
        </w:rPr>
      </w:pPr>
      <w:r w:rsidRPr="00233A4F">
        <w:rPr>
          <w:rStyle w:val="FootnoteReference"/>
          <w:rFonts w:ascii="Verdana" w:hAnsi="Verdana"/>
          <w:sz w:val="16"/>
          <w:szCs w:val="16"/>
        </w:rPr>
        <w:footnoteRef/>
      </w:r>
      <w:r w:rsidRPr="00233A4F">
        <w:rPr>
          <w:rFonts w:ascii="Verdana" w:hAnsi="Verdana"/>
          <w:sz w:val="16"/>
          <w:szCs w:val="16"/>
          <w:lang w:val="es-CR"/>
        </w:rPr>
        <w:t xml:space="preserve"> </w:t>
      </w:r>
      <w:r w:rsidRPr="00233A4F">
        <w:rPr>
          <w:rFonts w:ascii="Verdana" w:hAnsi="Verdana"/>
          <w:sz w:val="16"/>
          <w:szCs w:val="16"/>
          <w:lang w:val="es-CR"/>
        </w:rPr>
        <w:tab/>
      </w:r>
      <w:r w:rsidRPr="0087667C">
        <w:rPr>
          <w:rFonts w:ascii="Verdana" w:hAnsi="Verdana"/>
          <w:sz w:val="16"/>
          <w:szCs w:val="16"/>
          <w:lang w:val="es-CR"/>
        </w:rPr>
        <w:t>Rendirá peritaje sobre: “</w:t>
      </w:r>
      <w:r w:rsidRPr="00731B5A">
        <w:rPr>
          <w:rFonts w:ascii="Verdana" w:hAnsi="Verdana"/>
          <w:sz w:val="16"/>
          <w:szCs w:val="16"/>
          <w:lang w:val="es-CR"/>
        </w:rPr>
        <w:t>i) las violaciones a los derechos humanos que se cometen dentro del</w:t>
      </w:r>
      <w:r w:rsidRPr="00840925">
        <w:rPr>
          <w:rFonts w:ascii="Verdana" w:hAnsi="Verdana"/>
          <w:sz w:val="16"/>
          <w:szCs w:val="16"/>
          <w:lang w:val="es-CR"/>
        </w:rPr>
        <w:t xml:space="preserve"> Sistema Penitenciario, así como las necesidades para logro de un marco legal y diseño institucional que respete los derechos humanos. ii) Falta de mecanismos de documentación del actuar, de controles y de rendición de cuentas en la institución, que dieron</w:t>
      </w:r>
      <w:r w:rsidRPr="00233A4F">
        <w:rPr>
          <w:rFonts w:ascii="Verdana" w:hAnsi="Verdana"/>
          <w:sz w:val="16"/>
          <w:szCs w:val="16"/>
          <w:lang w:val="es-CR"/>
        </w:rPr>
        <w:t xml:space="preserve"> lugar en las violaciones contra el señor Valenzuela. iii) El uso de excesivo y arbitrario de los guardias del sistema penitenciario y la falta de investigación adecuada y sanción de las mismas. iv) Elementos necesarios para un diseño adecuada de la institución penitenciaria y su importancia”.</w:t>
      </w:r>
    </w:p>
  </w:footnote>
  <w:footnote w:id="22">
    <w:p w:rsidR="00F73589" w:rsidRDefault="00F73589" w:rsidP="00F73589">
      <w:pPr>
        <w:pStyle w:val="FootnoteText"/>
        <w:rPr>
          <w:rFonts w:ascii="Verdana" w:hAnsi="Verdana"/>
          <w:i/>
          <w:sz w:val="16"/>
          <w:szCs w:val="22"/>
          <w:lang w:val="es-CR"/>
        </w:rPr>
      </w:pPr>
      <w:r w:rsidRPr="00E7603E">
        <w:rPr>
          <w:rStyle w:val="FootnoteReference"/>
        </w:rPr>
        <w:footnoteRef/>
      </w:r>
      <w:r w:rsidRPr="00E7603E">
        <w:rPr>
          <w:lang w:val="es-CR"/>
        </w:rPr>
        <w:t xml:space="preserve"> </w:t>
      </w:r>
      <w:r w:rsidRPr="00E7603E">
        <w:rPr>
          <w:lang w:val="es-CR"/>
        </w:rPr>
        <w:tab/>
      </w:r>
      <w:r w:rsidRPr="00E7603E">
        <w:rPr>
          <w:rFonts w:ascii="Verdana" w:hAnsi="Verdana"/>
          <w:i/>
          <w:sz w:val="16"/>
          <w:szCs w:val="22"/>
          <w:lang w:val="es-CR"/>
        </w:rPr>
        <w:t xml:space="preserve">Cfr. Caso </w:t>
      </w:r>
      <w:proofErr w:type="spellStart"/>
      <w:r w:rsidRPr="00E7603E">
        <w:rPr>
          <w:rFonts w:ascii="Verdana" w:hAnsi="Verdana"/>
          <w:i/>
          <w:sz w:val="16"/>
          <w:szCs w:val="22"/>
          <w:lang w:val="es-CR"/>
        </w:rPr>
        <w:t>Arrom</w:t>
      </w:r>
      <w:proofErr w:type="spellEnd"/>
      <w:r w:rsidRPr="00E7603E">
        <w:rPr>
          <w:rFonts w:ascii="Verdana" w:hAnsi="Verdana"/>
          <w:i/>
          <w:sz w:val="16"/>
          <w:szCs w:val="22"/>
          <w:lang w:val="es-CR"/>
        </w:rPr>
        <w:t xml:space="preserve"> </w:t>
      </w:r>
      <w:proofErr w:type="spellStart"/>
      <w:r w:rsidRPr="00E7603E">
        <w:rPr>
          <w:rFonts w:ascii="Verdana" w:hAnsi="Verdana"/>
          <w:i/>
          <w:sz w:val="16"/>
          <w:szCs w:val="22"/>
          <w:lang w:val="es-CR"/>
        </w:rPr>
        <w:t>Suhurt</w:t>
      </w:r>
      <w:proofErr w:type="spellEnd"/>
      <w:r w:rsidRPr="00E7603E">
        <w:rPr>
          <w:rFonts w:ascii="Verdana" w:hAnsi="Verdana"/>
          <w:i/>
          <w:sz w:val="16"/>
          <w:szCs w:val="22"/>
          <w:lang w:val="es-CR"/>
        </w:rPr>
        <w:t xml:space="preserve"> y otros vs. Paraguay.</w:t>
      </w:r>
      <w:r w:rsidR="00D25EDF" w:rsidRPr="00D25EDF">
        <w:rPr>
          <w:rFonts w:ascii="Verdana" w:hAnsi="Verdana"/>
          <w:sz w:val="16"/>
          <w:szCs w:val="22"/>
          <w:lang w:val="es-CR"/>
        </w:rPr>
        <w:t xml:space="preserve"> </w:t>
      </w:r>
      <w:r w:rsidR="00D25EDF" w:rsidRPr="00E7603E">
        <w:rPr>
          <w:rFonts w:ascii="Verdana" w:hAnsi="Verdana"/>
          <w:sz w:val="16"/>
          <w:szCs w:val="22"/>
          <w:lang w:val="es-CR"/>
        </w:rPr>
        <w:t>Convocatoria a audiencia</w:t>
      </w:r>
      <w:r w:rsidR="00D25EDF">
        <w:rPr>
          <w:rFonts w:ascii="Verdana" w:hAnsi="Verdana"/>
          <w:sz w:val="16"/>
          <w:szCs w:val="22"/>
          <w:lang w:val="es-CR"/>
        </w:rPr>
        <w:t>.</w:t>
      </w:r>
      <w:r w:rsidRPr="00E7603E">
        <w:rPr>
          <w:rFonts w:ascii="Verdana" w:hAnsi="Verdana"/>
          <w:i/>
          <w:sz w:val="16"/>
          <w:szCs w:val="22"/>
          <w:lang w:val="es-CR"/>
        </w:rPr>
        <w:t xml:space="preserve"> </w:t>
      </w:r>
      <w:r w:rsidRPr="00E7603E">
        <w:rPr>
          <w:rFonts w:ascii="Verdana" w:hAnsi="Verdana"/>
          <w:sz w:val="16"/>
          <w:szCs w:val="22"/>
          <w:lang w:val="es-CR"/>
        </w:rPr>
        <w:t>Resolución del Presidente de la Corte de 17 de diciembre de 2018, Considerando 16</w:t>
      </w:r>
      <w:r w:rsidR="00233A4F" w:rsidRPr="00E7603E">
        <w:rPr>
          <w:rFonts w:ascii="Verdana" w:hAnsi="Verdana"/>
          <w:sz w:val="16"/>
          <w:szCs w:val="22"/>
          <w:lang w:val="es-CR"/>
        </w:rPr>
        <w:t>.</w:t>
      </w:r>
      <w:r>
        <w:rPr>
          <w:rFonts w:ascii="Verdana" w:hAnsi="Verdana"/>
          <w:i/>
          <w:sz w:val="16"/>
          <w:szCs w:val="22"/>
          <w:lang w:val="es-CR"/>
        </w:rPr>
        <w:t xml:space="preserve"> </w:t>
      </w:r>
    </w:p>
    <w:p w:rsidR="00F73589" w:rsidRPr="006C3965" w:rsidRDefault="00F73589" w:rsidP="00F73589">
      <w:pPr>
        <w:pStyle w:val="FootnoteText"/>
        <w:rPr>
          <w:lang w:val="es-CR"/>
        </w:rPr>
      </w:pPr>
    </w:p>
  </w:footnote>
  <w:footnote w:id="23">
    <w:p w:rsidR="00F73589" w:rsidRDefault="00F73589" w:rsidP="00F73589">
      <w:pPr>
        <w:pStyle w:val="FootnoteText"/>
        <w:jc w:val="both"/>
        <w:rPr>
          <w:rFonts w:ascii="Verdana" w:hAnsi="Verdana"/>
          <w:b/>
          <w:sz w:val="16"/>
          <w:szCs w:val="16"/>
          <w:lang w:val="es-CR"/>
        </w:rPr>
      </w:pPr>
      <w:r>
        <w:rPr>
          <w:rStyle w:val="FootnoteReference"/>
        </w:rPr>
        <w:footnoteRef/>
      </w:r>
      <w:r w:rsidRPr="00CA281E">
        <w:rPr>
          <w:lang w:val="es-CR"/>
        </w:rPr>
        <w:t xml:space="preserve"> </w:t>
      </w:r>
      <w:r>
        <w:rPr>
          <w:lang w:val="es-CR"/>
        </w:rPr>
        <w:tab/>
      </w:r>
      <w:r>
        <w:rPr>
          <w:rFonts w:ascii="Verdana" w:hAnsi="Verdana"/>
          <w:sz w:val="16"/>
          <w:lang w:val="es-CR"/>
        </w:rPr>
        <w:t>Declarar</w:t>
      </w:r>
      <w:r w:rsidR="00233A4F">
        <w:rPr>
          <w:rFonts w:ascii="Verdana" w:hAnsi="Verdana"/>
          <w:sz w:val="16"/>
          <w:lang w:val="es-CR"/>
        </w:rPr>
        <w:t>á</w:t>
      </w:r>
      <w:r>
        <w:rPr>
          <w:rFonts w:ascii="Verdana" w:hAnsi="Verdana"/>
          <w:sz w:val="16"/>
          <w:lang w:val="es-CR"/>
        </w:rPr>
        <w:t xml:space="preserve"> sobre “las diligencias de investigación realizadas, sus objetivos y los resultados alcanzados”. </w:t>
      </w:r>
    </w:p>
    <w:p w:rsidR="00F73589" w:rsidRPr="00CA281E" w:rsidRDefault="00F73589" w:rsidP="00F73589">
      <w:pPr>
        <w:pStyle w:val="FootnoteText"/>
        <w:jc w:val="both"/>
        <w:rPr>
          <w:rFonts w:ascii="Verdana" w:hAnsi="Verdana"/>
          <w:sz w:val="16"/>
          <w:lang w:val="es-CR"/>
        </w:rPr>
      </w:pPr>
    </w:p>
  </w:footnote>
  <w:footnote w:id="24">
    <w:p w:rsidR="00F73589" w:rsidRDefault="00F73589" w:rsidP="00F73589">
      <w:pPr>
        <w:pStyle w:val="FootnoteText"/>
        <w:jc w:val="both"/>
        <w:rPr>
          <w:rFonts w:ascii="Verdana" w:hAnsi="Verdana"/>
          <w:b/>
          <w:sz w:val="16"/>
          <w:szCs w:val="16"/>
          <w:lang w:val="es-CR"/>
        </w:rPr>
      </w:pPr>
      <w:r>
        <w:rPr>
          <w:rStyle w:val="FootnoteReference"/>
        </w:rPr>
        <w:footnoteRef/>
      </w:r>
      <w:r w:rsidRPr="00CA281E">
        <w:rPr>
          <w:lang w:val="es-CR"/>
        </w:rPr>
        <w:t xml:space="preserve"> </w:t>
      </w:r>
      <w:r>
        <w:rPr>
          <w:lang w:val="es-CR"/>
        </w:rPr>
        <w:tab/>
      </w:r>
      <w:r>
        <w:rPr>
          <w:rFonts w:ascii="Verdana" w:hAnsi="Verdana"/>
          <w:sz w:val="16"/>
          <w:lang w:val="es-CR"/>
        </w:rPr>
        <w:t>Declarar</w:t>
      </w:r>
      <w:r w:rsidR="00233A4F">
        <w:rPr>
          <w:rFonts w:ascii="Verdana" w:hAnsi="Verdana"/>
          <w:sz w:val="16"/>
          <w:lang w:val="es-CR"/>
        </w:rPr>
        <w:t>á</w:t>
      </w:r>
      <w:r>
        <w:rPr>
          <w:rFonts w:ascii="Verdana" w:hAnsi="Verdana"/>
          <w:sz w:val="16"/>
          <w:lang w:val="es-CR"/>
        </w:rPr>
        <w:t xml:space="preserve"> sobre “los cursos y contenidos en materia de derechos humanos que se imparten a los agentes para prevenir actos de tortura, ejecuciones extrajudiciales y uso excesivo de la fuerza”. </w:t>
      </w:r>
    </w:p>
    <w:p w:rsidR="00F73589" w:rsidRPr="00CA281E" w:rsidRDefault="00F73589" w:rsidP="00F73589">
      <w:pPr>
        <w:pStyle w:val="FootnoteText"/>
        <w:jc w:val="both"/>
        <w:rPr>
          <w:rFonts w:ascii="Verdana" w:hAnsi="Verdana"/>
          <w:sz w:val="16"/>
          <w:lang w:val="es-CR"/>
        </w:rPr>
      </w:pPr>
    </w:p>
  </w:footnote>
  <w:footnote w:id="25">
    <w:p w:rsidR="00F73589" w:rsidRDefault="00F73589" w:rsidP="00F73589">
      <w:pPr>
        <w:pStyle w:val="FootnoteText"/>
        <w:jc w:val="both"/>
        <w:rPr>
          <w:rFonts w:ascii="Verdana" w:hAnsi="Verdana"/>
          <w:b/>
          <w:sz w:val="16"/>
          <w:szCs w:val="16"/>
          <w:lang w:val="es-CR"/>
        </w:rPr>
      </w:pPr>
      <w:r>
        <w:rPr>
          <w:rStyle w:val="FootnoteReference"/>
        </w:rPr>
        <w:footnoteRef/>
      </w:r>
      <w:r w:rsidRPr="00CA281E">
        <w:rPr>
          <w:lang w:val="es-CR"/>
        </w:rPr>
        <w:t xml:space="preserve"> </w:t>
      </w:r>
      <w:r>
        <w:rPr>
          <w:lang w:val="es-CR"/>
        </w:rPr>
        <w:tab/>
      </w:r>
      <w:r>
        <w:rPr>
          <w:rFonts w:ascii="Verdana" w:hAnsi="Verdana"/>
          <w:sz w:val="16"/>
          <w:lang w:val="es-CR"/>
        </w:rPr>
        <w:t>D</w:t>
      </w:r>
      <w:r w:rsidRPr="00CA281E">
        <w:rPr>
          <w:rFonts w:ascii="Verdana" w:hAnsi="Verdana"/>
          <w:sz w:val="16"/>
          <w:lang w:val="es-CR"/>
        </w:rPr>
        <w:t>eclarar</w:t>
      </w:r>
      <w:r w:rsidR="00233A4F">
        <w:rPr>
          <w:rFonts w:ascii="Verdana" w:hAnsi="Verdana"/>
          <w:sz w:val="16"/>
          <w:lang w:val="es-CR"/>
        </w:rPr>
        <w:t>á</w:t>
      </w:r>
      <w:r w:rsidRPr="00CA281E">
        <w:rPr>
          <w:rFonts w:ascii="Verdana" w:hAnsi="Verdana"/>
          <w:sz w:val="16"/>
          <w:lang w:val="es-CR"/>
        </w:rPr>
        <w:t xml:space="preserve"> sobre “las diligencias </w:t>
      </w:r>
      <w:r>
        <w:rPr>
          <w:rFonts w:ascii="Verdana" w:hAnsi="Verdana"/>
          <w:sz w:val="16"/>
          <w:lang w:val="es-CR"/>
        </w:rPr>
        <w:t xml:space="preserve">de investigación que se realizan frente a  denuncias de tortura, ejecuciones extrajudiciales y uso excesivo de fuerza y la adopción de estándares internacionales dentro de estos casos”. </w:t>
      </w:r>
    </w:p>
    <w:p w:rsidR="00F73589" w:rsidRPr="00CA281E" w:rsidRDefault="00F73589" w:rsidP="00F73589">
      <w:pPr>
        <w:pStyle w:val="FootnoteText"/>
        <w:jc w:val="both"/>
        <w:rPr>
          <w:rFonts w:ascii="Verdana" w:hAnsi="Verdana"/>
          <w:sz w:val="16"/>
          <w:lang w:val="es-CR"/>
        </w:rPr>
      </w:pPr>
    </w:p>
  </w:footnote>
  <w:footnote w:id="26">
    <w:p w:rsidR="00F73589" w:rsidRDefault="00F73589" w:rsidP="00F73589">
      <w:pPr>
        <w:pStyle w:val="FootnoteText"/>
        <w:jc w:val="both"/>
        <w:rPr>
          <w:rFonts w:ascii="Verdana" w:hAnsi="Verdana"/>
          <w:b/>
          <w:sz w:val="16"/>
          <w:szCs w:val="16"/>
          <w:lang w:val="es-CR"/>
        </w:rPr>
      </w:pPr>
      <w:r>
        <w:rPr>
          <w:rStyle w:val="FootnoteReference"/>
        </w:rPr>
        <w:footnoteRef/>
      </w:r>
      <w:r w:rsidRPr="003B0AE8">
        <w:rPr>
          <w:lang w:val="es-CR"/>
        </w:rPr>
        <w:t xml:space="preserve"> </w:t>
      </w:r>
      <w:r>
        <w:rPr>
          <w:lang w:val="es-CR"/>
        </w:rPr>
        <w:tab/>
      </w:r>
      <w:r>
        <w:rPr>
          <w:rFonts w:ascii="Verdana" w:hAnsi="Verdana"/>
          <w:sz w:val="16"/>
          <w:lang w:val="es-CR"/>
        </w:rPr>
        <w:t>D</w:t>
      </w:r>
      <w:r w:rsidRPr="003B0AE8">
        <w:rPr>
          <w:rFonts w:ascii="Verdana" w:hAnsi="Verdana"/>
          <w:sz w:val="16"/>
          <w:lang w:val="es-CR"/>
        </w:rPr>
        <w:t>eclarar</w:t>
      </w:r>
      <w:r w:rsidR="00CE37BB">
        <w:rPr>
          <w:rFonts w:ascii="Verdana" w:hAnsi="Verdana"/>
          <w:sz w:val="16"/>
          <w:lang w:val="es-CR"/>
        </w:rPr>
        <w:t xml:space="preserve">á </w:t>
      </w:r>
      <w:r w:rsidRPr="003B0AE8">
        <w:rPr>
          <w:rFonts w:ascii="Verdana" w:hAnsi="Verdana"/>
          <w:sz w:val="16"/>
          <w:lang w:val="es-CR"/>
        </w:rPr>
        <w:t>sobre “la implementaci</w:t>
      </w:r>
      <w:r>
        <w:rPr>
          <w:rFonts w:ascii="Verdana" w:hAnsi="Verdana"/>
          <w:sz w:val="16"/>
          <w:lang w:val="es-CR"/>
        </w:rPr>
        <w:t xml:space="preserve">ón de estándares internacionales en las pericias que se realizan por denuncias de tortura, ejecuciones extrajudiciales y uso excesivo de la fuerza”. </w:t>
      </w:r>
    </w:p>
    <w:p w:rsidR="00F73589" w:rsidRPr="003B0AE8" w:rsidRDefault="00F73589" w:rsidP="00F73589">
      <w:pPr>
        <w:pStyle w:val="FootnoteText"/>
        <w:jc w:val="both"/>
        <w:rPr>
          <w:rFonts w:ascii="Verdana" w:hAnsi="Verdana"/>
          <w:sz w:val="16"/>
          <w:lang w:val="es-CR"/>
        </w:rPr>
      </w:pPr>
    </w:p>
  </w:footnote>
  <w:footnote w:id="27">
    <w:p w:rsidR="00F73589" w:rsidRPr="003B0AE8" w:rsidRDefault="00F73589" w:rsidP="00F73589">
      <w:pPr>
        <w:pStyle w:val="FootnoteText"/>
        <w:jc w:val="both"/>
        <w:rPr>
          <w:rFonts w:ascii="Verdana" w:hAnsi="Verdana"/>
          <w:sz w:val="16"/>
          <w:lang w:val="es-CR"/>
        </w:rPr>
      </w:pPr>
      <w:r>
        <w:rPr>
          <w:rStyle w:val="FootnoteReference"/>
        </w:rPr>
        <w:footnoteRef/>
      </w:r>
      <w:r w:rsidRPr="003B0AE8">
        <w:rPr>
          <w:lang w:val="es-CR"/>
        </w:rPr>
        <w:t xml:space="preserve"> </w:t>
      </w:r>
      <w:r>
        <w:rPr>
          <w:lang w:val="es-CR"/>
        </w:rPr>
        <w:tab/>
      </w:r>
      <w:r>
        <w:rPr>
          <w:rFonts w:ascii="Verdana" w:hAnsi="Verdana"/>
          <w:sz w:val="16"/>
          <w:lang w:val="es-CR"/>
        </w:rPr>
        <w:t>D</w:t>
      </w:r>
      <w:r w:rsidRPr="003B0AE8">
        <w:rPr>
          <w:rFonts w:ascii="Verdana" w:hAnsi="Verdana"/>
          <w:sz w:val="16"/>
          <w:lang w:val="es-CR"/>
        </w:rPr>
        <w:t>eclarar</w:t>
      </w:r>
      <w:r w:rsidR="00CE37BB">
        <w:rPr>
          <w:rFonts w:ascii="Verdana" w:hAnsi="Verdana"/>
          <w:sz w:val="16"/>
          <w:lang w:val="es-CR"/>
        </w:rPr>
        <w:t>á</w:t>
      </w:r>
      <w:r w:rsidRPr="003B0AE8">
        <w:rPr>
          <w:rFonts w:ascii="Verdana" w:hAnsi="Verdana"/>
          <w:sz w:val="16"/>
          <w:lang w:val="es-CR"/>
        </w:rPr>
        <w:t xml:space="preserve"> sobre “los servicios </w:t>
      </w:r>
      <w:r>
        <w:rPr>
          <w:rFonts w:ascii="Verdana" w:hAnsi="Verdana"/>
          <w:sz w:val="16"/>
          <w:lang w:val="es-CR"/>
        </w:rPr>
        <w:t xml:space="preserve">que se prestan a los privados de libertad para garantizar su salud física e intelectual dentro de los centros de privación de libertad”.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6C" w:rsidRPr="001153FC" w:rsidRDefault="00AD236C" w:rsidP="001153FC">
    <w:pPr>
      <w:pStyle w:val="Header"/>
      <w:tabs>
        <w:tab w:val="left" w:pos="5310"/>
      </w:tabs>
      <w:rPr>
        <w:rFonts w:ascii="Verdana" w:eastAsiaTheme="majorEastAsia" w:hAnsi="Verdana" w:cstheme="majorBidi"/>
        <w:sz w:val="20"/>
        <w:szCs w:val="20"/>
      </w:rPr>
    </w:pPr>
    <w:r>
      <w:rPr>
        <w:rFonts w:asciiTheme="majorHAnsi" w:eastAsiaTheme="majorEastAsia" w:hAnsiTheme="majorHAnsi" w:cstheme="majorBidi"/>
        <w:sz w:val="28"/>
        <w:szCs w:val="28"/>
      </w:rPr>
      <w:tab/>
    </w:r>
    <w:sdt>
      <w:sdtPr>
        <w:rPr>
          <w:rFonts w:asciiTheme="majorHAnsi" w:eastAsiaTheme="majorEastAsia" w:hAnsiTheme="majorHAnsi" w:cstheme="majorBidi"/>
          <w:sz w:val="28"/>
          <w:szCs w:val="28"/>
        </w:rPr>
        <w:id w:val="1875885426"/>
        <w:docPartObj>
          <w:docPartGallery w:val="Page Numbers (Top of Page)"/>
          <w:docPartUnique/>
        </w:docPartObj>
      </w:sdtPr>
      <w:sdtEndPr>
        <w:rPr>
          <w:rFonts w:ascii="Verdana" w:hAnsi="Verdana"/>
          <w:sz w:val="20"/>
          <w:szCs w:val="20"/>
        </w:rPr>
      </w:sdtEndPr>
      <w:sdtContent>
        <w:r w:rsidRPr="001153FC">
          <w:rPr>
            <w:rFonts w:ascii="Verdana" w:eastAsiaTheme="majorEastAsia" w:hAnsi="Verdana" w:cstheme="majorBidi"/>
            <w:sz w:val="20"/>
            <w:szCs w:val="20"/>
          </w:rPr>
          <w:t xml:space="preserve">- </w:t>
        </w:r>
        <w:r w:rsidRPr="001153FC">
          <w:rPr>
            <w:rFonts w:ascii="Verdana" w:eastAsiaTheme="minorEastAsia" w:hAnsi="Verdana"/>
            <w:sz w:val="20"/>
            <w:szCs w:val="20"/>
          </w:rPr>
          <w:fldChar w:fldCharType="begin"/>
        </w:r>
        <w:r w:rsidRPr="001153FC">
          <w:rPr>
            <w:rFonts w:ascii="Verdana" w:hAnsi="Verdana"/>
            <w:sz w:val="20"/>
            <w:szCs w:val="20"/>
          </w:rPr>
          <w:instrText xml:space="preserve"> PAGE    \* MERGEFORMAT </w:instrText>
        </w:r>
        <w:r w:rsidRPr="001153FC">
          <w:rPr>
            <w:rFonts w:ascii="Verdana" w:eastAsiaTheme="minorEastAsia" w:hAnsi="Verdana"/>
            <w:sz w:val="20"/>
            <w:szCs w:val="20"/>
          </w:rPr>
          <w:fldChar w:fldCharType="separate"/>
        </w:r>
        <w:r w:rsidR="0079249C" w:rsidRPr="0079249C">
          <w:rPr>
            <w:rFonts w:ascii="Verdana" w:eastAsiaTheme="majorEastAsia" w:hAnsi="Verdana" w:cstheme="majorBidi"/>
            <w:noProof/>
            <w:sz w:val="20"/>
            <w:szCs w:val="20"/>
          </w:rPr>
          <w:t>15</w:t>
        </w:r>
        <w:r w:rsidRPr="001153FC">
          <w:rPr>
            <w:rFonts w:ascii="Verdana" w:eastAsiaTheme="majorEastAsia" w:hAnsi="Verdana" w:cstheme="majorBidi"/>
            <w:noProof/>
            <w:sz w:val="20"/>
            <w:szCs w:val="20"/>
          </w:rPr>
          <w:fldChar w:fldCharType="end"/>
        </w:r>
        <w:r w:rsidRPr="001153FC">
          <w:rPr>
            <w:rFonts w:ascii="Verdana" w:eastAsiaTheme="majorEastAsia" w:hAnsi="Verdana" w:cstheme="majorBidi"/>
            <w:sz w:val="20"/>
            <w:szCs w:val="20"/>
          </w:rPr>
          <w:t xml:space="preserve"> -</w:t>
        </w:r>
      </w:sdtContent>
    </w:sdt>
  </w:p>
  <w:p w:rsidR="00AD236C" w:rsidRDefault="00AD2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B5A"/>
    <w:multiLevelType w:val="multilevel"/>
    <w:tmpl w:val="EED4D428"/>
    <w:lvl w:ilvl="0">
      <w:start w:val="2"/>
      <w:numFmt w:val="decimal"/>
      <w:lvlText w:val="%1."/>
      <w:lvlJc w:val="left"/>
      <w:pPr>
        <w:ind w:left="45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6EB1601"/>
    <w:multiLevelType w:val="hybridMultilevel"/>
    <w:tmpl w:val="9B2A393E"/>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8BF2902"/>
    <w:multiLevelType w:val="hybridMultilevel"/>
    <w:tmpl w:val="6E5EA272"/>
    <w:lvl w:ilvl="0" w:tplc="7722B736">
      <w:start w:val="1"/>
      <w:numFmt w:val="decimal"/>
      <w:lvlText w:val="%1)"/>
      <w:lvlJc w:val="left"/>
      <w:pPr>
        <w:ind w:left="1069" w:hanging="360"/>
      </w:pPr>
      <w:rPr>
        <w:rFonts w:ascii="Verdana" w:eastAsiaTheme="minorHAnsi" w:hAnsi="Verdana" w:cstheme="minorBidi"/>
        <w:i w:val="0"/>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
    <w:nsid w:val="0E9E6B18"/>
    <w:multiLevelType w:val="multilevel"/>
    <w:tmpl w:val="A268ED9E"/>
    <w:lvl w:ilvl="0">
      <w:start w:val="1"/>
      <w:numFmt w:val="decimal"/>
      <w:lvlText w:val="%1."/>
      <w:lvlJc w:val="left"/>
      <w:pPr>
        <w:ind w:left="1069" w:hanging="360"/>
      </w:pPr>
      <w:rPr>
        <w:rFonts w:ascii="Verdana" w:hAnsi="Verdana" w:hint="default"/>
        <w:b w:val="0"/>
        <w:i w:val="0"/>
        <w:sz w:val="20"/>
        <w:szCs w:val="20"/>
      </w:rPr>
    </w:lvl>
    <w:lvl w:ilvl="1">
      <w:start w:val="1"/>
      <w:numFmt w:val="lowerLetter"/>
      <w:lvlText w:val="%2."/>
      <w:lvlJc w:val="left"/>
      <w:pPr>
        <w:ind w:left="1789" w:hanging="360"/>
      </w:pPr>
      <w:rPr>
        <w:rFonts w:hint="default"/>
        <w:b w:val="0"/>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4">
    <w:nsid w:val="156322B9"/>
    <w:multiLevelType w:val="hybridMultilevel"/>
    <w:tmpl w:val="5EBE1E4C"/>
    <w:lvl w:ilvl="0" w:tplc="36EED38C">
      <w:start w:val="1"/>
      <w:numFmt w:val="decimal"/>
      <w:lvlText w:val="%1)"/>
      <w:lvlJc w:val="left"/>
      <w:pPr>
        <w:ind w:left="2880" w:hanging="360"/>
      </w:pPr>
      <w:rPr>
        <w:rFonts w:hint="default"/>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B885B63"/>
    <w:multiLevelType w:val="hybridMultilevel"/>
    <w:tmpl w:val="9A6CAB26"/>
    <w:lvl w:ilvl="0" w:tplc="45C2ADAA">
      <w:start w:val="1"/>
      <w:numFmt w:val="decimal"/>
      <w:lvlText w:val="%1)"/>
      <w:lvlJc w:val="left"/>
      <w:pPr>
        <w:ind w:left="1069" w:hanging="360"/>
      </w:pPr>
      <w:rPr>
        <w:rFonts w:ascii="Verdana" w:eastAsiaTheme="minorHAnsi" w:hAnsi="Verdana" w:cstheme="minorBidi"/>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6">
    <w:nsid w:val="1FB10F02"/>
    <w:multiLevelType w:val="hybridMultilevel"/>
    <w:tmpl w:val="F60A6D5C"/>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7">
    <w:nsid w:val="2A510D4F"/>
    <w:multiLevelType w:val="hybridMultilevel"/>
    <w:tmpl w:val="406602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3F5D81"/>
    <w:multiLevelType w:val="hybridMultilevel"/>
    <w:tmpl w:val="EF7E43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2E0A7AE1"/>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39F1282"/>
    <w:multiLevelType w:val="hybridMultilevel"/>
    <w:tmpl w:val="FD184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8404A"/>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2">
    <w:nsid w:val="3B4C227A"/>
    <w:multiLevelType w:val="hybridMultilevel"/>
    <w:tmpl w:val="9A8A3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310AF8"/>
    <w:multiLevelType w:val="hybridMultilevel"/>
    <w:tmpl w:val="C87E09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42192"/>
    <w:multiLevelType w:val="hybridMultilevel"/>
    <w:tmpl w:val="1FA2EF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nsid w:val="547846BE"/>
    <w:multiLevelType w:val="multilevel"/>
    <w:tmpl w:val="A268ED9E"/>
    <w:lvl w:ilvl="0">
      <w:start w:val="1"/>
      <w:numFmt w:val="decimal"/>
      <w:lvlText w:val="%1."/>
      <w:lvlJc w:val="left"/>
      <w:pPr>
        <w:ind w:left="36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5514F10"/>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B7F72E1"/>
    <w:multiLevelType w:val="hybridMultilevel"/>
    <w:tmpl w:val="F41A17A0"/>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start w:val="1"/>
      <w:numFmt w:val="decimal"/>
      <w:lvlText w:val="%4."/>
      <w:lvlJc w:val="left"/>
      <w:pPr>
        <w:ind w:left="1069"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8">
    <w:nsid w:val="60BC68A1"/>
    <w:multiLevelType w:val="multilevel"/>
    <w:tmpl w:val="A268ED9E"/>
    <w:lvl w:ilvl="0">
      <w:start w:val="1"/>
      <w:numFmt w:val="decimal"/>
      <w:lvlText w:val="%1."/>
      <w:lvlJc w:val="left"/>
      <w:pPr>
        <w:ind w:left="72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2203AEB"/>
    <w:multiLevelType w:val="hybridMultilevel"/>
    <w:tmpl w:val="0AA00F0E"/>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nsid w:val="624F3D9F"/>
    <w:multiLevelType w:val="hybridMultilevel"/>
    <w:tmpl w:val="3544DE30"/>
    <w:lvl w:ilvl="0" w:tplc="6A0CC7D8">
      <w:start w:val="1"/>
      <w:numFmt w:val="decimal"/>
      <w:lvlText w:val="%1)"/>
      <w:lvlJc w:val="left"/>
      <w:pPr>
        <w:ind w:left="72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30C17"/>
    <w:multiLevelType w:val="hybridMultilevel"/>
    <w:tmpl w:val="0E82EE8E"/>
    <w:lvl w:ilvl="0" w:tplc="140A0017">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2">
    <w:nsid w:val="6BD05D85"/>
    <w:multiLevelType w:val="hybridMultilevel"/>
    <w:tmpl w:val="93B2792A"/>
    <w:lvl w:ilvl="0" w:tplc="7B6A19F0">
      <w:start w:val="1"/>
      <w:numFmt w:val="decimal"/>
      <w:lvlText w:val="%1)"/>
      <w:lvlJc w:val="left"/>
      <w:pPr>
        <w:ind w:left="1429" w:hanging="360"/>
      </w:pPr>
      <w:rPr>
        <w:rFonts w:hint="default"/>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6CDC76DF"/>
    <w:multiLevelType w:val="hybridMultilevel"/>
    <w:tmpl w:val="52CCB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FA4678"/>
    <w:multiLevelType w:val="hybridMultilevel"/>
    <w:tmpl w:val="0DFA7CCA"/>
    <w:lvl w:ilvl="0" w:tplc="3A36894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FE11D5"/>
    <w:multiLevelType w:val="hybridMultilevel"/>
    <w:tmpl w:val="8CBEC1F2"/>
    <w:lvl w:ilvl="0" w:tplc="140A0017">
      <w:start w:val="1"/>
      <w:numFmt w:val="lowerLetter"/>
      <w:lvlText w:val="%1)"/>
      <w:lvlJc w:val="left"/>
      <w:pPr>
        <w:ind w:left="1069" w:hanging="360"/>
      </w:p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6">
    <w:nsid w:val="7B665323"/>
    <w:multiLevelType w:val="hybridMultilevel"/>
    <w:tmpl w:val="EA58BFA2"/>
    <w:lvl w:ilvl="0" w:tplc="D2B0297C">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0"/>
  </w:num>
  <w:num w:numId="5">
    <w:abstractNumId w:val="7"/>
  </w:num>
  <w:num w:numId="6">
    <w:abstractNumId w:val="12"/>
  </w:num>
  <w:num w:numId="7">
    <w:abstractNumId w:val="18"/>
  </w:num>
  <w:num w:numId="8">
    <w:abstractNumId w:val="3"/>
  </w:num>
  <w:num w:numId="9">
    <w:abstractNumId w:val="0"/>
  </w:num>
  <w:num w:numId="10">
    <w:abstractNumId w:val="8"/>
  </w:num>
  <w:num w:numId="11">
    <w:abstractNumId w:val="19"/>
  </w:num>
  <w:num w:numId="12">
    <w:abstractNumId w:val="6"/>
  </w:num>
  <w:num w:numId="13">
    <w:abstractNumId w:val="14"/>
  </w:num>
  <w:num w:numId="14">
    <w:abstractNumId w:val="21"/>
  </w:num>
  <w:num w:numId="15">
    <w:abstractNumId w:val="5"/>
  </w:num>
  <w:num w:numId="16">
    <w:abstractNumId w:val="2"/>
  </w:num>
  <w:num w:numId="17">
    <w:abstractNumId w:val="25"/>
  </w:num>
  <w:num w:numId="18">
    <w:abstractNumId w:val="17"/>
  </w:num>
  <w:num w:numId="19">
    <w:abstractNumId w:val="24"/>
  </w:num>
  <w:num w:numId="20">
    <w:abstractNumId w:val="22"/>
  </w:num>
  <w:num w:numId="21">
    <w:abstractNumId w:val="26"/>
  </w:num>
  <w:num w:numId="22">
    <w:abstractNumId w:val="4"/>
  </w:num>
  <w:num w:numId="23">
    <w:abstractNumId w:val="13"/>
  </w:num>
  <w:num w:numId="24">
    <w:abstractNumId w:val="23"/>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7D"/>
    <w:rsid w:val="00002565"/>
    <w:rsid w:val="00003D82"/>
    <w:rsid w:val="00006A3E"/>
    <w:rsid w:val="00011001"/>
    <w:rsid w:val="00011FB9"/>
    <w:rsid w:val="00017347"/>
    <w:rsid w:val="00031D6F"/>
    <w:rsid w:val="00036580"/>
    <w:rsid w:val="00040DB6"/>
    <w:rsid w:val="000465F8"/>
    <w:rsid w:val="00053F52"/>
    <w:rsid w:val="0005791D"/>
    <w:rsid w:val="000629A0"/>
    <w:rsid w:val="000644F6"/>
    <w:rsid w:val="00067D76"/>
    <w:rsid w:val="000718F2"/>
    <w:rsid w:val="00077916"/>
    <w:rsid w:val="000820CA"/>
    <w:rsid w:val="00082C26"/>
    <w:rsid w:val="0008583D"/>
    <w:rsid w:val="0009684B"/>
    <w:rsid w:val="000A017F"/>
    <w:rsid w:val="000A7709"/>
    <w:rsid w:val="000B3812"/>
    <w:rsid w:val="000B3F41"/>
    <w:rsid w:val="000C4E98"/>
    <w:rsid w:val="000C54A3"/>
    <w:rsid w:val="000C55A1"/>
    <w:rsid w:val="000C6179"/>
    <w:rsid w:val="000D3A97"/>
    <w:rsid w:val="000D412A"/>
    <w:rsid w:val="000D6ECE"/>
    <w:rsid w:val="000E3A88"/>
    <w:rsid w:val="000E438A"/>
    <w:rsid w:val="000F6165"/>
    <w:rsid w:val="001008A1"/>
    <w:rsid w:val="001100AF"/>
    <w:rsid w:val="00111C75"/>
    <w:rsid w:val="0011363C"/>
    <w:rsid w:val="001153FC"/>
    <w:rsid w:val="00123596"/>
    <w:rsid w:val="00130130"/>
    <w:rsid w:val="00135102"/>
    <w:rsid w:val="00142DA2"/>
    <w:rsid w:val="00147B2D"/>
    <w:rsid w:val="00151137"/>
    <w:rsid w:val="00161261"/>
    <w:rsid w:val="00161632"/>
    <w:rsid w:val="00162A67"/>
    <w:rsid w:val="001664B6"/>
    <w:rsid w:val="00172D92"/>
    <w:rsid w:val="00176EE6"/>
    <w:rsid w:val="001777F4"/>
    <w:rsid w:val="00180E48"/>
    <w:rsid w:val="00187140"/>
    <w:rsid w:val="00191854"/>
    <w:rsid w:val="00194E27"/>
    <w:rsid w:val="00195C7B"/>
    <w:rsid w:val="00196619"/>
    <w:rsid w:val="00197084"/>
    <w:rsid w:val="00197CC2"/>
    <w:rsid w:val="001A3B00"/>
    <w:rsid w:val="001A52A8"/>
    <w:rsid w:val="001C4E77"/>
    <w:rsid w:val="001C63A7"/>
    <w:rsid w:val="001D0EBC"/>
    <w:rsid w:val="001D2750"/>
    <w:rsid w:val="001D302D"/>
    <w:rsid w:val="001D38E6"/>
    <w:rsid w:val="001D56FA"/>
    <w:rsid w:val="00207781"/>
    <w:rsid w:val="002121A2"/>
    <w:rsid w:val="0021372F"/>
    <w:rsid w:val="00217EE6"/>
    <w:rsid w:val="0022320B"/>
    <w:rsid w:val="00224B7A"/>
    <w:rsid w:val="00233A4F"/>
    <w:rsid w:val="00236D4E"/>
    <w:rsid w:val="00237065"/>
    <w:rsid w:val="002446E4"/>
    <w:rsid w:val="0024712C"/>
    <w:rsid w:val="00251E8B"/>
    <w:rsid w:val="002520BF"/>
    <w:rsid w:val="00257BFB"/>
    <w:rsid w:val="0026574D"/>
    <w:rsid w:val="002660B4"/>
    <w:rsid w:val="00270645"/>
    <w:rsid w:val="00272020"/>
    <w:rsid w:val="0027508E"/>
    <w:rsid w:val="00277DBB"/>
    <w:rsid w:val="00280A3B"/>
    <w:rsid w:val="002936D5"/>
    <w:rsid w:val="00296E09"/>
    <w:rsid w:val="002A2FC1"/>
    <w:rsid w:val="002A41B7"/>
    <w:rsid w:val="002A4DD6"/>
    <w:rsid w:val="002B3E5E"/>
    <w:rsid w:val="002B66BA"/>
    <w:rsid w:val="002C0218"/>
    <w:rsid w:val="002C07D0"/>
    <w:rsid w:val="002C4573"/>
    <w:rsid w:val="002D1F01"/>
    <w:rsid w:val="002D2B32"/>
    <w:rsid w:val="002D619A"/>
    <w:rsid w:val="002E2F93"/>
    <w:rsid w:val="002E6759"/>
    <w:rsid w:val="002F452C"/>
    <w:rsid w:val="002F6088"/>
    <w:rsid w:val="00304A29"/>
    <w:rsid w:val="0030508A"/>
    <w:rsid w:val="003170AE"/>
    <w:rsid w:val="0032049D"/>
    <w:rsid w:val="0033218F"/>
    <w:rsid w:val="00334268"/>
    <w:rsid w:val="0033670D"/>
    <w:rsid w:val="003373F3"/>
    <w:rsid w:val="00356216"/>
    <w:rsid w:val="003567DA"/>
    <w:rsid w:val="003579A2"/>
    <w:rsid w:val="00364D91"/>
    <w:rsid w:val="0036568D"/>
    <w:rsid w:val="0037111E"/>
    <w:rsid w:val="00371E2B"/>
    <w:rsid w:val="00374965"/>
    <w:rsid w:val="0037596B"/>
    <w:rsid w:val="00375A5A"/>
    <w:rsid w:val="00382556"/>
    <w:rsid w:val="00383061"/>
    <w:rsid w:val="00385716"/>
    <w:rsid w:val="00393D92"/>
    <w:rsid w:val="00394B07"/>
    <w:rsid w:val="00395CE5"/>
    <w:rsid w:val="003A05F6"/>
    <w:rsid w:val="003A458D"/>
    <w:rsid w:val="003A564D"/>
    <w:rsid w:val="003B0AE8"/>
    <w:rsid w:val="003B57D4"/>
    <w:rsid w:val="003B78C4"/>
    <w:rsid w:val="003C1DF1"/>
    <w:rsid w:val="003C5A10"/>
    <w:rsid w:val="003C5BD8"/>
    <w:rsid w:val="003C6495"/>
    <w:rsid w:val="003D12EC"/>
    <w:rsid w:val="003E1440"/>
    <w:rsid w:val="003F0BC0"/>
    <w:rsid w:val="003F7F1F"/>
    <w:rsid w:val="00401C8D"/>
    <w:rsid w:val="00403C35"/>
    <w:rsid w:val="00411B31"/>
    <w:rsid w:val="00417801"/>
    <w:rsid w:val="00420709"/>
    <w:rsid w:val="00427664"/>
    <w:rsid w:val="00427877"/>
    <w:rsid w:val="00427DF7"/>
    <w:rsid w:val="0043138D"/>
    <w:rsid w:val="00434F2B"/>
    <w:rsid w:val="00441C82"/>
    <w:rsid w:val="00454659"/>
    <w:rsid w:val="004568A1"/>
    <w:rsid w:val="004579C6"/>
    <w:rsid w:val="004617EA"/>
    <w:rsid w:val="004658B0"/>
    <w:rsid w:val="00467CB0"/>
    <w:rsid w:val="004718A1"/>
    <w:rsid w:val="00474DAA"/>
    <w:rsid w:val="00483C08"/>
    <w:rsid w:val="00486FFD"/>
    <w:rsid w:val="00495347"/>
    <w:rsid w:val="004A2CFD"/>
    <w:rsid w:val="004C0105"/>
    <w:rsid w:val="004C2479"/>
    <w:rsid w:val="004C2FF2"/>
    <w:rsid w:val="004D0905"/>
    <w:rsid w:val="004D41B6"/>
    <w:rsid w:val="004D61F4"/>
    <w:rsid w:val="004E78E9"/>
    <w:rsid w:val="004E7CA7"/>
    <w:rsid w:val="005011D7"/>
    <w:rsid w:val="005017E5"/>
    <w:rsid w:val="005056BA"/>
    <w:rsid w:val="00512944"/>
    <w:rsid w:val="00513DD6"/>
    <w:rsid w:val="005244EA"/>
    <w:rsid w:val="00524758"/>
    <w:rsid w:val="0052585F"/>
    <w:rsid w:val="0053115C"/>
    <w:rsid w:val="00535064"/>
    <w:rsid w:val="00545759"/>
    <w:rsid w:val="005462D8"/>
    <w:rsid w:val="0055019B"/>
    <w:rsid w:val="0056018F"/>
    <w:rsid w:val="00567E8D"/>
    <w:rsid w:val="005708A0"/>
    <w:rsid w:val="00572A0A"/>
    <w:rsid w:val="00582CD9"/>
    <w:rsid w:val="00583CE4"/>
    <w:rsid w:val="00585CA3"/>
    <w:rsid w:val="0059170B"/>
    <w:rsid w:val="005930EE"/>
    <w:rsid w:val="00594333"/>
    <w:rsid w:val="005A1E69"/>
    <w:rsid w:val="005A3DA0"/>
    <w:rsid w:val="005A55DF"/>
    <w:rsid w:val="005B4E6C"/>
    <w:rsid w:val="005B5ACC"/>
    <w:rsid w:val="005D5DD3"/>
    <w:rsid w:val="005E3C25"/>
    <w:rsid w:val="005F3251"/>
    <w:rsid w:val="005F329A"/>
    <w:rsid w:val="005F3FE8"/>
    <w:rsid w:val="005F5CE7"/>
    <w:rsid w:val="00602E69"/>
    <w:rsid w:val="0060312B"/>
    <w:rsid w:val="00603D7B"/>
    <w:rsid w:val="00605C53"/>
    <w:rsid w:val="00610BEF"/>
    <w:rsid w:val="00615BD2"/>
    <w:rsid w:val="0062124D"/>
    <w:rsid w:val="00622B00"/>
    <w:rsid w:val="00623F45"/>
    <w:rsid w:val="00626CA7"/>
    <w:rsid w:val="0063124C"/>
    <w:rsid w:val="00634D6B"/>
    <w:rsid w:val="006352E8"/>
    <w:rsid w:val="00641DC5"/>
    <w:rsid w:val="0064236D"/>
    <w:rsid w:val="00651DE4"/>
    <w:rsid w:val="00655719"/>
    <w:rsid w:val="00656009"/>
    <w:rsid w:val="00657921"/>
    <w:rsid w:val="006704DB"/>
    <w:rsid w:val="0067407C"/>
    <w:rsid w:val="00680F21"/>
    <w:rsid w:val="00682773"/>
    <w:rsid w:val="006860BD"/>
    <w:rsid w:val="00690A2E"/>
    <w:rsid w:val="00692807"/>
    <w:rsid w:val="006A4740"/>
    <w:rsid w:val="006C3965"/>
    <w:rsid w:val="006C4D19"/>
    <w:rsid w:val="006C79E3"/>
    <w:rsid w:val="006C7C69"/>
    <w:rsid w:val="006D4911"/>
    <w:rsid w:val="006D5B8A"/>
    <w:rsid w:val="006D7C2A"/>
    <w:rsid w:val="006E11ED"/>
    <w:rsid w:val="006E19E5"/>
    <w:rsid w:val="006E54BE"/>
    <w:rsid w:val="006E5690"/>
    <w:rsid w:val="006E6E86"/>
    <w:rsid w:val="006F5D32"/>
    <w:rsid w:val="006F6C99"/>
    <w:rsid w:val="0070125F"/>
    <w:rsid w:val="00702919"/>
    <w:rsid w:val="00707768"/>
    <w:rsid w:val="00707F92"/>
    <w:rsid w:val="00715DE6"/>
    <w:rsid w:val="007227D3"/>
    <w:rsid w:val="00723446"/>
    <w:rsid w:val="00724803"/>
    <w:rsid w:val="00731B5A"/>
    <w:rsid w:val="00735268"/>
    <w:rsid w:val="007410CA"/>
    <w:rsid w:val="00751178"/>
    <w:rsid w:val="00753FB4"/>
    <w:rsid w:val="0076159D"/>
    <w:rsid w:val="0076562E"/>
    <w:rsid w:val="007657D6"/>
    <w:rsid w:val="00770144"/>
    <w:rsid w:val="0077131C"/>
    <w:rsid w:val="007749DC"/>
    <w:rsid w:val="00781FD1"/>
    <w:rsid w:val="0079249C"/>
    <w:rsid w:val="007930F6"/>
    <w:rsid w:val="007942FA"/>
    <w:rsid w:val="00794BD4"/>
    <w:rsid w:val="007A055E"/>
    <w:rsid w:val="007A26DB"/>
    <w:rsid w:val="007A6929"/>
    <w:rsid w:val="007A717B"/>
    <w:rsid w:val="007A7C53"/>
    <w:rsid w:val="007B16A7"/>
    <w:rsid w:val="007B2079"/>
    <w:rsid w:val="007C090F"/>
    <w:rsid w:val="007C6540"/>
    <w:rsid w:val="007C7554"/>
    <w:rsid w:val="007E07F6"/>
    <w:rsid w:val="007E17D0"/>
    <w:rsid w:val="007E6BD7"/>
    <w:rsid w:val="007E75A7"/>
    <w:rsid w:val="007F1614"/>
    <w:rsid w:val="007F1C49"/>
    <w:rsid w:val="007F2452"/>
    <w:rsid w:val="007F7D92"/>
    <w:rsid w:val="00802982"/>
    <w:rsid w:val="008061ED"/>
    <w:rsid w:val="00807C85"/>
    <w:rsid w:val="00810CD9"/>
    <w:rsid w:val="0081172F"/>
    <w:rsid w:val="0081546C"/>
    <w:rsid w:val="00827C6F"/>
    <w:rsid w:val="0083641E"/>
    <w:rsid w:val="00840925"/>
    <w:rsid w:val="008415C3"/>
    <w:rsid w:val="0085071B"/>
    <w:rsid w:val="0086122E"/>
    <w:rsid w:val="00861367"/>
    <w:rsid w:val="00861B70"/>
    <w:rsid w:val="008656FE"/>
    <w:rsid w:val="00870E69"/>
    <w:rsid w:val="00876311"/>
    <w:rsid w:val="0087667C"/>
    <w:rsid w:val="00880653"/>
    <w:rsid w:val="00883288"/>
    <w:rsid w:val="00883AC2"/>
    <w:rsid w:val="00886081"/>
    <w:rsid w:val="0088736E"/>
    <w:rsid w:val="008A173D"/>
    <w:rsid w:val="008A64D7"/>
    <w:rsid w:val="008B4129"/>
    <w:rsid w:val="008C0BE1"/>
    <w:rsid w:val="008C117F"/>
    <w:rsid w:val="008C45CE"/>
    <w:rsid w:val="008D2F42"/>
    <w:rsid w:val="008D4415"/>
    <w:rsid w:val="008E5A90"/>
    <w:rsid w:val="008E7687"/>
    <w:rsid w:val="00900DA2"/>
    <w:rsid w:val="00902ACE"/>
    <w:rsid w:val="009059E9"/>
    <w:rsid w:val="0091462F"/>
    <w:rsid w:val="00921471"/>
    <w:rsid w:val="00923F9E"/>
    <w:rsid w:val="009244DF"/>
    <w:rsid w:val="00924882"/>
    <w:rsid w:val="009271D7"/>
    <w:rsid w:val="00934862"/>
    <w:rsid w:val="00935403"/>
    <w:rsid w:val="0093585D"/>
    <w:rsid w:val="0095385F"/>
    <w:rsid w:val="00971979"/>
    <w:rsid w:val="00993B38"/>
    <w:rsid w:val="00996BCC"/>
    <w:rsid w:val="00997859"/>
    <w:rsid w:val="009A2F45"/>
    <w:rsid w:val="009A3288"/>
    <w:rsid w:val="009D0BF3"/>
    <w:rsid w:val="009D214A"/>
    <w:rsid w:val="009E1719"/>
    <w:rsid w:val="009E1C95"/>
    <w:rsid w:val="009F0E31"/>
    <w:rsid w:val="009F2A41"/>
    <w:rsid w:val="009F53DA"/>
    <w:rsid w:val="009F61E4"/>
    <w:rsid w:val="009F724E"/>
    <w:rsid w:val="009F7905"/>
    <w:rsid w:val="00A00193"/>
    <w:rsid w:val="00A02291"/>
    <w:rsid w:val="00A102CB"/>
    <w:rsid w:val="00A12228"/>
    <w:rsid w:val="00A14900"/>
    <w:rsid w:val="00A14EBD"/>
    <w:rsid w:val="00A16F08"/>
    <w:rsid w:val="00A26F00"/>
    <w:rsid w:val="00A32A2E"/>
    <w:rsid w:val="00A33613"/>
    <w:rsid w:val="00A37552"/>
    <w:rsid w:val="00A3756C"/>
    <w:rsid w:val="00A3770A"/>
    <w:rsid w:val="00A42284"/>
    <w:rsid w:val="00A429E0"/>
    <w:rsid w:val="00A448F9"/>
    <w:rsid w:val="00A46A4C"/>
    <w:rsid w:val="00A53D21"/>
    <w:rsid w:val="00A6038A"/>
    <w:rsid w:val="00A60D46"/>
    <w:rsid w:val="00A622F0"/>
    <w:rsid w:val="00A65509"/>
    <w:rsid w:val="00A709BA"/>
    <w:rsid w:val="00A82C15"/>
    <w:rsid w:val="00A85A23"/>
    <w:rsid w:val="00A93F14"/>
    <w:rsid w:val="00AA1E8B"/>
    <w:rsid w:val="00AB2D0E"/>
    <w:rsid w:val="00AB7CE0"/>
    <w:rsid w:val="00AD236C"/>
    <w:rsid w:val="00AD48BA"/>
    <w:rsid w:val="00AE0641"/>
    <w:rsid w:val="00AE2743"/>
    <w:rsid w:val="00AE3E5B"/>
    <w:rsid w:val="00AE4E2C"/>
    <w:rsid w:val="00AE61D9"/>
    <w:rsid w:val="00AE6A1D"/>
    <w:rsid w:val="00AF0456"/>
    <w:rsid w:val="00B02D79"/>
    <w:rsid w:val="00B125C4"/>
    <w:rsid w:val="00B16697"/>
    <w:rsid w:val="00B31DDC"/>
    <w:rsid w:val="00B34468"/>
    <w:rsid w:val="00B3517F"/>
    <w:rsid w:val="00B40E15"/>
    <w:rsid w:val="00B41329"/>
    <w:rsid w:val="00B41BA6"/>
    <w:rsid w:val="00B42539"/>
    <w:rsid w:val="00B43576"/>
    <w:rsid w:val="00B437C1"/>
    <w:rsid w:val="00B53419"/>
    <w:rsid w:val="00B608AC"/>
    <w:rsid w:val="00B619C7"/>
    <w:rsid w:val="00B62CF5"/>
    <w:rsid w:val="00B632FC"/>
    <w:rsid w:val="00B64A41"/>
    <w:rsid w:val="00B66643"/>
    <w:rsid w:val="00B67902"/>
    <w:rsid w:val="00B718F4"/>
    <w:rsid w:val="00B743D8"/>
    <w:rsid w:val="00B74D3B"/>
    <w:rsid w:val="00B75EF2"/>
    <w:rsid w:val="00B810C1"/>
    <w:rsid w:val="00B813DA"/>
    <w:rsid w:val="00BA2CE0"/>
    <w:rsid w:val="00BA2F11"/>
    <w:rsid w:val="00BA3B3F"/>
    <w:rsid w:val="00BA6D4F"/>
    <w:rsid w:val="00BB4A69"/>
    <w:rsid w:val="00BB74B6"/>
    <w:rsid w:val="00BC52E7"/>
    <w:rsid w:val="00BD0DCC"/>
    <w:rsid w:val="00BD16E9"/>
    <w:rsid w:val="00BE059F"/>
    <w:rsid w:val="00BE1909"/>
    <w:rsid w:val="00BE458A"/>
    <w:rsid w:val="00BE5F59"/>
    <w:rsid w:val="00BE7D7B"/>
    <w:rsid w:val="00C01F3C"/>
    <w:rsid w:val="00C02814"/>
    <w:rsid w:val="00C15B41"/>
    <w:rsid w:val="00C15FB9"/>
    <w:rsid w:val="00C2374E"/>
    <w:rsid w:val="00C26A63"/>
    <w:rsid w:val="00C31594"/>
    <w:rsid w:val="00C36497"/>
    <w:rsid w:val="00C37B8B"/>
    <w:rsid w:val="00C463AE"/>
    <w:rsid w:val="00C46EB3"/>
    <w:rsid w:val="00C530A8"/>
    <w:rsid w:val="00C56326"/>
    <w:rsid w:val="00C706E0"/>
    <w:rsid w:val="00C763A4"/>
    <w:rsid w:val="00C800D6"/>
    <w:rsid w:val="00C84C50"/>
    <w:rsid w:val="00C85A09"/>
    <w:rsid w:val="00C86191"/>
    <w:rsid w:val="00C906DD"/>
    <w:rsid w:val="00C94849"/>
    <w:rsid w:val="00CA16AF"/>
    <w:rsid w:val="00CA2228"/>
    <w:rsid w:val="00CA281E"/>
    <w:rsid w:val="00CA5A4A"/>
    <w:rsid w:val="00CA699B"/>
    <w:rsid w:val="00CB4D60"/>
    <w:rsid w:val="00CC654C"/>
    <w:rsid w:val="00CD65B9"/>
    <w:rsid w:val="00CE178A"/>
    <w:rsid w:val="00CE22C1"/>
    <w:rsid w:val="00CE37BB"/>
    <w:rsid w:val="00CE51A5"/>
    <w:rsid w:val="00CE7EC1"/>
    <w:rsid w:val="00CF20E4"/>
    <w:rsid w:val="00CF7EBE"/>
    <w:rsid w:val="00D00767"/>
    <w:rsid w:val="00D035E7"/>
    <w:rsid w:val="00D04B06"/>
    <w:rsid w:val="00D1029E"/>
    <w:rsid w:val="00D105D4"/>
    <w:rsid w:val="00D1252F"/>
    <w:rsid w:val="00D15B49"/>
    <w:rsid w:val="00D16C51"/>
    <w:rsid w:val="00D1755A"/>
    <w:rsid w:val="00D17F3A"/>
    <w:rsid w:val="00D25EDF"/>
    <w:rsid w:val="00D33661"/>
    <w:rsid w:val="00D40120"/>
    <w:rsid w:val="00D43CED"/>
    <w:rsid w:val="00D474C4"/>
    <w:rsid w:val="00D52F41"/>
    <w:rsid w:val="00D60351"/>
    <w:rsid w:val="00D606F1"/>
    <w:rsid w:val="00D61238"/>
    <w:rsid w:val="00D6334C"/>
    <w:rsid w:val="00D70380"/>
    <w:rsid w:val="00D768C1"/>
    <w:rsid w:val="00D8004D"/>
    <w:rsid w:val="00D80623"/>
    <w:rsid w:val="00D80B87"/>
    <w:rsid w:val="00D967E6"/>
    <w:rsid w:val="00DA0226"/>
    <w:rsid w:val="00DA370E"/>
    <w:rsid w:val="00DA4AA8"/>
    <w:rsid w:val="00DB0176"/>
    <w:rsid w:val="00DB1BE9"/>
    <w:rsid w:val="00DC025C"/>
    <w:rsid w:val="00DC6807"/>
    <w:rsid w:val="00DD05CA"/>
    <w:rsid w:val="00DD76EB"/>
    <w:rsid w:val="00DE376D"/>
    <w:rsid w:val="00DE5AC7"/>
    <w:rsid w:val="00DE69D9"/>
    <w:rsid w:val="00DF5FA5"/>
    <w:rsid w:val="00E00543"/>
    <w:rsid w:val="00E10C32"/>
    <w:rsid w:val="00E15E90"/>
    <w:rsid w:val="00E25D3B"/>
    <w:rsid w:val="00E3108A"/>
    <w:rsid w:val="00E34BB1"/>
    <w:rsid w:val="00E353A3"/>
    <w:rsid w:val="00E46D5D"/>
    <w:rsid w:val="00E55163"/>
    <w:rsid w:val="00E60797"/>
    <w:rsid w:val="00E7296E"/>
    <w:rsid w:val="00E7384C"/>
    <w:rsid w:val="00E757B6"/>
    <w:rsid w:val="00E7603E"/>
    <w:rsid w:val="00E77AED"/>
    <w:rsid w:val="00E77D9A"/>
    <w:rsid w:val="00E80AC3"/>
    <w:rsid w:val="00E81E5D"/>
    <w:rsid w:val="00E922CE"/>
    <w:rsid w:val="00E9784E"/>
    <w:rsid w:val="00EB1636"/>
    <w:rsid w:val="00EC1449"/>
    <w:rsid w:val="00EC417C"/>
    <w:rsid w:val="00ED356D"/>
    <w:rsid w:val="00EE0D67"/>
    <w:rsid w:val="00EF0470"/>
    <w:rsid w:val="00EF200A"/>
    <w:rsid w:val="00EF3B40"/>
    <w:rsid w:val="00EF6487"/>
    <w:rsid w:val="00F0523A"/>
    <w:rsid w:val="00F106F9"/>
    <w:rsid w:val="00F1073C"/>
    <w:rsid w:val="00F17111"/>
    <w:rsid w:val="00F255EB"/>
    <w:rsid w:val="00F25CBF"/>
    <w:rsid w:val="00F3110D"/>
    <w:rsid w:val="00F31C91"/>
    <w:rsid w:val="00F35D80"/>
    <w:rsid w:val="00F46006"/>
    <w:rsid w:val="00F46F19"/>
    <w:rsid w:val="00F4757D"/>
    <w:rsid w:val="00F4785A"/>
    <w:rsid w:val="00F51E8D"/>
    <w:rsid w:val="00F54463"/>
    <w:rsid w:val="00F662D7"/>
    <w:rsid w:val="00F67AFB"/>
    <w:rsid w:val="00F70598"/>
    <w:rsid w:val="00F713FF"/>
    <w:rsid w:val="00F72BA1"/>
    <w:rsid w:val="00F73589"/>
    <w:rsid w:val="00F73CE8"/>
    <w:rsid w:val="00F75FCF"/>
    <w:rsid w:val="00F76699"/>
    <w:rsid w:val="00F8057E"/>
    <w:rsid w:val="00F83474"/>
    <w:rsid w:val="00F83729"/>
    <w:rsid w:val="00F83BA8"/>
    <w:rsid w:val="00F90B83"/>
    <w:rsid w:val="00F91777"/>
    <w:rsid w:val="00F91B92"/>
    <w:rsid w:val="00F91D18"/>
    <w:rsid w:val="00F9351C"/>
    <w:rsid w:val="00F94151"/>
    <w:rsid w:val="00FA0B77"/>
    <w:rsid w:val="00FA5D2D"/>
    <w:rsid w:val="00FA7D3C"/>
    <w:rsid w:val="00FB3DA1"/>
    <w:rsid w:val="00FC3F51"/>
    <w:rsid w:val="00FD1523"/>
    <w:rsid w:val="00FD75E6"/>
    <w:rsid w:val="00FF5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7D"/>
  </w:style>
  <w:style w:type="paragraph" w:styleId="Footer">
    <w:name w:val="footer"/>
    <w:basedOn w:val="Normal"/>
    <w:link w:val="FooterChar"/>
    <w:uiPriority w:val="99"/>
    <w:unhideWhenUsed/>
    <w:rsid w:val="00F47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7D"/>
  </w:style>
  <w:style w:type="paragraph" w:styleId="ListParagraph">
    <w:name w:val="List Paragraph"/>
    <w:aliases w:val="Footnote,Colorful List - Accent 11,List Paragraph2,List Paragraph1,Párrafo de lista1,Lista vistosa - Énfasis 11,Subtle Emphasis1,Footnote1"/>
    <w:basedOn w:val="Normal"/>
    <w:link w:val="ListParagraphChar"/>
    <w:uiPriority w:val="34"/>
    <w:qFormat/>
    <w:rsid w:val="00DC6807"/>
    <w:pPr>
      <w:ind w:left="720"/>
      <w:contextualSpacing/>
    </w:pPr>
  </w:style>
  <w:style w:type="paragraph" w:customStyle="1" w:styleId="Normal1">
    <w:name w:val="Normal1"/>
    <w:rsid w:val="00DC6807"/>
    <w:pPr>
      <w:widowControl w:val="0"/>
      <w:spacing w:after="0" w:line="240" w:lineRule="auto"/>
    </w:pPr>
    <w:rPr>
      <w:rFonts w:ascii="Times New Roman" w:eastAsia="Times New Roman" w:hAnsi="Times New Roman" w:cs="Times New Roman"/>
      <w:sz w:val="24"/>
      <w:szCs w:val="24"/>
      <w:lang w:val="es-CR"/>
    </w:rPr>
  </w:style>
  <w:style w:type="paragraph" w:styleId="FootnoteText">
    <w:name w:val="footnote text"/>
    <w:basedOn w:val="Normal"/>
    <w:link w:val="FootnoteTextChar"/>
    <w:uiPriority w:val="99"/>
    <w:unhideWhenUsed/>
    <w:rsid w:val="008C0BE1"/>
    <w:pPr>
      <w:spacing w:after="0" w:line="240" w:lineRule="auto"/>
    </w:pPr>
    <w:rPr>
      <w:sz w:val="20"/>
      <w:szCs w:val="20"/>
    </w:rPr>
  </w:style>
  <w:style w:type="character" w:customStyle="1" w:styleId="FootnoteTextChar">
    <w:name w:val="Footnote Text Char"/>
    <w:basedOn w:val="DefaultParagraphFont"/>
    <w:link w:val="FootnoteText"/>
    <w:uiPriority w:val="99"/>
    <w:rsid w:val="008C0BE1"/>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8C0BE1"/>
    <w:rPr>
      <w:vertAlign w:val="superscript"/>
    </w:rPr>
  </w:style>
  <w:style w:type="character" w:styleId="CommentReference">
    <w:name w:val="annotation reference"/>
    <w:basedOn w:val="DefaultParagraphFont"/>
    <w:uiPriority w:val="99"/>
    <w:semiHidden/>
    <w:unhideWhenUsed/>
    <w:rsid w:val="00CE51A5"/>
    <w:rPr>
      <w:sz w:val="16"/>
      <w:szCs w:val="16"/>
    </w:rPr>
  </w:style>
  <w:style w:type="paragraph" w:styleId="CommentText">
    <w:name w:val="annotation text"/>
    <w:basedOn w:val="Normal"/>
    <w:link w:val="CommentTextChar"/>
    <w:uiPriority w:val="99"/>
    <w:semiHidden/>
    <w:unhideWhenUsed/>
    <w:rsid w:val="00CE51A5"/>
    <w:pPr>
      <w:spacing w:line="240" w:lineRule="auto"/>
    </w:pPr>
    <w:rPr>
      <w:sz w:val="20"/>
      <w:szCs w:val="20"/>
    </w:rPr>
  </w:style>
  <w:style w:type="character" w:customStyle="1" w:styleId="CommentTextChar">
    <w:name w:val="Comment Text Char"/>
    <w:basedOn w:val="DefaultParagraphFont"/>
    <w:link w:val="CommentText"/>
    <w:uiPriority w:val="99"/>
    <w:semiHidden/>
    <w:rsid w:val="00CE51A5"/>
    <w:rPr>
      <w:sz w:val="20"/>
      <w:szCs w:val="20"/>
    </w:rPr>
  </w:style>
  <w:style w:type="paragraph" w:styleId="CommentSubject">
    <w:name w:val="annotation subject"/>
    <w:basedOn w:val="CommentText"/>
    <w:next w:val="CommentText"/>
    <w:link w:val="CommentSubjectChar"/>
    <w:uiPriority w:val="99"/>
    <w:semiHidden/>
    <w:unhideWhenUsed/>
    <w:rsid w:val="00CE51A5"/>
    <w:rPr>
      <w:b/>
      <w:bCs/>
    </w:rPr>
  </w:style>
  <w:style w:type="character" w:customStyle="1" w:styleId="CommentSubjectChar">
    <w:name w:val="Comment Subject Char"/>
    <w:basedOn w:val="CommentTextChar"/>
    <w:link w:val="CommentSubject"/>
    <w:uiPriority w:val="99"/>
    <w:semiHidden/>
    <w:rsid w:val="00CE51A5"/>
    <w:rPr>
      <w:b/>
      <w:bCs/>
      <w:sz w:val="20"/>
      <w:szCs w:val="20"/>
    </w:rPr>
  </w:style>
  <w:style w:type="paragraph" w:styleId="BalloonText">
    <w:name w:val="Balloon Text"/>
    <w:basedOn w:val="Normal"/>
    <w:link w:val="BalloonTextChar"/>
    <w:uiPriority w:val="99"/>
    <w:semiHidden/>
    <w:unhideWhenUsed/>
    <w:rsid w:val="00CE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A5"/>
    <w:rPr>
      <w:rFonts w:ascii="Tahoma" w:hAnsi="Tahoma" w:cs="Tahoma"/>
      <w:sz w:val="16"/>
      <w:szCs w:val="16"/>
    </w:rPr>
  </w:style>
  <w:style w:type="character" w:styleId="Hyperlink">
    <w:name w:val="Hyperlink"/>
    <w:basedOn w:val="DefaultParagraphFont"/>
    <w:uiPriority w:val="99"/>
    <w:unhideWhenUsed/>
    <w:rsid w:val="00441C82"/>
    <w:rPr>
      <w:color w:val="0000FF"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E178A"/>
    <w:pPr>
      <w:spacing w:after="0" w:line="240" w:lineRule="auto"/>
      <w:jc w:val="both"/>
    </w:pPr>
    <w:rPr>
      <w:vertAlign w:val="superscript"/>
    </w:rPr>
  </w:style>
  <w:style w:type="character" w:customStyle="1" w:styleId="ListParagraphChar">
    <w:name w:val="List Paragraph Char"/>
    <w:aliases w:val="Footnote Char,Colorful List - Accent 11 Char,List Paragraph2 Char,List Paragraph1 Char,Párrafo de lista1 Char,Lista vistosa - Énfasis 11 Char,Subtle Emphasis1 Char,Footnote1 Char"/>
    <w:link w:val="ListParagraph"/>
    <w:uiPriority w:val="34"/>
    <w:rsid w:val="00A62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57D"/>
  </w:style>
  <w:style w:type="paragraph" w:styleId="Footer">
    <w:name w:val="footer"/>
    <w:basedOn w:val="Normal"/>
    <w:link w:val="FooterChar"/>
    <w:uiPriority w:val="99"/>
    <w:unhideWhenUsed/>
    <w:rsid w:val="00F47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7D"/>
  </w:style>
  <w:style w:type="paragraph" w:styleId="ListParagraph">
    <w:name w:val="List Paragraph"/>
    <w:aliases w:val="Footnote,Colorful List - Accent 11,List Paragraph2,List Paragraph1,Párrafo de lista1,Lista vistosa - Énfasis 11,Subtle Emphasis1,Footnote1"/>
    <w:basedOn w:val="Normal"/>
    <w:link w:val="ListParagraphChar"/>
    <w:uiPriority w:val="34"/>
    <w:qFormat/>
    <w:rsid w:val="00DC6807"/>
    <w:pPr>
      <w:ind w:left="720"/>
      <w:contextualSpacing/>
    </w:pPr>
  </w:style>
  <w:style w:type="paragraph" w:customStyle="1" w:styleId="Normal1">
    <w:name w:val="Normal1"/>
    <w:rsid w:val="00DC6807"/>
    <w:pPr>
      <w:widowControl w:val="0"/>
      <w:spacing w:after="0" w:line="240" w:lineRule="auto"/>
    </w:pPr>
    <w:rPr>
      <w:rFonts w:ascii="Times New Roman" w:eastAsia="Times New Roman" w:hAnsi="Times New Roman" w:cs="Times New Roman"/>
      <w:sz w:val="24"/>
      <w:szCs w:val="24"/>
      <w:lang w:val="es-CR"/>
    </w:rPr>
  </w:style>
  <w:style w:type="paragraph" w:styleId="FootnoteText">
    <w:name w:val="footnote text"/>
    <w:basedOn w:val="Normal"/>
    <w:link w:val="FootnoteTextChar"/>
    <w:uiPriority w:val="99"/>
    <w:unhideWhenUsed/>
    <w:rsid w:val="008C0BE1"/>
    <w:pPr>
      <w:spacing w:after="0" w:line="240" w:lineRule="auto"/>
    </w:pPr>
    <w:rPr>
      <w:sz w:val="20"/>
      <w:szCs w:val="20"/>
    </w:rPr>
  </w:style>
  <w:style w:type="character" w:customStyle="1" w:styleId="FootnoteTextChar">
    <w:name w:val="Footnote Text Char"/>
    <w:basedOn w:val="DefaultParagraphFont"/>
    <w:link w:val="FootnoteText"/>
    <w:uiPriority w:val="99"/>
    <w:rsid w:val="008C0BE1"/>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8C0BE1"/>
    <w:rPr>
      <w:vertAlign w:val="superscript"/>
    </w:rPr>
  </w:style>
  <w:style w:type="character" w:styleId="CommentReference">
    <w:name w:val="annotation reference"/>
    <w:basedOn w:val="DefaultParagraphFont"/>
    <w:uiPriority w:val="99"/>
    <w:semiHidden/>
    <w:unhideWhenUsed/>
    <w:rsid w:val="00CE51A5"/>
    <w:rPr>
      <w:sz w:val="16"/>
      <w:szCs w:val="16"/>
    </w:rPr>
  </w:style>
  <w:style w:type="paragraph" w:styleId="CommentText">
    <w:name w:val="annotation text"/>
    <w:basedOn w:val="Normal"/>
    <w:link w:val="CommentTextChar"/>
    <w:uiPriority w:val="99"/>
    <w:semiHidden/>
    <w:unhideWhenUsed/>
    <w:rsid w:val="00CE51A5"/>
    <w:pPr>
      <w:spacing w:line="240" w:lineRule="auto"/>
    </w:pPr>
    <w:rPr>
      <w:sz w:val="20"/>
      <w:szCs w:val="20"/>
    </w:rPr>
  </w:style>
  <w:style w:type="character" w:customStyle="1" w:styleId="CommentTextChar">
    <w:name w:val="Comment Text Char"/>
    <w:basedOn w:val="DefaultParagraphFont"/>
    <w:link w:val="CommentText"/>
    <w:uiPriority w:val="99"/>
    <w:semiHidden/>
    <w:rsid w:val="00CE51A5"/>
    <w:rPr>
      <w:sz w:val="20"/>
      <w:szCs w:val="20"/>
    </w:rPr>
  </w:style>
  <w:style w:type="paragraph" w:styleId="CommentSubject">
    <w:name w:val="annotation subject"/>
    <w:basedOn w:val="CommentText"/>
    <w:next w:val="CommentText"/>
    <w:link w:val="CommentSubjectChar"/>
    <w:uiPriority w:val="99"/>
    <w:semiHidden/>
    <w:unhideWhenUsed/>
    <w:rsid w:val="00CE51A5"/>
    <w:rPr>
      <w:b/>
      <w:bCs/>
    </w:rPr>
  </w:style>
  <w:style w:type="character" w:customStyle="1" w:styleId="CommentSubjectChar">
    <w:name w:val="Comment Subject Char"/>
    <w:basedOn w:val="CommentTextChar"/>
    <w:link w:val="CommentSubject"/>
    <w:uiPriority w:val="99"/>
    <w:semiHidden/>
    <w:rsid w:val="00CE51A5"/>
    <w:rPr>
      <w:b/>
      <w:bCs/>
      <w:sz w:val="20"/>
      <w:szCs w:val="20"/>
    </w:rPr>
  </w:style>
  <w:style w:type="paragraph" w:styleId="BalloonText">
    <w:name w:val="Balloon Text"/>
    <w:basedOn w:val="Normal"/>
    <w:link w:val="BalloonTextChar"/>
    <w:uiPriority w:val="99"/>
    <w:semiHidden/>
    <w:unhideWhenUsed/>
    <w:rsid w:val="00CE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A5"/>
    <w:rPr>
      <w:rFonts w:ascii="Tahoma" w:hAnsi="Tahoma" w:cs="Tahoma"/>
      <w:sz w:val="16"/>
      <w:szCs w:val="16"/>
    </w:rPr>
  </w:style>
  <w:style w:type="character" w:styleId="Hyperlink">
    <w:name w:val="Hyperlink"/>
    <w:basedOn w:val="DefaultParagraphFont"/>
    <w:uiPriority w:val="99"/>
    <w:unhideWhenUsed/>
    <w:rsid w:val="00441C82"/>
    <w:rPr>
      <w:color w:val="0000FF" w:themeColor="hyperlink"/>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CE178A"/>
    <w:pPr>
      <w:spacing w:after="0" w:line="240" w:lineRule="auto"/>
      <w:jc w:val="both"/>
    </w:pPr>
    <w:rPr>
      <w:vertAlign w:val="superscript"/>
    </w:rPr>
  </w:style>
  <w:style w:type="character" w:customStyle="1" w:styleId="ListParagraphChar">
    <w:name w:val="List Paragraph Char"/>
    <w:aliases w:val="Footnote Char,Colorful List - Accent 11 Char,List Paragraph2 Char,List Paragraph1 Char,Párrafo de lista1 Char,Lista vistosa - Énfasis 11 Char,Subtle Emphasis1 Char,Footnote1 Char"/>
    <w:link w:val="ListParagraph"/>
    <w:uiPriority w:val="34"/>
    <w:rsid w:val="00A6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943">
      <w:bodyDiv w:val="1"/>
      <w:marLeft w:val="0"/>
      <w:marRight w:val="0"/>
      <w:marTop w:val="0"/>
      <w:marBottom w:val="0"/>
      <w:divBdr>
        <w:top w:val="none" w:sz="0" w:space="0" w:color="auto"/>
        <w:left w:val="none" w:sz="0" w:space="0" w:color="auto"/>
        <w:bottom w:val="none" w:sz="0" w:space="0" w:color="auto"/>
        <w:right w:val="none" w:sz="0" w:space="0" w:color="auto"/>
      </w:divBdr>
    </w:div>
    <w:div w:id="186910341">
      <w:bodyDiv w:val="1"/>
      <w:marLeft w:val="0"/>
      <w:marRight w:val="0"/>
      <w:marTop w:val="0"/>
      <w:marBottom w:val="0"/>
      <w:divBdr>
        <w:top w:val="none" w:sz="0" w:space="0" w:color="auto"/>
        <w:left w:val="none" w:sz="0" w:space="0" w:color="auto"/>
        <w:bottom w:val="none" w:sz="0" w:space="0" w:color="auto"/>
        <w:right w:val="none" w:sz="0" w:space="0" w:color="auto"/>
      </w:divBdr>
    </w:div>
    <w:div w:id="665088536">
      <w:bodyDiv w:val="1"/>
      <w:marLeft w:val="0"/>
      <w:marRight w:val="0"/>
      <w:marTop w:val="0"/>
      <w:marBottom w:val="0"/>
      <w:divBdr>
        <w:top w:val="none" w:sz="0" w:space="0" w:color="auto"/>
        <w:left w:val="none" w:sz="0" w:space="0" w:color="auto"/>
        <w:bottom w:val="none" w:sz="0" w:space="0" w:color="auto"/>
        <w:right w:val="none" w:sz="0" w:space="0" w:color="auto"/>
      </w:divBdr>
    </w:div>
    <w:div w:id="861166541">
      <w:bodyDiv w:val="1"/>
      <w:marLeft w:val="0"/>
      <w:marRight w:val="0"/>
      <w:marTop w:val="0"/>
      <w:marBottom w:val="0"/>
      <w:divBdr>
        <w:top w:val="none" w:sz="0" w:space="0" w:color="auto"/>
        <w:left w:val="none" w:sz="0" w:space="0" w:color="auto"/>
        <w:bottom w:val="none" w:sz="0" w:space="0" w:color="auto"/>
        <w:right w:val="none" w:sz="0" w:space="0" w:color="auto"/>
      </w:divBdr>
    </w:div>
    <w:div w:id="977150989">
      <w:bodyDiv w:val="1"/>
      <w:marLeft w:val="0"/>
      <w:marRight w:val="0"/>
      <w:marTop w:val="0"/>
      <w:marBottom w:val="0"/>
      <w:divBdr>
        <w:top w:val="none" w:sz="0" w:space="0" w:color="auto"/>
        <w:left w:val="none" w:sz="0" w:space="0" w:color="auto"/>
        <w:bottom w:val="none" w:sz="0" w:space="0" w:color="auto"/>
        <w:right w:val="none" w:sz="0" w:space="0" w:color="auto"/>
      </w:divBdr>
    </w:div>
    <w:div w:id="1019745368">
      <w:bodyDiv w:val="1"/>
      <w:marLeft w:val="0"/>
      <w:marRight w:val="0"/>
      <w:marTop w:val="0"/>
      <w:marBottom w:val="0"/>
      <w:divBdr>
        <w:top w:val="none" w:sz="0" w:space="0" w:color="auto"/>
        <w:left w:val="none" w:sz="0" w:space="0" w:color="auto"/>
        <w:bottom w:val="none" w:sz="0" w:space="0" w:color="auto"/>
        <w:right w:val="none" w:sz="0" w:space="0" w:color="auto"/>
      </w:divBdr>
    </w:div>
    <w:div w:id="1099981200">
      <w:bodyDiv w:val="1"/>
      <w:marLeft w:val="0"/>
      <w:marRight w:val="0"/>
      <w:marTop w:val="0"/>
      <w:marBottom w:val="0"/>
      <w:divBdr>
        <w:top w:val="none" w:sz="0" w:space="0" w:color="auto"/>
        <w:left w:val="none" w:sz="0" w:space="0" w:color="auto"/>
        <w:bottom w:val="none" w:sz="0" w:space="0" w:color="auto"/>
        <w:right w:val="none" w:sz="0" w:space="0" w:color="auto"/>
      </w:divBdr>
    </w:div>
    <w:div w:id="1116480565">
      <w:bodyDiv w:val="1"/>
      <w:marLeft w:val="0"/>
      <w:marRight w:val="0"/>
      <w:marTop w:val="0"/>
      <w:marBottom w:val="0"/>
      <w:divBdr>
        <w:top w:val="none" w:sz="0" w:space="0" w:color="auto"/>
        <w:left w:val="none" w:sz="0" w:space="0" w:color="auto"/>
        <w:bottom w:val="none" w:sz="0" w:space="0" w:color="auto"/>
        <w:right w:val="none" w:sz="0" w:space="0" w:color="auto"/>
      </w:divBdr>
    </w:div>
    <w:div w:id="1431513586">
      <w:bodyDiv w:val="1"/>
      <w:marLeft w:val="0"/>
      <w:marRight w:val="0"/>
      <w:marTop w:val="0"/>
      <w:marBottom w:val="0"/>
      <w:divBdr>
        <w:top w:val="none" w:sz="0" w:space="0" w:color="auto"/>
        <w:left w:val="none" w:sz="0" w:space="0" w:color="auto"/>
        <w:bottom w:val="none" w:sz="0" w:space="0" w:color="auto"/>
        <w:right w:val="none" w:sz="0" w:space="0" w:color="auto"/>
      </w:divBdr>
    </w:div>
    <w:div w:id="1848054645">
      <w:bodyDiv w:val="1"/>
      <w:marLeft w:val="0"/>
      <w:marRight w:val="0"/>
      <w:marTop w:val="0"/>
      <w:marBottom w:val="0"/>
      <w:divBdr>
        <w:top w:val="none" w:sz="0" w:space="0" w:color="auto"/>
        <w:left w:val="none" w:sz="0" w:space="0" w:color="auto"/>
        <w:bottom w:val="none" w:sz="0" w:space="0" w:color="auto"/>
        <w:right w:val="none" w:sz="0" w:space="0" w:color="auto"/>
      </w:divBdr>
    </w:div>
    <w:div w:id="1906717398">
      <w:bodyDiv w:val="1"/>
      <w:marLeft w:val="0"/>
      <w:marRight w:val="0"/>
      <w:marTop w:val="0"/>
      <w:marBottom w:val="0"/>
      <w:divBdr>
        <w:top w:val="none" w:sz="0" w:space="0" w:color="auto"/>
        <w:left w:val="none" w:sz="0" w:space="0" w:color="auto"/>
        <w:bottom w:val="none" w:sz="0" w:space="0" w:color="auto"/>
        <w:right w:val="none" w:sz="0" w:space="0" w:color="auto"/>
      </w:divBdr>
    </w:div>
    <w:div w:id="20281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5D6A-6684-45D7-A90F-871C46A7D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5446</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2019-02-18T15:00:00Z</cp:lastPrinted>
  <dcterms:created xsi:type="dcterms:W3CDTF">2019-02-18T15:12:00Z</dcterms:created>
  <dcterms:modified xsi:type="dcterms:W3CDTF">2019-02-18T15:12:00Z</dcterms:modified>
</cp:coreProperties>
</file>