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18B33" w14:textId="77777777" w:rsidR="00CD77A3" w:rsidRDefault="00CD77A3" w:rsidP="00684C89">
      <w:pPr>
        <w:spacing w:after="0"/>
        <w:ind w:right="-317"/>
        <w:jc w:val="center"/>
        <w:rPr>
          <w:rFonts w:cs="Verdana Bold"/>
          <w:b/>
          <w:bCs/>
          <w:caps/>
        </w:rPr>
      </w:pPr>
    </w:p>
    <w:p w14:paraId="049CB1B9" w14:textId="77777777" w:rsidR="009B1712" w:rsidRDefault="009B1712" w:rsidP="00684C89">
      <w:pPr>
        <w:spacing w:after="0"/>
        <w:ind w:right="-317"/>
        <w:jc w:val="center"/>
        <w:rPr>
          <w:rFonts w:cs="Verdana Bold"/>
          <w:b/>
          <w:bCs/>
          <w:caps/>
        </w:rPr>
      </w:pPr>
    </w:p>
    <w:p w14:paraId="0A5AB531" w14:textId="77777777" w:rsidR="009B1712" w:rsidRDefault="009B1712" w:rsidP="00684C89">
      <w:pPr>
        <w:spacing w:after="0"/>
        <w:ind w:right="-317"/>
        <w:jc w:val="center"/>
        <w:rPr>
          <w:rFonts w:cs="Verdana Bold"/>
          <w:b/>
          <w:bCs/>
          <w:caps/>
        </w:rPr>
      </w:pPr>
    </w:p>
    <w:p w14:paraId="54E5C801" w14:textId="77777777" w:rsidR="009B1712" w:rsidRPr="00684C89" w:rsidRDefault="009B1712" w:rsidP="00684C89">
      <w:pPr>
        <w:spacing w:after="0"/>
        <w:ind w:right="-317"/>
        <w:jc w:val="center"/>
        <w:rPr>
          <w:rFonts w:cs="Verdana Bold"/>
          <w:b/>
          <w:bCs/>
          <w:caps/>
        </w:rPr>
      </w:pPr>
    </w:p>
    <w:p w14:paraId="61A18B38" w14:textId="77777777" w:rsidR="002A2934" w:rsidRPr="00684C89" w:rsidRDefault="002A2934" w:rsidP="00684C89">
      <w:pPr>
        <w:spacing w:after="0"/>
        <w:ind w:right="-317"/>
        <w:jc w:val="center"/>
        <w:rPr>
          <w:rFonts w:cs="Verdana Bold"/>
          <w:b/>
          <w:bCs/>
          <w:caps/>
        </w:rPr>
      </w:pPr>
    </w:p>
    <w:p w14:paraId="61A18B39" w14:textId="77777777" w:rsidR="00CD77A3" w:rsidRPr="00684C89" w:rsidRDefault="00CD77A3" w:rsidP="00684C89">
      <w:pPr>
        <w:spacing w:after="0"/>
        <w:ind w:right="-317"/>
        <w:rPr>
          <w:rFonts w:cs="Verdana Bold"/>
          <w:b/>
          <w:bCs/>
          <w:caps/>
        </w:rPr>
      </w:pPr>
    </w:p>
    <w:p w14:paraId="61A18B3A" w14:textId="77777777" w:rsidR="00CD77A3" w:rsidRPr="00684C89" w:rsidRDefault="00CD77A3" w:rsidP="00684C89">
      <w:pPr>
        <w:spacing w:after="0"/>
        <w:ind w:right="-316"/>
        <w:jc w:val="center"/>
        <w:rPr>
          <w:rFonts w:cs="Verdana Bold"/>
          <w:b/>
          <w:bCs/>
          <w:caps/>
        </w:rPr>
      </w:pPr>
      <w:r w:rsidRPr="00684C89">
        <w:rPr>
          <w:rFonts w:cs="Verdana Bold"/>
          <w:b/>
          <w:bCs/>
          <w:caps/>
        </w:rPr>
        <w:t>Resolución del Presidente de la</w:t>
      </w:r>
    </w:p>
    <w:p w14:paraId="61A18B3B" w14:textId="77777777" w:rsidR="00CD77A3" w:rsidRPr="00684C89" w:rsidRDefault="00CD77A3" w:rsidP="00684C89">
      <w:pPr>
        <w:spacing w:after="0"/>
        <w:ind w:right="-316"/>
        <w:jc w:val="center"/>
        <w:rPr>
          <w:rFonts w:cs="Verdana Bold"/>
          <w:b/>
          <w:bCs/>
          <w:caps/>
        </w:rPr>
      </w:pPr>
      <w:r w:rsidRPr="00684C89">
        <w:rPr>
          <w:rFonts w:cs="Verdana Bold"/>
          <w:b/>
          <w:bCs/>
          <w:caps/>
        </w:rPr>
        <w:t>Corte Interamericana de Derechos Humanos</w:t>
      </w:r>
    </w:p>
    <w:p w14:paraId="61A18B3C" w14:textId="77777777" w:rsidR="00CD77A3" w:rsidRPr="00684C89" w:rsidRDefault="00161450" w:rsidP="00684C89">
      <w:pPr>
        <w:spacing w:after="0"/>
        <w:ind w:right="-316"/>
        <w:jc w:val="center"/>
        <w:rPr>
          <w:rFonts w:cs="Verdana Bold"/>
          <w:b/>
          <w:bCs/>
          <w:caps/>
        </w:rPr>
      </w:pPr>
      <w:r w:rsidRPr="00684C89">
        <w:rPr>
          <w:rFonts w:cs="Verdana Bold"/>
          <w:b/>
          <w:bCs/>
          <w:caps/>
        </w:rPr>
        <w:t>EN EJERCICIO PARA EL PRESENTE CASO</w:t>
      </w:r>
      <w:r w:rsidRPr="00684C89">
        <w:rPr>
          <w:rStyle w:val="FootnoteReference"/>
          <w:bCs/>
        </w:rPr>
        <w:footnoteReference w:customMarkFollows="1" w:id="1"/>
        <w:sym w:font="Symbol" w:char="F02A"/>
      </w:r>
    </w:p>
    <w:p w14:paraId="61A18B3D" w14:textId="77777777" w:rsidR="00161450" w:rsidRPr="00684C89" w:rsidRDefault="00161450" w:rsidP="00684C89">
      <w:pPr>
        <w:spacing w:after="0"/>
        <w:ind w:right="-316"/>
        <w:jc w:val="center"/>
        <w:rPr>
          <w:rFonts w:cs="Verdana Bold"/>
          <w:b/>
          <w:bCs/>
          <w:caps/>
        </w:rPr>
      </w:pPr>
    </w:p>
    <w:p w14:paraId="61A18B3E" w14:textId="723132A0" w:rsidR="00684C89" w:rsidRPr="00684C89" w:rsidRDefault="00350AC9" w:rsidP="00684C89">
      <w:pPr>
        <w:autoSpaceDE w:val="0"/>
        <w:autoSpaceDN w:val="0"/>
        <w:adjustRightInd w:val="0"/>
        <w:spacing w:after="0"/>
        <w:jc w:val="center"/>
        <w:rPr>
          <w:b/>
          <w:bCs/>
          <w:color w:val="000000"/>
          <w:lang w:val="es-ES" w:eastAsia="en-US"/>
        </w:rPr>
      </w:pPr>
      <w:r>
        <w:rPr>
          <w:b/>
          <w:bCs/>
          <w:color w:val="000000"/>
          <w:lang w:val="es-ES" w:eastAsia="en-US"/>
        </w:rPr>
        <w:t>DE 1</w:t>
      </w:r>
      <w:r w:rsidR="00684C89" w:rsidRPr="00684C89">
        <w:rPr>
          <w:b/>
          <w:bCs/>
          <w:color w:val="000000"/>
          <w:lang w:val="es-ES" w:eastAsia="en-US"/>
        </w:rPr>
        <w:t xml:space="preserve"> DICIEMBRE DE 2015</w:t>
      </w:r>
    </w:p>
    <w:p w14:paraId="61A18B3F" w14:textId="77777777" w:rsidR="00684C89" w:rsidRPr="00684C89" w:rsidRDefault="00684C89" w:rsidP="00684C89">
      <w:pPr>
        <w:autoSpaceDE w:val="0"/>
        <w:autoSpaceDN w:val="0"/>
        <w:adjustRightInd w:val="0"/>
        <w:spacing w:after="0"/>
        <w:jc w:val="center"/>
        <w:rPr>
          <w:color w:val="000000"/>
          <w:lang w:val="es-ES" w:eastAsia="en-US"/>
        </w:rPr>
      </w:pPr>
    </w:p>
    <w:p w14:paraId="61A18B40" w14:textId="77777777" w:rsidR="00684C89" w:rsidRPr="00684C89" w:rsidRDefault="00684C89" w:rsidP="00684C89">
      <w:pPr>
        <w:autoSpaceDE w:val="0"/>
        <w:autoSpaceDN w:val="0"/>
        <w:adjustRightInd w:val="0"/>
        <w:spacing w:after="0"/>
        <w:jc w:val="center"/>
        <w:rPr>
          <w:b/>
          <w:bCs/>
          <w:color w:val="000000"/>
          <w:lang w:val="es-ES" w:eastAsia="en-US"/>
        </w:rPr>
      </w:pPr>
      <w:r w:rsidRPr="00684C89">
        <w:rPr>
          <w:b/>
          <w:bCs/>
          <w:color w:val="000000"/>
          <w:lang w:val="es-ES" w:eastAsia="en-US"/>
        </w:rPr>
        <w:t>FONDO DE ASISTENCIA LEGAL DE VÍCTIMAS</w:t>
      </w:r>
    </w:p>
    <w:p w14:paraId="61A18B41" w14:textId="77777777" w:rsidR="00684C89" w:rsidRPr="00684C89" w:rsidRDefault="00684C89" w:rsidP="00684C89">
      <w:pPr>
        <w:autoSpaceDE w:val="0"/>
        <w:autoSpaceDN w:val="0"/>
        <w:adjustRightInd w:val="0"/>
        <w:spacing w:after="0"/>
        <w:jc w:val="center"/>
        <w:rPr>
          <w:b/>
          <w:bCs/>
          <w:color w:val="000000"/>
          <w:lang w:val="es-ES" w:eastAsia="en-US"/>
        </w:rPr>
      </w:pPr>
    </w:p>
    <w:p w14:paraId="61A18B42" w14:textId="77777777" w:rsidR="00684C89" w:rsidRPr="00684C89" w:rsidRDefault="00684C89" w:rsidP="00684C89">
      <w:pPr>
        <w:autoSpaceDE w:val="0"/>
        <w:autoSpaceDN w:val="0"/>
        <w:adjustRightInd w:val="0"/>
        <w:spacing w:after="0"/>
        <w:jc w:val="center"/>
        <w:rPr>
          <w:b/>
          <w:bCs/>
          <w:color w:val="000000"/>
          <w:lang w:val="es-ES" w:eastAsia="en-US"/>
        </w:rPr>
      </w:pPr>
      <w:r w:rsidRPr="00684C89">
        <w:rPr>
          <w:b/>
          <w:bCs/>
          <w:color w:val="000000"/>
          <w:lang w:val="es-ES" w:eastAsia="en-US"/>
        </w:rPr>
        <w:t xml:space="preserve">CASO VEREDA LA ESPERANZA </w:t>
      </w:r>
      <w:r w:rsidRPr="00B63CF3">
        <w:rPr>
          <w:b/>
          <w:bCs/>
          <w:i/>
          <w:color w:val="000000"/>
          <w:lang w:val="es-ES" w:eastAsia="en-US"/>
        </w:rPr>
        <w:t>VS.</w:t>
      </w:r>
      <w:r w:rsidRPr="00684C89">
        <w:rPr>
          <w:b/>
          <w:bCs/>
          <w:color w:val="000000"/>
          <w:lang w:val="es-ES" w:eastAsia="en-US"/>
        </w:rPr>
        <w:t xml:space="preserve"> COLOMBIA</w:t>
      </w:r>
    </w:p>
    <w:p w14:paraId="61A18B43" w14:textId="77777777" w:rsidR="00CD77A3" w:rsidRPr="00684C89" w:rsidRDefault="00CD77A3" w:rsidP="00684C89">
      <w:pPr>
        <w:spacing w:after="0"/>
        <w:rPr>
          <w:b/>
          <w:bCs/>
          <w:caps/>
        </w:rPr>
      </w:pPr>
    </w:p>
    <w:p w14:paraId="61A18B44" w14:textId="77777777" w:rsidR="00CD77A3" w:rsidRPr="00684C89" w:rsidRDefault="00CD77A3" w:rsidP="00684C89">
      <w:pPr>
        <w:spacing w:after="0"/>
        <w:rPr>
          <w:b/>
          <w:bCs/>
          <w:caps/>
        </w:rPr>
      </w:pPr>
    </w:p>
    <w:p w14:paraId="61A18B45" w14:textId="77777777" w:rsidR="00CD77A3" w:rsidRPr="00684C89" w:rsidRDefault="00CD77A3" w:rsidP="00684C89">
      <w:pPr>
        <w:spacing w:after="0"/>
        <w:rPr>
          <w:b/>
          <w:bCs/>
          <w:caps/>
        </w:rPr>
      </w:pPr>
      <w:r w:rsidRPr="00684C89">
        <w:rPr>
          <w:b/>
          <w:bCs/>
          <w:caps/>
        </w:rPr>
        <w:t>Visto:</w:t>
      </w:r>
    </w:p>
    <w:p w14:paraId="61A18B46" w14:textId="77777777" w:rsidR="00CD77A3" w:rsidRPr="00684C89" w:rsidRDefault="00CD77A3" w:rsidP="00684C89">
      <w:pPr>
        <w:spacing w:after="0"/>
        <w:rPr>
          <w:b/>
          <w:bCs/>
          <w:caps/>
        </w:rPr>
      </w:pPr>
    </w:p>
    <w:p w14:paraId="61A18B47" w14:textId="327CB105" w:rsidR="00684C89" w:rsidRPr="00684C89" w:rsidRDefault="00684C89" w:rsidP="00684C89">
      <w:pPr>
        <w:numPr>
          <w:ilvl w:val="0"/>
          <w:numId w:val="14"/>
        </w:numPr>
        <w:autoSpaceDE w:val="0"/>
        <w:autoSpaceDN w:val="0"/>
        <w:adjustRightInd w:val="0"/>
        <w:spacing w:after="0"/>
        <w:ind w:left="0" w:firstLine="180"/>
        <w:rPr>
          <w:lang w:val="es-ES" w:eastAsia="en-US"/>
        </w:rPr>
      </w:pPr>
      <w:r w:rsidRPr="00684C89">
        <w:rPr>
          <w:lang w:val="es-ES" w:eastAsia="en-US"/>
        </w:rPr>
        <w:t xml:space="preserve">El escrito de 13 de diciembre de 2014 y sus anexos, mediante los cuales la Comisión Interamericana de Derechos Humanos (en adelante “la Comisión Interamericana” o “la Comisión”) sometió ante la Corte Interamericana de Derechos Humanos (en adelante “la Corte Interamericana”, “la Corte” o “el Tribunal”) el presente caso. </w:t>
      </w:r>
    </w:p>
    <w:p w14:paraId="61A18B48" w14:textId="77777777" w:rsidR="00684C89" w:rsidRPr="00684C89" w:rsidRDefault="00684C89" w:rsidP="00684C89">
      <w:pPr>
        <w:autoSpaceDE w:val="0"/>
        <w:autoSpaceDN w:val="0"/>
        <w:adjustRightInd w:val="0"/>
        <w:spacing w:after="0"/>
        <w:ind w:left="180"/>
        <w:rPr>
          <w:lang w:val="es-ES" w:eastAsia="en-US"/>
        </w:rPr>
      </w:pPr>
    </w:p>
    <w:p w14:paraId="61A18B49" w14:textId="749FDC63" w:rsidR="00684C89" w:rsidRPr="00684C89" w:rsidRDefault="00684C89" w:rsidP="00684C89">
      <w:pPr>
        <w:numPr>
          <w:ilvl w:val="0"/>
          <w:numId w:val="14"/>
        </w:numPr>
        <w:autoSpaceDE w:val="0"/>
        <w:autoSpaceDN w:val="0"/>
        <w:adjustRightInd w:val="0"/>
        <w:spacing w:after="0"/>
        <w:ind w:left="0" w:firstLine="180"/>
        <w:rPr>
          <w:lang w:val="es-ES" w:eastAsia="en-US"/>
        </w:rPr>
      </w:pPr>
      <w:r w:rsidRPr="00684C89">
        <w:rPr>
          <w:rFonts w:cs="Calibri"/>
          <w:lang w:val="es-ES" w:eastAsia="en-US"/>
        </w:rPr>
        <w:t>El escrito de 24 de abril de 2015</w:t>
      </w:r>
      <w:r w:rsidRPr="00684C89">
        <w:rPr>
          <w:rFonts w:cs="Calibri"/>
          <w:lang w:val="es-MX" w:eastAsia="en-US"/>
        </w:rPr>
        <w:t>, mediante el cual los representantes de las presuntas víctimas (en adelante “los representantes”)</w:t>
      </w:r>
      <w:r w:rsidRPr="00684C89">
        <w:rPr>
          <w:rFonts w:cs="Calibri"/>
          <w:vertAlign w:val="superscript"/>
          <w:lang w:val="es-MX" w:eastAsia="en-US"/>
        </w:rPr>
        <w:footnoteReference w:id="2"/>
      </w:r>
      <w:r w:rsidRPr="00684C89">
        <w:rPr>
          <w:rFonts w:cs="Calibri"/>
          <w:lang w:val="es-MX" w:eastAsia="en-US"/>
        </w:rPr>
        <w:t xml:space="preserve"> presentaron su escrito de solicitudes, argumentos y pruebas (en adelante escrito de solicitudes y argumentos”), ofreci</w:t>
      </w:r>
      <w:r w:rsidR="00D643BE">
        <w:rPr>
          <w:rFonts w:cs="Calibri"/>
          <w:lang w:val="es-MX" w:eastAsia="en-US"/>
        </w:rPr>
        <w:t>eron</w:t>
      </w:r>
      <w:r w:rsidRPr="00684C89">
        <w:rPr>
          <w:rFonts w:cs="Calibri"/>
          <w:lang w:val="es-MX" w:eastAsia="en-US"/>
        </w:rPr>
        <w:t xml:space="preserve"> veintisiete declaraciones testimoniales, ocho peritajes y solicitó acogerse al Fondo Legal de Víctimas (</w:t>
      </w:r>
      <w:r w:rsidRPr="00684C89">
        <w:rPr>
          <w:lang w:val="es-ES" w:eastAsia="en-US"/>
        </w:rPr>
        <w:t>en adelante “Fondo de Asistencia de la Corte” o “Fondo”)</w:t>
      </w:r>
      <w:r w:rsidRPr="00684C89">
        <w:rPr>
          <w:rFonts w:cs="Calibri"/>
          <w:lang w:val="es-MX" w:eastAsia="en-US"/>
        </w:rPr>
        <w:t xml:space="preserve">. </w:t>
      </w:r>
    </w:p>
    <w:p w14:paraId="61A18B4A" w14:textId="77777777" w:rsidR="00684C89" w:rsidRPr="00684C89" w:rsidRDefault="00684C89" w:rsidP="00684C89">
      <w:pPr>
        <w:autoSpaceDE w:val="0"/>
        <w:autoSpaceDN w:val="0"/>
        <w:adjustRightInd w:val="0"/>
        <w:spacing w:after="0"/>
        <w:rPr>
          <w:lang w:val="es-ES" w:eastAsia="en-US"/>
        </w:rPr>
      </w:pPr>
    </w:p>
    <w:p w14:paraId="61A18B4B" w14:textId="33D6BE6C" w:rsidR="00684C89" w:rsidRPr="00684C89" w:rsidRDefault="00684C89" w:rsidP="00684C89">
      <w:pPr>
        <w:numPr>
          <w:ilvl w:val="0"/>
          <w:numId w:val="14"/>
        </w:numPr>
        <w:autoSpaceDE w:val="0"/>
        <w:autoSpaceDN w:val="0"/>
        <w:adjustRightInd w:val="0"/>
        <w:spacing w:after="0"/>
        <w:ind w:left="0" w:firstLine="180"/>
        <w:rPr>
          <w:rFonts w:cs="Calibri"/>
          <w:lang w:val="es-ES" w:eastAsia="en-US"/>
        </w:rPr>
      </w:pPr>
      <w:r w:rsidRPr="00684C89">
        <w:rPr>
          <w:rFonts w:cs="Calibri"/>
          <w:lang w:val="es-ES" w:eastAsia="en-US"/>
        </w:rPr>
        <w:t>El escrito de 7 de septiembre de 2015 y sus anexos, mediante los cuales el Estado de Colombia (en adelante “el Estado” o “Colombia”) presentó su contestación al sometimiento del caso de la Comisión y al escrito de solicitudes, argumentos y pruebas de los representantes</w:t>
      </w:r>
      <w:r w:rsidRPr="00684C89">
        <w:rPr>
          <w:rFonts w:cs="Calibri"/>
          <w:lang w:val="es-CL" w:eastAsia="en-US"/>
        </w:rPr>
        <w:t xml:space="preserve">. </w:t>
      </w:r>
    </w:p>
    <w:p w14:paraId="61A18B4C" w14:textId="77777777" w:rsidR="00CD77A3" w:rsidRPr="00684C89" w:rsidRDefault="00CD77A3" w:rsidP="00684C89">
      <w:pPr>
        <w:autoSpaceDE w:val="0"/>
        <w:autoSpaceDN w:val="0"/>
        <w:adjustRightInd w:val="0"/>
        <w:spacing w:after="0"/>
        <w:rPr>
          <w:color w:val="C00000"/>
          <w:lang w:val="es-CL" w:eastAsia="en-US"/>
        </w:rPr>
      </w:pPr>
    </w:p>
    <w:p w14:paraId="61A18B4D" w14:textId="77777777" w:rsidR="00CD77A3" w:rsidRPr="00684C89" w:rsidRDefault="00CD77A3" w:rsidP="00684C89">
      <w:pPr>
        <w:autoSpaceDE w:val="0"/>
        <w:autoSpaceDN w:val="0"/>
        <w:adjustRightInd w:val="0"/>
        <w:spacing w:after="0"/>
        <w:jc w:val="left"/>
        <w:rPr>
          <w:b/>
          <w:bCs/>
          <w:lang w:val="es-CL" w:eastAsia="en-US"/>
        </w:rPr>
      </w:pPr>
      <w:r w:rsidRPr="00684C89">
        <w:rPr>
          <w:b/>
          <w:bCs/>
          <w:lang w:val="es-CL" w:eastAsia="en-US"/>
        </w:rPr>
        <w:t>CONSIDERANDO QUE:</w:t>
      </w:r>
    </w:p>
    <w:p w14:paraId="61A18B4E" w14:textId="77777777" w:rsidR="00CD77A3" w:rsidRPr="00684C89" w:rsidRDefault="00CD77A3" w:rsidP="00684C89">
      <w:pPr>
        <w:autoSpaceDE w:val="0"/>
        <w:autoSpaceDN w:val="0"/>
        <w:adjustRightInd w:val="0"/>
        <w:spacing w:after="0"/>
        <w:jc w:val="left"/>
        <w:rPr>
          <w:b/>
          <w:bCs/>
          <w:color w:val="C00000"/>
          <w:lang w:val="es-CL" w:eastAsia="en-US"/>
        </w:rPr>
      </w:pPr>
    </w:p>
    <w:p w14:paraId="61A18B4F" w14:textId="77777777" w:rsidR="00684C89" w:rsidRDefault="004A2C71" w:rsidP="00684C89">
      <w:pPr>
        <w:numPr>
          <w:ilvl w:val="0"/>
          <w:numId w:val="2"/>
        </w:numPr>
        <w:tabs>
          <w:tab w:val="clear" w:pos="720"/>
        </w:tabs>
        <w:autoSpaceDE w:val="0"/>
        <w:autoSpaceDN w:val="0"/>
        <w:adjustRightInd w:val="0"/>
        <w:spacing w:after="0"/>
      </w:pPr>
      <w:r w:rsidRPr="00684C89">
        <w:t>Colombia</w:t>
      </w:r>
      <w:r w:rsidR="00CD77A3" w:rsidRPr="00684C89">
        <w:t xml:space="preserve"> es Estado Parte en la Convención Americana </w:t>
      </w:r>
      <w:r w:rsidR="006D44E1">
        <w:t xml:space="preserve">sobre Derechos Humanos </w:t>
      </w:r>
      <w:r w:rsidR="00CD77A3" w:rsidRPr="00684C89">
        <w:t xml:space="preserve">(en adelante “la Convención Americana” o “la Convención”) desde el </w:t>
      </w:r>
      <w:r w:rsidRPr="00684C89">
        <w:rPr>
          <w:lang w:val="es-ES"/>
        </w:rPr>
        <w:t>31 de julio de 1973 y reconoció la competencia contenciosa de la Corte el 21 de junio de 1985.</w:t>
      </w:r>
      <w:r w:rsidR="00684C89">
        <w:t xml:space="preserve"> </w:t>
      </w:r>
    </w:p>
    <w:p w14:paraId="61A18B50" w14:textId="77777777" w:rsidR="00684C89" w:rsidRDefault="00684C89" w:rsidP="00684C89">
      <w:pPr>
        <w:autoSpaceDE w:val="0"/>
        <w:autoSpaceDN w:val="0"/>
        <w:adjustRightInd w:val="0"/>
        <w:spacing w:after="0"/>
      </w:pPr>
    </w:p>
    <w:p w14:paraId="61A18B51" w14:textId="505403D5" w:rsidR="00684C89" w:rsidRPr="00684C89" w:rsidRDefault="00684C89" w:rsidP="00684C89">
      <w:pPr>
        <w:numPr>
          <w:ilvl w:val="0"/>
          <w:numId w:val="2"/>
        </w:numPr>
        <w:tabs>
          <w:tab w:val="clear" w:pos="720"/>
        </w:tabs>
        <w:autoSpaceDE w:val="0"/>
        <w:autoSpaceDN w:val="0"/>
        <w:adjustRightInd w:val="0"/>
        <w:spacing w:after="0"/>
        <w:rPr>
          <w:rFonts w:cs="Arial"/>
          <w:lang w:val="es-CR" w:eastAsia="en-US"/>
        </w:rPr>
      </w:pPr>
      <w:r w:rsidRPr="00684C89">
        <w:rPr>
          <w:lang w:val="es-ES"/>
        </w:rPr>
        <w:t>Los</w:t>
      </w:r>
      <w:r w:rsidRPr="00684C89">
        <w:rPr>
          <w:lang w:val="es-CR"/>
        </w:rPr>
        <w:t xml:space="preserve"> representantes solicitaron la asistencia del Fondo </w:t>
      </w:r>
      <w:r w:rsidRPr="00684C89">
        <w:rPr>
          <w:lang w:val="es-CL"/>
        </w:rPr>
        <w:t xml:space="preserve">para que cubriera los siguientes </w:t>
      </w:r>
      <w:r w:rsidRPr="00684C89">
        <w:rPr>
          <w:rFonts w:cs="Arial"/>
          <w:lang w:val="es-CR" w:eastAsia="en-US"/>
        </w:rPr>
        <w:t xml:space="preserve">costos relacionados con la producción de prueba durante el proceso del presente caso ante la Corte: i) gastos de viaje (pasaje, hotel y </w:t>
      </w:r>
      <w:r w:rsidRPr="00684C89">
        <w:rPr>
          <w:rFonts w:cs="Arial"/>
          <w:i/>
          <w:lang w:val="es-CR" w:eastAsia="en-US"/>
        </w:rPr>
        <w:t>per diem</w:t>
      </w:r>
      <w:r w:rsidRPr="00684C89">
        <w:rPr>
          <w:rFonts w:cs="Arial"/>
          <w:lang w:val="es-CR" w:eastAsia="en-US"/>
        </w:rPr>
        <w:t xml:space="preserve">) de las personas que la Corte llame a declarar en audiencia, incluyendo víctimas, testigos y peritos; ii) gastos de notario derivados de las declaraciones de víctimas, testigos y peritos que la Corte considere pertinente recibir por </w:t>
      </w:r>
      <w:r w:rsidRPr="00684C89">
        <w:rPr>
          <w:rFonts w:cs="Arial"/>
          <w:i/>
          <w:lang w:val="es-CR" w:eastAsia="en-US"/>
        </w:rPr>
        <w:t>affidavit</w:t>
      </w:r>
      <w:r w:rsidRPr="00684C89">
        <w:rPr>
          <w:rFonts w:cs="Arial"/>
          <w:lang w:val="es-CR" w:eastAsia="en-US"/>
        </w:rPr>
        <w:t>, y iii) gastos y viaje derivados de la realización de los peritajes, en aquellos casos en los que los peritos necesiten viajar a la sede de la Corte para la realización de los mismos.</w:t>
      </w:r>
      <w:r w:rsidR="006D44E1">
        <w:rPr>
          <w:rFonts w:cs="Arial"/>
          <w:lang w:val="es-CR" w:eastAsia="en-US"/>
        </w:rPr>
        <w:t xml:space="preserve"> </w:t>
      </w:r>
    </w:p>
    <w:p w14:paraId="61A18B52" w14:textId="77777777" w:rsidR="00684C89" w:rsidRPr="00684C89" w:rsidRDefault="00684C89" w:rsidP="00684C89">
      <w:pPr>
        <w:autoSpaceDE w:val="0"/>
        <w:autoSpaceDN w:val="0"/>
        <w:adjustRightInd w:val="0"/>
        <w:spacing w:after="0"/>
        <w:jc w:val="left"/>
        <w:rPr>
          <w:rFonts w:ascii="Arial" w:hAnsi="Arial" w:cs="Arial"/>
          <w:sz w:val="22"/>
          <w:szCs w:val="22"/>
          <w:lang w:val="es-CR" w:eastAsia="en-US"/>
        </w:rPr>
      </w:pPr>
    </w:p>
    <w:p w14:paraId="61A18B53" w14:textId="77E05E30" w:rsidR="00CD77A3" w:rsidRPr="000164FB" w:rsidRDefault="00540960" w:rsidP="00684C89">
      <w:pPr>
        <w:numPr>
          <w:ilvl w:val="0"/>
          <w:numId w:val="2"/>
        </w:numPr>
        <w:tabs>
          <w:tab w:val="clear" w:pos="720"/>
        </w:tabs>
        <w:autoSpaceDE w:val="0"/>
        <w:autoSpaceDN w:val="0"/>
        <w:adjustRightInd w:val="0"/>
        <w:spacing w:after="0"/>
      </w:pPr>
      <w:r w:rsidRPr="000164FB">
        <w:rPr>
          <w:lang w:val="es-CR"/>
        </w:rPr>
        <w:t xml:space="preserve">El Presidente del Tribunal en ejercicio para este caso (en adelante “Presidente en ejercicio”) constata que </w:t>
      </w:r>
      <w:r w:rsidR="00CD77A3" w:rsidRPr="000164FB">
        <w:t xml:space="preserve">la solicitud para acogerse al Fondo de Asistencia de la Corte fue </w:t>
      </w:r>
      <w:r w:rsidR="00D95836" w:rsidRPr="000164FB">
        <w:t>formul</w:t>
      </w:r>
      <w:r w:rsidR="00CD77A3" w:rsidRPr="000164FB">
        <w:t xml:space="preserve">ada oportunamente </w:t>
      </w:r>
      <w:r w:rsidRPr="000164FB">
        <w:t xml:space="preserve">por los representantes </w:t>
      </w:r>
      <w:r w:rsidR="00CD77A3" w:rsidRPr="000164FB">
        <w:t xml:space="preserve">en el escrito de solicitudes y argumentos. </w:t>
      </w:r>
      <w:r w:rsidR="00D123A0" w:rsidRPr="000164FB">
        <w:t xml:space="preserve">Al respecto, </w:t>
      </w:r>
      <w:r w:rsidR="00CD77A3" w:rsidRPr="000164FB">
        <w:rPr>
          <w:lang w:val="es-CR"/>
        </w:rPr>
        <w:t>entiende que dicha solicitud fue realiz</w:t>
      </w:r>
      <w:r w:rsidR="00D123A0" w:rsidRPr="000164FB">
        <w:rPr>
          <w:lang w:val="es-CR"/>
        </w:rPr>
        <w:t xml:space="preserve">ada en nombre de </w:t>
      </w:r>
      <w:r w:rsidR="00684C89" w:rsidRPr="000164FB">
        <w:rPr>
          <w:lang w:val="es-CR"/>
        </w:rPr>
        <w:t>las</w:t>
      </w:r>
      <w:r w:rsidR="00CD77A3" w:rsidRPr="000164FB">
        <w:rPr>
          <w:lang w:val="es-CR"/>
        </w:rPr>
        <w:t xml:space="preserve"> presun</w:t>
      </w:r>
      <w:r w:rsidR="00D123A0" w:rsidRPr="000164FB">
        <w:rPr>
          <w:lang w:val="es-CR"/>
        </w:rPr>
        <w:t>ta</w:t>
      </w:r>
      <w:r w:rsidR="00684C89" w:rsidRPr="000164FB">
        <w:rPr>
          <w:lang w:val="es-CR"/>
        </w:rPr>
        <w:t>s</w:t>
      </w:r>
      <w:r w:rsidR="00D123A0" w:rsidRPr="000164FB">
        <w:rPr>
          <w:lang w:val="es-CR"/>
        </w:rPr>
        <w:t xml:space="preserve"> víctima</w:t>
      </w:r>
      <w:r w:rsidR="00684C89" w:rsidRPr="000164FB">
        <w:rPr>
          <w:lang w:val="es-CR"/>
        </w:rPr>
        <w:t>s</w:t>
      </w:r>
      <w:r w:rsidR="00CD77A3" w:rsidRPr="000164FB">
        <w:rPr>
          <w:lang w:val="es-CR"/>
        </w:rPr>
        <w:t xml:space="preserve"> y </w:t>
      </w:r>
      <w:r w:rsidR="00CD77A3" w:rsidRPr="000164FB">
        <w:rPr>
          <w:lang w:val="es-ES"/>
        </w:rPr>
        <w:t>toma nota de su carencia de recursos económicos, respecto de lo cual considera suficiente, como evidencia de ello, la</w:t>
      </w:r>
      <w:r w:rsidR="00B9343A" w:rsidRPr="000164FB">
        <w:rPr>
          <w:lang w:val="es-ES"/>
        </w:rPr>
        <w:t>s declaracio</w:t>
      </w:r>
      <w:r w:rsidR="00CD77A3" w:rsidRPr="000164FB">
        <w:rPr>
          <w:lang w:val="es-ES"/>
        </w:rPr>
        <w:t>n</w:t>
      </w:r>
      <w:r w:rsidR="00B9343A" w:rsidRPr="000164FB">
        <w:rPr>
          <w:lang w:val="es-ES"/>
        </w:rPr>
        <w:t>es</w:t>
      </w:r>
      <w:r w:rsidR="00CD77A3" w:rsidRPr="000164FB">
        <w:rPr>
          <w:lang w:val="es-ES"/>
        </w:rPr>
        <w:t xml:space="preserve"> </w:t>
      </w:r>
      <w:r w:rsidR="000164FB" w:rsidRPr="000164FB">
        <w:rPr>
          <w:lang w:val="es-ES"/>
        </w:rPr>
        <w:t>presentada</w:t>
      </w:r>
      <w:r w:rsidR="00B9343A" w:rsidRPr="000164FB">
        <w:rPr>
          <w:lang w:val="es-ES"/>
        </w:rPr>
        <w:t>s</w:t>
      </w:r>
      <w:r w:rsidR="00CD77A3" w:rsidRPr="000164FB">
        <w:rPr>
          <w:lang w:val="es-ES"/>
        </w:rPr>
        <w:t xml:space="preserve"> </w:t>
      </w:r>
      <w:r w:rsidR="00CE6B74" w:rsidRPr="000164FB">
        <w:rPr>
          <w:lang w:val="es-ES"/>
        </w:rPr>
        <w:t xml:space="preserve">por los representantes </w:t>
      </w:r>
      <w:r w:rsidR="00CD77A3" w:rsidRPr="000164FB">
        <w:rPr>
          <w:lang w:val="es-ES"/>
        </w:rPr>
        <w:t>de conformidad con el artículo 2 del Reglamento del Fondo de Asistencia de la Corte.</w:t>
      </w:r>
      <w:r w:rsidR="009536BC" w:rsidRPr="000164FB">
        <w:rPr>
          <w:lang w:val="es-ES"/>
        </w:rPr>
        <w:t xml:space="preserve"> Además, advierte que el Estado no se pronunció en su contestación respecto de la solicitud realizada por </w:t>
      </w:r>
      <w:r w:rsidR="000164FB" w:rsidRPr="000164FB">
        <w:rPr>
          <w:lang w:val="es-ES"/>
        </w:rPr>
        <w:t>los representantes</w:t>
      </w:r>
      <w:r w:rsidR="009536BC" w:rsidRPr="000164FB">
        <w:rPr>
          <w:lang w:val="es-ES"/>
        </w:rPr>
        <w:t>.</w:t>
      </w:r>
    </w:p>
    <w:p w14:paraId="61A18B54" w14:textId="77777777" w:rsidR="00684C89" w:rsidRPr="00684C89" w:rsidRDefault="00684C89" w:rsidP="00684C89">
      <w:pPr>
        <w:autoSpaceDE w:val="0"/>
        <w:autoSpaceDN w:val="0"/>
        <w:adjustRightInd w:val="0"/>
        <w:spacing w:after="0"/>
      </w:pPr>
    </w:p>
    <w:p w14:paraId="61A18B55" w14:textId="7AFD79C4" w:rsidR="00C9769C" w:rsidRPr="00684C89" w:rsidRDefault="00C9769C" w:rsidP="00684C89">
      <w:pPr>
        <w:numPr>
          <w:ilvl w:val="0"/>
          <w:numId w:val="2"/>
        </w:numPr>
        <w:tabs>
          <w:tab w:val="clear" w:pos="720"/>
        </w:tabs>
        <w:autoSpaceDE w:val="0"/>
        <w:autoSpaceDN w:val="0"/>
        <w:adjustRightInd w:val="0"/>
        <w:spacing w:after="0"/>
        <w:rPr>
          <w:lang w:val="es-ES"/>
        </w:rPr>
      </w:pPr>
      <w:r w:rsidRPr="00684C89">
        <w:rPr>
          <w:lang w:val="es-CR"/>
        </w:rPr>
        <w:t>En razón de las consideraciones anteriores, el Presidente en ejercicio establece que e</w:t>
      </w:r>
      <w:r w:rsidR="00475025" w:rsidRPr="00684C89">
        <w:rPr>
          <w:lang w:val="es-CR"/>
        </w:rPr>
        <w:t xml:space="preserve">s procedente la solicitud de </w:t>
      </w:r>
      <w:r w:rsidR="000164FB">
        <w:rPr>
          <w:lang w:val="es-CR"/>
        </w:rPr>
        <w:t>las</w:t>
      </w:r>
      <w:r w:rsidRPr="00684C89">
        <w:rPr>
          <w:lang w:val="es-CR"/>
        </w:rPr>
        <w:t xml:space="preserve"> </w:t>
      </w:r>
      <w:r w:rsidR="00475025" w:rsidRPr="00684C89">
        <w:rPr>
          <w:lang w:val="es-CR"/>
        </w:rPr>
        <w:t>presunta</w:t>
      </w:r>
      <w:r w:rsidR="000164FB">
        <w:rPr>
          <w:lang w:val="es-CR"/>
        </w:rPr>
        <w:t>s</w:t>
      </w:r>
      <w:r w:rsidR="00475025" w:rsidRPr="00684C89">
        <w:rPr>
          <w:lang w:val="es-CR"/>
        </w:rPr>
        <w:t xml:space="preserve"> víctima</w:t>
      </w:r>
      <w:r w:rsidR="000164FB">
        <w:rPr>
          <w:lang w:val="es-CR"/>
        </w:rPr>
        <w:t>s</w:t>
      </w:r>
      <w:r w:rsidRPr="00684C89">
        <w:rPr>
          <w:lang w:val="es-CR"/>
        </w:rPr>
        <w:t xml:space="preserve"> de acogerse al Fondo, en el entendido de que </w:t>
      </w:r>
      <w:r w:rsidR="00105D5D">
        <w:rPr>
          <w:lang w:val="es-CR"/>
        </w:rPr>
        <w:t xml:space="preserve">este estaría destinado a </w:t>
      </w:r>
      <w:r w:rsidRPr="00684C89">
        <w:rPr>
          <w:lang w:val="es-CR"/>
        </w:rPr>
        <w:t xml:space="preserve">solventar los gastos que ocasionaría la </w:t>
      </w:r>
      <w:r w:rsidR="00475025" w:rsidRPr="00684C89">
        <w:rPr>
          <w:lang w:val="es-CR"/>
        </w:rPr>
        <w:t xml:space="preserve">eventual </w:t>
      </w:r>
      <w:r w:rsidRPr="00684C89">
        <w:rPr>
          <w:lang w:val="es-CR"/>
        </w:rPr>
        <w:t xml:space="preserve">comparecencia de </w:t>
      </w:r>
      <w:r w:rsidR="006D44E1">
        <w:rPr>
          <w:lang w:val="es-CR"/>
        </w:rPr>
        <w:t>declarantes y peritos</w:t>
      </w:r>
      <w:r w:rsidRPr="00684C89">
        <w:rPr>
          <w:lang w:val="es-CR"/>
        </w:rPr>
        <w:t xml:space="preserve"> en </w:t>
      </w:r>
      <w:r w:rsidR="00475025" w:rsidRPr="00684C89">
        <w:rPr>
          <w:lang w:val="es-CR"/>
        </w:rPr>
        <w:t>l</w:t>
      </w:r>
      <w:r w:rsidRPr="00684C89">
        <w:rPr>
          <w:lang w:val="es-CR"/>
        </w:rPr>
        <w:t xml:space="preserve">a audiencia pública, así como la presentación de declaraciones juradas a la Corte. En ese sentido, atendiendo a los recursos actualmente disponibles en el Fondo, se otorgará a </w:t>
      </w:r>
      <w:r w:rsidR="00475025" w:rsidRPr="00684C89">
        <w:rPr>
          <w:lang w:val="es-CR"/>
        </w:rPr>
        <w:t>la presunta víctima</w:t>
      </w:r>
      <w:r w:rsidRPr="00684C89">
        <w:rPr>
          <w:lang w:val="es-CR"/>
        </w:rPr>
        <w:t xml:space="preserve"> la ayuda económica necesaria para la presentación de un máximo de </w:t>
      </w:r>
      <w:r w:rsidR="00105D5D" w:rsidRPr="00D643BE">
        <w:rPr>
          <w:lang w:val="es-CR"/>
        </w:rPr>
        <w:t>seis</w:t>
      </w:r>
      <w:r w:rsidR="00705B1C" w:rsidRPr="00D643BE">
        <w:rPr>
          <w:lang w:val="es-CR"/>
        </w:rPr>
        <w:t xml:space="preserve"> </w:t>
      </w:r>
      <w:r w:rsidRPr="00D643BE">
        <w:rPr>
          <w:lang w:val="es-CR"/>
        </w:rPr>
        <w:t>declarantes</w:t>
      </w:r>
      <w:r w:rsidRPr="00684C89">
        <w:rPr>
          <w:lang w:val="es-CR"/>
        </w:rPr>
        <w:t xml:space="preserve">, ya sea en audiencia o por </w:t>
      </w:r>
      <w:r w:rsidR="008A0827" w:rsidRPr="00684C89">
        <w:rPr>
          <w:i/>
          <w:iCs/>
          <w:lang w:val="es-CR"/>
        </w:rPr>
        <w:t>affidavit</w:t>
      </w:r>
      <w:r w:rsidRPr="00684C89">
        <w:rPr>
          <w:lang w:val="es-CR"/>
        </w:rPr>
        <w:t xml:space="preserve">. </w:t>
      </w:r>
    </w:p>
    <w:p w14:paraId="61A18B56" w14:textId="77777777" w:rsidR="00684C89" w:rsidRPr="00684C89" w:rsidRDefault="00684C89" w:rsidP="00684C89">
      <w:pPr>
        <w:autoSpaceDE w:val="0"/>
        <w:autoSpaceDN w:val="0"/>
        <w:adjustRightInd w:val="0"/>
        <w:spacing w:after="0"/>
        <w:rPr>
          <w:lang w:val="es-ES"/>
        </w:rPr>
      </w:pPr>
    </w:p>
    <w:p w14:paraId="61A18B57" w14:textId="63BC2DB3" w:rsidR="00927D05" w:rsidRPr="00684C89" w:rsidRDefault="00C9769C" w:rsidP="00684C89">
      <w:pPr>
        <w:numPr>
          <w:ilvl w:val="0"/>
          <w:numId w:val="2"/>
        </w:numPr>
        <w:tabs>
          <w:tab w:val="clear" w:pos="720"/>
        </w:tabs>
        <w:autoSpaceDE w:val="0"/>
        <w:autoSpaceDN w:val="0"/>
        <w:adjustRightInd w:val="0"/>
        <w:spacing w:after="0"/>
        <w:rPr>
          <w:lang w:val="es-ES"/>
        </w:rPr>
      </w:pPr>
      <w:r w:rsidRPr="00684C89">
        <w:rPr>
          <w:lang w:val="es-CR"/>
        </w:rPr>
        <w:t>Por otra parte, el Presidente en ejercicio estima conveniente postergar la determinación del monto, destino y objeto específicos de la asistencia económica que ser</w:t>
      </w:r>
      <w:r w:rsidR="002205F7" w:rsidRPr="00684C89">
        <w:rPr>
          <w:lang w:val="es-CR"/>
        </w:rPr>
        <w:t xml:space="preserve">á brindada a </w:t>
      </w:r>
      <w:r w:rsidR="00215474">
        <w:rPr>
          <w:lang w:val="es-CR"/>
        </w:rPr>
        <w:t>las</w:t>
      </w:r>
      <w:r w:rsidR="002205F7" w:rsidRPr="00684C89">
        <w:rPr>
          <w:lang w:val="es-CR"/>
        </w:rPr>
        <w:t xml:space="preserve"> presunta</w:t>
      </w:r>
      <w:r w:rsidR="00215474">
        <w:rPr>
          <w:lang w:val="es-CR"/>
        </w:rPr>
        <w:t>s</w:t>
      </w:r>
      <w:r w:rsidR="002205F7" w:rsidRPr="00684C89">
        <w:rPr>
          <w:lang w:val="es-CR"/>
        </w:rPr>
        <w:t xml:space="preserve"> víctima</w:t>
      </w:r>
      <w:r w:rsidR="00215474">
        <w:rPr>
          <w:lang w:val="es-CR"/>
        </w:rPr>
        <w:t>s</w:t>
      </w:r>
      <w:r w:rsidRPr="00684C89">
        <w:rPr>
          <w:lang w:val="es-CR"/>
        </w:rPr>
        <w:t xml:space="preserve"> para el momento en el cual </w:t>
      </w:r>
      <w:r w:rsidR="00D643BE">
        <w:rPr>
          <w:lang w:val="es-CR"/>
        </w:rPr>
        <w:t xml:space="preserve">se </w:t>
      </w:r>
      <w:r w:rsidRPr="00684C89">
        <w:rPr>
          <w:lang w:val="es-CR"/>
        </w:rPr>
        <w:t xml:space="preserve">resuelva sobre la procedencia y relevancia de las declaraciones </w:t>
      </w:r>
      <w:r w:rsidR="002205F7" w:rsidRPr="00684C89">
        <w:rPr>
          <w:lang w:val="es-CR"/>
        </w:rPr>
        <w:t xml:space="preserve">ofrecidas </w:t>
      </w:r>
      <w:r w:rsidRPr="00684C89">
        <w:rPr>
          <w:lang w:val="es-CR"/>
        </w:rPr>
        <w:t>y</w:t>
      </w:r>
      <w:r w:rsidR="002205F7" w:rsidRPr="00684C89">
        <w:rPr>
          <w:lang w:val="es-CR"/>
        </w:rPr>
        <w:t xml:space="preserve"> </w:t>
      </w:r>
      <w:r w:rsidRPr="00684C89">
        <w:rPr>
          <w:lang w:val="es-CR"/>
        </w:rPr>
        <w:t xml:space="preserve">la apertura del procedimiento oral, conforme al artículo 50.1 del Reglamento de este Tribunal, de forma tal que se tenga certeza de las que serán recibidas por la Corte, así como de los medios por los cuales éstas serán presentadas. </w:t>
      </w:r>
    </w:p>
    <w:p w14:paraId="61A18B58" w14:textId="77777777" w:rsidR="00684C89" w:rsidRPr="00684C89" w:rsidRDefault="00684C89" w:rsidP="00684C89">
      <w:pPr>
        <w:autoSpaceDE w:val="0"/>
        <w:autoSpaceDN w:val="0"/>
        <w:adjustRightInd w:val="0"/>
        <w:spacing w:after="0"/>
        <w:rPr>
          <w:lang w:val="es-ES"/>
        </w:rPr>
      </w:pPr>
    </w:p>
    <w:p w14:paraId="61A18B59" w14:textId="77777777" w:rsidR="00CD77A3" w:rsidRPr="00684C89" w:rsidRDefault="00CD77A3" w:rsidP="00684C89">
      <w:pPr>
        <w:numPr>
          <w:ilvl w:val="0"/>
          <w:numId w:val="2"/>
        </w:numPr>
        <w:tabs>
          <w:tab w:val="clear" w:pos="720"/>
        </w:tabs>
        <w:autoSpaceDE w:val="0"/>
        <w:autoSpaceDN w:val="0"/>
        <w:adjustRightInd w:val="0"/>
        <w:spacing w:after="0"/>
      </w:pPr>
      <w:r w:rsidRPr="00684C89">
        <w:rPr>
          <w:color w:val="000000"/>
          <w:lang w:val="es-CR" w:eastAsia="en-US"/>
        </w:rPr>
        <w:t xml:space="preserve">Finalmente, el Presidente </w:t>
      </w:r>
      <w:r w:rsidR="0011657F" w:rsidRPr="00684C89">
        <w:rPr>
          <w:color w:val="000000"/>
          <w:lang w:val="es-CR" w:eastAsia="en-US"/>
        </w:rPr>
        <w:t xml:space="preserve">en Ejercicio </w:t>
      </w:r>
      <w:r w:rsidRPr="00684C89">
        <w:rPr>
          <w:color w:val="000000"/>
          <w:lang w:val="es-CR" w:eastAsia="en-US"/>
        </w:rPr>
        <w:t xml:space="preserve">recuerda que, según el artículo 5 del Reglamento del Fondo, se informará oportunamente al Estado demandado las erogaciones realizadas en aplicación del Fondo de Asistencia Legal, para que presente sus observaciones, si así lo desea, dentro del plazo que se establezca al efecto.  </w:t>
      </w:r>
    </w:p>
    <w:p w14:paraId="61A18B5A" w14:textId="77777777" w:rsidR="00CD77A3" w:rsidRPr="00684C89" w:rsidRDefault="00CD77A3" w:rsidP="00684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bCs/>
        </w:rPr>
      </w:pPr>
    </w:p>
    <w:p w14:paraId="61A18B5B" w14:textId="77777777" w:rsidR="00CD77A3" w:rsidRPr="00684C89" w:rsidRDefault="00CD77A3" w:rsidP="00684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684C89">
        <w:rPr>
          <w:b/>
          <w:bCs/>
        </w:rPr>
        <w:t xml:space="preserve">POR TANTO:  </w:t>
      </w:r>
    </w:p>
    <w:p w14:paraId="61A18B5C" w14:textId="77777777" w:rsidR="002A2934" w:rsidRPr="00684C89" w:rsidRDefault="002A2934" w:rsidP="00684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bCs/>
        </w:rPr>
      </w:pPr>
    </w:p>
    <w:p w14:paraId="61A18B5D" w14:textId="69354BB6" w:rsidR="00CD77A3" w:rsidRDefault="00CD77A3" w:rsidP="00684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bCs/>
        </w:rPr>
      </w:pPr>
      <w:r w:rsidRPr="00684C89">
        <w:rPr>
          <w:b/>
          <w:bCs/>
        </w:rPr>
        <w:t xml:space="preserve">EL PRESIDENTE </w:t>
      </w:r>
      <w:r w:rsidR="00105D5D" w:rsidRPr="00684C89">
        <w:rPr>
          <w:b/>
          <w:bCs/>
        </w:rPr>
        <w:t xml:space="preserve">EN EJERCICIO </w:t>
      </w:r>
      <w:r w:rsidRPr="00684C89">
        <w:rPr>
          <w:b/>
          <w:bCs/>
        </w:rPr>
        <w:t>DE LA CORTE INTERAMERICANA DE DERECHOS HUMANOS</w:t>
      </w:r>
      <w:r w:rsidR="00F30DE0" w:rsidRPr="00684C89">
        <w:rPr>
          <w:b/>
          <w:bCs/>
        </w:rPr>
        <w:t xml:space="preserve"> PARA EL PRESENTE CASO</w:t>
      </w:r>
      <w:r w:rsidRPr="00684C89">
        <w:rPr>
          <w:b/>
          <w:bCs/>
        </w:rPr>
        <w:t xml:space="preserve">,  </w:t>
      </w:r>
    </w:p>
    <w:p w14:paraId="61A18B5E" w14:textId="77777777" w:rsidR="00684C89" w:rsidRPr="00684C89" w:rsidRDefault="00684C89" w:rsidP="00684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p>
    <w:p w14:paraId="61A18B5F" w14:textId="77777777" w:rsidR="00CD77A3" w:rsidRPr="00684C89" w:rsidRDefault="00CD77A3" w:rsidP="00684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684C89">
        <w:t xml:space="preserve">en ejercicio de sus atribuciones en relación al Fondo de Asistencia Legal de Víctimas y de conformidad con el artículo 31 del Reglamento del Tribunal y el artículo 3 del Reglamento del Fondo de Asistencia, </w:t>
      </w:r>
    </w:p>
    <w:p w14:paraId="61A18B60" w14:textId="77777777" w:rsidR="00CD77A3" w:rsidRPr="00684C89" w:rsidRDefault="00CD77A3" w:rsidP="00684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684C89">
        <w:t xml:space="preserve"> </w:t>
      </w:r>
    </w:p>
    <w:p w14:paraId="61A18B61" w14:textId="77777777" w:rsidR="00CD77A3" w:rsidRPr="00684C89" w:rsidRDefault="00CD77A3" w:rsidP="00684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pPr>
      <w:r w:rsidRPr="00684C89">
        <w:rPr>
          <w:b/>
          <w:bCs/>
        </w:rPr>
        <w:t xml:space="preserve">RESUELVE: </w:t>
      </w:r>
    </w:p>
    <w:p w14:paraId="61A18B62" w14:textId="77777777" w:rsidR="00CD77A3" w:rsidRPr="00684C89" w:rsidRDefault="00CD77A3" w:rsidP="00684C8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rPr>
          <w:b/>
          <w:bCs/>
          <w:color w:val="C00000"/>
        </w:rPr>
      </w:pPr>
    </w:p>
    <w:p w14:paraId="61A18B63" w14:textId="59B77F15" w:rsidR="00CD77A3" w:rsidRPr="00684C89" w:rsidRDefault="00CD77A3" w:rsidP="00684C89">
      <w:pPr>
        <w:pStyle w:val="Default"/>
        <w:jc w:val="both"/>
        <w:rPr>
          <w:rFonts w:cs="Times New Roman"/>
          <w:sz w:val="20"/>
          <w:szCs w:val="20"/>
          <w:lang w:val="es-CR"/>
        </w:rPr>
      </w:pPr>
      <w:r w:rsidRPr="00684C89">
        <w:rPr>
          <w:sz w:val="20"/>
          <w:szCs w:val="20"/>
          <w:lang w:val="es-CR"/>
        </w:rPr>
        <w:t xml:space="preserve">1. </w:t>
      </w:r>
      <w:r w:rsidRPr="00684C89">
        <w:rPr>
          <w:sz w:val="20"/>
          <w:szCs w:val="20"/>
          <w:lang w:val="es-CR"/>
        </w:rPr>
        <w:tab/>
        <w:t xml:space="preserve">Declarar procedente la solicitud interpuesta </w:t>
      </w:r>
      <w:r w:rsidR="00A32673" w:rsidRPr="00684C89">
        <w:rPr>
          <w:sz w:val="20"/>
          <w:szCs w:val="20"/>
          <w:lang w:val="es-CR"/>
        </w:rPr>
        <w:t>por la</w:t>
      </w:r>
      <w:r w:rsidR="00215474">
        <w:rPr>
          <w:sz w:val="20"/>
          <w:szCs w:val="20"/>
          <w:lang w:val="es-CR"/>
        </w:rPr>
        <w:t>s</w:t>
      </w:r>
      <w:r w:rsidR="00A32673" w:rsidRPr="00684C89">
        <w:rPr>
          <w:sz w:val="20"/>
          <w:szCs w:val="20"/>
          <w:lang w:val="es-CR"/>
        </w:rPr>
        <w:t xml:space="preserve"> presunta</w:t>
      </w:r>
      <w:r w:rsidR="00215474">
        <w:rPr>
          <w:sz w:val="20"/>
          <w:szCs w:val="20"/>
          <w:lang w:val="es-CR"/>
        </w:rPr>
        <w:t>s</w:t>
      </w:r>
      <w:r w:rsidR="00A32673" w:rsidRPr="00684C89">
        <w:rPr>
          <w:sz w:val="20"/>
          <w:szCs w:val="20"/>
          <w:lang w:val="es-CR"/>
        </w:rPr>
        <w:t xml:space="preserve"> víctima</w:t>
      </w:r>
      <w:r w:rsidR="00215474">
        <w:rPr>
          <w:sz w:val="20"/>
          <w:szCs w:val="20"/>
          <w:lang w:val="es-CR"/>
        </w:rPr>
        <w:t>s</w:t>
      </w:r>
      <w:r w:rsidRPr="00684C89">
        <w:rPr>
          <w:sz w:val="20"/>
          <w:szCs w:val="20"/>
          <w:lang w:val="es-CR"/>
        </w:rPr>
        <w:t>, a través de sus representantes, para acogerse al Fondo de Asistencia Legal de Víctimas de la Corte Interamericana de Derechos Humanos, de modo que se otorgará el apoyo económico</w:t>
      </w:r>
      <w:r w:rsidR="0083738E" w:rsidRPr="00684C89">
        <w:rPr>
          <w:sz w:val="20"/>
          <w:szCs w:val="20"/>
          <w:lang w:val="es-CR"/>
        </w:rPr>
        <w:t xml:space="preserve"> necesario</w:t>
      </w:r>
      <w:r w:rsidRPr="00684C89">
        <w:rPr>
          <w:sz w:val="20"/>
          <w:szCs w:val="20"/>
          <w:lang w:val="es-CR"/>
        </w:rPr>
        <w:t xml:space="preserve">, con cargo al Fondo, para la presentación de un máximo </w:t>
      </w:r>
      <w:r w:rsidRPr="00D643BE">
        <w:rPr>
          <w:sz w:val="20"/>
          <w:szCs w:val="20"/>
          <w:lang w:val="es-CR"/>
        </w:rPr>
        <w:t>de</w:t>
      </w:r>
      <w:r w:rsidR="00A66C5A" w:rsidRPr="00D643BE">
        <w:rPr>
          <w:sz w:val="20"/>
          <w:szCs w:val="20"/>
          <w:lang w:val="es-CR"/>
        </w:rPr>
        <w:t xml:space="preserve"> </w:t>
      </w:r>
      <w:r w:rsidR="00105D5D" w:rsidRPr="00D643BE">
        <w:rPr>
          <w:sz w:val="20"/>
          <w:szCs w:val="20"/>
          <w:lang w:val="es-CR"/>
        </w:rPr>
        <w:t xml:space="preserve">seis </w:t>
      </w:r>
      <w:r w:rsidRPr="00D643BE">
        <w:rPr>
          <w:sz w:val="20"/>
          <w:szCs w:val="20"/>
          <w:lang w:val="es-CR"/>
        </w:rPr>
        <w:t>declaraciones</w:t>
      </w:r>
      <w:r w:rsidRPr="00684C89">
        <w:rPr>
          <w:sz w:val="20"/>
          <w:szCs w:val="20"/>
          <w:lang w:val="es-CR"/>
        </w:rPr>
        <w:t xml:space="preserve">, ya sea en audiencia o por </w:t>
      </w:r>
      <w:r w:rsidR="008A0827" w:rsidRPr="00684C89">
        <w:rPr>
          <w:i/>
          <w:sz w:val="20"/>
          <w:szCs w:val="20"/>
          <w:lang w:val="es-CR"/>
        </w:rPr>
        <w:t>affidavit</w:t>
      </w:r>
      <w:r w:rsidRPr="00684C89">
        <w:rPr>
          <w:sz w:val="20"/>
          <w:szCs w:val="20"/>
          <w:lang w:val="es-CR"/>
        </w:rPr>
        <w:t xml:space="preserve">, y que el monto, destino y objeto específicos de dicha asistencia serán precisados al momento de decidir sobre la evacuación de prueba </w:t>
      </w:r>
      <w:r w:rsidR="006D44E1">
        <w:rPr>
          <w:sz w:val="20"/>
          <w:szCs w:val="20"/>
          <w:lang w:val="es-CR"/>
        </w:rPr>
        <w:t>testimonial y pericial</w:t>
      </w:r>
      <w:r w:rsidRPr="00684C89">
        <w:rPr>
          <w:sz w:val="20"/>
          <w:szCs w:val="20"/>
          <w:lang w:val="es-CR"/>
        </w:rPr>
        <w:t>, y la apertura del procedimiento oral en los términos del artículo 50 del Reglamento del Tribunal, de conformidad con lo establecido en esta Resolución.</w:t>
      </w:r>
    </w:p>
    <w:p w14:paraId="61A18B64" w14:textId="77777777" w:rsidR="00CD77A3" w:rsidRPr="00684C89" w:rsidRDefault="00CD77A3" w:rsidP="00684C89">
      <w:pPr>
        <w:pStyle w:val="Default"/>
        <w:jc w:val="both"/>
        <w:rPr>
          <w:rFonts w:cs="Times New Roman"/>
          <w:b/>
          <w:bCs/>
          <w:sz w:val="20"/>
          <w:szCs w:val="20"/>
          <w:lang w:val="es-CR"/>
        </w:rPr>
      </w:pPr>
    </w:p>
    <w:p w14:paraId="61A18B65" w14:textId="77777777" w:rsidR="00CD77A3" w:rsidRPr="00684C89" w:rsidRDefault="00CD77A3" w:rsidP="00684C89">
      <w:pPr>
        <w:widowControl w:val="0"/>
        <w:tabs>
          <w:tab w:val="left" w:pos="720"/>
        </w:tabs>
        <w:autoSpaceDE w:val="0"/>
        <w:autoSpaceDN w:val="0"/>
        <w:adjustRightInd w:val="0"/>
        <w:spacing w:after="0"/>
      </w:pPr>
      <w:r w:rsidRPr="00684C89">
        <w:t xml:space="preserve">2. </w:t>
      </w:r>
      <w:r w:rsidRPr="00684C89">
        <w:tab/>
        <w:t>Disponer que la Secretaría de la Corte</w:t>
      </w:r>
      <w:r w:rsidRPr="00684C89" w:rsidDel="00E33C09">
        <w:t xml:space="preserve"> n</w:t>
      </w:r>
      <w:r w:rsidRPr="00684C89">
        <w:t xml:space="preserve">otifique la presente Resolución </w:t>
      </w:r>
      <w:r w:rsidR="00A32673" w:rsidRPr="00684C89">
        <w:t>a los representantes de la</w:t>
      </w:r>
      <w:r w:rsidR="00215474">
        <w:t>s</w:t>
      </w:r>
      <w:r w:rsidR="00A32673" w:rsidRPr="00684C89">
        <w:t xml:space="preserve"> presunta</w:t>
      </w:r>
      <w:r w:rsidR="00215474">
        <w:t>s</w:t>
      </w:r>
      <w:r w:rsidR="00A32673" w:rsidRPr="00684C89">
        <w:t xml:space="preserve"> víctima</w:t>
      </w:r>
      <w:r w:rsidR="00215474">
        <w:t>s</w:t>
      </w:r>
      <w:r w:rsidRPr="00684C89">
        <w:t xml:space="preserve">, al Estado de </w:t>
      </w:r>
      <w:r w:rsidR="00A32673" w:rsidRPr="00684C89">
        <w:t>Colombia</w:t>
      </w:r>
      <w:r w:rsidRPr="00684C89">
        <w:t xml:space="preserve"> y a la Comisión Interamericana de Derechos Humanos.</w:t>
      </w:r>
    </w:p>
    <w:p w14:paraId="06D6579E" w14:textId="77777777" w:rsidR="009B1712" w:rsidRDefault="009B1712" w:rsidP="00684C89">
      <w:pPr>
        <w:spacing w:after="0"/>
        <w:jc w:val="left"/>
      </w:pPr>
    </w:p>
    <w:p w14:paraId="2B3F0C5B" w14:textId="6D173420" w:rsidR="00593BF5" w:rsidRDefault="00593BF5" w:rsidP="00684C89">
      <w:pPr>
        <w:spacing w:after="0"/>
        <w:jc w:val="left"/>
      </w:pPr>
      <w:bookmarkStart w:id="0" w:name="_GoBack"/>
      <w:bookmarkEnd w:id="0"/>
    </w:p>
    <w:p w14:paraId="2CC9C9B0" w14:textId="3FF4F7EC" w:rsidR="00593BF5" w:rsidRDefault="00593BF5" w:rsidP="00684C89">
      <w:pPr>
        <w:spacing w:after="0"/>
        <w:jc w:val="left"/>
      </w:pPr>
    </w:p>
    <w:p w14:paraId="7B1AC9E7" w14:textId="03F429B8" w:rsidR="00593BF5" w:rsidRDefault="00593BF5" w:rsidP="00684C89">
      <w:pPr>
        <w:spacing w:after="0"/>
        <w:jc w:val="left"/>
      </w:pPr>
    </w:p>
    <w:p w14:paraId="4DC0AAB0" w14:textId="77777777" w:rsidR="00593BF5" w:rsidRDefault="00593BF5" w:rsidP="00684C89">
      <w:pPr>
        <w:spacing w:after="0"/>
        <w:jc w:val="left"/>
      </w:pPr>
    </w:p>
    <w:p w14:paraId="544B3B7B" w14:textId="77777777" w:rsidR="00593BF5" w:rsidRDefault="00593BF5" w:rsidP="00684C89">
      <w:pPr>
        <w:spacing w:after="0"/>
        <w:jc w:val="left"/>
      </w:pPr>
    </w:p>
    <w:p w14:paraId="61A18B68" w14:textId="1BFF1E02" w:rsidR="002A2934" w:rsidRPr="00684C89" w:rsidRDefault="002A2934" w:rsidP="00C15ED7">
      <w:pPr>
        <w:spacing w:after="0"/>
        <w:jc w:val="right"/>
      </w:pPr>
    </w:p>
    <w:p w14:paraId="3ADA3190" w14:textId="77777777" w:rsidR="00C15ED7" w:rsidRDefault="00C15ED7" w:rsidP="00C15ED7">
      <w:pPr>
        <w:widowControl w:val="0"/>
        <w:autoSpaceDE w:val="0"/>
        <w:autoSpaceDN w:val="0"/>
        <w:adjustRightInd w:val="0"/>
        <w:spacing w:after="0"/>
        <w:ind w:left="4956" w:firstLine="708"/>
      </w:pPr>
      <w:r>
        <w:t xml:space="preserve">      </w:t>
      </w:r>
      <w:r w:rsidR="009B1712">
        <w:t xml:space="preserve"> </w:t>
      </w:r>
      <w:r w:rsidR="00E56BEB" w:rsidRPr="00684C89">
        <w:t>Roberto F. Caldas</w:t>
      </w:r>
    </w:p>
    <w:p w14:paraId="61A18B6A" w14:textId="72C43AF8" w:rsidR="00E56BEB" w:rsidRPr="00684C89" w:rsidRDefault="00C15ED7" w:rsidP="00C15ED7">
      <w:pPr>
        <w:widowControl w:val="0"/>
        <w:autoSpaceDE w:val="0"/>
        <w:autoSpaceDN w:val="0"/>
        <w:adjustRightInd w:val="0"/>
        <w:spacing w:after="0"/>
        <w:ind w:left="4956" w:firstLine="708"/>
      </w:pPr>
      <w:r>
        <w:t xml:space="preserve">   </w:t>
      </w:r>
      <w:r w:rsidR="00E56BEB" w:rsidRPr="00684C89">
        <w:t xml:space="preserve">Presidente </w:t>
      </w:r>
      <w:r w:rsidR="00161450" w:rsidRPr="00684C89">
        <w:t>en E</w:t>
      </w:r>
      <w:r w:rsidR="00E56BEB" w:rsidRPr="00684C89">
        <w:t>jercicio</w:t>
      </w:r>
    </w:p>
    <w:p w14:paraId="61A18B6B" w14:textId="77777777" w:rsidR="00E56BEB" w:rsidRPr="00684C89" w:rsidRDefault="00E56BEB" w:rsidP="00684C89">
      <w:pPr>
        <w:widowControl w:val="0"/>
        <w:autoSpaceDE w:val="0"/>
        <w:autoSpaceDN w:val="0"/>
        <w:adjustRightInd w:val="0"/>
        <w:spacing w:after="0"/>
      </w:pPr>
    </w:p>
    <w:p w14:paraId="61A18B6C" w14:textId="77777777" w:rsidR="002A2934" w:rsidRDefault="002A2934" w:rsidP="00684C89">
      <w:pPr>
        <w:widowControl w:val="0"/>
        <w:autoSpaceDE w:val="0"/>
        <w:autoSpaceDN w:val="0"/>
        <w:adjustRightInd w:val="0"/>
        <w:spacing w:after="0"/>
      </w:pPr>
    </w:p>
    <w:p w14:paraId="1F6B23BC" w14:textId="77777777" w:rsidR="009B1712" w:rsidRDefault="009B1712" w:rsidP="00684C89">
      <w:pPr>
        <w:widowControl w:val="0"/>
        <w:autoSpaceDE w:val="0"/>
        <w:autoSpaceDN w:val="0"/>
        <w:adjustRightInd w:val="0"/>
        <w:spacing w:after="0"/>
      </w:pPr>
    </w:p>
    <w:p w14:paraId="6C469AAB" w14:textId="06D9D75C" w:rsidR="009B1712" w:rsidRPr="00684C89" w:rsidRDefault="009B1712" w:rsidP="00684C89">
      <w:pPr>
        <w:widowControl w:val="0"/>
        <w:autoSpaceDE w:val="0"/>
        <w:autoSpaceDN w:val="0"/>
        <w:adjustRightInd w:val="0"/>
        <w:spacing w:after="0"/>
      </w:pPr>
    </w:p>
    <w:p w14:paraId="61A18B6D" w14:textId="3E070BB4" w:rsidR="002A2934" w:rsidRDefault="002A2934" w:rsidP="00684C89">
      <w:pPr>
        <w:widowControl w:val="0"/>
        <w:autoSpaceDE w:val="0"/>
        <w:autoSpaceDN w:val="0"/>
        <w:adjustRightInd w:val="0"/>
        <w:spacing w:after="0"/>
      </w:pPr>
    </w:p>
    <w:p w14:paraId="6062C5C8" w14:textId="77777777" w:rsidR="00EB2415" w:rsidRDefault="00EB2415" w:rsidP="00684C89">
      <w:pPr>
        <w:widowControl w:val="0"/>
        <w:autoSpaceDE w:val="0"/>
        <w:autoSpaceDN w:val="0"/>
        <w:adjustRightInd w:val="0"/>
        <w:spacing w:after="0"/>
      </w:pPr>
    </w:p>
    <w:p w14:paraId="484A80B8" w14:textId="77777777" w:rsidR="00EB2415" w:rsidRDefault="00EB2415" w:rsidP="00684C89">
      <w:pPr>
        <w:widowControl w:val="0"/>
        <w:autoSpaceDE w:val="0"/>
        <w:autoSpaceDN w:val="0"/>
        <w:adjustRightInd w:val="0"/>
        <w:spacing w:after="0"/>
      </w:pPr>
    </w:p>
    <w:p w14:paraId="6D38DE5E" w14:textId="77777777" w:rsidR="00EB2415" w:rsidRPr="00684C89" w:rsidRDefault="00EB2415" w:rsidP="00684C89">
      <w:pPr>
        <w:widowControl w:val="0"/>
        <w:autoSpaceDE w:val="0"/>
        <w:autoSpaceDN w:val="0"/>
        <w:adjustRightInd w:val="0"/>
        <w:spacing w:after="0"/>
      </w:pPr>
    </w:p>
    <w:p w14:paraId="61A18B6E" w14:textId="77777777" w:rsidR="00E56BEB" w:rsidRPr="00684C89" w:rsidRDefault="00E56BEB" w:rsidP="00EB2415">
      <w:pPr>
        <w:widowControl w:val="0"/>
        <w:autoSpaceDE w:val="0"/>
        <w:autoSpaceDN w:val="0"/>
        <w:adjustRightInd w:val="0"/>
        <w:spacing w:after="0"/>
        <w:ind w:firstLine="708"/>
      </w:pPr>
      <w:r w:rsidRPr="00684C89">
        <w:t>Pablo Saavedra Alessandri</w:t>
      </w:r>
    </w:p>
    <w:p w14:paraId="61A18B6F" w14:textId="61939276" w:rsidR="00E56BEB" w:rsidRPr="00684C89" w:rsidRDefault="00EB2415" w:rsidP="00684C89">
      <w:pPr>
        <w:widowControl w:val="0"/>
        <w:autoSpaceDE w:val="0"/>
        <w:autoSpaceDN w:val="0"/>
        <w:adjustRightInd w:val="0"/>
        <w:spacing w:after="0"/>
        <w:ind w:firstLine="720"/>
      </w:pPr>
      <w:r>
        <w:t xml:space="preserve">         </w:t>
      </w:r>
      <w:r w:rsidR="00E56BEB" w:rsidRPr="00684C89">
        <w:t xml:space="preserve">Secretario </w:t>
      </w:r>
    </w:p>
    <w:p w14:paraId="6BA874E0" w14:textId="3827400B" w:rsidR="009B1712" w:rsidRDefault="009B1712" w:rsidP="00684C89">
      <w:pPr>
        <w:widowControl w:val="0"/>
        <w:autoSpaceDE w:val="0"/>
        <w:autoSpaceDN w:val="0"/>
        <w:adjustRightInd w:val="0"/>
        <w:spacing w:after="0"/>
      </w:pPr>
    </w:p>
    <w:p w14:paraId="38989EA6" w14:textId="2135C110" w:rsidR="009B1712" w:rsidRPr="00684C89" w:rsidRDefault="009B1712" w:rsidP="00684C89">
      <w:pPr>
        <w:widowControl w:val="0"/>
        <w:autoSpaceDE w:val="0"/>
        <w:autoSpaceDN w:val="0"/>
        <w:adjustRightInd w:val="0"/>
        <w:spacing w:after="0"/>
      </w:pPr>
    </w:p>
    <w:p w14:paraId="61A18B72" w14:textId="3060F5FD" w:rsidR="00E56BEB" w:rsidRPr="00684C89" w:rsidRDefault="00E56BEB" w:rsidP="00684C89">
      <w:pPr>
        <w:widowControl w:val="0"/>
        <w:autoSpaceDE w:val="0"/>
        <w:autoSpaceDN w:val="0"/>
        <w:adjustRightInd w:val="0"/>
        <w:spacing w:after="0"/>
      </w:pPr>
      <w:r w:rsidRPr="00684C89">
        <w:t xml:space="preserve">Comuníquese y ejecútese, </w:t>
      </w:r>
    </w:p>
    <w:p w14:paraId="61A18B73" w14:textId="77777777" w:rsidR="002A2934" w:rsidRPr="00684C89" w:rsidRDefault="002A2934" w:rsidP="00684C89">
      <w:pPr>
        <w:widowControl w:val="0"/>
        <w:autoSpaceDE w:val="0"/>
        <w:autoSpaceDN w:val="0"/>
        <w:adjustRightInd w:val="0"/>
        <w:spacing w:after="0"/>
      </w:pPr>
    </w:p>
    <w:p w14:paraId="61A18B74" w14:textId="77777777" w:rsidR="00E56BEB" w:rsidRPr="00684C89" w:rsidRDefault="00E56BEB" w:rsidP="00684C89">
      <w:pPr>
        <w:widowControl w:val="0"/>
        <w:autoSpaceDE w:val="0"/>
        <w:autoSpaceDN w:val="0"/>
        <w:adjustRightInd w:val="0"/>
        <w:spacing w:after="0"/>
      </w:pPr>
    </w:p>
    <w:p w14:paraId="61A18B75" w14:textId="77777777" w:rsidR="00E56BEB" w:rsidRDefault="00E56BEB" w:rsidP="00684C89">
      <w:pPr>
        <w:widowControl w:val="0"/>
        <w:autoSpaceDE w:val="0"/>
        <w:autoSpaceDN w:val="0"/>
        <w:adjustRightInd w:val="0"/>
        <w:spacing w:after="0"/>
      </w:pPr>
    </w:p>
    <w:p w14:paraId="5937AD48" w14:textId="263C4F8A" w:rsidR="002B0004" w:rsidRDefault="00C15ED7" w:rsidP="002B0004">
      <w:pPr>
        <w:widowControl w:val="0"/>
        <w:autoSpaceDE w:val="0"/>
        <w:autoSpaceDN w:val="0"/>
        <w:adjustRightInd w:val="0"/>
        <w:spacing w:after="0"/>
        <w:jc w:val="right"/>
      </w:pPr>
      <w:r>
        <w:t xml:space="preserve"> </w:t>
      </w:r>
    </w:p>
    <w:p w14:paraId="61A18B76" w14:textId="2D9C6502" w:rsidR="00E56BEB" w:rsidRPr="00684C89" w:rsidRDefault="002B0004" w:rsidP="002B0004">
      <w:pPr>
        <w:widowControl w:val="0"/>
        <w:autoSpaceDE w:val="0"/>
        <w:autoSpaceDN w:val="0"/>
        <w:adjustRightInd w:val="0"/>
        <w:spacing w:after="0"/>
        <w:ind w:left="3540" w:firstLine="708"/>
        <w:jc w:val="center"/>
      </w:pPr>
      <w:r>
        <w:t xml:space="preserve">      </w:t>
      </w:r>
      <w:r w:rsidR="00E56BEB" w:rsidRPr="00684C89">
        <w:t>Roberto F. Caldas</w:t>
      </w:r>
    </w:p>
    <w:p w14:paraId="61A18B77" w14:textId="2BE2CBBB" w:rsidR="00E56BEB" w:rsidRPr="00684C89" w:rsidRDefault="002B0004" w:rsidP="002B0004">
      <w:pPr>
        <w:widowControl w:val="0"/>
        <w:autoSpaceDE w:val="0"/>
        <w:autoSpaceDN w:val="0"/>
        <w:adjustRightInd w:val="0"/>
        <w:spacing w:after="0"/>
        <w:ind w:left="4956" w:firstLine="708"/>
      </w:pPr>
      <w:r>
        <w:t xml:space="preserve">   </w:t>
      </w:r>
      <w:r w:rsidR="009B1712">
        <w:t xml:space="preserve"> </w:t>
      </w:r>
      <w:r w:rsidR="00E56BEB" w:rsidRPr="00684C89">
        <w:t xml:space="preserve">Presidente </w:t>
      </w:r>
      <w:r w:rsidR="00161450" w:rsidRPr="00684C89">
        <w:t>en E</w:t>
      </w:r>
      <w:r w:rsidR="00E56BEB" w:rsidRPr="00684C89">
        <w:t>jercicio</w:t>
      </w:r>
    </w:p>
    <w:p w14:paraId="61A18B78" w14:textId="77777777" w:rsidR="00E56BEB" w:rsidRPr="00684C89" w:rsidRDefault="00E56BEB" w:rsidP="00684C89">
      <w:pPr>
        <w:widowControl w:val="0"/>
        <w:autoSpaceDE w:val="0"/>
        <w:autoSpaceDN w:val="0"/>
        <w:adjustRightInd w:val="0"/>
        <w:spacing w:after="0"/>
        <w:ind w:left="7080" w:firstLine="708"/>
      </w:pPr>
    </w:p>
    <w:p w14:paraId="61A18B79" w14:textId="77777777" w:rsidR="00E56BEB" w:rsidRPr="00684C89" w:rsidRDefault="00E56BEB" w:rsidP="00684C89">
      <w:pPr>
        <w:widowControl w:val="0"/>
        <w:autoSpaceDE w:val="0"/>
        <w:autoSpaceDN w:val="0"/>
        <w:adjustRightInd w:val="0"/>
        <w:spacing w:after="0"/>
        <w:ind w:left="6480" w:firstLine="720"/>
      </w:pPr>
    </w:p>
    <w:p w14:paraId="61A18B7A" w14:textId="77777777" w:rsidR="002A2934" w:rsidRDefault="002A2934" w:rsidP="00684C89">
      <w:pPr>
        <w:widowControl w:val="0"/>
        <w:autoSpaceDE w:val="0"/>
        <w:autoSpaceDN w:val="0"/>
        <w:adjustRightInd w:val="0"/>
        <w:spacing w:after="0"/>
      </w:pPr>
    </w:p>
    <w:p w14:paraId="287D5A44" w14:textId="77777777" w:rsidR="00C15ED7" w:rsidRDefault="00C15ED7" w:rsidP="00684C89">
      <w:pPr>
        <w:widowControl w:val="0"/>
        <w:autoSpaceDE w:val="0"/>
        <w:autoSpaceDN w:val="0"/>
        <w:adjustRightInd w:val="0"/>
        <w:spacing w:after="0"/>
      </w:pPr>
    </w:p>
    <w:p w14:paraId="6BFCA922" w14:textId="77777777" w:rsidR="00C15ED7" w:rsidRDefault="00C15ED7" w:rsidP="00684C89">
      <w:pPr>
        <w:widowControl w:val="0"/>
        <w:autoSpaceDE w:val="0"/>
        <w:autoSpaceDN w:val="0"/>
        <w:adjustRightInd w:val="0"/>
        <w:spacing w:after="0"/>
      </w:pPr>
    </w:p>
    <w:p w14:paraId="56F173AA" w14:textId="77777777" w:rsidR="00C15ED7" w:rsidRDefault="00C15ED7" w:rsidP="00684C89">
      <w:pPr>
        <w:widowControl w:val="0"/>
        <w:autoSpaceDE w:val="0"/>
        <w:autoSpaceDN w:val="0"/>
        <w:adjustRightInd w:val="0"/>
        <w:spacing w:after="0"/>
      </w:pPr>
    </w:p>
    <w:p w14:paraId="07EF1368" w14:textId="43567B07" w:rsidR="00C15ED7" w:rsidRPr="00684C89" w:rsidRDefault="00C15ED7" w:rsidP="00684C89">
      <w:pPr>
        <w:widowControl w:val="0"/>
        <w:autoSpaceDE w:val="0"/>
        <w:autoSpaceDN w:val="0"/>
        <w:adjustRightInd w:val="0"/>
        <w:spacing w:after="0"/>
      </w:pPr>
    </w:p>
    <w:p w14:paraId="61A18B7B" w14:textId="77777777" w:rsidR="00E56BEB" w:rsidRPr="00684C89" w:rsidRDefault="00E56BEB" w:rsidP="002B0004">
      <w:pPr>
        <w:widowControl w:val="0"/>
        <w:autoSpaceDE w:val="0"/>
        <w:autoSpaceDN w:val="0"/>
        <w:adjustRightInd w:val="0"/>
        <w:spacing w:after="0"/>
        <w:ind w:firstLine="708"/>
      </w:pPr>
      <w:r w:rsidRPr="00684C89">
        <w:t>Pablo Saavedra Alessandri</w:t>
      </w:r>
    </w:p>
    <w:p w14:paraId="61A18B7C" w14:textId="26AC8906" w:rsidR="00CD77A3" w:rsidRPr="00684C89" w:rsidRDefault="00E56BEB" w:rsidP="00684C89">
      <w:pPr>
        <w:widowControl w:val="0"/>
        <w:autoSpaceDE w:val="0"/>
        <w:autoSpaceDN w:val="0"/>
        <w:adjustRightInd w:val="0"/>
        <w:spacing w:after="0"/>
        <w:rPr>
          <w:color w:val="C00000"/>
        </w:rPr>
      </w:pPr>
      <w:r w:rsidRPr="00684C89">
        <w:t xml:space="preserve">       </w:t>
      </w:r>
      <w:r w:rsidR="002B0004">
        <w:t xml:space="preserve">        </w:t>
      </w:r>
      <w:r w:rsidRPr="00684C89">
        <w:t xml:space="preserve">   Secretario </w:t>
      </w:r>
    </w:p>
    <w:sectPr w:rsidR="00CD77A3" w:rsidRPr="00684C89" w:rsidSect="00FE48AF">
      <w:headerReference w:type="default" r:id="rId12"/>
      <w:pgSz w:w="12240" w:h="15840"/>
      <w:pgMar w:top="1135" w:right="1325" w:bottom="1135" w:left="1276"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F21FD1" w14:textId="77777777" w:rsidR="001059CB" w:rsidRDefault="001059CB" w:rsidP="00BB7C08">
      <w:pPr>
        <w:spacing w:after="0"/>
      </w:pPr>
      <w:r>
        <w:separator/>
      </w:r>
    </w:p>
  </w:endnote>
  <w:endnote w:type="continuationSeparator" w:id="0">
    <w:p w14:paraId="69A9F402" w14:textId="77777777" w:rsidR="001059CB" w:rsidRDefault="001059CB" w:rsidP="00BB7C0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Bold">
    <w:altName w:val="Tahoma"/>
    <w:panose1 w:val="020B0804030504040204"/>
    <w:charset w:val="00"/>
    <w:family w:val="auto"/>
    <w:pitch w:val="variable"/>
    <w:sig w:usb0="00000001"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7853DB" w14:textId="77777777" w:rsidR="001059CB" w:rsidRDefault="001059CB" w:rsidP="00BB7C08">
      <w:pPr>
        <w:spacing w:after="0"/>
      </w:pPr>
      <w:r>
        <w:separator/>
      </w:r>
    </w:p>
  </w:footnote>
  <w:footnote w:type="continuationSeparator" w:id="0">
    <w:p w14:paraId="7E4F7B5F" w14:textId="77777777" w:rsidR="001059CB" w:rsidRDefault="001059CB" w:rsidP="00BB7C08">
      <w:pPr>
        <w:spacing w:after="0"/>
      </w:pPr>
      <w:r>
        <w:continuationSeparator/>
      </w:r>
    </w:p>
  </w:footnote>
  <w:footnote w:id="1">
    <w:p w14:paraId="61A18B83" w14:textId="77777777" w:rsidR="00DC72FF" w:rsidRPr="001509C2" w:rsidRDefault="00DC72FF" w:rsidP="008A0827">
      <w:pPr>
        <w:pStyle w:val="FootnoteText"/>
        <w:spacing w:before="120"/>
      </w:pPr>
      <w:r w:rsidRPr="00E162E7">
        <w:rPr>
          <w:rStyle w:val="FootnoteReference"/>
        </w:rPr>
        <w:sym w:font="Symbol" w:char="F02A"/>
      </w:r>
      <w:r w:rsidRPr="00E162E7">
        <w:t xml:space="preserve"> </w:t>
      </w:r>
      <w:r w:rsidRPr="00E162E7">
        <w:tab/>
        <w:t xml:space="preserve">El Presidente de la Corte, Juez </w:t>
      </w:r>
      <w:r>
        <w:t>Humberto Antonio Sierra Porto</w:t>
      </w:r>
      <w:r w:rsidRPr="00E162E7">
        <w:t xml:space="preserve">, de nacionalidad </w:t>
      </w:r>
      <w:r>
        <w:t>colombian</w:t>
      </w:r>
      <w:r w:rsidRPr="00E162E7">
        <w:t xml:space="preserve">a, no participa en el presente caso de conformidad con los artículos 19.2 del Estatuto y 19.1 del Reglamento de la Corte. Por tal motivo, de conformidad con los artículos 4.2 y 5 del Reglamento del Tribunal, el Juez </w:t>
      </w:r>
      <w:r>
        <w:t>Roberto F. Caldas</w:t>
      </w:r>
      <w:r w:rsidRPr="00E162E7">
        <w:t>, Vicepresidente de la Corte, asumió la Presidencia en ejercicio respecto del presente asunto.</w:t>
      </w:r>
    </w:p>
  </w:footnote>
  <w:footnote w:id="2">
    <w:p w14:paraId="61A18B84" w14:textId="4223F0F9" w:rsidR="00DC72FF" w:rsidRPr="008E5689" w:rsidRDefault="00DC72FF" w:rsidP="00684C89">
      <w:pPr>
        <w:pStyle w:val="FootnoteText"/>
        <w:rPr>
          <w:lang w:val="es-CR"/>
        </w:rPr>
      </w:pPr>
      <w:r w:rsidRPr="008E5689">
        <w:rPr>
          <w:rStyle w:val="FootnoteReference"/>
        </w:rPr>
        <w:footnoteRef/>
      </w:r>
      <w:r w:rsidRPr="008E5689">
        <w:rPr>
          <w:lang w:val="es-CR"/>
        </w:rPr>
        <w:t xml:space="preserve"> </w:t>
      </w:r>
      <w:r w:rsidRPr="008E5689">
        <w:rPr>
          <w:lang w:val="es-CR"/>
        </w:rPr>
        <w:tab/>
        <w:t xml:space="preserve">Mediante escrito de 9 de febrero de 2015, se informó que los representantes de las presuntas víctimas en el caso ante la Corte Interamericana son la Corporación Jurídica Libertad y el Centro por la Justicia y el Derecho Internacional (CEJIL)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A18B81" w14:textId="77777777" w:rsidR="00DC72FF" w:rsidRDefault="00DC72FF">
    <w:pPr>
      <w:pStyle w:val="Header"/>
      <w:jc w:val="center"/>
    </w:pPr>
    <w:r>
      <w:fldChar w:fldCharType="begin"/>
    </w:r>
    <w:r>
      <w:instrText xml:space="preserve"> PAGE   \* MERGEFORMAT </w:instrText>
    </w:r>
    <w:r>
      <w:fldChar w:fldCharType="separate"/>
    </w:r>
    <w:r w:rsidR="00E47C5B">
      <w:rPr>
        <w:noProof/>
      </w:rPr>
      <w:t>2</w:t>
    </w:r>
    <w:r>
      <w:rPr>
        <w:noProof/>
      </w:rPr>
      <w:fldChar w:fldCharType="end"/>
    </w:r>
  </w:p>
  <w:p w14:paraId="61A18B82" w14:textId="77777777" w:rsidR="00DC72FF" w:rsidRDefault="00DC72F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40C54"/>
    <w:multiLevelType w:val="hybridMultilevel"/>
    <w:tmpl w:val="912A6E72"/>
    <w:lvl w:ilvl="0" w:tplc="6496501A">
      <w:start w:val="1"/>
      <w:numFmt w:val="lowerLetter"/>
      <w:lvlText w:val="%1)"/>
      <w:lvlJc w:val="left"/>
      <w:pPr>
        <w:tabs>
          <w:tab w:val="num" w:pos="1440"/>
        </w:tabs>
      </w:pPr>
      <w:rPr>
        <w:rFonts w:hint="default"/>
        <w:b w:val="0"/>
        <w:bCs w:val="0"/>
        <w:i w:val="0"/>
        <w:iCs w:val="0"/>
        <w:color w:val="auto"/>
        <w:sz w:val="16"/>
        <w:szCs w:val="16"/>
      </w:rPr>
    </w:lvl>
    <w:lvl w:ilvl="1" w:tplc="00190409">
      <w:start w:val="1"/>
      <w:numFmt w:val="lowerLetter"/>
      <w:lvlText w:val="%2."/>
      <w:lvlJc w:val="left"/>
      <w:pPr>
        <w:tabs>
          <w:tab w:val="num" w:pos="2160"/>
        </w:tabs>
        <w:ind w:left="2160" w:hanging="360"/>
      </w:pPr>
    </w:lvl>
    <w:lvl w:ilvl="2" w:tplc="001B0409">
      <w:start w:val="1"/>
      <w:numFmt w:val="lowerRoman"/>
      <w:lvlText w:val="%3."/>
      <w:lvlJc w:val="right"/>
      <w:pPr>
        <w:tabs>
          <w:tab w:val="num" w:pos="2880"/>
        </w:tabs>
        <w:ind w:left="2880" w:hanging="180"/>
      </w:pPr>
    </w:lvl>
    <w:lvl w:ilvl="3" w:tplc="000F0409">
      <w:start w:val="1"/>
      <w:numFmt w:val="decimal"/>
      <w:lvlText w:val="%4."/>
      <w:lvlJc w:val="left"/>
      <w:pPr>
        <w:tabs>
          <w:tab w:val="num" w:pos="3600"/>
        </w:tabs>
        <w:ind w:left="3600" w:hanging="360"/>
      </w:pPr>
    </w:lvl>
    <w:lvl w:ilvl="4" w:tplc="00190409">
      <w:start w:val="1"/>
      <w:numFmt w:val="lowerLetter"/>
      <w:lvlText w:val="%5."/>
      <w:lvlJc w:val="left"/>
      <w:pPr>
        <w:tabs>
          <w:tab w:val="num" w:pos="4320"/>
        </w:tabs>
        <w:ind w:left="4320" w:hanging="360"/>
      </w:pPr>
    </w:lvl>
    <w:lvl w:ilvl="5" w:tplc="001B0409">
      <w:start w:val="1"/>
      <w:numFmt w:val="lowerRoman"/>
      <w:lvlText w:val="%6."/>
      <w:lvlJc w:val="right"/>
      <w:pPr>
        <w:tabs>
          <w:tab w:val="num" w:pos="5040"/>
        </w:tabs>
        <w:ind w:left="5040" w:hanging="180"/>
      </w:pPr>
    </w:lvl>
    <w:lvl w:ilvl="6" w:tplc="000F0409">
      <w:start w:val="1"/>
      <w:numFmt w:val="decimal"/>
      <w:lvlText w:val="%7."/>
      <w:lvlJc w:val="left"/>
      <w:pPr>
        <w:tabs>
          <w:tab w:val="num" w:pos="5760"/>
        </w:tabs>
        <w:ind w:left="5760" w:hanging="360"/>
      </w:pPr>
    </w:lvl>
    <w:lvl w:ilvl="7" w:tplc="00190409">
      <w:start w:val="1"/>
      <w:numFmt w:val="lowerLetter"/>
      <w:lvlText w:val="%8."/>
      <w:lvlJc w:val="left"/>
      <w:pPr>
        <w:tabs>
          <w:tab w:val="num" w:pos="6480"/>
        </w:tabs>
        <w:ind w:left="6480" w:hanging="360"/>
      </w:pPr>
    </w:lvl>
    <w:lvl w:ilvl="8" w:tplc="001B0409">
      <w:start w:val="1"/>
      <w:numFmt w:val="lowerRoman"/>
      <w:lvlText w:val="%9."/>
      <w:lvlJc w:val="right"/>
      <w:pPr>
        <w:tabs>
          <w:tab w:val="num" w:pos="7200"/>
        </w:tabs>
        <w:ind w:left="7200" w:hanging="180"/>
      </w:pPr>
    </w:lvl>
  </w:abstractNum>
  <w:abstractNum w:abstractNumId="1">
    <w:nsid w:val="07002DC7"/>
    <w:multiLevelType w:val="hybridMultilevel"/>
    <w:tmpl w:val="B77A3616"/>
    <w:lvl w:ilvl="0" w:tplc="D1C89F24">
      <w:start w:val="3"/>
      <w:numFmt w:val="bullet"/>
      <w:lvlText w:val=""/>
      <w:lvlJc w:val="left"/>
      <w:pPr>
        <w:ind w:left="720" w:hanging="360"/>
      </w:pPr>
      <w:rPr>
        <w:rFonts w:ascii="Symbol" w:eastAsia="Times New Roman" w:hAnsi="Symbol" w:hint="default"/>
      </w:rPr>
    </w:lvl>
    <w:lvl w:ilvl="1" w:tplc="140A0003">
      <w:start w:val="1"/>
      <w:numFmt w:val="bullet"/>
      <w:lvlText w:val="o"/>
      <w:lvlJc w:val="left"/>
      <w:pPr>
        <w:ind w:left="1440" w:hanging="360"/>
      </w:pPr>
      <w:rPr>
        <w:rFonts w:ascii="Courier New" w:hAnsi="Courier New" w:hint="default"/>
      </w:rPr>
    </w:lvl>
    <w:lvl w:ilvl="2" w:tplc="140A0005">
      <w:start w:val="1"/>
      <w:numFmt w:val="bullet"/>
      <w:lvlText w:val=""/>
      <w:lvlJc w:val="left"/>
      <w:pPr>
        <w:ind w:left="2160" w:hanging="360"/>
      </w:pPr>
      <w:rPr>
        <w:rFonts w:ascii="Wingdings" w:hAnsi="Wingdings" w:cs="Wingdings" w:hint="default"/>
      </w:rPr>
    </w:lvl>
    <w:lvl w:ilvl="3" w:tplc="140A0001">
      <w:start w:val="1"/>
      <w:numFmt w:val="bullet"/>
      <w:lvlText w:val=""/>
      <w:lvlJc w:val="left"/>
      <w:pPr>
        <w:ind w:left="2880" w:hanging="360"/>
      </w:pPr>
      <w:rPr>
        <w:rFonts w:ascii="Symbol" w:hAnsi="Symbol" w:cs="Symbol" w:hint="default"/>
      </w:rPr>
    </w:lvl>
    <w:lvl w:ilvl="4" w:tplc="140A0003">
      <w:start w:val="1"/>
      <w:numFmt w:val="bullet"/>
      <w:lvlText w:val="o"/>
      <w:lvlJc w:val="left"/>
      <w:pPr>
        <w:ind w:left="3600" w:hanging="360"/>
      </w:pPr>
      <w:rPr>
        <w:rFonts w:ascii="Courier New" w:hAnsi="Courier New" w:cs="Courier New" w:hint="default"/>
      </w:rPr>
    </w:lvl>
    <w:lvl w:ilvl="5" w:tplc="140A0005">
      <w:start w:val="1"/>
      <w:numFmt w:val="bullet"/>
      <w:lvlText w:val=""/>
      <w:lvlJc w:val="left"/>
      <w:pPr>
        <w:ind w:left="4320" w:hanging="360"/>
      </w:pPr>
      <w:rPr>
        <w:rFonts w:ascii="Wingdings" w:hAnsi="Wingdings" w:cs="Wingdings" w:hint="default"/>
      </w:rPr>
    </w:lvl>
    <w:lvl w:ilvl="6" w:tplc="140A0001">
      <w:start w:val="1"/>
      <w:numFmt w:val="bullet"/>
      <w:lvlText w:val=""/>
      <w:lvlJc w:val="left"/>
      <w:pPr>
        <w:ind w:left="5040" w:hanging="360"/>
      </w:pPr>
      <w:rPr>
        <w:rFonts w:ascii="Symbol" w:hAnsi="Symbol" w:cs="Symbol" w:hint="default"/>
      </w:rPr>
    </w:lvl>
    <w:lvl w:ilvl="7" w:tplc="140A0003">
      <w:start w:val="1"/>
      <w:numFmt w:val="bullet"/>
      <w:lvlText w:val="o"/>
      <w:lvlJc w:val="left"/>
      <w:pPr>
        <w:ind w:left="5760" w:hanging="360"/>
      </w:pPr>
      <w:rPr>
        <w:rFonts w:ascii="Courier New" w:hAnsi="Courier New" w:cs="Courier New" w:hint="default"/>
      </w:rPr>
    </w:lvl>
    <w:lvl w:ilvl="8" w:tplc="140A0005">
      <w:start w:val="1"/>
      <w:numFmt w:val="bullet"/>
      <w:lvlText w:val=""/>
      <w:lvlJc w:val="left"/>
      <w:pPr>
        <w:ind w:left="6480" w:hanging="360"/>
      </w:pPr>
      <w:rPr>
        <w:rFonts w:ascii="Wingdings" w:hAnsi="Wingdings" w:cs="Wingdings" w:hint="default"/>
      </w:rPr>
    </w:lvl>
  </w:abstractNum>
  <w:abstractNum w:abstractNumId="2">
    <w:nsid w:val="1478038E"/>
    <w:multiLevelType w:val="hybridMultilevel"/>
    <w:tmpl w:val="36E2F91E"/>
    <w:lvl w:ilvl="0" w:tplc="888ABF6E">
      <w:start w:val="1"/>
      <w:numFmt w:val="decimal"/>
      <w:lvlText w:val="%1."/>
      <w:lvlJc w:val="left"/>
      <w:pPr>
        <w:tabs>
          <w:tab w:val="num" w:pos="360"/>
        </w:tabs>
        <w:ind w:left="360" w:hanging="360"/>
      </w:pPr>
      <w:rPr>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1D3D5357"/>
    <w:multiLevelType w:val="hybridMultilevel"/>
    <w:tmpl w:val="15D61B2A"/>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4">
    <w:nsid w:val="1E833FB7"/>
    <w:multiLevelType w:val="hybridMultilevel"/>
    <w:tmpl w:val="9E3E3434"/>
    <w:lvl w:ilvl="0" w:tplc="D7F07548">
      <w:start w:val="1"/>
      <w:numFmt w:val="upperLetter"/>
      <w:lvlText w:val="%1)"/>
      <w:lvlJc w:val="left"/>
      <w:pPr>
        <w:tabs>
          <w:tab w:val="num" w:pos="920"/>
        </w:tabs>
        <w:ind w:left="920" w:hanging="360"/>
      </w:pPr>
      <w:rPr>
        <w:rFonts w:hint="default"/>
      </w:rPr>
    </w:lvl>
    <w:lvl w:ilvl="1" w:tplc="00190409">
      <w:start w:val="1"/>
      <w:numFmt w:val="lowerLetter"/>
      <w:lvlText w:val="%2."/>
      <w:lvlJc w:val="left"/>
      <w:pPr>
        <w:tabs>
          <w:tab w:val="num" w:pos="1640"/>
        </w:tabs>
        <w:ind w:left="1640" w:hanging="360"/>
      </w:pPr>
    </w:lvl>
    <w:lvl w:ilvl="2" w:tplc="001B0409">
      <w:start w:val="1"/>
      <w:numFmt w:val="lowerRoman"/>
      <w:lvlText w:val="%3."/>
      <w:lvlJc w:val="right"/>
      <w:pPr>
        <w:tabs>
          <w:tab w:val="num" w:pos="2360"/>
        </w:tabs>
        <w:ind w:left="2360" w:hanging="180"/>
      </w:pPr>
    </w:lvl>
    <w:lvl w:ilvl="3" w:tplc="000F0409">
      <w:start w:val="1"/>
      <w:numFmt w:val="decimal"/>
      <w:lvlText w:val="%4."/>
      <w:lvlJc w:val="left"/>
      <w:pPr>
        <w:tabs>
          <w:tab w:val="num" w:pos="3080"/>
        </w:tabs>
        <w:ind w:left="3080" w:hanging="360"/>
      </w:pPr>
    </w:lvl>
    <w:lvl w:ilvl="4" w:tplc="00190409">
      <w:start w:val="1"/>
      <w:numFmt w:val="lowerLetter"/>
      <w:lvlText w:val="%5."/>
      <w:lvlJc w:val="left"/>
      <w:pPr>
        <w:tabs>
          <w:tab w:val="num" w:pos="3800"/>
        </w:tabs>
        <w:ind w:left="3800" w:hanging="360"/>
      </w:pPr>
    </w:lvl>
    <w:lvl w:ilvl="5" w:tplc="001B0409">
      <w:start w:val="1"/>
      <w:numFmt w:val="lowerRoman"/>
      <w:lvlText w:val="%6."/>
      <w:lvlJc w:val="right"/>
      <w:pPr>
        <w:tabs>
          <w:tab w:val="num" w:pos="4520"/>
        </w:tabs>
        <w:ind w:left="4520" w:hanging="180"/>
      </w:pPr>
    </w:lvl>
    <w:lvl w:ilvl="6" w:tplc="000F0409">
      <w:start w:val="1"/>
      <w:numFmt w:val="decimal"/>
      <w:lvlText w:val="%7."/>
      <w:lvlJc w:val="left"/>
      <w:pPr>
        <w:tabs>
          <w:tab w:val="num" w:pos="5240"/>
        </w:tabs>
        <w:ind w:left="5240" w:hanging="360"/>
      </w:pPr>
    </w:lvl>
    <w:lvl w:ilvl="7" w:tplc="00190409">
      <w:start w:val="1"/>
      <w:numFmt w:val="lowerLetter"/>
      <w:lvlText w:val="%8."/>
      <w:lvlJc w:val="left"/>
      <w:pPr>
        <w:tabs>
          <w:tab w:val="num" w:pos="5960"/>
        </w:tabs>
        <w:ind w:left="5960" w:hanging="360"/>
      </w:pPr>
    </w:lvl>
    <w:lvl w:ilvl="8" w:tplc="001B0409">
      <w:start w:val="1"/>
      <w:numFmt w:val="lowerRoman"/>
      <w:lvlText w:val="%9."/>
      <w:lvlJc w:val="right"/>
      <w:pPr>
        <w:tabs>
          <w:tab w:val="num" w:pos="6680"/>
        </w:tabs>
        <w:ind w:left="6680" w:hanging="180"/>
      </w:pPr>
    </w:lvl>
  </w:abstractNum>
  <w:abstractNum w:abstractNumId="5">
    <w:nsid w:val="2403499F"/>
    <w:multiLevelType w:val="hybridMultilevel"/>
    <w:tmpl w:val="B798DE7E"/>
    <w:lvl w:ilvl="0" w:tplc="0DF00C44">
      <w:start w:val="1"/>
      <w:numFmt w:val="decimal"/>
      <w:lvlText w:val="%1)"/>
      <w:lvlJc w:val="left"/>
      <w:pPr>
        <w:ind w:left="720" w:hanging="360"/>
      </w:pPr>
      <w:rPr>
        <w:rFonts w:hint="default"/>
        <w:b w:val="0"/>
        <w:bCs w:val="0"/>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nsid w:val="33C966A3"/>
    <w:multiLevelType w:val="hybridMultilevel"/>
    <w:tmpl w:val="7B9A36B4"/>
    <w:lvl w:ilvl="0" w:tplc="C46E2F54">
      <w:start w:val="1"/>
      <w:numFmt w:val="decimal"/>
      <w:lvlText w:val="%1."/>
      <w:lvlJc w:val="right"/>
      <w:pPr>
        <w:ind w:left="360" w:hanging="360"/>
      </w:pPr>
      <w:rPr>
        <w:rFonts w:ascii="Verdana" w:hAnsi="Verdana" w:cs="Verdana" w:hint="default"/>
        <w:b w:val="0"/>
        <w:color w:val="auto"/>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DC125BDC">
      <w:start w:val="1"/>
      <w:numFmt w:val="decimal"/>
      <w:lvlText w:val="%4."/>
      <w:lvlJc w:val="left"/>
      <w:pPr>
        <w:ind w:left="0" w:firstLine="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3A38404A"/>
    <w:multiLevelType w:val="hybridMultilevel"/>
    <w:tmpl w:val="CAB04AD4"/>
    <w:lvl w:ilvl="0" w:tplc="06E03C86">
      <w:start w:val="1"/>
      <w:numFmt w:val="decimal"/>
      <w:lvlText w:val="%1."/>
      <w:lvlJc w:val="left"/>
      <w:pPr>
        <w:tabs>
          <w:tab w:val="num" w:pos="720"/>
        </w:tabs>
      </w:pPr>
      <w:rPr>
        <w:rFonts w:ascii="Verdana" w:hAnsi="Verdana" w:cs="Verdana" w:hint="default"/>
        <w:b w:val="0"/>
        <w:bCs w:val="0"/>
        <w:i w:val="0"/>
        <w:iCs w:val="0"/>
        <w:color w:val="auto"/>
        <w:sz w:val="20"/>
        <w:szCs w:val="20"/>
      </w:rPr>
    </w:lvl>
    <w:lvl w:ilvl="1" w:tplc="00190409">
      <w:start w:val="1"/>
      <w:numFmt w:val="lowerLetter"/>
      <w:lvlText w:val="%2."/>
      <w:lvlJc w:val="left"/>
      <w:pPr>
        <w:tabs>
          <w:tab w:val="num" w:pos="1440"/>
        </w:tabs>
        <w:ind w:left="1440" w:hanging="360"/>
      </w:pPr>
    </w:lvl>
    <w:lvl w:ilvl="2" w:tplc="001B0409">
      <w:start w:val="1"/>
      <w:numFmt w:val="lowerRoman"/>
      <w:lvlText w:val="%3."/>
      <w:lvlJc w:val="right"/>
      <w:pPr>
        <w:tabs>
          <w:tab w:val="num" w:pos="2160"/>
        </w:tabs>
        <w:ind w:left="2160" w:hanging="180"/>
      </w:pPr>
    </w:lvl>
    <w:lvl w:ilvl="3" w:tplc="000F0409">
      <w:start w:val="1"/>
      <w:numFmt w:val="decimal"/>
      <w:lvlText w:val="%4."/>
      <w:lvlJc w:val="left"/>
      <w:pPr>
        <w:tabs>
          <w:tab w:val="num" w:pos="2880"/>
        </w:tabs>
        <w:ind w:left="2880" w:hanging="360"/>
      </w:pPr>
    </w:lvl>
    <w:lvl w:ilvl="4" w:tplc="00190409">
      <w:start w:val="1"/>
      <w:numFmt w:val="lowerLetter"/>
      <w:lvlText w:val="%5."/>
      <w:lvlJc w:val="left"/>
      <w:pPr>
        <w:tabs>
          <w:tab w:val="num" w:pos="3600"/>
        </w:tabs>
        <w:ind w:left="3600" w:hanging="360"/>
      </w:pPr>
    </w:lvl>
    <w:lvl w:ilvl="5" w:tplc="001B0409">
      <w:start w:val="1"/>
      <w:numFmt w:val="lowerRoman"/>
      <w:lvlText w:val="%6."/>
      <w:lvlJc w:val="right"/>
      <w:pPr>
        <w:tabs>
          <w:tab w:val="num" w:pos="4320"/>
        </w:tabs>
        <w:ind w:left="4320" w:hanging="180"/>
      </w:pPr>
    </w:lvl>
    <w:lvl w:ilvl="6" w:tplc="000F0409">
      <w:start w:val="1"/>
      <w:numFmt w:val="decimal"/>
      <w:lvlText w:val="%7."/>
      <w:lvlJc w:val="left"/>
      <w:pPr>
        <w:tabs>
          <w:tab w:val="num" w:pos="5040"/>
        </w:tabs>
        <w:ind w:left="5040" w:hanging="360"/>
      </w:pPr>
    </w:lvl>
    <w:lvl w:ilvl="7" w:tplc="00190409">
      <w:start w:val="1"/>
      <w:numFmt w:val="lowerLetter"/>
      <w:lvlText w:val="%8."/>
      <w:lvlJc w:val="left"/>
      <w:pPr>
        <w:tabs>
          <w:tab w:val="num" w:pos="5760"/>
        </w:tabs>
        <w:ind w:left="5760" w:hanging="360"/>
      </w:pPr>
    </w:lvl>
    <w:lvl w:ilvl="8" w:tplc="001B0409">
      <w:start w:val="1"/>
      <w:numFmt w:val="lowerRoman"/>
      <w:lvlText w:val="%9."/>
      <w:lvlJc w:val="right"/>
      <w:pPr>
        <w:tabs>
          <w:tab w:val="num" w:pos="6480"/>
        </w:tabs>
        <w:ind w:left="6480" w:hanging="180"/>
      </w:pPr>
    </w:lvl>
  </w:abstractNum>
  <w:abstractNum w:abstractNumId="8">
    <w:nsid w:val="552537A9"/>
    <w:multiLevelType w:val="hybridMultilevel"/>
    <w:tmpl w:val="B3F42A4C"/>
    <w:lvl w:ilvl="0" w:tplc="E026B7F4">
      <w:start w:val="1"/>
      <w:numFmt w:val="decimal"/>
      <w:lvlText w:val="%1."/>
      <w:lvlJc w:val="right"/>
      <w:pPr>
        <w:ind w:left="540" w:hanging="360"/>
      </w:pPr>
      <w:rPr>
        <w:rFonts w:ascii="Verdana" w:hAnsi="Verdana" w:cs="Verdana" w:hint="default"/>
        <w:b w:val="0"/>
        <w:sz w:val="20"/>
        <w:szCs w:val="2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9">
    <w:nsid w:val="5D8806CF"/>
    <w:multiLevelType w:val="hybridMultilevel"/>
    <w:tmpl w:val="22522F96"/>
    <w:lvl w:ilvl="0" w:tplc="D7EAE586">
      <w:start w:val="2"/>
      <w:numFmt w:val="upperLetter"/>
      <w:lvlText w:val="%1)"/>
      <w:lvlJc w:val="left"/>
      <w:pPr>
        <w:tabs>
          <w:tab w:val="num" w:pos="960"/>
        </w:tabs>
        <w:ind w:left="960" w:hanging="380"/>
      </w:pPr>
      <w:rPr>
        <w:rFonts w:hint="default"/>
        <w:i w:val="0"/>
        <w:iCs w:val="0"/>
      </w:rPr>
    </w:lvl>
    <w:lvl w:ilvl="1" w:tplc="00190409">
      <w:start w:val="1"/>
      <w:numFmt w:val="lowerLetter"/>
      <w:lvlText w:val="%2."/>
      <w:lvlJc w:val="left"/>
      <w:pPr>
        <w:tabs>
          <w:tab w:val="num" w:pos="1660"/>
        </w:tabs>
        <w:ind w:left="1660" w:hanging="360"/>
      </w:pPr>
    </w:lvl>
    <w:lvl w:ilvl="2" w:tplc="001B0409">
      <w:start w:val="1"/>
      <w:numFmt w:val="lowerRoman"/>
      <w:lvlText w:val="%3."/>
      <w:lvlJc w:val="right"/>
      <w:pPr>
        <w:tabs>
          <w:tab w:val="num" w:pos="2380"/>
        </w:tabs>
        <w:ind w:left="2380" w:hanging="180"/>
      </w:pPr>
    </w:lvl>
    <w:lvl w:ilvl="3" w:tplc="000F0409">
      <w:start w:val="1"/>
      <w:numFmt w:val="decimal"/>
      <w:lvlText w:val="%4."/>
      <w:lvlJc w:val="left"/>
      <w:pPr>
        <w:tabs>
          <w:tab w:val="num" w:pos="3100"/>
        </w:tabs>
        <w:ind w:left="3100" w:hanging="360"/>
      </w:pPr>
    </w:lvl>
    <w:lvl w:ilvl="4" w:tplc="00190409">
      <w:start w:val="1"/>
      <w:numFmt w:val="lowerLetter"/>
      <w:lvlText w:val="%5."/>
      <w:lvlJc w:val="left"/>
      <w:pPr>
        <w:tabs>
          <w:tab w:val="num" w:pos="3820"/>
        </w:tabs>
        <w:ind w:left="3820" w:hanging="360"/>
      </w:pPr>
    </w:lvl>
    <w:lvl w:ilvl="5" w:tplc="001B0409">
      <w:start w:val="1"/>
      <w:numFmt w:val="lowerRoman"/>
      <w:lvlText w:val="%6."/>
      <w:lvlJc w:val="right"/>
      <w:pPr>
        <w:tabs>
          <w:tab w:val="num" w:pos="4540"/>
        </w:tabs>
        <w:ind w:left="4540" w:hanging="180"/>
      </w:pPr>
    </w:lvl>
    <w:lvl w:ilvl="6" w:tplc="000F0409">
      <w:start w:val="1"/>
      <w:numFmt w:val="decimal"/>
      <w:lvlText w:val="%7."/>
      <w:lvlJc w:val="left"/>
      <w:pPr>
        <w:tabs>
          <w:tab w:val="num" w:pos="5260"/>
        </w:tabs>
        <w:ind w:left="5260" w:hanging="360"/>
      </w:pPr>
    </w:lvl>
    <w:lvl w:ilvl="7" w:tplc="00190409">
      <w:start w:val="1"/>
      <w:numFmt w:val="lowerLetter"/>
      <w:lvlText w:val="%8."/>
      <w:lvlJc w:val="left"/>
      <w:pPr>
        <w:tabs>
          <w:tab w:val="num" w:pos="5980"/>
        </w:tabs>
        <w:ind w:left="5980" w:hanging="360"/>
      </w:pPr>
    </w:lvl>
    <w:lvl w:ilvl="8" w:tplc="001B0409">
      <w:start w:val="1"/>
      <w:numFmt w:val="lowerRoman"/>
      <w:lvlText w:val="%9."/>
      <w:lvlJc w:val="right"/>
      <w:pPr>
        <w:tabs>
          <w:tab w:val="num" w:pos="6700"/>
        </w:tabs>
        <w:ind w:left="6700" w:hanging="180"/>
      </w:pPr>
    </w:lvl>
  </w:abstractNum>
  <w:abstractNum w:abstractNumId="10">
    <w:nsid w:val="70B238BB"/>
    <w:multiLevelType w:val="hybridMultilevel"/>
    <w:tmpl w:val="A8622FC4"/>
    <w:lvl w:ilvl="0" w:tplc="634A8A0A">
      <w:start w:val="1"/>
      <w:numFmt w:val="lowerLetter"/>
      <w:lvlText w:val="%1)"/>
      <w:lvlJc w:val="left"/>
      <w:pPr>
        <w:ind w:left="720" w:hanging="360"/>
      </w:pPr>
      <w:rPr>
        <w:rFonts w:hint="default"/>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11">
    <w:nsid w:val="729E7571"/>
    <w:multiLevelType w:val="hybridMultilevel"/>
    <w:tmpl w:val="BD667300"/>
    <w:lvl w:ilvl="0" w:tplc="567C2B0E">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7DBF636F"/>
    <w:multiLevelType w:val="hybridMultilevel"/>
    <w:tmpl w:val="3724A778"/>
    <w:lvl w:ilvl="0" w:tplc="05B689A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nsid w:val="7FFC4247"/>
    <w:multiLevelType w:val="hybridMultilevel"/>
    <w:tmpl w:val="7C4AA770"/>
    <w:lvl w:ilvl="0" w:tplc="FA16A95C">
      <w:start w:val="1"/>
      <w:numFmt w:val="decimal"/>
      <w:lvlText w:val="%1)"/>
      <w:lvlJc w:val="left"/>
      <w:pPr>
        <w:ind w:left="720" w:hanging="360"/>
      </w:pPr>
      <w:rPr>
        <w:rFonts w:hint="default"/>
        <w:i w:val="0"/>
        <w:iCs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2"/>
  </w:num>
  <w:num w:numId="2">
    <w:abstractNumId w:val="7"/>
  </w:num>
  <w:num w:numId="3">
    <w:abstractNumId w:val="10"/>
  </w:num>
  <w:num w:numId="4">
    <w:abstractNumId w:val="9"/>
  </w:num>
  <w:num w:numId="5">
    <w:abstractNumId w:val="4"/>
  </w:num>
  <w:num w:numId="6">
    <w:abstractNumId w:val="5"/>
  </w:num>
  <w:num w:numId="7">
    <w:abstractNumId w:val="3"/>
  </w:num>
  <w:num w:numId="8">
    <w:abstractNumId w:val="0"/>
  </w:num>
  <w:num w:numId="9">
    <w:abstractNumId w:val="13"/>
  </w:num>
  <w:num w:numId="10">
    <w:abstractNumId w:val="11"/>
  </w:num>
  <w:num w:numId="11">
    <w:abstractNumId w:val="12"/>
  </w:num>
  <w:num w:numId="12">
    <w:abstractNumId w:val="1"/>
  </w:num>
  <w:num w:numId="13">
    <w:abstractNumId w:val="8"/>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7C08"/>
    <w:rsid w:val="000164FB"/>
    <w:rsid w:val="000278CD"/>
    <w:rsid w:val="00030DC2"/>
    <w:rsid w:val="00035255"/>
    <w:rsid w:val="000616FD"/>
    <w:rsid w:val="0007616F"/>
    <w:rsid w:val="0008465D"/>
    <w:rsid w:val="000D4056"/>
    <w:rsid w:val="000D6A70"/>
    <w:rsid w:val="001059CB"/>
    <w:rsid w:val="00105D5D"/>
    <w:rsid w:val="00110CB4"/>
    <w:rsid w:val="0011657F"/>
    <w:rsid w:val="001258B6"/>
    <w:rsid w:val="0014289F"/>
    <w:rsid w:val="001475C8"/>
    <w:rsid w:val="001503B6"/>
    <w:rsid w:val="001603AE"/>
    <w:rsid w:val="00160C10"/>
    <w:rsid w:val="00161450"/>
    <w:rsid w:val="00162E5D"/>
    <w:rsid w:val="00194783"/>
    <w:rsid w:val="001B7552"/>
    <w:rsid w:val="001C3F1D"/>
    <w:rsid w:val="001E127D"/>
    <w:rsid w:val="001E3525"/>
    <w:rsid w:val="001E799D"/>
    <w:rsid w:val="001F3220"/>
    <w:rsid w:val="001F6344"/>
    <w:rsid w:val="0020252B"/>
    <w:rsid w:val="00215474"/>
    <w:rsid w:val="00216DCC"/>
    <w:rsid w:val="002205F7"/>
    <w:rsid w:val="00227887"/>
    <w:rsid w:val="00231020"/>
    <w:rsid w:val="00243FE8"/>
    <w:rsid w:val="00252417"/>
    <w:rsid w:val="002566F7"/>
    <w:rsid w:val="002A2934"/>
    <w:rsid w:val="002A51DA"/>
    <w:rsid w:val="002B0004"/>
    <w:rsid w:val="002D2225"/>
    <w:rsid w:val="00311926"/>
    <w:rsid w:val="00333553"/>
    <w:rsid w:val="00350AC9"/>
    <w:rsid w:val="00365540"/>
    <w:rsid w:val="00377E06"/>
    <w:rsid w:val="003805DF"/>
    <w:rsid w:val="00391322"/>
    <w:rsid w:val="003B21CE"/>
    <w:rsid w:val="003D74CF"/>
    <w:rsid w:val="003F59C2"/>
    <w:rsid w:val="00423382"/>
    <w:rsid w:val="004457A7"/>
    <w:rsid w:val="00451D98"/>
    <w:rsid w:val="00475025"/>
    <w:rsid w:val="004A2C71"/>
    <w:rsid w:val="004B4D26"/>
    <w:rsid w:val="004D5438"/>
    <w:rsid w:val="004F4D1D"/>
    <w:rsid w:val="00503FE5"/>
    <w:rsid w:val="00506037"/>
    <w:rsid w:val="0051191D"/>
    <w:rsid w:val="005127C2"/>
    <w:rsid w:val="0053040E"/>
    <w:rsid w:val="00540960"/>
    <w:rsid w:val="00544955"/>
    <w:rsid w:val="005462CE"/>
    <w:rsid w:val="00567B6D"/>
    <w:rsid w:val="00573269"/>
    <w:rsid w:val="00580323"/>
    <w:rsid w:val="005847C6"/>
    <w:rsid w:val="00593BF5"/>
    <w:rsid w:val="005A2389"/>
    <w:rsid w:val="005B450F"/>
    <w:rsid w:val="005B66FA"/>
    <w:rsid w:val="005C4CBC"/>
    <w:rsid w:val="005D3351"/>
    <w:rsid w:val="005D383B"/>
    <w:rsid w:val="005E4E7B"/>
    <w:rsid w:val="0060120E"/>
    <w:rsid w:val="0060311D"/>
    <w:rsid w:val="00626259"/>
    <w:rsid w:val="00632492"/>
    <w:rsid w:val="00640BD5"/>
    <w:rsid w:val="006528FC"/>
    <w:rsid w:val="00663BA7"/>
    <w:rsid w:val="0067360A"/>
    <w:rsid w:val="00684C89"/>
    <w:rsid w:val="006A6CF2"/>
    <w:rsid w:val="006C3A76"/>
    <w:rsid w:val="006D1625"/>
    <w:rsid w:val="006D44E1"/>
    <w:rsid w:val="006E7FAE"/>
    <w:rsid w:val="006F11B3"/>
    <w:rsid w:val="006F3470"/>
    <w:rsid w:val="00705B1C"/>
    <w:rsid w:val="007135F7"/>
    <w:rsid w:val="00714C0E"/>
    <w:rsid w:val="00715B66"/>
    <w:rsid w:val="007214A2"/>
    <w:rsid w:val="00724C64"/>
    <w:rsid w:val="00762915"/>
    <w:rsid w:val="00770105"/>
    <w:rsid w:val="007762BF"/>
    <w:rsid w:val="00781AD9"/>
    <w:rsid w:val="00785F1F"/>
    <w:rsid w:val="007C44D3"/>
    <w:rsid w:val="007D206F"/>
    <w:rsid w:val="007D5DF3"/>
    <w:rsid w:val="0080316E"/>
    <w:rsid w:val="0080391C"/>
    <w:rsid w:val="008326E3"/>
    <w:rsid w:val="008349EF"/>
    <w:rsid w:val="0083738E"/>
    <w:rsid w:val="00873ECB"/>
    <w:rsid w:val="008862A3"/>
    <w:rsid w:val="00887628"/>
    <w:rsid w:val="00896369"/>
    <w:rsid w:val="008964B9"/>
    <w:rsid w:val="008A0827"/>
    <w:rsid w:val="008C1132"/>
    <w:rsid w:val="008C292F"/>
    <w:rsid w:val="008C2BA2"/>
    <w:rsid w:val="008F6E34"/>
    <w:rsid w:val="009104A0"/>
    <w:rsid w:val="009124F8"/>
    <w:rsid w:val="00927D05"/>
    <w:rsid w:val="009336ED"/>
    <w:rsid w:val="00950C68"/>
    <w:rsid w:val="009536BC"/>
    <w:rsid w:val="00957C3C"/>
    <w:rsid w:val="0096183B"/>
    <w:rsid w:val="00996342"/>
    <w:rsid w:val="00996467"/>
    <w:rsid w:val="009B1712"/>
    <w:rsid w:val="009C5F89"/>
    <w:rsid w:val="009E5B5E"/>
    <w:rsid w:val="009E6173"/>
    <w:rsid w:val="009F2023"/>
    <w:rsid w:val="00A00AB7"/>
    <w:rsid w:val="00A14859"/>
    <w:rsid w:val="00A16CA1"/>
    <w:rsid w:val="00A32673"/>
    <w:rsid w:val="00A36EA9"/>
    <w:rsid w:val="00A37CE5"/>
    <w:rsid w:val="00A56F98"/>
    <w:rsid w:val="00A66C5A"/>
    <w:rsid w:val="00A91E03"/>
    <w:rsid w:val="00A9418C"/>
    <w:rsid w:val="00AB17A4"/>
    <w:rsid w:val="00AF4DD8"/>
    <w:rsid w:val="00B158AC"/>
    <w:rsid w:val="00B63CF3"/>
    <w:rsid w:val="00B70260"/>
    <w:rsid w:val="00B72A33"/>
    <w:rsid w:val="00B75BFC"/>
    <w:rsid w:val="00B9343A"/>
    <w:rsid w:val="00BA004A"/>
    <w:rsid w:val="00BB7C08"/>
    <w:rsid w:val="00C04AF7"/>
    <w:rsid w:val="00C05877"/>
    <w:rsid w:val="00C15ED7"/>
    <w:rsid w:val="00C25409"/>
    <w:rsid w:val="00C32273"/>
    <w:rsid w:val="00C32836"/>
    <w:rsid w:val="00C51B56"/>
    <w:rsid w:val="00C6395A"/>
    <w:rsid w:val="00C77C8F"/>
    <w:rsid w:val="00C9769C"/>
    <w:rsid w:val="00CD77A3"/>
    <w:rsid w:val="00CE40B6"/>
    <w:rsid w:val="00CE6B74"/>
    <w:rsid w:val="00CF1189"/>
    <w:rsid w:val="00D06134"/>
    <w:rsid w:val="00D123A0"/>
    <w:rsid w:val="00D168F4"/>
    <w:rsid w:val="00D501EB"/>
    <w:rsid w:val="00D643BE"/>
    <w:rsid w:val="00D64D7B"/>
    <w:rsid w:val="00D67897"/>
    <w:rsid w:val="00D81042"/>
    <w:rsid w:val="00D87FE5"/>
    <w:rsid w:val="00D95836"/>
    <w:rsid w:val="00DA5741"/>
    <w:rsid w:val="00DC5947"/>
    <w:rsid w:val="00DC72FF"/>
    <w:rsid w:val="00DE5B6D"/>
    <w:rsid w:val="00DF07F4"/>
    <w:rsid w:val="00E1690F"/>
    <w:rsid w:val="00E33C09"/>
    <w:rsid w:val="00E41CC4"/>
    <w:rsid w:val="00E47C5B"/>
    <w:rsid w:val="00E56BEB"/>
    <w:rsid w:val="00EA1F5F"/>
    <w:rsid w:val="00EB2415"/>
    <w:rsid w:val="00EB7F29"/>
    <w:rsid w:val="00ED3B42"/>
    <w:rsid w:val="00ED6949"/>
    <w:rsid w:val="00EF2887"/>
    <w:rsid w:val="00F11ED1"/>
    <w:rsid w:val="00F15AC7"/>
    <w:rsid w:val="00F30DE0"/>
    <w:rsid w:val="00F35327"/>
    <w:rsid w:val="00F4469A"/>
    <w:rsid w:val="00F55A10"/>
    <w:rsid w:val="00F67256"/>
    <w:rsid w:val="00F71BEF"/>
    <w:rsid w:val="00F753A9"/>
    <w:rsid w:val="00F94549"/>
    <w:rsid w:val="00FA0B4A"/>
    <w:rsid w:val="00FB396B"/>
    <w:rsid w:val="00FE42D6"/>
    <w:rsid w:val="00FE48AF"/>
    <w:rsid w:val="00FF0CA7"/>
    <w:rsid w:val="00FF3121"/>
    <w:rsid w:val="00FF6B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A18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qFormat="1"/>
    <w:lsdException w:name="caption" w:locked="1" w:uiPriority="0" w:qFormat="1"/>
    <w:lsdException w:name="footnote reference"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C08"/>
    <w:pPr>
      <w:spacing w:after="120"/>
      <w:jc w:val="both"/>
    </w:pPr>
    <w:rPr>
      <w:rFonts w:ascii="Verdana" w:hAnsi="Verdana" w:cs="Verdana"/>
      <w:sz w:val="20"/>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autoRedefine/>
    <w:uiPriority w:val="99"/>
    <w:qFormat/>
    <w:rsid w:val="00BB7C08"/>
    <w:rPr>
      <w:sz w:val="16"/>
      <w:szCs w:val="16"/>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locked/>
    <w:rsid w:val="00BB7C08"/>
    <w:rPr>
      <w:rFonts w:ascii="Verdana" w:eastAsia="Times New Roman" w:hAnsi="Verdana" w:cs="Verdana"/>
      <w:sz w:val="20"/>
      <w:szCs w:val="20"/>
      <w:lang w:val="es-ES_tradnl" w:eastAsia="es-E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uiPriority w:val="99"/>
    <w:qFormat/>
    <w:rsid w:val="00BB7C08"/>
    <w:rPr>
      <w:vertAlign w:val="superscript"/>
    </w:rPr>
  </w:style>
  <w:style w:type="paragraph" w:customStyle="1" w:styleId="Default">
    <w:name w:val="Default"/>
    <w:rsid w:val="00BB7C08"/>
    <w:pPr>
      <w:autoSpaceDE w:val="0"/>
      <w:autoSpaceDN w:val="0"/>
      <w:adjustRightInd w:val="0"/>
    </w:pPr>
    <w:rPr>
      <w:rFonts w:ascii="Verdana" w:eastAsia="Times New Roman" w:hAnsi="Verdana" w:cs="Verdana"/>
      <w:color w:val="000000"/>
      <w:sz w:val="24"/>
      <w:szCs w:val="24"/>
    </w:rPr>
  </w:style>
  <w:style w:type="paragraph" w:styleId="Header">
    <w:name w:val="header"/>
    <w:basedOn w:val="Normal"/>
    <w:link w:val="HeaderChar"/>
    <w:uiPriority w:val="99"/>
    <w:rsid w:val="00BB7C08"/>
    <w:pPr>
      <w:tabs>
        <w:tab w:val="center" w:pos="4680"/>
        <w:tab w:val="right" w:pos="9360"/>
      </w:tabs>
    </w:pPr>
  </w:style>
  <w:style w:type="character" w:customStyle="1" w:styleId="HeaderChar">
    <w:name w:val="Header Char"/>
    <w:basedOn w:val="DefaultParagraphFont"/>
    <w:link w:val="Header"/>
    <w:uiPriority w:val="99"/>
    <w:locked/>
    <w:rsid w:val="00BB7C08"/>
    <w:rPr>
      <w:rFonts w:ascii="Verdana" w:eastAsia="Times New Roman" w:hAnsi="Verdana" w:cs="Verdana"/>
      <w:sz w:val="24"/>
      <w:szCs w:val="24"/>
      <w:lang w:val="es-ES_tradnl" w:eastAsia="es-ES"/>
    </w:rPr>
  </w:style>
  <w:style w:type="paragraph" w:customStyle="1" w:styleId="ListParagraph2">
    <w:name w:val="List Paragraph2"/>
    <w:aliases w:val="Footnote"/>
    <w:basedOn w:val="Normal"/>
    <w:uiPriority w:val="99"/>
    <w:rsid w:val="00BB7C08"/>
    <w:pPr>
      <w:spacing w:after="0"/>
      <w:jc w:val="left"/>
    </w:pPr>
    <w:rPr>
      <w:rFonts w:ascii="Times New Roman" w:eastAsia="Times New Roman" w:hAnsi="Times New Roman" w:cs="Times New Roman"/>
      <w:sz w:val="16"/>
      <w:szCs w:val="16"/>
      <w:lang w:val="es-ES"/>
    </w:rPr>
  </w:style>
  <w:style w:type="paragraph" w:styleId="ListParagraph">
    <w:name w:val="List Paragraph"/>
    <w:aliases w:val="List Paragraph1,Párrafo de lista1"/>
    <w:basedOn w:val="Normal"/>
    <w:uiPriority w:val="34"/>
    <w:qFormat/>
    <w:rsid w:val="00BB7C08"/>
    <w:pPr>
      <w:ind w:left="720"/>
    </w:pPr>
  </w:style>
  <w:style w:type="paragraph" w:styleId="BodyText">
    <w:name w:val="Body Text"/>
    <w:basedOn w:val="Normal"/>
    <w:link w:val="BodyTextChar"/>
    <w:uiPriority w:val="99"/>
    <w:rsid w:val="00BB7C08"/>
  </w:style>
  <w:style w:type="character" w:customStyle="1" w:styleId="BodyTextChar">
    <w:name w:val="Body Text Char"/>
    <w:basedOn w:val="DefaultParagraphFont"/>
    <w:link w:val="BodyText"/>
    <w:uiPriority w:val="99"/>
    <w:locked/>
    <w:rsid w:val="00BB7C08"/>
    <w:rPr>
      <w:rFonts w:ascii="Verdana" w:eastAsia="Times New Roman" w:hAnsi="Verdana" w:cs="Verdana"/>
      <w:sz w:val="24"/>
      <w:szCs w:val="24"/>
      <w:lang w:val="es-ES_tradnl" w:eastAsia="es-ES"/>
    </w:rPr>
  </w:style>
  <w:style w:type="paragraph" w:styleId="BalloonText">
    <w:name w:val="Balloon Text"/>
    <w:basedOn w:val="Normal"/>
    <w:link w:val="BalloonTextChar"/>
    <w:uiPriority w:val="99"/>
    <w:semiHidden/>
    <w:unhideWhenUsed/>
    <w:rsid w:val="009124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4F8"/>
    <w:rPr>
      <w:rFonts w:ascii="Tahoma" w:hAnsi="Tahoma" w:cs="Tahoma"/>
      <w:sz w:val="16"/>
      <w:szCs w:val="16"/>
      <w:lang w:val="es-ES_tradnl"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qFormat="1"/>
    <w:lsdException w:name="caption" w:locked="1" w:uiPriority="0" w:qFormat="1"/>
    <w:lsdException w:name="footnote reference" w:locked="1" w:semiHidden="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7C08"/>
    <w:pPr>
      <w:spacing w:after="120"/>
      <w:jc w:val="both"/>
    </w:pPr>
    <w:rPr>
      <w:rFonts w:ascii="Verdana" w:hAnsi="Verdana" w:cs="Verdana"/>
      <w:sz w:val="20"/>
      <w:szCs w:val="20"/>
      <w:lang w:val="es-ES_tradnl" w:eastAsia="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reference,FA Fu,Footnote Text Char Char Char Char Char,Footnote Text Char Char Char Char,Footnote Text Char Char Char,Footnote Text Cha,FA Fußnotentext,FA Fuﬂnotentext,Footnote Text Char Char,FA Fu?notentext,Ca,Texto nota pie Car"/>
    <w:basedOn w:val="Normal"/>
    <w:link w:val="FootnoteTextChar"/>
    <w:autoRedefine/>
    <w:uiPriority w:val="99"/>
    <w:qFormat/>
    <w:rsid w:val="00BB7C08"/>
    <w:rPr>
      <w:sz w:val="16"/>
      <w:szCs w:val="16"/>
    </w:rPr>
  </w:style>
  <w:style w:type="character" w:customStyle="1" w:styleId="FootnoteTextChar">
    <w:name w:val="Footnote Text Char"/>
    <w:aliases w:val="Footnote reference Char,FA Fu Char,Footnote Text Char Char Char Char Char Char,Footnote Text Char Char Char Char Char1,Footnote Text Char Char Char Char1,Footnote Text Cha Char,FA Fußnotentext Char,FA Fuﬂnotentext Char,Ca Char"/>
    <w:basedOn w:val="DefaultParagraphFont"/>
    <w:link w:val="FootnoteText"/>
    <w:locked/>
    <w:rsid w:val="00BB7C08"/>
    <w:rPr>
      <w:rFonts w:ascii="Verdana" w:eastAsia="Times New Roman" w:hAnsi="Verdana" w:cs="Verdana"/>
      <w:sz w:val="20"/>
      <w:szCs w:val="20"/>
      <w:lang w:val="es-ES_tradnl" w:eastAsia="es-ES"/>
    </w:rPr>
  </w:style>
  <w:style w:type="character" w:styleId="FootnoteReference">
    <w:name w:val="footnote reference"/>
    <w:aliases w:val="Texto de nota al pie,Footnotes refss,Appel note de bas de page,Footnote number,referencia nota al pie,BVI fnr,f,4_G,16 Point,Superscript 6 Point,Texto nota al pie,Footnote Reference Char3,Footnote Reference Char1 Char,Ref. de nota al"/>
    <w:basedOn w:val="DefaultParagraphFont"/>
    <w:uiPriority w:val="99"/>
    <w:qFormat/>
    <w:rsid w:val="00BB7C08"/>
    <w:rPr>
      <w:vertAlign w:val="superscript"/>
    </w:rPr>
  </w:style>
  <w:style w:type="paragraph" w:customStyle="1" w:styleId="Default">
    <w:name w:val="Default"/>
    <w:rsid w:val="00BB7C08"/>
    <w:pPr>
      <w:autoSpaceDE w:val="0"/>
      <w:autoSpaceDN w:val="0"/>
      <w:adjustRightInd w:val="0"/>
    </w:pPr>
    <w:rPr>
      <w:rFonts w:ascii="Verdana" w:eastAsia="Times New Roman" w:hAnsi="Verdana" w:cs="Verdana"/>
      <w:color w:val="000000"/>
      <w:sz w:val="24"/>
      <w:szCs w:val="24"/>
    </w:rPr>
  </w:style>
  <w:style w:type="paragraph" w:styleId="Header">
    <w:name w:val="header"/>
    <w:basedOn w:val="Normal"/>
    <w:link w:val="HeaderChar"/>
    <w:uiPriority w:val="99"/>
    <w:rsid w:val="00BB7C08"/>
    <w:pPr>
      <w:tabs>
        <w:tab w:val="center" w:pos="4680"/>
        <w:tab w:val="right" w:pos="9360"/>
      </w:tabs>
    </w:pPr>
  </w:style>
  <w:style w:type="character" w:customStyle="1" w:styleId="HeaderChar">
    <w:name w:val="Header Char"/>
    <w:basedOn w:val="DefaultParagraphFont"/>
    <w:link w:val="Header"/>
    <w:uiPriority w:val="99"/>
    <w:locked/>
    <w:rsid w:val="00BB7C08"/>
    <w:rPr>
      <w:rFonts w:ascii="Verdana" w:eastAsia="Times New Roman" w:hAnsi="Verdana" w:cs="Verdana"/>
      <w:sz w:val="24"/>
      <w:szCs w:val="24"/>
      <w:lang w:val="es-ES_tradnl" w:eastAsia="es-ES"/>
    </w:rPr>
  </w:style>
  <w:style w:type="paragraph" w:customStyle="1" w:styleId="ListParagraph2">
    <w:name w:val="List Paragraph2"/>
    <w:aliases w:val="Footnote"/>
    <w:basedOn w:val="Normal"/>
    <w:uiPriority w:val="99"/>
    <w:rsid w:val="00BB7C08"/>
    <w:pPr>
      <w:spacing w:after="0"/>
      <w:jc w:val="left"/>
    </w:pPr>
    <w:rPr>
      <w:rFonts w:ascii="Times New Roman" w:eastAsia="Times New Roman" w:hAnsi="Times New Roman" w:cs="Times New Roman"/>
      <w:sz w:val="16"/>
      <w:szCs w:val="16"/>
      <w:lang w:val="es-ES"/>
    </w:rPr>
  </w:style>
  <w:style w:type="paragraph" w:styleId="ListParagraph">
    <w:name w:val="List Paragraph"/>
    <w:aliases w:val="List Paragraph1,Párrafo de lista1"/>
    <w:basedOn w:val="Normal"/>
    <w:uiPriority w:val="34"/>
    <w:qFormat/>
    <w:rsid w:val="00BB7C08"/>
    <w:pPr>
      <w:ind w:left="720"/>
    </w:pPr>
  </w:style>
  <w:style w:type="paragraph" w:styleId="BodyText">
    <w:name w:val="Body Text"/>
    <w:basedOn w:val="Normal"/>
    <w:link w:val="BodyTextChar"/>
    <w:uiPriority w:val="99"/>
    <w:rsid w:val="00BB7C08"/>
  </w:style>
  <w:style w:type="character" w:customStyle="1" w:styleId="BodyTextChar">
    <w:name w:val="Body Text Char"/>
    <w:basedOn w:val="DefaultParagraphFont"/>
    <w:link w:val="BodyText"/>
    <w:uiPriority w:val="99"/>
    <w:locked/>
    <w:rsid w:val="00BB7C08"/>
    <w:rPr>
      <w:rFonts w:ascii="Verdana" w:eastAsia="Times New Roman" w:hAnsi="Verdana" w:cs="Verdana"/>
      <w:sz w:val="24"/>
      <w:szCs w:val="24"/>
      <w:lang w:val="es-ES_tradnl" w:eastAsia="es-ES"/>
    </w:rPr>
  </w:style>
  <w:style w:type="paragraph" w:styleId="BalloonText">
    <w:name w:val="Balloon Text"/>
    <w:basedOn w:val="Normal"/>
    <w:link w:val="BalloonTextChar"/>
    <w:uiPriority w:val="99"/>
    <w:semiHidden/>
    <w:unhideWhenUsed/>
    <w:rsid w:val="009124F8"/>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4F8"/>
    <w:rPr>
      <w:rFonts w:ascii="Tahoma" w:hAnsi="Tahoma" w:cs="Tahoma"/>
      <w:sz w:val="16"/>
      <w:szCs w:val="16"/>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015BEBE2BF87F40A76A9C926EBECC0C" ma:contentTypeVersion="0" ma:contentTypeDescription="Create a new document." ma:contentTypeScope="" ma:versionID="ad8069bb81a7b5dc5c766ad6aa2648b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0A0FB63-0BB1-4B6F-965D-682D8825B8F7}">
  <ds:schemaRefs>
    <ds:schemaRef ds:uri="http://schemas.microsoft.com/sharepoint/v3/contenttype/forms"/>
  </ds:schemaRefs>
</ds:datastoreItem>
</file>

<file path=customXml/itemProps2.xml><?xml version="1.0" encoding="utf-8"?>
<ds:datastoreItem xmlns:ds="http://schemas.openxmlformats.org/officeDocument/2006/customXml" ds:itemID="{B03AA0BF-20D8-40E5-B97D-D96D48B83A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FC0D8025-227C-494D-8E86-1252C409B3D5}">
  <ds:schemaRefs>
    <ds:schemaRef ds:uri="http://schemas.microsoft.com/office/2006/metadata/properties"/>
  </ds:schemaRefs>
</ds:datastoreItem>
</file>

<file path=customXml/itemProps4.xml><?xml version="1.0" encoding="utf-8"?>
<ds:datastoreItem xmlns:ds="http://schemas.openxmlformats.org/officeDocument/2006/customXml" ds:itemID="{397C420E-B9A6-4429-85A3-CAE82E1749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894</Words>
  <Characters>4972</Characters>
  <Application>Microsoft Office Word</Application>
  <DocSecurity>0</DocSecurity>
  <Lines>127</Lines>
  <Paragraphs>30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RESOLUCIÓN DEL PRESIDENTE DE LA</vt:lpstr>
      <vt:lpstr>RESOLUCIÓN DEL PRESIDENTE DE LA</vt:lpstr>
    </vt:vector>
  </TitlesOfParts>
  <Company>diego</Company>
  <LinksUpToDate>false</LinksUpToDate>
  <CharactersWithSpaces>5836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RESOLUCIÓN DEL PRESIDENTE DE LA</dc:title>
  <dc:creator>Corte IDH</dc:creator>
  <cp:lastModifiedBy>Daniela Rodriguez</cp:lastModifiedBy>
  <cp:revision>2</cp:revision>
  <cp:lastPrinted>2015-12-02T18:44:00Z</cp:lastPrinted>
  <dcterms:created xsi:type="dcterms:W3CDTF">2015-12-02T22:28:00Z</dcterms:created>
  <dcterms:modified xsi:type="dcterms:W3CDTF">2015-12-02T22:28:00Z</dcterms:modified>
</cp:coreProperties>
</file>