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7" w:rsidRDefault="00675EC8" w:rsidP="00675EC8">
      <w:pPr>
        <w:spacing w:after="0"/>
        <w:ind w:right="-316"/>
        <w:rPr>
          <w:rFonts w:cs="Verdana Bold"/>
          <w:b/>
          <w:bCs/>
          <w:caps/>
        </w:rPr>
      </w:pPr>
      <w:r>
        <w:rPr>
          <w:rFonts w:cs="Verdana Bold"/>
          <w:b/>
          <w:bCs/>
          <w:caps/>
        </w:rPr>
        <w:t xml:space="preserve"> </w:t>
      </w:r>
    </w:p>
    <w:p w:rsidR="00017CD7" w:rsidRDefault="00017CD7" w:rsidP="007403DD">
      <w:pPr>
        <w:spacing w:after="0"/>
        <w:ind w:right="-316"/>
        <w:jc w:val="center"/>
        <w:rPr>
          <w:rFonts w:cs="Verdana Bold"/>
          <w:b/>
          <w:bCs/>
          <w:caps/>
        </w:rPr>
      </w:pPr>
    </w:p>
    <w:p w:rsidR="00017CD7" w:rsidRDefault="00A00223" w:rsidP="007403DD">
      <w:pPr>
        <w:spacing w:after="0"/>
        <w:ind w:right="-316"/>
        <w:jc w:val="center"/>
        <w:rPr>
          <w:rFonts w:cs="Verdana Bold"/>
          <w:b/>
          <w:bCs/>
          <w:caps/>
        </w:rPr>
      </w:pPr>
      <w:r>
        <w:rPr>
          <w:rFonts w:cs="Verdana Bold"/>
          <w:b/>
          <w:bCs/>
          <w:caps/>
        </w:rPr>
        <w:t xml:space="preserve">  </w:t>
      </w:r>
      <w:bookmarkStart w:id="0" w:name="_GoBack"/>
      <w:bookmarkEnd w:id="0"/>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326C06" w:rsidRDefault="00326C06"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RESOLUCIÓN DE</w:t>
      </w:r>
      <w:r>
        <w:rPr>
          <w:rFonts w:cs="Verdana"/>
          <w:b/>
          <w:bCs/>
          <w:caps/>
          <w:szCs w:val="20"/>
          <w:lang w:val="es-ES"/>
        </w:rPr>
        <w:t xml:space="preserve"> </w:t>
      </w:r>
      <w:r w:rsidRPr="0003632E">
        <w:rPr>
          <w:rFonts w:cs="Verdana"/>
          <w:b/>
          <w:bCs/>
          <w:caps/>
          <w:szCs w:val="20"/>
          <w:lang w:val="es-ES"/>
        </w:rPr>
        <w:t>L</w:t>
      </w:r>
      <w:r>
        <w:rPr>
          <w:rFonts w:cs="Verdana"/>
          <w:b/>
          <w:bCs/>
          <w:caps/>
          <w:szCs w:val="20"/>
          <w:lang w:val="es-ES"/>
        </w:rPr>
        <w:t>a</w:t>
      </w:r>
      <w:r w:rsidRPr="0003632E">
        <w:rPr>
          <w:rFonts w:cs="Verdana"/>
          <w:b/>
          <w:bCs/>
          <w:caps/>
          <w:szCs w:val="20"/>
          <w:lang w:val="es-ES"/>
        </w:rPr>
        <w:t xml:space="preserve"> </w:t>
      </w:r>
      <w:r>
        <w:rPr>
          <w:rFonts w:cs="Verdana"/>
          <w:b/>
          <w:bCs/>
          <w:caps/>
          <w:szCs w:val="20"/>
          <w:lang w:val="es-ES"/>
        </w:rPr>
        <w:t>corte</w:t>
      </w:r>
    </w:p>
    <w:p w:rsidR="00017CD7" w:rsidRDefault="00017CD7" w:rsidP="007403DD">
      <w:pPr>
        <w:spacing w:after="0"/>
        <w:jc w:val="center"/>
        <w:rPr>
          <w:rFonts w:cs="Verdana"/>
          <w:b/>
          <w:bCs/>
          <w:caps/>
          <w:szCs w:val="20"/>
          <w:lang w:val="es-ES"/>
        </w:rPr>
      </w:pPr>
      <w:r w:rsidRPr="0003632E">
        <w:rPr>
          <w:rFonts w:cs="Verdana"/>
          <w:b/>
          <w:bCs/>
          <w:caps/>
          <w:szCs w:val="20"/>
          <w:lang w:val="es-ES"/>
        </w:rPr>
        <w:t xml:space="preserve"> INTERAMERICANA</w:t>
      </w:r>
      <w:r>
        <w:rPr>
          <w:rFonts w:cs="Verdana"/>
          <w:b/>
          <w:bCs/>
          <w:caps/>
          <w:szCs w:val="20"/>
          <w:lang w:val="es-ES"/>
        </w:rPr>
        <w:t xml:space="preserve"> </w:t>
      </w:r>
      <w:r w:rsidRPr="0003632E">
        <w:rPr>
          <w:rFonts w:cs="Verdana"/>
          <w:b/>
          <w:bCs/>
          <w:caps/>
          <w:szCs w:val="20"/>
          <w:lang w:val="es-ES"/>
        </w:rPr>
        <w:t>DE DERECHOS HUMANOS</w:t>
      </w:r>
      <w:r w:rsidRPr="003B027A">
        <w:rPr>
          <w:rStyle w:val="FootnoteReference"/>
          <w:b/>
          <w:bCs/>
          <w:caps/>
          <w:lang w:val="es-ES"/>
        </w:rPr>
        <w:footnoteReference w:customMarkFollows="1" w:id="1"/>
        <w:sym w:font="Symbol" w:char="F02A"/>
      </w:r>
    </w:p>
    <w:p w:rsidR="00017CD7" w:rsidRDefault="00017CD7"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 xml:space="preserve">DE </w:t>
      </w:r>
      <w:r w:rsidR="00920D4C" w:rsidRPr="00C40234">
        <w:rPr>
          <w:rFonts w:cs="Verdana"/>
          <w:b/>
          <w:bCs/>
          <w:caps/>
          <w:szCs w:val="20"/>
          <w:lang w:val="es-ES"/>
        </w:rPr>
        <w:t>0</w:t>
      </w:r>
      <w:r w:rsidR="00F2636D">
        <w:rPr>
          <w:rFonts w:cs="Verdana"/>
          <w:b/>
          <w:bCs/>
          <w:caps/>
          <w:szCs w:val="20"/>
          <w:lang w:val="es-ES"/>
        </w:rPr>
        <w:t>6</w:t>
      </w:r>
      <w:r>
        <w:rPr>
          <w:rFonts w:cs="Verdana"/>
          <w:b/>
          <w:bCs/>
          <w:caps/>
          <w:szCs w:val="20"/>
          <w:lang w:val="es-ES"/>
        </w:rPr>
        <w:t xml:space="preserve"> DE </w:t>
      </w:r>
      <w:r w:rsidR="00920D4C">
        <w:rPr>
          <w:rFonts w:cs="Verdana"/>
          <w:b/>
          <w:bCs/>
          <w:caps/>
          <w:szCs w:val="20"/>
          <w:lang w:val="es-ES"/>
        </w:rPr>
        <w:t>OCTUBRE</w:t>
      </w:r>
      <w:r w:rsidR="00F333E5">
        <w:rPr>
          <w:rFonts w:cs="Verdana"/>
          <w:b/>
          <w:bCs/>
          <w:caps/>
          <w:szCs w:val="20"/>
          <w:lang w:val="es-ES"/>
        </w:rPr>
        <w:t xml:space="preserve"> DE 2017</w:t>
      </w:r>
    </w:p>
    <w:p w:rsidR="00F90477" w:rsidRPr="00BD22C0" w:rsidRDefault="00F90477" w:rsidP="007403DD">
      <w:pPr>
        <w:spacing w:after="0"/>
        <w:ind w:right="-316"/>
        <w:jc w:val="center"/>
        <w:rPr>
          <w:rFonts w:cs="Verdana Bold"/>
          <w:b/>
          <w:bCs/>
          <w:caps/>
          <w:szCs w:val="20"/>
        </w:rPr>
      </w:pPr>
    </w:p>
    <w:p w:rsidR="00F90477" w:rsidRPr="00BD22C0" w:rsidRDefault="00F90477" w:rsidP="007403DD">
      <w:pPr>
        <w:spacing w:after="0"/>
        <w:ind w:right="-316"/>
        <w:rPr>
          <w:rFonts w:cs="Verdana Bold"/>
          <w:b/>
          <w:bCs/>
          <w:caps/>
          <w:szCs w:val="20"/>
        </w:rPr>
      </w:pPr>
    </w:p>
    <w:p w:rsidR="00F90477" w:rsidRPr="006C2759" w:rsidRDefault="00F90477" w:rsidP="007403DD">
      <w:pPr>
        <w:spacing w:after="0"/>
        <w:ind w:right="-316"/>
        <w:jc w:val="center"/>
        <w:rPr>
          <w:rFonts w:cs="Verdana Bold"/>
          <w:b/>
          <w:bCs/>
          <w:caps/>
          <w:szCs w:val="20"/>
        </w:rPr>
      </w:pPr>
      <w:r w:rsidRPr="006C2759">
        <w:rPr>
          <w:rFonts w:cs="Verdana Bold"/>
          <w:b/>
          <w:bCs/>
          <w:szCs w:val="20"/>
        </w:rPr>
        <w:t xml:space="preserve">CASO </w:t>
      </w:r>
      <w:r w:rsidR="00B33086">
        <w:rPr>
          <w:rFonts w:cs="Arial"/>
          <w:b/>
        </w:rPr>
        <w:t>VILLAMIZAR DURÁN</w:t>
      </w:r>
      <w:r w:rsidRPr="006C2759">
        <w:rPr>
          <w:rFonts w:cs="Arial"/>
          <w:b/>
        </w:rPr>
        <w:t xml:space="preserve"> Y OTROS </w:t>
      </w:r>
      <w:r w:rsidRPr="006C2759">
        <w:rPr>
          <w:rFonts w:cs="Verdana Bold"/>
          <w:b/>
          <w:bCs/>
          <w:caps/>
          <w:szCs w:val="20"/>
        </w:rPr>
        <w:t xml:space="preserve">VS. </w:t>
      </w:r>
      <w:r w:rsidR="00B33086">
        <w:rPr>
          <w:rFonts w:cs="Verdana Bold"/>
          <w:b/>
          <w:bCs/>
          <w:caps/>
          <w:szCs w:val="20"/>
        </w:rPr>
        <w:t>COLOMBIA</w:t>
      </w:r>
    </w:p>
    <w:p w:rsidR="00F90477" w:rsidRPr="00BD22C0" w:rsidRDefault="00F90477" w:rsidP="007403DD">
      <w:pPr>
        <w:spacing w:after="0"/>
        <w:ind w:right="-316"/>
        <w:jc w:val="center"/>
        <w:rPr>
          <w:rFonts w:cs="Verdana Bold"/>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r w:rsidRPr="00BD22C0">
        <w:rPr>
          <w:rFonts w:cs="Verdana"/>
          <w:b/>
          <w:bCs/>
          <w:caps/>
          <w:szCs w:val="20"/>
        </w:rPr>
        <w:t>Visto:</w:t>
      </w:r>
    </w:p>
    <w:p w:rsidR="00F90477" w:rsidRPr="00BD22C0" w:rsidRDefault="00F90477" w:rsidP="007403DD">
      <w:pPr>
        <w:spacing w:after="0"/>
        <w:rPr>
          <w:rFonts w:cs="Verdana"/>
          <w:b/>
          <w:bCs/>
          <w:caps/>
          <w:szCs w:val="20"/>
        </w:rPr>
      </w:pPr>
    </w:p>
    <w:p w:rsidR="00C40234" w:rsidRDefault="001F6312" w:rsidP="00C40234">
      <w:pPr>
        <w:numPr>
          <w:ilvl w:val="0"/>
          <w:numId w:val="4"/>
        </w:numPr>
        <w:autoSpaceDE w:val="0"/>
        <w:autoSpaceDN w:val="0"/>
        <w:adjustRightInd w:val="0"/>
        <w:spacing w:after="0"/>
        <w:ind w:left="0" w:right="18" w:firstLine="0"/>
        <w:rPr>
          <w:rFonts w:cs="Verdana"/>
          <w:szCs w:val="20"/>
        </w:rPr>
      </w:pPr>
      <w:r w:rsidRPr="00E7665B">
        <w:rPr>
          <w:rFonts w:cs="Verdana"/>
          <w:szCs w:val="20"/>
        </w:rPr>
        <w:t xml:space="preserve">La Resolución del Presidente de la Corte Interamericana de Derechos Humanos (en adelante “el Presidente”) de </w:t>
      </w:r>
      <w:r w:rsidR="00B33086">
        <w:rPr>
          <w:rFonts w:cs="Verdana"/>
          <w:szCs w:val="20"/>
        </w:rPr>
        <w:t>12</w:t>
      </w:r>
      <w:r>
        <w:rPr>
          <w:rFonts w:cs="Verdana"/>
          <w:szCs w:val="20"/>
        </w:rPr>
        <w:t xml:space="preserve"> de </w:t>
      </w:r>
      <w:r w:rsidR="00B33086">
        <w:rPr>
          <w:rFonts w:cs="Verdana"/>
          <w:szCs w:val="20"/>
        </w:rPr>
        <w:t>septiembre</w:t>
      </w:r>
      <w:r>
        <w:rPr>
          <w:rFonts w:cs="Verdana"/>
          <w:szCs w:val="20"/>
        </w:rPr>
        <w:t xml:space="preserve"> </w:t>
      </w:r>
      <w:r w:rsidRPr="00E7665B">
        <w:rPr>
          <w:rFonts w:cs="Verdana"/>
          <w:szCs w:val="20"/>
        </w:rPr>
        <w:t>de 201</w:t>
      </w:r>
      <w:r w:rsidR="00B33086">
        <w:rPr>
          <w:rFonts w:cs="Verdana"/>
          <w:szCs w:val="20"/>
        </w:rPr>
        <w:t>7</w:t>
      </w:r>
      <w:r w:rsidRPr="00E7665B">
        <w:rPr>
          <w:rFonts w:cs="Verdana"/>
          <w:szCs w:val="20"/>
        </w:rPr>
        <w:t xml:space="preserve"> (en adelante “la Resolución del Presidente”) mediante la cual, </w:t>
      </w:r>
      <w:r w:rsidRPr="00E7665B">
        <w:rPr>
          <w:rFonts w:cs="Verdana"/>
          <w:i/>
          <w:iCs/>
          <w:szCs w:val="20"/>
        </w:rPr>
        <w:t xml:space="preserve">inter </w:t>
      </w:r>
      <w:proofErr w:type="spellStart"/>
      <w:r w:rsidRPr="00E7665B">
        <w:rPr>
          <w:rFonts w:cs="Verdana"/>
          <w:i/>
          <w:iCs/>
          <w:szCs w:val="20"/>
        </w:rPr>
        <w:t>alia</w:t>
      </w:r>
      <w:proofErr w:type="spellEnd"/>
      <w:r w:rsidRPr="00E7665B">
        <w:rPr>
          <w:rFonts w:cs="Verdana"/>
          <w:szCs w:val="20"/>
        </w:rPr>
        <w:t xml:space="preserve">, ordenó la recepción de diversas declaraciones </w:t>
      </w:r>
      <w:r>
        <w:rPr>
          <w:rFonts w:cs="Verdana"/>
          <w:szCs w:val="20"/>
        </w:rPr>
        <w:t xml:space="preserve">testimoniales y </w:t>
      </w:r>
      <w:r w:rsidRPr="00E7665B">
        <w:rPr>
          <w:rFonts w:cs="Verdana"/>
          <w:szCs w:val="20"/>
        </w:rPr>
        <w:t xml:space="preserve">periciales mediante </w:t>
      </w:r>
      <w:r w:rsidR="007D2FC8" w:rsidRPr="007D2FC8">
        <w:rPr>
          <w:rFonts w:cs="Verdana"/>
          <w:iCs/>
          <w:szCs w:val="20"/>
        </w:rPr>
        <w:t>afidá</w:t>
      </w:r>
      <w:r w:rsidRPr="007D2FC8">
        <w:rPr>
          <w:rFonts w:cs="Verdana"/>
          <w:iCs/>
          <w:szCs w:val="20"/>
        </w:rPr>
        <w:t>vit</w:t>
      </w:r>
      <w:r w:rsidRPr="00E7665B">
        <w:rPr>
          <w:rFonts w:cs="Verdana"/>
          <w:szCs w:val="20"/>
        </w:rPr>
        <w:t xml:space="preserve"> y convocó a la Comisión Interamericana de Derechos Humanos (en adelante “la Comisión Interamericana” o “la Comisión”), a l</w:t>
      </w:r>
      <w:r>
        <w:rPr>
          <w:rFonts w:cs="Verdana"/>
          <w:szCs w:val="20"/>
        </w:rPr>
        <w:t>o</w:t>
      </w:r>
      <w:r w:rsidRPr="00E7665B">
        <w:rPr>
          <w:rFonts w:cs="Verdana"/>
          <w:szCs w:val="20"/>
        </w:rPr>
        <w:t>s representantes de las presuntas víctimas (en adelante “l</w:t>
      </w:r>
      <w:r>
        <w:rPr>
          <w:rFonts w:cs="Verdana"/>
          <w:szCs w:val="20"/>
        </w:rPr>
        <w:t>o</w:t>
      </w:r>
      <w:r w:rsidR="00B33086">
        <w:rPr>
          <w:rFonts w:cs="Verdana"/>
          <w:szCs w:val="20"/>
        </w:rPr>
        <w:t>s representantes”) y al Estado de Colombia</w:t>
      </w:r>
      <w:r>
        <w:rPr>
          <w:rFonts w:cs="Verdana"/>
          <w:lang w:val="es-ES"/>
        </w:rPr>
        <w:t xml:space="preserve"> </w:t>
      </w:r>
      <w:r w:rsidRPr="00E7665B">
        <w:rPr>
          <w:rFonts w:cs="Verdana"/>
          <w:lang w:val="es-ES"/>
        </w:rPr>
        <w:t>(en adelante “el Estado” o “</w:t>
      </w:r>
      <w:r w:rsidR="00B33086">
        <w:rPr>
          <w:rFonts w:cs="Verdana"/>
          <w:lang w:val="es-ES"/>
        </w:rPr>
        <w:t>Colombia</w:t>
      </w:r>
      <w:r w:rsidRPr="00E7665B">
        <w:rPr>
          <w:rFonts w:cs="Verdana"/>
          <w:lang w:val="es-ES"/>
        </w:rPr>
        <w:t xml:space="preserve">”) </w:t>
      </w:r>
      <w:r w:rsidRPr="00E7665B">
        <w:rPr>
          <w:rFonts w:cs="Verdana"/>
          <w:szCs w:val="20"/>
        </w:rPr>
        <w:t xml:space="preserve">a una audiencia pública a celebrarse </w:t>
      </w:r>
      <w:r w:rsidR="00AB729A">
        <w:rPr>
          <w:rFonts w:cs="Verdana"/>
          <w:szCs w:val="20"/>
          <w:lang w:bidi="en-US"/>
        </w:rPr>
        <w:t>los días 17 y 18 de octubre de 2017</w:t>
      </w:r>
      <w:r>
        <w:rPr>
          <w:rFonts w:cs="Verdana"/>
          <w:szCs w:val="20"/>
          <w:lang w:bidi="en-US"/>
        </w:rPr>
        <w:t xml:space="preserve"> </w:t>
      </w:r>
      <w:r w:rsidR="00AB729A">
        <w:rPr>
          <w:rFonts w:cs="Verdana"/>
          <w:szCs w:val="20"/>
          <w:lang w:bidi="en-US"/>
        </w:rPr>
        <w:t>en C</w:t>
      </w:r>
      <w:r w:rsidRPr="00DD687E">
        <w:rPr>
          <w:rFonts w:cs="Verdana"/>
          <w:szCs w:val="20"/>
          <w:lang w:bidi="en-US"/>
        </w:rPr>
        <w:t xml:space="preserve">iudad de </w:t>
      </w:r>
      <w:r w:rsidR="00AB729A">
        <w:rPr>
          <w:rFonts w:cs="Verdana"/>
          <w:szCs w:val="20"/>
          <w:lang w:bidi="en-US"/>
        </w:rPr>
        <w:t>Panamá</w:t>
      </w:r>
      <w:r>
        <w:rPr>
          <w:rFonts w:cs="Verdana"/>
          <w:szCs w:val="20"/>
          <w:lang w:bidi="en-US"/>
        </w:rPr>
        <w:t xml:space="preserve">, </w:t>
      </w:r>
      <w:r w:rsidR="00AB729A">
        <w:rPr>
          <w:rFonts w:cs="Verdana"/>
          <w:szCs w:val="20"/>
          <w:lang w:bidi="en-US"/>
        </w:rPr>
        <w:t>Panamá</w:t>
      </w:r>
      <w:r>
        <w:rPr>
          <w:rFonts w:cs="Verdana"/>
          <w:szCs w:val="20"/>
          <w:lang w:bidi="en-US"/>
        </w:rPr>
        <w:t>,</w:t>
      </w:r>
      <w:r>
        <w:rPr>
          <w:rFonts w:cs="Verdana"/>
          <w:szCs w:val="20"/>
        </w:rPr>
        <w:t xml:space="preserve"> </w:t>
      </w:r>
      <w:r w:rsidRPr="00E7665B">
        <w:rPr>
          <w:rFonts w:cs="Verdana"/>
          <w:szCs w:val="20"/>
        </w:rPr>
        <w:t>para recibir</w:t>
      </w:r>
      <w:r>
        <w:rPr>
          <w:rFonts w:cs="Verdana"/>
          <w:szCs w:val="20"/>
        </w:rPr>
        <w:t xml:space="preserve"> </w:t>
      </w:r>
      <w:r w:rsidRPr="00E7665B">
        <w:rPr>
          <w:rFonts w:cs="Verdana"/>
          <w:szCs w:val="20"/>
        </w:rPr>
        <w:t>sus alegatos finales orales sobre l</w:t>
      </w:r>
      <w:r>
        <w:rPr>
          <w:rFonts w:cs="Verdana"/>
          <w:szCs w:val="20"/>
        </w:rPr>
        <w:t>o</w:t>
      </w:r>
      <w:r w:rsidRPr="00E7665B">
        <w:rPr>
          <w:rFonts w:cs="Verdana"/>
          <w:szCs w:val="20"/>
        </w:rPr>
        <w:t xml:space="preserve">s eventuales fondo, reparaciones y costas en el presente caso, así como, </w:t>
      </w:r>
      <w:r w:rsidRPr="00E7665B">
        <w:rPr>
          <w:rFonts w:cs="Verdana"/>
          <w:i/>
          <w:szCs w:val="20"/>
        </w:rPr>
        <w:t xml:space="preserve">inter </w:t>
      </w:r>
      <w:proofErr w:type="spellStart"/>
      <w:r w:rsidRPr="00E7665B">
        <w:rPr>
          <w:rFonts w:cs="Verdana"/>
          <w:i/>
          <w:szCs w:val="20"/>
        </w:rPr>
        <w:t>alia</w:t>
      </w:r>
      <w:proofErr w:type="spellEnd"/>
      <w:r w:rsidRPr="00E7665B">
        <w:rPr>
          <w:rFonts w:cs="Verdana"/>
          <w:szCs w:val="20"/>
        </w:rPr>
        <w:t xml:space="preserve">, </w:t>
      </w:r>
      <w:r>
        <w:rPr>
          <w:rFonts w:cs="Verdana"/>
          <w:szCs w:val="20"/>
        </w:rPr>
        <w:t xml:space="preserve">recibir tres peritajes y </w:t>
      </w:r>
      <w:r w:rsidR="00C40234">
        <w:rPr>
          <w:rFonts w:cs="Verdana"/>
          <w:szCs w:val="20"/>
        </w:rPr>
        <w:t xml:space="preserve">tres </w:t>
      </w:r>
      <w:r>
        <w:rPr>
          <w:rFonts w:cs="Verdana"/>
          <w:szCs w:val="20"/>
        </w:rPr>
        <w:t>declaraciones testimoniales</w:t>
      </w:r>
      <w:r w:rsidRPr="00E7665B">
        <w:rPr>
          <w:rFonts w:cs="Verdana"/>
          <w:szCs w:val="20"/>
        </w:rPr>
        <w:t>.</w:t>
      </w:r>
    </w:p>
    <w:p w:rsidR="00C40234" w:rsidRDefault="00C40234" w:rsidP="00C40234">
      <w:pPr>
        <w:autoSpaceDE w:val="0"/>
        <w:autoSpaceDN w:val="0"/>
        <w:adjustRightInd w:val="0"/>
        <w:spacing w:after="0"/>
        <w:ind w:right="18"/>
        <w:rPr>
          <w:rFonts w:cs="Verdana"/>
          <w:szCs w:val="20"/>
        </w:rPr>
      </w:pPr>
    </w:p>
    <w:p w:rsidR="00C40234" w:rsidRPr="00C40234" w:rsidRDefault="00C40234" w:rsidP="00C40234">
      <w:pPr>
        <w:numPr>
          <w:ilvl w:val="0"/>
          <w:numId w:val="4"/>
        </w:numPr>
        <w:autoSpaceDE w:val="0"/>
        <w:autoSpaceDN w:val="0"/>
        <w:adjustRightInd w:val="0"/>
        <w:spacing w:after="0"/>
        <w:ind w:left="0" w:right="18" w:firstLine="0"/>
        <w:rPr>
          <w:rFonts w:cs="Verdana"/>
          <w:szCs w:val="20"/>
        </w:rPr>
      </w:pPr>
      <w:r w:rsidRPr="00C40234">
        <w:rPr>
          <w:rFonts w:cs="Verdana"/>
          <w:szCs w:val="20"/>
        </w:rPr>
        <w:t xml:space="preserve">La Resolución del Presidente de la Corte Interamericana de 5 de octubre de 2017 mediante la cual, </w:t>
      </w:r>
      <w:r w:rsidRPr="00C40234">
        <w:rPr>
          <w:rFonts w:cs="Verdana"/>
          <w:i/>
          <w:szCs w:val="20"/>
        </w:rPr>
        <w:t xml:space="preserve">inter </w:t>
      </w:r>
      <w:proofErr w:type="spellStart"/>
      <w:r w:rsidRPr="00C40234">
        <w:rPr>
          <w:rFonts w:cs="Verdana"/>
          <w:i/>
          <w:szCs w:val="20"/>
        </w:rPr>
        <w:t>alia</w:t>
      </w:r>
      <w:proofErr w:type="spellEnd"/>
      <w:r w:rsidRPr="00C40234">
        <w:rPr>
          <w:rFonts w:cs="Verdana"/>
          <w:szCs w:val="20"/>
        </w:rPr>
        <w:t xml:space="preserve">, </w:t>
      </w:r>
      <w:r>
        <w:rPr>
          <w:rFonts w:cs="Verdana"/>
          <w:szCs w:val="20"/>
        </w:rPr>
        <w:t>modificó</w:t>
      </w:r>
      <w:r w:rsidRPr="00C40234">
        <w:rPr>
          <w:rFonts w:cs="Verdana"/>
          <w:szCs w:val="20"/>
        </w:rPr>
        <w:t>, en lo pertinente, el punto resolutivo primero y cuarto de la Resolución del Presidente de 12 de septiembre de 2017, convocando a la señora Stella Leonor Sánchez Gil a rendir su deposición mediante affidávit, como declarante a título informativo</w:t>
      </w:r>
      <w:r>
        <w:rPr>
          <w:rFonts w:cs="Verdana"/>
          <w:szCs w:val="20"/>
        </w:rPr>
        <w:t>. Asimismo, convocó</w:t>
      </w:r>
      <w:r w:rsidRPr="00C40234">
        <w:rPr>
          <w:rFonts w:cs="Verdana"/>
          <w:szCs w:val="20"/>
        </w:rPr>
        <w:t xml:space="preserve"> al señor Augusto Villamizar Lizarazo para rendir su deposición igualmente mediante a</w:t>
      </w:r>
      <w:r>
        <w:rPr>
          <w:rFonts w:cs="Verdana"/>
          <w:szCs w:val="20"/>
        </w:rPr>
        <w:t xml:space="preserve">ffidávit, como presunta víctima, y </w:t>
      </w:r>
      <w:r w:rsidRPr="00C40234">
        <w:rPr>
          <w:rFonts w:cs="Verdana"/>
          <w:szCs w:val="20"/>
        </w:rPr>
        <w:t xml:space="preserve">al señor </w:t>
      </w:r>
      <w:proofErr w:type="spellStart"/>
      <w:r w:rsidRPr="00C40234">
        <w:rPr>
          <w:rFonts w:cs="Verdana"/>
          <w:szCs w:val="20"/>
        </w:rPr>
        <w:t>Edidxon</w:t>
      </w:r>
      <w:proofErr w:type="spellEnd"/>
      <w:r w:rsidRPr="00C40234">
        <w:rPr>
          <w:rFonts w:cs="Verdana"/>
          <w:szCs w:val="20"/>
        </w:rPr>
        <w:t xml:space="preserve"> Villamizar a prestar su declaración en la audiencia pública </w:t>
      </w:r>
      <w:r>
        <w:rPr>
          <w:rFonts w:cs="Verdana"/>
          <w:szCs w:val="20"/>
        </w:rPr>
        <w:t>a celebrarse</w:t>
      </w:r>
      <w:r w:rsidRPr="00C40234">
        <w:rPr>
          <w:rFonts w:cs="Verdana"/>
          <w:szCs w:val="20"/>
        </w:rPr>
        <w:t xml:space="preserve"> </w:t>
      </w:r>
      <w:r>
        <w:rPr>
          <w:rFonts w:cs="Verdana"/>
          <w:szCs w:val="20"/>
          <w:lang w:bidi="en-US"/>
        </w:rPr>
        <w:t>los días 17 y 18 de octubre de 2017 en C</w:t>
      </w:r>
      <w:r w:rsidRPr="00DD687E">
        <w:rPr>
          <w:rFonts w:cs="Verdana"/>
          <w:szCs w:val="20"/>
          <w:lang w:bidi="en-US"/>
        </w:rPr>
        <w:t xml:space="preserve">iudad de </w:t>
      </w:r>
      <w:r>
        <w:rPr>
          <w:rFonts w:cs="Verdana"/>
          <w:szCs w:val="20"/>
          <w:lang w:bidi="en-US"/>
        </w:rPr>
        <w:t>Panamá, Panamá</w:t>
      </w:r>
      <w:r w:rsidRPr="00C40234">
        <w:rPr>
          <w:rFonts w:cs="Verdana"/>
          <w:szCs w:val="20"/>
        </w:rPr>
        <w:t>.</w:t>
      </w:r>
    </w:p>
    <w:p w:rsidR="001F6312" w:rsidRPr="001339A0" w:rsidRDefault="001F6312" w:rsidP="007403DD">
      <w:pPr>
        <w:autoSpaceDE w:val="0"/>
        <w:autoSpaceDN w:val="0"/>
        <w:adjustRightInd w:val="0"/>
        <w:spacing w:after="0"/>
        <w:ind w:right="18"/>
        <w:rPr>
          <w:rFonts w:cs="Verdana"/>
          <w:szCs w:val="20"/>
        </w:rPr>
      </w:pPr>
    </w:p>
    <w:p w:rsidR="001F6312" w:rsidRDefault="001F6312" w:rsidP="007403DD">
      <w:pPr>
        <w:numPr>
          <w:ilvl w:val="0"/>
          <w:numId w:val="4"/>
        </w:numPr>
        <w:autoSpaceDE w:val="0"/>
        <w:autoSpaceDN w:val="0"/>
        <w:adjustRightInd w:val="0"/>
        <w:spacing w:after="0"/>
        <w:ind w:left="0" w:right="18" w:firstLine="0"/>
        <w:rPr>
          <w:rFonts w:cs="Verdana"/>
          <w:szCs w:val="20"/>
          <w:lang w:val="es-ES"/>
        </w:rPr>
      </w:pPr>
      <w:r>
        <w:rPr>
          <w:rFonts w:cs="Verdana"/>
          <w:szCs w:val="20"/>
        </w:rPr>
        <w:t xml:space="preserve">La comunicación de </w:t>
      </w:r>
      <w:r w:rsidR="00503CF4">
        <w:rPr>
          <w:szCs w:val="20"/>
          <w:lang w:val="es-CL"/>
        </w:rPr>
        <w:t>2</w:t>
      </w:r>
      <w:r w:rsidR="003E5534" w:rsidRPr="008A0F66">
        <w:rPr>
          <w:szCs w:val="20"/>
          <w:lang w:val="es-CL"/>
        </w:rPr>
        <w:t xml:space="preserve">8 de </w:t>
      </w:r>
      <w:r w:rsidR="00503CF4">
        <w:rPr>
          <w:szCs w:val="20"/>
          <w:lang w:val="es-CL"/>
        </w:rPr>
        <w:t>septiembre de 2017</w:t>
      </w:r>
      <w:r w:rsidR="00696224">
        <w:rPr>
          <w:szCs w:val="20"/>
          <w:lang w:val="es-CL"/>
        </w:rPr>
        <w:t>,</w:t>
      </w:r>
      <w:r w:rsidR="003E5534" w:rsidRPr="008A0F66">
        <w:rPr>
          <w:szCs w:val="20"/>
          <w:lang w:val="es-CL"/>
        </w:rPr>
        <w:t xml:space="preserve"> </w:t>
      </w:r>
      <w:r w:rsidR="003E5534">
        <w:rPr>
          <w:szCs w:val="20"/>
          <w:lang w:val="es-CL"/>
        </w:rPr>
        <w:t xml:space="preserve">mediante la cual </w:t>
      </w:r>
      <w:r w:rsidR="00503CF4">
        <w:t>la Corporación Colectivo de Abogados “José Alvear Restrepo” –CCAJAR– y Humanidad Vigente C.J. (en adelante “Humanidad Vigente C.J.”)</w:t>
      </w:r>
      <w:r w:rsidR="003E5534" w:rsidRPr="008A0F66">
        <w:rPr>
          <w:szCs w:val="20"/>
          <w:lang w:val="es-CL"/>
        </w:rPr>
        <w:t xml:space="preserve"> presentaron una solicitud de reconsideración respecto a </w:t>
      </w:r>
      <w:r w:rsidR="00503CF4">
        <w:rPr>
          <w:szCs w:val="20"/>
          <w:lang w:val="es-CL"/>
        </w:rPr>
        <w:t>la inclusión de un</w:t>
      </w:r>
      <w:r w:rsidR="00672D7A">
        <w:rPr>
          <w:szCs w:val="20"/>
          <w:lang w:val="es-CL"/>
        </w:rPr>
        <w:t xml:space="preserve"> declarante</w:t>
      </w:r>
      <w:r w:rsidR="00EB60E0">
        <w:rPr>
          <w:szCs w:val="20"/>
          <w:lang w:val="es-CL"/>
        </w:rPr>
        <w:t xml:space="preserve"> adicional</w:t>
      </w:r>
      <w:r w:rsidR="00672D7A">
        <w:rPr>
          <w:szCs w:val="20"/>
          <w:lang w:val="es-CL"/>
        </w:rPr>
        <w:t xml:space="preserve"> en audiencia pública</w:t>
      </w:r>
      <w:r>
        <w:rPr>
          <w:rFonts w:cs="Times New Roman"/>
          <w:szCs w:val="20"/>
          <w:lang w:val="es-ES"/>
        </w:rPr>
        <w:t>.</w:t>
      </w:r>
      <w:r>
        <w:rPr>
          <w:rFonts w:cs="Verdana"/>
          <w:szCs w:val="20"/>
          <w:lang w:val="es-ES"/>
        </w:rPr>
        <w:t xml:space="preserve"> </w:t>
      </w:r>
    </w:p>
    <w:p w:rsidR="00E84793" w:rsidRPr="00E84793" w:rsidRDefault="00E84793" w:rsidP="007403DD">
      <w:pPr>
        <w:autoSpaceDE w:val="0"/>
        <w:autoSpaceDN w:val="0"/>
        <w:adjustRightInd w:val="0"/>
        <w:spacing w:after="0"/>
        <w:ind w:right="18"/>
        <w:rPr>
          <w:rFonts w:cs="Verdana"/>
          <w:szCs w:val="20"/>
          <w:lang w:val="es-ES"/>
        </w:rPr>
      </w:pPr>
    </w:p>
    <w:p w:rsidR="001F6312" w:rsidRPr="00D726C4" w:rsidRDefault="001F6312"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t xml:space="preserve">La </w:t>
      </w:r>
      <w:r w:rsidR="00B93936">
        <w:rPr>
          <w:rFonts w:cs="Verdana"/>
          <w:szCs w:val="20"/>
          <w:lang w:val="es-ES"/>
        </w:rPr>
        <w:t>n</w:t>
      </w:r>
      <w:r>
        <w:rPr>
          <w:rFonts w:cs="Verdana"/>
          <w:szCs w:val="20"/>
          <w:lang w:val="es-ES"/>
        </w:rPr>
        <w:t xml:space="preserve">ota de la </w:t>
      </w:r>
      <w:r w:rsidRPr="00700FD8">
        <w:rPr>
          <w:rFonts w:cs="Verdana"/>
          <w:szCs w:val="20"/>
        </w:rPr>
        <w:t>Secretaría de la Corte Interamericana</w:t>
      </w:r>
      <w:r>
        <w:rPr>
          <w:rFonts w:cs="Verdana"/>
          <w:szCs w:val="20"/>
        </w:rPr>
        <w:t xml:space="preserve"> de Derechos Humanos</w:t>
      </w:r>
      <w:r w:rsidRPr="00700FD8">
        <w:rPr>
          <w:rFonts w:cs="Verdana"/>
          <w:szCs w:val="20"/>
        </w:rPr>
        <w:t xml:space="preserve"> (en adelante “la Secretaría”) </w:t>
      </w:r>
      <w:r>
        <w:rPr>
          <w:rFonts w:cs="Verdana"/>
          <w:szCs w:val="20"/>
          <w:lang w:val="es-ES"/>
        </w:rPr>
        <w:t>de 2</w:t>
      </w:r>
      <w:r w:rsidR="00672D7A">
        <w:rPr>
          <w:rFonts w:cs="Verdana"/>
          <w:szCs w:val="20"/>
          <w:lang w:val="es-ES"/>
        </w:rPr>
        <w:t>9</w:t>
      </w:r>
      <w:r>
        <w:rPr>
          <w:rFonts w:cs="Verdana"/>
          <w:szCs w:val="20"/>
          <w:lang w:val="es-ES"/>
        </w:rPr>
        <w:t xml:space="preserve"> de </w:t>
      </w:r>
      <w:r w:rsidR="00672D7A">
        <w:rPr>
          <w:rFonts w:cs="Verdana"/>
          <w:szCs w:val="20"/>
          <w:lang w:val="es-ES"/>
        </w:rPr>
        <w:t>septiembre de 2017</w:t>
      </w:r>
      <w:r>
        <w:rPr>
          <w:rFonts w:cs="Verdana"/>
          <w:szCs w:val="20"/>
          <w:lang w:val="es-ES"/>
        </w:rPr>
        <w:t xml:space="preserve">, mediante la cual se transmitió al </w:t>
      </w:r>
      <w:r>
        <w:rPr>
          <w:rFonts w:cs="Verdana"/>
          <w:szCs w:val="20"/>
          <w:lang w:val="es-ES"/>
        </w:rPr>
        <w:lastRenderedPageBreak/>
        <w:t xml:space="preserve">Estado y a la Comisión la solicitud planteada por los representantes; y se les otorgó un plazo </w:t>
      </w:r>
      <w:r w:rsidR="00CF74B5">
        <w:rPr>
          <w:rFonts w:cs="Verdana"/>
          <w:szCs w:val="20"/>
          <w:lang w:val="es-ES"/>
        </w:rPr>
        <w:t xml:space="preserve">de </w:t>
      </w:r>
      <w:r w:rsidR="00672D7A">
        <w:rPr>
          <w:rFonts w:cs="Verdana"/>
          <w:szCs w:val="20"/>
          <w:lang w:val="es-ES"/>
        </w:rPr>
        <w:t>cinco</w:t>
      </w:r>
      <w:r w:rsidR="00CF74B5">
        <w:rPr>
          <w:rFonts w:cs="Verdana"/>
          <w:szCs w:val="20"/>
          <w:lang w:val="es-ES"/>
        </w:rPr>
        <w:t xml:space="preserve"> días</w:t>
      </w:r>
      <w:r>
        <w:rPr>
          <w:rFonts w:cs="Verdana"/>
          <w:szCs w:val="20"/>
          <w:lang w:val="es-ES"/>
        </w:rPr>
        <w:t xml:space="preserve"> para presentar sus observaciones al respecto. </w:t>
      </w:r>
    </w:p>
    <w:p w:rsidR="00503CF4" w:rsidRPr="00326C06" w:rsidRDefault="00503CF4" w:rsidP="00503CF4">
      <w:pPr>
        <w:autoSpaceDE w:val="0"/>
        <w:autoSpaceDN w:val="0"/>
        <w:adjustRightInd w:val="0"/>
        <w:spacing w:after="0"/>
        <w:ind w:right="18"/>
        <w:rPr>
          <w:rFonts w:cs="Verdana"/>
          <w:szCs w:val="20"/>
          <w:lang w:val="es-ES"/>
        </w:rPr>
      </w:pPr>
    </w:p>
    <w:p w:rsidR="003F6206" w:rsidRPr="00392DAA" w:rsidRDefault="00672D7A" w:rsidP="003F6206">
      <w:pPr>
        <w:numPr>
          <w:ilvl w:val="0"/>
          <w:numId w:val="4"/>
        </w:numPr>
        <w:autoSpaceDE w:val="0"/>
        <w:autoSpaceDN w:val="0"/>
        <w:adjustRightInd w:val="0"/>
        <w:spacing w:after="0"/>
        <w:ind w:left="0" w:right="18" w:firstLine="0"/>
        <w:rPr>
          <w:rFonts w:cs="Verdana"/>
          <w:szCs w:val="20"/>
          <w:lang w:val="es-ES"/>
        </w:rPr>
      </w:pPr>
      <w:r>
        <w:rPr>
          <w:rFonts w:cs="Verdana"/>
          <w:szCs w:val="20"/>
          <w:lang w:val="es-ES"/>
        </w:rPr>
        <w:t>La comunicación del Estado de 02</w:t>
      </w:r>
      <w:r w:rsidR="004564F8">
        <w:rPr>
          <w:rFonts w:cs="Verdana"/>
          <w:szCs w:val="20"/>
          <w:lang w:val="es-ES"/>
        </w:rPr>
        <w:t xml:space="preserve"> de </w:t>
      </w:r>
      <w:r>
        <w:rPr>
          <w:rFonts w:cs="Verdana"/>
          <w:szCs w:val="20"/>
          <w:lang w:val="es-ES"/>
        </w:rPr>
        <w:t>octubre de 2017</w:t>
      </w:r>
      <w:r w:rsidR="001F6312" w:rsidRPr="001F6312">
        <w:rPr>
          <w:rFonts w:cs="Verdana"/>
          <w:szCs w:val="20"/>
          <w:lang w:val="es-ES"/>
        </w:rPr>
        <w:t>, mediante la cual presentó observaciones sobre la solicitud de los representantes</w:t>
      </w:r>
      <w:r w:rsidR="00741A91">
        <w:rPr>
          <w:rFonts w:cs="Verdana"/>
          <w:szCs w:val="20"/>
          <w:lang w:val="es-ES"/>
        </w:rPr>
        <w:t xml:space="preserve"> y </w:t>
      </w:r>
      <w:r w:rsidR="00741A91" w:rsidRPr="008A0F66">
        <w:rPr>
          <w:szCs w:val="20"/>
          <w:lang w:val="es-CL"/>
        </w:rPr>
        <w:t>comunicó su conformidad con la r</w:t>
      </w:r>
      <w:r w:rsidR="003F6206">
        <w:rPr>
          <w:szCs w:val="20"/>
          <w:lang w:val="es-CL"/>
        </w:rPr>
        <w:t xml:space="preserve">econsideración solicitada, en tanto se le permitiera también ampliar su número de declaraciones en audiencia pública, con el objetivo de que el </w:t>
      </w:r>
      <w:r w:rsidR="003F6206" w:rsidRPr="000604F1">
        <w:rPr>
          <w:lang w:val="es-CR"/>
        </w:rPr>
        <w:t>perito Bernardo Andrés</w:t>
      </w:r>
      <w:r w:rsidR="003F6206">
        <w:rPr>
          <w:lang w:val="es-CR"/>
        </w:rPr>
        <w:t xml:space="preserve"> </w:t>
      </w:r>
      <w:r w:rsidR="003F6206" w:rsidRPr="000604F1">
        <w:rPr>
          <w:lang w:val="es-CR"/>
        </w:rPr>
        <w:t>Carvajal Sánchez</w:t>
      </w:r>
      <w:r w:rsidR="003F6206">
        <w:rPr>
          <w:lang w:val="es-CR"/>
        </w:rPr>
        <w:t xml:space="preserve"> pudiera rendir</w:t>
      </w:r>
      <w:r w:rsidR="003F6206" w:rsidRPr="000604F1">
        <w:rPr>
          <w:lang w:val="es-CR"/>
        </w:rPr>
        <w:t xml:space="preserve"> su declaración</w:t>
      </w:r>
      <w:r w:rsidR="003F6206">
        <w:rPr>
          <w:lang w:val="es-CR"/>
        </w:rPr>
        <w:t xml:space="preserve"> en audiencia</w:t>
      </w:r>
      <w:r w:rsidR="003F6206">
        <w:rPr>
          <w:szCs w:val="20"/>
          <w:lang w:val="es-CL"/>
        </w:rPr>
        <w:t xml:space="preserve">, y no por afidávit como había sido dispuesto en la Resolución del Presidente de 12 de septiembre de 2017. </w:t>
      </w:r>
    </w:p>
    <w:p w:rsidR="00392DAA" w:rsidRPr="00392DAA" w:rsidRDefault="00392DAA" w:rsidP="00392DAA">
      <w:pPr>
        <w:autoSpaceDE w:val="0"/>
        <w:autoSpaceDN w:val="0"/>
        <w:adjustRightInd w:val="0"/>
        <w:spacing w:after="0"/>
        <w:ind w:right="18"/>
        <w:rPr>
          <w:rFonts w:cs="Verdana"/>
          <w:szCs w:val="20"/>
          <w:lang w:val="es-ES"/>
        </w:rPr>
      </w:pPr>
    </w:p>
    <w:p w:rsidR="00392DAA" w:rsidRPr="003F6206" w:rsidRDefault="00392DAA" w:rsidP="003F6206">
      <w:pPr>
        <w:numPr>
          <w:ilvl w:val="0"/>
          <w:numId w:val="4"/>
        </w:numPr>
        <w:autoSpaceDE w:val="0"/>
        <w:autoSpaceDN w:val="0"/>
        <w:adjustRightInd w:val="0"/>
        <w:spacing w:after="0"/>
        <w:ind w:left="0" w:right="18" w:firstLine="0"/>
        <w:rPr>
          <w:rFonts w:cs="Verdana"/>
          <w:szCs w:val="20"/>
          <w:lang w:val="es-ES"/>
        </w:rPr>
      </w:pPr>
      <w:r>
        <w:rPr>
          <w:rFonts w:cs="Verdana"/>
          <w:szCs w:val="20"/>
          <w:lang w:val="es-ES"/>
        </w:rPr>
        <w:t xml:space="preserve">La comunicación de la Comisión Interamericana de 04 de octubre de 2017, mediante la cual presentó sus observaciones a la solicitud de los representantes y manifestó su conformidad con la misma. </w:t>
      </w:r>
    </w:p>
    <w:p w:rsidR="001F6312" w:rsidRPr="001F6312" w:rsidRDefault="001F6312" w:rsidP="007403DD">
      <w:pPr>
        <w:autoSpaceDE w:val="0"/>
        <w:autoSpaceDN w:val="0"/>
        <w:adjustRightInd w:val="0"/>
        <w:spacing w:after="0"/>
        <w:ind w:right="18"/>
        <w:rPr>
          <w:rFonts w:cs="Verdana"/>
          <w:szCs w:val="20"/>
          <w:lang w:val="es-ES"/>
        </w:rPr>
      </w:pPr>
    </w:p>
    <w:p w:rsidR="005F4381" w:rsidRDefault="00F90477" w:rsidP="007403DD">
      <w:pPr>
        <w:spacing w:after="0"/>
        <w:rPr>
          <w:rFonts w:eastAsia="Times New Roman" w:cs="Verdana"/>
          <w:b/>
          <w:bCs/>
          <w:szCs w:val="20"/>
          <w:lang w:val="es-CL" w:eastAsia="en-US"/>
        </w:rPr>
      </w:pPr>
      <w:r w:rsidRPr="00E44575">
        <w:rPr>
          <w:rFonts w:eastAsia="Times New Roman" w:cs="Verdana"/>
          <w:b/>
          <w:bCs/>
          <w:szCs w:val="20"/>
          <w:lang w:val="es-CL" w:eastAsia="en-US"/>
        </w:rPr>
        <w:t>CONSIDERANDO QUE:</w:t>
      </w:r>
    </w:p>
    <w:p w:rsidR="007403DD" w:rsidRDefault="007403DD" w:rsidP="007403DD">
      <w:pPr>
        <w:spacing w:after="0"/>
        <w:rPr>
          <w:rFonts w:eastAsia="Times New Roman" w:cs="Verdana"/>
          <w:b/>
          <w:bCs/>
          <w:szCs w:val="20"/>
          <w:lang w:val="es-CL" w:eastAsia="en-US"/>
        </w:rPr>
      </w:pPr>
    </w:p>
    <w:p w:rsidR="001D4D49" w:rsidRPr="00E17BE7" w:rsidRDefault="001D4D49" w:rsidP="007403DD">
      <w:pPr>
        <w:numPr>
          <w:ilvl w:val="0"/>
          <w:numId w:val="3"/>
        </w:numPr>
        <w:spacing w:after="0"/>
        <w:ind w:right="18"/>
        <w:rPr>
          <w:rFonts w:cs="Verdana"/>
          <w:szCs w:val="20"/>
        </w:rPr>
      </w:pPr>
      <w:r w:rsidRPr="005C641D">
        <w:rPr>
          <w:rFonts w:cs="Verdana"/>
          <w:szCs w:val="20"/>
        </w:rPr>
        <w:tab/>
      </w:r>
      <w:r w:rsidRPr="00245F5E">
        <w:rPr>
          <w:rFonts w:cs="Verdana"/>
          <w:szCs w:val="20"/>
        </w:rPr>
        <w:t>Las decisiones del Presidente</w:t>
      </w:r>
      <w:r>
        <w:rPr>
          <w:rFonts w:cs="Verdana"/>
          <w:szCs w:val="20"/>
        </w:rPr>
        <w:t>, que no sean de mero trámite,</w:t>
      </w:r>
      <w:r w:rsidRPr="00245F5E">
        <w:rPr>
          <w:rFonts w:cs="Verdana"/>
          <w:szCs w:val="20"/>
        </w:rPr>
        <w:t xml:space="preserve"> son recurribles ante la Corte</w:t>
      </w:r>
      <w:r>
        <w:rPr>
          <w:rFonts w:cs="Verdana"/>
          <w:szCs w:val="20"/>
        </w:rPr>
        <w:t xml:space="preserve"> Interamericana de Derechos Humanos (en adelante “la Corte” o “el Tribunal”</w:t>
      </w:r>
      <w:r w:rsidRPr="00245F5E">
        <w:rPr>
          <w:rFonts w:cs="Verdana"/>
          <w:szCs w:val="20"/>
        </w:rPr>
        <w:t>, en los términos del artículo 3</w:t>
      </w:r>
      <w:r>
        <w:rPr>
          <w:rFonts w:cs="Verdana"/>
          <w:szCs w:val="20"/>
        </w:rPr>
        <w:t>1</w:t>
      </w:r>
      <w:r w:rsidRPr="00245F5E">
        <w:rPr>
          <w:rFonts w:cs="Verdana"/>
          <w:szCs w:val="20"/>
        </w:rPr>
        <w:t>.2 del Reglamento</w:t>
      </w:r>
      <w:r>
        <w:rPr>
          <w:rFonts w:cs="Verdana"/>
          <w:szCs w:val="20"/>
        </w:rPr>
        <w:t xml:space="preserve"> de este Tribunal</w:t>
      </w:r>
      <w:r w:rsidRPr="00B37257">
        <w:rPr>
          <w:rFonts w:cs="Verdana"/>
          <w:szCs w:val="20"/>
          <w:lang w:val="es-CR"/>
        </w:rPr>
        <w:t xml:space="preserve"> (en adelante “el Reglamento”).</w:t>
      </w:r>
    </w:p>
    <w:p w:rsidR="00E17BE7" w:rsidRPr="00F262C0" w:rsidRDefault="00E17BE7" w:rsidP="007403DD">
      <w:pPr>
        <w:spacing w:after="0"/>
        <w:ind w:right="18"/>
        <w:rPr>
          <w:rFonts w:cs="Verdana"/>
          <w:szCs w:val="20"/>
        </w:rPr>
      </w:pPr>
    </w:p>
    <w:p w:rsidR="001D4D49" w:rsidRPr="008432B1" w:rsidRDefault="001D4D49" w:rsidP="007403DD">
      <w:pPr>
        <w:numPr>
          <w:ilvl w:val="0"/>
          <w:numId w:val="3"/>
        </w:numPr>
        <w:spacing w:after="0"/>
        <w:ind w:right="18"/>
        <w:rPr>
          <w:rFonts w:cs="Verdana"/>
          <w:szCs w:val="20"/>
        </w:rPr>
      </w:pPr>
      <w:r w:rsidRPr="00F262C0">
        <w:rPr>
          <w:rFonts w:cs="Verdana"/>
          <w:szCs w:val="20"/>
          <w:lang w:val="es-ES"/>
        </w:rPr>
        <w:t>La Corte tiene amplias facultades en cuanto a la admisión y a la modalidad de recepción de la prueba, de conformidad con los artículos 50, 57 y 58 del Reglamento.</w:t>
      </w:r>
    </w:p>
    <w:p w:rsidR="00E17BE7" w:rsidRPr="00017CD7" w:rsidRDefault="00E17BE7" w:rsidP="007403DD">
      <w:pPr>
        <w:spacing w:after="0"/>
        <w:ind w:right="18"/>
        <w:rPr>
          <w:rFonts w:cs="Verdana"/>
          <w:szCs w:val="20"/>
        </w:rPr>
      </w:pPr>
    </w:p>
    <w:p w:rsidR="006855FA" w:rsidRPr="006855FA" w:rsidRDefault="003F6206" w:rsidP="006855FA">
      <w:pPr>
        <w:numPr>
          <w:ilvl w:val="0"/>
          <w:numId w:val="3"/>
        </w:numPr>
        <w:spacing w:after="0"/>
        <w:ind w:right="18"/>
        <w:rPr>
          <w:rFonts w:cs="Verdana"/>
          <w:szCs w:val="20"/>
          <w:lang w:val="es-ES"/>
        </w:rPr>
      </w:pPr>
      <w:r>
        <w:rPr>
          <w:rFonts w:cs="Times New Roman"/>
          <w:szCs w:val="20"/>
          <w:lang w:val="es-ES"/>
        </w:rPr>
        <w:t xml:space="preserve">En su escrito de solicitudes, </w:t>
      </w:r>
      <w:r w:rsidR="00EC6F70">
        <w:rPr>
          <w:rFonts w:cs="Times New Roman"/>
          <w:szCs w:val="20"/>
          <w:lang w:val="es-ES"/>
        </w:rPr>
        <w:t>argumentos</w:t>
      </w:r>
      <w:r>
        <w:rPr>
          <w:rFonts w:cs="Times New Roman"/>
          <w:szCs w:val="20"/>
          <w:lang w:val="es-ES"/>
        </w:rPr>
        <w:t xml:space="preserve"> y pruebas</w:t>
      </w:r>
      <w:r w:rsidR="00EC6F70">
        <w:rPr>
          <w:rFonts w:cs="Times New Roman"/>
          <w:szCs w:val="20"/>
          <w:lang w:val="es-ES"/>
        </w:rPr>
        <w:t xml:space="preserve"> los representantes</w:t>
      </w:r>
      <w:r>
        <w:rPr>
          <w:rFonts w:cs="Times New Roman"/>
          <w:szCs w:val="20"/>
          <w:lang w:val="es-ES"/>
        </w:rPr>
        <w:t xml:space="preserve"> CCAJAR y Humanidad Vigente C.J.</w:t>
      </w:r>
      <w:r w:rsidR="00EC6F70">
        <w:rPr>
          <w:rFonts w:cs="Times New Roman"/>
          <w:szCs w:val="20"/>
          <w:lang w:val="es-ES"/>
        </w:rPr>
        <w:t xml:space="preserve"> ofrecieron, entre otros, la</w:t>
      </w:r>
      <w:r>
        <w:rPr>
          <w:rFonts w:cs="Times New Roman"/>
          <w:szCs w:val="20"/>
          <w:lang w:val="es-ES"/>
        </w:rPr>
        <w:t>s declaraciones de treinta y tres (33) presuntas víctimas. E</w:t>
      </w:r>
      <w:r w:rsidR="00EC6F70">
        <w:rPr>
          <w:rFonts w:cs="Times New Roman"/>
          <w:szCs w:val="20"/>
          <w:lang w:val="es-ES"/>
        </w:rPr>
        <w:t xml:space="preserve">n su lista definitiva de declarantes confirmaron dicho ofrecimiento. </w:t>
      </w:r>
      <w:r>
        <w:rPr>
          <w:rFonts w:cs="Times New Roman"/>
          <w:bCs/>
          <w:iCs/>
          <w:szCs w:val="20"/>
        </w:rPr>
        <w:t>En la Resolución del Presidente de 12</w:t>
      </w:r>
      <w:r w:rsidR="00A336C6">
        <w:rPr>
          <w:rFonts w:cs="Times New Roman"/>
          <w:bCs/>
          <w:iCs/>
          <w:szCs w:val="20"/>
        </w:rPr>
        <w:t xml:space="preserve"> de </w:t>
      </w:r>
      <w:r>
        <w:rPr>
          <w:rFonts w:cs="Times New Roman"/>
          <w:bCs/>
          <w:iCs/>
          <w:szCs w:val="20"/>
        </w:rPr>
        <w:t xml:space="preserve">septiembre de 2017, se dispuso, </w:t>
      </w:r>
      <w:r>
        <w:rPr>
          <w:rFonts w:cs="Times New Roman"/>
          <w:bCs/>
          <w:i/>
          <w:iCs/>
          <w:szCs w:val="20"/>
        </w:rPr>
        <w:t xml:space="preserve">inter </w:t>
      </w:r>
      <w:proofErr w:type="spellStart"/>
      <w:r>
        <w:rPr>
          <w:rFonts w:cs="Times New Roman"/>
          <w:bCs/>
          <w:i/>
          <w:iCs/>
          <w:szCs w:val="20"/>
        </w:rPr>
        <w:t>alia</w:t>
      </w:r>
      <w:proofErr w:type="spellEnd"/>
      <w:r w:rsidRPr="003F6206">
        <w:rPr>
          <w:rFonts w:cs="Times New Roman"/>
          <w:bCs/>
          <w:iCs/>
          <w:szCs w:val="20"/>
        </w:rPr>
        <w:t>,</w:t>
      </w:r>
      <w:r>
        <w:rPr>
          <w:rFonts w:cs="Times New Roman"/>
          <w:bCs/>
          <w:iCs/>
          <w:szCs w:val="20"/>
        </w:rPr>
        <w:t xml:space="preserve"> que las presuntas víctimas María Rosalba Bárcenas y Augusto Villamizar Lizarazo rindan </w:t>
      </w:r>
      <w:r w:rsidR="006855FA">
        <w:rPr>
          <w:rFonts w:cs="Times New Roman"/>
          <w:bCs/>
          <w:iCs/>
          <w:szCs w:val="20"/>
        </w:rPr>
        <w:t xml:space="preserve">sus </w:t>
      </w:r>
      <w:r>
        <w:rPr>
          <w:rFonts w:cs="Times New Roman"/>
          <w:bCs/>
          <w:iCs/>
          <w:szCs w:val="20"/>
        </w:rPr>
        <w:t xml:space="preserve">declaraciones en </w:t>
      </w:r>
      <w:r w:rsidR="006855FA">
        <w:rPr>
          <w:rFonts w:cs="Times New Roman"/>
          <w:bCs/>
          <w:iCs/>
          <w:szCs w:val="20"/>
        </w:rPr>
        <w:t>audiencia pública, mientras que las treinta y un (31) presuntas víctimas restantes rindan sus declaraciones por medio de afidávit</w:t>
      </w:r>
      <w:r w:rsidR="00A336C6">
        <w:rPr>
          <w:rStyle w:val="FootnoteReference"/>
          <w:rFonts w:cs="Times New Roman"/>
          <w:bCs/>
          <w:iCs/>
          <w:szCs w:val="20"/>
        </w:rPr>
        <w:footnoteReference w:id="2"/>
      </w:r>
      <w:r w:rsidR="00A336C6">
        <w:rPr>
          <w:rFonts w:cs="Times New Roman"/>
          <w:bCs/>
          <w:iCs/>
          <w:szCs w:val="20"/>
        </w:rPr>
        <w:t>.</w:t>
      </w:r>
    </w:p>
    <w:p w:rsidR="00640279" w:rsidRDefault="0093539C" w:rsidP="00640279">
      <w:pPr>
        <w:numPr>
          <w:ilvl w:val="0"/>
          <w:numId w:val="3"/>
        </w:numPr>
        <w:spacing w:before="240" w:after="240"/>
        <w:ind w:right="18"/>
        <w:rPr>
          <w:lang w:val="es-CR"/>
        </w:rPr>
      </w:pPr>
      <w:r w:rsidRPr="006855FA">
        <w:rPr>
          <w:rFonts w:cs="Times New Roman"/>
          <w:szCs w:val="20"/>
          <w:lang w:val="es-ES"/>
        </w:rPr>
        <w:t xml:space="preserve">El </w:t>
      </w:r>
      <w:r w:rsidR="006855FA" w:rsidRPr="006855FA">
        <w:rPr>
          <w:szCs w:val="20"/>
          <w:lang w:val="es-CL"/>
        </w:rPr>
        <w:t>2</w:t>
      </w:r>
      <w:r w:rsidRPr="006855FA">
        <w:rPr>
          <w:szCs w:val="20"/>
          <w:lang w:val="es-CL"/>
        </w:rPr>
        <w:t xml:space="preserve">8 de </w:t>
      </w:r>
      <w:r w:rsidR="006855FA" w:rsidRPr="006855FA">
        <w:rPr>
          <w:szCs w:val="20"/>
          <w:lang w:val="es-CL"/>
        </w:rPr>
        <w:t>septiembre de 2017,</w:t>
      </w:r>
      <w:r w:rsidRPr="006855FA">
        <w:rPr>
          <w:szCs w:val="20"/>
          <w:lang w:val="es-CL"/>
        </w:rPr>
        <w:t xml:space="preserve"> los </w:t>
      </w:r>
      <w:r w:rsidRPr="00640279">
        <w:rPr>
          <w:b/>
          <w:i/>
          <w:szCs w:val="20"/>
          <w:lang w:val="es-CL"/>
        </w:rPr>
        <w:t>representantes</w:t>
      </w:r>
      <w:r w:rsidR="006855FA" w:rsidRPr="006855FA">
        <w:rPr>
          <w:szCs w:val="20"/>
          <w:lang w:val="es-CL"/>
        </w:rPr>
        <w:t xml:space="preserve"> CCAJAR y Humanidad Vigente C.J.</w:t>
      </w:r>
      <w:r w:rsidRPr="006855FA">
        <w:rPr>
          <w:szCs w:val="20"/>
          <w:lang w:val="es-CL"/>
        </w:rPr>
        <w:t xml:space="preserve"> presentaron una solicitud de reconsideración respecto a la </w:t>
      </w:r>
      <w:r w:rsidR="006855FA" w:rsidRPr="006855FA">
        <w:rPr>
          <w:szCs w:val="20"/>
          <w:lang w:val="es-CL"/>
        </w:rPr>
        <w:t>inclusión de un declarante</w:t>
      </w:r>
      <w:r w:rsidR="00EB60E0">
        <w:rPr>
          <w:szCs w:val="20"/>
          <w:lang w:val="es-CL"/>
        </w:rPr>
        <w:t xml:space="preserve"> adicional</w:t>
      </w:r>
      <w:r w:rsidR="006855FA" w:rsidRPr="006855FA">
        <w:rPr>
          <w:szCs w:val="20"/>
          <w:lang w:val="es-CL"/>
        </w:rPr>
        <w:t xml:space="preserve"> en audiencia pública. </w:t>
      </w:r>
      <w:r w:rsidR="00640279">
        <w:rPr>
          <w:szCs w:val="20"/>
          <w:lang w:val="es-CL"/>
        </w:rPr>
        <w:t>S</w:t>
      </w:r>
      <w:r w:rsidR="006855FA" w:rsidRPr="006855FA">
        <w:rPr>
          <w:szCs w:val="20"/>
          <w:lang w:val="es-CL"/>
        </w:rPr>
        <w:t xml:space="preserve">olicitaron </w:t>
      </w:r>
      <w:r w:rsidR="00640279">
        <w:rPr>
          <w:szCs w:val="20"/>
          <w:lang w:val="es-CL"/>
        </w:rPr>
        <w:t xml:space="preserve">que se amplíe </w:t>
      </w:r>
      <w:r w:rsidR="006855FA" w:rsidRPr="006855FA">
        <w:rPr>
          <w:lang w:val="es-CR"/>
        </w:rPr>
        <w:t xml:space="preserve">a tres el número de presuntas víctimas que rendirán su declaración en audiencia pública “a efectos de que un integrante de cada uno de los casos que representa[n] pueda deponer su declaración en audiencia pública”. </w:t>
      </w:r>
      <w:r w:rsidR="006855FA">
        <w:rPr>
          <w:lang w:val="es-CR"/>
        </w:rPr>
        <w:t>De esta manera</w:t>
      </w:r>
      <w:r w:rsidR="006855FA" w:rsidRPr="006855FA">
        <w:rPr>
          <w:lang w:val="es-CR"/>
        </w:rPr>
        <w:t xml:space="preserve">, solicitaron a la Corte que “valore la posibilidad de escuchar en audiencia pública a un integrante del núcleo familiar de Elio </w:t>
      </w:r>
      <w:proofErr w:type="spellStart"/>
      <w:r w:rsidR="006855FA" w:rsidRPr="006855FA">
        <w:rPr>
          <w:lang w:val="es-CR"/>
        </w:rPr>
        <w:t>Gelves</w:t>
      </w:r>
      <w:proofErr w:type="spellEnd"/>
      <w:r w:rsidR="006855FA" w:rsidRPr="006855FA">
        <w:rPr>
          <w:lang w:val="es-CR"/>
        </w:rPr>
        <w:t xml:space="preserve"> Carrillo: Griselda Carrillo de </w:t>
      </w:r>
      <w:proofErr w:type="spellStart"/>
      <w:r w:rsidR="006855FA" w:rsidRPr="006855FA">
        <w:rPr>
          <w:lang w:val="es-CR"/>
        </w:rPr>
        <w:t>Gelves</w:t>
      </w:r>
      <w:proofErr w:type="spellEnd"/>
      <w:r w:rsidR="006855FA" w:rsidRPr="006855FA">
        <w:rPr>
          <w:lang w:val="es-CR"/>
        </w:rPr>
        <w:t xml:space="preserve"> o Ismael </w:t>
      </w:r>
      <w:proofErr w:type="spellStart"/>
      <w:r w:rsidR="006855FA" w:rsidRPr="006855FA">
        <w:rPr>
          <w:lang w:val="es-CR"/>
        </w:rPr>
        <w:t>Gelves</w:t>
      </w:r>
      <w:proofErr w:type="spellEnd"/>
      <w:r w:rsidR="006855FA" w:rsidRPr="006855FA">
        <w:rPr>
          <w:lang w:val="es-CR"/>
        </w:rPr>
        <w:t xml:space="preserve"> Carrillo, quienes fueron testigos directos de las circunstancias que antecedieron la ejecución extrajudicial del joven Elio </w:t>
      </w:r>
      <w:proofErr w:type="spellStart"/>
      <w:r w:rsidR="006855FA" w:rsidRPr="006855FA">
        <w:rPr>
          <w:lang w:val="es-CR"/>
        </w:rPr>
        <w:t>Gelves</w:t>
      </w:r>
      <w:proofErr w:type="spellEnd"/>
      <w:r w:rsidR="006855FA" w:rsidRPr="006855FA">
        <w:rPr>
          <w:lang w:val="es-CR"/>
        </w:rPr>
        <w:t xml:space="preserve"> Carrillo, lo que le dará mayores elementos de juicio al Tribunal para conocer los hechos en su integridad y tomar la mejor decisión dentro del caso”</w:t>
      </w:r>
      <w:r w:rsidR="00640279">
        <w:rPr>
          <w:lang w:val="es-CR"/>
        </w:rPr>
        <w:t>.</w:t>
      </w:r>
    </w:p>
    <w:p w:rsidR="00392DAA" w:rsidRDefault="00640279" w:rsidP="00C40234">
      <w:pPr>
        <w:numPr>
          <w:ilvl w:val="0"/>
          <w:numId w:val="3"/>
        </w:numPr>
        <w:spacing w:before="240" w:after="240"/>
        <w:ind w:right="18"/>
        <w:rPr>
          <w:lang w:val="es-CR"/>
        </w:rPr>
      </w:pPr>
      <w:r w:rsidRPr="00640279">
        <w:rPr>
          <w:szCs w:val="20"/>
          <w:lang w:val="es-CL"/>
        </w:rPr>
        <w:t xml:space="preserve">El 02 de octubre de 2017, </w:t>
      </w:r>
      <w:r>
        <w:rPr>
          <w:szCs w:val="20"/>
          <w:lang w:val="es-CL"/>
        </w:rPr>
        <w:t xml:space="preserve">el </w:t>
      </w:r>
      <w:r w:rsidRPr="00640279">
        <w:rPr>
          <w:b/>
          <w:i/>
          <w:szCs w:val="20"/>
          <w:lang w:val="es-CL"/>
        </w:rPr>
        <w:t>Estado</w:t>
      </w:r>
      <w:r>
        <w:rPr>
          <w:szCs w:val="20"/>
          <w:lang w:val="es-CL"/>
        </w:rPr>
        <w:t xml:space="preserve"> remitió sus observaciones a la solicitud de los representantes CCAJAR y Humanidad Vigente C.J. y </w:t>
      </w:r>
      <w:r w:rsidRPr="00640279">
        <w:rPr>
          <w:lang w:val="es-CR"/>
        </w:rPr>
        <w:t xml:space="preserve">señaló que no se opone a la solicitud de inclusión de una presunta víctima más como declarante en la audiencia, “siempre que, garantizando el equilibrio procesal de las partes, la Corte </w:t>
      </w:r>
      <w:r>
        <w:rPr>
          <w:lang w:val="es-CR"/>
        </w:rPr>
        <w:t>[…]</w:t>
      </w:r>
      <w:r w:rsidRPr="00640279">
        <w:rPr>
          <w:lang w:val="es-CR"/>
        </w:rPr>
        <w:t xml:space="preserve"> le permita a Colombia ampliar su número de declaraciones en audiencia, y en este sentido autorice que el perito Bernardo Andrés Carvajal Sánchez rinda su declaración por este medio y no mediante affidávit, como se tenía inicialmente dispuesto”. </w:t>
      </w:r>
    </w:p>
    <w:p w:rsidR="00C40234" w:rsidRPr="005C4F60" w:rsidRDefault="00392DAA" w:rsidP="005C4F60">
      <w:pPr>
        <w:numPr>
          <w:ilvl w:val="0"/>
          <w:numId w:val="3"/>
        </w:numPr>
        <w:spacing w:before="240" w:after="240"/>
        <w:ind w:right="18"/>
        <w:rPr>
          <w:lang w:val="es-CR"/>
        </w:rPr>
      </w:pPr>
      <w:r w:rsidRPr="005C4F60">
        <w:rPr>
          <w:lang w:val="es-CR"/>
        </w:rPr>
        <w:lastRenderedPageBreak/>
        <w:t>Mediante escrito de 04 de octubre de 2017, l</w:t>
      </w:r>
      <w:r w:rsidR="00F333E5" w:rsidRPr="005C4F60">
        <w:rPr>
          <w:lang w:val="es-CR"/>
        </w:rPr>
        <w:t xml:space="preserve">a </w:t>
      </w:r>
      <w:r w:rsidR="00F333E5" w:rsidRPr="005C4F60">
        <w:rPr>
          <w:b/>
          <w:i/>
          <w:lang w:val="es-CR"/>
        </w:rPr>
        <w:t xml:space="preserve">Comisión </w:t>
      </w:r>
      <w:r w:rsidR="00F333E5" w:rsidRPr="005C4F60">
        <w:rPr>
          <w:lang w:val="es-CR"/>
        </w:rPr>
        <w:t>presentó observaciones</w:t>
      </w:r>
      <w:r w:rsidRPr="005C4F60">
        <w:rPr>
          <w:lang w:val="es-CR"/>
        </w:rPr>
        <w:t xml:space="preserve"> a la solicitud de reconsideración planteadas por los representantes CCAJAR y Humanidad Vigente C.J</w:t>
      </w:r>
      <w:r w:rsidR="00F333E5" w:rsidRPr="005C4F60">
        <w:rPr>
          <w:lang w:val="es-CR"/>
        </w:rPr>
        <w:t>.</w:t>
      </w:r>
      <w:r w:rsidRPr="005C4F60">
        <w:rPr>
          <w:lang w:val="es-CR"/>
        </w:rPr>
        <w:t xml:space="preserve"> En este sentido, </w:t>
      </w:r>
      <w:r w:rsidR="005C4F60" w:rsidRPr="005C4F60">
        <w:rPr>
          <w:lang w:val="es-CR"/>
        </w:rPr>
        <w:t>consideró importante que la Corte pueda atender la solicitud de convocar a un declarante más, a fin de que también l</w:t>
      </w:r>
      <w:r w:rsidR="005C4F60">
        <w:rPr>
          <w:lang w:val="es-CR"/>
        </w:rPr>
        <w:t xml:space="preserve">a familia de Elio </w:t>
      </w:r>
      <w:proofErr w:type="spellStart"/>
      <w:r w:rsidR="005C4F60">
        <w:rPr>
          <w:lang w:val="es-CR"/>
        </w:rPr>
        <w:t>Gelves</w:t>
      </w:r>
      <w:proofErr w:type="spellEnd"/>
      <w:r w:rsidR="005C4F60" w:rsidRPr="005C4F60">
        <w:rPr>
          <w:lang w:val="es-CR"/>
        </w:rPr>
        <w:t xml:space="preserve"> Carrillo esté representada en la audiencia. Agregó que “[t]</w:t>
      </w:r>
      <w:proofErr w:type="spellStart"/>
      <w:r w:rsidR="005C4F60" w:rsidRPr="005C4F60">
        <w:rPr>
          <w:lang w:val="es-CR"/>
        </w:rPr>
        <w:t>omando</w:t>
      </w:r>
      <w:proofErr w:type="spellEnd"/>
      <w:r w:rsidR="005C4F60" w:rsidRPr="005C4F60">
        <w:rPr>
          <w:lang w:val="es-CR"/>
        </w:rPr>
        <w:t xml:space="preserve"> en cuenta el tiempo que se ha dispuesto para la presente audiencia, […] entiende que acoger esta solicitud, no implicaría un cambio determinante en el desarrollo, al tratarse únicamente de un declarante adicional”.</w:t>
      </w:r>
      <w:r w:rsidR="00F333E5" w:rsidRPr="005C4F60">
        <w:rPr>
          <w:lang w:val="es-CR"/>
        </w:rPr>
        <w:t xml:space="preserve"> </w:t>
      </w:r>
    </w:p>
    <w:p w:rsidR="00F2636D" w:rsidRPr="00F2636D" w:rsidRDefault="00FA4E30" w:rsidP="00F2636D">
      <w:pPr>
        <w:numPr>
          <w:ilvl w:val="0"/>
          <w:numId w:val="3"/>
        </w:numPr>
        <w:spacing w:before="240" w:after="240"/>
        <w:ind w:right="18"/>
        <w:rPr>
          <w:rFonts w:cs="Verdana"/>
          <w:szCs w:val="20"/>
          <w:lang w:val="es-ES"/>
        </w:rPr>
      </w:pPr>
      <w:r w:rsidRPr="00F2636D">
        <w:rPr>
          <w:rFonts w:cs="Verdana"/>
          <w:szCs w:val="20"/>
          <w:lang w:val="es-ES"/>
        </w:rPr>
        <w:t>La Corte nota</w:t>
      </w:r>
      <w:r w:rsidRPr="00F2636D">
        <w:rPr>
          <w:szCs w:val="20"/>
          <w:lang w:val="es-ES"/>
        </w:rPr>
        <w:t xml:space="preserve"> que</w:t>
      </w:r>
      <w:r w:rsidR="00696224" w:rsidRPr="00F2636D">
        <w:rPr>
          <w:szCs w:val="20"/>
          <w:lang w:val="es-ES"/>
        </w:rPr>
        <w:t>,</w:t>
      </w:r>
      <w:r w:rsidR="00C40234" w:rsidRPr="00F2636D">
        <w:rPr>
          <w:szCs w:val="20"/>
          <w:lang w:val="es-ES"/>
        </w:rPr>
        <w:t xml:space="preserve"> como fue informado a la partes en la Resolución del Presidente de 12 de septiembre de 2017, la audiencia pública del presente caso se celebrará los días 17 de </w:t>
      </w:r>
      <w:r w:rsidR="00C40234" w:rsidRPr="00F2636D">
        <w:rPr>
          <w:lang w:val="es-CR"/>
        </w:rPr>
        <w:t>octubre</w:t>
      </w:r>
      <w:r w:rsidR="00C40234" w:rsidRPr="00F2636D">
        <w:rPr>
          <w:szCs w:val="20"/>
          <w:lang w:val="es-ES"/>
        </w:rPr>
        <w:t xml:space="preserve"> a partir de las 15:00 horas, y 18 de octubre de 2017 a partir de las 09:00 horas.</w:t>
      </w:r>
      <w:r w:rsidR="00614792" w:rsidRPr="00F2636D">
        <w:rPr>
          <w:szCs w:val="20"/>
          <w:lang w:val="es-ES"/>
        </w:rPr>
        <w:t xml:space="preserve"> En este sentido, </w:t>
      </w:r>
      <w:r w:rsidR="00614792" w:rsidRPr="00F2636D">
        <w:rPr>
          <w:lang w:val="es-CR"/>
        </w:rPr>
        <w:t xml:space="preserve">en atención a la duración máxima estimada para el desarrollo de la audiencia pública, la Corte estima que la solicitud de reconsideración de los representantes </w:t>
      </w:r>
      <w:r w:rsidR="00A84760" w:rsidRPr="00F2636D">
        <w:rPr>
          <w:lang w:val="es-CR"/>
        </w:rPr>
        <w:t>no puede ser aceptada</w:t>
      </w:r>
      <w:r w:rsidR="00D956F2" w:rsidRPr="00F2636D">
        <w:rPr>
          <w:lang w:val="es-CR"/>
        </w:rPr>
        <w:t xml:space="preserve"> puesto que</w:t>
      </w:r>
      <w:r w:rsidR="00D956F2" w:rsidRPr="00F2636D">
        <w:rPr>
          <w:rFonts w:cs="Verdana"/>
          <w:szCs w:val="20"/>
        </w:rPr>
        <w:t xml:space="preserve"> es necesario que se garantice un plazo razonable en la duración del proceso, como lo requiere el efectivo acceso a la justicia. En razón de lo anterior, es preciso recibir por declaración rendida ante fedatario público (</w:t>
      </w:r>
      <w:r w:rsidR="00D956F2" w:rsidRPr="00F2636D">
        <w:rPr>
          <w:rFonts w:cs="Verdana"/>
          <w:i/>
          <w:iCs/>
          <w:szCs w:val="20"/>
        </w:rPr>
        <w:t>affidávit</w:t>
      </w:r>
      <w:r w:rsidR="00D956F2" w:rsidRPr="00F2636D">
        <w:rPr>
          <w:rFonts w:cs="Verdana"/>
          <w:szCs w:val="20"/>
        </w:rPr>
        <w:t>) el mayor número posible de declaraciones y escuchar en audiencia pública a las presuntas víctimas y peritos cuya declaración directa resulte indispensable tomando en cuenta las circunstancias del caso y el objeto de las declaraciones y dictámenes.</w:t>
      </w:r>
    </w:p>
    <w:p w:rsidR="00EB60E0" w:rsidRPr="00F2636D" w:rsidRDefault="00F2636D" w:rsidP="00F2636D">
      <w:pPr>
        <w:numPr>
          <w:ilvl w:val="0"/>
          <w:numId w:val="3"/>
        </w:numPr>
        <w:spacing w:before="240" w:after="240"/>
        <w:ind w:right="18"/>
        <w:rPr>
          <w:rFonts w:cs="Verdana"/>
          <w:szCs w:val="20"/>
          <w:lang w:val="es-ES"/>
        </w:rPr>
      </w:pPr>
      <w:r w:rsidRPr="00F2636D">
        <w:rPr>
          <w:rFonts w:cs="Verdana"/>
          <w:szCs w:val="20"/>
          <w:lang w:val="es-ES"/>
        </w:rPr>
        <w:t xml:space="preserve"> </w:t>
      </w:r>
      <w:r w:rsidR="00614792" w:rsidRPr="00F2636D">
        <w:rPr>
          <w:rFonts w:cs="Verdana"/>
          <w:szCs w:val="20"/>
          <w:lang w:val="es-ES"/>
        </w:rPr>
        <w:t xml:space="preserve">Asimismo, la Corte </w:t>
      </w:r>
      <w:r w:rsidR="00A84760" w:rsidRPr="00F2636D">
        <w:rPr>
          <w:rFonts w:cs="Verdana"/>
          <w:szCs w:val="20"/>
          <w:lang w:val="es-ES"/>
        </w:rPr>
        <w:t xml:space="preserve">recuerda </w:t>
      </w:r>
      <w:r w:rsidR="00614792" w:rsidRPr="00F2636D">
        <w:rPr>
          <w:rFonts w:cs="Verdana"/>
          <w:szCs w:val="20"/>
          <w:lang w:val="es-ES"/>
        </w:rPr>
        <w:t xml:space="preserve">que tanto los </w:t>
      </w:r>
      <w:r w:rsidR="00614792" w:rsidRPr="00F2636D">
        <w:rPr>
          <w:lang w:val="es-CR"/>
        </w:rPr>
        <w:t xml:space="preserve">integrantes del núcleo familiar del señor Elio </w:t>
      </w:r>
      <w:proofErr w:type="spellStart"/>
      <w:r w:rsidR="00614792" w:rsidRPr="00F2636D">
        <w:rPr>
          <w:lang w:val="es-CR"/>
        </w:rPr>
        <w:t>Gelves</w:t>
      </w:r>
      <w:proofErr w:type="spellEnd"/>
      <w:r w:rsidR="00614792" w:rsidRPr="00F2636D">
        <w:rPr>
          <w:lang w:val="es-CR"/>
        </w:rPr>
        <w:t xml:space="preserve"> Carrillo, la señora Griselda Carrillo de </w:t>
      </w:r>
      <w:proofErr w:type="spellStart"/>
      <w:r w:rsidR="00614792" w:rsidRPr="00F2636D">
        <w:rPr>
          <w:lang w:val="es-CR"/>
        </w:rPr>
        <w:t>Gelves</w:t>
      </w:r>
      <w:proofErr w:type="spellEnd"/>
      <w:r w:rsidR="00614792" w:rsidRPr="00F2636D">
        <w:rPr>
          <w:lang w:val="es-CR"/>
        </w:rPr>
        <w:t xml:space="preserve"> y el señor Ismael </w:t>
      </w:r>
      <w:proofErr w:type="spellStart"/>
      <w:r w:rsidR="00614792" w:rsidRPr="00F2636D">
        <w:rPr>
          <w:lang w:val="es-CR"/>
        </w:rPr>
        <w:t>Gelves</w:t>
      </w:r>
      <w:proofErr w:type="spellEnd"/>
      <w:r w:rsidR="00614792" w:rsidRPr="00F2636D">
        <w:rPr>
          <w:lang w:val="es-CR"/>
        </w:rPr>
        <w:t xml:space="preserve"> Carrillo, como el perito Bernardo </w:t>
      </w:r>
      <w:r w:rsidR="005C4F60" w:rsidRPr="00F2636D">
        <w:rPr>
          <w:lang w:val="es-CR"/>
        </w:rPr>
        <w:t>Andrés</w:t>
      </w:r>
      <w:r w:rsidR="00614792" w:rsidRPr="00F2636D">
        <w:rPr>
          <w:lang w:val="es-CR"/>
        </w:rPr>
        <w:t xml:space="preserve"> Carvajal Sánchez, </w:t>
      </w:r>
      <w:r w:rsidR="00EB60E0" w:rsidRPr="00F2636D">
        <w:rPr>
          <w:lang w:val="es-CR"/>
        </w:rPr>
        <w:t>podrán rendir</w:t>
      </w:r>
      <w:r w:rsidR="00614792" w:rsidRPr="00F2636D">
        <w:rPr>
          <w:lang w:val="es-CR"/>
        </w:rPr>
        <w:t xml:space="preserve"> su declaración por medio de af</w:t>
      </w:r>
      <w:r w:rsidR="00EB60E0" w:rsidRPr="00F2636D">
        <w:rPr>
          <w:lang w:val="es-CR"/>
        </w:rPr>
        <w:t>idávit</w:t>
      </w:r>
      <w:r w:rsidR="00614792" w:rsidRPr="00F2636D">
        <w:rPr>
          <w:lang w:val="es-CR"/>
        </w:rPr>
        <w:t xml:space="preserve"> de conformidad con el punto resolutivo cuarto de la Resolución del Presidente de 12 de septiembre de 2017</w:t>
      </w:r>
      <w:r w:rsidR="00A84760" w:rsidRPr="00F2636D">
        <w:rPr>
          <w:lang w:val="es-CR"/>
        </w:rPr>
        <w:t>. En tal virtud,</w:t>
      </w:r>
      <w:r w:rsidR="00EB60E0" w:rsidRPr="00F2636D">
        <w:rPr>
          <w:lang w:val="es-CR"/>
        </w:rPr>
        <w:t xml:space="preserve"> el acervo probatorio que la Corte tendrá disponible no </w:t>
      </w:r>
      <w:r w:rsidR="00614792" w:rsidRPr="00F2636D">
        <w:rPr>
          <w:lang w:val="es-CR"/>
        </w:rPr>
        <w:t>se</w:t>
      </w:r>
      <w:r w:rsidR="008E04EC" w:rsidRPr="00F2636D">
        <w:rPr>
          <w:lang w:val="es-CR"/>
        </w:rPr>
        <w:t xml:space="preserve"> verá</w:t>
      </w:r>
      <w:r w:rsidR="00614792" w:rsidRPr="00F2636D">
        <w:rPr>
          <w:lang w:val="es-CR"/>
        </w:rPr>
        <w:t xml:space="preserve"> alterado y no se afectar</w:t>
      </w:r>
      <w:r w:rsidR="008E04EC" w:rsidRPr="00F2636D">
        <w:rPr>
          <w:lang w:val="es-CR"/>
        </w:rPr>
        <w:t>á el</w:t>
      </w:r>
      <w:r w:rsidR="00614792" w:rsidRPr="00F2636D">
        <w:rPr>
          <w:lang w:val="es-CR"/>
        </w:rPr>
        <w:t xml:space="preserve"> </w:t>
      </w:r>
      <w:r w:rsidR="00D304E3" w:rsidRPr="00F2636D">
        <w:rPr>
          <w:lang w:val="es-CR"/>
        </w:rPr>
        <w:t xml:space="preserve">derecho de las partes a presentar la prueba que estimen pertinente </w:t>
      </w:r>
      <w:r w:rsidR="008E04EC" w:rsidRPr="00F2636D">
        <w:rPr>
          <w:lang w:val="es-CR"/>
        </w:rPr>
        <w:t xml:space="preserve">dentro </w:t>
      </w:r>
      <w:r w:rsidR="00D304E3" w:rsidRPr="00F2636D">
        <w:rPr>
          <w:lang w:val="es-CR"/>
        </w:rPr>
        <w:t>del trámite del caso</w:t>
      </w:r>
      <w:r w:rsidR="00EB60E0" w:rsidRPr="00F2636D">
        <w:rPr>
          <w:lang w:val="es-CR"/>
        </w:rPr>
        <w:t>.</w:t>
      </w:r>
    </w:p>
    <w:p w:rsidR="008432B1" w:rsidRPr="00EB60E0" w:rsidRDefault="008432B1" w:rsidP="00EB60E0">
      <w:pPr>
        <w:spacing w:after="0"/>
        <w:rPr>
          <w:rFonts w:cs="Verdana"/>
          <w:szCs w:val="20"/>
          <w:lang w:val="es-ES"/>
        </w:rPr>
      </w:pPr>
    </w:p>
    <w:p w:rsidR="0093539C" w:rsidRPr="0093539C" w:rsidRDefault="0093539C" w:rsidP="007403DD">
      <w:pPr>
        <w:spacing w:after="0"/>
        <w:ind w:right="18"/>
        <w:rPr>
          <w:rFonts w:cs="Verdana"/>
          <w:szCs w:val="20"/>
          <w:lang w:val="es-ES"/>
        </w:rPr>
      </w:pPr>
    </w:p>
    <w:p w:rsidR="00017CD7" w:rsidRPr="0003632E" w:rsidRDefault="00017CD7" w:rsidP="007403DD">
      <w:pPr>
        <w:spacing w:after="0"/>
        <w:rPr>
          <w:rFonts w:cs="Verdana"/>
          <w:b/>
          <w:bCs/>
          <w:szCs w:val="20"/>
          <w:lang w:val="es-CR"/>
        </w:rPr>
      </w:pPr>
      <w:r w:rsidRPr="0003632E">
        <w:rPr>
          <w:rFonts w:cs="Verdana"/>
          <w:b/>
          <w:bCs/>
          <w:szCs w:val="20"/>
          <w:lang w:val="es-CR"/>
        </w:rPr>
        <w:t>POR TANTO:</w:t>
      </w:r>
    </w:p>
    <w:p w:rsidR="00017CD7" w:rsidRPr="0003632E" w:rsidRDefault="00017CD7" w:rsidP="007403DD">
      <w:pPr>
        <w:spacing w:after="0"/>
        <w:rPr>
          <w:rFonts w:cs="Verdana"/>
          <w:b/>
          <w:bCs/>
          <w:szCs w:val="20"/>
          <w:lang w:val="es-CR"/>
        </w:rPr>
      </w:pPr>
    </w:p>
    <w:p w:rsidR="00017CD7" w:rsidRDefault="00017CD7" w:rsidP="007403DD">
      <w:pPr>
        <w:spacing w:after="0"/>
        <w:rPr>
          <w:rFonts w:cs="Verdana"/>
          <w:b/>
          <w:bCs/>
          <w:szCs w:val="20"/>
          <w:lang w:val="es-CR"/>
        </w:rPr>
      </w:pPr>
      <w:r w:rsidRPr="0003632E">
        <w:rPr>
          <w:rFonts w:cs="Verdana"/>
          <w:b/>
          <w:bCs/>
          <w:szCs w:val="20"/>
          <w:lang w:val="es-CR"/>
        </w:rPr>
        <w:t xml:space="preserve">LA CORTE INTERAMERICANA DE DERECHOS HUMANOS, </w:t>
      </w:r>
    </w:p>
    <w:p w:rsidR="00017CD7" w:rsidRDefault="00017CD7" w:rsidP="007403DD">
      <w:pPr>
        <w:autoSpaceDE w:val="0"/>
        <w:autoSpaceDN w:val="0"/>
        <w:adjustRightInd w:val="0"/>
        <w:spacing w:after="0"/>
        <w:ind w:right="18"/>
        <w:rPr>
          <w:rFonts w:ascii="Garamond" w:hAnsi="Garamond"/>
          <w:lang w:val="es-CR"/>
        </w:rPr>
      </w:pPr>
    </w:p>
    <w:p w:rsidR="00017CD7" w:rsidRPr="005C641D" w:rsidRDefault="0057785F" w:rsidP="007403DD">
      <w:pPr>
        <w:autoSpaceDE w:val="0"/>
        <w:autoSpaceDN w:val="0"/>
        <w:adjustRightInd w:val="0"/>
        <w:spacing w:after="0"/>
        <w:ind w:right="18"/>
        <w:rPr>
          <w:rFonts w:cs="Verdana"/>
          <w:b/>
          <w:bCs/>
          <w:szCs w:val="20"/>
          <w:lang w:val="es-ES"/>
        </w:rPr>
      </w:pPr>
      <w:r>
        <w:rPr>
          <w:rFonts w:cs="Verdana"/>
          <w:szCs w:val="20"/>
          <w:lang w:val="es-CR"/>
        </w:rPr>
        <w:t>D</w:t>
      </w:r>
      <w:proofErr w:type="spellStart"/>
      <w:r w:rsidR="00017CD7" w:rsidRPr="005C641D">
        <w:rPr>
          <w:rFonts w:cs="Verdana"/>
          <w:szCs w:val="20"/>
          <w:lang w:val="es-ES"/>
        </w:rPr>
        <w:t>e</w:t>
      </w:r>
      <w:proofErr w:type="spellEnd"/>
      <w:r w:rsidR="00017CD7" w:rsidRPr="005C641D">
        <w:rPr>
          <w:rFonts w:cs="Verdana"/>
          <w:szCs w:val="20"/>
          <w:lang w:val="es-ES"/>
        </w:rPr>
        <w:t xml:space="preserve"> conformidad con </w:t>
      </w:r>
      <w:r w:rsidR="00017CD7">
        <w:rPr>
          <w:rFonts w:cs="Verdana"/>
          <w:szCs w:val="20"/>
          <w:lang w:val="es-ES"/>
        </w:rPr>
        <w:t>e</w:t>
      </w:r>
      <w:r w:rsidR="00017CD7" w:rsidRPr="005C641D">
        <w:rPr>
          <w:rFonts w:cs="Verdana"/>
          <w:szCs w:val="20"/>
          <w:lang w:val="es-ES"/>
        </w:rPr>
        <w:t xml:space="preserve">l artículo 25.2 del Estatuto de la Corte y con los </w:t>
      </w:r>
      <w:r w:rsidR="00017CD7" w:rsidRPr="005C641D">
        <w:rPr>
          <w:rFonts w:cs="Verdana"/>
          <w:szCs w:val="20"/>
        </w:rPr>
        <w:t xml:space="preserve">artículos 31.2, </w:t>
      </w:r>
      <w:r w:rsidR="00F70B30">
        <w:rPr>
          <w:rFonts w:cs="Verdana"/>
          <w:szCs w:val="20"/>
        </w:rPr>
        <w:t xml:space="preserve">49 </w:t>
      </w:r>
      <w:r w:rsidR="00017CD7">
        <w:rPr>
          <w:rFonts w:cs="Verdana"/>
          <w:szCs w:val="20"/>
        </w:rPr>
        <w:t>y</w:t>
      </w:r>
      <w:r w:rsidR="00017CD7" w:rsidRPr="00E30617">
        <w:rPr>
          <w:rFonts w:cs="Verdana"/>
          <w:szCs w:val="20"/>
        </w:rPr>
        <w:t xml:space="preserve"> 50</w:t>
      </w:r>
      <w:r w:rsidR="00017CD7" w:rsidRPr="005C641D">
        <w:rPr>
          <w:rFonts w:cs="Verdana"/>
          <w:szCs w:val="20"/>
        </w:rPr>
        <w:t xml:space="preserve"> del Reglamento</w:t>
      </w:r>
      <w:r w:rsidR="00017CD7" w:rsidRPr="005C641D">
        <w:rPr>
          <w:rFonts w:cs="Verdana"/>
          <w:szCs w:val="20"/>
          <w:lang w:val="es-ES"/>
        </w:rPr>
        <w:t xml:space="preserve">, </w:t>
      </w:r>
    </w:p>
    <w:p w:rsidR="00017CD7" w:rsidRPr="005C641D" w:rsidRDefault="00017CD7" w:rsidP="007403DD">
      <w:pPr>
        <w:autoSpaceDE w:val="0"/>
        <w:autoSpaceDN w:val="0"/>
        <w:adjustRightInd w:val="0"/>
        <w:spacing w:after="0"/>
        <w:ind w:right="18"/>
        <w:rPr>
          <w:rFonts w:cs="Verdana"/>
          <w:b/>
          <w:bCs/>
          <w:szCs w:val="20"/>
          <w:lang w:val="es-ES"/>
        </w:rPr>
      </w:pPr>
    </w:p>
    <w:p w:rsidR="00017CD7" w:rsidRPr="005C641D" w:rsidRDefault="00017CD7" w:rsidP="007403DD">
      <w:pPr>
        <w:autoSpaceDE w:val="0"/>
        <w:autoSpaceDN w:val="0"/>
        <w:adjustRightInd w:val="0"/>
        <w:spacing w:after="0"/>
        <w:ind w:right="18"/>
        <w:rPr>
          <w:rFonts w:cs="Verdana"/>
          <w:b/>
          <w:bCs/>
          <w:szCs w:val="20"/>
          <w:lang w:val="es-ES"/>
        </w:rPr>
      </w:pPr>
      <w:r w:rsidRPr="005C641D">
        <w:rPr>
          <w:rFonts w:cs="Verdana"/>
          <w:b/>
          <w:bCs/>
          <w:szCs w:val="20"/>
          <w:lang w:val="es-ES"/>
        </w:rPr>
        <w:t>RESUELVE:</w:t>
      </w:r>
    </w:p>
    <w:p w:rsidR="00017CD7" w:rsidRPr="005C641D" w:rsidRDefault="00017CD7" w:rsidP="007403DD">
      <w:pPr>
        <w:autoSpaceDE w:val="0"/>
        <w:autoSpaceDN w:val="0"/>
        <w:adjustRightInd w:val="0"/>
        <w:spacing w:after="0"/>
        <w:ind w:right="18"/>
        <w:rPr>
          <w:rFonts w:cs="Verdana"/>
          <w:szCs w:val="20"/>
          <w:lang w:val="es-ES"/>
        </w:rPr>
      </w:pPr>
    </w:p>
    <w:p w:rsidR="00017CD7" w:rsidRPr="00EB60E0" w:rsidRDefault="00E14A9A" w:rsidP="007403DD">
      <w:pPr>
        <w:widowControl w:val="0"/>
        <w:numPr>
          <w:ilvl w:val="0"/>
          <w:numId w:val="5"/>
        </w:numPr>
        <w:autoSpaceDE w:val="0"/>
        <w:autoSpaceDN w:val="0"/>
        <w:adjustRightInd w:val="0"/>
        <w:spacing w:after="0"/>
        <w:ind w:left="0" w:right="18" w:firstLine="0"/>
        <w:rPr>
          <w:lang w:val="es-CR"/>
        </w:rPr>
      </w:pPr>
      <w:r w:rsidRPr="00EB60E0">
        <w:t xml:space="preserve">Desestimar el recurso de reconsideración interpuesto por </w:t>
      </w:r>
      <w:r w:rsidR="00503CF4" w:rsidRPr="00EB60E0">
        <w:t>los representantes CCAJAR y Humanidad Vigente C.J.</w:t>
      </w:r>
      <w:r w:rsidRPr="00EB60E0">
        <w:t xml:space="preserve">, y en consecuencia, ratificar la Resolución del Presidente de </w:t>
      </w:r>
      <w:r w:rsidR="00503CF4" w:rsidRPr="00EB60E0">
        <w:t>12</w:t>
      </w:r>
      <w:r w:rsidRPr="00EB60E0">
        <w:t xml:space="preserve"> de </w:t>
      </w:r>
      <w:r w:rsidR="00503CF4" w:rsidRPr="00EB60E0">
        <w:t>septiembre de 2017</w:t>
      </w:r>
      <w:r w:rsidR="00017CD7" w:rsidRPr="00EB60E0">
        <w:rPr>
          <w:rFonts w:eastAsia="Arial" w:cs="Arial"/>
        </w:rPr>
        <w:t>.</w:t>
      </w:r>
    </w:p>
    <w:p w:rsidR="00017CD7" w:rsidRPr="00945879" w:rsidRDefault="00017CD7" w:rsidP="007403DD">
      <w:pPr>
        <w:spacing w:after="0"/>
        <w:ind w:right="18"/>
      </w:pPr>
    </w:p>
    <w:p w:rsidR="00017CD7" w:rsidRDefault="00017CD7" w:rsidP="007403DD">
      <w:pPr>
        <w:widowControl w:val="0"/>
        <w:numPr>
          <w:ilvl w:val="0"/>
          <w:numId w:val="5"/>
        </w:numPr>
        <w:autoSpaceDE w:val="0"/>
        <w:autoSpaceDN w:val="0"/>
        <w:adjustRightInd w:val="0"/>
        <w:spacing w:after="0"/>
        <w:ind w:left="0" w:right="18" w:firstLine="0"/>
      </w:pPr>
      <w:r w:rsidRPr="008B7C02">
        <w:rPr>
          <w:color w:val="000000"/>
          <w:lang w:val="es-CR"/>
        </w:rPr>
        <w:t>Disponer que la Secretaría de la Corte Interamericana notifique la presente Resolución a la Comisión Interamericana de Derechos Humanos, a l</w:t>
      </w:r>
      <w:r>
        <w:rPr>
          <w:color w:val="000000"/>
          <w:lang w:val="es-CR"/>
        </w:rPr>
        <w:t>o</w:t>
      </w:r>
      <w:r w:rsidRPr="008B7C02">
        <w:rPr>
          <w:color w:val="000000"/>
          <w:lang w:val="es-CR"/>
        </w:rPr>
        <w:t>s representantes de las presuntas víctimas y al</w:t>
      </w:r>
      <w:r w:rsidR="00503CF4">
        <w:rPr>
          <w:color w:val="000000"/>
          <w:lang w:val="es-CR"/>
        </w:rPr>
        <w:t xml:space="preserve"> Estado </w:t>
      </w:r>
      <w:r>
        <w:rPr>
          <w:color w:val="000000"/>
          <w:lang w:val="es-CR"/>
        </w:rPr>
        <w:t xml:space="preserve">de </w:t>
      </w:r>
      <w:r w:rsidR="00503CF4">
        <w:rPr>
          <w:color w:val="000000"/>
          <w:lang w:val="es-CR"/>
        </w:rPr>
        <w:t>Colombia</w:t>
      </w:r>
      <w:r>
        <w:rPr>
          <w:color w:val="000000"/>
          <w:lang w:val="es-CR"/>
        </w:rPr>
        <w:t>.</w:t>
      </w:r>
      <w:r>
        <w:t xml:space="preserve"> </w:t>
      </w:r>
    </w:p>
    <w:p w:rsidR="00017CD7" w:rsidRDefault="00017CD7" w:rsidP="007403DD">
      <w:pPr>
        <w:spacing w:after="0"/>
      </w:pPr>
    </w:p>
    <w:p w:rsidR="002C3BE9" w:rsidRDefault="002C3BE9" w:rsidP="007403DD">
      <w:pPr>
        <w:spacing w:after="0"/>
      </w:pPr>
    </w:p>
    <w:p w:rsidR="002C3BE9" w:rsidRDefault="002C3BE9" w:rsidP="007403DD">
      <w:pPr>
        <w:spacing w:after="0"/>
      </w:pPr>
    </w:p>
    <w:p w:rsidR="00942426" w:rsidRDefault="00942426" w:rsidP="007403DD">
      <w:pPr>
        <w:spacing w:after="0"/>
        <w:rPr>
          <w:lang w:val="es-CR"/>
        </w:rPr>
      </w:pPr>
    </w:p>
    <w:p w:rsidR="00942426" w:rsidRDefault="00942426" w:rsidP="007403DD">
      <w:pPr>
        <w:spacing w:after="0"/>
        <w:rPr>
          <w:lang w:val="es-CR"/>
        </w:rPr>
      </w:pPr>
    </w:p>
    <w:p w:rsidR="00EA7B09" w:rsidRDefault="00EA7B09" w:rsidP="007403DD">
      <w:pPr>
        <w:spacing w:after="0"/>
        <w:rPr>
          <w:lang w:val="es-CR"/>
        </w:rPr>
      </w:pPr>
    </w:p>
    <w:p w:rsidR="00017CD7" w:rsidRDefault="00EA7B09" w:rsidP="007403DD">
      <w:pPr>
        <w:spacing w:after="0"/>
        <w:rPr>
          <w:lang w:val="es-CR"/>
        </w:rPr>
      </w:pPr>
      <w:r>
        <w:rPr>
          <w:lang w:val="es-CR"/>
        </w:rPr>
        <w:lastRenderedPageBreak/>
        <w:t xml:space="preserve">Corte IDH. </w:t>
      </w:r>
      <w:r w:rsidRPr="00EA7B09">
        <w:rPr>
          <w:i/>
          <w:lang w:val="es-CR"/>
        </w:rPr>
        <w:t>Caso Villamizar Durán y Otros Vs. Colombia</w:t>
      </w:r>
      <w:r>
        <w:rPr>
          <w:lang w:val="es-CR"/>
        </w:rPr>
        <w:t>. Resolución de 6 de octubre de 2017</w:t>
      </w:r>
    </w:p>
    <w:p w:rsidR="00E12E6A" w:rsidRDefault="00E12E6A" w:rsidP="007403DD">
      <w:pPr>
        <w:spacing w:after="0"/>
        <w:jc w:val="center"/>
        <w:rPr>
          <w:lang w:val="es-ES"/>
        </w:rPr>
      </w:pPr>
    </w:p>
    <w:p w:rsidR="00942426" w:rsidRDefault="00942426" w:rsidP="007403DD">
      <w:pPr>
        <w:spacing w:after="0"/>
        <w:jc w:val="center"/>
        <w:rPr>
          <w:lang w:val="es-ES"/>
        </w:rPr>
      </w:pPr>
    </w:p>
    <w:p w:rsidR="00942426" w:rsidRDefault="00942426" w:rsidP="007403DD">
      <w:pPr>
        <w:spacing w:after="0"/>
        <w:jc w:val="center"/>
        <w:rPr>
          <w:lang w:val="es-ES"/>
        </w:rPr>
      </w:pPr>
    </w:p>
    <w:p w:rsidR="00942426" w:rsidRDefault="00942426" w:rsidP="007403DD">
      <w:pPr>
        <w:spacing w:after="0"/>
        <w:jc w:val="center"/>
        <w:rPr>
          <w:lang w:val="es-ES"/>
        </w:rPr>
      </w:pPr>
    </w:p>
    <w:p w:rsidR="00942426" w:rsidRDefault="00942426" w:rsidP="007403DD">
      <w:pPr>
        <w:spacing w:after="0"/>
        <w:jc w:val="center"/>
        <w:rPr>
          <w:lang w:val="es-ES"/>
        </w:rPr>
      </w:pPr>
    </w:p>
    <w:p w:rsidR="00017CD7" w:rsidRPr="0072149E" w:rsidRDefault="00503CF4" w:rsidP="007403DD">
      <w:pPr>
        <w:spacing w:after="0"/>
        <w:jc w:val="center"/>
      </w:pPr>
      <w:r>
        <w:t>Roberto F. Caldas</w:t>
      </w:r>
    </w:p>
    <w:p w:rsidR="00017CD7" w:rsidRPr="00370276" w:rsidRDefault="00503CF4" w:rsidP="007403DD">
      <w:pPr>
        <w:spacing w:after="0"/>
        <w:jc w:val="center"/>
        <w:rPr>
          <w:lang w:val="es-ES"/>
        </w:rPr>
      </w:pPr>
      <w:r>
        <w:rPr>
          <w:lang w:val="es-ES"/>
        </w:rPr>
        <w:t>Presidente</w:t>
      </w:r>
    </w:p>
    <w:p w:rsidR="00017CD7" w:rsidRDefault="00017CD7" w:rsidP="007403DD">
      <w:pPr>
        <w:spacing w:after="0"/>
        <w:rPr>
          <w:lang w:val="es-ES"/>
        </w:rPr>
      </w:pPr>
    </w:p>
    <w:p w:rsidR="000B60E7" w:rsidRDefault="000B60E7" w:rsidP="007403DD">
      <w:pPr>
        <w:spacing w:after="0"/>
        <w:rPr>
          <w:lang w:val="es-ES"/>
        </w:rPr>
      </w:pPr>
    </w:p>
    <w:p w:rsidR="000B60E7" w:rsidRDefault="000B60E7" w:rsidP="007403DD">
      <w:pPr>
        <w:spacing w:after="0"/>
        <w:rPr>
          <w:lang w:val="es-ES"/>
        </w:rPr>
      </w:pPr>
    </w:p>
    <w:p w:rsidR="00942426" w:rsidRDefault="00942426" w:rsidP="007403DD">
      <w:pPr>
        <w:spacing w:after="0"/>
        <w:rPr>
          <w:lang w:val="es-ES"/>
        </w:rPr>
      </w:pPr>
    </w:p>
    <w:p w:rsidR="00017CD7" w:rsidRDefault="00017CD7" w:rsidP="007403DD">
      <w:pPr>
        <w:spacing w:after="0"/>
        <w:rPr>
          <w:lang w:val="es-ES"/>
        </w:rPr>
      </w:pPr>
    </w:p>
    <w:p w:rsidR="00017CD7" w:rsidRPr="0072149E" w:rsidRDefault="00503CF4" w:rsidP="007403DD">
      <w:pPr>
        <w:spacing w:after="0"/>
      </w:pPr>
      <w:r>
        <w:t>Eduardo Ferrer Mac-</w:t>
      </w:r>
      <w:proofErr w:type="spellStart"/>
      <w:r>
        <w:t>Gregor</w:t>
      </w:r>
      <w:proofErr w:type="spellEnd"/>
      <w:r>
        <w:t xml:space="preserve"> </w:t>
      </w:r>
      <w:proofErr w:type="spellStart"/>
      <w:r>
        <w:t>Poisot</w:t>
      </w:r>
      <w:proofErr w:type="spellEnd"/>
      <w:r w:rsidR="00017CD7" w:rsidRPr="0072149E">
        <w:tab/>
      </w:r>
      <w:r w:rsidR="00017CD7" w:rsidRPr="0072149E">
        <w:tab/>
      </w:r>
      <w:r w:rsidR="00017CD7" w:rsidRPr="0072149E">
        <w:tab/>
      </w:r>
      <w:r w:rsidR="00017CD7" w:rsidRPr="0072149E">
        <w:tab/>
      </w:r>
      <w:r w:rsidR="00017CD7" w:rsidRPr="0072149E">
        <w:tab/>
      </w:r>
      <w:r w:rsidR="00017CD7" w:rsidRPr="0072149E">
        <w:tab/>
      </w:r>
      <w:r>
        <w:t xml:space="preserve">   </w:t>
      </w:r>
      <w:r w:rsidRPr="0072149E">
        <w:t>Eduardo Vio Grossi</w:t>
      </w:r>
      <w:r w:rsidR="00017CD7" w:rsidRPr="0072149E">
        <w:tab/>
      </w:r>
    </w:p>
    <w:p w:rsidR="00017CD7" w:rsidRPr="0072149E" w:rsidRDefault="00017CD7" w:rsidP="007403DD">
      <w:pPr>
        <w:spacing w:after="0"/>
      </w:pPr>
    </w:p>
    <w:p w:rsidR="00017CD7" w:rsidRPr="0072149E" w:rsidRDefault="00017CD7" w:rsidP="007403DD">
      <w:pPr>
        <w:spacing w:after="0"/>
      </w:pPr>
    </w:p>
    <w:p w:rsidR="00017CD7" w:rsidRPr="0072149E" w:rsidRDefault="00017CD7" w:rsidP="007403DD">
      <w:pPr>
        <w:spacing w:after="0"/>
      </w:pPr>
    </w:p>
    <w:p w:rsidR="000B60E7" w:rsidRPr="0072149E" w:rsidRDefault="000B60E7" w:rsidP="007403DD">
      <w:pPr>
        <w:spacing w:after="0"/>
      </w:pPr>
    </w:p>
    <w:p w:rsidR="000B60E7" w:rsidRPr="0072149E" w:rsidRDefault="000B60E7" w:rsidP="007403DD">
      <w:pPr>
        <w:spacing w:after="0"/>
      </w:pPr>
    </w:p>
    <w:p w:rsidR="00017CD7" w:rsidRPr="0072149E" w:rsidRDefault="00017CD7" w:rsidP="007403DD">
      <w:pPr>
        <w:spacing w:after="0"/>
      </w:pPr>
      <w:r w:rsidRPr="0072149E">
        <w:t>Elizabeth Odio</w:t>
      </w:r>
      <w:r w:rsidR="0057785F">
        <w:t xml:space="preserve"> </w:t>
      </w:r>
      <w:r w:rsidRPr="0072149E">
        <w:t>Benito</w:t>
      </w:r>
      <w:r w:rsidR="000B60E7" w:rsidRPr="0072149E">
        <w:t xml:space="preserve">  </w:t>
      </w:r>
      <w:r w:rsidR="00503CF4">
        <w:t xml:space="preserve"> </w:t>
      </w:r>
      <w:r w:rsidR="000B60E7" w:rsidRPr="0072149E">
        <w:tab/>
      </w:r>
      <w:r w:rsidR="000B60E7" w:rsidRPr="0072149E">
        <w:tab/>
      </w:r>
      <w:r w:rsidR="000B60E7" w:rsidRPr="0072149E">
        <w:tab/>
      </w:r>
      <w:r w:rsidR="000B60E7" w:rsidRPr="0072149E">
        <w:tab/>
      </w:r>
      <w:r w:rsidR="000B60E7" w:rsidRPr="0072149E">
        <w:tab/>
        <w:t xml:space="preserve">      </w:t>
      </w:r>
      <w:r w:rsidR="00503CF4">
        <w:t xml:space="preserve">            </w:t>
      </w:r>
      <w:r w:rsidRPr="0072149E">
        <w:t xml:space="preserve">Eugenio </w:t>
      </w:r>
      <w:r w:rsidR="0057785F" w:rsidRPr="0072149E">
        <w:t>Raúl</w:t>
      </w:r>
      <w:r w:rsidRPr="0072149E">
        <w:t xml:space="preserve"> </w:t>
      </w:r>
      <w:proofErr w:type="spellStart"/>
      <w:r w:rsidRPr="0072149E">
        <w:t>Zaffaroni</w:t>
      </w:r>
      <w:proofErr w:type="spellEnd"/>
    </w:p>
    <w:p w:rsidR="00017CD7" w:rsidRPr="0072149E" w:rsidRDefault="00017CD7" w:rsidP="007403DD">
      <w:pPr>
        <w:spacing w:after="0"/>
      </w:pPr>
    </w:p>
    <w:p w:rsidR="00017CD7" w:rsidRPr="0072149E" w:rsidRDefault="00017CD7" w:rsidP="007403DD">
      <w:pPr>
        <w:spacing w:after="0"/>
      </w:pPr>
    </w:p>
    <w:p w:rsidR="000B60E7" w:rsidRDefault="000B60E7" w:rsidP="007403DD">
      <w:pPr>
        <w:spacing w:after="0"/>
        <w:jc w:val="center"/>
      </w:pPr>
    </w:p>
    <w:p w:rsidR="00942426" w:rsidRPr="0072149E" w:rsidRDefault="00942426" w:rsidP="007403DD">
      <w:pPr>
        <w:spacing w:after="0"/>
        <w:jc w:val="center"/>
      </w:pPr>
    </w:p>
    <w:p w:rsidR="000B60E7" w:rsidRPr="0072149E" w:rsidRDefault="000B60E7" w:rsidP="007403DD">
      <w:pPr>
        <w:spacing w:after="0"/>
        <w:jc w:val="center"/>
      </w:pPr>
    </w:p>
    <w:p w:rsidR="00017CD7" w:rsidRPr="0057785F" w:rsidRDefault="0057785F" w:rsidP="007403DD">
      <w:pPr>
        <w:spacing w:after="0"/>
        <w:jc w:val="center"/>
      </w:pPr>
      <w:r w:rsidRPr="0057785F">
        <w:t xml:space="preserve">L. </w:t>
      </w:r>
      <w:r w:rsidR="00017CD7" w:rsidRPr="0057785F">
        <w:t>Patricio Pazmiño Freire</w:t>
      </w:r>
    </w:p>
    <w:p w:rsidR="00017CD7" w:rsidRPr="0057785F" w:rsidRDefault="00017CD7" w:rsidP="007403DD">
      <w:pPr>
        <w:spacing w:after="0"/>
      </w:pPr>
    </w:p>
    <w:p w:rsidR="00017CD7" w:rsidRPr="0057785F" w:rsidRDefault="00017CD7" w:rsidP="007403DD">
      <w:pPr>
        <w:spacing w:after="0"/>
      </w:pPr>
    </w:p>
    <w:p w:rsidR="000B60E7" w:rsidRPr="0057785F" w:rsidRDefault="000B60E7" w:rsidP="007403DD">
      <w:pPr>
        <w:spacing w:after="0"/>
      </w:pPr>
    </w:p>
    <w:p w:rsidR="000B60E7" w:rsidRPr="0057785F" w:rsidRDefault="000B60E7" w:rsidP="007403DD">
      <w:pPr>
        <w:spacing w:after="0"/>
      </w:pPr>
    </w:p>
    <w:p w:rsidR="000B60E7" w:rsidRPr="0057785F" w:rsidRDefault="000B60E7" w:rsidP="007403DD">
      <w:pPr>
        <w:spacing w:after="0"/>
      </w:pPr>
    </w:p>
    <w:p w:rsidR="00017CD7" w:rsidRPr="0057785F" w:rsidRDefault="00017CD7" w:rsidP="007403DD">
      <w:pPr>
        <w:spacing w:after="0"/>
        <w:jc w:val="center"/>
      </w:pPr>
      <w:r w:rsidRPr="0057785F">
        <w:t>Pablo Saavedra Alessandri</w:t>
      </w:r>
    </w:p>
    <w:p w:rsidR="00361AEE" w:rsidRPr="0072149E" w:rsidRDefault="00017CD7" w:rsidP="007403DD">
      <w:pPr>
        <w:spacing w:after="0"/>
        <w:jc w:val="center"/>
        <w:rPr>
          <w:lang w:val="es-ES"/>
        </w:rPr>
      </w:pPr>
      <w:r w:rsidRPr="0072149E">
        <w:rPr>
          <w:lang w:val="es-ES"/>
        </w:rPr>
        <w:t>Secretario</w:t>
      </w:r>
    </w:p>
    <w:p w:rsidR="000B60E7" w:rsidRDefault="000B60E7" w:rsidP="00942426">
      <w:pPr>
        <w:spacing w:after="0"/>
        <w:rPr>
          <w:lang w:val="es-ES"/>
        </w:rPr>
      </w:pPr>
    </w:p>
    <w:p w:rsidR="00942426" w:rsidRDefault="00942426" w:rsidP="00942426">
      <w:pPr>
        <w:spacing w:after="0"/>
        <w:rPr>
          <w:lang w:val="es-ES"/>
        </w:rPr>
      </w:pPr>
    </w:p>
    <w:p w:rsidR="00942426" w:rsidRDefault="00942426" w:rsidP="00942426">
      <w:pPr>
        <w:spacing w:after="0"/>
        <w:rPr>
          <w:lang w:val="es-ES"/>
        </w:rPr>
      </w:pPr>
    </w:p>
    <w:p w:rsidR="00942426" w:rsidRPr="0072149E" w:rsidRDefault="00942426" w:rsidP="00942426">
      <w:pPr>
        <w:spacing w:after="0"/>
        <w:rPr>
          <w:lang w:val="es-ES"/>
        </w:rPr>
      </w:pPr>
    </w:p>
    <w:p w:rsidR="00017CD7" w:rsidRPr="0072149E" w:rsidRDefault="00017CD7" w:rsidP="007403DD">
      <w:pPr>
        <w:spacing w:after="0"/>
        <w:rPr>
          <w:lang w:val="es-ES"/>
        </w:rPr>
      </w:pPr>
      <w:r w:rsidRPr="0072149E">
        <w:rPr>
          <w:lang w:val="es-ES"/>
        </w:rPr>
        <w:t>Comuníquese y ejecútese,</w:t>
      </w:r>
    </w:p>
    <w:p w:rsidR="00361AEE" w:rsidRDefault="00361AEE" w:rsidP="00942426">
      <w:pPr>
        <w:spacing w:after="0"/>
        <w:rPr>
          <w:lang w:val="es-ES"/>
        </w:rPr>
      </w:pPr>
    </w:p>
    <w:p w:rsidR="00942426" w:rsidRDefault="00942426" w:rsidP="00942426">
      <w:pPr>
        <w:spacing w:after="0"/>
        <w:rPr>
          <w:lang w:val="es-ES"/>
        </w:rPr>
      </w:pPr>
    </w:p>
    <w:p w:rsidR="00942426" w:rsidRPr="0072149E" w:rsidRDefault="00942426" w:rsidP="00942426">
      <w:pPr>
        <w:spacing w:after="0"/>
        <w:rPr>
          <w:lang w:val="es-ES"/>
        </w:rPr>
      </w:pPr>
    </w:p>
    <w:p w:rsidR="00361AEE" w:rsidRPr="0072149E" w:rsidRDefault="00361AEE" w:rsidP="007403DD">
      <w:pPr>
        <w:spacing w:after="0"/>
        <w:rPr>
          <w:lang w:val="es-ES"/>
        </w:rPr>
      </w:pPr>
    </w:p>
    <w:p w:rsidR="00017CD7" w:rsidRPr="000B60E7" w:rsidRDefault="00503CF4" w:rsidP="00942426">
      <w:pPr>
        <w:spacing w:after="0"/>
        <w:ind w:left="5760"/>
        <w:jc w:val="center"/>
        <w:rPr>
          <w:lang w:val="es-ES"/>
        </w:rPr>
      </w:pPr>
      <w:r>
        <w:rPr>
          <w:lang w:val="es-ES"/>
        </w:rPr>
        <w:t>Roberto F. Caldas</w:t>
      </w:r>
    </w:p>
    <w:p w:rsidR="00017CD7" w:rsidRPr="000B60E7" w:rsidRDefault="00503CF4" w:rsidP="00942426">
      <w:pPr>
        <w:spacing w:after="0"/>
        <w:ind w:left="5760"/>
        <w:jc w:val="center"/>
        <w:rPr>
          <w:lang w:val="es-ES"/>
        </w:rPr>
      </w:pPr>
      <w:r>
        <w:rPr>
          <w:lang w:val="es-ES"/>
        </w:rPr>
        <w:t>Presidente</w:t>
      </w:r>
    </w:p>
    <w:p w:rsidR="00017CD7" w:rsidRDefault="00017CD7" w:rsidP="00942426">
      <w:pPr>
        <w:spacing w:after="0"/>
        <w:rPr>
          <w:lang w:val="es-ES"/>
        </w:rPr>
      </w:pPr>
    </w:p>
    <w:p w:rsidR="00942426" w:rsidRPr="000B60E7" w:rsidRDefault="00942426" w:rsidP="00942426">
      <w:pPr>
        <w:spacing w:after="0"/>
        <w:rPr>
          <w:lang w:val="es-ES"/>
        </w:rPr>
      </w:pPr>
    </w:p>
    <w:p w:rsidR="00361AEE" w:rsidRDefault="00361AEE" w:rsidP="007403DD">
      <w:pPr>
        <w:spacing w:after="0"/>
        <w:rPr>
          <w:lang w:val="es-ES"/>
        </w:rPr>
      </w:pPr>
    </w:p>
    <w:p w:rsidR="00942426" w:rsidRDefault="00942426" w:rsidP="007403DD">
      <w:pPr>
        <w:spacing w:after="0"/>
        <w:rPr>
          <w:lang w:val="es-ES"/>
        </w:rPr>
      </w:pPr>
    </w:p>
    <w:p w:rsidR="00361AEE" w:rsidRDefault="00361AEE" w:rsidP="007403DD">
      <w:pPr>
        <w:spacing w:after="0"/>
        <w:rPr>
          <w:lang w:val="es-ES"/>
        </w:rPr>
      </w:pPr>
    </w:p>
    <w:p w:rsidR="00017CD7" w:rsidRDefault="00017CD7" w:rsidP="007403DD">
      <w:pPr>
        <w:spacing w:after="0"/>
        <w:rPr>
          <w:lang w:val="es-ES"/>
        </w:rPr>
      </w:pPr>
      <w:r>
        <w:rPr>
          <w:lang w:val="es-ES"/>
        </w:rPr>
        <w:t>P</w:t>
      </w:r>
      <w:r w:rsidRPr="00370276">
        <w:rPr>
          <w:lang w:val="es-ES"/>
        </w:rPr>
        <w:t>ablo Saavedra Alessandri</w:t>
      </w:r>
    </w:p>
    <w:p w:rsidR="00017CD7" w:rsidRPr="00361AEE" w:rsidRDefault="00017CD7" w:rsidP="007403DD">
      <w:pPr>
        <w:spacing w:after="0"/>
      </w:pPr>
      <w:r w:rsidRPr="00370276">
        <w:rPr>
          <w:lang w:val="es-ES"/>
        </w:rPr>
        <w:tab/>
      </w:r>
      <w:r w:rsidRPr="00355747">
        <w:rPr>
          <w:lang w:val="es-CR"/>
        </w:rPr>
        <w:t>Secretario</w:t>
      </w:r>
    </w:p>
    <w:p w:rsidR="001D4D49" w:rsidRDefault="001D4D49" w:rsidP="007403DD">
      <w:pPr>
        <w:spacing w:after="0"/>
      </w:pPr>
    </w:p>
    <w:sectPr w:rsidR="001D4D49" w:rsidSect="007403D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B9" w:rsidRDefault="00C534B9" w:rsidP="001F6312">
      <w:pPr>
        <w:spacing w:after="0"/>
      </w:pPr>
      <w:r>
        <w:separator/>
      </w:r>
    </w:p>
  </w:endnote>
  <w:endnote w:type="continuationSeparator" w:id="0">
    <w:p w:rsidR="00C534B9" w:rsidRDefault="00C534B9" w:rsidP="001F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Bold">
    <w:altName w:val="Tahoma"/>
    <w:panose1 w:val="020B0804030504040204"/>
    <w:charset w:val="00"/>
    <w:family w:val="auto"/>
    <w:pitch w:val="variable"/>
    <w:sig w:usb0="00000001"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5459"/>
      <w:docPartObj>
        <w:docPartGallery w:val="Page Numbers (Bottom of Page)"/>
        <w:docPartUnique/>
      </w:docPartObj>
    </w:sdtPr>
    <w:sdtEndPr>
      <w:rPr>
        <w:noProof/>
      </w:rPr>
    </w:sdtEndPr>
    <w:sdtContent>
      <w:p w:rsidR="00BE5161" w:rsidRDefault="00CE64A1">
        <w:pPr>
          <w:pStyle w:val="Footer"/>
          <w:jc w:val="center"/>
        </w:pPr>
        <w:r>
          <w:fldChar w:fldCharType="begin"/>
        </w:r>
        <w:r w:rsidR="00BE5161">
          <w:instrText xml:space="preserve"> PAGE   \* MERGEFORMAT </w:instrText>
        </w:r>
        <w:r>
          <w:fldChar w:fldCharType="separate"/>
        </w:r>
        <w:r w:rsidR="003417D6">
          <w:rPr>
            <w:noProof/>
          </w:rPr>
          <w:t>4</w:t>
        </w:r>
        <w:r>
          <w:rPr>
            <w:noProof/>
          </w:rPr>
          <w:fldChar w:fldCharType="end"/>
        </w:r>
      </w:p>
    </w:sdtContent>
  </w:sdt>
  <w:p w:rsidR="00BE5161" w:rsidRDefault="00BE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DD" w:rsidRDefault="007403DD">
    <w:pPr>
      <w:pStyle w:val="Footer"/>
      <w:jc w:val="center"/>
    </w:pPr>
  </w:p>
  <w:p w:rsidR="007403DD" w:rsidRDefault="0074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B9" w:rsidRDefault="00C534B9" w:rsidP="001F6312">
      <w:pPr>
        <w:spacing w:after="0"/>
      </w:pPr>
      <w:r>
        <w:separator/>
      </w:r>
    </w:p>
  </w:footnote>
  <w:footnote w:type="continuationSeparator" w:id="0">
    <w:p w:rsidR="00C534B9" w:rsidRDefault="00C534B9" w:rsidP="001F6312">
      <w:pPr>
        <w:spacing w:after="0"/>
      </w:pPr>
      <w:r>
        <w:continuationSeparator/>
      </w:r>
    </w:p>
  </w:footnote>
  <w:footnote w:id="1">
    <w:p w:rsidR="00017CD7" w:rsidRPr="000D32C6" w:rsidRDefault="00017CD7" w:rsidP="00017CD7">
      <w:pPr>
        <w:pStyle w:val="FootnoteText"/>
        <w:rPr>
          <w:sz w:val="16"/>
          <w:szCs w:val="16"/>
          <w:lang w:val="es-ES"/>
        </w:rPr>
      </w:pPr>
      <w:r w:rsidRPr="000D32C6">
        <w:rPr>
          <w:rStyle w:val="FootnoteReference"/>
          <w:sz w:val="16"/>
          <w:szCs w:val="16"/>
          <w:lang w:val="es-ES"/>
        </w:rPr>
        <w:sym w:font="Symbol" w:char="F02A"/>
      </w:r>
      <w:r w:rsidR="00BC1A80">
        <w:rPr>
          <w:sz w:val="16"/>
          <w:szCs w:val="16"/>
          <w:lang w:val="es-ES"/>
        </w:rPr>
        <w:t xml:space="preserve"> </w:t>
      </w:r>
      <w:r w:rsidRPr="000D32C6">
        <w:rPr>
          <w:sz w:val="16"/>
          <w:szCs w:val="16"/>
          <w:lang w:val="es-ES"/>
        </w:rPr>
        <w:t xml:space="preserve">El Juez </w:t>
      </w:r>
      <w:r w:rsidR="00503CF4">
        <w:rPr>
          <w:sz w:val="16"/>
          <w:szCs w:val="16"/>
          <w:lang w:val="es-ES"/>
        </w:rPr>
        <w:t>Humberto Sierra Porto</w:t>
      </w:r>
      <w:r w:rsidRPr="000D32C6">
        <w:rPr>
          <w:sz w:val="16"/>
          <w:szCs w:val="16"/>
          <w:lang w:val="es-ES"/>
        </w:rPr>
        <w:t xml:space="preserve">, de nacionalidad </w:t>
      </w:r>
      <w:r w:rsidR="00503CF4">
        <w:rPr>
          <w:sz w:val="16"/>
          <w:szCs w:val="16"/>
          <w:lang w:val="es-ES"/>
        </w:rPr>
        <w:t>colombiana</w:t>
      </w:r>
      <w:r w:rsidRPr="000D32C6">
        <w:rPr>
          <w:sz w:val="16"/>
          <w:szCs w:val="16"/>
          <w:lang w:val="es-ES"/>
        </w:rPr>
        <w:t>, no participó en el conocimiento y deliberación de la presente Resolución, de conformidad con lo dispuesto en el artículo 1</w:t>
      </w:r>
      <w:r w:rsidR="00503CF4">
        <w:rPr>
          <w:sz w:val="16"/>
          <w:szCs w:val="16"/>
          <w:lang w:val="es-ES"/>
        </w:rPr>
        <w:t>9.1 del Reglamento de la Corte.</w:t>
      </w:r>
    </w:p>
  </w:footnote>
  <w:footnote w:id="2">
    <w:p w:rsidR="00A336C6" w:rsidRPr="00E96BEF" w:rsidRDefault="00A336C6">
      <w:pPr>
        <w:pStyle w:val="FootnoteText"/>
        <w:rPr>
          <w:sz w:val="16"/>
          <w:szCs w:val="16"/>
          <w:lang w:val="es-ES"/>
        </w:rPr>
      </w:pPr>
      <w:r w:rsidRPr="00E96BEF">
        <w:rPr>
          <w:rStyle w:val="FootnoteReference"/>
          <w:sz w:val="16"/>
          <w:szCs w:val="16"/>
        </w:rPr>
        <w:footnoteRef/>
      </w:r>
      <w:r w:rsidRPr="00E96BEF">
        <w:rPr>
          <w:sz w:val="16"/>
          <w:szCs w:val="16"/>
        </w:rPr>
        <w:t xml:space="preserve"> </w:t>
      </w:r>
      <w:r w:rsidRPr="00E96BEF">
        <w:rPr>
          <w:i/>
          <w:sz w:val="16"/>
          <w:szCs w:val="16"/>
        </w:rPr>
        <w:t xml:space="preserve">Caso </w:t>
      </w:r>
      <w:r w:rsidR="006855FA">
        <w:rPr>
          <w:i/>
          <w:sz w:val="16"/>
          <w:szCs w:val="16"/>
        </w:rPr>
        <w:t xml:space="preserve">Villamizar Durán </w:t>
      </w:r>
      <w:r w:rsidRPr="00E96BEF">
        <w:rPr>
          <w:i/>
          <w:sz w:val="16"/>
          <w:szCs w:val="16"/>
        </w:rPr>
        <w:t xml:space="preserve">y otros Vs. </w:t>
      </w:r>
      <w:r w:rsidR="006855FA">
        <w:rPr>
          <w:i/>
          <w:sz w:val="16"/>
          <w:szCs w:val="16"/>
        </w:rPr>
        <w:t>Colombia</w:t>
      </w:r>
      <w:r w:rsidRPr="00E96BEF">
        <w:rPr>
          <w:i/>
          <w:sz w:val="16"/>
          <w:szCs w:val="16"/>
        </w:rPr>
        <w:t xml:space="preserve">. </w:t>
      </w:r>
      <w:r w:rsidRPr="00E96BEF">
        <w:rPr>
          <w:sz w:val="16"/>
          <w:szCs w:val="16"/>
          <w:lang w:val="es-ES"/>
        </w:rPr>
        <w:t>Resolución del Presidente de la Corte Interam</w:t>
      </w:r>
      <w:r w:rsidR="006855FA">
        <w:rPr>
          <w:sz w:val="16"/>
          <w:szCs w:val="16"/>
          <w:lang w:val="es-ES"/>
        </w:rPr>
        <w:t>ericana de Derechos Humanos de 12 de septiembre</w:t>
      </w:r>
      <w:r w:rsidRPr="00E96BEF">
        <w:rPr>
          <w:sz w:val="16"/>
          <w:szCs w:val="16"/>
          <w:lang w:val="es-ES"/>
        </w:rPr>
        <w:t xml:space="preserve"> de </w:t>
      </w:r>
      <w:r w:rsidR="006855FA">
        <w:rPr>
          <w:sz w:val="16"/>
          <w:szCs w:val="16"/>
          <w:lang w:val="es-ES"/>
        </w:rPr>
        <w:t>2017</w:t>
      </w:r>
      <w:r w:rsidRPr="00E96BEF">
        <w:rPr>
          <w:sz w:val="16"/>
          <w:szCs w:val="16"/>
          <w:lang w:val="es-ES"/>
        </w:rPr>
        <w:t xml:space="preserve">, </w:t>
      </w:r>
      <w:r w:rsidR="006855FA">
        <w:rPr>
          <w:sz w:val="16"/>
          <w:szCs w:val="16"/>
          <w:lang w:val="es-ES"/>
        </w:rPr>
        <w:t>Punto Resolutivo 1 y 4</w:t>
      </w:r>
      <w:r w:rsidRPr="00E96BEF">
        <w:rPr>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FE" w:rsidRDefault="00296EFE">
    <w:pPr>
      <w:pStyle w:val="Header"/>
      <w:jc w:val="center"/>
    </w:pPr>
  </w:p>
  <w:p w:rsidR="00296EFE" w:rsidRDefault="00296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728"/>
    <w:multiLevelType w:val="hybridMultilevel"/>
    <w:tmpl w:val="0E46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25513"/>
    <w:multiLevelType w:val="hybridMultilevel"/>
    <w:tmpl w:val="3C30622E"/>
    <w:lvl w:ilvl="0" w:tplc="D118455C">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542C5A46"/>
    <w:multiLevelType w:val="hybridMultilevel"/>
    <w:tmpl w:val="C088D672"/>
    <w:lvl w:ilvl="0" w:tplc="647C7CB4">
      <w:start w:val="1"/>
      <w:numFmt w:val="decimal"/>
      <w:lvlText w:val="%1."/>
      <w:lvlJc w:val="left"/>
      <w:pPr>
        <w:ind w:left="644" w:hanging="360"/>
      </w:pPr>
      <w:rPr>
        <w:rFonts w:ascii="Verdana" w:hAnsi="Verdana" w:hint="default"/>
        <w:sz w:val="20"/>
        <w:szCs w:val="2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4">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5">
    <w:nsid w:val="677F4948"/>
    <w:multiLevelType w:val="hybridMultilevel"/>
    <w:tmpl w:val="62BE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54407"/>
    <w:multiLevelType w:val="hybridMultilevel"/>
    <w:tmpl w:val="8F16D208"/>
    <w:lvl w:ilvl="0" w:tplc="FD88E018">
      <w:start w:val="1"/>
      <w:numFmt w:val="decimal"/>
      <w:lvlText w:val="%1."/>
      <w:lvlJc w:val="left"/>
      <w:pPr>
        <w:tabs>
          <w:tab w:val="num" w:pos="680"/>
        </w:tabs>
      </w:pPr>
      <w:rPr>
        <w:rFonts w:hint="default"/>
        <w:b w:val="0"/>
        <w:bCs w:val="0"/>
        <w:i w:val="0"/>
        <w:iCs w:val="0"/>
        <w:strike w:val="0"/>
        <w:sz w:val="20"/>
        <w:szCs w:val="20"/>
        <w:lang w:val="es-C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241751B"/>
    <w:multiLevelType w:val="hybridMultilevel"/>
    <w:tmpl w:val="9556AB82"/>
    <w:lvl w:ilvl="0" w:tplc="3A1CAF48">
      <w:start w:val="1"/>
      <w:numFmt w:val="decimal"/>
      <w:lvlText w:val="%1."/>
      <w:lvlJc w:val="left"/>
      <w:pPr>
        <w:ind w:left="720" w:hanging="360"/>
      </w:pPr>
      <w:rPr>
        <w:rFonts w:ascii="Verdana" w:hAnsi="Verdana" w:cs="Verdana"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77"/>
    <w:rsid w:val="00017CD7"/>
    <w:rsid w:val="00096837"/>
    <w:rsid w:val="00096B97"/>
    <w:rsid w:val="000B60E7"/>
    <w:rsid w:val="000D32C6"/>
    <w:rsid w:val="00102E1F"/>
    <w:rsid w:val="00113CF3"/>
    <w:rsid w:val="00125B7E"/>
    <w:rsid w:val="00142903"/>
    <w:rsid w:val="00155C63"/>
    <w:rsid w:val="00155C77"/>
    <w:rsid w:val="00163898"/>
    <w:rsid w:val="001663FC"/>
    <w:rsid w:val="001711AE"/>
    <w:rsid w:val="0018203B"/>
    <w:rsid w:val="001D4D49"/>
    <w:rsid w:val="001F6312"/>
    <w:rsid w:val="0020210C"/>
    <w:rsid w:val="002127CA"/>
    <w:rsid w:val="002260FB"/>
    <w:rsid w:val="00252871"/>
    <w:rsid w:val="00291622"/>
    <w:rsid w:val="00296CE5"/>
    <w:rsid w:val="00296EFE"/>
    <w:rsid w:val="002A1C73"/>
    <w:rsid w:val="002C3BE9"/>
    <w:rsid w:val="00326186"/>
    <w:rsid w:val="00326C06"/>
    <w:rsid w:val="00333F33"/>
    <w:rsid w:val="003417D6"/>
    <w:rsid w:val="0034357E"/>
    <w:rsid w:val="00361AEE"/>
    <w:rsid w:val="00392DAA"/>
    <w:rsid w:val="003D3798"/>
    <w:rsid w:val="003E5534"/>
    <w:rsid w:val="003F6206"/>
    <w:rsid w:val="004564F8"/>
    <w:rsid w:val="00482BB9"/>
    <w:rsid w:val="00496337"/>
    <w:rsid w:val="00503CF4"/>
    <w:rsid w:val="00504397"/>
    <w:rsid w:val="005162CA"/>
    <w:rsid w:val="005661FE"/>
    <w:rsid w:val="0057785F"/>
    <w:rsid w:val="005C4F60"/>
    <w:rsid w:val="005F4381"/>
    <w:rsid w:val="00614792"/>
    <w:rsid w:val="00640279"/>
    <w:rsid w:val="006450E8"/>
    <w:rsid w:val="00672D7A"/>
    <w:rsid w:val="00675EC8"/>
    <w:rsid w:val="006855FA"/>
    <w:rsid w:val="00693822"/>
    <w:rsid w:val="00696224"/>
    <w:rsid w:val="006A7718"/>
    <w:rsid w:val="006E3E92"/>
    <w:rsid w:val="0072149E"/>
    <w:rsid w:val="007403DD"/>
    <w:rsid w:val="00741A91"/>
    <w:rsid w:val="00747353"/>
    <w:rsid w:val="00775E98"/>
    <w:rsid w:val="007C34AD"/>
    <w:rsid w:val="007D2FC8"/>
    <w:rsid w:val="007E4790"/>
    <w:rsid w:val="008039C7"/>
    <w:rsid w:val="00830180"/>
    <w:rsid w:val="00830324"/>
    <w:rsid w:val="008431C8"/>
    <w:rsid w:val="008432B1"/>
    <w:rsid w:val="00886CDA"/>
    <w:rsid w:val="00892990"/>
    <w:rsid w:val="008A2591"/>
    <w:rsid w:val="008C042F"/>
    <w:rsid w:val="008D01C2"/>
    <w:rsid w:val="008E04EC"/>
    <w:rsid w:val="00906308"/>
    <w:rsid w:val="0090667A"/>
    <w:rsid w:val="00920D4C"/>
    <w:rsid w:val="0093539C"/>
    <w:rsid w:val="00942426"/>
    <w:rsid w:val="009D1DF5"/>
    <w:rsid w:val="009D1F63"/>
    <w:rsid w:val="00A00223"/>
    <w:rsid w:val="00A336C6"/>
    <w:rsid w:val="00A84760"/>
    <w:rsid w:val="00AB729A"/>
    <w:rsid w:val="00AF36B7"/>
    <w:rsid w:val="00B03051"/>
    <w:rsid w:val="00B33086"/>
    <w:rsid w:val="00B65188"/>
    <w:rsid w:val="00B93936"/>
    <w:rsid w:val="00BA2B21"/>
    <w:rsid w:val="00BA7CC6"/>
    <w:rsid w:val="00BC1A80"/>
    <w:rsid w:val="00BE5161"/>
    <w:rsid w:val="00BF761A"/>
    <w:rsid w:val="00C40234"/>
    <w:rsid w:val="00C42C70"/>
    <w:rsid w:val="00C534B9"/>
    <w:rsid w:val="00CE64A1"/>
    <w:rsid w:val="00CF74B5"/>
    <w:rsid w:val="00D25499"/>
    <w:rsid w:val="00D304E3"/>
    <w:rsid w:val="00D3370F"/>
    <w:rsid w:val="00D40513"/>
    <w:rsid w:val="00D92738"/>
    <w:rsid w:val="00D94877"/>
    <w:rsid w:val="00D956F2"/>
    <w:rsid w:val="00DA03B1"/>
    <w:rsid w:val="00DB6221"/>
    <w:rsid w:val="00DE1D08"/>
    <w:rsid w:val="00E12E6A"/>
    <w:rsid w:val="00E14A9A"/>
    <w:rsid w:val="00E17BE7"/>
    <w:rsid w:val="00E24F24"/>
    <w:rsid w:val="00E84793"/>
    <w:rsid w:val="00E96BEF"/>
    <w:rsid w:val="00EA7B09"/>
    <w:rsid w:val="00EB60E0"/>
    <w:rsid w:val="00EC122B"/>
    <w:rsid w:val="00EC6F70"/>
    <w:rsid w:val="00F1578E"/>
    <w:rsid w:val="00F262C0"/>
    <w:rsid w:val="00F2636D"/>
    <w:rsid w:val="00F333E5"/>
    <w:rsid w:val="00F61A3E"/>
    <w:rsid w:val="00F70B30"/>
    <w:rsid w:val="00F90477"/>
    <w:rsid w:val="00FA4E30"/>
    <w:rsid w:val="00FC1CF0"/>
    <w:rsid w:val="00FF1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aliases w:val="Footnote"/>
    <w:basedOn w:val="Normal"/>
    <w:uiPriority w:val="99"/>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 w:type="character" w:styleId="CommentReference">
    <w:name w:val="annotation reference"/>
    <w:basedOn w:val="DefaultParagraphFont"/>
    <w:uiPriority w:val="99"/>
    <w:semiHidden/>
    <w:unhideWhenUsed/>
    <w:rsid w:val="00EB60E0"/>
    <w:rPr>
      <w:sz w:val="16"/>
      <w:szCs w:val="16"/>
    </w:rPr>
  </w:style>
  <w:style w:type="paragraph" w:styleId="CommentText">
    <w:name w:val="annotation text"/>
    <w:basedOn w:val="Normal"/>
    <w:link w:val="CommentTextChar"/>
    <w:uiPriority w:val="99"/>
    <w:semiHidden/>
    <w:unhideWhenUsed/>
    <w:rsid w:val="00EB60E0"/>
    <w:rPr>
      <w:szCs w:val="20"/>
    </w:rPr>
  </w:style>
  <w:style w:type="character" w:customStyle="1" w:styleId="CommentTextChar">
    <w:name w:val="Comment Text Char"/>
    <w:basedOn w:val="DefaultParagraphFont"/>
    <w:link w:val="CommentText"/>
    <w:uiPriority w:val="99"/>
    <w:semiHidden/>
    <w:rsid w:val="00EB60E0"/>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B60E0"/>
    <w:rPr>
      <w:b/>
      <w:bCs/>
    </w:rPr>
  </w:style>
  <w:style w:type="character" w:customStyle="1" w:styleId="CommentSubjectChar">
    <w:name w:val="Comment Subject Char"/>
    <w:basedOn w:val="CommentTextChar"/>
    <w:link w:val="CommentSubject"/>
    <w:uiPriority w:val="99"/>
    <w:semiHidden/>
    <w:rsid w:val="00EB60E0"/>
    <w:rPr>
      <w:rFonts w:ascii="Verdana" w:eastAsia="Calibri" w:hAnsi="Verdana" w:cs="Times"/>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aliases w:val="Footnote"/>
    <w:basedOn w:val="Normal"/>
    <w:uiPriority w:val="99"/>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 w:type="character" w:styleId="CommentReference">
    <w:name w:val="annotation reference"/>
    <w:basedOn w:val="DefaultParagraphFont"/>
    <w:uiPriority w:val="99"/>
    <w:semiHidden/>
    <w:unhideWhenUsed/>
    <w:rsid w:val="00EB60E0"/>
    <w:rPr>
      <w:sz w:val="16"/>
      <w:szCs w:val="16"/>
    </w:rPr>
  </w:style>
  <w:style w:type="paragraph" w:styleId="CommentText">
    <w:name w:val="annotation text"/>
    <w:basedOn w:val="Normal"/>
    <w:link w:val="CommentTextChar"/>
    <w:uiPriority w:val="99"/>
    <w:semiHidden/>
    <w:unhideWhenUsed/>
    <w:rsid w:val="00EB60E0"/>
    <w:rPr>
      <w:szCs w:val="20"/>
    </w:rPr>
  </w:style>
  <w:style w:type="character" w:customStyle="1" w:styleId="CommentTextChar">
    <w:name w:val="Comment Text Char"/>
    <w:basedOn w:val="DefaultParagraphFont"/>
    <w:link w:val="CommentText"/>
    <w:uiPriority w:val="99"/>
    <w:semiHidden/>
    <w:rsid w:val="00EB60E0"/>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B60E0"/>
    <w:rPr>
      <w:b/>
      <w:bCs/>
    </w:rPr>
  </w:style>
  <w:style w:type="character" w:customStyle="1" w:styleId="CommentSubjectChar">
    <w:name w:val="Comment Subject Char"/>
    <w:basedOn w:val="CommentTextChar"/>
    <w:link w:val="CommentSubject"/>
    <w:uiPriority w:val="99"/>
    <w:semiHidden/>
    <w:rsid w:val="00EB60E0"/>
    <w:rPr>
      <w:rFonts w:ascii="Verdana" w:eastAsia="Calibri" w:hAnsi="Verdana" w:cs="Times"/>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F5D4-2A64-4174-8EA8-0D352940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7398</Characters>
  <Application>Microsoft Office Word</Application>
  <DocSecurity>4</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Francella Hernandez</cp:lastModifiedBy>
  <cp:revision>3</cp:revision>
  <cp:lastPrinted>2017-10-24T21:38:00Z</cp:lastPrinted>
  <dcterms:created xsi:type="dcterms:W3CDTF">2017-10-24T21:38:00Z</dcterms:created>
  <dcterms:modified xsi:type="dcterms:W3CDTF">2017-10-24T21:38:00Z</dcterms:modified>
</cp:coreProperties>
</file>