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7" w:rsidRDefault="00675EC8" w:rsidP="00FA2666">
      <w:pPr>
        <w:spacing w:after="0"/>
        <w:ind w:right="-316"/>
        <w:rPr>
          <w:rFonts w:cs="Verdana Bold"/>
          <w:b/>
          <w:bCs/>
          <w:caps/>
        </w:rPr>
      </w:pPr>
      <w:r>
        <w:rPr>
          <w:rFonts w:cs="Verdana Bold"/>
          <w:b/>
          <w:bCs/>
          <w:caps/>
        </w:rPr>
        <w:t xml:space="preserve"> </w:t>
      </w: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230D4C" w:rsidP="007403DD">
      <w:pPr>
        <w:spacing w:after="0"/>
        <w:ind w:right="-316"/>
        <w:jc w:val="center"/>
        <w:rPr>
          <w:rFonts w:cs="Verdana Bold"/>
          <w:b/>
          <w:bCs/>
          <w:caps/>
        </w:rPr>
      </w:pPr>
      <w:r>
        <w:rPr>
          <w:rFonts w:cs="Verdana Bold"/>
          <w:b/>
          <w:bCs/>
          <w:caps/>
        </w:rPr>
        <w:t xml:space="preserve">   </w:t>
      </w:r>
      <w:bookmarkStart w:id="0" w:name="_GoBack"/>
      <w:bookmarkEnd w:id="0"/>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326C06" w:rsidRDefault="00326C06"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RESOLUCIÓN DE</w:t>
      </w:r>
      <w:r>
        <w:rPr>
          <w:rFonts w:cs="Verdana"/>
          <w:b/>
          <w:bCs/>
          <w:caps/>
          <w:szCs w:val="20"/>
          <w:lang w:val="es-ES"/>
        </w:rPr>
        <w:t xml:space="preserve"> </w:t>
      </w:r>
      <w:r w:rsidRPr="0003632E">
        <w:rPr>
          <w:rFonts w:cs="Verdana"/>
          <w:b/>
          <w:bCs/>
          <w:caps/>
          <w:szCs w:val="20"/>
          <w:lang w:val="es-ES"/>
        </w:rPr>
        <w:t>L</w:t>
      </w:r>
      <w:r>
        <w:rPr>
          <w:rFonts w:cs="Verdana"/>
          <w:b/>
          <w:bCs/>
          <w:caps/>
          <w:szCs w:val="20"/>
          <w:lang w:val="es-ES"/>
        </w:rPr>
        <w:t>a</w:t>
      </w:r>
      <w:r w:rsidRPr="0003632E">
        <w:rPr>
          <w:rFonts w:cs="Verdana"/>
          <w:b/>
          <w:bCs/>
          <w:caps/>
          <w:szCs w:val="20"/>
          <w:lang w:val="es-ES"/>
        </w:rPr>
        <w:t xml:space="preserve"> </w:t>
      </w:r>
      <w:r>
        <w:rPr>
          <w:rFonts w:cs="Verdana"/>
          <w:b/>
          <w:bCs/>
          <w:caps/>
          <w:szCs w:val="20"/>
          <w:lang w:val="es-ES"/>
        </w:rPr>
        <w:t>corte</w:t>
      </w:r>
    </w:p>
    <w:p w:rsidR="00017CD7" w:rsidRDefault="00017CD7" w:rsidP="007403DD">
      <w:pPr>
        <w:spacing w:after="0"/>
        <w:jc w:val="center"/>
        <w:rPr>
          <w:rFonts w:cs="Verdana"/>
          <w:b/>
          <w:bCs/>
          <w:caps/>
          <w:szCs w:val="20"/>
          <w:lang w:val="es-ES"/>
        </w:rPr>
      </w:pPr>
      <w:r w:rsidRPr="0003632E">
        <w:rPr>
          <w:rFonts w:cs="Verdana"/>
          <w:b/>
          <w:bCs/>
          <w:caps/>
          <w:szCs w:val="20"/>
          <w:lang w:val="es-ES"/>
        </w:rPr>
        <w:t xml:space="preserve"> INTERAMERICANA</w:t>
      </w:r>
      <w:r>
        <w:rPr>
          <w:rFonts w:cs="Verdana"/>
          <w:b/>
          <w:bCs/>
          <w:caps/>
          <w:szCs w:val="20"/>
          <w:lang w:val="es-ES"/>
        </w:rPr>
        <w:t xml:space="preserve"> </w:t>
      </w:r>
      <w:r w:rsidRPr="0003632E">
        <w:rPr>
          <w:rFonts w:cs="Verdana"/>
          <w:b/>
          <w:bCs/>
          <w:caps/>
          <w:szCs w:val="20"/>
          <w:lang w:val="es-ES"/>
        </w:rPr>
        <w:t>DE DERECHOS HUMANOS</w:t>
      </w:r>
      <w:r w:rsidRPr="003B027A">
        <w:rPr>
          <w:rStyle w:val="FootnoteReference"/>
          <w:b/>
          <w:bCs/>
          <w:caps/>
          <w:lang w:val="es-ES"/>
        </w:rPr>
        <w:footnoteReference w:customMarkFollows="1" w:id="1"/>
        <w:sym w:font="Symbol" w:char="F02A"/>
      </w:r>
    </w:p>
    <w:p w:rsidR="00017CD7" w:rsidRDefault="00017CD7" w:rsidP="007403DD">
      <w:pPr>
        <w:spacing w:after="0"/>
        <w:jc w:val="center"/>
        <w:rPr>
          <w:rFonts w:cs="Verdana"/>
          <w:b/>
          <w:bCs/>
          <w:caps/>
          <w:szCs w:val="20"/>
          <w:lang w:val="es-ES"/>
        </w:rPr>
      </w:pPr>
    </w:p>
    <w:p w:rsidR="00FA2666" w:rsidRDefault="00FA2666"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 xml:space="preserve">DE </w:t>
      </w:r>
      <w:r w:rsidR="00072B3D">
        <w:rPr>
          <w:rFonts w:cs="Verdana"/>
          <w:b/>
          <w:bCs/>
          <w:caps/>
          <w:szCs w:val="20"/>
          <w:lang w:val="es-ES"/>
        </w:rPr>
        <w:t>13</w:t>
      </w:r>
      <w:r>
        <w:rPr>
          <w:rFonts w:cs="Verdana"/>
          <w:b/>
          <w:bCs/>
          <w:caps/>
          <w:szCs w:val="20"/>
          <w:lang w:val="es-ES"/>
        </w:rPr>
        <w:t xml:space="preserve"> DE </w:t>
      </w:r>
      <w:r w:rsidR="00920D4C">
        <w:rPr>
          <w:rFonts w:cs="Verdana"/>
          <w:b/>
          <w:bCs/>
          <w:caps/>
          <w:szCs w:val="20"/>
          <w:lang w:val="es-ES"/>
        </w:rPr>
        <w:t>OCTUBRE</w:t>
      </w:r>
      <w:r w:rsidR="00F333E5">
        <w:rPr>
          <w:rFonts w:cs="Verdana"/>
          <w:b/>
          <w:bCs/>
          <w:caps/>
          <w:szCs w:val="20"/>
          <w:lang w:val="es-ES"/>
        </w:rPr>
        <w:t xml:space="preserve"> DE 2017</w:t>
      </w:r>
    </w:p>
    <w:p w:rsidR="00F90477" w:rsidRPr="00BD22C0" w:rsidRDefault="00F90477" w:rsidP="00FA2666">
      <w:pPr>
        <w:spacing w:after="0"/>
        <w:ind w:right="-316"/>
        <w:rPr>
          <w:rFonts w:cs="Verdana Bold"/>
          <w:b/>
          <w:bCs/>
          <w:caps/>
          <w:szCs w:val="20"/>
        </w:rPr>
      </w:pPr>
    </w:p>
    <w:p w:rsidR="00F90477" w:rsidRPr="00BD22C0" w:rsidRDefault="00F90477" w:rsidP="007403DD">
      <w:pPr>
        <w:spacing w:after="0"/>
        <w:ind w:right="-316"/>
        <w:rPr>
          <w:rFonts w:cs="Verdana Bold"/>
          <w:b/>
          <w:bCs/>
          <w:caps/>
          <w:szCs w:val="20"/>
        </w:rPr>
      </w:pPr>
    </w:p>
    <w:p w:rsidR="00F90477" w:rsidRPr="006C2759" w:rsidRDefault="00F90477" w:rsidP="007403DD">
      <w:pPr>
        <w:spacing w:after="0"/>
        <w:ind w:right="-316"/>
        <w:jc w:val="center"/>
        <w:rPr>
          <w:rFonts w:cs="Verdana Bold"/>
          <w:b/>
          <w:bCs/>
          <w:caps/>
          <w:szCs w:val="20"/>
        </w:rPr>
      </w:pPr>
      <w:r w:rsidRPr="006C2759">
        <w:rPr>
          <w:rFonts w:cs="Verdana Bold"/>
          <w:b/>
          <w:bCs/>
          <w:szCs w:val="20"/>
        </w:rPr>
        <w:t xml:space="preserve">CASO </w:t>
      </w:r>
      <w:r w:rsidR="00B33086">
        <w:rPr>
          <w:rFonts w:cs="Arial"/>
          <w:b/>
        </w:rPr>
        <w:t>VILLAMIZAR DURÁN</w:t>
      </w:r>
      <w:r w:rsidRPr="006C2759">
        <w:rPr>
          <w:rFonts w:cs="Arial"/>
          <w:b/>
        </w:rPr>
        <w:t xml:space="preserve"> Y OTROS </w:t>
      </w:r>
      <w:r w:rsidRPr="006C2759">
        <w:rPr>
          <w:rFonts w:cs="Verdana Bold"/>
          <w:b/>
          <w:bCs/>
          <w:caps/>
          <w:szCs w:val="20"/>
        </w:rPr>
        <w:t xml:space="preserve">VS. </w:t>
      </w:r>
      <w:r w:rsidR="00B33086">
        <w:rPr>
          <w:rFonts w:cs="Verdana Bold"/>
          <w:b/>
          <w:bCs/>
          <w:caps/>
          <w:szCs w:val="20"/>
        </w:rPr>
        <w:t>COLOMBIA</w:t>
      </w:r>
    </w:p>
    <w:p w:rsidR="00F90477" w:rsidRPr="00BD22C0" w:rsidRDefault="00F90477" w:rsidP="00FA2666">
      <w:pPr>
        <w:spacing w:after="0"/>
        <w:ind w:right="-316"/>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Default="00F90477" w:rsidP="007403DD">
      <w:pPr>
        <w:spacing w:after="0"/>
        <w:rPr>
          <w:rFonts w:cs="Verdana"/>
          <w:b/>
          <w:bCs/>
          <w:caps/>
          <w:szCs w:val="20"/>
        </w:rPr>
      </w:pPr>
    </w:p>
    <w:p w:rsidR="00C40234" w:rsidRDefault="001F6312" w:rsidP="00C40234">
      <w:pPr>
        <w:numPr>
          <w:ilvl w:val="0"/>
          <w:numId w:val="4"/>
        </w:numPr>
        <w:autoSpaceDE w:val="0"/>
        <w:autoSpaceDN w:val="0"/>
        <w:adjustRightInd w:val="0"/>
        <w:spacing w:after="0"/>
        <w:ind w:left="0" w:right="18" w:firstLine="0"/>
        <w:rPr>
          <w:rFonts w:cs="Verdana"/>
          <w:szCs w:val="20"/>
        </w:rPr>
      </w:pPr>
      <w:r w:rsidRPr="00E7665B">
        <w:rPr>
          <w:rFonts w:cs="Verdana"/>
          <w:szCs w:val="20"/>
        </w:rPr>
        <w:t xml:space="preserve">La Resolución del Presidente de la Corte Interamericana de Derechos Humanos (en adelante “el Presidente”) de </w:t>
      </w:r>
      <w:r w:rsidR="00B33086">
        <w:rPr>
          <w:rFonts w:cs="Verdana"/>
          <w:szCs w:val="20"/>
        </w:rPr>
        <w:t>12</w:t>
      </w:r>
      <w:r>
        <w:rPr>
          <w:rFonts w:cs="Verdana"/>
          <w:szCs w:val="20"/>
        </w:rPr>
        <w:t xml:space="preserve"> de </w:t>
      </w:r>
      <w:r w:rsidR="00B33086">
        <w:rPr>
          <w:rFonts w:cs="Verdana"/>
          <w:szCs w:val="20"/>
        </w:rPr>
        <w:t>septiembre</w:t>
      </w:r>
      <w:r>
        <w:rPr>
          <w:rFonts w:cs="Verdana"/>
          <w:szCs w:val="20"/>
        </w:rPr>
        <w:t xml:space="preserve"> </w:t>
      </w:r>
      <w:r w:rsidRPr="00E7665B">
        <w:rPr>
          <w:rFonts w:cs="Verdana"/>
          <w:szCs w:val="20"/>
        </w:rPr>
        <w:t>de 201</w:t>
      </w:r>
      <w:r w:rsidR="00B33086">
        <w:rPr>
          <w:rFonts w:cs="Verdana"/>
          <w:szCs w:val="20"/>
        </w:rPr>
        <w:t>7</w:t>
      </w:r>
      <w:r w:rsidRPr="00E7665B">
        <w:rPr>
          <w:rFonts w:cs="Verdana"/>
          <w:szCs w:val="20"/>
        </w:rPr>
        <w:t xml:space="preserve"> (en adelante “la Resolución del Presidente”) mediante la cual, </w:t>
      </w:r>
      <w:r w:rsidRPr="00E7665B">
        <w:rPr>
          <w:rFonts w:cs="Verdana"/>
          <w:i/>
          <w:iCs/>
          <w:szCs w:val="20"/>
        </w:rPr>
        <w:t xml:space="preserve">inter </w:t>
      </w:r>
      <w:proofErr w:type="spellStart"/>
      <w:r w:rsidRPr="00E7665B">
        <w:rPr>
          <w:rFonts w:cs="Verdana"/>
          <w:i/>
          <w:iCs/>
          <w:szCs w:val="20"/>
        </w:rPr>
        <w:t>alia</w:t>
      </w:r>
      <w:proofErr w:type="spellEnd"/>
      <w:r w:rsidRPr="00E7665B">
        <w:rPr>
          <w:rFonts w:cs="Verdana"/>
          <w:szCs w:val="20"/>
        </w:rPr>
        <w:t xml:space="preserve">, ordenó la recepción de diversas declaraciones </w:t>
      </w:r>
      <w:r>
        <w:rPr>
          <w:rFonts w:cs="Verdana"/>
          <w:szCs w:val="20"/>
        </w:rPr>
        <w:t xml:space="preserve">testimoniales y </w:t>
      </w:r>
      <w:r w:rsidRPr="00E7665B">
        <w:rPr>
          <w:rFonts w:cs="Verdana"/>
          <w:szCs w:val="20"/>
        </w:rPr>
        <w:t xml:space="preserve">periciales mediante </w:t>
      </w:r>
      <w:r w:rsidR="007D2FC8" w:rsidRPr="007D2FC8">
        <w:rPr>
          <w:rFonts w:cs="Verdana"/>
          <w:iCs/>
          <w:szCs w:val="20"/>
        </w:rPr>
        <w:t>af</w:t>
      </w:r>
      <w:r w:rsidR="0022047B">
        <w:rPr>
          <w:rFonts w:cs="Verdana"/>
          <w:iCs/>
          <w:szCs w:val="20"/>
        </w:rPr>
        <w:t>f</w:t>
      </w:r>
      <w:r w:rsidR="007D2FC8" w:rsidRPr="007D2FC8">
        <w:rPr>
          <w:rFonts w:cs="Verdana"/>
          <w:iCs/>
          <w:szCs w:val="20"/>
        </w:rPr>
        <w:t>idá</w:t>
      </w:r>
      <w:r w:rsidRPr="007D2FC8">
        <w:rPr>
          <w:rFonts w:cs="Verdana"/>
          <w:iCs/>
          <w:szCs w:val="20"/>
        </w:rPr>
        <w:t>vit</w:t>
      </w:r>
      <w:r w:rsidRPr="00E7665B">
        <w:rPr>
          <w:rFonts w:cs="Verdana"/>
          <w:szCs w:val="20"/>
        </w:rPr>
        <w:t xml:space="preserve"> y convocó a la Comisión Interamericana de Derechos Humanos (en adelante “la Comisión Interamericana” o “la Comisión”), a l</w:t>
      </w:r>
      <w:r>
        <w:rPr>
          <w:rFonts w:cs="Verdana"/>
          <w:szCs w:val="20"/>
        </w:rPr>
        <w:t>o</w:t>
      </w:r>
      <w:r w:rsidRPr="00E7665B">
        <w:rPr>
          <w:rFonts w:cs="Verdana"/>
          <w:szCs w:val="20"/>
        </w:rPr>
        <w:t>s representantes de las presuntas víctimas (en adelante “l</w:t>
      </w:r>
      <w:r>
        <w:rPr>
          <w:rFonts w:cs="Verdana"/>
          <w:szCs w:val="20"/>
        </w:rPr>
        <w:t>o</w:t>
      </w:r>
      <w:r w:rsidR="00B33086">
        <w:rPr>
          <w:rFonts w:cs="Verdana"/>
          <w:szCs w:val="20"/>
        </w:rPr>
        <w:t>s representantes”) y al Estado de Colombia</w:t>
      </w:r>
      <w:r>
        <w:rPr>
          <w:rFonts w:cs="Verdana"/>
          <w:lang w:val="es-ES"/>
        </w:rPr>
        <w:t xml:space="preserve"> </w:t>
      </w:r>
      <w:r w:rsidRPr="00E7665B">
        <w:rPr>
          <w:rFonts w:cs="Verdana"/>
          <w:lang w:val="es-ES"/>
        </w:rPr>
        <w:t>(en adelante “el Estado” o “</w:t>
      </w:r>
      <w:r w:rsidR="00B33086">
        <w:rPr>
          <w:rFonts w:cs="Verdana"/>
          <w:lang w:val="es-ES"/>
        </w:rPr>
        <w:t>Colombia</w:t>
      </w:r>
      <w:r w:rsidRPr="00E7665B">
        <w:rPr>
          <w:rFonts w:cs="Verdana"/>
          <w:lang w:val="es-ES"/>
        </w:rPr>
        <w:t xml:space="preserve">”) </w:t>
      </w:r>
      <w:r w:rsidRPr="00E7665B">
        <w:rPr>
          <w:rFonts w:cs="Verdana"/>
          <w:szCs w:val="20"/>
        </w:rPr>
        <w:t xml:space="preserve">a una audiencia pública a celebrarse </w:t>
      </w:r>
      <w:r w:rsidR="00AB729A">
        <w:rPr>
          <w:rFonts w:cs="Verdana"/>
          <w:szCs w:val="20"/>
          <w:lang w:bidi="en-US"/>
        </w:rPr>
        <w:t>los días 17 y 18 de octubre de 2017</w:t>
      </w:r>
      <w:r>
        <w:rPr>
          <w:rFonts w:cs="Verdana"/>
          <w:szCs w:val="20"/>
          <w:lang w:bidi="en-US"/>
        </w:rPr>
        <w:t xml:space="preserve"> </w:t>
      </w:r>
      <w:r w:rsidR="00AB729A">
        <w:rPr>
          <w:rFonts w:cs="Verdana"/>
          <w:szCs w:val="20"/>
          <w:lang w:bidi="en-US"/>
        </w:rPr>
        <w:t>en C</w:t>
      </w:r>
      <w:r w:rsidRPr="00DD687E">
        <w:rPr>
          <w:rFonts w:cs="Verdana"/>
          <w:szCs w:val="20"/>
          <w:lang w:bidi="en-US"/>
        </w:rPr>
        <w:t xml:space="preserve">iudad de </w:t>
      </w:r>
      <w:r w:rsidR="00AB729A">
        <w:rPr>
          <w:rFonts w:cs="Verdana"/>
          <w:szCs w:val="20"/>
          <w:lang w:bidi="en-US"/>
        </w:rPr>
        <w:t>Panamá</w:t>
      </w:r>
      <w:r>
        <w:rPr>
          <w:rFonts w:cs="Verdana"/>
          <w:szCs w:val="20"/>
          <w:lang w:bidi="en-US"/>
        </w:rPr>
        <w:t xml:space="preserve">, </w:t>
      </w:r>
      <w:r w:rsidR="00AB729A">
        <w:rPr>
          <w:rFonts w:cs="Verdana"/>
          <w:szCs w:val="20"/>
          <w:lang w:bidi="en-US"/>
        </w:rPr>
        <w:t>Panamá</w:t>
      </w:r>
      <w:r>
        <w:rPr>
          <w:rFonts w:cs="Verdana"/>
          <w:szCs w:val="20"/>
          <w:lang w:bidi="en-US"/>
        </w:rPr>
        <w:t>,</w:t>
      </w:r>
      <w:r>
        <w:rPr>
          <w:rFonts w:cs="Verdana"/>
          <w:szCs w:val="20"/>
        </w:rPr>
        <w:t xml:space="preserve"> </w:t>
      </w:r>
      <w:r w:rsidRPr="00E7665B">
        <w:rPr>
          <w:rFonts w:cs="Verdana"/>
          <w:szCs w:val="20"/>
        </w:rPr>
        <w:t>para recibir</w:t>
      </w:r>
      <w:r>
        <w:rPr>
          <w:rFonts w:cs="Verdana"/>
          <w:szCs w:val="20"/>
        </w:rPr>
        <w:t xml:space="preserve"> </w:t>
      </w:r>
      <w:r w:rsidRPr="00E7665B">
        <w:rPr>
          <w:rFonts w:cs="Verdana"/>
          <w:szCs w:val="20"/>
        </w:rPr>
        <w:t>sus alegatos finales orales sobre l</w:t>
      </w:r>
      <w:r>
        <w:rPr>
          <w:rFonts w:cs="Verdana"/>
          <w:szCs w:val="20"/>
        </w:rPr>
        <w:t>o</w:t>
      </w:r>
      <w:r w:rsidRPr="00E7665B">
        <w:rPr>
          <w:rFonts w:cs="Verdana"/>
          <w:szCs w:val="20"/>
        </w:rPr>
        <w:t xml:space="preserve">s eventuales fondo, reparaciones y costas en el presente caso, así como, </w:t>
      </w:r>
      <w:r w:rsidRPr="00E7665B">
        <w:rPr>
          <w:rFonts w:cs="Verdana"/>
          <w:i/>
          <w:szCs w:val="20"/>
        </w:rPr>
        <w:t xml:space="preserve">inter </w:t>
      </w:r>
      <w:proofErr w:type="spellStart"/>
      <w:r w:rsidRPr="00E7665B">
        <w:rPr>
          <w:rFonts w:cs="Verdana"/>
          <w:i/>
          <w:szCs w:val="20"/>
        </w:rPr>
        <w:t>alia</w:t>
      </w:r>
      <w:proofErr w:type="spellEnd"/>
      <w:r w:rsidRPr="00E7665B">
        <w:rPr>
          <w:rFonts w:cs="Verdana"/>
          <w:szCs w:val="20"/>
        </w:rPr>
        <w:t xml:space="preserve">, </w:t>
      </w:r>
      <w:r>
        <w:rPr>
          <w:rFonts w:cs="Verdana"/>
          <w:szCs w:val="20"/>
        </w:rPr>
        <w:t xml:space="preserve">recibir tres peritajes y </w:t>
      </w:r>
      <w:r w:rsidR="00C40234">
        <w:rPr>
          <w:rFonts w:cs="Verdana"/>
          <w:szCs w:val="20"/>
        </w:rPr>
        <w:t xml:space="preserve">tres </w:t>
      </w:r>
      <w:r>
        <w:rPr>
          <w:rFonts w:cs="Verdana"/>
          <w:szCs w:val="20"/>
        </w:rPr>
        <w:t>declaraciones testimoniales</w:t>
      </w:r>
      <w:r w:rsidRPr="00E7665B">
        <w:rPr>
          <w:rFonts w:cs="Verdana"/>
          <w:szCs w:val="20"/>
        </w:rPr>
        <w:t>.</w:t>
      </w:r>
    </w:p>
    <w:p w:rsidR="00C40234" w:rsidRDefault="00C40234" w:rsidP="00C40234">
      <w:pPr>
        <w:autoSpaceDE w:val="0"/>
        <w:autoSpaceDN w:val="0"/>
        <w:adjustRightInd w:val="0"/>
        <w:spacing w:after="0"/>
        <w:ind w:right="18"/>
        <w:rPr>
          <w:rFonts w:cs="Verdana"/>
          <w:szCs w:val="20"/>
        </w:rPr>
      </w:pPr>
    </w:p>
    <w:p w:rsidR="00C40234" w:rsidRPr="00C40234" w:rsidRDefault="00C40234" w:rsidP="00C40234">
      <w:pPr>
        <w:numPr>
          <w:ilvl w:val="0"/>
          <w:numId w:val="4"/>
        </w:numPr>
        <w:autoSpaceDE w:val="0"/>
        <w:autoSpaceDN w:val="0"/>
        <w:adjustRightInd w:val="0"/>
        <w:spacing w:after="0"/>
        <w:ind w:left="0" w:right="18" w:firstLine="0"/>
        <w:rPr>
          <w:rFonts w:cs="Verdana"/>
          <w:szCs w:val="20"/>
        </w:rPr>
      </w:pPr>
      <w:r w:rsidRPr="00C40234">
        <w:rPr>
          <w:rFonts w:cs="Verdana"/>
          <w:szCs w:val="20"/>
        </w:rPr>
        <w:t>La Resolución del Presidente</w:t>
      </w:r>
      <w:r w:rsidR="00B74F99">
        <w:rPr>
          <w:rFonts w:cs="Verdana"/>
          <w:szCs w:val="20"/>
        </w:rPr>
        <w:t xml:space="preserve"> de la Corte Interamericana de cinco</w:t>
      </w:r>
      <w:r w:rsidRPr="00C40234">
        <w:rPr>
          <w:rFonts w:cs="Verdana"/>
          <w:szCs w:val="20"/>
        </w:rPr>
        <w:t xml:space="preserve"> de octubre de 2017 mediante la cual, </w:t>
      </w:r>
      <w:r w:rsidRPr="00C40234">
        <w:rPr>
          <w:rFonts w:cs="Verdana"/>
          <w:i/>
          <w:szCs w:val="20"/>
        </w:rPr>
        <w:t xml:space="preserve">inter </w:t>
      </w:r>
      <w:proofErr w:type="spellStart"/>
      <w:r w:rsidRPr="00C40234">
        <w:rPr>
          <w:rFonts w:cs="Verdana"/>
          <w:i/>
          <w:szCs w:val="20"/>
        </w:rPr>
        <w:t>alia</w:t>
      </w:r>
      <w:proofErr w:type="spellEnd"/>
      <w:r w:rsidRPr="00C40234">
        <w:rPr>
          <w:rFonts w:cs="Verdana"/>
          <w:szCs w:val="20"/>
        </w:rPr>
        <w:t xml:space="preserve">, </w:t>
      </w:r>
      <w:r w:rsidR="0022047B">
        <w:rPr>
          <w:rFonts w:cs="Verdana"/>
          <w:szCs w:val="20"/>
        </w:rPr>
        <w:t xml:space="preserve">rechazó </w:t>
      </w:r>
      <w:r w:rsidR="00570E89">
        <w:t xml:space="preserve">la solicitud del Estado para sustituir al declarante a título informativo </w:t>
      </w:r>
      <w:r w:rsidR="00570E89">
        <w:rPr>
          <w:rFonts w:cs="Times New Roman"/>
          <w:szCs w:val="20"/>
          <w:lang w:val="es-ES"/>
        </w:rPr>
        <w:t>General (R) Juan Carlos Gómez Ramírez por</w:t>
      </w:r>
      <w:r w:rsidR="00570E89">
        <w:t xml:space="preserve"> la señora </w:t>
      </w:r>
      <w:proofErr w:type="spellStart"/>
      <w:r w:rsidR="00570E89">
        <w:t>Eduth</w:t>
      </w:r>
      <w:proofErr w:type="spellEnd"/>
      <w:r w:rsidR="00570E89">
        <w:t xml:space="preserve"> Claudia Hernández</w:t>
      </w:r>
      <w:r w:rsidRPr="00C40234">
        <w:rPr>
          <w:rFonts w:cs="Verdana"/>
          <w:szCs w:val="20"/>
        </w:rPr>
        <w:t>.</w:t>
      </w:r>
    </w:p>
    <w:p w:rsidR="001F6312" w:rsidRPr="001339A0" w:rsidRDefault="001F6312" w:rsidP="007403DD">
      <w:pPr>
        <w:autoSpaceDE w:val="0"/>
        <w:autoSpaceDN w:val="0"/>
        <w:adjustRightInd w:val="0"/>
        <w:spacing w:after="0"/>
        <w:ind w:right="18"/>
        <w:rPr>
          <w:rFonts w:cs="Verdana"/>
          <w:szCs w:val="20"/>
        </w:rPr>
      </w:pPr>
    </w:p>
    <w:p w:rsidR="001F6312" w:rsidRPr="007C639F"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rPr>
        <w:t xml:space="preserve">La comunicación de </w:t>
      </w:r>
      <w:r w:rsidR="00B74F99">
        <w:rPr>
          <w:rFonts w:cs="Verdana"/>
          <w:szCs w:val="20"/>
        </w:rPr>
        <w:t>nueve</w:t>
      </w:r>
      <w:r w:rsidR="00072B3D">
        <w:rPr>
          <w:rFonts w:cs="Verdana"/>
          <w:szCs w:val="20"/>
        </w:rPr>
        <w:t xml:space="preserve"> de octubre de </w:t>
      </w:r>
      <w:r w:rsidR="00503CF4">
        <w:rPr>
          <w:szCs w:val="20"/>
          <w:lang w:val="es-CL"/>
        </w:rPr>
        <w:t>2017</w:t>
      </w:r>
      <w:r w:rsidR="00696224">
        <w:rPr>
          <w:szCs w:val="20"/>
          <w:lang w:val="es-CL"/>
        </w:rPr>
        <w:t>,</w:t>
      </w:r>
      <w:r w:rsidR="003E5534" w:rsidRPr="008A0F66">
        <w:rPr>
          <w:szCs w:val="20"/>
          <w:lang w:val="es-CL"/>
        </w:rPr>
        <w:t xml:space="preserve"> </w:t>
      </w:r>
      <w:r w:rsidR="003E5534">
        <w:rPr>
          <w:szCs w:val="20"/>
          <w:lang w:val="es-CL"/>
        </w:rPr>
        <w:t xml:space="preserve">mediante la cual </w:t>
      </w:r>
      <w:r w:rsidR="00503CF4">
        <w:t>la</w:t>
      </w:r>
      <w:r w:rsidR="00072B3D">
        <w:t xml:space="preserve"> representación del Estado de </w:t>
      </w:r>
      <w:r w:rsidR="00072B3D" w:rsidRPr="007C639F">
        <w:t>Colombia present</w:t>
      </w:r>
      <w:r w:rsidR="00570E89" w:rsidRPr="007C639F">
        <w:t>ó</w:t>
      </w:r>
      <w:r w:rsidR="00072B3D" w:rsidRPr="007C639F">
        <w:t xml:space="preserve"> </w:t>
      </w:r>
      <w:r w:rsidR="003E5534" w:rsidRPr="007C639F">
        <w:rPr>
          <w:szCs w:val="20"/>
          <w:lang w:val="es-CL"/>
        </w:rPr>
        <w:t xml:space="preserve">una solicitud de reconsideración respecto a </w:t>
      </w:r>
      <w:r w:rsidR="00503CF4" w:rsidRPr="007C639F">
        <w:rPr>
          <w:szCs w:val="20"/>
          <w:lang w:val="es-CL"/>
        </w:rPr>
        <w:t xml:space="preserve">la </w:t>
      </w:r>
      <w:r w:rsidR="00570E89" w:rsidRPr="007C639F">
        <w:rPr>
          <w:szCs w:val="20"/>
          <w:lang w:val="es-CL"/>
        </w:rPr>
        <w:t>sustitución del declarante Gómez Ramírez</w:t>
      </w:r>
      <w:r w:rsidRPr="007C639F">
        <w:rPr>
          <w:rFonts w:cs="Times New Roman"/>
          <w:szCs w:val="20"/>
          <w:lang w:val="es-ES"/>
        </w:rPr>
        <w:t>.</w:t>
      </w:r>
      <w:r w:rsidRPr="007C639F">
        <w:rPr>
          <w:rFonts w:cs="Verdana"/>
          <w:szCs w:val="20"/>
          <w:lang w:val="es-ES"/>
        </w:rPr>
        <w:t xml:space="preserve"> </w:t>
      </w:r>
    </w:p>
    <w:p w:rsidR="00E84793" w:rsidRPr="007C639F" w:rsidRDefault="00E84793" w:rsidP="007403DD">
      <w:pPr>
        <w:autoSpaceDE w:val="0"/>
        <w:autoSpaceDN w:val="0"/>
        <w:adjustRightInd w:val="0"/>
        <w:spacing w:after="0"/>
        <w:ind w:right="18"/>
        <w:rPr>
          <w:rFonts w:cs="Verdana"/>
          <w:szCs w:val="20"/>
          <w:lang w:val="es-ES"/>
        </w:rPr>
      </w:pPr>
    </w:p>
    <w:p w:rsidR="001F6312" w:rsidRPr="007C639F" w:rsidRDefault="001F6312" w:rsidP="007403DD">
      <w:pPr>
        <w:numPr>
          <w:ilvl w:val="0"/>
          <w:numId w:val="4"/>
        </w:numPr>
        <w:autoSpaceDE w:val="0"/>
        <w:autoSpaceDN w:val="0"/>
        <w:adjustRightInd w:val="0"/>
        <w:spacing w:after="0"/>
        <w:ind w:left="0" w:right="18" w:firstLine="0"/>
        <w:rPr>
          <w:rFonts w:cs="Verdana"/>
          <w:szCs w:val="20"/>
          <w:lang w:val="es-ES"/>
        </w:rPr>
      </w:pPr>
      <w:r w:rsidRPr="007C639F">
        <w:rPr>
          <w:rFonts w:cs="Verdana"/>
          <w:szCs w:val="20"/>
          <w:lang w:val="es-ES"/>
        </w:rPr>
        <w:t xml:space="preserve">La </w:t>
      </w:r>
      <w:r w:rsidR="00B93936" w:rsidRPr="007C639F">
        <w:rPr>
          <w:rFonts w:cs="Verdana"/>
          <w:szCs w:val="20"/>
          <w:lang w:val="es-ES"/>
        </w:rPr>
        <w:t>n</w:t>
      </w:r>
      <w:r w:rsidRPr="007C639F">
        <w:rPr>
          <w:rFonts w:cs="Verdana"/>
          <w:szCs w:val="20"/>
          <w:lang w:val="es-ES"/>
        </w:rPr>
        <w:t xml:space="preserve">ota de la </w:t>
      </w:r>
      <w:r w:rsidRPr="007C639F">
        <w:rPr>
          <w:rFonts w:cs="Verdana"/>
          <w:szCs w:val="20"/>
        </w:rPr>
        <w:t xml:space="preserve">Secretaría de la Corte Interamericana de Derechos Humanos (en adelante “la Secretaría”) </w:t>
      </w:r>
      <w:r w:rsidRPr="007C639F">
        <w:rPr>
          <w:rFonts w:cs="Verdana"/>
          <w:szCs w:val="20"/>
          <w:lang w:val="es-ES"/>
        </w:rPr>
        <w:t xml:space="preserve">de </w:t>
      </w:r>
      <w:r w:rsidR="00B74F99" w:rsidRPr="007C639F">
        <w:rPr>
          <w:rFonts w:cs="Verdana"/>
          <w:szCs w:val="20"/>
          <w:lang w:val="es-ES"/>
        </w:rPr>
        <w:t>diez</w:t>
      </w:r>
      <w:r w:rsidRPr="007C639F">
        <w:rPr>
          <w:rFonts w:cs="Verdana"/>
          <w:szCs w:val="20"/>
          <w:lang w:val="es-ES"/>
        </w:rPr>
        <w:t xml:space="preserve"> de </w:t>
      </w:r>
      <w:r w:rsidR="00615A8D" w:rsidRPr="007C639F">
        <w:rPr>
          <w:rFonts w:cs="Verdana"/>
          <w:szCs w:val="20"/>
          <w:lang w:val="es-ES"/>
        </w:rPr>
        <w:t>octubre</w:t>
      </w:r>
      <w:r w:rsidR="00672D7A" w:rsidRPr="007C639F">
        <w:rPr>
          <w:rFonts w:cs="Verdana"/>
          <w:szCs w:val="20"/>
          <w:lang w:val="es-ES"/>
        </w:rPr>
        <w:t xml:space="preserve"> de 2017</w:t>
      </w:r>
      <w:r w:rsidRPr="007C639F">
        <w:rPr>
          <w:rFonts w:cs="Verdana"/>
          <w:szCs w:val="20"/>
          <w:lang w:val="es-ES"/>
        </w:rPr>
        <w:t>, mediante la cual se transmitió a</w:t>
      </w:r>
      <w:r w:rsidR="00615A8D" w:rsidRPr="007C639F">
        <w:rPr>
          <w:rFonts w:cs="Verdana"/>
          <w:szCs w:val="20"/>
          <w:lang w:val="es-ES"/>
        </w:rPr>
        <w:t xml:space="preserve"> los representantes y a </w:t>
      </w:r>
      <w:r w:rsidRPr="007C639F">
        <w:rPr>
          <w:rFonts w:cs="Verdana"/>
          <w:szCs w:val="20"/>
          <w:lang w:val="es-ES"/>
        </w:rPr>
        <w:t>la Comisión la solicitud planteada por</w:t>
      </w:r>
      <w:r w:rsidR="00E0761D" w:rsidRPr="007C639F">
        <w:rPr>
          <w:rFonts w:cs="Verdana"/>
          <w:szCs w:val="20"/>
          <w:lang w:val="es-ES"/>
        </w:rPr>
        <w:t xml:space="preserve"> el Estado</w:t>
      </w:r>
      <w:r w:rsidRPr="007C639F">
        <w:rPr>
          <w:rFonts w:cs="Verdana"/>
          <w:szCs w:val="20"/>
          <w:lang w:val="es-ES"/>
        </w:rPr>
        <w:t xml:space="preserve">; y se les otorgó un plazo </w:t>
      </w:r>
      <w:r w:rsidR="00CF74B5" w:rsidRPr="007C639F">
        <w:rPr>
          <w:rFonts w:cs="Verdana"/>
          <w:szCs w:val="20"/>
          <w:lang w:val="es-ES"/>
        </w:rPr>
        <w:t xml:space="preserve">de </w:t>
      </w:r>
      <w:r w:rsidR="00BB71DB" w:rsidRPr="007C639F">
        <w:rPr>
          <w:rFonts w:cs="Verdana"/>
          <w:szCs w:val="20"/>
          <w:lang w:val="es-ES"/>
        </w:rPr>
        <w:t>un día</w:t>
      </w:r>
      <w:r w:rsidRPr="007C639F">
        <w:rPr>
          <w:rFonts w:cs="Verdana"/>
          <w:szCs w:val="20"/>
          <w:lang w:val="es-ES"/>
        </w:rPr>
        <w:t xml:space="preserve"> para presentar sus observaciones al respecto. </w:t>
      </w:r>
    </w:p>
    <w:p w:rsidR="00503CF4" w:rsidRPr="00326C06" w:rsidRDefault="00503CF4" w:rsidP="00503CF4">
      <w:pPr>
        <w:autoSpaceDE w:val="0"/>
        <w:autoSpaceDN w:val="0"/>
        <w:adjustRightInd w:val="0"/>
        <w:spacing w:after="0"/>
        <w:ind w:right="18"/>
        <w:rPr>
          <w:rFonts w:cs="Verdana"/>
          <w:szCs w:val="20"/>
          <w:lang w:val="es-ES"/>
        </w:rPr>
      </w:pPr>
    </w:p>
    <w:p w:rsidR="003F6206" w:rsidRPr="00392DAA" w:rsidRDefault="00672D7A" w:rsidP="003F6206">
      <w:pPr>
        <w:numPr>
          <w:ilvl w:val="0"/>
          <w:numId w:val="4"/>
        </w:numPr>
        <w:autoSpaceDE w:val="0"/>
        <w:autoSpaceDN w:val="0"/>
        <w:adjustRightInd w:val="0"/>
        <w:spacing w:after="0"/>
        <w:ind w:left="0" w:right="18" w:firstLine="0"/>
        <w:rPr>
          <w:rFonts w:cs="Verdana"/>
          <w:szCs w:val="20"/>
          <w:lang w:val="es-ES"/>
        </w:rPr>
      </w:pPr>
      <w:r>
        <w:rPr>
          <w:rFonts w:cs="Verdana"/>
          <w:szCs w:val="20"/>
          <w:lang w:val="es-ES"/>
        </w:rPr>
        <w:t>La comunicación de</w:t>
      </w:r>
      <w:r w:rsidR="00B74F99">
        <w:rPr>
          <w:rFonts w:cs="Verdana"/>
          <w:szCs w:val="20"/>
          <w:lang w:val="es-ES"/>
        </w:rPr>
        <w:t xml:space="preserve"> la Comisión de 11 de octubre de 2017 en la que señala no tener observaciones a la solicitud del</w:t>
      </w:r>
      <w:r>
        <w:rPr>
          <w:rFonts w:cs="Verdana"/>
          <w:szCs w:val="20"/>
          <w:lang w:val="es-ES"/>
        </w:rPr>
        <w:t xml:space="preserve"> Estado</w:t>
      </w:r>
      <w:r w:rsidR="003F6206">
        <w:rPr>
          <w:szCs w:val="20"/>
          <w:lang w:val="es-CL"/>
        </w:rPr>
        <w:t xml:space="preserve">. </w:t>
      </w:r>
      <w:r w:rsidR="00640F2B">
        <w:rPr>
          <w:szCs w:val="20"/>
          <w:lang w:val="es-CL"/>
        </w:rPr>
        <w:t>Los representantes tampoco presentaron observaciones.</w:t>
      </w:r>
    </w:p>
    <w:p w:rsidR="00FA2666" w:rsidRDefault="00FA2666" w:rsidP="007403DD">
      <w:pPr>
        <w:spacing w:after="0"/>
        <w:rPr>
          <w:rFonts w:eastAsia="Times New Roman" w:cs="Verdana"/>
          <w:b/>
          <w:bCs/>
          <w:szCs w:val="20"/>
          <w:lang w:val="es-CL" w:eastAsia="en-U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lastRenderedPageBreak/>
        <w:t>CONSIDERANDO QUE:</w:t>
      </w:r>
    </w:p>
    <w:p w:rsidR="007403DD" w:rsidRDefault="007403DD" w:rsidP="007403DD">
      <w:pPr>
        <w:spacing w:after="0"/>
        <w:rPr>
          <w:rFonts w:eastAsia="Times New Roman" w:cs="Verdana"/>
          <w:b/>
          <w:bCs/>
          <w:szCs w:val="20"/>
          <w:lang w:val="es-CL" w:eastAsia="en-US"/>
        </w:rPr>
      </w:pPr>
    </w:p>
    <w:p w:rsidR="00FA2666" w:rsidRDefault="00FA2666" w:rsidP="007403DD">
      <w:pPr>
        <w:spacing w:after="0"/>
        <w:rPr>
          <w:rFonts w:eastAsia="Times New Roman" w:cs="Verdana"/>
          <w:b/>
          <w:bCs/>
          <w:szCs w:val="20"/>
          <w:lang w:val="es-CL" w:eastAsia="en-US"/>
        </w:rPr>
      </w:pPr>
    </w:p>
    <w:p w:rsidR="001D4D49" w:rsidRPr="00E17BE7" w:rsidRDefault="001D4D49" w:rsidP="007403DD">
      <w:pPr>
        <w:numPr>
          <w:ilvl w:val="0"/>
          <w:numId w:val="3"/>
        </w:numPr>
        <w:spacing w:after="0"/>
        <w:ind w:right="18"/>
        <w:rPr>
          <w:rFonts w:cs="Verdana"/>
          <w:szCs w:val="20"/>
        </w:rPr>
      </w:pPr>
      <w:r w:rsidRPr="005C641D">
        <w:rPr>
          <w:rFonts w:cs="Verdana"/>
          <w:szCs w:val="20"/>
        </w:rPr>
        <w:tab/>
      </w:r>
      <w:r w:rsidRPr="00245F5E">
        <w:rPr>
          <w:rFonts w:cs="Verdana"/>
          <w:szCs w:val="20"/>
        </w:rPr>
        <w:t>Las decisiones del Presidente</w:t>
      </w:r>
      <w:r>
        <w:rPr>
          <w:rFonts w:cs="Verdana"/>
          <w:szCs w:val="20"/>
        </w:rPr>
        <w:t>, que no sean de mero trámite,</w:t>
      </w:r>
      <w:r w:rsidRPr="00245F5E">
        <w:rPr>
          <w:rFonts w:cs="Verdana"/>
          <w:szCs w:val="20"/>
        </w:rPr>
        <w:t xml:space="preserve"> son recurribles ante la Corte</w:t>
      </w:r>
      <w:r>
        <w:rPr>
          <w:rFonts w:cs="Verdana"/>
          <w:szCs w:val="20"/>
        </w:rPr>
        <w:t xml:space="preserve"> Interamericana de Derechos Humanos (en adelante “la Corte” o “el Tribunal”</w:t>
      </w:r>
      <w:r w:rsidRPr="00245F5E">
        <w:rPr>
          <w:rFonts w:cs="Verdana"/>
          <w:szCs w:val="20"/>
        </w:rPr>
        <w:t>, en los términos del artículo 3</w:t>
      </w:r>
      <w:r>
        <w:rPr>
          <w:rFonts w:cs="Verdana"/>
          <w:szCs w:val="20"/>
        </w:rPr>
        <w:t>1</w:t>
      </w:r>
      <w:r w:rsidRPr="00245F5E">
        <w:rPr>
          <w:rFonts w:cs="Verdana"/>
          <w:szCs w:val="20"/>
        </w:rPr>
        <w:t>.2 del Reglamento</w:t>
      </w:r>
      <w:r>
        <w:rPr>
          <w:rFonts w:cs="Verdana"/>
          <w:szCs w:val="20"/>
        </w:rPr>
        <w:t xml:space="preserve"> de este Tribunal</w:t>
      </w:r>
      <w:r w:rsidRPr="00B37257">
        <w:rPr>
          <w:rFonts w:cs="Verdana"/>
          <w:szCs w:val="20"/>
          <w:lang w:val="es-CR"/>
        </w:rPr>
        <w:t xml:space="preserve"> (en adelante “el Reglamento”).</w:t>
      </w:r>
    </w:p>
    <w:p w:rsidR="00E17BE7" w:rsidRPr="00F262C0" w:rsidRDefault="00E17BE7" w:rsidP="007403DD">
      <w:pPr>
        <w:spacing w:after="0"/>
        <w:ind w:right="18"/>
        <w:rPr>
          <w:rFonts w:cs="Verdana"/>
          <w:szCs w:val="20"/>
        </w:rPr>
      </w:pPr>
    </w:p>
    <w:p w:rsidR="001D4D49" w:rsidRPr="008432B1" w:rsidRDefault="001D4D49" w:rsidP="007403DD">
      <w:pPr>
        <w:numPr>
          <w:ilvl w:val="0"/>
          <w:numId w:val="3"/>
        </w:numPr>
        <w:spacing w:after="0"/>
        <w:ind w:right="18"/>
        <w:rPr>
          <w:rFonts w:cs="Verdana"/>
          <w:szCs w:val="20"/>
        </w:rPr>
      </w:pPr>
      <w:r w:rsidRPr="00F262C0">
        <w:rPr>
          <w:rFonts w:cs="Verdana"/>
          <w:szCs w:val="20"/>
          <w:lang w:val="es-ES"/>
        </w:rPr>
        <w:t>La Corte tiene amplias facultades en cuanto a la admisión y a la modalidad de recepción de la prueba, de conformidad con los artículos 50, 57 y 58 del Reglamento.</w:t>
      </w:r>
    </w:p>
    <w:p w:rsidR="00E17BE7" w:rsidRPr="00017CD7" w:rsidRDefault="00E17BE7" w:rsidP="007403DD">
      <w:pPr>
        <w:spacing w:after="0"/>
        <w:ind w:right="18"/>
        <w:rPr>
          <w:rFonts w:cs="Verdana"/>
          <w:szCs w:val="20"/>
        </w:rPr>
      </w:pPr>
    </w:p>
    <w:p w:rsidR="006855FA" w:rsidRPr="006855FA" w:rsidRDefault="00640F2B" w:rsidP="006855FA">
      <w:pPr>
        <w:numPr>
          <w:ilvl w:val="0"/>
          <w:numId w:val="3"/>
        </w:numPr>
        <w:spacing w:after="0"/>
        <w:ind w:right="18"/>
        <w:rPr>
          <w:rFonts w:cs="Verdana"/>
          <w:szCs w:val="20"/>
          <w:lang w:val="es-ES"/>
        </w:rPr>
      </w:pPr>
      <w:r>
        <w:rPr>
          <w:lang w:val="es-CR"/>
        </w:rPr>
        <w:t xml:space="preserve">Mediante escrito de 20 de septiembre de 2017, el Estado de Colombia comunicó a la Secretaria de la Corte que “el General (R) Juan Carlos Gómez […] no podrá rendir la declaración ante fedatario público” y solicitó su sustitución por </w:t>
      </w:r>
      <w:proofErr w:type="spellStart"/>
      <w:r>
        <w:rPr>
          <w:lang w:val="es-CR"/>
        </w:rPr>
        <w:t>Eduth</w:t>
      </w:r>
      <w:proofErr w:type="spellEnd"/>
      <w:r>
        <w:rPr>
          <w:lang w:val="es-CR"/>
        </w:rPr>
        <w:t xml:space="preserve"> Claudia Hernández Aguilar para que atienda el objeto decretado mediante la Resolución de Convocatoria a Audiencia Pública</w:t>
      </w:r>
      <w:r>
        <w:rPr>
          <w:rStyle w:val="FootnoteReference"/>
          <w:lang w:val="es-CR"/>
        </w:rPr>
        <w:footnoteReference w:id="2"/>
      </w:r>
      <w:r w:rsidR="00A336C6">
        <w:rPr>
          <w:rFonts w:cs="Times New Roman"/>
          <w:bCs/>
          <w:iCs/>
          <w:szCs w:val="20"/>
        </w:rPr>
        <w:t>.</w:t>
      </w:r>
    </w:p>
    <w:p w:rsidR="00640279" w:rsidRDefault="00640F2B" w:rsidP="00640279">
      <w:pPr>
        <w:numPr>
          <w:ilvl w:val="0"/>
          <w:numId w:val="3"/>
        </w:numPr>
        <w:spacing w:before="240" w:after="240"/>
        <w:ind w:right="18"/>
        <w:rPr>
          <w:lang w:val="es-CR"/>
        </w:rPr>
      </w:pPr>
      <w:r>
        <w:rPr>
          <w:lang w:val="es-CR"/>
        </w:rPr>
        <w:t xml:space="preserve">La solicitud original de solicitud </w:t>
      </w:r>
      <w:r w:rsidR="007B14E8">
        <w:rPr>
          <w:lang w:val="es-CR"/>
        </w:rPr>
        <w:t>del Estado</w:t>
      </w:r>
      <w:r>
        <w:rPr>
          <w:lang w:val="es-CR"/>
        </w:rPr>
        <w:t xml:space="preserve"> fue rechazada por medio de </w:t>
      </w:r>
      <w:r w:rsidRPr="00745AB0">
        <w:rPr>
          <w:lang w:val="es-CR"/>
        </w:rPr>
        <w:t>la Resolución de la Presidencia de la Corte de fecha 5 de octubre de 2017</w:t>
      </w:r>
      <w:r>
        <w:rPr>
          <w:lang w:val="es-CR"/>
        </w:rPr>
        <w:t>,</w:t>
      </w:r>
      <w:r w:rsidRPr="00745AB0">
        <w:t xml:space="preserve"> </w:t>
      </w:r>
      <w:r w:rsidRPr="00745AB0">
        <w:rPr>
          <w:lang w:val="es-CR"/>
        </w:rPr>
        <w:t>al estimar que</w:t>
      </w:r>
      <w:r w:rsidR="00360909">
        <w:rPr>
          <w:lang w:val="es-CR"/>
        </w:rPr>
        <w:t xml:space="preserve"> de acuerdo a la información aportada por el Estado</w:t>
      </w:r>
      <w:r w:rsidRPr="00745AB0">
        <w:rPr>
          <w:lang w:val="es-CR"/>
        </w:rPr>
        <w:t xml:space="preserve"> la señora Hernández “no </w:t>
      </w:r>
      <w:proofErr w:type="gramStart"/>
      <w:r w:rsidRPr="00745AB0">
        <w:rPr>
          <w:lang w:val="es-CR"/>
        </w:rPr>
        <w:t>c</w:t>
      </w:r>
      <w:r w:rsidR="007723CB">
        <w:rPr>
          <w:lang w:val="es-CR"/>
        </w:rPr>
        <w:t>[</w:t>
      </w:r>
      <w:proofErr w:type="spellStart"/>
      <w:proofErr w:type="gramEnd"/>
      <w:r w:rsidR="007723CB">
        <w:rPr>
          <w:lang w:val="es-CR"/>
        </w:rPr>
        <w:t>ontaba</w:t>
      </w:r>
      <w:proofErr w:type="spellEnd"/>
      <w:r w:rsidR="007723CB">
        <w:rPr>
          <w:lang w:val="es-CR"/>
        </w:rPr>
        <w:t>]</w:t>
      </w:r>
      <w:r w:rsidRPr="00745AB0">
        <w:rPr>
          <w:lang w:val="es-CR"/>
        </w:rPr>
        <w:t xml:space="preserve"> con experiencia de similares características a las del [declarante inicial</w:t>
      </w:r>
      <w:r>
        <w:rPr>
          <w:lang w:val="es-CR"/>
        </w:rPr>
        <w:t>mente propuesto</w:t>
      </w:r>
      <w:r w:rsidRPr="00745AB0">
        <w:rPr>
          <w:lang w:val="es-CR"/>
        </w:rPr>
        <w:t>]”</w:t>
      </w:r>
      <w:r w:rsidR="007B14E8">
        <w:rPr>
          <w:rStyle w:val="FootnoteReference"/>
          <w:lang w:val="es-CR"/>
        </w:rPr>
        <w:footnoteReference w:id="3"/>
      </w:r>
      <w:r w:rsidR="00640279">
        <w:rPr>
          <w:lang w:val="es-CR"/>
        </w:rPr>
        <w:t>.</w:t>
      </w:r>
    </w:p>
    <w:p w:rsidR="00392DAA" w:rsidRDefault="00360909" w:rsidP="00C40234">
      <w:pPr>
        <w:numPr>
          <w:ilvl w:val="0"/>
          <w:numId w:val="3"/>
        </w:numPr>
        <w:spacing w:before="240" w:after="240"/>
        <w:ind w:right="18"/>
        <w:rPr>
          <w:lang w:val="es-CR"/>
        </w:rPr>
      </w:pPr>
      <w:r>
        <w:rPr>
          <w:lang w:val="es-CR"/>
        </w:rPr>
        <w:t>Mediante escrito de 9 de octubre de 2017, el Estado solicitó la reconsideración de la decisión de la Presidencia, argumentando que “</w:t>
      </w:r>
      <w:r w:rsidRPr="00745AB0">
        <w:rPr>
          <w:lang w:val="es-CR"/>
        </w:rPr>
        <w:t>i) la</w:t>
      </w:r>
      <w:r>
        <w:rPr>
          <w:lang w:val="es-CR"/>
        </w:rPr>
        <w:t xml:space="preserve"> </w:t>
      </w:r>
      <w:r w:rsidRPr="00745AB0">
        <w:rPr>
          <w:lang w:val="es-CR"/>
        </w:rPr>
        <w:t>declarante a título informativo, con independencia de su cargo, cuenta con la</w:t>
      </w:r>
      <w:r>
        <w:rPr>
          <w:lang w:val="es-CR"/>
        </w:rPr>
        <w:t xml:space="preserve"> </w:t>
      </w:r>
      <w:r w:rsidRPr="00745AB0">
        <w:rPr>
          <w:lang w:val="es-CR"/>
        </w:rPr>
        <w:t>experiencia necesaria para abordar el objeto aprobado por el Presidente, y ii) aceptar</w:t>
      </w:r>
      <w:r>
        <w:rPr>
          <w:lang w:val="es-CR"/>
        </w:rPr>
        <w:t xml:space="preserve"> </w:t>
      </w:r>
      <w:r w:rsidRPr="00745AB0">
        <w:rPr>
          <w:lang w:val="es-CR"/>
        </w:rPr>
        <w:t>la declaración redundará en una protección integral de los principios de equilibrio</w:t>
      </w:r>
      <w:r>
        <w:rPr>
          <w:lang w:val="es-CR"/>
        </w:rPr>
        <w:t xml:space="preserve"> </w:t>
      </w:r>
      <w:r w:rsidRPr="00745AB0">
        <w:rPr>
          <w:lang w:val="es-CR"/>
        </w:rPr>
        <w:t>procesal y de inmediación de la prueba.</w:t>
      </w:r>
      <w:r>
        <w:rPr>
          <w:lang w:val="es-CR"/>
        </w:rPr>
        <w:t>”</w:t>
      </w:r>
      <w:r w:rsidR="00640279" w:rsidRPr="00640279">
        <w:rPr>
          <w:lang w:val="es-CR"/>
        </w:rPr>
        <w:t xml:space="preserve">. </w:t>
      </w:r>
    </w:p>
    <w:p w:rsidR="00C40234" w:rsidRPr="005C4F60" w:rsidRDefault="00392DAA" w:rsidP="005C4F60">
      <w:pPr>
        <w:numPr>
          <w:ilvl w:val="0"/>
          <w:numId w:val="3"/>
        </w:numPr>
        <w:spacing w:before="240" w:after="240"/>
        <w:ind w:right="18"/>
        <w:rPr>
          <w:lang w:val="es-CR"/>
        </w:rPr>
      </w:pPr>
      <w:r w:rsidRPr="005C4F60">
        <w:rPr>
          <w:lang w:val="es-CR"/>
        </w:rPr>
        <w:t xml:space="preserve">En este sentido, </w:t>
      </w:r>
      <w:r w:rsidR="005C4F60" w:rsidRPr="005C4F60">
        <w:rPr>
          <w:lang w:val="es-CR"/>
        </w:rPr>
        <w:t>consideró importante que la Corte pueda atender la solicitud de convocar a un declarante más, a fin de que también l</w:t>
      </w:r>
      <w:r w:rsidR="005C4F60">
        <w:rPr>
          <w:lang w:val="es-CR"/>
        </w:rPr>
        <w:t xml:space="preserve">a familia de Elio </w:t>
      </w:r>
      <w:proofErr w:type="spellStart"/>
      <w:r w:rsidR="005C4F60">
        <w:rPr>
          <w:lang w:val="es-CR"/>
        </w:rPr>
        <w:t>Gelves</w:t>
      </w:r>
      <w:proofErr w:type="spellEnd"/>
      <w:r w:rsidR="005C4F60" w:rsidRPr="005C4F60">
        <w:rPr>
          <w:lang w:val="es-CR"/>
        </w:rPr>
        <w:t xml:space="preserve"> Carrillo esté representada en la audiencia. Agregó que “[t]</w:t>
      </w:r>
      <w:proofErr w:type="spellStart"/>
      <w:r w:rsidR="005C4F60" w:rsidRPr="005C4F60">
        <w:rPr>
          <w:lang w:val="es-CR"/>
        </w:rPr>
        <w:t>omando</w:t>
      </w:r>
      <w:proofErr w:type="spellEnd"/>
      <w:r w:rsidR="005C4F60" w:rsidRPr="005C4F60">
        <w:rPr>
          <w:lang w:val="es-CR"/>
        </w:rPr>
        <w:t xml:space="preserve"> en cuenta el tiempo que se ha dispuesto para la presente audiencia, […] entiende que acoger esta solicitud, no implicaría un cambio determinante en el desarrollo, al tratarse únicamente de un declarante adicional”.</w:t>
      </w:r>
      <w:r w:rsidR="00F333E5" w:rsidRPr="005C4F60">
        <w:rPr>
          <w:lang w:val="es-CR"/>
        </w:rPr>
        <w:t xml:space="preserve"> </w:t>
      </w:r>
      <w:r w:rsidR="00360909">
        <w:rPr>
          <w:lang w:val="es-CR"/>
        </w:rPr>
        <w:t>Agregó que “l</w:t>
      </w:r>
      <w:r w:rsidR="00360909" w:rsidRPr="00DC2DA5">
        <w:rPr>
          <w:lang w:val="es-CR"/>
        </w:rPr>
        <w:t>a declarante propuesta trabajó por más de diez años en la Dirección de Derechos</w:t>
      </w:r>
      <w:r w:rsidR="00360909">
        <w:rPr>
          <w:lang w:val="es-CR"/>
        </w:rPr>
        <w:t xml:space="preserve"> </w:t>
      </w:r>
      <w:r w:rsidR="00360909" w:rsidRPr="00DC2DA5">
        <w:rPr>
          <w:lang w:val="es-CR"/>
        </w:rPr>
        <w:t>Humanos del Ministerio de Defensa Nacional como asesora, coordinadora y Directora.</w:t>
      </w:r>
      <w:r w:rsidR="00360909">
        <w:rPr>
          <w:lang w:val="es-CR"/>
        </w:rPr>
        <w:t>” Además, aseguró que la señora Hernández “</w:t>
      </w:r>
      <w:r w:rsidR="00360909" w:rsidRPr="00F54457">
        <w:rPr>
          <w:lang w:val="es-CR"/>
        </w:rPr>
        <w:t>participó</w:t>
      </w:r>
      <w:r w:rsidR="00360909">
        <w:rPr>
          <w:lang w:val="es-CR"/>
        </w:rPr>
        <w:t xml:space="preserve"> </w:t>
      </w:r>
      <w:r w:rsidR="00360909" w:rsidRPr="00F54457">
        <w:rPr>
          <w:lang w:val="es-CR"/>
        </w:rPr>
        <w:t>específicamente en la formulación de iniciativas estatales para prevenir y erradicar</w:t>
      </w:r>
      <w:r w:rsidR="00360909">
        <w:rPr>
          <w:lang w:val="es-CR"/>
        </w:rPr>
        <w:t xml:space="preserve"> </w:t>
      </w:r>
      <w:r w:rsidR="00360909" w:rsidRPr="00F54457">
        <w:rPr>
          <w:lang w:val="es-CR"/>
        </w:rPr>
        <w:t xml:space="preserve">las ejecuciones extrajudiciales, denominadas como </w:t>
      </w:r>
      <w:r w:rsidR="00360909">
        <w:rPr>
          <w:lang w:val="es-CR"/>
        </w:rPr>
        <w:t>‘</w:t>
      </w:r>
      <w:r w:rsidR="00360909" w:rsidRPr="00F54457">
        <w:rPr>
          <w:lang w:val="es-CR"/>
        </w:rPr>
        <w:t>falsos positivos</w:t>
      </w:r>
      <w:r w:rsidR="00360909">
        <w:rPr>
          <w:lang w:val="es-CR"/>
        </w:rPr>
        <w:t>’”</w:t>
      </w:r>
      <w:r w:rsidR="00360909" w:rsidRPr="00F54457">
        <w:rPr>
          <w:lang w:val="es-CR"/>
        </w:rPr>
        <w:t>.</w:t>
      </w:r>
      <w:r w:rsidR="00360909">
        <w:rPr>
          <w:lang w:val="es-CR"/>
        </w:rPr>
        <w:t xml:space="preserve"> Agregó también, que el Tribunal debe evaluar la idoneidad profesional de la persona propuesta “de forma integral” y no únicamente por el cargo que haya ostentado.</w:t>
      </w:r>
    </w:p>
    <w:p w:rsidR="006C02C2" w:rsidRDefault="00FA4E30" w:rsidP="00FA2666">
      <w:pPr>
        <w:numPr>
          <w:ilvl w:val="0"/>
          <w:numId w:val="3"/>
        </w:numPr>
        <w:spacing w:before="240" w:after="240" w:line="276" w:lineRule="auto"/>
        <w:ind w:right="18"/>
        <w:rPr>
          <w:rFonts w:ascii="Times New Roman" w:eastAsiaTheme="minorHAnsi" w:hAnsi="Times New Roman" w:cs="Times New Roman"/>
          <w:sz w:val="24"/>
          <w:lang w:val="es-ES"/>
        </w:rPr>
      </w:pPr>
      <w:r w:rsidRPr="00F2636D">
        <w:rPr>
          <w:rFonts w:cs="Verdana"/>
          <w:szCs w:val="20"/>
          <w:lang w:val="es-ES"/>
        </w:rPr>
        <w:t xml:space="preserve">La Corte </w:t>
      </w:r>
      <w:r w:rsidR="00D57FD3">
        <w:rPr>
          <w:rFonts w:cs="Verdana"/>
          <w:szCs w:val="20"/>
          <w:lang w:val="es-ES"/>
        </w:rPr>
        <w:t>recuerda</w:t>
      </w:r>
      <w:r w:rsidR="00360909">
        <w:rPr>
          <w:rFonts w:cs="Verdana"/>
          <w:szCs w:val="20"/>
          <w:lang w:val="es-ES"/>
        </w:rPr>
        <w:t xml:space="preserve"> que </w:t>
      </w:r>
      <w:r w:rsidR="006C02C2">
        <w:rPr>
          <w:rFonts w:cs="Verdana"/>
          <w:szCs w:val="20"/>
          <w:lang w:val="es-ES"/>
        </w:rPr>
        <w:t xml:space="preserve">la </w:t>
      </w:r>
      <w:r w:rsidR="00D57FD3">
        <w:rPr>
          <w:rFonts w:cs="Verdana"/>
          <w:szCs w:val="20"/>
          <w:lang w:val="es-ES"/>
        </w:rPr>
        <w:t>solicitud</w:t>
      </w:r>
      <w:r w:rsidR="006C02C2">
        <w:rPr>
          <w:rFonts w:cs="Verdana"/>
          <w:szCs w:val="20"/>
          <w:lang w:val="es-ES"/>
        </w:rPr>
        <w:t xml:space="preserve"> del Estado </w:t>
      </w:r>
      <w:r w:rsidR="006C02C2">
        <w:t xml:space="preserve">debe ser analizada de acuerdo a lo </w:t>
      </w:r>
      <w:r w:rsidR="006C02C2" w:rsidRPr="006C02C2">
        <w:rPr>
          <w:lang w:val="es-CR"/>
        </w:rPr>
        <w:t>estipulado</w:t>
      </w:r>
      <w:r w:rsidR="006C02C2">
        <w:t xml:space="preserve"> en el artículo 49</w:t>
      </w:r>
      <w:r w:rsidR="006C02C2">
        <w:rPr>
          <w:rStyle w:val="FootnoteReference"/>
        </w:rPr>
        <w:footnoteReference w:id="4"/>
      </w:r>
      <w:r w:rsidR="006C02C2">
        <w:t xml:space="preserve"> del Reglamento del Tribunal. </w:t>
      </w:r>
      <w:r w:rsidR="00134D8B">
        <w:t>En tal virtud,</w:t>
      </w:r>
      <w:r w:rsidR="00D57FD3">
        <w:t xml:space="preserve"> estima que no sólo debe explicarse</w:t>
      </w:r>
      <w:r w:rsidR="00690057">
        <w:t xml:space="preserve"> y fundamentarse</w:t>
      </w:r>
      <w:r w:rsidR="00D57FD3">
        <w:t xml:space="preserve"> con precisión los motivos por los cuales </w:t>
      </w:r>
      <w:r w:rsidR="00690057">
        <w:t>la persona</w:t>
      </w:r>
      <w:r w:rsidR="00D57FD3">
        <w:t xml:space="preserve"> </w:t>
      </w:r>
      <w:r w:rsidR="00D57FD3">
        <w:lastRenderedPageBreak/>
        <w:t>declarante originalmente propuest</w:t>
      </w:r>
      <w:r w:rsidR="00690057">
        <w:t>a</w:t>
      </w:r>
      <w:r w:rsidR="00D57FD3">
        <w:t xml:space="preserve"> </w:t>
      </w:r>
      <w:r w:rsidR="00690057">
        <w:t>no podr</w:t>
      </w:r>
      <w:r w:rsidR="00134730">
        <w:t>á rendir su declaración</w:t>
      </w:r>
      <w:r w:rsidR="00690057">
        <w:t xml:space="preserve">, sino también las razones por las cuales </w:t>
      </w:r>
      <w:r w:rsidR="004C485A">
        <w:t>la persona propuesta para sustituir a aquella cuenta con las mismas calidades</w:t>
      </w:r>
      <w:r w:rsidR="006C02C2">
        <w:t>.</w:t>
      </w:r>
      <w:r w:rsidR="004C485A">
        <w:t xml:space="preserve"> En ese sentido, la Corte observa que </w:t>
      </w:r>
      <w:r w:rsidR="00E0761D">
        <w:t xml:space="preserve">sólo </w:t>
      </w:r>
      <w:r w:rsidR="004C485A">
        <w:t xml:space="preserve">en la solicitud de reconsideración el Estado presentó </w:t>
      </w:r>
      <w:r w:rsidR="00134730">
        <w:t xml:space="preserve">de manera detallada </w:t>
      </w:r>
      <w:r w:rsidR="004C485A">
        <w:t xml:space="preserve">dicha información. A juicio del Tribunal, </w:t>
      </w:r>
      <w:r w:rsidR="00134D8B">
        <w:t>lo anterior ocurrió de manera extemporánea, motivo por el cual la solicitud del Estado debe ser rechazada.</w:t>
      </w:r>
    </w:p>
    <w:p w:rsidR="00FA2666" w:rsidRDefault="00FA2666" w:rsidP="00FA2666">
      <w:pPr>
        <w:spacing w:after="0" w:line="276" w:lineRule="auto"/>
        <w:rPr>
          <w:rFonts w:cs="Verdana"/>
          <w:b/>
          <w:bCs/>
          <w:szCs w:val="20"/>
          <w:lang w:val="es-CR"/>
        </w:rPr>
      </w:pPr>
    </w:p>
    <w:p w:rsidR="00FA2666" w:rsidRDefault="00FA2666" w:rsidP="00FA2666">
      <w:pPr>
        <w:spacing w:after="0" w:line="276" w:lineRule="auto"/>
        <w:rPr>
          <w:rFonts w:cs="Verdana"/>
          <w:b/>
          <w:bCs/>
          <w:szCs w:val="20"/>
          <w:lang w:val="es-CR"/>
        </w:rPr>
      </w:pPr>
    </w:p>
    <w:p w:rsidR="00017CD7" w:rsidRPr="0003632E" w:rsidRDefault="00017CD7" w:rsidP="00FA2666">
      <w:pPr>
        <w:spacing w:after="0" w:line="276" w:lineRule="auto"/>
        <w:rPr>
          <w:rFonts w:cs="Verdana"/>
          <w:b/>
          <w:bCs/>
          <w:szCs w:val="20"/>
          <w:lang w:val="es-CR"/>
        </w:rPr>
      </w:pPr>
      <w:r w:rsidRPr="0003632E">
        <w:rPr>
          <w:rFonts w:cs="Verdana"/>
          <w:b/>
          <w:bCs/>
          <w:szCs w:val="20"/>
          <w:lang w:val="es-CR"/>
        </w:rPr>
        <w:t>POR TANTO:</w:t>
      </w:r>
    </w:p>
    <w:p w:rsidR="00017CD7" w:rsidRDefault="00017CD7" w:rsidP="00FA2666">
      <w:pPr>
        <w:spacing w:after="0" w:line="276" w:lineRule="auto"/>
        <w:rPr>
          <w:rFonts w:cs="Verdana"/>
          <w:b/>
          <w:bCs/>
          <w:szCs w:val="20"/>
          <w:lang w:val="es-CR"/>
        </w:rPr>
      </w:pPr>
    </w:p>
    <w:p w:rsidR="00FA2666" w:rsidRDefault="00FA2666" w:rsidP="00FA2666">
      <w:pPr>
        <w:spacing w:after="0" w:line="276" w:lineRule="auto"/>
        <w:rPr>
          <w:rFonts w:cs="Verdana"/>
          <w:b/>
          <w:bCs/>
          <w:szCs w:val="20"/>
          <w:lang w:val="es-CR"/>
        </w:rPr>
      </w:pPr>
    </w:p>
    <w:p w:rsidR="00017CD7" w:rsidRDefault="00017CD7" w:rsidP="00FA2666">
      <w:pPr>
        <w:spacing w:after="0" w:line="276" w:lineRule="auto"/>
        <w:rPr>
          <w:rFonts w:cs="Verdana"/>
          <w:b/>
          <w:bCs/>
          <w:szCs w:val="20"/>
          <w:lang w:val="es-CR"/>
        </w:rPr>
      </w:pPr>
      <w:r w:rsidRPr="0003632E">
        <w:rPr>
          <w:rFonts w:cs="Verdana"/>
          <w:b/>
          <w:bCs/>
          <w:szCs w:val="20"/>
          <w:lang w:val="es-CR"/>
        </w:rPr>
        <w:t xml:space="preserve">LA CORTE INTERAMERICANA DE DERECHOS HUMANOS, </w:t>
      </w:r>
    </w:p>
    <w:p w:rsidR="00017CD7" w:rsidRDefault="00017CD7" w:rsidP="00FA2666">
      <w:pPr>
        <w:autoSpaceDE w:val="0"/>
        <w:autoSpaceDN w:val="0"/>
        <w:adjustRightInd w:val="0"/>
        <w:spacing w:after="0" w:line="276" w:lineRule="auto"/>
        <w:ind w:right="18"/>
        <w:rPr>
          <w:rFonts w:ascii="Garamond" w:hAnsi="Garamond"/>
          <w:lang w:val="es-CR"/>
        </w:rPr>
      </w:pPr>
    </w:p>
    <w:p w:rsidR="00017CD7" w:rsidRPr="005C641D" w:rsidRDefault="0057785F" w:rsidP="00FA2666">
      <w:pPr>
        <w:autoSpaceDE w:val="0"/>
        <w:autoSpaceDN w:val="0"/>
        <w:adjustRightInd w:val="0"/>
        <w:spacing w:after="0" w:line="276" w:lineRule="auto"/>
        <w:ind w:right="18"/>
        <w:rPr>
          <w:rFonts w:cs="Verdana"/>
          <w:b/>
          <w:bCs/>
          <w:szCs w:val="20"/>
          <w:lang w:val="es-ES"/>
        </w:rPr>
      </w:pPr>
      <w:r>
        <w:rPr>
          <w:rFonts w:cs="Verdana"/>
          <w:szCs w:val="20"/>
          <w:lang w:val="es-CR"/>
        </w:rPr>
        <w:t>D</w:t>
      </w:r>
      <w:r w:rsidR="00134D8B">
        <w:rPr>
          <w:rFonts w:cs="Verdana"/>
          <w:szCs w:val="20"/>
          <w:lang w:val="es-CR"/>
        </w:rPr>
        <w:t>e</w:t>
      </w:r>
      <w:r w:rsidR="00017CD7" w:rsidRPr="005C641D">
        <w:rPr>
          <w:rFonts w:cs="Verdana"/>
          <w:szCs w:val="20"/>
          <w:lang w:val="es-ES"/>
        </w:rPr>
        <w:t xml:space="preserv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Default="00017CD7" w:rsidP="00FA2666">
      <w:pPr>
        <w:autoSpaceDE w:val="0"/>
        <w:autoSpaceDN w:val="0"/>
        <w:adjustRightInd w:val="0"/>
        <w:spacing w:after="0" w:line="276" w:lineRule="auto"/>
        <w:ind w:right="18"/>
        <w:rPr>
          <w:rFonts w:cs="Verdana"/>
          <w:b/>
          <w:bCs/>
          <w:szCs w:val="20"/>
          <w:lang w:val="es-ES"/>
        </w:rPr>
      </w:pPr>
    </w:p>
    <w:p w:rsidR="00180DEE" w:rsidRPr="005C641D" w:rsidRDefault="00180DEE" w:rsidP="00FA2666">
      <w:pPr>
        <w:autoSpaceDE w:val="0"/>
        <w:autoSpaceDN w:val="0"/>
        <w:adjustRightInd w:val="0"/>
        <w:spacing w:after="0" w:line="276" w:lineRule="auto"/>
        <w:ind w:right="18"/>
        <w:rPr>
          <w:rFonts w:cs="Verdana"/>
          <w:b/>
          <w:bCs/>
          <w:szCs w:val="20"/>
          <w:lang w:val="es-ES"/>
        </w:rPr>
      </w:pPr>
    </w:p>
    <w:p w:rsidR="00017CD7" w:rsidRPr="005C641D" w:rsidRDefault="00017CD7" w:rsidP="00FA2666">
      <w:pPr>
        <w:autoSpaceDE w:val="0"/>
        <w:autoSpaceDN w:val="0"/>
        <w:adjustRightInd w:val="0"/>
        <w:spacing w:after="0" w:line="276" w:lineRule="auto"/>
        <w:ind w:right="18"/>
        <w:rPr>
          <w:rFonts w:cs="Verdana"/>
          <w:b/>
          <w:bCs/>
          <w:szCs w:val="20"/>
          <w:lang w:val="es-ES"/>
        </w:rPr>
      </w:pPr>
      <w:r w:rsidRPr="005C641D">
        <w:rPr>
          <w:rFonts w:cs="Verdana"/>
          <w:b/>
          <w:bCs/>
          <w:szCs w:val="20"/>
          <w:lang w:val="es-ES"/>
        </w:rPr>
        <w:t>RESUELVE:</w:t>
      </w:r>
    </w:p>
    <w:p w:rsidR="00017CD7" w:rsidRPr="00FA2666" w:rsidRDefault="00017CD7" w:rsidP="00FA2666">
      <w:pPr>
        <w:autoSpaceDE w:val="0"/>
        <w:autoSpaceDN w:val="0"/>
        <w:adjustRightInd w:val="0"/>
        <w:spacing w:after="0" w:line="276" w:lineRule="auto"/>
        <w:ind w:right="18"/>
        <w:rPr>
          <w:rFonts w:cs="Verdana"/>
          <w:b/>
          <w:szCs w:val="20"/>
          <w:lang w:val="es-ES"/>
        </w:rPr>
      </w:pPr>
    </w:p>
    <w:p w:rsidR="00FA2666" w:rsidRPr="00FA2666" w:rsidRDefault="00FA2666" w:rsidP="00FA2666">
      <w:pPr>
        <w:autoSpaceDE w:val="0"/>
        <w:autoSpaceDN w:val="0"/>
        <w:adjustRightInd w:val="0"/>
        <w:spacing w:after="0" w:line="276" w:lineRule="auto"/>
        <w:ind w:right="18"/>
        <w:rPr>
          <w:rFonts w:cs="Verdana"/>
          <w:b/>
          <w:szCs w:val="20"/>
          <w:lang w:val="es-ES"/>
        </w:rPr>
      </w:pPr>
    </w:p>
    <w:p w:rsidR="00017CD7" w:rsidRPr="00EB60E0" w:rsidRDefault="00E14A9A" w:rsidP="00FA2666">
      <w:pPr>
        <w:widowControl w:val="0"/>
        <w:numPr>
          <w:ilvl w:val="0"/>
          <w:numId w:val="5"/>
        </w:numPr>
        <w:autoSpaceDE w:val="0"/>
        <w:autoSpaceDN w:val="0"/>
        <w:adjustRightInd w:val="0"/>
        <w:spacing w:after="0" w:line="276" w:lineRule="auto"/>
        <w:ind w:left="0" w:right="18" w:firstLine="0"/>
        <w:rPr>
          <w:lang w:val="es-CR"/>
        </w:rPr>
      </w:pPr>
      <w:r w:rsidRPr="00EB60E0">
        <w:t xml:space="preserve">Desestimar el recurso de reconsideración </w:t>
      </w:r>
      <w:r w:rsidR="00134D8B">
        <w:t>presentado por el Estado</w:t>
      </w:r>
      <w:r w:rsidRPr="00EB60E0">
        <w:t xml:space="preserve">, y en consecuencia, ratificar la Resolución del Presidente de </w:t>
      </w:r>
      <w:r w:rsidR="00134D8B">
        <w:t>5 de octubre de 2017</w:t>
      </w:r>
      <w:r w:rsidR="007C639F">
        <w:t xml:space="preserve"> en cuanto a no admitir la sustitución de un declarante a título informativo</w:t>
      </w:r>
      <w:r w:rsidR="00017CD7" w:rsidRPr="00EB60E0">
        <w:rPr>
          <w:rFonts w:eastAsia="Arial" w:cs="Arial"/>
        </w:rPr>
        <w:t>.</w:t>
      </w:r>
    </w:p>
    <w:p w:rsidR="00017CD7" w:rsidRDefault="00017CD7" w:rsidP="00FA2666">
      <w:pPr>
        <w:spacing w:after="0" w:line="276" w:lineRule="auto"/>
        <w:ind w:right="18"/>
        <w:rPr>
          <w:lang w:val="es-CR"/>
        </w:rPr>
      </w:pPr>
    </w:p>
    <w:p w:rsidR="00FA2666" w:rsidRPr="00134D8B" w:rsidRDefault="00FA2666" w:rsidP="00FA2666">
      <w:pPr>
        <w:spacing w:after="0" w:line="276" w:lineRule="auto"/>
        <w:ind w:right="18"/>
        <w:rPr>
          <w:lang w:val="es-CR"/>
        </w:rPr>
      </w:pPr>
    </w:p>
    <w:p w:rsidR="00017CD7" w:rsidRDefault="00017CD7" w:rsidP="00FA2666">
      <w:pPr>
        <w:widowControl w:val="0"/>
        <w:numPr>
          <w:ilvl w:val="0"/>
          <w:numId w:val="5"/>
        </w:numPr>
        <w:autoSpaceDE w:val="0"/>
        <w:autoSpaceDN w:val="0"/>
        <w:adjustRightInd w:val="0"/>
        <w:spacing w:after="0" w:line="276" w:lineRule="auto"/>
        <w:ind w:left="0" w:right="18" w:firstLine="0"/>
      </w:pPr>
      <w:r w:rsidRPr="008B7C02">
        <w:rPr>
          <w:color w:val="000000"/>
          <w:lang w:val="es-CR"/>
        </w:rPr>
        <w:t>Disponer que la Secretaría de la Corte Interamericana notifique la presente Resolución a la Comisión Interamericana de Derechos Humanos, a l</w:t>
      </w:r>
      <w:r>
        <w:rPr>
          <w:color w:val="000000"/>
          <w:lang w:val="es-CR"/>
        </w:rPr>
        <w:t>o</w:t>
      </w:r>
      <w:r w:rsidRPr="008B7C02">
        <w:rPr>
          <w:color w:val="000000"/>
          <w:lang w:val="es-CR"/>
        </w:rPr>
        <w:t>s representantes de las presuntas víctimas y al</w:t>
      </w:r>
      <w:r w:rsidR="00503CF4">
        <w:rPr>
          <w:color w:val="000000"/>
          <w:lang w:val="es-CR"/>
        </w:rPr>
        <w:t xml:space="preserve"> Estado </w:t>
      </w:r>
      <w:r>
        <w:rPr>
          <w:color w:val="000000"/>
          <w:lang w:val="es-CR"/>
        </w:rPr>
        <w:t xml:space="preserve">de </w:t>
      </w:r>
      <w:r w:rsidR="00503CF4">
        <w:rPr>
          <w:color w:val="000000"/>
          <w:lang w:val="es-CR"/>
        </w:rPr>
        <w:t>Colombia</w:t>
      </w:r>
      <w:r>
        <w:rPr>
          <w:color w:val="000000"/>
          <w:lang w:val="es-CR"/>
        </w:rPr>
        <w:t>.</w:t>
      </w:r>
      <w:r>
        <w:t xml:space="preserve"> </w:t>
      </w:r>
    </w:p>
    <w:p w:rsidR="00017CD7" w:rsidRDefault="00017CD7" w:rsidP="00FA2666">
      <w:pPr>
        <w:spacing w:after="0" w:line="276" w:lineRule="auto"/>
      </w:pPr>
    </w:p>
    <w:p w:rsidR="002C3BE9" w:rsidRDefault="002C3BE9" w:rsidP="00FA2666">
      <w:pPr>
        <w:spacing w:after="0" w:line="276" w:lineRule="auto"/>
      </w:pPr>
    </w:p>
    <w:p w:rsidR="002C3BE9" w:rsidRDefault="002C3BE9" w:rsidP="00FA2666">
      <w:pPr>
        <w:spacing w:after="0" w:line="276" w:lineRule="auto"/>
      </w:pPr>
    </w:p>
    <w:p w:rsidR="00C0408D" w:rsidRDefault="00C0408D" w:rsidP="007403DD">
      <w:pPr>
        <w:spacing w:after="0"/>
        <w:rPr>
          <w:lang w:val="es-CR"/>
        </w:rPr>
      </w:pPr>
    </w:p>
    <w:p w:rsidR="00C0408D" w:rsidRDefault="00C0408D"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FA2666" w:rsidRDefault="00FA2666" w:rsidP="007403DD">
      <w:pPr>
        <w:spacing w:after="0"/>
        <w:rPr>
          <w:lang w:val="es-CR"/>
        </w:rPr>
      </w:pPr>
    </w:p>
    <w:p w:rsidR="00017CD7" w:rsidRPr="00FA2666" w:rsidRDefault="00FA2666" w:rsidP="007403DD">
      <w:pPr>
        <w:spacing w:after="0"/>
        <w:rPr>
          <w:szCs w:val="20"/>
          <w:lang w:val="es-CR"/>
        </w:rPr>
      </w:pPr>
      <w:r w:rsidRPr="00FA2666">
        <w:rPr>
          <w:szCs w:val="20"/>
          <w:lang w:val="es-CR"/>
        </w:rPr>
        <w:lastRenderedPageBreak/>
        <w:t>Corte IDH.</w:t>
      </w:r>
      <w:r w:rsidR="008D01C2" w:rsidRPr="00FA2666">
        <w:rPr>
          <w:szCs w:val="20"/>
          <w:lang w:val="es-CR"/>
        </w:rPr>
        <w:t xml:space="preserve"> </w:t>
      </w:r>
      <w:r w:rsidR="008D01C2" w:rsidRPr="00FA2666">
        <w:rPr>
          <w:i/>
          <w:szCs w:val="20"/>
          <w:lang w:val="es-CR"/>
        </w:rPr>
        <w:t>C</w:t>
      </w:r>
      <w:r w:rsidR="00017CD7" w:rsidRPr="00FA2666">
        <w:rPr>
          <w:i/>
          <w:szCs w:val="20"/>
          <w:lang w:val="es-CR"/>
        </w:rPr>
        <w:t xml:space="preserve">aso </w:t>
      </w:r>
      <w:r w:rsidR="00503CF4" w:rsidRPr="00FA2666">
        <w:rPr>
          <w:rFonts w:cs="Arial"/>
          <w:i/>
          <w:szCs w:val="20"/>
        </w:rPr>
        <w:t>Villamizar Durán</w:t>
      </w:r>
      <w:r w:rsidR="002127CA" w:rsidRPr="00FA2666">
        <w:rPr>
          <w:rFonts w:cs="Arial"/>
          <w:i/>
          <w:szCs w:val="20"/>
        </w:rPr>
        <w:t xml:space="preserve"> y</w:t>
      </w:r>
      <w:r w:rsidR="00503CF4" w:rsidRPr="00FA2666">
        <w:rPr>
          <w:rFonts w:cs="Arial"/>
          <w:i/>
          <w:szCs w:val="20"/>
        </w:rPr>
        <w:t xml:space="preserve"> Otros </w:t>
      </w:r>
      <w:r w:rsidR="002127CA" w:rsidRPr="00FA2666">
        <w:rPr>
          <w:rFonts w:cs="Verdana Bold"/>
          <w:bCs/>
          <w:i/>
          <w:szCs w:val="20"/>
        </w:rPr>
        <w:t xml:space="preserve">Vs. </w:t>
      </w:r>
      <w:r w:rsidR="00503CF4" w:rsidRPr="00FA2666">
        <w:rPr>
          <w:rFonts w:cs="Verdana Bold"/>
          <w:bCs/>
          <w:i/>
          <w:szCs w:val="20"/>
        </w:rPr>
        <w:t>Colombia</w:t>
      </w:r>
      <w:r w:rsidR="002127CA" w:rsidRPr="00FA2666">
        <w:rPr>
          <w:szCs w:val="20"/>
          <w:lang w:val="es-CR"/>
        </w:rPr>
        <w:t>.</w:t>
      </w:r>
      <w:r w:rsidRPr="00FA2666">
        <w:rPr>
          <w:szCs w:val="20"/>
          <w:lang w:val="es-CR"/>
        </w:rPr>
        <w:t xml:space="preserve"> Resolución de 13 de octubre de 2017.</w:t>
      </w:r>
    </w:p>
    <w:p w:rsidR="00E12E6A" w:rsidRDefault="00E12E6A" w:rsidP="00E12E6A">
      <w:pPr>
        <w:spacing w:after="0"/>
        <w:jc w:val="left"/>
        <w:rPr>
          <w:lang w:val="es-ES"/>
        </w:rPr>
      </w:pPr>
    </w:p>
    <w:p w:rsidR="00E12E6A" w:rsidRDefault="00E12E6A" w:rsidP="00503CF4">
      <w:pPr>
        <w:spacing w:after="0"/>
        <w:rPr>
          <w:lang w:val="es-ES"/>
        </w:rPr>
      </w:pPr>
    </w:p>
    <w:p w:rsidR="00503CF4" w:rsidRDefault="00503CF4" w:rsidP="00503CF4">
      <w:pPr>
        <w:spacing w:after="0"/>
        <w:rPr>
          <w:lang w:val="es-ES"/>
        </w:rPr>
      </w:pPr>
    </w:p>
    <w:p w:rsidR="00503CF4" w:rsidRDefault="00503CF4" w:rsidP="00503CF4">
      <w:pPr>
        <w:spacing w:after="0"/>
        <w:rPr>
          <w:lang w:val="es-ES"/>
        </w:rPr>
      </w:pPr>
    </w:p>
    <w:p w:rsidR="00E12E6A" w:rsidRDefault="00E12E6A" w:rsidP="00FA2666">
      <w:pPr>
        <w:spacing w:after="0"/>
        <w:rPr>
          <w:lang w:val="es-ES"/>
        </w:rPr>
      </w:pPr>
    </w:p>
    <w:p w:rsidR="00017CD7" w:rsidRPr="0072149E" w:rsidRDefault="00503CF4" w:rsidP="007403DD">
      <w:pPr>
        <w:spacing w:after="0"/>
        <w:jc w:val="center"/>
      </w:pPr>
      <w:r>
        <w:t>Roberto F. Caldas</w:t>
      </w:r>
    </w:p>
    <w:p w:rsidR="00017CD7" w:rsidRPr="00370276" w:rsidRDefault="00503CF4" w:rsidP="007403DD">
      <w:pPr>
        <w:spacing w:after="0"/>
        <w:jc w:val="center"/>
        <w:rPr>
          <w:lang w:val="es-ES"/>
        </w:rPr>
      </w:pPr>
      <w:r>
        <w:rPr>
          <w:lang w:val="es-ES"/>
        </w:rPr>
        <w:t>Presidente</w:t>
      </w:r>
    </w:p>
    <w:p w:rsidR="00017CD7" w:rsidRDefault="00017CD7" w:rsidP="007403DD">
      <w:pPr>
        <w:spacing w:after="0"/>
        <w:rPr>
          <w:lang w:val="es-ES"/>
        </w:rPr>
      </w:pPr>
    </w:p>
    <w:p w:rsidR="000B60E7" w:rsidRDefault="000B60E7" w:rsidP="007403DD">
      <w:pPr>
        <w:spacing w:after="0"/>
        <w:rPr>
          <w:lang w:val="es-ES"/>
        </w:rPr>
      </w:pPr>
    </w:p>
    <w:p w:rsidR="00C0408D" w:rsidRDefault="00C0408D" w:rsidP="007403DD">
      <w:pPr>
        <w:spacing w:after="0"/>
        <w:rPr>
          <w:lang w:val="es-ES"/>
        </w:rPr>
      </w:pPr>
    </w:p>
    <w:p w:rsidR="000B60E7" w:rsidRDefault="000B60E7" w:rsidP="007403DD">
      <w:pPr>
        <w:spacing w:after="0"/>
        <w:rPr>
          <w:lang w:val="es-ES"/>
        </w:rPr>
      </w:pPr>
    </w:p>
    <w:p w:rsidR="00017CD7" w:rsidRDefault="00017CD7" w:rsidP="007403DD">
      <w:pPr>
        <w:spacing w:after="0"/>
        <w:rPr>
          <w:lang w:val="es-ES"/>
        </w:rPr>
      </w:pPr>
    </w:p>
    <w:p w:rsidR="00017CD7" w:rsidRPr="0072149E" w:rsidRDefault="00503CF4" w:rsidP="007403DD">
      <w:pPr>
        <w:spacing w:after="0"/>
      </w:pPr>
      <w:r>
        <w:t>Eduardo Ferrer Mac-</w:t>
      </w:r>
      <w:proofErr w:type="spellStart"/>
      <w:r>
        <w:t>Gregor</w:t>
      </w:r>
      <w:proofErr w:type="spellEnd"/>
      <w:r>
        <w:t xml:space="preserve"> </w:t>
      </w:r>
      <w:proofErr w:type="spellStart"/>
      <w:r>
        <w:t>Poisot</w:t>
      </w:r>
      <w:proofErr w:type="spellEnd"/>
      <w:r w:rsidR="00017CD7" w:rsidRPr="0072149E">
        <w:tab/>
      </w:r>
      <w:r w:rsidR="00017CD7" w:rsidRPr="0072149E">
        <w:tab/>
      </w:r>
      <w:r w:rsidR="00017CD7" w:rsidRPr="0072149E">
        <w:tab/>
      </w:r>
      <w:r w:rsidR="00017CD7" w:rsidRPr="0072149E">
        <w:tab/>
      </w:r>
      <w:r w:rsidR="00017CD7" w:rsidRPr="0072149E">
        <w:tab/>
      </w:r>
      <w:r w:rsidR="00017CD7" w:rsidRPr="0072149E">
        <w:tab/>
      </w:r>
      <w:r>
        <w:t xml:space="preserve">   </w:t>
      </w:r>
      <w:r w:rsidRPr="0072149E">
        <w:t>Eduardo Vio Grossi</w:t>
      </w:r>
      <w:r w:rsidR="00017CD7" w:rsidRPr="0072149E">
        <w:tab/>
      </w:r>
    </w:p>
    <w:p w:rsidR="00017CD7" w:rsidRPr="0072149E" w:rsidRDefault="00017CD7" w:rsidP="007403DD">
      <w:pPr>
        <w:spacing w:after="0"/>
      </w:pPr>
    </w:p>
    <w:p w:rsidR="00017CD7" w:rsidRPr="0072149E" w:rsidRDefault="00017CD7" w:rsidP="007403DD">
      <w:pPr>
        <w:spacing w:after="0"/>
      </w:pPr>
    </w:p>
    <w:p w:rsidR="00017CD7" w:rsidRPr="0072149E" w:rsidRDefault="00017CD7" w:rsidP="007403DD">
      <w:pPr>
        <w:spacing w:after="0"/>
      </w:pPr>
    </w:p>
    <w:p w:rsidR="000B60E7" w:rsidRPr="0072149E" w:rsidRDefault="000B60E7" w:rsidP="007403DD">
      <w:pPr>
        <w:spacing w:after="0"/>
      </w:pPr>
    </w:p>
    <w:p w:rsidR="000B60E7" w:rsidRPr="0072149E" w:rsidRDefault="000B60E7" w:rsidP="007403DD">
      <w:pPr>
        <w:spacing w:after="0"/>
      </w:pPr>
    </w:p>
    <w:p w:rsidR="00017CD7" w:rsidRPr="0072149E" w:rsidRDefault="00017CD7" w:rsidP="007403DD">
      <w:pPr>
        <w:spacing w:after="0"/>
      </w:pPr>
      <w:r w:rsidRPr="0072149E">
        <w:t>Elizabeth Odio</w:t>
      </w:r>
      <w:r w:rsidR="0057785F">
        <w:t xml:space="preserve"> </w:t>
      </w:r>
      <w:r w:rsidRPr="0072149E">
        <w:t>Benito</w:t>
      </w:r>
      <w:r w:rsidR="000B60E7" w:rsidRPr="0072149E">
        <w:t xml:space="preserve">  </w:t>
      </w:r>
      <w:r w:rsidR="00503CF4">
        <w:t xml:space="preserve"> </w:t>
      </w:r>
      <w:r w:rsidR="000B60E7" w:rsidRPr="0072149E">
        <w:tab/>
      </w:r>
      <w:r w:rsidR="000B60E7" w:rsidRPr="0072149E">
        <w:tab/>
      </w:r>
      <w:r w:rsidR="000B60E7" w:rsidRPr="0072149E">
        <w:tab/>
      </w:r>
      <w:r w:rsidR="000B60E7" w:rsidRPr="0072149E">
        <w:tab/>
      </w:r>
      <w:r w:rsidR="000B60E7" w:rsidRPr="0072149E">
        <w:tab/>
        <w:t xml:space="preserve">      </w:t>
      </w:r>
      <w:r w:rsidR="00503CF4">
        <w:t xml:space="preserve">            </w:t>
      </w:r>
      <w:r w:rsidRPr="0072149E">
        <w:t xml:space="preserve">Eugenio </w:t>
      </w:r>
      <w:r w:rsidR="0057785F" w:rsidRPr="0072149E">
        <w:t>Raúl</w:t>
      </w:r>
      <w:r w:rsidRPr="0072149E">
        <w:t xml:space="preserve"> </w:t>
      </w:r>
      <w:proofErr w:type="spellStart"/>
      <w:r w:rsidRPr="0072149E">
        <w:t>Zaffaroni</w:t>
      </w:r>
      <w:proofErr w:type="spellEnd"/>
    </w:p>
    <w:p w:rsidR="00017CD7" w:rsidRPr="0072149E" w:rsidRDefault="00017CD7" w:rsidP="007403DD">
      <w:pPr>
        <w:spacing w:after="0"/>
      </w:pPr>
    </w:p>
    <w:p w:rsidR="00017CD7" w:rsidRPr="0072149E" w:rsidRDefault="00017CD7" w:rsidP="007403DD">
      <w:pPr>
        <w:spacing w:after="0"/>
      </w:pPr>
    </w:p>
    <w:p w:rsidR="000B60E7" w:rsidRDefault="000B60E7" w:rsidP="007403DD">
      <w:pPr>
        <w:spacing w:after="0"/>
        <w:jc w:val="center"/>
      </w:pPr>
    </w:p>
    <w:p w:rsidR="00C0408D" w:rsidRPr="0072149E" w:rsidRDefault="00C0408D" w:rsidP="007403DD">
      <w:pPr>
        <w:spacing w:after="0"/>
        <w:jc w:val="center"/>
      </w:pPr>
    </w:p>
    <w:p w:rsidR="000B60E7" w:rsidRPr="0072149E" w:rsidRDefault="000B60E7" w:rsidP="007403DD">
      <w:pPr>
        <w:spacing w:after="0"/>
        <w:jc w:val="center"/>
      </w:pPr>
    </w:p>
    <w:p w:rsidR="00017CD7" w:rsidRPr="0057785F" w:rsidRDefault="0057785F" w:rsidP="007403DD">
      <w:pPr>
        <w:spacing w:after="0"/>
        <w:jc w:val="center"/>
      </w:pPr>
      <w:r w:rsidRPr="0057785F">
        <w:t xml:space="preserve">L. </w:t>
      </w:r>
      <w:r w:rsidR="00017CD7" w:rsidRPr="0057785F">
        <w:t>Patricio Pazmiño Freire</w:t>
      </w:r>
    </w:p>
    <w:p w:rsidR="00017CD7" w:rsidRPr="0057785F" w:rsidRDefault="00017CD7" w:rsidP="007403DD">
      <w:pPr>
        <w:spacing w:after="0"/>
      </w:pPr>
    </w:p>
    <w:p w:rsidR="00017CD7" w:rsidRPr="0057785F" w:rsidRDefault="00017CD7" w:rsidP="007403DD">
      <w:pPr>
        <w:spacing w:after="0"/>
      </w:pPr>
    </w:p>
    <w:p w:rsidR="000B60E7" w:rsidRPr="0057785F" w:rsidRDefault="000B60E7" w:rsidP="007403DD">
      <w:pPr>
        <w:spacing w:after="0"/>
      </w:pPr>
    </w:p>
    <w:p w:rsidR="000B60E7" w:rsidRPr="0057785F" w:rsidRDefault="000B60E7" w:rsidP="007403DD">
      <w:pPr>
        <w:spacing w:after="0"/>
      </w:pPr>
    </w:p>
    <w:p w:rsidR="000B60E7" w:rsidRPr="0057785F" w:rsidRDefault="000B60E7" w:rsidP="007403DD">
      <w:pPr>
        <w:spacing w:after="0"/>
      </w:pPr>
    </w:p>
    <w:p w:rsidR="00017CD7" w:rsidRPr="0057785F" w:rsidRDefault="00017CD7" w:rsidP="007403DD">
      <w:pPr>
        <w:spacing w:after="0"/>
        <w:jc w:val="center"/>
      </w:pPr>
      <w:r w:rsidRPr="0057785F">
        <w:t>Pablo Saavedra Alessandri</w:t>
      </w:r>
    </w:p>
    <w:p w:rsidR="00361AEE" w:rsidRPr="0072149E" w:rsidRDefault="00017CD7" w:rsidP="007403DD">
      <w:pPr>
        <w:spacing w:after="0"/>
        <w:jc w:val="center"/>
        <w:rPr>
          <w:lang w:val="es-ES"/>
        </w:rPr>
      </w:pPr>
      <w:r w:rsidRPr="0072149E">
        <w:rPr>
          <w:lang w:val="es-ES"/>
        </w:rPr>
        <w:t>Secretario</w:t>
      </w:r>
    </w:p>
    <w:p w:rsidR="000B60E7" w:rsidRDefault="000B60E7" w:rsidP="007403DD">
      <w:pPr>
        <w:spacing w:after="0"/>
        <w:jc w:val="center"/>
        <w:rPr>
          <w:lang w:val="es-ES"/>
        </w:rPr>
      </w:pPr>
    </w:p>
    <w:p w:rsidR="00C0408D" w:rsidRDefault="00C0408D" w:rsidP="007403DD">
      <w:pPr>
        <w:spacing w:after="0"/>
        <w:jc w:val="center"/>
        <w:rPr>
          <w:lang w:val="es-ES"/>
        </w:rPr>
      </w:pPr>
    </w:p>
    <w:p w:rsidR="00C0408D" w:rsidRDefault="00C0408D" w:rsidP="007403DD">
      <w:pPr>
        <w:spacing w:after="0"/>
        <w:jc w:val="center"/>
        <w:rPr>
          <w:lang w:val="es-ES"/>
        </w:rPr>
      </w:pPr>
    </w:p>
    <w:p w:rsidR="00C0408D" w:rsidRPr="0072149E" w:rsidRDefault="00C0408D" w:rsidP="007403DD">
      <w:pPr>
        <w:spacing w:after="0"/>
        <w:jc w:val="center"/>
        <w:rPr>
          <w:lang w:val="es-ES"/>
        </w:rPr>
      </w:pPr>
    </w:p>
    <w:p w:rsidR="00017CD7" w:rsidRPr="0072149E" w:rsidRDefault="00017CD7" w:rsidP="007403DD">
      <w:pPr>
        <w:spacing w:after="0"/>
        <w:rPr>
          <w:lang w:val="es-ES"/>
        </w:rPr>
      </w:pPr>
      <w:r w:rsidRPr="0072149E">
        <w:rPr>
          <w:lang w:val="es-ES"/>
        </w:rPr>
        <w:t>Comuníquese y ejecútese,</w:t>
      </w:r>
    </w:p>
    <w:p w:rsidR="00361AEE" w:rsidRDefault="00361AEE" w:rsidP="00C0408D">
      <w:pPr>
        <w:spacing w:after="0"/>
        <w:rPr>
          <w:lang w:val="es-ES"/>
        </w:rPr>
      </w:pPr>
    </w:p>
    <w:p w:rsidR="00C0408D" w:rsidRDefault="00C0408D" w:rsidP="00C0408D">
      <w:pPr>
        <w:spacing w:after="0"/>
        <w:rPr>
          <w:lang w:val="es-ES"/>
        </w:rPr>
      </w:pPr>
    </w:p>
    <w:p w:rsidR="00C0408D" w:rsidRDefault="00C0408D" w:rsidP="00C0408D">
      <w:pPr>
        <w:spacing w:after="0"/>
        <w:rPr>
          <w:lang w:val="es-ES"/>
        </w:rPr>
      </w:pPr>
    </w:p>
    <w:p w:rsidR="00C0408D" w:rsidRPr="0072149E" w:rsidRDefault="00C0408D" w:rsidP="00C0408D">
      <w:pPr>
        <w:spacing w:after="0"/>
        <w:rPr>
          <w:lang w:val="es-ES"/>
        </w:rPr>
      </w:pPr>
    </w:p>
    <w:p w:rsidR="00361AEE" w:rsidRPr="0072149E" w:rsidRDefault="00361AEE" w:rsidP="007403DD">
      <w:pPr>
        <w:spacing w:after="0"/>
        <w:rPr>
          <w:lang w:val="es-ES"/>
        </w:rPr>
      </w:pPr>
    </w:p>
    <w:p w:rsidR="00017CD7" w:rsidRPr="000B60E7" w:rsidRDefault="00503CF4" w:rsidP="00C0408D">
      <w:pPr>
        <w:spacing w:after="0"/>
        <w:ind w:left="5760"/>
        <w:jc w:val="center"/>
        <w:rPr>
          <w:lang w:val="es-ES"/>
        </w:rPr>
      </w:pPr>
      <w:r>
        <w:rPr>
          <w:lang w:val="es-ES"/>
        </w:rPr>
        <w:t>Roberto F. Caldas</w:t>
      </w:r>
    </w:p>
    <w:p w:rsidR="00017CD7" w:rsidRPr="000B60E7" w:rsidRDefault="00503CF4" w:rsidP="00C0408D">
      <w:pPr>
        <w:spacing w:after="0"/>
        <w:ind w:left="5760"/>
        <w:jc w:val="center"/>
        <w:rPr>
          <w:lang w:val="es-ES"/>
        </w:rPr>
      </w:pPr>
      <w:r>
        <w:rPr>
          <w:lang w:val="es-ES"/>
        </w:rPr>
        <w:t>Presidente</w:t>
      </w:r>
    </w:p>
    <w:p w:rsidR="00017CD7" w:rsidRDefault="00017CD7" w:rsidP="00C0408D">
      <w:pPr>
        <w:spacing w:after="0"/>
        <w:rPr>
          <w:lang w:val="es-ES"/>
        </w:rPr>
      </w:pPr>
    </w:p>
    <w:p w:rsidR="00C0408D" w:rsidRDefault="00C0408D" w:rsidP="00C0408D">
      <w:pPr>
        <w:spacing w:after="0"/>
        <w:rPr>
          <w:lang w:val="es-ES"/>
        </w:rPr>
      </w:pPr>
    </w:p>
    <w:p w:rsidR="00C0408D" w:rsidRPr="000B60E7" w:rsidRDefault="00C0408D" w:rsidP="00C0408D">
      <w:pPr>
        <w:spacing w:after="0"/>
        <w:rPr>
          <w:lang w:val="es-ES"/>
        </w:rPr>
      </w:pPr>
    </w:p>
    <w:p w:rsidR="00361AEE" w:rsidRDefault="00361AEE" w:rsidP="007403DD">
      <w:pPr>
        <w:spacing w:after="0"/>
        <w:rPr>
          <w:lang w:val="es-ES"/>
        </w:rPr>
      </w:pPr>
    </w:p>
    <w:p w:rsidR="00361AEE" w:rsidRDefault="00361AEE" w:rsidP="007403DD">
      <w:pPr>
        <w:spacing w:after="0"/>
        <w:rPr>
          <w:lang w:val="es-ES"/>
        </w:rPr>
      </w:pPr>
    </w:p>
    <w:p w:rsidR="00017CD7" w:rsidRDefault="00017CD7" w:rsidP="007403DD">
      <w:pPr>
        <w:spacing w:after="0"/>
        <w:rPr>
          <w:lang w:val="es-ES"/>
        </w:rPr>
      </w:pPr>
      <w:r>
        <w:rPr>
          <w:lang w:val="es-ES"/>
        </w:rPr>
        <w:t>P</w:t>
      </w:r>
      <w:r w:rsidRPr="00370276">
        <w:rPr>
          <w:lang w:val="es-ES"/>
        </w:rPr>
        <w:t>ablo Saavedra Alessandri</w:t>
      </w:r>
    </w:p>
    <w:p w:rsidR="00017CD7" w:rsidRPr="00361AEE" w:rsidRDefault="00017CD7" w:rsidP="007403DD">
      <w:pPr>
        <w:spacing w:after="0"/>
      </w:pPr>
      <w:r w:rsidRPr="00370276">
        <w:rPr>
          <w:lang w:val="es-ES"/>
        </w:rPr>
        <w:tab/>
      </w:r>
      <w:r w:rsidRPr="00355747">
        <w:rPr>
          <w:lang w:val="es-CR"/>
        </w:rPr>
        <w:t>Secretario</w:t>
      </w:r>
    </w:p>
    <w:sectPr w:rsidR="00017CD7" w:rsidRPr="00361AEE" w:rsidSect="007403D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AD" w:rsidRDefault="001C2AAD" w:rsidP="001F6312">
      <w:pPr>
        <w:spacing w:after="0"/>
      </w:pPr>
      <w:r>
        <w:separator/>
      </w:r>
    </w:p>
  </w:endnote>
  <w:endnote w:type="continuationSeparator" w:id="0">
    <w:p w:rsidR="001C2AAD" w:rsidRDefault="001C2AAD" w:rsidP="001F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Bold">
    <w:altName w:val="Tahoma"/>
    <w:panose1 w:val="020B0804030504040204"/>
    <w:charset w:val="00"/>
    <w:family w:val="auto"/>
    <w:pitch w:val="variable"/>
    <w:sig w:usb0="00000001"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5459"/>
      <w:docPartObj>
        <w:docPartGallery w:val="Page Numbers (Bottom of Page)"/>
        <w:docPartUnique/>
      </w:docPartObj>
    </w:sdtPr>
    <w:sdtEndPr>
      <w:rPr>
        <w:noProof/>
      </w:rPr>
    </w:sdtEndPr>
    <w:sdtContent>
      <w:p w:rsidR="00BE5161" w:rsidRDefault="00CE64A1">
        <w:pPr>
          <w:pStyle w:val="Footer"/>
          <w:jc w:val="center"/>
        </w:pPr>
        <w:r>
          <w:fldChar w:fldCharType="begin"/>
        </w:r>
        <w:r w:rsidR="00BE5161">
          <w:instrText xml:space="preserve"> PAGE   \* MERGEFORMAT </w:instrText>
        </w:r>
        <w:r>
          <w:fldChar w:fldCharType="separate"/>
        </w:r>
        <w:r w:rsidR="00F551CA">
          <w:rPr>
            <w:noProof/>
          </w:rPr>
          <w:t>4</w:t>
        </w:r>
        <w:r>
          <w:rPr>
            <w:noProof/>
          </w:rPr>
          <w:fldChar w:fldCharType="end"/>
        </w:r>
      </w:p>
    </w:sdtContent>
  </w:sdt>
  <w:p w:rsidR="00BE5161" w:rsidRDefault="00BE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DD" w:rsidRDefault="007403DD">
    <w:pPr>
      <w:pStyle w:val="Footer"/>
      <w:jc w:val="center"/>
    </w:pPr>
  </w:p>
  <w:p w:rsidR="007403DD" w:rsidRDefault="0074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AD" w:rsidRDefault="001C2AAD" w:rsidP="001F6312">
      <w:pPr>
        <w:spacing w:after="0"/>
      </w:pPr>
      <w:r>
        <w:separator/>
      </w:r>
    </w:p>
  </w:footnote>
  <w:footnote w:type="continuationSeparator" w:id="0">
    <w:p w:rsidR="001C2AAD" w:rsidRDefault="001C2AAD" w:rsidP="001F6312">
      <w:pPr>
        <w:spacing w:after="0"/>
      </w:pPr>
      <w:r>
        <w:continuationSeparator/>
      </w:r>
    </w:p>
  </w:footnote>
  <w:footnote w:id="1">
    <w:p w:rsidR="00017CD7" w:rsidRPr="000D32C6" w:rsidRDefault="00017CD7" w:rsidP="00017CD7">
      <w:pPr>
        <w:pStyle w:val="FootnoteText"/>
        <w:rPr>
          <w:sz w:val="16"/>
          <w:szCs w:val="16"/>
          <w:lang w:val="es-ES"/>
        </w:rPr>
      </w:pPr>
      <w:r w:rsidRPr="000D32C6">
        <w:rPr>
          <w:rStyle w:val="FootnoteReference"/>
          <w:sz w:val="16"/>
          <w:szCs w:val="16"/>
          <w:lang w:val="es-ES"/>
        </w:rPr>
        <w:sym w:font="Symbol" w:char="F02A"/>
      </w:r>
      <w:r w:rsidR="00BC1A80">
        <w:rPr>
          <w:sz w:val="16"/>
          <w:szCs w:val="16"/>
          <w:lang w:val="es-ES"/>
        </w:rPr>
        <w:t xml:space="preserve"> </w:t>
      </w:r>
      <w:r w:rsidRPr="000D32C6">
        <w:rPr>
          <w:sz w:val="16"/>
          <w:szCs w:val="16"/>
          <w:lang w:val="es-ES"/>
        </w:rPr>
        <w:t xml:space="preserve">El Juez </w:t>
      </w:r>
      <w:r w:rsidR="00503CF4">
        <w:rPr>
          <w:sz w:val="16"/>
          <w:szCs w:val="16"/>
          <w:lang w:val="es-ES"/>
        </w:rPr>
        <w:t>Humberto Sierra Porto</w:t>
      </w:r>
      <w:r w:rsidRPr="000D32C6">
        <w:rPr>
          <w:sz w:val="16"/>
          <w:szCs w:val="16"/>
          <w:lang w:val="es-ES"/>
        </w:rPr>
        <w:t xml:space="preserve">, de nacionalidad </w:t>
      </w:r>
      <w:r w:rsidR="00503CF4">
        <w:rPr>
          <w:sz w:val="16"/>
          <w:szCs w:val="16"/>
          <w:lang w:val="es-ES"/>
        </w:rPr>
        <w:t>colombiana</w:t>
      </w:r>
      <w:r w:rsidRPr="000D32C6">
        <w:rPr>
          <w:sz w:val="16"/>
          <w:szCs w:val="16"/>
          <w:lang w:val="es-ES"/>
        </w:rPr>
        <w:t>, no participó en el conocimiento y deliberación de la presente Resolución, de conformidad con lo dispuesto en el artículo 1</w:t>
      </w:r>
      <w:r w:rsidR="00503CF4">
        <w:rPr>
          <w:sz w:val="16"/>
          <w:szCs w:val="16"/>
          <w:lang w:val="es-ES"/>
        </w:rPr>
        <w:t>9.1 del Reglamento de la Corte.</w:t>
      </w:r>
    </w:p>
  </w:footnote>
  <w:footnote w:id="2">
    <w:p w:rsidR="00640F2B" w:rsidRPr="009C3350" w:rsidRDefault="00640F2B" w:rsidP="00640F2B">
      <w:pPr>
        <w:pStyle w:val="FootnoteText"/>
        <w:rPr>
          <w:sz w:val="16"/>
          <w:szCs w:val="16"/>
          <w:lang w:val="es-ES"/>
        </w:rPr>
      </w:pPr>
      <w:r w:rsidRPr="009C3350">
        <w:rPr>
          <w:rStyle w:val="FootnoteReference"/>
          <w:sz w:val="16"/>
          <w:szCs w:val="16"/>
        </w:rPr>
        <w:footnoteRef/>
      </w:r>
      <w:r w:rsidRPr="009C3350">
        <w:rPr>
          <w:sz w:val="16"/>
          <w:szCs w:val="16"/>
        </w:rPr>
        <w:t xml:space="preserve"> El objeto se refiere a “las medidas adoptadas por el Gobierno Nacional para la prevención de homicidios en persona protegida cometidos por miembros de la Fuerza Pública y, en general, sobre las acciones desarrolladas por el Estado colombiano para erradicar las ejecuciones extrajudiciales denominadas como `falsos positivos´”.</w:t>
      </w:r>
      <w:r w:rsidR="007B14E8">
        <w:rPr>
          <w:sz w:val="16"/>
          <w:szCs w:val="16"/>
        </w:rPr>
        <w:t xml:space="preserve"> </w:t>
      </w:r>
      <w:r w:rsidR="007B14E8">
        <w:rPr>
          <w:i/>
          <w:sz w:val="16"/>
          <w:szCs w:val="16"/>
        </w:rPr>
        <w:t xml:space="preserve">Caso Villamizar Durán y otros Vs. Colombia. </w:t>
      </w:r>
      <w:r w:rsidR="007B14E8">
        <w:rPr>
          <w:sz w:val="16"/>
          <w:szCs w:val="16"/>
          <w:lang w:val="es-ES"/>
        </w:rPr>
        <w:t xml:space="preserve">Resolución del Presidente de la Corte Interamericana de Derechos Humanos de 12 de septiembre de 2017, </w:t>
      </w:r>
      <w:r w:rsidR="005E7C52">
        <w:rPr>
          <w:sz w:val="16"/>
          <w:szCs w:val="16"/>
          <w:lang w:val="es-ES"/>
        </w:rPr>
        <w:t>Punto Resolutivo 4.D</w:t>
      </w:r>
      <w:r w:rsidR="007B14E8">
        <w:rPr>
          <w:sz w:val="16"/>
          <w:szCs w:val="16"/>
          <w:lang w:val="es-ES"/>
        </w:rPr>
        <w:t>.</w:t>
      </w:r>
    </w:p>
  </w:footnote>
  <w:footnote w:id="3">
    <w:p w:rsidR="007B14E8" w:rsidRPr="007B14E8" w:rsidRDefault="007B14E8">
      <w:pPr>
        <w:pStyle w:val="FootnoteText"/>
        <w:rPr>
          <w:lang w:val="es-ES"/>
        </w:rPr>
      </w:pPr>
      <w:r>
        <w:rPr>
          <w:rStyle w:val="FootnoteReference"/>
        </w:rPr>
        <w:footnoteRef/>
      </w:r>
      <w:r>
        <w:t xml:space="preserve"> </w:t>
      </w:r>
      <w:r w:rsidR="007723CB">
        <w:rPr>
          <w:i/>
          <w:sz w:val="16"/>
          <w:szCs w:val="16"/>
        </w:rPr>
        <w:t xml:space="preserve">Caso Villamizar Durán y otros Vs. Colombia. </w:t>
      </w:r>
      <w:r w:rsidR="007723CB">
        <w:rPr>
          <w:sz w:val="16"/>
          <w:szCs w:val="16"/>
          <w:lang w:val="es-ES"/>
        </w:rPr>
        <w:t>Resolución del Presidente de la Corte Interamericana de Derechos Humanos de 5 de octubre de 2017, Considerando 6.</w:t>
      </w:r>
    </w:p>
  </w:footnote>
  <w:footnote w:id="4">
    <w:p w:rsidR="006C02C2" w:rsidRDefault="006C02C2" w:rsidP="006C02C2">
      <w:pPr>
        <w:pStyle w:val="FootnoteText"/>
        <w:rPr>
          <w:sz w:val="16"/>
          <w:szCs w:val="16"/>
        </w:rPr>
      </w:pPr>
      <w:r>
        <w:rPr>
          <w:rStyle w:val="FootnoteReference"/>
          <w:sz w:val="16"/>
          <w:szCs w:val="16"/>
        </w:rPr>
        <w:footnoteRef/>
      </w:r>
      <w:r>
        <w:rPr>
          <w:sz w:val="16"/>
          <w:szCs w:val="16"/>
        </w:rPr>
        <w:t xml:space="preserve"> El artículo 49 del Reglamento de la Corte establece: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FE" w:rsidRDefault="00296EFE">
    <w:pPr>
      <w:pStyle w:val="Header"/>
      <w:jc w:val="center"/>
    </w:pPr>
  </w:p>
  <w:p w:rsidR="00296EFE" w:rsidRDefault="00296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728"/>
    <w:multiLevelType w:val="hybridMultilevel"/>
    <w:tmpl w:val="0E46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241751B"/>
    <w:multiLevelType w:val="hybridMultilevel"/>
    <w:tmpl w:val="9556AB82"/>
    <w:lvl w:ilvl="0" w:tplc="3A1CAF48">
      <w:start w:val="1"/>
      <w:numFmt w:val="decimal"/>
      <w:lvlText w:val="%1."/>
      <w:lvlJc w:val="left"/>
      <w:pPr>
        <w:ind w:left="720" w:hanging="360"/>
      </w:pPr>
      <w:rPr>
        <w:rFonts w:ascii="Verdana" w:hAnsi="Verdana" w:cs="Verdan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7"/>
    <w:rsid w:val="00017CD7"/>
    <w:rsid w:val="00072B3D"/>
    <w:rsid w:val="00080AA3"/>
    <w:rsid w:val="00096837"/>
    <w:rsid w:val="00096B97"/>
    <w:rsid w:val="000B60E7"/>
    <w:rsid w:val="000D32C6"/>
    <w:rsid w:val="000E7C20"/>
    <w:rsid w:val="00102E1F"/>
    <w:rsid w:val="00103AC4"/>
    <w:rsid w:val="00113CF3"/>
    <w:rsid w:val="00125B7E"/>
    <w:rsid w:val="00134730"/>
    <w:rsid w:val="00134D8B"/>
    <w:rsid w:val="00142903"/>
    <w:rsid w:val="00155C63"/>
    <w:rsid w:val="00155C77"/>
    <w:rsid w:val="00163898"/>
    <w:rsid w:val="001663FC"/>
    <w:rsid w:val="001711AE"/>
    <w:rsid w:val="001777B7"/>
    <w:rsid w:val="00180DEE"/>
    <w:rsid w:val="0018203B"/>
    <w:rsid w:val="001C2AAD"/>
    <w:rsid w:val="001D4D49"/>
    <w:rsid w:val="001F6312"/>
    <w:rsid w:val="002127CA"/>
    <w:rsid w:val="0022026E"/>
    <w:rsid w:val="0022047B"/>
    <w:rsid w:val="002260FB"/>
    <w:rsid w:val="00230D4C"/>
    <w:rsid w:val="00252871"/>
    <w:rsid w:val="00296CE5"/>
    <w:rsid w:val="00296EFE"/>
    <w:rsid w:val="002A1C73"/>
    <w:rsid w:val="002A53B2"/>
    <w:rsid w:val="002C3BE9"/>
    <w:rsid w:val="00300410"/>
    <w:rsid w:val="00326186"/>
    <w:rsid w:val="00326C06"/>
    <w:rsid w:val="00333F33"/>
    <w:rsid w:val="0034357E"/>
    <w:rsid w:val="00360909"/>
    <w:rsid w:val="00361AEE"/>
    <w:rsid w:val="00392DAA"/>
    <w:rsid w:val="003D3798"/>
    <w:rsid w:val="003E5534"/>
    <w:rsid w:val="003F6206"/>
    <w:rsid w:val="004564F8"/>
    <w:rsid w:val="00482BB9"/>
    <w:rsid w:val="00496337"/>
    <w:rsid w:val="004C485A"/>
    <w:rsid w:val="00503CF4"/>
    <w:rsid w:val="00504397"/>
    <w:rsid w:val="005162CA"/>
    <w:rsid w:val="005661FE"/>
    <w:rsid w:val="00570E89"/>
    <w:rsid w:val="0057785F"/>
    <w:rsid w:val="005C4F60"/>
    <w:rsid w:val="005E7C52"/>
    <w:rsid w:val="005F4381"/>
    <w:rsid w:val="00614792"/>
    <w:rsid w:val="00615A8D"/>
    <w:rsid w:val="00640279"/>
    <w:rsid w:val="00640F2B"/>
    <w:rsid w:val="006450E8"/>
    <w:rsid w:val="00672D7A"/>
    <w:rsid w:val="00675EC8"/>
    <w:rsid w:val="006855FA"/>
    <w:rsid w:val="00690057"/>
    <w:rsid w:val="00693822"/>
    <w:rsid w:val="00696224"/>
    <w:rsid w:val="006A7718"/>
    <w:rsid w:val="006C02C2"/>
    <w:rsid w:val="006D647B"/>
    <w:rsid w:val="006E3E92"/>
    <w:rsid w:val="0072149E"/>
    <w:rsid w:val="007403DD"/>
    <w:rsid w:val="00741A91"/>
    <w:rsid w:val="00747353"/>
    <w:rsid w:val="007723CB"/>
    <w:rsid w:val="00775E98"/>
    <w:rsid w:val="007B14E8"/>
    <w:rsid w:val="007C34AD"/>
    <w:rsid w:val="007C639F"/>
    <w:rsid w:val="007D2FC8"/>
    <w:rsid w:val="007E4790"/>
    <w:rsid w:val="008039C7"/>
    <w:rsid w:val="00830180"/>
    <w:rsid w:val="00830324"/>
    <w:rsid w:val="008432B1"/>
    <w:rsid w:val="00892990"/>
    <w:rsid w:val="008A2591"/>
    <w:rsid w:val="008C042F"/>
    <w:rsid w:val="008D01C2"/>
    <w:rsid w:val="008E04EC"/>
    <w:rsid w:val="00906308"/>
    <w:rsid w:val="0090667A"/>
    <w:rsid w:val="00920D4C"/>
    <w:rsid w:val="0093539C"/>
    <w:rsid w:val="009D1DF5"/>
    <w:rsid w:val="009D1F63"/>
    <w:rsid w:val="00A01E0A"/>
    <w:rsid w:val="00A336C6"/>
    <w:rsid w:val="00A84760"/>
    <w:rsid w:val="00AB729A"/>
    <w:rsid w:val="00AF36B7"/>
    <w:rsid w:val="00B03051"/>
    <w:rsid w:val="00B33086"/>
    <w:rsid w:val="00B43802"/>
    <w:rsid w:val="00B65188"/>
    <w:rsid w:val="00B74F99"/>
    <w:rsid w:val="00B93936"/>
    <w:rsid w:val="00BA2B21"/>
    <w:rsid w:val="00BA7CC6"/>
    <w:rsid w:val="00BB71DB"/>
    <w:rsid w:val="00BC1A80"/>
    <w:rsid w:val="00BE5161"/>
    <w:rsid w:val="00BF761A"/>
    <w:rsid w:val="00C0408D"/>
    <w:rsid w:val="00C40234"/>
    <w:rsid w:val="00C42C70"/>
    <w:rsid w:val="00CE64A1"/>
    <w:rsid w:val="00CF74B5"/>
    <w:rsid w:val="00D25499"/>
    <w:rsid w:val="00D304E3"/>
    <w:rsid w:val="00D3370F"/>
    <w:rsid w:val="00D40513"/>
    <w:rsid w:val="00D57FD3"/>
    <w:rsid w:val="00D92738"/>
    <w:rsid w:val="00D94877"/>
    <w:rsid w:val="00D956F2"/>
    <w:rsid w:val="00DA03B1"/>
    <w:rsid w:val="00DB6221"/>
    <w:rsid w:val="00DE1D08"/>
    <w:rsid w:val="00E0761D"/>
    <w:rsid w:val="00E12E6A"/>
    <w:rsid w:val="00E14A9A"/>
    <w:rsid w:val="00E17BE7"/>
    <w:rsid w:val="00E24F24"/>
    <w:rsid w:val="00E66728"/>
    <w:rsid w:val="00E84793"/>
    <w:rsid w:val="00E96BEF"/>
    <w:rsid w:val="00EB60E0"/>
    <w:rsid w:val="00EC122B"/>
    <w:rsid w:val="00EC6F70"/>
    <w:rsid w:val="00F1578E"/>
    <w:rsid w:val="00F262C0"/>
    <w:rsid w:val="00F2636D"/>
    <w:rsid w:val="00F333E5"/>
    <w:rsid w:val="00F551CA"/>
    <w:rsid w:val="00F61A3E"/>
    <w:rsid w:val="00F70B30"/>
    <w:rsid w:val="00F90477"/>
    <w:rsid w:val="00FA2666"/>
    <w:rsid w:val="00FA4E30"/>
    <w:rsid w:val="00FC1CF0"/>
    <w:rsid w:val="00FF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EB60E0"/>
    <w:rPr>
      <w:sz w:val="16"/>
      <w:szCs w:val="16"/>
    </w:rPr>
  </w:style>
  <w:style w:type="paragraph" w:styleId="CommentText">
    <w:name w:val="annotation text"/>
    <w:basedOn w:val="Normal"/>
    <w:link w:val="CommentTextChar"/>
    <w:uiPriority w:val="99"/>
    <w:semiHidden/>
    <w:unhideWhenUsed/>
    <w:rsid w:val="00EB60E0"/>
    <w:rPr>
      <w:szCs w:val="20"/>
    </w:rPr>
  </w:style>
  <w:style w:type="character" w:customStyle="1" w:styleId="CommentTextChar">
    <w:name w:val="Comment Text Char"/>
    <w:basedOn w:val="DefaultParagraphFont"/>
    <w:link w:val="CommentText"/>
    <w:uiPriority w:val="99"/>
    <w:semiHidden/>
    <w:rsid w:val="00EB60E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60E0"/>
    <w:rPr>
      <w:b/>
      <w:bCs/>
    </w:rPr>
  </w:style>
  <w:style w:type="character" w:customStyle="1" w:styleId="CommentSubjectChar">
    <w:name w:val="Comment Subject Char"/>
    <w:basedOn w:val="CommentTextChar"/>
    <w:link w:val="CommentSubject"/>
    <w:uiPriority w:val="99"/>
    <w:semiHidden/>
    <w:rsid w:val="00EB60E0"/>
    <w:rPr>
      <w:rFonts w:ascii="Verdana" w:eastAsia="Calibri" w:hAnsi="Verdana" w:cs="Times"/>
      <w:b/>
      <w:bCs/>
      <w:sz w:val="20"/>
      <w:szCs w:val="20"/>
      <w:lang w:val="es-ES_tradnl" w:eastAsia="es-ES"/>
    </w:rPr>
  </w:style>
  <w:style w:type="character" w:styleId="Strong">
    <w:name w:val="Strong"/>
    <w:basedOn w:val="DefaultParagraphFont"/>
    <w:uiPriority w:val="22"/>
    <w:qFormat/>
    <w:rsid w:val="006C0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EB60E0"/>
    <w:rPr>
      <w:sz w:val="16"/>
      <w:szCs w:val="16"/>
    </w:rPr>
  </w:style>
  <w:style w:type="paragraph" w:styleId="CommentText">
    <w:name w:val="annotation text"/>
    <w:basedOn w:val="Normal"/>
    <w:link w:val="CommentTextChar"/>
    <w:uiPriority w:val="99"/>
    <w:semiHidden/>
    <w:unhideWhenUsed/>
    <w:rsid w:val="00EB60E0"/>
    <w:rPr>
      <w:szCs w:val="20"/>
    </w:rPr>
  </w:style>
  <w:style w:type="character" w:customStyle="1" w:styleId="CommentTextChar">
    <w:name w:val="Comment Text Char"/>
    <w:basedOn w:val="DefaultParagraphFont"/>
    <w:link w:val="CommentText"/>
    <w:uiPriority w:val="99"/>
    <w:semiHidden/>
    <w:rsid w:val="00EB60E0"/>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60E0"/>
    <w:rPr>
      <w:b/>
      <w:bCs/>
    </w:rPr>
  </w:style>
  <w:style w:type="character" w:customStyle="1" w:styleId="CommentSubjectChar">
    <w:name w:val="Comment Subject Char"/>
    <w:basedOn w:val="CommentTextChar"/>
    <w:link w:val="CommentSubject"/>
    <w:uiPriority w:val="99"/>
    <w:semiHidden/>
    <w:rsid w:val="00EB60E0"/>
    <w:rPr>
      <w:rFonts w:ascii="Verdana" w:eastAsia="Calibri" w:hAnsi="Verdana" w:cs="Times"/>
      <w:b/>
      <w:bCs/>
      <w:sz w:val="20"/>
      <w:szCs w:val="20"/>
      <w:lang w:val="es-ES_tradnl" w:eastAsia="es-ES"/>
    </w:rPr>
  </w:style>
  <w:style w:type="character" w:styleId="Strong">
    <w:name w:val="Strong"/>
    <w:basedOn w:val="DefaultParagraphFont"/>
    <w:uiPriority w:val="22"/>
    <w:qFormat/>
    <w:rsid w:val="006C0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5C25-2121-45C4-86D7-525E9CE8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5382</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Francella Hernandez</cp:lastModifiedBy>
  <cp:revision>4</cp:revision>
  <cp:lastPrinted>2017-10-24T21:39:00Z</cp:lastPrinted>
  <dcterms:created xsi:type="dcterms:W3CDTF">2017-10-24T21:39:00Z</dcterms:created>
  <dcterms:modified xsi:type="dcterms:W3CDTF">2017-10-24T21:39:00Z</dcterms:modified>
</cp:coreProperties>
</file>