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91" w:rsidRDefault="00CD0425" w:rsidP="005C0291">
      <w:pPr>
        <w:tabs>
          <w:tab w:val="left" w:pos="567"/>
        </w:tabs>
        <w:spacing w:after="0" w:line="240" w:lineRule="auto"/>
        <w:rPr>
          <w:szCs w:val="20"/>
          <w:lang w:val="es-ES"/>
        </w:rPr>
      </w:pPr>
      <w:r>
        <w:rPr>
          <w:szCs w:val="20"/>
          <w:lang w:val="es-ES"/>
        </w:rPr>
        <w:t xml:space="preserve">   </w:t>
      </w:r>
      <w:bookmarkStart w:id="0" w:name="_GoBack"/>
      <w:bookmarkEnd w:id="0"/>
    </w:p>
    <w:p w:rsidR="00A80ECB" w:rsidRDefault="00A80ECB" w:rsidP="005C0291">
      <w:pPr>
        <w:tabs>
          <w:tab w:val="left" w:pos="567"/>
        </w:tabs>
        <w:spacing w:after="0" w:line="240" w:lineRule="auto"/>
        <w:rPr>
          <w:szCs w:val="20"/>
          <w:lang w:val="es-ES"/>
        </w:rPr>
      </w:pPr>
    </w:p>
    <w:p w:rsidR="00A80ECB" w:rsidRDefault="00A80ECB" w:rsidP="005C0291">
      <w:pPr>
        <w:tabs>
          <w:tab w:val="left" w:pos="567"/>
        </w:tabs>
        <w:spacing w:after="0" w:line="240" w:lineRule="auto"/>
        <w:rPr>
          <w:szCs w:val="20"/>
          <w:lang w:val="es-ES"/>
        </w:rPr>
      </w:pPr>
    </w:p>
    <w:p w:rsidR="00A80ECB" w:rsidRPr="00E42617" w:rsidRDefault="00A80ECB" w:rsidP="005C0291">
      <w:pPr>
        <w:tabs>
          <w:tab w:val="left" w:pos="567"/>
        </w:tabs>
        <w:spacing w:after="0" w:line="240" w:lineRule="auto"/>
        <w:rPr>
          <w:szCs w:val="20"/>
          <w:lang w:val="es-ES"/>
        </w:rPr>
      </w:pPr>
    </w:p>
    <w:p w:rsidR="00FF3CEB" w:rsidRPr="00E42617" w:rsidRDefault="00FF3CEB" w:rsidP="005C0291">
      <w:pPr>
        <w:tabs>
          <w:tab w:val="left" w:pos="567"/>
        </w:tabs>
        <w:spacing w:after="0" w:line="240" w:lineRule="auto"/>
        <w:rPr>
          <w:szCs w:val="20"/>
          <w:lang w:val="es-ES"/>
        </w:rPr>
      </w:pPr>
    </w:p>
    <w:p w:rsidR="00EC1149" w:rsidRPr="00E42617" w:rsidRDefault="00EC1149" w:rsidP="00DD7516">
      <w:pPr>
        <w:tabs>
          <w:tab w:val="left" w:pos="567"/>
        </w:tabs>
        <w:spacing w:after="0" w:line="240" w:lineRule="auto"/>
        <w:jc w:val="center"/>
        <w:rPr>
          <w:b/>
          <w:szCs w:val="20"/>
          <w:lang w:val="es-ES"/>
        </w:rPr>
      </w:pPr>
      <w:r w:rsidRPr="00E42617">
        <w:rPr>
          <w:b/>
          <w:szCs w:val="20"/>
          <w:lang w:val="es-ES"/>
        </w:rPr>
        <w:t>RESOLUCIÓN DEL PRESIDENTE DE LA</w:t>
      </w:r>
    </w:p>
    <w:p w:rsidR="00DD7516" w:rsidRPr="00E42617" w:rsidRDefault="00DD7516" w:rsidP="00DD7516">
      <w:pPr>
        <w:tabs>
          <w:tab w:val="left" w:pos="567"/>
        </w:tabs>
        <w:spacing w:after="0" w:line="240" w:lineRule="auto"/>
        <w:jc w:val="center"/>
        <w:rPr>
          <w:b/>
          <w:szCs w:val="20"/>
          <w:lang w:val="es-ES"/>
        </w:rPr>
      </w:pPr>
    </w:p>
    <w:p w:rsidR="00EC1149" w:rsidRPr="00E42617" w:rsidRDefault="00EC1149" w:rsidP="00DD7516">
      <w:pPr>
        <w:tabs>
          <w:tab w:val="left" w:pos="567"/>
        </w:tabs>
        <w:spacing w:after="0" w:line="240" w:lineRule="auto"/>
        <w:jc w:val="center"/>
        <w:rPr>
          <w:b/>
          <w:szCs w:val="20"/>
          <w:lang w:val="es-ES"/>
        </w:rPr>
      </w:pPr>
      <w:r w:rsidRPr="00E42617">
        <w:rPr>
          <w:b/>
          <w:szCs w:val="20"/>
          <w:lang w:val="es-ES"/>
        </w:rPr>
        <w:t>CORTE INTERAMERICANA DE DERECHOS HUMANOS</w:t>
      </w:r>
    </w:p>
    <w:p w:rsidR="00EC1149" w:rsidRPr="00E42617" w:rsidRDefault="00EC1149" w:rsidP="00DD7516">
      <w:pPr>
        <w:tabs>
          <w:tab w:val="left" w:pos="567"/>
        </w:tabs>
        <w:spacing w:after="0" w:line="240" w:lineRule="auto"/>
        <w:jc w:val="center"/>
        <w:rPr>
          <w:b/>
          <w:szCs w:val="20"/>
          <w:lang w:val="es-ES"/>
        </w:rPr>
      </w:pPr>
    </w:p>
    <w:p w:rsidR="00EC1149" w:rsidRPr="00E42617" w:rsidRDefault="00CB387A" w:rsidP="00DD7516">
      <w:pPr>
        <w:tabs>
          <w:tab w:val="left" w:pos="567"/>
        </w:tabs>
        <w:spacing w:after="0" w:line="240" w:lineRule="auto"/>
        <w:jc w:val="center"/>
        <w:rPr>
          <w:b/>
          <w:szCs w:val="20"/>
          <w:lang w:val="es-ES"/>
        </w:rPr>
      </w:pPr>
      <w:r>
        <w:rPr>
          <w:b/>
          <w:szCs w:val="20"/>
          <w:lang w:val="es-ES"/>
        </w:rPr>
        <w:t>DE 21</w:t>
      </w:r>
      <w:r w:rsidR="000F740F" w:rsidRPr="00E42617">
        <w:rPr>
          <w:b/>
          <w:szCs w:val="20"/>
          <w:lang w:val="es-ES"/>
        </w:rPr>
        <w:t xml:space="preserve"> DE SEPTIEMBRE</w:t>
      </w:r>
      <w:r w:rsidR="00EC1149" w:rsidRPr="00E42617">
        <w:rPr>
          <w:b/>
          <w:szCs w:val="20"/>
          <w:lang w:val="es-ES"/>
        </w:rPr>
        <w:t xml:space="preserve"> DE 2017</w:t>
      </w:r>
    </w:p>
    <w:p w:rsidR="00EC1149" w:rsidRPr="00E42617" w:rsidRDefault="00EC1149" w:rsidP="00DD7516">
      <w:pPr>
        <w:tabs>
          <w:tab w:val="left" w:pos="567"/>
        </w:tabs>
        <w:spacing w:after="0" w:line="240" w:lineRule="auto"/>
        <w:jc w:val="center"/>
        <w:rPr>
          <w:b/>
          <w:szCs w:val="20"/>
          <w:lang w:val="es-ES"/>
        </w:rPr>
      </w:pPr>
    </w:p>
    <w:p w:rsidR="00EC1149" w:rsidRPr="00E42617" w:rsidRDefault="00EC1149" w:rsidP="00DD7516">
      <w:pPr>
        <w:tabs>
          <w:tab w:val="left" w:pos="567"/>
        </w:tabs>
        <w:spacing w:after="0" w:line="240" w:lineRule="auto"/>
        <w:jc w:val="center"/>
        <w:rPr>
          <w:b/>
          <w:szCs w:val="20"/>
          <w:lang w:val="es-ES"/>
        </w:rPr>
      </w:pPr>
      <w:r w:rsidRPr="00E42617">
        <w:rPr>
          <w:b/>
          <w:szCs w:val="20"/>
          <w:lang w:val="es-ES"/>
        </w:rPr>
        <w:t>CASO V.R.P</w:t>
      </w:r>
      <w:r w:rsidR="00360D8F" w:rsidRPr="00E42617">
        <w:rPr>
          <w:b/>
          <w:szCs w:val="20"/>
          <w:lang w:val="es-ES"/>
        </w:rPr>
        <w:t>.</w:t>
      </w:r>
      <w:r w:rsidRPr="00E42617">
        <w:rPr>
          <w:b/>
          <w:szCs w:val="20"/>
          <w:lang w:val="es-ES"/>
        </w:rPr>
        <w:t xml:space="preserve"> Y V.P</w:t>
      </w:r>
      <w:r w:rsidR="00C91E36" w:rsidRPr="00E42617">
        <w:rPr>
          <w:b/>
          <w:szCs w:val="20"/>
          <w:lang w:val="es-ES"/>
        </w:rPr>
        <w:t>.C</w:t>
      </w:r>
      <w:r w:rsidR="00360D8F" w:rsidRPr="00E42617">
        <w:rPr>
          <w:b/>
          <w:szCs w:val="20"/>
          <w:lang w:val="es-ES"/>
        </w:rPr>
        <w:t>.</w:t>
      </w:r>
      <w:r w:rsidR="00DD7516" w:rsidRPr="00E42617">
        <w:rPr>
          <w:rStyle w:val="FootnoteReference"/>
          <w:b/>
          <w:sz w:val="20"/>
          <w:szCs w:val="20"/>
          <w:lang w:val="es-ES"/>
        </w:rPr>
        <w:footnoteReference w:customMarkFollows="1" w:id="1"/>
        <w:t>*</w:t>
      </w:r>
      <w:r w:rsidR="00DD7516" w:rsidRPr="00E42617">
        <w:rPr>
          <w:b/>
          <w:szCs w:val="20"/>
          <w:lang w:val="es-ES"/>
        </w:rPr>
        <w:t xml:space="preserve"> </w:t>
      </w:r>
      <w:r w:rsidRPr="00E42617">
        <w:rPr>
          <w:b/>
          <w:szCs w:val="20"/>
          <w:lang w:val="es-ES"/>
        </w:rPr>
        <w:t>VS. NICARAGUA</w:t>
      </w:r>
    </w:p>
    <w:p w:rsidR="00DD7516" w:rsidRPr="00E42617" w:rsidRDefault="00DD7516" w:rsidP="00DD7516">
      <w:pPr>
        <w:tabs>
          <w:tab w:val="left" w:pos="567"/>
        </w:tabs>
        <w:spacing w:after="0" w:line="240" w:lineRule="auto"/>
        <w:jc w:val="center"/>
        <w:rPr>
          <w:b/>
          <w:szCs w:val="20"/>
          <w:lang w:val="es-ES"/>
        </w:rPr>
      </w:pPr>
      <w:r w:rsidRPr="00E42617">
        <w:rPr>
          <w:b/>
          <w:szCs w:val="20"/>
          <w:lang w:val="es-ES"/>
        </w:rPr>
        <w:t>CONVOCATORIA A AUDIENCIA</w:t>
      </w:r>
    </w:p>
    <w:p w:rsidR="00EC1149" w:rsidRPr="00E42617" w:rsidRDefault="00EC1149" w:rsidP="00EC1149">
      <w:pPr>
        <w:tabs>
          <w:tab w:val="left" w:pos="567"/>
        </w:tabs>
        <w:spacing w:after="0" w:line="240" w:lineRule="auto"/>
        <w:rPr>
          <w:szCs w:val="20"/>
          <w:lang w:val="es-ES"/>
        </w:rPr>
      </w:pPr>
    </w:p>
    <w:p w:rsidR="00EC1149" w:rsidRPr="00E42617" w:rsidRDefault="00EC1149" w:rsidP="00EC1149">
      <w:pPr>
        <w:tabs>
          <w:tab w:val="left" w:pos="567"/>
        </w:tabs>
        <w:spacing w:after="0" w:line="240" w:lineRule="auto"/>
        <w:rPr>
          <w:b/>
          <w:szCs w:val="20"/>
          <w:lang w:val="es-ES"/>
        </w:rPr>
      </w:pPr>
      <w:r w:rsidRPr="00E42617">
        <w:rPr>
          <w:b/>
          <w:szCs w:val="20"/>
          <w:lang w:val="es-ES"/>
        </w:rPr>
        <w:t>VISTO:</w:t>
      </w:r>
    </w:p>
    <w:p w:rsidR="00EC1149" w:rsidRPr="00E42617" w:rsidRDefault="00EC1149" w:rsidP="00EC1149">
      <w:pPr>
        <w:tabs>
          <w:tab w:val="left" w:pos="567"/>
        </w:tabs>
        <w:spacing w:after="0" w:line="240" w:lineRule="auto"/>
        <w:rPr>
          <w:b/>
          <w:szCs w:val="20"/>
          <w:lang w:val="es-ES"/>
        </w:rPr>
      </w:pPr>
    </w:p>
    <w:p w:rsidR="00EC1149" w:rsidRPr="00E42617" w:rsidRDefault="00EC1149" w:rsidP="00EC1149">
      <w:pPr>
        <w:pStyle w:val="ListParagraph"/>
        <w:numPr>
          <w:ilvl w:val="0"/>
          <w:numId w:val="27"/>
        </w:numPr>
        <w:tabs>
          <w:tab w:val="left" w:pos="567"/>
        </w:tabs>
        <w:ind w:left="0" w:firstLine="0"/>
        <w:rPr>
          <w:lang w:val="es-ES"/>
        </w:rPr>
      </w:pPr>
      <w:r w:rsidRPr="00E42617">
        <w:rPr>
          <w:lang w:val="es-ES"/>
        </w:rPr>
        <w:t xml:space="preserve">El escrito de sometimiento del caso y el Informe de Fondo </w:t>
      </w:r>
      <w:r w:rsidR="00022165">
        <w:rPr>
          <w:lang w:val="es-ES"/>
        </w:rPr>
        <w:t xml:space="preserve">No. 4/16 </w:t>
      </w:r>
      <w:r w:rsidRPr="00E42617">
        <w:rPr>
          <w:lang w:val="es-ES"/>
        </w:rPr>
        <w:t>de la Comisión Interamericana de Derechos Humanos (en adelante “la Comisión Interamericana” o “la Comisión”); el escrito de solicitudes, argumentos y pruebas (en adelante, el “escrito de solicitudes y argumentos”) de las representantes</w:t>
      </w:r>
      <w:r w:rsidRPr="00E42617">
        <w:rPr>
          <w:rStyle w:val="FootnoteReference"/>
          <w:sz w:val="20"/>
          <w:szCs w:val="20"/>
          <w:lang w:val="es-ES"/>
        </w:rPr>
        <w:footnoteReference w:id="2"/>
      </w:r>
      <w:r w:rsidRPr="00E42617">
        <w:rPr>
          <w:lang w:val="es-ES"/>
        </w:rPr>
        <w:t>; y el escrito de contestación al sometimiento del caso y al escrito de solicitudes y argumentos (en adelante “escrito de contestación”) de la República de Nicaragua (en adelante “Nicaragua” o “el Estado”).</w:t>
      </w:r>
    </w:p>
    <w:p w:rsidR="00EC1149" w:rsidRPr="00E42617" w:rsidRDefault="00EC1149" w:rsidP="00EC1149">
      <w:pPr>
        <w:pStyle w:val="ListParagraph"/>
        <w:numPr>
          <w:ilvl w:val="0"/>
          <w:numId w:val="0"/>
        </w:numPr>
        <w:tabs>
          <w:tab w:val="left" w:pos="567"/>
        </w:tabs>
        <w:rPr>
          <w:lang w:val="es-ES"/>
        </w:rPr>
      </w:pPr>
    </w:p>
    <w:p w:rsidR="00EC1149" w:rsidRPr="00E42617" w:rsidRDefault="00EC1149" w:rsidP="00EC1149">
      <w:pPr>
        <w:pStyle w:val="ListParagraph"/>
        <w:numPr>
          <w:ilvl w:val="0"/>
          <w:numId w:val="27"/>
        </w:numPr>
        <w:tabs>
          <w:tab w:val="left" w:pos="567"/>
        </w:tabs>
        <w:ind w:left="0" w:firstLine="0"/>
        <w:rPr>
          <w:lang w:val="es-ES"/>
        </w:rPr>
      </w:pPr>
      <w:r w:rsidRPr="00E42617">
        <w:rPr>
          <w:lang w:val="es-ES"/>
        </w:rPr>
        <w:t xml:space="preserve">Las listas definitivas de declarantes presentadas por las representantes y la Comisión. El Estado </w:t>
      </w:r>
      <w:r w:rsidRPr="00E42617">
        <w:rPr>
          <w:rFonts w:eastAsia="Times" w:cs="Times New Roman"/>
          <w:lang w:val="es-ES"/>
        </w:rPr>
        <w:t>no ofreció declarantes ni peritos a tenor de lo previsto en el artículo 41.1.c del Reglamento del Tribunal.</w:t>
      </w:r>
      <w:r w:rsidRPr="00E42617">
        <w:rPr>
          <w:lang w:val="es-ES"/>
        </w:rPr>
        <w:t xml:space="preserve"> </w:t>
      </w:r>
    </w:p>
    <w:p w:rsidR="00EC1149" w:rsidRPr="00E42617" w:rsidRDefault="00EC1149" w:rsidP="00EC1149">
      <w:pPr>
        <w:pStyle w:val="ListParagraph"/>
        <w:numPr>
          <w:ilvl w:val="0"/>
          <w:numId w:val="0"/>
        </w:numPr>
        <w:tabs>
          <w:tab w:val="left" w:pos="708"/>
        </w:tabs>
        <w:rPr>
          <w:lang w:val="es-ES"/>
        </w:rPr>
      </w:pPr>
    </w:p>
    <w:p w:rsidR="00EC1149" w:rsidRPr="00E42617" w:rsidRDefault="00EC1149" w:rsidP="00EC1149">
      <w:pPr>
        <w:pStyle w:val="ListParagraph"/>
        <w:numPr>
          <w:ilvl w:val="0"/>
          <w:numId w:val="27"/>
        </w:numPr>
        <w:tabs>
          <w:tab w:val="left" w:pos="567"/>
        </w:tabs>
        <w:ind w:left="0" w:firstLine="0"/>
        <w:rPr>
          <w:lang w:val="es-ES"/>
        </w:rPr>
      </w:pPr>
      <w:r w:rsidRPr="00E42617">
        <w:rPr>
          <w:lang w:val="es-ES"/>
        </w:rPr>
        <w:t>Las correspondientes observaciones a dichas listas presentadas por el Estado. La Comisión señaló que “no t[enía] observaciones que formular a las listas definitivas de las partes”. Las representantes no presentaron observaciones.</w:t>
      </w:r>
    </w:p>
    <w:p w:rsidR="00EC1149" w:rsidRPr="00E42617" w:rsidRDefault="00EC1149" w:rsidP="00EC1149">
      <w:pPr>
        <w:pStyle w:val="ListParagraph"/>
        <w:numPr>
          <w:ilvl w:val="0"/>
          <w:numId w:val="0"/>
        </w:numPr>
        <w:rPr>
          <w:lang w:val="es-ES"/>
        </w:rPr>
      </w:pPr>
    </w:p>
    <w:p w:rsidR="00EC1149" w:rsidRDefault="00EC1149" w:rsidP="00EC1149">
      <w:pPr>
        <w:pStyle w:val="ListParagraph"/>
        <w:numPr>
          <w:ilvl w:val="0"/>
          <w:numId w:val="27"/>
        </w:numPr>
        <w:tabs>
          <w:tab w:val="left" w:pos="567"/>
        </w:tabs>
        <w:ind w:left="0" w:firstLine="0"/>
        <w:rPr>
          <w:lang w:val="es-ES"/>
        </w:rPr>
      </w:pPr>
      <w:r w:rsidRPr="00E42617">
        <w:rPr>
          <w:lang w:val="es-ES"/>
        </w:rPr>
        <w:t>Las observaciones presentada</w:t>
      </w:r>
      <w:r w:rsidR="002C1F6F" w:rsidRPr="00E42617">
        <w:rPr>
          <w:lang w:val="es-ES"/>
        </w:rPr>
        <w:t>s por los peritos propuestos por la</w:t>
      </w:r>
      <w:r w:rsidRPr="00E42617">
        <w:rPr>
          <w:lang w:val="es-ES"/>
        </w:rPr>
        <w:t xml:space="preserve">s representantes </w:t>
      </w:r>
      <w:r w:rsidR="002C1F6F" w:rsidRPr="00E42617">
        <w:rPr>
          <w:lang w:val="es-ES"/>
        </w:rPr>
        <w:t xml:space="preserve">y por la Comisión Interamericana, </w:t>
      </w:r>
      <w:r w:rsidRPr="00E42617">
        <w:rPr>
          <w:lang w:val="es-ES"/>
        </w:rPr>
        <w:t>respecto de la</w:t>
      </w:r>
      <w:r w:rsidR="002C1F6F" w:rsidRPr="00E42617">
        <w:rPr>
          <w:lang w:val="es-ES"/>
        </w:rPr>
        <w:t>s recusaciones</w:t>
      </w:r>
      <w:r w:rsidRPr="00E42617">
        <w:rPr>
          <w:lang w:val="es-ES"/>
        </w:rPr>
        <w:t xml:space="preserve"> presentada</w:t>
      </w:r>
      <w:r w:rsidR="002C1F6F" w:rsidRPr="00E42617">
        <w:rPr>
          <w:lang w:val="es-ES"/>
        </w:rPr>
        <w:t>s</w:t>
      </w:r>
      <w:r w:rsidRPr="00E42617">
        <w:rPr>
          <w:lang w:val="es-ES"/>
        </w:rPr>
        <w:t xml:space="preserve"> por el Estado</w:t>
      </w:r>
      <w:r w:rsidR="003C13A9" w:rsidRPr="00E42617">
        <w:rPr>
          <w:lang w:val="es-ES"/>
        </w:rPr>
        <w:t xml:space="preserve"> en sus observaciones a las listas definitivas</w:t>
      </w:r>
      <w:r w:rsidRPr="00E42617">
        <w:rPr>
          <w:lang w:val="es-ES"/>
        </w:rPr>
        <w:t>.</w:t>
      </w:r>
    </w:p>
    <w:p w:rsidR="00A76C9A" w:rsidRPr="00A76C9A" w:rsidRDefault="00A76C9A" w:rsidP="00A76C9A">
      <w:pPr>
        <w:pStyle w:val="ListParagraph"/>
        <w:numPr>
          <w:ilvl w:val="0"/>
          <w:numId w:val="0"/>
        </w:numPr>
        <w:rPr>
          <w:lang w:val="es-ES"/>
        </w:rPr>
      </w:pPr>
    </w:p>
    <w:p w:rsidR="00A76C9A" w:rsidRPr="0064494C" w:rsidRDefault="00A76C9A" w:rsidP="00DF7AFA">
      <w:pPr>
        <w:pStyle w:val="ListParagraph"/>
        <w:numPr>
          <w:ilvl w:val="0"/>
          <w:numId w:val="27"/>
        </w:numPr>
        <w:tabs>
          <w:tab w:val="left" w:pos="567"/>
        </w:tabs>
        <w:ind w:left="0" w:firstLine="0"/>
        <w:rPr>
          <w:lang w:val="es-ES"/>
        </w:rPr>
      </w:pPr>
      <w:r w:rsidRPr="0064494C">
        <w:rPr>
          <w:lang w:val="es-ES"/>
        </w:rPr>
        <w:t>El escrito de las representantes de 1</w:t>
      </w:r>
      <w:r w:rsidR="003C07F2" w:rsidRPr="0064494C">
        <w:rPr>
          <w:lang w:val="es-ES"/>
        </w:rPr>
        <w:t>9</w:t>
      </w:r>
      <w:r w:rsidRPr="0064494C">
        <w:rPr>
          <w:lang w:val="es-ES"/>
        </w:rPr>
        <w:t xml:space="preserve"> de septiembre de 2017</w:t>
      </w:r>
      <w:r w:rsidR="0065531F" w:rsidRPr="0064494C">
        <w:rPr>
          <w:lang w:val="es-ES"/>
        </w:rPr>
        <w:t>,</w:t>
      </w:r>
      <w:r w:rsidRPr="0064494C">
        <w:rPr>
          <w:lang w:val="es-ES"/>
        </w:rPr>
        <w:t xml:space="preserve"> por medio del cual solicitaron que las </w:t>
      </w:r>
      <w:r w:rsidR="00210CCA" w:rsidRPr="0064494C">
        <w:rPr>
          <w:lang w:val="es-ES"/>
        </w:rPr>
        <w:t>declaraciones de</w:t>
      </w:r>
      <w:r w:rsidRPr="0064494C">
        <w:rPr>
          <w:lang w:val="es-ES"/>
        </w:rPr>
        <w:t xml:space="preserve"> V.R.P</w:t>
      </w:r>
      <w:r w:rsidR="003C07F2" w:rsidRPr="0064494C">
        <w:rPr>
          <w:lang w:val="es-ES"/>
        </w:rPr>
        <w:t>.</w:t>
      </w:r>
      <w:r w:rsidRPr="0064494C">
        <w:rPr>
          <w:lang w:val="es-ES"/>
        </w:rPr>
        <w:t>,</w:t>
      </w:r>
      <w:r w:rsidR="003C07F2" w:rsidRPr="0064494C">
        <w:rPr>
          <w:lang w:val="es-ES"/>
        </w:rPr>
        <w:t xml:space="preserve"> V.P.C.</w:t>
      </w:r>
      <w:r w:rsidRPr="0064494C">
        <w:rPr>
          <w:lang w:val="es-ES"/>
        </w:rPr>
        <w:t xml:space="preserve"> </w:t>
      </w:r>
      <w:r w:rsidR="003C07F2" w:rsidRPr="0064494C">
        <w:rPr>
          <w:lang w:val="es-ES"/>
        </w:rPr>
        <w:t xml:space="preserve">y </w:t>
      </w:r>
      <w:r w:rsidRPr="0064494C">
        <w:rPr>
          <w:lang w:val="es-ES"/>
        </w:rPr>
        <w:t>H.J.R.P</w:t>
      </w:r>
      <w:r w:rsidR="00022165">
        <w:rPr>
          <w:lang w:val="es-ES"/>
        </w:rPr>
        <w:t>.</w:t>
      </w:r>
      <w:r w:rsidRPr="0064494C">
        <w:rPr>
          <w:lang w:val="es-ES"/>
        </w:rPr>
        <w:t>,</w:t>
      </w:r>
      <w:r w:rsidR="003C07F2" w:rsidRPr="0064494C">
        <w:rPr>
          <w:lang w:val="es-ES"/>
        </w:rPr>
        <w:t xml:space="preserve"> ofrecidos para audiencia,</w:t>
      </w:r>
      <w:r w:rsidRPr="0064494C">
        <w:rPr>
          <w:lang w:val="es-ES"/>
        </w:rPr>
        <w:t xml:space="preserve"> </w:t>
      </w:r>
      <w:r w:rsidR="003C07F2" w:rsidRPr="0064494C">
        <w:rPr>
          <w:lang w:val="es-ES"/>
        </w:rPr>
        <w:t>“</w:t>
      </w:r>
      <w:r w:rsidRPr="0064494C">
        <w:rPr>
          <w:lang w:val="es-ES"/>
        </w:rPr>
        <w:t xml:space="preserve">sean escuchadas </w:t>
      </w:r>
      <w:r w:rsidR="003C07F2" w:rsidRPr="0064494C">
        <w:rPr>
          <w:lang w:val="es-ES"/>
        </w:rPr>
        <w:t>sin público y se adopten todas las medidas necesarias para que no exista ningún tipo de publicidad de los nombres y rostros de las personas indicadas anteriormente”. La solicitud fue realizada con base en que</w:t>
      </w:r>
      <w:r w:rsidR="0065531F" w:rsidRPr="0064494C">
        <w:rPr>
          <w:lang w:val="es-ES"/>
        </w:rPr>
        <w:t>,</w:t>
      </w:r>
      <w:r w:rsidR="003C07F2" w:rsidRPr="0064494C">
        <w:rPr>
          <w:lang w:val="es-ES"/>
        </w:rPr>
        <w:t xml:space="preserve"> al momento de los hechos, V.R.P</w:t>
      </w:r>
      <w:r w:rsidR="0065531F" w:rsidRPr="0064494C">
        <w:rPr>
          <w:lang w:val="es-ES"/>
        </w:rPr>
        <w:t>.</w:t>
      </w:r>
      <w:r w:rsidR="003C07F2" w:rsidRPr="0064494C">
        <w:rPr>
          <w:lang w:val="es-ES"/>
        </w:rPr>
        <w:t xml:space="preserve"> era menor de edad y se dispuso la reserva de su nombre, medidas cuya continuidad desea mantener, por temor a una afectación futura de su vida.</w:t>
      </w:r>
    </w:p>
    <w:p w:rsidR="00EC1149" w:rsidRPr="00E42617" w:rsidRDefault="00EC1149" w:rsidP="00EC1149">
      <w:pPr>
        <w:pStyle w:val="ListParagraph"/>
        <w:numPr>
          <w:ilvl w:val="0"/>
          <w:numId w:val="0"/>
        </w:numPr>
        <w:tabs>
          <w:tab w:val="left" w:pos="567"/>
        </w:tabs>
        <w:rPr>
          <w:b/>
          <w:lang w:val="es-ES"/>
        </w:rPr>
      </w:pPr>
    </w:p>
    <w:p w:rsidR="00CB387A" w:rsidRDefault="00CB387A" w:rsidP="00EC1149">
      <w:pPr>
        <w:tabs>
          <w:tab w:val="left" w:pos="567"/>
        </w:tabs>
        <w:spacing w:after="0" w:line="240" w:lineRule="auto"/>
        <w:rPr>
          <w:b/>
          <w:szCs w:val="20"/>
          <w:lang w:val="es-ES"/>
        </w:rPr>
      </w:pPr>
    </w:p>
    <w:p w:rsidR="00CB387A" w:rsidRDefault="00CB387A" w:rsidP="00EC1149">
      <w:pPr>
        <w:tabs>
          <w:tab w:val="left" w:pos="567"/>
        </w:tabs>
        <w:spacing w:after="0" w:line="240" w:lineRule="auto"/>
        <w:rPr>
          <w:b/>
          <w:szCs w:val="20"/>
          <w:lang w:val="es-ES"/>
        </w:rPr>
      </w:pPr>
    </w:p>
    <w:p w:rsidR="00EC1149" w:rsidRPr="00E42617" w:rsidRDefault="00EC1149" w:rsidP="00EC1149">
      <w:pPr>
        <w:tabs>
          <w:tab w:val="left" w:pos="567"/>
        </w:tabs>
        <w:spacing w:after="0" w:line="240" w:lineRule="auto"/>
        <w:rPr>
          <w:b/>
          <w:szCs w:val="20"/>
          <w:lang w:val="es-ES"/>
        </w:rPr>
      </w:pPr>
      <w:r w:rsidRPr="00E42617">
        <w:rPr>
          <w:b/>
          <w:szCs w:val="20"/>
          <w:lang w:val="es-ES"/>
        </w:rPr>
        <w:t>CONSIDERANDO QUE:</w:t>
      </w:r>
    </w:p>
    <w:p w:rsidR="00EC1149" w:rsidRPr="00E42617" w:rsidRDefault="00EC1149" w:rsidP="00EC1149">
      <w:pPr>
        <w:tabs>
          <w:tab w:val="left" w:pos="567"/>
          <w:tab w:val="left" w:pos="720"/>
          <w:tab w:val="left" w:pos="810"/>
        </w:tabs>
        <w:spacing w:after="0" w:line="240" w:lineRule="auto"/>
        <w:jc w:val="both"/>
        <w:rPr>
          <w:szCs w:val="20"/>
          <w:lang w:val="es-ES"/>
        </w:rPr>
      </w:pPr>
    </w:p>
    <w:p w:rsidR="00EC1149" w:rsidRPr="00E42617" w:rsidRDefault="00EC1149" w:rsidP="00EC1149">
      <w:pPr>
        <w:pStyle w:val="ListParagraph"/>
        <w:numPr>
          <w:ilvl w:val="0"/>
          <w:numId w:val="28"/>
        </w:numPr>
        <w:tabs>
          <w:tab w:val="left" w:pos="567"/>
          <w:tab w:val="left" w:pos="810"/>
        </w:tabs>
        <w:ind w:left="0" w:firstLine="0"/>
        <w:rPr>
          <w:lang w:val="es-ES"/>
        </w:rPr>
      </w:pPr>
      <w:r w:rsidRPr="00E42617">
        <w:rPr>
          <w:lang w:val="es-ES"/>
        </w:rPr>
        <w:t xml:space="preserve">El ofrecimiento y la admisión de la prueba, así como la citación de </w:t>
      </w:r>
      <w:r w:rsidR="00814024">
        <w:rPr>
          <w:lang w:val="es-ES"/>
        </w:rPr>
        <w:t>declarantes</w:t>
      </w:r>
      <w:r w:rsidRPr="00E42617">
        <w:rPr>
          <w:lang w:val="es-ES"/>
        </w:rPr>
        <w:t>, testigos y peritos se encuentran regulados en los artículos 35.1.f, 40.2.c, 41.1.c, 46, 47, 48, 50, 52.3 y 57 del Reglamento de la Corte Interamericana de Derechos Humanos (en adelante “la Corte Interamericana”, “la Corte” o “el Tribunal”).</w:t>
      </w:r>
    </w:p>
    <w:p w:rsidR="00EC1149" w:rsidRPr="00E42617" w:rsidRDefault="00EC1149" w:rsidP="00EC1149">
      <w:pPr>
        <w:pStyle w:val="ListParagraph"/>
        <w:numPr>
          <w:ilvl w:val="0"/>
          <w:numId w:val="0"/>
        </w:numPr>
        <w:tabs>
          <w:tab w:val="left" w:pos="567"/>
          <w:tab w:val="left" w:pos="810"/>
        </w:tabs>
        <w:rPr>
          <w:lang w:val="es-ES"/>
        </w:rPr>
      </w:pPr>
    </w:p>
    <w:p w:rsidR="00EC1149" w:rsidRPr="00E42617" w:rsidRDefault="00EC1149" w:rsidP="00EC1149">
      <w:pPr>
        <w:pStyle w:val="ListParagraph"/>
        <w:numPr>
          <w:ilvl w:val="0"/>
          <w:numId w:val="28"/>
        </w:numPr>
        <w:tabs>
          <w:tab w:val="left" w:pos="567"/>
          <w:tab w:val="left" w:pos="810"/>
        </w:tabs>
        <w:ind w:left="0" w:firstLine="0"/>
        <w:rPr>
          <w:rFonts w:eastAsia="Times New Roman"/>
          <w:lang w:val="es-ES"/>
        </w:rPr>
      </w:pPr>
      <w:r w:rsidRPr="00E42617">
        <w:rPr>
          <w:lang w:val="es-ES"/>
        </w:rPr>
        <w:t>La Comisión ofreció como prueba un dictamen pericial y</w:t>
      </w:r>
      <w:r w:rsidRPr="00E42617">
        <w:rPr>
          <w:bCs/>
          <w:iCs/>
          <w:szCs w:val="24"/>
          <w:lang w:val="es-ES"/>
        </w:rPr>
        <w:t xml:space="preserve"> solicitó la oportunidad de formular preguntas al perito ofrecido por las representantes</w:t>
      </w:r>
      <w:r w:rsidRPr="00E42617">
        <w:rPr>
          <w:lang w:val="es-ES"/>
        </w:rPr>
        <w:t xml:space="preserve">. </w:t>
      </w:r>
      <w:r w:rsidR="000F740F" w:rsidRPr="00E42617">
        <w:rPr>
          <w:lang w:val="es-ES"/>
        </w:rPr>
        <w:t xml:space="preserve">Las representantes ofrecieron </w:t>
      </w:r>
      <w:r w:rsidR="00CD5DA1">
        <w:rPr>
          <w:lang w:val="es-ES"/>
        </w:rPr>
        <w:t>cinco</w:t>
      </w:r>
      <w:r w:rsidR="000F740F" w:rsidRPr="00E42617">
        <w:rPr>
          <w:lang w:val="es-ES"/>
        </w:rPr>
        <w:t xml:space="preserve"> declaraciones y un peritaje. </w:t>
      </w:r>
      <w:r w:rsidRPr="00E42617">
        <w:rPr>
          <w:rFonts w:eastAsia="Times New Roman"/>
          <w:lang w:val="es-ES"/>
        </w:rPr>
        <w:t xml:space="preserve">La Corte garantizó a las partes el derecho de defensa respecto de los ofrecimientos probatorios oportunamente realizados. </w:t>
      </w:r>
    </w:p>
    <w:p w:rsidR="00EC1149" w:rsidRPr="00E42617" w:rsidRDefault="00EC1149" w:rsidP="00EC1149">
      <w:pPr>
        <w:pStyle w:val="ListParagraph"/>
        <w:numPr>
          <w:ilvl w:val="0"/>
          <w:numId w:val="0"/>
        </w:numPr>
        <w:tabs>
          <w:tab w:val="left" w:pos="708"/>
        </w:tabs>
        <w:rPr>
          <w:rFonts w:eastAsia="Times New Roman"/>
          <w:lang w:val="es-ES"/>
        </w:rPr>
      </w:pPr>
    </w:p>
    <w:p w:rsidR="00EC1149" w:rsidRPr="00E42617" w:rsidRDefault="00EC1149" w:rsidP="00EC1149">
      <w:pPr>
        <w:pStyle w:val="ListParagraph"/>
        <w:numPr>
          <w:ilvl w:val="0"/>
          <w:numId w:val="28"/>
        </w:numPr>
        <w:tabs>
          <w:tab w:val="left" w:pos="567"/>
          <w:tab w:val="left" w:pos="810"/>
        </w:tabs>
        <w:ind w:left="0" w:firstLine="0"/>
        <w:rPr>
          <w:lang w:val="es-ES"/>
        </w:rPr>
      </w:pPr>
      <w:r w:rsidRPr="00E42617">
        <w:rPr>
          <w:bCs/>
          <w:iCs/>
          <w:szCs w:val="24"/>
          <w:lang w:val="es-ES"/>
        </w:rPr>
        <w:t xml:space="preserve">La Comisión señaló que no tenía observaciones a la lista definitiva presentada por las representantes. </w:t>
      </w:r>
      <w:r w:rsidRPr="00E42617">
        <w:rPr>
          <w:rFonts w:cs="Times New Roman"/>
          <w:lang w:val="es-ES"/>
        </w:rPr>
        <w:t xml:space="preserve">Por su parte, el Estado objetó la admisión de </w:t>
      </w:r>
      <w:r w:rsidR="00BB2BCF">
        <w:rPr>
          <w:rFonts w:cs="Times New Roman"/>
          <w:lang w:val="es-ES"/>
        </w:rPr>
        <w:t>dos</w:t>
      </w:r>
      <w:r w:rsidRPr="00E42617">
        <w:rPr>
          <w:rFonts w:cs="Times New Roman"/>
          <w:lang w:val="es-ES"/>
        </w:rPr>
        <w:t xml:space="preserve"> declaraciones</w:t>
      </w:r>
      <w:r w:rsidR="00BB2BCF">
        <w:rPr>
          <w:rFonts w:cs="Times New Roman"/>
          <w:lang w:val="es-ES"/>
        </w:rPr>
        <w:t xml:space="preserve">, así como </w:t>
      </w:r>
      <w:r w:rsidR="00970390">
        <w:rPr>
          <w:rFonts w:cs="Times New Roman"/>
          <w:lang w:val="es-ES"/>
        </w:rPr>
        <w:t>recusó a</w:t>
      </w:r>
      <w:r w:rsidRPr="00E42617">
        <w:rPr>
          <w:rFonts w:cs="Times New Roman"/>
          <w:lang w:val="es-ES"/>
        </w:rPr>
        <w:t xml:space="preserve"> los perit</w:t>
      </w:r>
      <w:r w:rsidR="00970390">
        <w:rPr>
          <w:rFonts w:cs="Times New Roman"/>
          <w:lang w:val="es-ES"/>
        </w:rPr>
        <w:t>o</w:t>
      </w:r>
      <w:r w:rsidRPr="00E42617">
        <w:rPr>
          <w:rFonts w:cs="Times New Roman"/>
          <w:lang w:val="es-ES"/>
        </w:rPr>
        <w:t>s ofrecidos por la Comisión y por las representantes.</w:t>
      </w:r>
      <w:r w:rsidRPr="00E42617">
        <w:rPr>
          <w:bCs/>
          <w:iCs/>
          <w:szCs w:val="24"/>
          <w:lang w:val="es-ES"/>
        </w:rPr>
        <w:t xml:space="preserve"> Las representantes no presentaron observaciones dentro del plazo otorgado para tal efecto.</w:t>
      </w:r>
    </w:p>
    <w:p w:rsidR="00EC1149" w:rsidRPr="00E42617" w:rsidRDefault="00EC1149" w:rsidP="00EC1149">
      <w:pPr>
        <w:pStyle w:val="ListParagraph"/>
        <w:numPr>
          <w:ilvl w:val="0"/>
          <w:numId w:val="0"/>
        </w:numPr>
        <w:tabs>
          <w:tab w:val="left" w:pos="708"/>
        </w:tabs>
        <w:rPr>
          <w:lang w:val="es-ES"/>
        </w:rPr>
      </w:pPr>
    </w:p>
    <w:p w:rsidR="00E3681F" w:rsidRPr="00A76C9A" w:rsidRDefault="00EC1149" w:rsidP="00EC1149">
      <w:pPr>
        <w:pStyle w:val="ListParagraph"/>
        <w:numPr>
          <w:ilvl w:val="0"/>
          <w:numId w:val="28"/>
        </w:numPr>
        <w:tabs>
          <w:tab w:val="left" w:pos="567"/>
          <w:tab w:val="left" w:pos="810"/>
        </w:tabs>
        <w:ind w:left="0" w:firstLine="0"/>
        <w:rPr>
          <w:lang w:val="es-ES"/>
        </w:rPr>
      </w:pPr>
      <w:r w:rsidRPr="00E42617">
        <w:rPr>
          <w:lang w:val="es-ES"/>
        </w:rPr>
        <w:t xml:space="preserve">En cuanto a las declaraciones ofrecidas oportunamente que no han sido objetadas, esta Presidencia considera conveniente recabarlas como prueba, </w:t>
      </w:r>
      <w:r w:rsidRPr="00E42617">
        <w:rPr>
          <w:rFonts w:eastAsiaTheme="minorHAnsi"/>
          <w:color w:val="000000"/>
          <w:lang w:val="es-ES"/>
        </w:rPr>
        <w:t xml:space="preserve">a efectos de que el Tribunal pueda apreciar su valor en la debida oportunidad procesal, dentro del contexto del acervo probatorio existente y según las reglas de la sana crítica. Por consiguiente, el Presidente admite las declaraciones de las señoras </w:t>
      </w:r>
      <w:r w:rsidR="00966041" w:rsidRPr="00E42617">
        <w:rPr>
          <w:rFonts w:eastAsiaTheme="minorHAnsi"/>
          <w:color w:val="000000"/>
          <w:lang w:val="es-ES"/>
        </w:rPr>
        <w:t>V.R.P.</w:t>
      </w:r>
      <w:r w:rsidR="009713AA" w:rsidRPr="00E42617">
        <w:rPr>
          <w:rFonts w:eastAsiaTheme="minorHAnsi"/>
          <w:color w:val="000000"/>
          <w:lang w:val="es-ES"/>
        </w:rPr>
        <w:t>,</w:t>
      </w:r>
      <w:r w:rsidR="00966041" w:rsidRPr="00E42617">
        <w:rPr>
          <w:rFonts w:eastAsiaTheme="minorHAnsi"/>
          <w:color w:val="000000"/>
          <w:lang w:val="es-ES"/>
        </w:rPr>
        <w:t xml:space="preserve"> </w:t>
      </w:r>
      <w:r w:rsidRPr="00E42617">
        <w:rPr>
          <w:rFonts w:eastAsiaTheme="minorHAnsi"/>
          <w:color w:val="000000"/>
          <w:lang w:val="es-ES"/>
        </w:rPr>
        <w:t>V.P.C. (</w:t>
      </w:r>
      <w:r w:rsidR="00966041" w:rsidRPr="00E42617">
        <w:rPr>
          <w:rFonts w:eastAsiaTheme="minorHAnsi"/>
          <w:color w:val="000000"/>
          <w:lang w:val="es-ES"/>
        </w:rPr>
        <w:t>madre de V.R.P</w:t>
      </w:r>
      <w:r w:rsidR="009713AA" w:rsidRPr="00E42617">
        <w:rPr>
          <w:rFonts w:eastAsiaTheme="minorHAnsi"/>
          <w:color w:val="000000"/>
          <w:lang w:val="es-ES"/>
        </w:rPr>
        <w:t>.</w:t>
      </w:r>
      <w:r w:rsidR="00966041" w:rsidRPr="00E42617">
        <w:rPr>
          <w:rFonts w:eastAsiaTheme="minorHAnsi"/>
          <w:color w:val="000000"/>
          <w:lang w:val="es-ES"/>
        </w:rPr>
        <w:t>) y N.R.P. (hermana</w:t>
      </w:r>
      <w:r w:rsidRPr="00E42617">
        <w:rPr>
          <w:rFonts w:eastAsiaTheme="minorHAnsi"/>
          <w:color w:val="000000"/>
          <w:lang w:val="es-ES"/>
        </w:rPr>
        <w:t xml:space="preserve"> de V.R.P</w:t>
      </w:r>
      <w:r w:rsidR="009713AA" w:rsidRPr="00E42617">
        <w:rPr>
          <w:rFonts w:eastAsiaTheme="minorHAnsi"/>
          <w:color w:val="000000"/>
          <w:lang w:val="es-ES"/>
        </w:rPr>
        <w:t>.</w:t>
      </w:r>
      <w:r w:rsidRPr="00E42617">
        <w:rPr>
          <w:rFonts w:eastAsiaTheme="minorHAnsi"/>
          <w:color w:val="000000"/>
          <w:lang w:val="es-ES"/>
        </w:rPr>
        <w:t xml:space="preserve">), </w:t>
      </w:r>
      <w:r w:rsidRPr="00E42617">
        <w:rPr>
          <w:lang w:val="es-ES"/>
        </w:rPr>
        <w:t xml:space="preserve">según el objeto y modalidad determinados en la parte resolutiva </w:t>
      </w:r>
      <w:r w:rsidRPr="00E42617">
        <w:rPr>
          <w:rFonts w:eastAsiaTheme="minorHAnsi"/>
          <w:color w:val="000000"/>
          <w:lang w:val="es-ES"/>
        </w:rPr>
        <w:t>de la presente Resolución (</w:t>
      </w:r>
      <w:r w:rsidRPr="00E42617">
        <w:rPr>
          <w:rFonts w:eastAsiaTheme="minorHAnsi"/>
          <w:i/>
          <w:color w:val="000000"/>
          <w:lang w:val="es-ES"/>
        </w:rPr>
        <w:t>infra</w:t>
      </w:r>
      <w:r w:rsidRPr="00E42617">
        <w:rPr>
          <w:rFonts w:eastAsiaTheme="minorHAnsi"/>
          <w:color w:val="000000"/>
          <w:lang w:val="es-ES"/>
        </w:rPr>
        <w:t xml:space="preserve"> puntos resolutivos </w:t>
      </w:r>
      <w:r w:rsidR="00AA79B0">
        <w:rPr>
          <w:rFonts w:eastAsiaTheme="minorHAnsi"/>
          <w:color w:val="000000"/>
          <w:lang w:val="es-ES"/>
        </w:rPr>
        <w:t>1</w:t>
      </w:r>
      <w:r w:rsidRPr="00E42617">
        <w:rPr>
          <w:rFonts w:eastAsiaTheme="minorHAnsi"/>
          <w:color w:val="000000"/>
          <w:lang w:val="es-ES"/>
        </w:rPr>
        <w:t xml:space="preserve"> y </w:t>
      </w:r>
      <w:r w:rsidR="00AA79B0">
        <w:rPr>
          <w:rFonts w:eastAsiaTheme="minorHAnsi"/>
          <w:color w:val="000000"/>
          <w:lang w:val="es-ES"/>
        </w:rPr>
        <w:t>6</w:t>
      </w:r>
      <w:r w:rsidRPr="00E42617">
        <w:rPr>
          <w:rFonts w:eastAsiaTheme="minorHAnsi"/>
          <w:color w:val="000000"/>
          <w:lang w:val="es-ES"/>
        </w:rPr>
        <w:t>).</w:t>
      </w:r>
    </w:p>
    <w:p w:rsidR="00A76C9A" w:rsidRPr="00A76C9A" w:rsidRDefault="00A76C9A" w:rsidP="00DF7AFA">
      <w:pPr>
        <w:pStyle w:val="ListParagraph"/>
        <w:numPr>
          <w:ilvl w:val="0"/>
          <w:numId w:val="0"/>
        </w:numPr>
        <w:rPr>
          <w:lang w:val="es-ES"/>
        </w:rPr>
      </w:pPr>
    </w:p>
    <w:p w:rsidR="00FA5397" w:rsidRPr="00FA5397" w:rsidRDefault="00672B0D" w:rsidP="00DF7AFA">
      <w:pPr>
        <w:pStyle w:val="ListParagraph"/>
        <w:numPr>
          <w:ilvl w:val="0"/>
          <w:numId w:val="28"/>
        </w:numPr>
        <w:tabs>
          <w:tab w:val="left" w:pos="567"/>
          <w:tab w:val="left" w:pos="810"/>
        </w:tabs>
        <w:ind w:left="0" w:firstLine="0"/>
      </w:pPr>
      <w:r w:rsidRPr="00FA5397">
        <w:t>Teniendo en cuenta que el</w:t>
      </w:r>
      <w:r w:rsidR="00A76C9A" w:rsidRPr="00FA5397">
        <w:t xml:space="preserve"> Presidente estima conveniente re</w:t>
      </w:r>
      <w:r w:rsidRPr="00FA5397">
        <w:t>cibir las declaraciones de V.R.P</w:t>
      </w:r>
      <w:r w:rsidR="00A979FA" w:rsidRPr="00FA5397">
        <w:t>.</w:t>
      </w:r>
      <w:r w:rsidRPr="00FA5397">
        <w:t xml:space="preserve"> y </w:t>
      </w:r>
      <w:r w:rsidRPr="00FA5397">
        <w:rPr>
          <w:lang w:val="es-ES"/>
        </w:rPr>
        <w:t>V.P.C</w:t>
      </w:r>
      <w:r w:rsidR="00A979FA" w:rsidRPr="00FA5397">
        <w:rPr>
          <w:lang w:val="es-ES"/>
        </w:rPr>
        <w:t>.</w:t>
      </w:r>
      <w:r w:rsidRPr="00FA5397">
        <w:rPr>
          <w:lang w:val="es-ES"/>
        </w:rPr>
        <w:t xml:space="preserve"> </w:t>
      </w:r>
      <w:r w:rsidR="00C41BB9" w:rsidRPr="00FA5397">
        <w:rPr>
          <w:lang w:val="es-ES"/>
        </w:rPr>
        <w:t>en</w:t>
      </w:r>
      <w:r w:rsidRPr="00FA5397">
        <w:rPr>
          <w:lang w:val="es-ES"/>
        </w:rPr>
        <w:t xml:space="preserve"> audiencia (</w:t>
      </w:r>
      <w:r w:rsidRPr="00FA5397">
        <w:rPr>
          <w:i/>
          <w:lang w:val="es-ES"/>
        </w:rPr>
        <w:t>infra</w:t>
      </w:r>
      <w:r w:rsidRPr="00FA5397">
        <w:rPr>
          <w:lang w:val="es-ES"/>
        </w:rPr>
        <w:t xml:space="preserve"> </w:t>
      </w:r>
      <w:r w:rsidR="00612038" w:rsidRPr="00E42617">
        <w:rPr>
          <w:rFonts w:eastAsiaTheme="minorHAnsi"/>
          <w:color w:val="000000"/>
          <w:lang w:val="es-ES"/>
        </w:rPr>
        <w:t xml:space="preserve">punto </w:t>
      </w:r>
      <w:r w:rsidRPr="00FA5397">
        <w:rPr>
          <w:lang w:val="es-ES"/>
        </w:rPr>
        <w:t xml:space="preserve">resolutivo </w:t>
      </w:r>
      <w:r w:rsidR="00612038">
        <w:rPr>
          <w:lang w:val="es-ES"/>
        </w:rPr>
        <w:t>1</w:t>
      </w:r>
      <w:r w:rsidRPr="00FA5397">
        <w:rPr>
          <w:lang w:val="es-ES"/>
        </w:rPr>
        <w:t xml:space="preserve">), es preciso </w:t>
      </w:r>
      <w:r w:rsidR="00A979FA" w:rsidRPr="00FA5397">
        <w:t>abordar</w:t>
      </w:r>
      <w:r w:rsidRPr="00FA5397">
        <w:t xml:space="preserve"> la solicitud </w:t>
      </w:r>
      <w:r w:rsidR="00A979FA" w:rsidRPr="00FA5397">
        <w:t xml:space="preserve">presentada por las representantes </w:t>
      </w:r>
      <w:r w:rsidRPr="00FA5397">
        <w:t xml:space="preserve">de que las mismas </w:t>
      </w:r>
      <w:r w:rsidR="00A76C9A" w:rsidRPr="00FA5397">
        <w:t xml:space="preserve">se </w:t>
      </w:r>
      <w:r w:rsidR="00A979FA" w:rsidRPr="00FA5397">
        <w:t>reciban</w:t>
      </w:r>
      <w:r w:rsidR="00A76C9A" w:rsidRPr="00FA5397">
        <w:t xml:space="preserve"> de manera privada</w:t>
      </w:r>
      <w:r w:rsidR="00DA664D" w:rsidRPr="00FA5397">
        <w:t xml:space="preserve"> (</w:t>
      </w:r>
      <w:r w:rsidR="00DA664D" w:rsidRPr="00FA5397">
        <w:rPr>
          <w:i/>
        </w:rPr>
        <w:t xml:space="preserve">supra </w:t>
      </w:r>
      <w:r w:rsidR="00DA664D" w:rsidRPr="00FA5397">
        <w:t>Visto 5)</w:t>
      </w:r>
      <w:r w:rsidR="00A76C9A" w:rsidRPr="00FA5397">
        <w:t xml:space="preserve">. El </w:t>
      </w:r>
      <w:r w:rsidR="00617BA0" w:rsidRPr="00FA5397">
        <w:t xml:space="preserve">Presidente advierte que el </w:t>
      </w:r>
      <w:r w:rsidR="00A76C9A" w:rsidRPr="00FA5397">
        <w:t xml:space="preserve">presente caso trata, </w:t>
      </w:r>
      <w:r w:rsidR="00A76C9A" w:rsidRPr="00FA5397">
        <w:rPr>
          <w:i/>
          <w:iCs/>
        </w:rPr>
        <w:t>inter alia</w:t>
      </w:r>
      <w:r w:rsidR="00A76C9A" w:rsidRPr="00FA5397">
        <w:t xml:space="preserve">, </w:t>
      </w:r>
      <w:r w:rsidR="00A979FA" w:rsidRPr="00FA5397">
        <w:t xml:space="preserve">sobre la supuesta falta de respuesta del Estado frente a la alegada violación sexual sufrida por </w:t>
      </w:r>
      <w:r w:rsidR="00FA5397" w:rsidRPr="00FA5397">
        <w:t>una</w:t>
      </w:r>
      <w:r w:rsidR="00A979FA" w:rsidRPr="00FA5397">
        <w:t xml:space="preserve"> niña, cuando tenía nueve años de edad, por parte de su padre. </w:t>
      </w:r>
      <w:r w:rsidR="00A76C9A" w:rsidRPr="00FA5397">
        <w:t xml:space="preserve">Es necesario tener presente que cuando se trata de la declaración de una víctima de delitos sexuales, especialmente </w:t>
      </w:r>
      <w:r w:rsidRPr="00FA5397">
        <w:t xml:space="preserve">si </w:t>
      </w:r>
      <w:r w:rsidR="00C41BB9" w:rsidRPr="00FA5397">
        <w:t>era</w:t>
      </w:r>
      <w:r w:rsidR="00A76C9A" w:rsidRPr="00FA5397">
        <w:t xml:space="preserve"> una niña</w:t>
      </w:r>
      <w:r w:rsidRPr="00FA5397">
        <w:t xml:space="preserve"> </w:t>
      </w:r>
      <w:r w:rsidR="00C41BB9" w:rsidRPr="00FA5397">
        <w:t>a</w:t>
      </w:r>
      <w:r w:rsidRPr="00FA5397">
        <w:t xml:space="preserve">l momento </w:t>
      </w:r>
      <w:r w:rsidR="00C41BB9" w:rsidRPr="00FA5397">
        <w:t>en que sucedieron los hechos como en el presente caso</w:t>
      </w:r>
      <w:r w:rsidR="00A76C9A" w:rsidRPr="00FA5397">
        <w:t xml:space="preserve">, resulta imperioso que en los procesos instaurados para esclarecer lo sucedido, tanto en el derecho interno como en el internacional, se extremen los recaudos de manera que la intervención de aquella se realice con el mayor de los cuidados. Al respecto, se debe considerar la característica especial de este tipo de situaciones en las cuales se expone a una persona a relatar hechos </w:t>
      </w:r>
      <w:r w:rsidRPr="00FA5397">
        <w:t>extremadamente delicados</w:t>
      </w:r>
      <w:r w:rsidR="00FA5397" w:rsidRPr="00FA5397">
        <w:rPr>
          <w:rStyle w:val="FootnoteReference"/>
          <w:sz w:val="20"/>
          <w:szCs w:val="20"/>
        </w:rPr>
        <w:footnoteReference w:id="3"/>
      </w:r>
      <w:r w:rsidRPr="00FA5397">
        <w:t>.</w:t>
      </w:r>
    </w:p>
    <w:p w:rsidR="00FA5397" w:rsidRDefault="00FA5397" w:rsidP="00FA5397">
      <w:pPr>
        <w:pStyle w:val="ListParagraph"/>
        <w:numPr>
          <w:ilvl w:val="0"/>
          <w:numId w:val="0"/>
        </w:numPr>
        <w:tabs>
          <w:tab w:val="left" w:pos="567"/>
          <w:tab w:val="left" w:pos="810"/>
        </w:tabs>
        <w:rPr>
          <w:b/>
        </w:rPr>
      </w:pPr>
    </w:p>
    <w:p w:rsidR="00FA5397" w:rsidRPr="00FA5397" w:rsidRDefault="00A76C9A" w:rsidP="00DF7AFA">
      <w:pPr>
        <w:pStyle w:val="ListParagraph"/>
        <w:numPr>
          <w:ilvl w:val="0"/>
          <w:numId w:val="28"/>
        </w:numPr>
        <w:tabs>
          <w:tab w:val="left" w:pos="567"/>
          <w:tab w:val="left" w:pos="810"/>
        </w:tabs>
        <w:ind w:left="0" w:firstLine="0"/>
      </w:pPr>
      <w:r w:rsidRPr="00FA5397">
        <w:t xml:space="preserve">En consecuencia, resulta necesario </w:t>
      </w:r>
      <w:r w:rsidR="00A13465" w:rsidRPr="00FA5397">
        <w:t>extremar</w:t>
      </w:r>
      <w:r w:rsidRPr="00FA5397">
        <w:t xml:space="preserve"> las medidas para evitar o, al menos, reducir al máximo el riesgo de una eventual revictimización</w:t>
      </w:r>
      <w:r w:rsidR="00067FAE" w:rsidRPr="00FA5397">
        <w:t xml:space="preserve">, de modo tal que la declaración de </w:t>
      </w:r>
      <w:r w:rsidR="00210CCA" w:rsidRPr="00FA5397">
        <w:t>V.R.P.</w:t>
      </w:r>
      <w:r w:rsidR="00067FAE" w:rsidRPr="00FA5397">
        <w:t xml:space="preserve"> se realice en un ambiente cómodo y seguro, que le brinde privacidad y confianza</w:t>
      </w:r>
      <w:r w:rsidRPr="00FA5397">
        <w:t>.</w:t>
      </w:r>
      <w:r w:rsidR="00672B0D" w:rsidRPr="00FA5397">
        <w:t xml:space="preserve"> </w:t>
      </w:r>
      <w:r w:rsidR="00FA5397" w:rsidRPr="00FA5397">
        <w:t xml:space="preserve">De acuerdo con el artículo 15.1 del Reglamento, las audiencias de la Corte son públicas, salvo cuando el Tribunal considere oportuno que una audiencia o, como en este caso, parte de la misma, sea privada. Anteriormente, la </w:t>
      </w:r>
      <w:r w:rsidR="00FA5397" w:rsidRPr="00FA5397">
        <w:lastRenderedPageBreak/>
        <w:t>Corte ha recibido testimonios de manera privada en el transcurso de una audiencia pública</w:t>
      </w:r>
      <w:r w:rsidR="00FA5397" w:rsidRPr="00FA5397">
        <w:rPr>
          <w:rStyle w:val="FootnoteReference"/>
          <w:sz w:val="20"/>
          <w:szCs w:val="20"/>
        </w:rPr>
        <w:footnoteReference w:id="4"/>
      </w:r>
      <w:r w:rsidR="00FA5397" w:rsidRPr="00FA5397">
        <w:t xml:space="preserve">. En virtud de lo expuesto, el Presidente considera que </w:t>
      </w:r>
      <w:r w:rsidR="00E6111A">
        <w:t xml:space="preserve">la </w:t>
      </w:r>
      <w:r w:rsidR="00FA5397" w:rsidRPr="00FA5397">
        <w:t xml:space="preserve">declaración de V.R.P. debe ser rendida ante la Corte Interamericana </w:t>
      </w:r>
      <w:r w:rsidR="00FC58AB">
        <w:t>en</w:t>
      </w:r>
      <w:r w:rsidR="00FA5397" w:rsidRPr="00FA5397">
        <w:t xml:space="preserve"> privad</w:t>
      </w:r>
      <w:r w:rsidR="00FC58AB">
        <w:t>o</w:t>
      </w:r>
      <w:r w:rsidR="00FA5397" w:rsidRPr="00FA5397">
        <w:t>, con la sola intervención de las partes del caso, de la Comisión Interamericana y la presencia del personal de la Secretaría que sea indispensable para realizar dicha diligencia. Una vez concluida dicha declaración y el interrogatorio de las partes, se proseguirá con el desarrollo de la audiencia de forma pública.</w:t>
      </w:r>
    </w:p>
    <w:p w:rsidR="00FA5397" w:rsidRPr="00FA5397" w:rsidRDefault="00FA5397" w:rsidP="00FA5397">
      <w:pPr>
        <w:pStyle w:val="ListParagraph"/>
        <w:numPr>
          <w:ilvl w:val="0"/>
          <w:numId w:val="0"/>
        </w:numPr>
        <w:tabs>
          <w:tab w:val="left" w:pos="567"/>
          <w:tab w:val="left" w:pos="810"/>
        </w:tabs>
      </w:pPr>
    </w:p>
    <w:p w:rsidR="003023DB" w:rsidRPr="00FA5397" w:rsidRDefault="00FA5397" w:rsidP="00DF7AFA">
      <w:pPr>
        <w:pStyle w:val="ListParagraph"/>
        <w:numPr>
          <w:ilvl w:val="0"/>
          <w:numId w:val="28"/>
        </w:numPr>
        <w:tabs>
          <w:tab w:val="left" w:pos="567"/>
          <w:tab w:val="left" w:pos="810"/>
        </w:tabs>
        <w:ind w:left="0" w:firstLine="0"/>
      </w:pPr>
      <w:r w:rsidRPr="00FA5397">
        <w:t>En cuanto</w:t>
      </w:r>
      <w:r w:rsidR="00C41BB9" w:rsidRPr="00FA5397">
        <w:t xml:space="preserve"> a la declaración de la señora V.P.C., madre de V.R.P., </w:t>
      </w:r>
      <w:r w:rsidRPr="00FA5397">
        <w:t xml:space="preserve">el Presidente considera que, </w:t>
      </w:r>
      <w:r w:rsidR="00C41BB9" w:rsidRPr="00FA5397">
        <w:t xml:space="preserve">con el fin de evitar cualquier tipo de revictimización a través de una exposición pública de lo sucedido que redunde en un perjuicio </w:t>
      </w:r>
      <w:r w:rsidRPr="00FA5397">
        <w:t xml:space="preserve">tanto </w:t>
      </w:r>
      <w:r w:rsidR="00C41BB9" w:rsidRPr="00FA5397">
        <w:t xml:space="preserve">para </w:t>
      </w:r>
      <w:r w:rsidRPr="00FA5397">
        <w:t xml:space="preserve">V.R.P. como para </w:t>
      </w:r>
      <w:r w:rsidR="00C41BB9" w:rsidRPr="00FA5397">
        <w:t>su grupo familiar</w:t>
      </w:r>
      <w:r w:rsidR="00672B0D" w:rsidRPr="00FA5397">
        <w:t xml:space="preserve">, resulta </w:t>
      </w:r>
      <w:r w:rsidR="002C39C5" w:rsidRPr="00FA5397">
        <w:t>razonable</w:t>
      </w:r>
      <w:r w:rsidR="00672B0D" w:rsidRPr="00FA5397">
        <w:t xml:space="preserve"> obtener su declaraci</w:t>
      </w:r>
      <w:r w:rsidRPr="00FA5397">
        <w:t>ó</w:t>
      </w:r>
      <w:r w:rsidR="00672B0D" w:rsidRPr="00FA5397">
        <w:t xml:space="preserve">n de forma </w:t>
      </w:r>
      <w:r w:rsidRPr="00FA5397">
        <w:t xml:space="preserve">tal </w:t>
      </w:r>
      <w:r w:rsidR="00672B0D" w:rsidRPr="00FA5397">
        <w:t>que</w:t>
      </w:r>
      <w:r w:rsidRPr="00FA5397">
        <w:t xml:space="preserve"> se reserve la publicidad de</w:t>
      </w:r>
      <w:r w:rsidR="00672B0D" w:rsidRPr="00FA5397">
        <w:t xml:space="preserve"> su rostro, con el fin de proteger </w:t>
      </w:r>
      <w:r w:rsidR="00362B99">
        <w:t>su identificación</w:t>
      </w:r>
      <w:r w:rsidR="008036F1">
        <w:t xml:space="preserve"> pública</w:t>
      </w:r>
      <w:r w:rsidR="00EA030F" w:rsidRPr="00FA5397">
        <w:t>.</w:t>
      </w:r>
    </w:p>
    <w:p w:rsidR="00A76C9A" w:rsidRPr="00DF7AFA" w:rsidRDefault="00A76C9A" w:rsidP="00DF7AFA">
      <w:pPr>
        <w:pStyle w:val="ListParagraph"/>
        <w:numPr>
          <w:ilvl w:val="0"/>
          <w:numId w:val="0"/>
        </w:numPr>
        <w:tabs>
          <w:tab w:val="left" w:pos="567"/>
          <w:tab w:val="left" w:pos="810"/>
        </w:tabs>
        <w:ind w:right="18"/>
        <w:rPr>
          <w:b/>
        </w:rPr>
      </w:pPr>
    </w:p>
    <w:p w:rsidR="00691C3F" w:rsidRPr="00E42617" w:rsidRDefault="004573C5" w:rsidP="00691C3F">
      <w:pPr>
        <w:pStyle w:val="ListParagraph"/>
        <w:numPr>
          <w:ilvl w:val="0"/>
          <w:numId w:val="3"/>
        </w:numPr>
        <w:tabs>
          <w:tab w:val="left" w:pos="567"/>
          <w:tab w:val="left" w:pos="810"/>
        </w:tabs>
        <w:ind w:left="0" w:firstLine="0"/>
        <w:rPr>
          <w:lang w:val="es-ES"/>
        </w:rPr>
      </w:pPr>
      <w:r w:rsidRPr="00E42617">
        <w:rPr>
          <w:lang w:val="es-ES"/>
        </w:rPr>
        <w:t xml:space="preserve">A continuación, el Presidente examinará en forma particular: </w:t>
      </w:r>
      <w:r w:rsidR="00691C3F" w:rsidRPr="00E42617">
        <w:rPr>
          <w:lang w:val="es-ES"/>
        </w:rPr>
        <w:t xml:space="preserve">a) las observaciones realizadas por el Estado a </w:t>
      </w:r>
      <w:r w:rsidR="009713AA" w:rsidRPr="00E42617">
        <w:rPr>
          <w:lang w:val="es-ES"/>
        </w:rPr>
        <w:t xml:space="preserve">dos </w:t>
      </w:r>
      <w:r w:rsidR="00BB2BCF">
        <w:rPr>
          <w:lang w:val="es-ES"/>
        </w:rPr>
        <w:t>declaraciones</w:t>
      </w:r>
      <w:r w:rsidR="00691C3F" w:rsidRPr="00E42617">
        <w:rPr>
          <w:lang w:val="es-ES"/>
        </w:rPr>
        <w:t xml:space="preserve"> ofrecidas por las representantes; b) la</w:t>
      </w:r>
      <w:r w:rsidR="00913D67" w:rsidRPr="00E42617" w:rsidDel="00913D67">
        <w:rPr>
          <w:lang w:val="es-ES"/>
        </w:rPr>
        <w:t xml:space="preserve"> </w:t>
      </w:r>
      <w:r w:rsidR="00691C3F" w:rsidRPr="00E42617">
        <w:rPr>
          <w:lang w:val="es-ES"/>
        </w:rPr>
        <w:t>recusación</w:t>
      </w:r>
      <w:r w:rsidR="00913D67" w:rsidRPr="00E42617">
        <w:rPr>
          <w:lang w:val="es-ES"/>
        </w:rPr>
        <w:t xml:space="preserve"> interpuesta</w:t>
      </w:r>
      <w:r w:rsidR="00691C3F" w:rsidRPr="00E42617">
        <w:rPr>
          <w:lang w:val="es-ES"/>
        </w:rPr>
        <w:t xml:space="preserve"> por el Estado al perito ofrecido por las representantes; c) la admisibilidad de la prueba pericial ofrecida por la Comisión</w:t>
      </w:r>
      <w:r w:rsidR="00913D67" w:rsidRPr="00E42617">
        <w:rPr>
          <w:lang w:val="es-ES"/>
        </w:rPr>
        <w:t xml:space="preserve"> Interamericana</w:t>
      </w:r>
      <w:r w:rsidR="001D53AD" w:rsidRPr="00E42617">
        <w:rPr>
          <w:lang w:val="es-ES"/>
        </w:rPr>
        <w:t xml:space="preserve">; d) </w:t>
      </w:r>
      <w:r w:rsidR="00691C3F" w:rsidRPr="00E42617">
        <w:rPr>
          <w:lang w:val="es-ES"/>
        </w:rPr>
        <w:t xml:space="preserve">la solicitud </w:t>
      </w:r>
      <w:r w:rsidR="001D53AD" w:rsidRPr="00E42617">
        <w:rPr>
          <w:lang w:val="es-ES"/>
        </w:rPr>
        <w:t xml:space="preserve">de la Comisión </w:t>
      </w:r>
      <w:r w:rsidR="00691C3F" w:rsidRPr="00E42617">
        <w:rPr>
          <w:lang w:val="es-ES"/>
        </w:rPr>
        <w:t>para formular preguntas en relación con la declaración pericial ofrecida por las representantes, y</w:t>
      </w:r>
      <w:r w:rsidR="001D53AD" w:rsidRPr="00E42617">
        <w:rPr>
          <w:lang w:val="es-ES"/>
        </w:rPr>
        <w:t xml:space="preserve"> e</w:t>
      </w:r>
      <w:r w:rsidR="00691C3F" w:rsidRPr="00E42617">
        <w:rPr>
          <w:lang w:val="es-ES"/>
        </w:rPr>
        <w:t xml:space="preserve">) la aplicación del Fondo de Asistencia Legal de Víctimas ante la Corte (en adelante “el Fondo de Asistencia” o “el Fondo”). </w:t>
      </w:r>
    </w:p>
    <w:p w:rsidR="00691C3F" w:rsidRPr="00E42617" w:rsidRDefault="00691C3F" w:rsidP="004573C5">
      <w:pPr>
        <w:pStyle w:val="ListParagraph"/>
        <w:numPr>
          <w:ilvl w:val="0"/>
          <w:numId w:val="0"/>
        </w:numPr>
        <w:tabs>
          <w:tab w:val="left" w:pos="567"/>
        </w:tabs>
        <w:rPr>
          <w:lang w:val="es-ES"/>
        </w:rPr>
      </w:pPr>
    </w:p>
    <w:p w:rsidR="004573C5" w:rsidRPr="00E42617" w:rsidRDefault="00691C3F" w:rsidP="00B048D5">
      <w:pPr>
        <w:pStyle w:val="ListParagraph"/>
        <w:numPr>
          <w:ilvl w:val="0"/>
          <w:numId w:val="13"/>
        </w:numPr>
        <w:tabs>
          <w:tab w:val="left" w:pos="1134"/>
        </w:tabs>
        <w:ind w:left="567" w:firstLine="0"/>
        <w:rPr>
          <w:b/>
          <w:bCs/>
          <w:i/>
          <w:iCs/>
          <w:lang w:val="es-ES"/>
        </w:rPr>
      </w:pPr>
      <w:r w:rsidRPr="00E42617">
        <w:rPr>
          <w:b/>
          <w:i/>
          <w:lang w:val="es-ES"/>
        </w:rPr>
        <w:t xml:space="preserve">Observaciones realizadas por el Estado a </w:t>
      </w:r>
      <w:r w:rsidR="00BB2BCF">
        <w:rPr>
          <w:b/>
          <w:i/>
          <w:lang w:val="es-ES"/>
        </w:rPr>
        <w:t>dos</w:t>
      </w:r>
      <w:r w:rsidRPr="00E42617">
        <w:rPr>
          <w:b/>
          <w:i/>
          <w:lang w:val="es-ES"/>
        </w:rPr>
        <w:t xml:space="preserve"> declaraciones ofrecidas por las representantes</w:t>
      </w:r>
    </w:p>
    <w:p w:rsidR="004573C5" w:rsidRPr="00E42617" w:rsidRDefault="004573C5" w:rsidP="005C0291">
      <w:pPr>
        <w:pStyle w:val="ListParagraph"/>
        <w:numPr>
          <w:ilvl w:val="0"/>
          <w:numId w:val="0"/>
        </w:numPr>
        <w:tabs>
          <w:tab w:val="left" w:pos="567"/>
          <w:tab w:val="left" w:pos="810"/>
        </w:tabs>
        <w:rPr>
          <w:lang w:val="es-ES"/>
        </w:rPr>
      </w:pPr>
    </w:p>
    <w:p w:rsidR="0085092F" w:rsidRPr="00E42617" w:rsidRDefault="0085092F" w:rsidP="00F8341F">
      <w:pPr>
        <w:pStyle w:val="ListParagraph"/>
        <w:numPr>
          <w:ilvl w:val="0"/>
          <w:numId w:val="3"/>
        </w:numPr>
        <w:tabs>
          <w:tab w:val="left" w:pos="567"/>
          <w:tab w:val="left" w:pos="810"/>
        </w:tabs>
        <w:ind w:left="0" w:firstLine="0"/>
        <w:rPr>
          <w:lang w:val="es-ES"/>
        </w:rPr>
      </w:pPr>
      <w:r w:rsidRPr="00E42617">
        <w:rPr>
          <w:lang w:val="es-ES"/>
        </w:rPr>
        <w:t xml:space="preserve">Las representantes ofrecieron las declaraciones de los señores </w:t>
      </w:r>
      <w:r w:rsidR="006B33C0" w:rsidRPr="00E42617">
        <w:rPr>
          <w:lang w:val="es-ES"/>
        </w:rPr>
        <w:t>H.J.R.P</w:t>
      </w:r>
      <w:r w:rsidR="00FB5D6D" w:rsidRPr="00E42617">
        <w:rPr>
          <w:lang w:val="es-ES"/>
        </w:rPr>
        <w:t>.</w:t>
      </w:r>
      <w:r w:rsidR="006B33C0" w:rsidRPr="00E42617">
        <w:rPr>
          <w:lang w:val="es-ES"/>
        </w:rPr>
        <w:t xml:space="preserve"> </w:t>
      </w:r>
      <w:r w:rsidRPr="00E42617">
        <w:rPr>
          <w:lang w:val="es-ES"/>
        </w:rPr>
        <w:t>y V.A.R.P</w:t>
      </w:r>
      <w:r w:rsidR="00FB5D6D" w:rsidRPr="00E42617">
        <w:rPr>
          <w:lang w:val="es-ES"/>
        </w:rPr>
        <w:t>.</w:t>
      </w:r>
      <w:r w:rsidRPr="00E42617">
        <w:rPr>
          <w:lang w:val="es-ES"/>
        </w:rPr>
        <w:t>, ambos hermanos de V.R.P</w:t>
      </w:r>
      <w:r w:rsidR="00FB5D6D" w:rsidRPr="00E42617">
        <w:rPr>
          <w:lang w:val="es-ES"/>
        </w:rPr>
        <w:t>.</w:t>
      </w:r>
      <w:r w:rsidRPr="00E42617">
        <w:rPr>
          <w:lang w:val="es-ES"/>
        </w:rPr>
        <w:t xml:space="preserve">, </w:t>
      </w:r>
      <w:r w:rsidR="00F8341F" w:rsidRPr="00E42617">
        <w:rPr>
          <w:lang w:val="es-ES"/>
        </w:rPr>
        <w:t>de forma oportuna. El objeto de la declaración de H.J.R.P</w:t>
      </w:r>
      <w:r w:rsidR="00FB5D6D" w:rsidRPr="00E42617">
        <w:rPr>
          <w:lang w:val="es-ES"/>
        </w:rPr>
        <w:t>.</w:t>
      </w:r>
      <w:r w:rsidR="00F8341F" w:rsidRPr="00E42617">
        <w:rPr>
          <w:lang w:val="es-ES"/>
        </w:rPr>
        <w:t xml:space="preserve"> versa</w:t>
      </w:r>
      <w:r w:rsidR="006B33C0" w:rsidRPr="00E42617">
        <w:rPr>
          <w:lang w:val="es-ES"/>
        </w:rPr>
        <w:t xml:space="preserve"> </w:t>
      </w:r>
      <w:r w:rsidRPr="00E42617">
        <w:rPr>
          <w:lang w:val="es-ES"/>
        </w:rPr>
        <w:t xml:space="preserve">sobre </w:t>
      </w:r>
      <w:r w:rsidR="00F8341F" w:rsidRPr="00E42617">
        <w:rPr>
          <w:lang w:val="es-ES"/>
        </w:rPr>
        <w:t>“</w:t>
      </w:r>
      <w:r w:rsidRPr="00E42617">
        <w:rPr>
          <w:lang w:val="es-ES"/>
        </w:rPr>
        <w:t xml:space="preserve">las circunstancias del hecho presentado por la Comisión </w:t>
      </w:r>
      <w:r w:rsidR="00FB5D6D" w:rsidRPr="00E42617">
        <w:rPr>
          <w:lang w:val="es-ES"/>
        </w:rPr>
        <w:t>[…]</w:t>
      </w:r>
      <w:r w:rsidRPr="00E42617">
        <w:rPr>
          <w:lang w:val="es-ES"/>
        </w:rPr>
        <w:t>, de manera especial las consecuencias que en su persona ha ocasionado la agresión sexual de su hermana, las actitudes de las autoridades en el caso, la desintegración familiar, así como los daños que todo esto le ha ocasionado a él y a su familia</w:t>
      </w:r>
      <w:r w:rsidR="00F8341F" w:rsidRPr="00E42617">
        <w:rPr>
          <w:lang w:val="es-ES"/>
        </w:rPr>
        <w:t>”</w:t>
      </w:r>
      <w:r w:rsidRPr="00E42617">
        <w:rPr>
          <w:lang w:val="es-ES"/>
        </w:rPr>
        <w:t>.</w:t>
      </w:r>
      <w:r w:rsidR="00F8341F" w:rsidRPr="00E42617">
        <w:rPr>
          <w:lang w:val="es-ES"/>
        </w:rPr>
        <w:t xml:space="preserve"> Asimismo, la declaración de V.A.R.P</w:t>
      </w:r>
      <w:r w:rsidR="00FB5D6D" w:rsidRPr="00E42617">
        <w:rPr>
          <w:lang w:val="es-ES"/>
        </w:rPr>
        <w:t>.</w:t>
      </w:r>
      <w:r w:rsidR="00F8341F" w:rsidRPr="00E42617">
        <w:rPr>
          <w:lang w:val="es-ES"/>
        </w:rPr>
        <w:t xml:space="preserve"> tiene como objeto</w:t>
      </w:r>
      <w:r w:rsidR="006B33C0" w:rsidRPr="00E42617">
        <w:rPr>
          <w:lang w:val="es-ES"/>
        </w:rPr>
        <w:t xml:space="preserve"> “</w:t>
      </w:r>
      <w:r w:rsidRPr="00E42617">
        <w:rPr>
          <w:lang w:val="es-ES"/>
        </w:rPr>
        <w:t xml:space="preserve">las circunstancias del hecho presentado por la Comisión </w:t>
      </w:r>
      <w:r w:rsidR="009713AA" w:rsidRPr="00E42617">
        <w:rPr>
          <w:lang w:val="es-ES"/>
        </w:rPr>
        <w:t xml:space="preserve">[…] </w:t>
      </w:r>
      <w:r w:rsidRPr="00E42617">
        <w:rPr>
          <w:lang w:val="es-ES"/>
        </w:rPr>
        <w:t>y, sobre todo, acerca de las consecuencias que ocasionó a nivel personal, familiar, social y económico la forma en la cual se desarrolló el proceso judicial de su hermana</w:t>
      </w:r>
      <w:r w:rsidR="00F8341F" w:rsidRPr="00E42617">
        <w:rPr>
          <w:lang w:val="es-ES"/>
        </w:rPr>
        <w:t>”</w:t>
      </w:r>
      <w:r w:rsidRPr="00E42617">
        <w:rPr>
          <w:lang w:val="es-ES"/>
        </w:rPr>
        <w:t>.</w:t>
      </w:r>
    </w:p>
    <w:p w:rsidR="00F8341F" w:rsidRPr="00E42617" w:rsidRDefault="00F8341F" w:rsidP="00F8341F">
      <w:pPr>
        <w:pStyle w:val="ListParagraph"/>
        <w:numPr>
          <w:ilvl w:val="0"/>
          <w:numId w:val="0"/>
        </w:numPr>
        <w:tabs>
          <w:tab w:val="left" w:pos="567"/>
          <w:tab w:val="left" w:pos="810"/>
        </w:tabs>
        <w:rPr>
          <w:lang w:val="es-ES"/>
        </w:rPr>
      </w:pPr>
    </w:p>
    <w:p w:rsidR="00F8341F" w:rsidRPr="00E42617" w:rsidRDefault="0085092F" w:rsidP="00F8341F">
      <w:pPr>
        <w:pStyle w:val="ListParagraph"/>
        <w:numPr>
          <w:ilvl w:val="0"/>
          <w:numId w:val="3"/>
        </w:numPr>
        <w:tabs>
          <w:tab w:val="left" w:pos="567"/>
          <w:tab w:val="left" w:pos="810"/>
        </w:tabs>
        <w:ind w:left="0" w:firstLine="0"/>
        <w:rPr>
          <w:lang w:val="es-ES"/>
        </w:rPr>
      </w:pPr>
      <w:r w:rsidRPr="00E42617">
        <w:rPr>
          <w:lang w:val="es-ES"/>
        </w:rPr>
        <w:t xml:space="preserve">El Estado objetó </w:t>
      </w:r>
      <w:r w:rsidR="006B33C0" w:rsidRPr="00E42617">
        <w:rPr>
          <w:lang w:val="es-ES"/>
        </w:rPr>
        <w:t>ambas declaraciones</w:t>
      </w:r>
      <w:r w:rsidR="00FB5D6D" w:rsidRPr="00E42617">
        <w:rPr>
          <w:rFonts w:cs="16mgvxmdgcg"/>
          <w:lang w:val="es-ES"/>
        </w:rPr>
        <w:t xml:space="preserve"> en calidad de testimoniales,</w:t>
      </w:r>
      <w:r w:rsidRPr="00E42617">
        <w:rPr>
          <w:lang w:val="es-ES"/>
        </w:rPr>
        <w:t xml:space="preserve"> </w:t>
      </w:r>
      <w:r w:rsidR="006B33C0" w:rsidRPr="00E42617">
        <w:rPr>
          <w:lang w:val="es-ES"/>
        </w:rPr>
        <w:t>ya que</w:t>
      </w:r>
      <w:r w:rsidR="00FB5D6D" w:rsidRPr="00E42617">
        <w:rPr>
          <w:lang w:val="es-ES"/>
        </w:rPr>
        <w:t xml:space="preserve"> según alegó</w:t>
      </w:r>
      <w:r w:rsidR="006B33C0" w:rsidRPr="00E42617">
        <w:rPr>
          <w:lang w:val="es-ES"/>
        </w:rPr>
        <w:t xml:space="preserve"> </w:t>
      </w:r>
      <w:r w:rsidR="006B33C0" w:rsidRPr="00E42617">
        <w:rPr>
          <w:rFonts w:cs="16mgvxmdgcg"/>
          <w:lang w:val="es-ES"/>
        </w:rPr>
        <w:t>ni H.J.R.P. ni V.A.R.P</w:t>
      </w:r>
      <w:r w:rsidR="009713AA" w:rsidRPr="00E42617">
        <w:rPr>
          <w:rFonts w:cs="16mgvxmdgcg"/>
          <w:lang w:val="es-ES"/>
        </w:rPr>
        <w:t>.</w:t>
      </w:r>
      <w:r w:rsidR="006B33C0" w:rsidRPr="00E42617">
        <w:rPr>
          <w:rFonts w:cs="16mgvxmdgcg"/>
          <w:lang w:val="es-ES"/>
        </w:rPr>
        <w:t xml:space="preserve"> </w:t>
      </w:r>
      <w:r w:rsidR="00FB5D6D" w:rsidRPr="00E42617">
        <w:rPr>
          <w:rFonts w:cs="16mgvxmdgcg"/>
          <w:lang w:val="es-ES"/>
        </w:rPr>
        <w:t xml:space="preserve">habrían </w:t>
      </w:r>
      <w:r w:rsidR="006B33C0" w:rsidRPr="00E42617">
        <w:rPr>
          <w:rFonts w:cs="16mgvxmdgcg"/>
          <w:lang w:val="es-ES"/>
        </w:rPr>
        <w:t>figura</w:t>
      </w:r>
      <w:r w:rsidR="00FB5D6D" w:rsidRPr="00E42617">
        <w:rPr>
          <w:rFonts w:cs="16mgvxmdgcg"/>
          <w:lang w:val="es-ES"/>
        </w:rPr>
        <w:t>do</w:t>
      </w:r>
      <w:r w:rsidR="006B33C0" w:rsidRPr="00E42617">
        <w:rPr>
          <w:rFonts w:cs="16mgvxmdgcg"/>
          <w:lang w:val="es-ES"/>
        </w:rPr>
        <w:t xml:space="preserve"> como víctimas ni como partes del proceso penal interno o ante la Comisión. </w:t>
      </w:r>
      <w:r w:rsidR="00FB5D6D" w:rsidRPr="00E42617">
        <w:rPr>
          <w:rFonts w:cs="16mgvxmdgcg"/>
          <w:lang w:val="es-ES"/>
        </w:rPr>
        <w:t xml:space="preserve">Asimismo, </w:t>
      </w:r>
      <w:r w:rsidR="00FB5D6D" w:rsidRPr="00E42617">
        <w:rPr>
          <w:lang w:val="es-ES"/>
        </w:rPr>
        <w:t>consideró que eran “impertinentes”</w:t>
      </w:r>
      <w:r w:rsidR="00FB5D6D" w:rsidRPr="00E42617">
        <w:rPr>
          <w:rFonts w:cs="16mgvxmdgcg"/>
          <w:lang w:val="es-ES"/>
        </w:rPr>
        <w:t xml:space="preserve"> debido a</w:t>
      </w:r>
      <w:r w:rsidRPr="00E42617">
        <w:rPr>
          <w:lang w:val="es-ES"/>
        </w:rPr>
        <w:t xml:space="preserve"> que</w:t>
      </w:r>
      <w:r w:rsidR="00FB5D6D" w:rsidRPr="00E42617">
        <w:rPr>
          <w:lang w:val="es-ES"/>
        </w:rPr>
        <w:t>, por un lado,</w:t>
      </w:r>
      <w:r w:rsidRPr="00E42617">
        <w:rPr>
          <w:lang w:val="es-ES"/>
        </w:rPr>
        <w:t xml:space="preserve"> </w:t>
      </w:r>
      <w:r w:rsidR="00327FBB" w:rsidRPr="00E42617">
        <w:rPr>
          <w:lang w:val="es-ES"/>
        </w:rPr>
        <w:t>la declaración de H.J.R.P</w:t>
      </w:r>
      <w:r w:rsidR="009713AA" w:rsidRPr="00E42617">
        <w:rPr>
          <w:lang w:val="es-ES"/>
        </w:rPr>
        <w:t>.</w:t>
      </w:r>
      <w:r w:rsidR="00327FBB" w:rsidRPr="00E42617">
        <w:rPr>
          <w:lang w:val="es-ES"/>
        </w:rPr>
        <w:t xml:space="preserve"> </w:t>
      </w:r>
      <w:r w:rsidR="001D4523" w:rsidRPr="00E42617">
        <w:rPr>
          <w:lang w:val="es-ES"/>
        </w:rPr>
        <w:t>era repetitiv</w:t>
      </w:r>
      <w:r w:rsidR="00FB5D6D" w:rsidRPr="00E42617">
        <w:rPr>
          <w:lang w:val="es-ES"/>
        </w:rPr>
        <w:t>a</w:t>
      </w:r>
      <w:r w:rsidR="001D4523" w:rsidRPr="00E42617">
        <w:rPr>
          <w:lang w:val="es-ES"/>
        </w:rPr>
        <w:t xml:space="preserve"> y coincidente con la declaración de V.P.C</w:t>
      </w:r>
      <w:r w:rsidR="009713AA" w:rsidRPr="00E42617">
        <w:rPr>
          <w:lang w:val="es-ES"/>
        </w:rPr>
        <w:t>.</w:t>
      </w:r>
      <w:r w:rsidR="001D4523" w:rsidRPr="00E42617">
        <w:rPr>
          <w:lang w:val="es-ES"/>
        </w:rPr>
        <w:t xml:space="preserve"> en cuanto </w:t>
      </w:r>
      <w:r w:rsidR="001D4523" w:rsidRPr="00E42617">
        <w:rPr>
          <w:rFonts w:cs="16mgvxmdgcg"/>
          <w:lang w:val="es-ES"/>
        </w:rPr>
        <w:t xml:space="preserve">a las supuestas consecuencias de la agresión sexual de su hermana, actitudes de las autoridades, desintegración familiar, y los daños ocasionados a él y a su familia. </w:t>
      </w:r>
      <w:r w:rsidR="00FB5D6D" w:rsidRPr="00E42617">
        <w:rPr>
          <w:rFonts w:cs="16mgvxmdgcg"/>
          <w:lang w:val="es-ES"/>
        </w:rPr>
        <w:t>Por otro lado, sostuvo que</w:t>
      </w:r>
      <w:r w:rsidR="00FB5D6D" w:rsidRPr="00E42617">
        <w:rPr>
          <w:lang w:val="es-ES"/>
        </w:rPr>
        <w:t xml:space="preserve"> el objeto</w:t>
      </w:r>
      <w:r w:rsidR="001D4523" w:rsidRPr="00E42617">
        <w:rPr>
          <w:rFonts w:cs="16mgvxmdgcg"/>
          <w:lang w:val="es-ES"/>
        </w:rPr>
        <w:t xml:space="preserve"> </w:t>
      </w:r>
      <w:r w:rsidR="00FB5D6D" w:rsidRPr="00E42617">
        <w:rPr>
          <w:rFonts w:cs="16mgvxmdgcg"/>
          <w:lang w:val="es-ES"/>
        </w:rPr>
        <w:t xml:space="preserve">de </w:t>
      </w:r>
      <w:r w:rsidR="001D4523" w:rsidRPr="00E42617">
        <w:rPr>
          <w:rFonts w:cs="16mgvxmdgcg"/>
          <w:lang w:val="es-ES"/>
        </w:rPr>
        <w:t>la declaración de</w:t>
      </w:r>
      <w:r w:rsidR="001D4523" w:rsidRPr="00E42617">
        <w:rPr>
          <w:lang w:val="es-ES"/>
        </w:rPr>
        <w:t xml:space="preserve"> V.A.R.P</w:t>
      </w:r>
      <w:r w:rsidR="009713AA" w:rsidRPr="00E42617">
        <w:rPr>
          <w:lang w:val="es-ES"/>
        </w:rPr>
        <w:t>.</w:t>
      </w:r>
      <w:r w:rsidRPr="00E42617">
        <w:rPr>
          <w:lang w:val="es-ES"/>
        </w:rPr>
        <w:t xml:space="preserve"> era totalmente coinci</w:t>
      </w:r>
      <w:r w:rsidR="00DD7516" w:rsidRPr="00E42617">
        <w:rPr>
          <w:lang w:val="es-ES"/>
        </w:rPr>
        <w:t>dente con la declaración de N.</w:t>
      </w:r>
      <w:r w:rsidRPr="00E42617">
        <w:rPr>
          <w:lang w:val="es-ES"/>
        </w:rPr>
        <w:t xml:space="preserve">R.P. </w:t>
      </w:r>
      <w:r w:rsidR="001D4523" w:rsidRPr="00E42617">
        <w:rPr>
          <w:lang w:val="es-ES"/>
        </w:rPr>
        <w:t xml:space="preserve">Con base en ello, Nicaragua solicitó que ambas </w:t>
      </w:r>
      <w:r w:rsidR="007E3225">
        <w:rPr>
          <w:lang w:val="es-ES"/>
        </w:rPr>
        <w:t>declaraciones fueran excluidas.</w:t>
      </w:r>
    </w:p>
    <w:p w:rsidR="00F8341F" w:rsidRPr="00E42617" w:rsidRDefault="00F8341F" w:rsidP="00F8341F">
      <w:pPr>
        <w:pStyle w:val="ListParagraph"/>
        <w:numPr>
          <w:ilvl w:val="0"/>
          <w:numId w:val="0"/>
        </w:numPr>
        <w:tabs>
          <w:tab w:val="left" w:pos="567"/>
          <w:tab w:val="left" w:pos="810"/>
        </w:tabs>
        <w:rPr>
          <w:lang w:val="es-ES"/>
        </w:rPr>
      </w:pPr>
    </w:p>
    <w:p w:rsidR="00E23D64" w:rsidRPr="00E42617" w:rsidRDefault="00E23D64" w:rsidP="00E23D64">
      <w:pPr>
        <w:pStyle w:val="ListParagraph"/>
        <w:numPr>
          <w:ilvl w:val="0"/>
          <w:numId w:val="3"/>
        </w:numPr>
        <w:tabs>
          <w:tab w:val="left" w:pos="720"/>
          <w:tab w:val="left" w:pos="810"/>
        </w:tabs>
        <w:ind w:left="0" w:firstLine="0"/>
        <w:rPr>
          <w:lang w:val="es-ES"/>
        </w:rPr>
      </w:pPr>
      <w:r w:rsidRPr="00E42617">
        <w:rPr>
          <w:lang w:val="es-ES"/>
        </w:rPr>
        <w:t xml:space="preserve">En cuanto a la calidad de las declaraciones de </w:t>
      </w:r>
      <w:r w:rsidRPr="00E42617">
        <w:rPr>
          <w:rFonts w:cs="16mgvxmdgcg"/>
          <w:lang w:val="es-ES"/>
        </w:rPr>
        <w:t>H.J.R.P. y V.A.R.P</w:t>
      </w:r>
      <w:r w:rsidR="009713AA" w:rsidRPr="00E42617">
        <w:rPr>
          <w:rFonts w:cs="16mgvxmdgcg"/>
          <w:lang w:val="es-ES"/>
        </w:rPr>
        <w:t>.</w:t>
      </w:r>
      <w:r w:rsidRPr="00E42617">
        <w:rPr>
          <w:lang w:val="es-ES"/>
        </w:rPr>
        <w:t xml:space="preserve">, si bien no corresponde en la actual etapa procesal realizar una determinación de las víctimas en </w:t>
      </w:r>
      <w:r w:rsidRPr="00E42617">
        <w:rPr>
          <w:lang w:val="es-ES"/>
        </w:rPr>
        <w:lastRenderedPageBreak/>
        <w:t xml:space="preserve">este caso, el Presidente nota que, de conformidad con la jurisprudencia reiterada de esta Corte, dichas personas </w:t>
      </w:r>
      <w:r w:rsidR="00814024">
        <w:rPr>
          <w:lang w:val="es-ES"/>
        </w:rPr>
        <w:t>fueron</w:t>
      </w:r>
      <w:r w:rsidRPr="00E42617">
        <w:rPr>
          <w:lang w:val="es-ES"/>
        </w:rPr>
        <w:t xml:space="preserve"> identificadas </w:t>
      </w:r>
      <w:r w:rsidR="00EB6026">
        <w:rPr>
          <w:lang w:val="es-ES"/>
        </w:rPr>
        <w:t>por la Comisión en su I</w:t>
      </w:r>
      <w:r w:rsidRPr="00E42617">
        <w:rPr>
          <w:lang w:val="es-ES"/>
        </w:rPr>
        <w:t xml:space="preserve">nforme de </w:t>
      </w:r>
      <w:r w:rsidR="00EB6026">
        <w:rPr>
          <w:lang w:val="es-ES"/>
        </w:rPr>
        <w:t>F</w:t>
      </w:r>
      <w:r w:rsidRPr="00E42617">
        <w:rPr>
          <w:lang w:val="es-ES"/>
        </w:rPr>
        <w:t>ondo</w:t>
      </w:r>
      <w:r w:rsidR="00E11C41">
        <w:rPr>
          <w:lang w:val="es-ES"/>
        </w:rPr>
        <w:t xml:space="preserve"> No. 4/16</w:t>
      </w:r>
      <w:r w:rsidRPr="00E42617">
        <w:rPr>
          <w:lang w:val="es-ES"/>
        </w:rPr>
        <w:t xml:space="preserve">. </w:t>
      </w:r>
      <w:r w:rsidRPr="00E42617">
        <w:rPr>
          <w:bCs/>
          <w:lang w:val="es-ES"/>
        </w:rPr>
        <w:t>En razón de ello, y de conformidad con el artículo 50 del Reglamento,</w:t>
      </w:r>
      <w:r w:rsidR="00210CCA">
        <w:rPr>
          <w:bCs/>
          <w:lang w:val="es-ES"/>
        </w:rPr>
        <w:t xml:space="preserve"> es en esta calidad </w:t>
      </w:r>
      <w:r w:rsidRPr="00E42617">
        <w:rPr>
          <w:bCs/>
          <w:lang w:val="es-ES"/>
        </w:rPr>
        <w:t xml:space="preserve">que </w:t>
      </w:r>
      <w:r w:rsidR="00072415" w:rsidRPr="00E42617">
        <w:rPr>
          <w:bCs/>
          <w:lang w:val="es-ES"/>
        </w:rPr>
        <w:t xml:space="preserve">serán recibidas </w:t>
      </w:r>
      <w:r w:rsidRPr="00E42617">
        <w:rPr>
          <w:bCs/>
          <w:lang w:val="es-ES"/>
        </w:rPr>
        <w:t>las declaraciones de estas personas y no como declaraciones testimoniales</w:t>
      </w:r>
      <w:r w:rsidRPr="00E42617">
        <w:rPr>
          <w:rStyle w:val="FootnoteReference"/>
          <w:bCs/>
          <w:sz w:val="20"/>
          <w:szCs w:val="20"/>
          <w:lang w:val="es-ES"/>
        </w:rPr>
        <w:footnoteReference w:id="5"/>
      </w:r>
      <w:r w:rsidRPr="00E42617">
        <w:rPr>
          <w:lang w:val="es-ES" w:bidi="en-US"/>
        </w:rPr>
        <w:t>.</w:t>
      </w:r>
    </w:p>
    <w:p w:rsidR="00E23D64" w:rsidRPr="00E42617" w:rsidRDefault="00E23D64" w:rsidP="00E23D64">
      <w:pPr>
        <w:pStyle w:val="ListParagraph"/>
        <w:numPr>
          <w:ilvl w:val="0"/>
          <w:numId w:val="0"/>
        </w:numPr>
        <w:tabs>
          <w:tab w:val="left" w:pos="567"/>
          <w:tab w:val="left" w:pos="810"/>
        </w:tabs>
        <w:rPr>
          <w:highlight w:val="yellow"/>
          <w:lang w:val="es-ES"/>
        </w:rPr>
      </w:pPr>
    </w:p>
    <w:p w:rsidR="00E23D64" w:rsidRPr="00E42617" w:rsidRDefault="00F7270B" w:rsidP="00E23D64">
      <w:pPr>
        <w:pStyle w:val="ListParagraph"/>
        <w:numPr>
          <w:ilvl w:val="0"/>
          <w:numId w:val="3"/>
        </w:numPr>
        <w:ind w:left="0" w:firstLine="0"/>
        <w:rPr>
          <w:b/>
          <w:bCs/>
          <w:lang w:val="es-ES"/>
        </w:rPr>
      </w:pPr>
      <w:r w:rsidRPr="00E42617">
        <w:rPr>
          <w:lang w:val="es-ES"/>
        </w:rPr>
        <w:t xml:space="preserve">Ahora bien, en lo que se refiere al hecho de que el objeto de dos declaraciones sea coincidente con otras </w:t>
      </w:r>
      <w:r w:rsidR="00F40DF4" w:rsidRPr="00E42617">
        <w:rPr>
          <w:lang w:val="es-ES"/>
        </w:rPr>
        <w:t xml:space="preserve">dos </w:t>
      </w:r>
      <w:r w:rsidRPr="00E42617">
        <w:rPr>
          <w:lang w:val="es-ES"/>
        </w:rPr>
        <w:t xml:space="preserve">ofrecidas por las representantes, la Presidencia nota que ello no constituye </w:t>
      </w:r>
      <w:r w:rsidRPr="00E42617">
        <w:rPr>
          <w:i/>
          <w:lang w:val="es-ES"/>
        </w:rPr>
        <w:t xml:space="preserve">per se </w:t>
      </w:r>
      <w:r w:rsidRPr="00E42617">
        <w:rPr>
          <w:lang w:val="es-ES"/>
        </w:rPr>
        <w:t>un motivo suficiente para no recibir la declaración, sino que se apreciará su pertinencia</w:t>
      </w:r>
      <w:r w:rsidR="00F40DF4" w:rsidRPr="00E42617">
        <w:rPr>
          <w:lang w:val="es-ES"/>
        </w:rPr>
        <w:t xml:space="preserve"> de acuerdo a</w:t>
      </w:r>
      <w:r w:rsidRPr="00E42617">
        <w:rPr>
          <w:lang w:val="es-ES"/>
        </w:rPr>
        <w:t xml:space="preserve"> </w:t>
      </w:r>
      <w:r w:rsidR="00F40DF4" w:rsidRPr="00E42617">
        <w:rPr>
          <w:lang w:val="es-ES"/>
        </w:rPr>
        <w:t>las características particulares del caso y al objeto de la controversia entre las partes</w:t>
      </w:r>
      <w:r w:rsidRPr="00E42617">
        <w:rPr>
          <w:rStyle w:val="FootnoteReference"/>
          <w:sz w:val="20"/>
          <w:szCs w:val="20"/>
          <w:lang w:val="es-ES"/>
        </w:rPr>
        <w:footnoteReference w:id="6"/>
      </w:r>
      <w:r w:rsidR="00F40DF4" w:rsidRPr="00E42617">
        <w:rPr>
          <w:lang w:val="es-ES"/>
        </w:rPr>
        <w:t>.</w:t>
      </w:r>
      <w:r w:rsidRPr="00E42617">
        <w:rPr>
          <w:lang w:val="es-ES"/>
        </w:rPr>
        <w:t xml:space="preserve"> </w:t>
      </w:r>
      <w:r w:rsidR="00E23D64" w:rsidRPr="00E42617">
        <w:rPr>
          <w:lang w:val="es-ES"/>
        </w:rPr>
        <w:t>En este sentido, la Presidencia considera que</w:t>
      </w:r>
      <w:r w:rsidR="00F40DF4" w:rsidRPr="00E42617">
        <w:rPr>
          <w:lang w:val="es-ES"/>
        </w:rPr>
        <w:t xml:space="preserve">, en la medida que cada una de las </w:t>
      </w:r>
      <w:r w:rsidR="00B507FA">
        <w:rPr>
          <w:lang w:val="es-ES"/>
        </w:rPr>
        <w:t>personas</w:t>
      </w:r>
      <w:r w:rsidR="00F40DF4" w:rsidRPr="00E42617">
        <w:rPr>
          <w:lang w:val="es-ES"/>
        </w:rPr>
        <w:t xml:space="preserve"> pueden proporcionar mayor información sobre las violaciones alegadas y sus consecuencias</w:t>
      </w:r>
      <w:r w:rsidR="00F40DF4" w:rsidRPr="00E42617">
        <w:rPr>
          <w:rStyle w:val="FootnoteReference"/>
          <w:sz w:val="20"/>
          <w:szCs w:val="20"/>
          <w:lang w:val="es-ES"/>
        </w:rPr>
        <w:footnoteReference w:id="7"/>
      </w:r>
      <w:r w:rsidR="00F40DF4" w:rsidRPr="00E42617">
        <w:rPr>
          <w:lang w:val="es-ES"/>
        </w:rPr>
        <w:t xml:space="preserve">, resulta pertinente recibir las dos declaraciones objetadas, en tanto </w:t>
      </w:r>
      <w:r w:rsidR="00E23D64" w:rsidRPr="00E42617">
        <w:rPr>
          <w:lang w:val="es-ES"/>
        </w:rPr>
        <w:t xml:space="preserve">serán aportadas desde el punto de vista y experiencias personales de </w:t>
      </w:r>
      <w:r w:rsidR="00B507FA">
        <w:rPr>
          <w:lang w:val="es-ES"/>
        </w:rPr>
        <w:t>quienes</w:t>
      </w:r>
      <w:r w:rsidR="00E23D64" w:rsidRPr="00E42617">
        <w:rPr>
          <w:lang w:val="es-ES"/>
        </w:rPr>
        <w:t xml:space="preserve"> las brinden con respecto a los hechos y </w:t>
      </w:r>
      <w:r w:rsidR="00892C6A" w:rsidRPr="00E42617">
        <w:rPr>
          <w:lang w:val="es-ES"/>
        </w:rPr>
        <w:t xml:space="preserve">posibles </w:t>
      </w:r>
      <w:r w:rsidR="00E51D49" w:rsidRPr="00E42617">
        <w:rPr>
          <w:lang w:val="es-ES"/>
        </w:rPr>
        <w:t>afectaciones</w:t>
      </w:r>
      <w:r w:rsidR="00E23D64" w:rsidRPr="00E42617">
        <w:rPr>
          <w:lang w:val="es-ES"/>
        </w:rPr>
        <w:t>.</w:t>
      </w:r>
    </w:p>
    <w:p w:rsidR="00E23D64" w:rsidRPr="00E42617" w:rsidRDefault="00E23D64" w:rsidP="00E23D64">
      <w:pPr>
        <w:pStyle w:val="ListParagraph"/>
        <w:numPr>
          <w:ilvl w:val="0"/>
          <w:numId w:val="0"/>
        </w:numPr>
        <w:rPr>
          <w:b/>
          <w:bCs/>
          <w:lang w:val="es-ES"/>
        </w:rPr>
      </w:pPr>
    </w:p>
    <w:p w:rsidR="00E23D64" w:rsidRPr="00E42617" w:rsidRDefault="00E23D64" w:rsidP="00E23D64">
      <w:pPr>
        <w:pStyle w:val="ListParagraph"/>
        <w:numPr>
          <w:ilvl w:val="0"/>
          <w:numId w:val="3"/>
        </w:numPr>
        <w:ind w:left="0" w:firstLine="0"/>
        <w:rPr>
          <w:b/>
          <w:bCs/>
          <w:lang w:val="es-ES"/>
        </w:rPr>
      </w:pPr>
      <w:r w:rsidRPr="00E42617">
        <w:rPr>
          <w:lang w:val="es-ES" w:bidi="en-US"/>
        </w:rPr>
        <w:t xml:space="preserve">En razón de lo anterior, esta Presidencia </w:t>
      </w:r>
      <w:r w:rsidRPr="00E42617">
        <w:rPr>
          <w:bCs/>
          <w:iCs/>
          <w:lang w:val="es-ES"/>
        </w:rPr>
        <w:t xml:space="preserve">estima pertinente admitir </w:t>
      </w:r>
      <w:r w:rsidRPr="00E42617">
        <w:rPr>
          <w:lang w:val="es-ES"/>
        </w:rPr>
        <w:t>las declaraciones de</w:t>
      </w:r>
      <w:r w:rsidRPr="00E42617">
        <w:rPr>
          <w:rFonts w:cs="16mgvxmdgcg"/>
          <w:lang w:val="es-ES"/>
        </w:rPr>
        <w:t xml:space="preserve"> H.J.R.P. y V.A.R.P</w:t>
      </w:r>
      <w:r w:rsidR="009713AA" w:rsidRPr="00E42617">
        <w:rPr>
          <w:rFonts w:cs="16mgvxmdgcg"/>
          <w:lang w:val="es-ES"/>
        </w:rPr>
        <w:t>.</w:t>
      </w:r>
      <w:r w:rsidRPr="00E42617">
        <w:rPr>
          <w:rFonts w:cs="16mgvxmdgcg"/>
          <w:lang w:val="es-ES"/>
        </w:rPr>
        <w:t>,</w:t>
      </w:r>
      <w:r w:rsidRPr="00E42617">
        <w:rPr>
          <w:lang w:val="es-ES"/>
        </w:rPr>
        <w:t xml:space="preserve"> </w:t>
      </w:r>
      <w:r w:rsidRPr="00E42617">
        <w:rPr>
          <w:bCs/>
          <w:iCs/>
          <w:lang w:val="es-ES"/>
        </w:rPr>
        <w:t>según el objeto y modalidad determinados en la parte resolutiva de la presente Resolución (</w:t>
      </w:r>
      <w:r w:rsidRPr="00E42617">
        <w:rPr>
          <w:bCs/>
          <w:i/>
          <w:iCs/>
          <w:lang w:val="es-ES"/>
        </w:rPr>
        <w:t>infra</w:t>
      </w:r>
      <w:r w:rsidRPr="00E42617">
        <w:rPr>
          <w:bCs/>
          <w:iCs/>
          <w:lang w:val="es-ES"/>
        </w:rPr>
        <w:t xml:space="preserve"> punto resolutivo </w:t>
      </w:r>
      <w:r w:rsidR="000C5869">
        <w:rPr>
          <w:bCs/>
          <w:iCs/>
          <w:lang w:val="es-ES"/>
        </w:rPr>
        <w:t>6</w:t>
      </w:r>
      <w:r w:rsidRPr="00E42617">
        <w:rPr>
          <w:bCs/>
          <w:iCs/>
          <w:lang w:val="es-ES"/>
        </w:rPr>
        <w:t xml:space="preserve">). El valor de las mismas será determinado en la debida oportunidad, de conformidad con el marco fáctico establecido por la Comisión en su Informe de Fondo, dentro del contexto del acervo probatorio existente y según las reglas de la sana crítica. </w:t>
      </w:r>
    </w:p>
    <w:p w:rsidR="00E23D64" w:rsidRPr="00E42617" w:rsidRDefault="00E23D64" w:rsidP="00E23D64">
      <w:pPr>
        <w:pStyle w:val="ListParagraph"/>
        <w:numPr>
          <w:ilvl w:val="0"/>
          <w:numId w:val="0"/>
        </w:numPr>
        <w:rPr>
          <w:highlight w:val="yellow"/>
          <w:lang w:val="es-ES"/>
        </w:rPr>
      </w:pPr>
    </w:p>
    <w:p w:rsidR="001D53AD" w:rsidRPr="00E42617" w:rsidRDefault="009513BF" w:rsidP="009E658C">
      <w:pPr>
        <w:pStyle w:val="ListParagraph"/>
        <w:numPr>
          <w:ilvl w:val="0"/>
          <w:numId w:val="13"/>
        </w:numPr>
        <w:tabs>
          <w:tab w:val="left" w:pos="1134"/>
        </w:tabs>
        <w:ind w:left="567" w:firstLine="0"/>
        <w:rPr>
          <w:b/>
          <w:bCs/>
          <w:i/>
          <w:iCs/>
          <w:lang w:val="es-ES"/>
        </w:rPr>
      </w:pPr>
      <w:r w:rsidRPr="00E42617">
        <w:rPr>
          <w:b/>
          <w:i/>
          <w:lang w:val="es-ES"/>
        </w:rPr>
        <w:t xml:space="preserve">Recusación interpuesta </w:t>
      </w:r>
      <w:r w:rsidR="001D53AD" w:rsidRPr="00E42617">
        <w:rPr>
          <w:b/>
          <w:i/>
          <w:lang w:val="es-ES"/>
        </w:rPr>
        <w:t>por el Estado al perito ofrecido por las representantes</w:t>
      </w:r>
    </w:p>
    <w:p w:rsidR="001D53AD" w:rsidRPr="00E42617" w:rsidRDefault="001D53AD" w:rsidP="001D53AD">
      <w:pPr>
        <w:pStyle w:val="ListParagraph"/>
        <w:numPr>
          <w:ilvl w:val="0"/>
          <w:numId w:val="0"/>
        </w:numPr>
        <w:tabs>
          <w:tab w:val="left" w:pos="1134"/>
        </w:tabs>
        <w:ind w:left="567"/>
        <w:rPr>
          <w:b/>
          <w:bCs/>
          <w:i/>
          <w:iCs/>
          <w:lang w:val="es-ES"/>
        </w:rPr>
      </w:pPr>
    </w:p>
    <w:p w:rsidR="0053042E" w:rsidRPr="00E42617" w:rsidRDefault="000B6998" w:rsidP="0053042E">
      <w:pPr>
        <w:pStyle w:val="ListParagraph"/>
        <w:numPr>
          <w:ilvl w:val="0"/>
          <w:numId w:val="3"/>
        </w:numPr>
        <w:tabs>
          <w:tab w:val="left" w:pos="567"/>
          <w:tab w:val="left" w:pos="810"/>
          <w:tab w:val="left" w:pos="1134"/>
        </w:tabs>
        <w:ind w:left="0" w:firstLine="0"/>
        <w:rPr>
          <w:b/>
          <w:bCs/>
          <w:i/>
          <w:iCs/>
          <w:lang w:val="es-ES"/>
        </w:rPr>
      </w:pPr>
      <w:r w:rsidRPr="00E42617">
        <w:rPr>
          <w:lang w:val="es-ES"/>
        </w:rPr>
        <w:t>Las representantes ofrecieron como prueba pericial el dictamen del señor Enrique Oscar Stola</w:t>
      </w:r>
      <w:r w:rsidR="009513BF" w:rsidRPr="00E42617">
        <w:rPr>
          <w:rStyle w:val="FootnoteReference"/>
          <w:sz w:val="20"/>
          <w:szCs w:val="20"/>
          <w:lang w:val="es-ES"/>
        </w:rPr>
        <w:footnoteReference w:id="8"/>
      </w:r>
      <w:r w:rsidRPr="00E42617">
        <w:rPr>
          <w:lang w:val="es-ES"/>
        </w:rPr>
        <w:t xml:space="preserve">, médico </w:t>
      </w:r>
      <w:r w:rsidR="000732B1" w:rsidRPr="00E42617">
        <w:rPr>
          <w:rFonts w:cs="Arial"/>
          <w:color w:val="1B1B1B"/>
          <w:lang w:val="es-ES"/>
        </w:rPr>
        <w:t xml:space="preserve">especialista </w:t>
      </w:r>
      <w:r w:rsidR="000732B1" w:rsidRPr="00E42617">
        <w:rPr>
          <w:rFonts w:cs="Arial"/>
          <w:lang w:val="es-ES"/>
        </w:rPr>
        <w:t>en psiquiatría y p</w:t>
      </w:r>
      <w:r w:rsidRPr="00E42617">
        <w:rPr>
          <w:rFonts w:cs="Arial"/>
          <w:lang w:val="es-ES"/>
        </w:rPr>
        <w:t>sicología</w:t>
      </w:r>
      <w:r w:rsidRPr="00E42617">
        <w:rPr>
          <w:lang w:val="es-ES"/>
        </w:rPr>
        <w:t xml:space="preserve">, con el fin de que declare, </w:t>
      </w:r>
      <w:r w:rsidRPr="00E42617">
        <w:rPr>
          <w:i/>
          <w:lang w:val="es-ES"/>
        </w:rPr>
        <w:t>inter alia</w:t>
      </w:r>
      <w:r w:rsidRPr="00E42617">
        <w:rPr>
          <w:lang w:val="es-ES"/>
        </w:rPr>
        <w:t xml:space="preserve">, sobre los daños que pudiera ocasionar la agresión sexual a una niña </w:t>
      </w:r>
      <w:r w:rsidR="00C732E5" w:rsidRPr="00E42617">
        <w:rPr>
          <w:lang w:val="es-ES"/>
        </w:rPr>
        <w:t xml:space="preserve">y las </w:t>
      </w:r>
      <w:r w:rsidRPr="00E42617">
        <w:rPr>
          <w:lang w:val="es-ES"/>
        </w:rPr>
        <w:t xml:space="preserve">actuaciones de las autoridades en el transcurso de investigaciones que pudieron ocasionar </w:t>
      </w:r>
      <w:r w:rsidR="00C732E5" w:rsidRPr="00E42617">
        <w:rPr>
          <w:lang w:val="es-ES"/>
        </w:rPr>
        <w:t>su revictimización</w:t>
      </w:r>
      <w:r w:rsidR="00D52FBF" w:rsidRPr="00E42617">
        <w:rPr>
          <w:lang w:val="es-ES"/>
        </w:rPr>
        <w:t>; el procedimiento y trato adecuado.</w:t>
      </w:r>
    </w:p>
    <w:p w:rsidR="007669E4" w:rsidRPr="00E42617" w:rsidRDefault="007669E4" w:rsidP="007669E4">
      <w:pPr>
        <w:pStyle w:val="ListParagraph"/>
        <w:numPr>
          <w:ilvl w:val="0"/>
          <w:numId w:val="0"/>
        </w:numPr>
        <w:tabs>
          <w:tab w:val="left" w:pos="567"/>
          <w:tab w:val="left" w:pos="810"/>
          <w:tab w:val="left" w:pos="1134"/>
        </w:tabs>
        <w:rPr>
          <w:b/>
          <w:bCs/>
          <w:i/>
          <w:iCs/>
          <w:lang w:val="es-ES"/>
        </w:rPr>
      </w:pPr>
    </w:p>
    <w:p w:rsidR="007669E4" w:rsidRPr="00E42617" w:rsidRDefault="007669E4" w:rsidP="007669E4">
      <w:pPr>
        <w:pStyle w:val="ListParagraph"/>
        <w:numPr>
          <w:ilvl w:val="0"/>
          <w:numId w:val="3"/>
        </w:numPr>
        <w:tabs>
          <w:tab w:val="left" w:pos="567"/>
          <w:tab w:val="left" w:pos="810"/>
          <w:tab w:val="left" w:pos="1134"/>
        </w:tabs>
        <w:ind w:left="0" w:firstLine="0"/>
        <w:rPr>
          <w:b/>
          <w:bCs/>
          <w:i/>
          <w:iCs/>
          <w:lang w:val="es-ES"/>
        </w:rPr>
      </w:pPr>
      <w:r w:rsidRPr="00E42617">
        <w:rPr>
          <w:lang w:val="es-ES"/>
        </w:rPr>
        <w:t xml:space="preserve">El Estado presentó una recusación contra el perito Enrique Oscar Stola, con base </w:t>
      </w:r>
      <w:r w:rsidRPr="00E42617">
        <w:rPr>
          <w:lang w:val="es-ES"/>
        </w:rPr>
        <w:lastRenderedPageBreak/>
        <w:t>en la causal señalada en el artículo 48.1.c) del Reglamento</w:t>
      </w:r>
      <w:r w:rsidRPr="00E42617">
        <w:rPr>
          <w:rStyle w:val="FootnoteReference"/>
          <w:sz w:val="20"/>
          <w:szCs w:val="20"/>
          <w:lang w:val="es-ES"/>
        </w:rPr>
        <w:footnoteReference w:id="9"/>
      </w:r>
      <w:r w:rsidR="00B24E27" w:rsidRPr="00E42617">
        <w:rPr>
          <w:lang w:val="es-ES"/>
        </w:rPr>
        <w:t>. A</w:t>
      </w:r>
      <w:r w:rsidR="00E33F41" w:rsidRPr="00E42617">
        <w:rPr>
          <w:lang w:val="es-ES"/>
        </w:rPr>
        <w:t xml:space="preserve">simismo, </w:t>
      </w:r>
      <w:r w:rsidR="00A312C5" w:rsidRPr="00E42617">
        <w:rPr>
          <w:lang w:val="es-ES"/>
        </w:rPr>
        <w:t>sostuvo</w:t>
      </w:r>
      <w:r w:rsidR="00B24E27" w:rsidRPr="00E42617">
        <w:rPr>
          <w:lang w:val="es-ES"/>
        </w:rPr>
        <w:t xml:space="preserve"> que habría existido una</w:t>
      </w:r>
      <w:r w:rsidRPr="00E42617">
        <w:rPr>
          <w:lang w:val="es-ES"/>
        </w:rPr>
        <w:t xml:space="preserve"> imprecisión en la designación del perito propuesto</w:t>
      </w:r>
      <w:r w:rsidR="00E33F41" w:rsidRPr="00E42617">
        <w:rPr>
          <w:lang w:val="es-ES"/>
        </w:rPr>
        <w:t xml:space="preserve"> y objetó</w:t>
      </w:r>
      <w:r w:rsidRPr="00E42617">
        <w:rPr>
          <w:lang w:val="es-ES"/>
        </w:rPr>
        <w:t xml:space="preserve"> la idoneidad del mismo.</w:t>
      </w:r>
    </w:p>
    <w:p w:rsidR="007669E4" w:rsidRPr="00E42617" w:rsidRDefault="007669E4" w:rsidP="007669E4">
      <w:pPr>
        <w:pStyle w:val="ListParagraph"/>
        <w:numPr>
          <w:ilvl w:val="0"/>
          <w:numId w:val="0"/>
        </w:numPr>
        <w:rPr>
          <w:bCs/>
          <w:iCs/>
          <w:lang w:val="es-ES"/>
        </w:rPr>
      </w:pPr>
    </w:p>
    <w:p w:rsidR="007669E4" w:rsidRPr="00E42617" w:rsidRDefault="00A312C5" w:rsidP="007669E4">
      <w:pPr>
        <w:pStyle w:val="ListParagraph"/>
        <w:numPr>
          <w:ilvl w:val="0"/>
          <w:numId w:val="3"/>
        </w:numPr>
        <w:tabs>
          <w:tab w:val="left" w:pos="567"/>
          <w:tab w:val="left" w:pos="810"/>
          <w:tab w:val="left" w:pos="1134"/>
        </w:tabs>
        <w:ind w:left="0" w:firstLine="0"/>
        <w:rPr>
          <w:rFonts w:eastAsiaTheme="minorHAnsi" w:cs="16mgvxmdgcg"/>
          <w:lang w:val="es-ES"/>
        </w:rPr>
      </w:pPr>
      <w:r w:rsidRPr="00E42617">
        <w:rPr>
          <w:bCs/>
          <w:iCs/>
          <w:lang w:val="es-ES"/>
        </w:rPr>
        <w:t>Al respecto, e</w:t>
      </w:r>
      <w:r w:rsidR="00B507FA">
        <w:rPr>
          <w:bCs/>
          <w:iCs/>
          <w:lang w:val="es-ES"/>
        </w:rPr>
        <w:t xml:space="preserve">l Estado alegó que </w:t>
      </w:r>
      <w:r w:rsidR="007669E4" w:rsidRPr="00E42617">
        <w:rPr>
          <w:rFonts w:eastAsiaTheme="minorHAnsi" w:cs="16mgvxmdgcg"/>
          <w:lang w:val="es-ES"/>
        </w:rPr>
        <w:t xml:space="preserve">las representantes </w:t>
      </w:r>
      <w:r w:rsidR="00B507FA">
        <w:rPr>
          <w:rFonts w:eastAsiaTheme="minorHAnsi" w:cs="16mgvxmdgcg"/>
          <w:lang w:val="es-ES"/>
        </w:rPr>
        <w:t>“</w:t>
      </w:r>
      <w:r w:rsidR="007669E4" w:rsidRPr="00E42617">
        <w:rPr>
          <w:rFonts w:eastAsiaTheme="minorHAnsi" w:cs="16mgvxmdgcg"/>
          <w:lang w:val="es-ES"/>
        </w:rPr>
        <w:t>pretend[ían] incursionar al proceso como elemento de prueba pericial, un perito que no fue debidamente incorporado al proceso y con flagrante violación de los artículos 2 numeral 23 que definen qu[é] es perito, artículos 40 numeral 2 literal c</w:t>
      </w:r>
      <w:r w:rsidR="003947A9" w:rsidRPr="00E42617">
        <w:rPr>
          <w:rFonts w:eastAsiaTheme="minorHAnsi" w:cs="16mgvxmdgcg"/>
          <w:lang w:val="es-ES"/>
        </w:rPr>
        <w:t>[,]</w:t>
      </w:r>
      <w:r w:rsidR="007669E4" w:rsidRPr="00E42617">
        <w:rPr>
          <w:rFonts w:eastAsiaTheme="minorHAnsi" w:cs="16mgvxmdgcg"/>
          <w:lang w:val="es-ES"/>
        </w:rPr>
        <w:t xml:space="preserve"> concatenado con el ar</w:t>
      </w:r>
      <w:r w:rsidR="008F5DF1">
        <w:rPr>
          <w:rFonts w:eastAsiaTheme="minorHAnsi" w:cs="16mgvxmdgcg"/>
          <w:lang w:val="es-ES"/>
        </w:rPr>
        <w:t>tículo 46 numeral 1, todos del [R]</w:t>
      </w:r>
      <w:r w:rsidR="007669E4" w:rsidRPr="00E42617">
        <w:rPr>
          <w:rFonts w:eastAsiaTheme="minorHAnsi" w:cs="16mgvxmdgcg"/>
          <w:lang w:val="es-ES"/>
        </w:rPr>
        <w:t xml:space="preserve">eglamento de la Corte, ya que hubo imprecisión del perito, ofreciéndose en el acápite referido a la prueba del </w:t>
      </w:r>
      <w:r w:rsidRPr="00E42617">
        <w:rPr>
          <w:rFonts w:eastAsiaTheme="minorHAnsi" w:cs="16mgvxmdgcg"/>
          <w:lang w:val="es-ES"/>
        </w:rPr>
        <w:t xml:space="preserve">[escrito de las representantes] </w:t>
      </w:r>
      <w:r w:rsidR="007669E4" w:rsidRPr="00E42617">
        <w:rPr>
          <w:rFonts w:eastAsiaTheme="minorHAnsi" w:cs="16mgvxmdgcg"/>
          <w:lang w:val="es-ES"/>
        </w:rPr>
        <w:t>al Dr. Enrique Oscar Stola, mientras que en la documentación del anexo C referida a la acreditación de los peritos, anexan [c]urrículo e informe del perito Roberto Stola, con título profesional académico de médico cirujano; por ende [conforme a] los artículos antes referidos del reglamento[,] al no ser identificado con precisión el perito[,] se violenta el derecho de defensa del Estado”. Asimismo, señaló que las representantes adjuntaron “</w:t>
      </w:r>
      <w:r w:rsidR="003947A9" w:rsidRPr="00E42617">
        <w:rPr>
          <w:rFonts w:eastAsiaTheme="minorHAnsi" w:cs="16mgvxmdgcg"/>
          <w:lang w:val="es-ES"/>
        </w:rPr>
        <w:t>[la]</w:t>
      </w:r>
      <w:r w:rsidR="007669E4" w:rsidRPr="00E42617">
        <w:rPr>
          <w:rFonts w:eastAsiaTheme="minorHAnsi" w:cs="16mgvxmdgcg"/>
          <w:lang w:val="es-ES"/>
        </w:rPr>
        <w:t xml:space="preserve"> hoja de vida de otro perito y no del ofrecido a declarar” y que en la lista definitiva remitida confirmaron a un perito que no fue oportunamente propuesto. </w:t>
      </w:r>
    </w:p>
    <w:p w:rsidR="007669E4" w:rsidRPr="00E42617" w:rsidRDefault="007669E4" w:rsidP="007669E4">
      <w:pPr>
        <w:pStyle w:val="ListParagraph"/>
        <w:numPr>
          <w:ilvl w:val="0"/>
          <w:numId w:val="0"/>
        </w:numPr>
        <w:rPr>
          <w:rFonts w:eastAsiaTheme="minorHAnsi" w:cs="16mgvxmdgcg"/>
          <w:lang w:val="es-ES"/>
        </w:rPr>
      </w:pPr>
    </w:p>
    <w:p w:rsidR="007669E4" w:rsidRPr="00E42617" w:rsidRDefault="00A312C5" w:rsidP="007669E4">
      <w:pPr>
        <w:pStyle w:val="ListParagraph"/>
        <w:numPr>
          <w:ilvl w:val="0"/>
          <w:numId w:val="3"/>
        </w:numPr>
        <w:tabs>
          <w:tab w:val="left" w:pos="567"/>
          <w:tab w:val="left" w:pos="810"/>
          <w:tab w:val="left" w:pos="1134"/>
        </w:tabs>
        <w:ind w:left="0" w:firstLine="0"/>
        <w:rPr>
          <w:rFonts w:eastAsiaTheme="minorHAnsi" w:cs="16mgvxmdgcg"/>
          <w:lang w:val="es-ES"/>
        </w:rPr>
      </w:pPr>
      <w:r w:rsidRPr="00E42617">
        <w:rPr>
          <w:rFonts w:eastAsiaTheme="minorHAnsi" w:cs="16mgvxmdgcg"/>
          <w:lang w:val="es-ES"/>
        </w:rPr>
        <w:t>Por otra parte</w:t>
      </w:r>
      <w:r w:rsidR="003947A9" w:rsidRPr="00E42617">
        <w:rPr>
          <w:rFonts w:eastAsiaTheme="minorHAnsi" w:cs="16mgvxmdgcg"/>
          <w:lang w:val="es-ES"/>
        </w:rPr>
        <w:t>, e</w:t>
      </w:r>
      <w:r w:rsidR="007669E4" w:rsidRPr="00E42617">
        <w:rPr>
          <w:rFonts w:eastAsiaTheme="minorHAnsi" w:cs="16mgvxmdgcg"/>
          <w:lang w:val="es-ES"/>
        </w:rPr>
        <w:t xml:space="preserve">l Estado consideró que debía acreditarse la idoneidad de quien emite el informe pericial, lo que sugiere antecedentes académicos que den cuenta de su experticia. </w:t>
      </w:r>
      <w:r w:rsidR="008F5DF1">
        <w:rPr>
          <w:rFonts w:eastAsiaTheme="minorHAnsi" w:cs="16mgvxmdgcg"/>
          <w:lang w:val="es-ES"/>
        </w:rPr>
        <w:t>Agregó que “[c]</w:t>
      </w:r>
      <w:r w:rsidR="007669E4" w:rsidRPr="00E42617">
        <w:rPr>
          <w:bCs/>
          <w:iCs/>
          <w:lang w:val="es-ES"/>
        </w:rPr>
        <w:t>omo [parte] del derecho de defensa[,] las partes deb[ían] conocer el contenido del informe pericial, lo que implica[ba] un control no sólo sobre la relevancia o pertinencia del peritaje sino, de la idoneidad, pues no basta[ba] [con] acreditar una experticia determinada sino que [debía estar] vinculad</w:t>
      </w:r>
      <w:r w:rsidR="008F5DF1">
        <w:rPr>
          <w:bCs/>
          <w:iCs/>
          <w:lang w:val="es-ES"/>
        </w:rPr>
        <w:t>[</w:t>
      </w:r>
      <w:r w:rsidR="007669E4" w:rsidRPr="00E42617">
        <w:rPr>
          <w:bCs/>
          <w:iCs/>
          <w:lang w:val="es-ES"/>
        </w:rPr>
        <w:t>a</w:t>
      </w:r>
      <w:r w:rsidR="008F5DF1">
        <w:rPr>
          <w:bCs/>
          <w:iCs/>
          <w:lang w:val="es-ES"/>
        </w:rPr>
        <w:t>]</w:t>
      </w:r>
      <w:r w:rsidR="007669E4" w:rsidRPr="00E42617">
        <w:rPr>
          <w:bCs/>
          <w:iCs/>
          <w:lang w:val="es-ES"/>
        </w:rPr>
        <w:t xml:space="preserve"> al informe pericial que se expondrá. Lo antes esgrimido tiene que ver con la admisibilidad del peritaje, cada una de estas pericias requieren no sólo acompañar el informe pericial sino la idoneidad del perito, pues e[ra] la única forma de controlar tanto la pertinencia del informe y la idoneidad del perito que la emite. Para el Estado es un requisito la confiabilidad del peritaje, esto es que pued[a] rechazarse si el contenido de la declaración no otorga garantías de seriedad y profesionalismo o no ha sido obtenida ateniéndose a los principios de la ciencia o disciplina a la cual pertenece”.</w:t>
      </w:r>
    </w:p>
    <w:p w:rsidR="007669E4" w:rsidRPr="00E42617" w:rsidRDefault="007669E4" w:rsidP="007669E4">
      <w:pPr>
        <w:pStyle w:val="ListParagraph"/>
        <w:numPr>
          <w:ilvl w:val="0"/>
          <w:numId w:val="0"/>
        </w:numPr>
        <w:rPr>
          <w:rFonts w:eastAsiaTheme="minorHAnsi" w:cs="16mgvxmdgcg"/>
          <w:lang w:val="es-ES"/>
        </w:rPr>
      </w:pPr>
    </w:p>
    <w:p w:rsidR="007669E4" w:rsidRPr="00E42617" w:rsidRDefault="006F29C7" w:rsidP="007669E4">
      <w:pPr>
        <w:pStyle w:val="ListParagraph"/>
        <w:numPr>
          <w:ilvl w:val="0"/>
          <w:numId w:val="3"/>
        </w:numPr>
        <w:tabs>
          <w:tab w:val="left" w:pos="567"/>
          <w:tab w:val="left" w:pos="810"/>
          <w:tab w:val="left" w:pos="1134"/>
        </w:tabs>
        <w:ind w:left="0" w:firstLine="0"/>
        <w:rPr>
          <w:rFonts w:eastAsiaTheme="minorHAnsi" w:cs="16mgvxmdgcg"/>
          <w:lang w:val="es-ES"/>
        </w:rPr>
      </w:pPr>
      <w:r w:rsidRPr="00E42617">
        <w:rPr>
          <w:rFonts w:eastAsiaTheme="minorHAnsi" w:cs="16mgvxmdgcg"/>
          <w:lang w:val="es-ES"/>
        </w:rPr>
        <w:t>Adicionalmente</w:t>
      </w:r>
      <w:r w:rsidR="007669E4" w:rsidRPr="00E42617">
        <w:rPr>
          <w:rFonts w:eastAsiaTheme="minorHAnsi" w:cs="16mgvxmdgcg"/>
          <w:lang w:val="es-ES"/>
        </w:rPr>
        <w:t xml:space="preserve">, </w:t>
      </w:r>
      <w:r w:rsidR="007669E4" w:rsidRPr="00E42617">
        <w:rPr>
          <w:bCs/>
          <w:iCs/>
          <w:lang w:val="es-ES"/>
        </w:rPr>
        <w:t xml:space="preserve">el Estado indicó que, a través de información que circulaba en internet, tuvo conocimiento que </w:t>
      </w:r>
      <w:r w:rsidRPr="00E42617">
        <w:rPr>
          <w:bCs/>
          <w:iCs/>
          <w:lang w:val="es-ES"/>
        </w:rPr>
        <w:t xml:space="preserve">el señor </w:t>
      </w:r>
      <w:r w:rsidR="007669E4" w:rsidRPr="00E42617">
        <w:rPr>
          <w:bCs/>
          <w:iCs/>
          <w:lang w:val="es-ES"/>
        </w:rPr>
        <w:t xml:space="preserve">Enrique Oscar Stola </w:t>
      </w:r>
      <w:r w:rsidRPr="00E42617">
        <w:rPr>
          <w:bCs/>
          <w:iCs/>
          <w:lang w:val="es-ES"/>
        </w:rPr>
        <w:t xml:space="preserve">habría sido </w:t>
      </w:r>
      <w:r w:rsidR="007669E4" w:rsidRPr="00E42617">
        <w:rPr>
          <w:bCs/>
          <w:iCs/>
          <w:lang w:val="es-ES"/>
        </w:rPr>
        <w:t xml:space="preserve">denunciado por la presunta autoría de los delitos de usurpación de títulos, falsedad instrumental ideológica y fraude procesal, </w:t>
      </w:r>
      <w:r w:rsidR="004A63D8" w:rsidRPr="00E42617">
        <w:rPr>
          <w:bCs/>
          <w:iCs/>
          <w:lang w:val="es-ES"/>
        </w:rPr>
        <w:t>lo cual pon</w:t>
      </w:r>
      <w:r w:rsidR="005B16B2" w:rsidRPr="00E42617">
        <w:rPr>
          <w:bCs/>
          <w:iCs/>
          <w:lang w:val="es-ES"/>
        </w:rPr>
        <w:t>dría</w:t>
      </w:r>
      <w:r w:rsidR="004A63D8" w:rsidRPr="00E42617">
        <w:rPr>
          <w:bCs/>
          <w:iCs/>
          <w:lang w:val="es-ES"/>
        </w:rPr>
        <w:t xml:space="preserve"> en duda que aquél ostente un</w:t>
      </w:r>
      <w:r w:rsidR="007669E4" w:rsidRPr="00E42617">
        <w:rPr>
          <w:bCs/>
          <w:iCs/>
          <w:lang w:val="es-ES"/>
        </w:rPr>
        <w:t xml:space="preserve"> título profesional en psiquiatría.</w:t>
      </w:r>
      <w:r w:rsidR="007669E4" w:rsidRPr="00E42617">
        <w:rPr>
          <w:rFonts w:eastAsiaTheme="minorHAnsi" w:cs="16mgvxmdgcg"/>
          <w:lang w:val="es-ES"/>
        </w:rPr>
        <w:t xml:space="preserve"> </w:t>
      </w:r>
      <w:r w:rsidR="007669E4" w:rsidRPr="00E42617">
        <w:rPr>
          <w:bCs/>
          <w:iCs/>
          <w:lang w:val="es-ES"/>
        </w:rPr>
        <w:t xml:space="preserve">Por lo anterior, el Estado consideró que la idoneidad del perito estaba comprometida, al desconocer si su conocimiento tenía base científica y lo hacía idóneo para </w:t>
      </w:r>
      <w:r w:rsidR="005B16B2" w:rsidRPr="00E42617">
        <w:rPr>
          <w:bCs/>
          <w:iCs/>
          <w:lang w:val="es-ES"/>
        </w:rPr>
        <w:t>rendir peritaje</w:t>
      </w:r>
      <w:r w:rsidR="007669E4" w:rsidRPr="00E42617">
        <w:rPr>
          <w:bCs/>
          <w:iCs/>
          <w:lang w:val="es-ES"/>
        </w:rPr>
        <w:t xml:space="preserve">, por lo que admitir su </w:t>
      </w:r>
      <w:r w:rsidR="005B16B2" w:rsidRPr="00E42617">
        <w:rPr>
          <w:bCs/>
          <w:iCs/>
          <w:lang w:val="es-ES"/>
        </w:rPr>
        <w:t>dictamen</w:t>
      </w:r>
      <w:r w:rsidR="007669E4" w:rsidRPr="00E42617">
        <w:rPr>
          <w:bCs/>
          <w:iCs/>
          <w:lang w:val="es-ES"/>
        </w:rPr>
        <w:t xml:space="preserve"> vulneraría la seguridad jurídica y equidad procesal.</w:t>
      </w:r>
    </w:p>
    <w:p w:rsidR="004A63D8" w:rsidRPr="00E42617" w:rsidRDefault="004A63D8" w:rsidP="004A63D8">
      <w:pPr>
        <w:pStyle w:val="ListParagraph"/>
        <w:numPr>
          <w:ilvl w:val="0"/>
          <w:numId w:val="0"/>
        </w:numPr>
        <w:rPr>
          <w:rFonts w:eastAsiaTheme="minorHAnsi" w:cs="16mgvxmdgcg"/>
          <w:lang w:val="es-ES"/>
        </w:rPr>
      </w:pPr>
    </w:p>
    <w:p w:rsidR="007669E4" w:rsidRPr="00E42617" w:rsidRDefault="003947A9" w:rsidP="003947A9">
      <w:pPr>
        <w:pStyle w:val="ListParagraph"/>
        <w:numPr>
          <w:ilvl w:val="0"/>
          <w:numId w:val="3"/>
        </w:numPr>
        <w:tabs>
          <w:tab w:val="left" w:pos="567"/>
          <w:tab w:val="left" w:pos="810"/>
          <w:tab w:val="left" w:pos="1134"/>
        </w:tabs>
        <w:ind w:left="0" w:firstLine="0"/>
        <w:rPr>
          <w:rFonts w:eastAsiaTheme="minorHAnsi" w:cs="16mgvxmdgcg"/>
          <w:lang w:val="es-ES"/>
        </w:rPr>
      </w:pPr>
      <w:r w:rsidRPr="00E42617">
        <w:rPr>
          <w:rFonts w:eastAsiaTheme="minorHAnsi" w:cs="16mgvxmdgcg"/>
          <w:lang w:val="es-ES"/>
        </w:rPr>
        <w:t xml:space="preserve">En su escrito de observaciones a la recusación presentada por el Estado, el </w:t>
      </w:r>
      <w:r w:rsidR="006F29C7" w:rsidRPr="00E42617">
        <w:rPr>
          <w:rFonts w:eastAsiaTheme="minorHAnsi" w:cs="16mgvxmdgcg"/>
          <w:lang w:val="es-ES"/>
        </w:rPr>
        <w:t xml:space="preserve">señor </w:t>
      </w:r>
      <w:r w:rsidRPr="00E42617">
        <w:rPr>
          <w:rFonts w:eastAsiaTheme="minorHAnsi" w:cs="16mgvxmdgcg"/>
          <w:lang w:val="es-ES"/>
        </w:rPr>
        <w:t xml:space="preserve">Enrique Oscar Stola </w:t>
      </w:r>
      <w:r w:rsidR="007669E4" w:rsidRPr="00E42617">
        <w:rPr>
          <w:bCs/>
          <w:iCs/>
          <w:lang w:val="es-ES"/>
        </w:rPr>
        <w:t>destacó su trayectoria profesional y académica en la materia de su peritaje y señaló que tenía 35 años de experiencia en psiquiatría y psicología</w:t>
      </w:r>
      <w:r w:rsidRPr="00E42617">
        <w:rPr>
          <w:bCs/>
          <w:iCs/>
          <w:lang w:val="es-ES"/>
        </w:rPr>
        <w:t>, por lo que</w:t>
      </w:r>
      <w:r w:rsidR="007669E4" w:rsidRPr="00E42617">
        <w:rPr>
          <w:bCs/>
          <w:iCs/>
          <w:lang w:val="es-ES"/>
        </w:rPr>
        <w:t xml:space="preserve"> concluyó que estaba altamente capacitado para cumplir su rol como perito. Indicó que la denuncia a la que se refirió Nicaragua fue desestimada en mayo de 2008 y fue interpuesta como una campaña de desprestigio en su contra por participar como experto en procesos relacionados con los derechos de las mujeres, niños y niñas</w:t>
      </w:r>
      <w:r w:rsidR="003C13A9" w:rsidRPr="00E42617">
        <w:rPr>
          <w:bCs/>
          <w:iCs/>
          <w:lang w:val="es-ES"/>
        </w:rPr>
        <w:t>.</w:t>
      </w:r>
    </w:p>
    <w:p w:rsidR="007669E4" w:rsidRPr="00E42617" w:rsidRDefault="007669E4" w:rsidP="007669E4">
      <w:pPr>
        <w:pStyle w:val="ListParagraph"/>
        <w:numPr>
          <w:ilvl w:val="0"/>
          <w:numId w:val="0"/>
        </w:numPr>
        <w:tabs>
          <w:tab w:val="left" w:pos="567"/>
          <w:tab w:val="left" w:pos="810"/>
          <w:tab w:val="left" w:pos="1134"/>
        </w:tabs>
        <w:rPr>
          <w:bCs/>
          <w:iCs/>
          <w:lang w:val="es-ES"/>
        </w:rPr>
      </w:pPr>
    </w:p>
    <w:p w:rsidR="003947A9" w:rsidRPr="00E42617" w:rsidRDefault="003947A9" w:rsidP="003947A9">
      <w:pPr>
        <w:pStyle w:val="ListParagraph"/>
        <w:numPr>
          <w:ilvl w:val="0"/>
          <w:numId w:val="3"/>
        </w:numPr>
        <w:tabs>
          <w:tab w:val="left" w:pos="567"/>
          <w:tab w:val="left" w:pos="720"/>
          <w:tab w:val="left" w:pos="810"/>
        </w:tabs>
        <w:ind w:left="0" w:firstLine="0"/>
        <w:rPr>
          <w:lang w:val="es-ES"/>
        </w:rPr>
      </w:pPr>
      <w:r w:rsidRPr="00E42617">
        <w:rPr>
          <w:lang w:val="es-ES"/>
        </w:rPr>
        <w:lastRenderedPageBreak/>
        <w:t>La Presidencia recuerda que, para que una recusación contra una persona ofrecida como perito con base en el artículo 48.1.c) del Reglamento resulte procedente, la misma está condicionada a que concurran dos supuestos: la existencia de un vínculo determinado del perito con la parte proponente y que, adicionalmente, esa relación, a criterio del Tribunal, afecte su imparcialidad</w:t>
      </w:r>
      <w:r w:rsidRPr="00E42617">
        <w:rPr>
          <w:rStyle w:val="FootnoteReference"/>
          <w:sz w:val="20"/>
          <w:lang w:val="es-ES"/>
        </w:rPr>
        <w:footnoteReference w:id="10"/>
      </w:r>
      <w:r w:rsidRPr="00E42617">
        <w:rPr>
          <w:lang w:val="es-ES"/>
        </w:rPr>
        <w:t xml:space="preserve">. Del examen de la hoja de vida del señor </w:t>
      </w:r>
      <w:r w:rsidRPr="00E42617">
        <w:rPr>
          <w:rFonts w:eastAsiaTheme="minorHAnsi" w:cs="16mgvxmdgcg"/>
          <w:lang w:val="es-ES"/>
        </w:rPr>
        <w:t>Enrique Oscar Stola</w:t>
      </w:r>
      <w:r w:rsidRPr="00E42617">
        <w:rPr>
          <w:lang w:val="es-ES"/>
        </w:rPr>
        <w:t>, no se desprende que el experto haya mantenido un vínculo estrecho con las representantes ni que su imparcialidad pueda verse afectada.</w:t>
      </w:r>
    </w:p>
    <w:p w:rsidR="003947A9" w:rsidRPr="00E42617" w:rsidRDefault="003947A9" w:rsidP="003947A9">
      <w:pPr>
        <w:pStyle w:val="ListParagraph"/>
        <w:numPr>
          <w:ilvl w:val="0"/>
          <w:numId w:val="0"/>
        </w:numPr>
        <w:rPr>
          <w:lang w:val="es-ES"/>
        </w:rPr>
      </w:pPr>
    </w:p>
    <w:p w:rsidR="003947A9" w:rsidRPr="00E42617" w:rsidRDefault="003947A9" w:rsidP="003947A9">
      <w:pPr>
        <w:pStyle w:val="ListParagraph"/>
        <w:numPr>
          <w:ilvl w:val="0"/>
          <w:numId w:val="3"/>
        </w:numPr>
        <w:tabs>
          <w:tab w:val="left" w:pos="567"/>
          <w:tab w:val="left" w:pos="720"/>
          <w:tab w:val="left" w:pos="810"/>
        </w:tabs>
        <w:ind w:left="0" w:firstLine="0"/>
        <w:rPr>
          <w:lang w:val="es-ES"/>
        </w:rPr>
      </w:pPr>
      <w:r w:rsidRPr="00E42617">
        <w:rPr>
          <w:lang w:val="es-ES"/>
        </w:rPr>
        <w:t xml:space="preserve">Por otro lado, conforme al apartado V titulado “ofrecimiento probatorio” del escrito de solicitudes y argumentos, las representantes propusieron como prueba pericial la declaración del señor Enrique Oscar Stola y remitieron su hoja de vida y una serie de anexos, dentro del plazo reglamentario, mediante los cuales se comprueba su identidad y la experticia para la cual fue ofrecido. Si bien el apartado V.3, titulado “pruebas documentales”, anexo C, indica que se ofrece como documentación de la acreditación de los peritos </w:t>
      </w:r>
      <w:r w:rsidR="009713AA" w:rsidRPr="00E42617">
        <w:rPr>
          <w:lang w:val="es-ES"/>
        </w:rPr>
        <w:t xml:space="preserve">la hoja de vida </w:t>
      </w:r>
      <w:r w:rsidRPr="00E42617">
        <w:rPr>
          <w:lang w:val="es-ES"/>
        </w:rPr>
        <w:t>del señor Roberto Stola, queda claramente establecido de los anexos remitidos y de la propia hoja de vida, que el nombre del perito concuerda con la persona ofrecida, es decir el Dr. Enrique Oscar Stola. En este sentido, las representantes cumplieron con individualizar al declarante con precisión y el objeto de su declaración, y anexaron su hoja de vida en el momento procesal oportuno.</w:t>
      </w:r>
    </w:p>
    <w:p w:rsidR="00A5209B" w:rsidRPr="00E42617" w:rsidRDefault="00A5209B" w:rsidP="00A5209B">
      <w:pPr>
        <w:pStyle w:val="ListParagraph"/>
        <w:numPr>
          <w:ilvl w:val="0"/>
          <w:numId w:val="0"/>
        </w:numPr>
        <w:rPr>
          <w:lang w:val="es-ES"/>
        </w:rPr>
      </w:pPr>
    </w:p>
    <w:p w:rsidR="00D91E3C" w:rsidRPr="00E42617" w:rsidRDefault="00A5209B" w:rsidP="00D91E3C">
      <w:pPr>
        <w:pStyle w:val="ListParagraph"/>
        <w:numPr>
          <w:ilvl w:val="0"/>
          <w:numId w:val="3"/>
        </w:numPr>
        <w:tabs>
          <w:tab w:val="left" w:pos="567"/>
          <w:tab w:val="left" w:pos="720"/>
          <w:tab w:val="left" w:pos="810"/>
        </w:tabs>
        <w:ind w:left="0" w:firstLine="0"/>
        <w:rPr>
          <w:lang w:val="es-ES"/>
        </w:rPr>
      </w:pPr>
      <w:r w:rsidRPr="00E42617">
        <w:rPr>
          <w:lang w:val="es-ES"/>
        </w:rPr>
        <w:t xml:space="preserve">De igual manera, la Presidencia considera que el contenido del informe pericial será </w:t>
      </w:r>
      <w:r w:rsidR="00D91E3C" w:rsidRPr="00E42617">
        <w:rPr>
          <w:lang w:val="es-ES"/>
        </w:rPr>
        <w:t>delimitado</w:t>
      </w:r>
      <w:r w:rsidRPr="00E42617">
        <w:rPr>
          <w:lang w:val="es-ES"/>
        </w:rPr>
        <w:t xml:space="preserve"> según el objeto y modalidad determinados en la parte resolutiva </w:t>
      </w:r>
      <w:r w:rsidRPr="00E42617">
        <w:rPr>
          <w:rFonts w:eastAsiaTheme="minorHAnsi"/>
          <w:color w:val="000000"/>
          <w:lang w:val="es-ES"/>
        </w:rPr>
        <w:t>de la presente Resolución (</w:t>
      </w:r>
      <w:r w:rsidRPr="00E42617">
        <w:rPr>
          <w:rFonts w:eastAsiaTheme="minorHAnsi"/>
          <w:i/>
          <w:color w:val="000000"/>
          <w:lang w:val="es-ES"/>
        </w:rPr>
        <w:t>infra</w:t>
      </w:r>
      <w:r w:rsidRPr="00E42617">
        <w:rPr>
          <w:rFonts w:eastAsiaTheme="minorHAnsi"/>
          <w:color w:val="000000"/>
          <w:lang w:val="es-ES"/>
        </w:rPr>
        <w:t xml:space="preserve"> punto resolutivo </w:t>
      </w:r>
      <w:r w:rsidR="00C577F7">
        <w:rPr>
          <w:rFonts w:eastAsiaTheme="minorHAnsi"/>
          <w:color w:val="000000"/>
          <w:lang w:val="es-ES"/>
        </w:rPr>
        <w:t>1</w:t>
      </w:r>
      <w:r w:rsidRPr="00E42617">
        <w:rPr>
          <w:rFonts w:eastAsiaTheme="minorHAnsi"/>
          <w:color w:val="000000"/>
          <w:lang w:val="es-ES"/>
        </w:rPr>
        <w:t>)</w:t>
      </w:r>
      <w:r w:rsidR="00D91E3C" w:rsidRPr="00E42617">
        <w:rPr>
          <w:rFonts w:eastAsiaTheme="minorHAnsi"/>
          <w:color w:val="000000"/>
          <w:lang w:val="es-ES"/>
        </w:rPr>
        <w:t>. E</w:t>
      </w:r>
      <w:r w:rsidRPr="00E42617">
        <w:rPr>
          <w:rFonts w:eastAsiaTheme="minorHAnsi"/>
          <w:color w:val="000000"/>
          <w:lang w:val="es-ES"/>
        </w:rPr>
        <w:t xml:space="preserve">l conocimiento de su contenido </w:t>
      </w:r>
      <w:r w:rsidR="00D91E3C" w:rsidRPr="00E42617">
        <w:rPr>
          <w:rFonts w:eastAsiaTheme="minorHAnsi"/>
          <w:color w:val="000000"/>
          <w:lang w:val="es-ES"/>
        </w:rPr>
        <w:t xml:space="preserve">de forma previa </w:t>
      </w:r>
      <w:r w:rsidRPr="00E42617">
        <w:rPr>
          <w:rFonts w:eastAsiaTheme="minorHAnsi"/>
          <w:color w:val="000000"/>
          <w:lang w:val="es-ES"/>
        </w:rPr>
        <w:t>no es una condición para la admisibilidad del per</w:t>
      </w:r>
      <w:r w:rsidR="005B16B2" w:rsidRPr="00E42617">
        <w:rPr>
          <w:rFonts w:eastAsiaTheme="minorHAnsi"/>
          <w:color w:val="000000"/>
          <w:lang w:val="es-ES"/>
        </w:rPr>
        <w:t>itaje</w:t>
      </w:r>
      <w:r w:rsidRPr="00E42617">
        <w:rPr>
          <w:rFonts w:eastAsiaTheme="minorHAnsi"/>
          <w:color w:val="000000"/>
          <w:lang w:val="es-ES"/>
        </w:rPr>
        <w:t>. Además, la experticia y conocimiento de la materia objeto de la prueba pericial ofrecida ha</w:t>
      </w:r>
      <w:r w:rsidR="00D91E3C" w:rsidRPr="00E42617">
        <w:rPr>
          <w:rFonts w:eastAsiaTheme="minorHAnsi"/>
          <w:color w:val="000000"/>
          <w:lang w:val="es-ES"/>
        </w:rPr>
        <w:t>n sido demostrados</w:t>
      </w:r>
      <w:r w:rsidRPr="00E42617">
        <w:rPr>
          <w:rFonts w:eastAsiaTheme="minorHAnsi"/>
          <w:color w:val="000000"/>
          <w:lang w:val="es-ES"/>
        </w:rPr>
        <w:t xml:space="preserve"> a través de la experiencia denotada en la hoja de vida del perito, así como con los diferentes títulos y constancias de estudios realizados.</w:t>
      </w:r>
      <w:r w:rsidR="00D91E3C" w:rsidRPr="00E42617">
        <w:rPr>
          <w:rFonts w:eastAsiaTheme="minorHAnsi"/>
          <w:color w:val="000000"/>
          <w:lang w:val="es-ES"/>
        </w:rPr>
        <w:t xml:space="preserve"> Por ello, el Presidente estima que el perito </w:t>
      </w:r>
      <w:r w:rsidR="00D91E3C" w:rsidRPr="00E42617">
        <w:rPr>
          <w:lang w:val="es-ES"/>
        </w:rPr>
        <w:t xml:space="preserve">posee los conocimientos necesarios para emitir el dictamen pericial, el cual será apreciado en la debida oportunidad, dentro del contexto del acervo probatorio existente y según las reglas de la sana crítica. El Estado, además, de considerarlo pertinente, tendrá la oportunidad de </w:t>
      </w:r>
      <w:r w:rsidR="00D91E3C" w:rsidRPr="00E42617">
        <w:rPr>
          <w:rFonts w:eastAsia="MS Mincho" w:cs="Times"/>
          <w:lang w:val="es-ES"/>
        </w:rPr>
        <w:t xml:space="preserve">presentar sus observaciones </w:t>
      </w:r>
      <w:r w:rsidR="00D91E3C" w:rsidRPr="00E42617">
        <w:rPr>
          <w:lang w:val="es-ES"/>
        </w:rPr>
        <w:t>a dicho informe</w:t>
      </w:r>
      <w:r w:rsidR="00D91E3C" w:rsidRPr="00E42617">
        <w:rPr>
          <w:rFonts w:eastAsia="MS Mincho" w:cs="Times"/>
          <w:lang w:val="es-ES"/>
        </w:rPr>
        <w:t xml:space="preserve">, a más tardar con sus alegatos finales escritos. </w:t>
      </w:r>
    </w:p>
    <w:p w:rsidR="00DD7516" w:rsidRPr="00E42617" w:rsidRDefault="00DD7516" w:rsidP="00DD7516">
      <w:pPr>
        <w:pStyle w:val="ListParagraph"/>
        <w:numPr>
          <w:ilvl w:val="0"/>
          <w:numId w:val="0"/>
        </w:numPr>
        <w:tabs>
          <w:tab w:val="left" w:pos="567"/>
          <w:tab w:val="left" w:pos="720"/>
          <w:tab w:val="left" w:pos="810"/>
        </w:tabs>
        <w:rPr>
          <w:lang w:val="es-ES"/>
        </w:rPr>
      </w:pPr>
    </w:p>
    <w:p w:rsidR="00462BE1" w:rsidRPr="00E42617" w:rsidRDefault="00A5209B" w:rsidP="00462BE1">
      <w:pPr>
        <w:pStyle w:val="ListParagraph"/>
        <w:numPr>
          <w:ilvl w:val="0"/>
          <w:numId w:val="3"/>
        </w:numPr>
        <w:tabs>
          <w:tab w:val="left" w:pos="567"/>
          <w:tab w:val="left" w:pos="720"/>
          <w:tab w:val="left" w:pos="810"/>
        </w:tabs>
        <w:ind w:left="0" w:firstLine="0"/>
        <w:rPr>
          <w:lang w:val="es-ES"/>
        </w:rPr>
      </w:pPr>
      <w:r w:rsidRPr="00E42617">
        <w:rPr>
          <w:lang w:val="es-ES"/>
        </w:rPr>
        <w:t xml:space="preserve">Finalmente, en relación con la falta de idoneidad del perito alegada por el Estado, la Presidencia nota que Nicaragua señaló haber tomado conocimiento de </w:t>
      </w:r>
      <w:r w:rsidR="00462BE1" w:rsidRPr="00E42617">
        <w:rPr>
          <w:lang w:val="es-ES"/>
        </w:rPr>
        <w:t xml:space="preserve">la denuncia penal interpuesta en su contra </w:t>
      </w:r>
      <w:r w:rsidRPr="00E42617">
        <w:rPr>
          <w:lang w:val="es-ES"/>
        </w:rPr>
        <w:t xml:space="preserve">por medio de internet, sin aportar ninguna prueba que corrobore la veracidad de dicha información y el estado procesal de </w:t>
      </w:r>
      <w:r w:rsidR="00462BE1" w:rsidRPr="00E42617">
        <w:rPr>
          <w:lang w:val="es-ES"/>
        </w:rPr>
        <w:t xml:space="preserve">la alegada </w:t>
      </w:r>
      <w:r w:rsidRPr="00E42617">
        <w:rPr>
          <w:lang w:val="es-ES"/>
        </w:rPr>
        <w:t xml:space="preserve">investigación. Por su parte, </w:t>
      </w:r>
      <w:r w:rsidR="00462BE1" w:rsidRPr="00E42617">
        <w:rPr>
          <w:lang w:val="es-ES"/>
        </w:rPr>
        <w:t xml:space="preserve">el señor Enrique Oscar Stola si bien confirmó la existencia de una denuncia en su contra, destacó que la misma fue desestimada el 26 de mayo de 2008 sin que ésta generara efecto legal alguno, y remitió una serie de documentos que comprueban que se encuentra habilitado para ejercer la medicina, con experticia en la materia del objeto del peritaje propuesto. En este sentido, la Presidencia considera que el perito </w:t>
      </w:r>
      <w:r w:rsidR="00D91E3C" w:rsidRPr="00E42617">
        <w:rPr>
          <w:lang w:val="es-ES"/>
        </w:rPr>
        <w:t xml:space="preserve">no solo </w:t>
      </w:r>
      <w:r w:rsidR="00462BE1" w:rsidRPr="00E42617">
        <w:rPr>
          <w:lang w:val="es-ES"/>
        </w:rPr>
        <w:t xml:space="preserve">posee los conocimientos necesarios </w:t>
      </w:r>
      <w:r w:rsidR="00D91E3C" w:rsidRPr="00E42617">
        <w:rPr>
          <w:lang w:val="es-ES"/>
        </w:rPr>
        <w:t>sino también</w:t>
      </w:r>
      <w:r w:rsidR="00462BE1" w:rsidRPr="00E42617">
        <w:rPr>
          <w:lang w:val="es-ES"/>
        </w:rPr>
        <w:t xml:space="preserve"> la idoneidad requerida para emitir el dictamen pericial.</w:t>
      </w:r>
    </w:p>
    <w:p w:rsidR="00462BE1" w:rsidRPr="00E42617" w:rsidRDefault="00462BE1" w:rsidP="00462BE1">
      <w:pPr>
        <w:pStyle w:val="ListParagraph"/>
        <w:numPr>
          <w:ilvl w:val="0"/>
          <w:numId w:val="0"/>
        </w:numPr>
        <w:tabs>
          <w:tab w:val="left" w:pos="567"/>
          <w:tab w:val="left" w:pos="720"/>
          <w:tab w:val="left" w:pos="810"/>
        </w:tabs>
        <w:rPr>
          <w:lang w:val="es-ES"/>
        </w:rPr>
      </w:pPr>
    </w:p>
    <w:p w:rsidR="00A5209B" w:rsidRPr="00E42617" w:rsidRDefault="00A5209B" w:rsidP="00A5209B">
      <w:pPr>
        <w:pStyle w:val="ListParagraph"/>
        <w:numPr>
          <w:ilvl w:val="0"/>
          <w:numId w:val="3"/>
        </w:numPr>
        <w:tabs>
          <w:tab w:val="left" w:pos="567"/>
          <w:tab w:val="left" w:pos="810"/>
        </w:tabs>
        <w:ind w:left="0" w:firstLine="0"/>
        <w:rPr>
          <w:lang w:val="es-ES"/>
        </w:rPr>
      </w:pPr>
      <w:r w:rsidRPr="00E42617">
        <w:rPr>
          <w:lang w:val="es-ES"/>
        </w:rPr>
        <w:t xml:space="preserve">Con base en lo anteriormente expuesto, </w:t>
      </w:r>
      <w:r w:rsidR="003947A9" w:rsidRPr="00E42617">
        <w:rPr>
          <w:lang w:val="es-ES"/>
        </w:rPr>
        <w:t>el Presidente considera que la recusación interpuesta es im</w:t>
      </w:r>
      <w:r w:rsidRPr="00E42617">
        <w:rPr>
          <w:lang w:val="es-ES"/>
        </w:rPr>
        <w:t xml:space="preserve">procedente y estima pertinente admitir dicho dictamen pericial, según el objeto y modalidad determinados en la parte resolutiva de la </w:t>
      </w:r>
      <w:r w:rsidRPr="00E42617">
        <w:rPr>
          <w:lang w:val="es-ES"/>
        </w:rPr>
        <w:lastRenderedPageBreak/>
        <w:t>presente decisión.</w:t>
      </w:r>
    </w:p>
    <w:p w:rsidR="00B45D17" w:rsidRPr="00E42617" w:rsidRDefault="00B45D17" w:rsidP="00B45D17">
      <w:pPr>
        <w:pStyle w:val="ListParagraph"/>
        <w:numPr>
          <w:ilvl w:val="0"/>
          <w:numId w:val="0"/>
        </w:numPr>
        <w:tabs>
          <w:tab w:val="left" w:pos="567"/>
          <w:tab w:val="left" w:pos="810"/>
          <w:tab w:val="left" w:pos="1134"/>
        </w:tabs>
        <w:rPr>
          <w:b/>
          <w:bCs/>
          <w:i/>
          <w:iCs/>
          <w:lang w:val="es-ES"/>
        </w:rPr>
      </w:pPr>
    </w:p>
    <w:p w:rsidR="001D53AD" w:rsidRPr="00E42617" w:rsidRDefault="001D53AD" w:rsidP="009E658C">
      <w:pPr>
        <w:pStyle w:val="ListParagraph"/>
        <w:numPr>
          <w:ilvl w:val="0"/>
          <w:numId w:val="13"/>
        </w:numPr>
        <w:tabs>
          <w:tab w:val="left" w:pos="1134"/>
        </w:tabs>
        <w:ind w:left="567" w:firstLine="0"/>
        <w:rPr>
          <w:b/>
          <w:bCs/>
          <w:i/>
          <w:iCs/>
          <w:lang w:val="es-ES"/>
        </w:rPr>
      </w:pPr>
      <w:r w:rsidRPr="00E42617">
        <w:rPr>
          <w:b/>
          <w:i/>
          <w:lang w:val="es-ES"/>
        </w:rPr>
        <w:t>Admisibilidad</w:t>
      </w:r>
      <w:r w:rsidRPr="00E42617">
        <w:rPr>
          <w:b/>
          <w:bCs/>
          <w:i/>
          <w:iCs/>
          <w:lang w:val="es-ES"/>
        </w:rPr>
        <w:t xml:space="preserve"> de l</w:t>
      </w:r>
      <w:r w:rsidR="005C0291" w:rsidRPr="00E42617">
        <w:rPr>
          <w:b/>
          <w:bCs/>
          <w:i/>
          <w:iCs/>
          <w:lang w:val="es-ES"/>
        </w:rPr>
        <w:t xml:space="preserve">a prueba pericial ofrecida por la Comisión Interamericana </w:t>
      </w:r>
    </w:p>
    <w:p w:rsidR="001D53AD" w:rsidRPr="00E42617" w:rsidRDefault="001D53AD" w:rsidP="001D53AD">
      <w:pPr>
        <w:pStyle w:val="ListParagraph"/>
        <w:numPr>
          <w:ilvl w:val="0"/>
          <w:numId w:val="0"/>
        </w:numPr>
        <w:rPr>
          <w:b/>
          <w:bCs/>
          <w:i/>
          <w:iCs/>
          <w:lang w:val="es-ES"/>
        </w:rPr>
      </w:pPr>
    </w:p>
    <w:p w:rsidR="004172EE" w:rsidRPr="00E42617" w:rsidRDefault="00033E39" w:rsidP="004172EE">
      <w:pPr>
        <w:pStyle w:val="ListParagraph"/>
        <w:numPr>
          <w:ilvl w:val="0"/>
          <w:numId w:val="3"/>
        </w:numPr>
        <w:tabs>
          <w:tab w:val="left" w:pos="567"/>
          <w:tab w:val="left" w:pos="810"/>
        </w:tabs>
        <w:ind w:left="0" w:firstLine="0"/>
        <w:rPr>
          <w:lang w:val="es-ES"/>
        </w:rPr>
      </w:pPr>
      <w:r w:rsidRPr="00E42617">
        <w:rPr>
          <w:lang w:val="es-ES"/>
        </w:rPr>
        <w:t>La Comisión ofreció como prueba pericial el dictamen del señor Miguel Cillero Bruñol</w:t>
      </w:r>
      <w:r w:rsidR="004172EE" w:rsidRPr="00E42617">
        <w:rPr>
          <w:lang w:val="es-ES"/>
        </w:rPr>
        <w:t xml:space="preserve">, el cual versaría, </w:t>
      </w:r>
      <w:r w:rsidR="004172EE" w:rsidRPr="00E42617">
        <w:rPr>
          <w:i/>
          <w:lang w:val="es-ES"/>
        </w:rPr>
        <w:t>inter alia</w:t>
      </w:r>
      <w:r w:rsidR="004172EE" w:rsidRPr="00E42617">
        <w:rPr>
          <w:lang w:val="es-ES"/>
        </w:rPr>
        <w:t xml:space="preserve">, sobre </w:t>
      </w:r>
      <w:r w:rsidR="004172EE" w:rsidRPr="00E42617">
        <w:rPr>
          <w:rFonts w:cs="Arial"/>
          <w:lang w:val="es-ES"/>
        </w:rPr>
        <w:t>los estándares internacionales relevantes que determinan las obligaciones estatales en materia de investigación y justicia en casos de violencia y violación sexual de niñas, con especial énfasis en niñas de corta edad</w:t>
      </w:r>
      <w:r w:rsidR="00191059" w:rsidRPr="00E42617">
        <w:rPr>
          <w:rFonts w:cs="Arial"/>
          <w:lang w:val="es-ES"/>
        </w:rPr>
        <w:t>, aplicados además al presente caso</w:t>
      </w:r>
      <w:r w:rsidR="004172EE" w:rsidRPr="00E42617">
        <w:rPr>
          <w:rFonts w:cs="Arial"/>
          <w:lang w:val="es-ES"/>
        </w:rPr>
        <w:t>; las salvaguardas especiales que deben adoptarse para evitar la revictimización de una niña víctima de tales hechos, así como las medidas de no repetición relevantes en casos como el presente.</w:t>
      </w:r>
    </w:p>
    <w:p w:rsidR="004172EE" w:rsidRPr="00E42617" w:rsidRDefault="004172EE" w:rsidP="004172EE">
      <w:pPr>
        <w:pStyle w:val="ListParagraph"/>
        <w:numPr>
          <w:ilvl w:val="0"/>
          <w:numId w:val="0"/>
        </w:numPr>
        <w:tabs>
          <w:tab w:val="left" w:pos="567"/>
          <w:tab w:val="left" w:pos="810"/>
        </w:tabs>
        <w:rPr>
          <w:lang w:val="es-ES"/>
        </w:rPr>
      </w:pPr>
    </w:p>
    <w:p w:rsidR="00587C88" w:rsidRPr="00E42617" w:rsidRDefault="004172EE" w:rsidP="00587C88">
      <w:pPr>
        <w:pStyle w:val="ListParagraph"/>
        <w:numPr>
          <w:ilvl w:val="0"/>
          <w:numId w:val="3"/>
        </w:numPr>
        <w:tabs>
          <w:tab w:val="left" w:pos="567"/>
          <w:tab w:val="left" w:pos="810"/>
        </w:tabs>
        <w:ind w:left="0" w:firstLine="0"/>
        <w:rPr>
          <w:lang w:val="es-ES"/>
        </w:rPr>
      </w:pPr>
      <w:r w:rsidRPr="00E42617">
        <w:rPr>
          <w:lang w:val="es-ES"/>
        </w:rPr>
        <w:t>La Comisión c</w:t>
      </w:r>
      <w:r w:rsidR="00033E39" w:rsidRPr="00E42617">
        <w:rPr>
          <w:lang w:val="es-ES"/>
        </w:rPr>
        <w:t>onsideró que el peritaje ofrecido podr</w:t>
      </w:r>
      <w:r w:rsidR="003F4418" w:rsidRPr="00E42617">
        <w:rPr>
          <w:lang w:val="es-ES"/>
        </w:rPr>
        <w:t>ía</w:t>
      </w:r>
      <w:r w:rsidR="00033E39" w:rsidRPr="00E42617">
        <w:rPr>
          <w:lang w:val="es-ES"/>
        </w:rPr>
        <w:t xml:space="preserve"> aportar elementos de análisis sobre aspectos de orden público interamericano, en los términos d</w:t>
      </w:r>
      <w:r w:rsidR="00033E39" w:rsidRPr="00E42617">
        <w:rPr>
          <w:rFonts w:eastAsia="Times New Roman"/>
          <w:lang w:val="es-ES"/>
        </w:rPr>
        <w:t xml:space="preserve">el artículo 31.5 f) del Reglamento, refiriéndose a que el presente caso permitiría a la Corte </w:t>
      </w:r>
      <w:r w:rsidR="00587C88" w:rsidRPr="00E42617">
        <w:rPr>
          <w:rFonts w:cs="Arial"/>
          <w:lang w:val="es-ES"/>
        </w:rPr>
        <w:t xml:space="preserve">desarrollar su jurisprudencia sobre los estándares internacionales relevantes para el análisis del </w:t>
      </w:r>
      <w:r w:rsidR="00033E39" w:rsidRPr="00E42617">
        <w:rPr>
          <w:rFonts w:eastAsia="Times New Roman"/>
          <w:lang w:val="es-ES"/>
        </w:rPr>
        <w:t xml:space="preserve">deber de garantía de los derechos </w:t>
      </w:r>
      <w:r w:rsidR="00033E39" w:rsidRPr="00E42617">
        <w:rPr>
          <w:rFonts w:cs="Arial"/>
          <w:lang w:val="es-ES"/>
        </w:rPr>
        <w:t>a la integrida</w:t>
      </w:r>
      <w:r w:rsidR="00B45D17" w:rsidRPr="00E42617">
        <w:rPr>
          <w:rFonts w:cs="Arial"/>
          <w:lang w:val="es-ES"/>
        </w:rPr>
        <w:t xml:space="preserve">d personal, a la vida privada, a la </w:t>
      </w:r>
      <w:r w:rsidR="00033E39" w:rsidRPr="00E42617">
        <w:rPr>
          <w:rFonts w:cs="Arial"/>
          <w:lang w:val="es-ES"/>
        </w:rPr>
        <w:t xml:space="preserve">autonomía y a vivir libre de violencia y discriminación, </w:t>
      </w:r>
      <w:r w:rsidR="00033E39" w:rsidRPr="00E42617">
        <w:rPr>
          <w:rFonts w:eastAsia="Times New Roman"/>
          <w:lang w:val="es-ES"/>
        </w:rPr>
        <w:t xml:space="preserve">a través del componente de investigación, </w:t>
      </w:r>
      <w:r w:rsidR="00033E39" w:rsidRPr="00E42617">
        <w:rPr>
          <w:rFonts w:cs="Arial"/>
          <w:lang w:val="es-ES"/>
        </w:rPr>
        <w:t>en casos de violencia y violación sexual de una niña</w:t>
      </w:r>
      <w:r w:rsidR="00587C88" w:rsidRPr="00E42617">
        <w:rPr>
          <w:rFonts w:cs="Arial"/>
          <w:lang w:val="es-ES"/>
        </w:rPr>
        <w:t>,</w:t>
      </w:r>
      <w:r w:rsidR="00033E39" w:rsidRPr="00E42617">
        <w:rPr>
          <w:rFonts w:cs="Arial"/>
          <w:lang w:val="es-ES"/>
        </w:rPr>
        <w:t xml:space="preserve"> cometidas por actores no estatales, así como desarrollar su jurisprudencia sobre los estándares especiales y reforzados aplicables al análisis de investigaciones de hechos de esta naturaleza.</w:t>
      </w:r>
      <w:r w:rsidR="00587C88" w:rsidRPr="00E42617">
        <w:rPr>
          <w:rFonts w:cs="Arial"/>
          <w:lang w:val="es-ES"/>
        </w:rPr>
        <w:t xml:space="preserve"> </w:t>
      </w:r>
      <w:r w:rsidR="001D3788" w:rsidRPr="00E42617">
        <w:rPr>
          <w:rFonts w:cs="Arial"/>
          <w:lang w:val="es-ES"/>
        </w:rPr>
        <w:t>Sostuvo</w:t>
      </w:r>
      <w:r w:rsidR="00493F18" w:rsidRPr="00E42617">
        <w:rPr>
          <w:rFonts w:cs="Arial"/>
          <w:lang w:val="es-ES"/>
        </w:rPr>
        <w:t>,</w:t>
      </w:r>
      <w:r w:rsidR="00587C88" w:rsidRPr="00E42617">
        <w:rPr>
          <w:rFonts w:cs="Arial"/>
          <w:lang w:val="es-ES"/>
        </w:rPr>
        <w:t xml:space="preserve"> además</w:t>
      </w:r>
      <w:r w:rsidR="003F4418" w:rsidRPr="00E42617">
        <w:rPr>
          <w:rFonts w:cs="Arial"/>
          <w:lang w:val="es-ES"/>
        </w:rPr>
        <w:t>,</w:t>
      </w:r>
      <w:r w:rsidR="00587C88" w:rsidRPr="00E42617">
        <w:rPr>
          <w:rFonts w:cs="Arial"/>
          <w:lang w:val="es-ES"/>
        </w:rPr>
        <w:t xml:space="preserve"> que </w:t>
      </w:r>
      <w:r w:rsidR="00033E39" w:rsidRPr="00E42617">
        <w:rPr>
          <w:rFonts w:cs="Arial"/>
          <w:lang w:val="es-ES"/>
        </w:rPr>
        <w:t xml:space="preserve">el caso </w:t>
      </w:r>
      <w:r w:rsidR="00033E39" w:rsidRPr="00E42617">
        <w:rPr>
          <w:rFonts w:eastAsia="HiddenHorzOCR" w:cs="HiddenHorzOCR"/>
          <w:lang w:val="es-ES"/>
        </w:rPr>
        <w:t xml:space="preserve">también </w:t>
      </w:r>
      <w:r w:rsidR="003F4418" w:rsidRPr="00E42617">
        <w:rPr>
          <w:rFonts w:cs="Arial"/>
          <w:lang w:val="es-ES"/>
        </w:rPr>
        <w:t>permitiría</w:t>
      </w:r>
      <w:r w:rsidR="00033E39" w:rsidRPr="00E42617">
        <w:rPr>
          <w:rFonts w:cs="Arial"/>
          <w:lang w:val="es-ES"/>
        </w:rPr>
        <w:t xml:space="preserve"> a la Corte pronunciarse sobre la inaplicabilidad de la figura de </w:t>
      </w:r>
      <w:r w:rsidR="00033E39" w:rsidRPr="00E42617">
        <w:rPr>
          <w:rFonts w:cs="Arial"/>
          <w:i/>
          <w:iCs/>
          <w:lang w:val="es-ES"/>
        </w:rPr>
        <w:t xml:space="preserve">ne bis in idem, </w:t>
      </w:r>
      <w:r w:rsidR="00033E39" w:rsidRPr="00E42617">
        <w:rPr>
          <w:rFonts w:cs="Arial"/>
          <w:lang w:val="es-ES"/>
        </w:rPr>
        <w:t>cuando se trata de una grave violación de derechos humanos como la violencia y violación sexual, así como cuando la absolución del presunto responsable fue el resultado de un proceso violatorio de las obligaciones internacionales del Estado hacia las víctimas.</w:t>
      </w:r>
    </w:p>
    <w:p w:rsidR="004172EE" w:rsidRPr="00E42617" w:rsidRDefault="004172EE" w:rsidP="004172EE">
      <w:pPr>
        <w:pStyle w:val="ListParagraph"/>
        <w:numPr>
          <w:ilvl w:val="0"/>
          <w:numId w:val="0"/>
        </w:numPr>
        <w:tabs>
          <w:tab w:val="left" w:pos="567"/>
          <w:tab w:val="left" w:pos="810"/>
        </w:tabs>
        <w:rPr>
          <w:lang w:val="es-ES"/>
        </w:rPr>
      </w:pPr>
    </w:p>
    <w:p w:rsidR="00BA223A" w:rsidRPr="00E42617" w:rsidRDefault="00BA223A" w:rsidP="00BA223A">
      <w:pPr>
        <w:pStyle w:val="ListParagraph"/>
        <w:numPr>
          <w:ilvl w:val="0"/>
          <w:numId w:val="3"/>
        </w:numPr>
        <w:tabs>
          <w:tab w:val="left" w:pos="567"/>
          <w:tab w:val="left" w:pos="810"/>
        </w:tabs>
        <w:ind w:left="0" w:firstLine="0"/>
        <w:rPr>
          <w:lang w:val="es-ES"/>
        </w:rPr>
      </w:pPr>
      <w:r w:rsidRPr="00E42617">
        <w:rPr>
          <w:rFonts w:cs="Arial"/>
          <w:lang w:val="es-ES"/>
        </w:rPr>
        <w:t xml:space="preserve">El Estado </w:t>
      </w:r>
      <w:r w:rsidR="00B45D17" w:rsidRPr="00E42617">
        <w:rPr>
          <w:rFonts w:cs="Arial"/>
          <w:lang w:val="es-ES"/>
        </w:rPr>
        <w:t xml:space="preserve">planteó una recusación en contra del perito ofrecido y </w:t>
      </w:r>
      <w:r w:rsidRPr="00E42617">
        <w:rPr>
          <w:rFonts w:cs="Arial"/>
          <w:lang w:val="es-ES"/>
        </w:rPr>
        <w:t xml:space="preserve">formuló observaciones relacionadas con: i) </w:t>
      </w:r>
      <w:r w:rsidR="00B45D17" w:rsidRPr="00E42617">
        <w:rPr>
          <w:rFonts w:cs="Arial"/>
          <w:lang w:val="es-ES"/>
        </w:rPr>
        <w:t xml:space="preserve">el momento del ofrecimiento pericial; ii) </w:t>
      </w:r>
      <w:r w:rsidRPr="00E42617">
        <w:rPr>
          <w:bCs/>
          <w:iCs/>
          <w:lang w:val="es-ES"/>
        </w:rPr>
        <w:t>la motivación para sustentar el ofrecimiento de</w:t>
      </w:r>
      <w:r w:rsidR="00B45D17" w:rsidRPr="00E42617">
        <w:rPr>
          <w:bCs/>
          <w:iCs/>
          <w:lang w:val="es-ES"/>
        </w:rPr>
        <w:t>l perito</w:t>
      </w:r>
      <w:r w:rsidRPr="00E42617">
        <w:rPr>
          <w:bCs/>
          <w:iCs/>
          <w:lang w:val="es-ES"/>
        </w:rPr>
        <w:t xml:space="preserve"> y su relación con el orden público interamericano</w:t>
      </w:r>
      <w:r w:rsidR="00B45D17" w:rsidRPr="00E42617">
        <w:rPr>
          <w:bCs/>
          <w:iCs/>
          <w:lang w:val="es-ES"/>
        </w:rPr>
        <w:t>,</w:t>
      </w:r>
      <w:r w:rsidRPr="00E42617">
        <w:rPr>
          <w:bCs/>
          <w:iCs/>
          <w:lang w:val="es-ES"/>
        </w:rPr>
        <w:t xml:space="preserve"> y ii</w:t>
      </w:r>
      <w:r w:rsidR="00B45D17" w:rsidRPr="00E42617">
        <w:rPr>
          <w:bCs/>
          <w:iCs/>
          <w:lang w:val="es-ES"/>
        </w:rPr>
        <w:t>i</w:t>
      </w:r>
      <w:r w:rsidRPr="00E42617">
        <w:rPr>
          <w:bCs/>
          <w:iCs/>
          <w:lang w:val="es-ES"/>
        </w:rPr>
        <w:t>) el objeto de</w:t>
      </w:r>
      <w:r w:rsidR="00C24326">
        <w:rPr>
          <w:bCs/>
          <w:iCs/>
          <w:lang w:val="es-ES"/>
        </w:rPr>
        <w:t>l</w:t>
      </w:r>
      <w:r w:rsidRPr="00E42617">
        <w:rPr>
          <w:bCs/>
          <w:iCs/>
          <w:lang w:val="es-ES"/>
        </w:rPr>
        <w:t xml:space="preserve"> dict</w:t>
      </w:r>
      <w:r w:rsidR="00C24326">
        <w:rPr>
          <w:bCs/>
          <w:iCs/>
          <w:lang w:val="es-ES"/>
        </w:rPr>
        <w:t>a</w:t>
      </w:r>
      <w:r w:rsidRPr="00E42617">
        <w:rPr>
          <w:bCs/>
          <w:iCs/>
          <w:lang w:val="es-ES"/>
        </w:rPr>
        <w:t>men.</w:t>
      </w:r>
    </w:p>
    <w:p w:rsidR="00B45D17" w:rsidRPr="00E42617" w:rsidRDefault="00B45D17" w:rsidP="00B45D17">
      <w:pPr>
        <w:pStyle w:val="ListParagraph"/>
        <w:numPr>
          <w:ilvl w:val="0"/>
          <w:numId w:val="0"/>
        </w:numPr>
        <w:tabs>
          <w:tab w:val="left" w:pos="567"/>
          <w:tab w:val="left" w:pos="810"/>
        </w:tabs>
        <w:rPr>
          <w:lang w:val="es-ES"/>
        </w:rPr>
      </w:pPr>
    </w:p>
    <w:p w:rsidR="003F4418" w:rsidRPr="00E42617" w:rsidRDefault="00B45D17" w:rsidP="00B45D17">
      <w:pPr>
        <w:pStyle w:val="ListParagraph"/>
        <w:numPr>
          <w:ilvl w:val="0"/>
          <w:numId w:val="3"/>
        </w:numPr>
        <w:tabs>
          <w:tab w:val="left" w:pos="567"/>
          <w:tab w:val="left" w:pos="810"/>
        </w:tabs>
        <w:ind w:left="0" w:firstLine="0"/>
        <w:rPr>
          <w:lang w:val="es-ES"/>
        </w:rPr>
      </w:pPr>
      <w:r w:rsidRPr="00E42617">
        <w:rPr>
          <w:rFonts w:cs="Arial"/>
          <w:lang w:val="es-ES"/>
        </w:rPr>
        <w:t>En relación con el primer punto</w:t>
      </w:r>
      <w:r w:rsidR="000E6A58" w:rsidRPr="00E42617">
        <w:rPr>
          <w:rFonts w:cs="Arial"/>
          <w:lang w:val="es-ES"/>
        </w:rPr>
        <w:t>,</w:t>
      </w:r>
      <w:r w:rsidRPr="00E42617">
        <w:rPr>
          <w:rFonts w:cs="Arial"/>
          <w:lang w:val="es-ES"/>
        </w:rPr>
        <w:t xml:space="preserve"> el Estado señaló que </w:t>
      </w:r>
      <w:r w:rsidR="003F4418" w:rsidRPr="00E42617">
        <w:rPr>
          <w:rFonts w:cs="16mgvxmdgcg"/>
          <w:lang w:val="es-ES"/>
        </w:rPr>
        <w:t xml:space="preserve">el perito no </w:t>
      </w:r>
      <w:r w:rsidR="000E6A58" w:rsidRPr="00E42617">
        <w:rPr>
          <w:rFonts w:cs="16mgvxmdgcg"/>
          <w:lang w:val="es-ES"/>
        </w:rPr>
        <w:t xml:space="preserve">habría sido </w:t>
      </w:r>
      <w:r w:rsidR="003F4418" w:rsidRPr="00E42617">
        <w:rPr>
          <w:rFonts w:cs="16mgvxmdgcg"/>
          <w:lang w:val="es-ES"/>
        </w:rPr>
        <w:t xml:space="preserve">debidamente incorporado en el momento procesal oportuno, conforme a lo señalado por el </w:t>
      </w:r>
      <w:r w:rsidRPr="00E42617">
        <w:rPr>
          <w:rFonts w:cs="Arial"/>
          <w:lang w:val="es-ES"/>
        </w:rPr>
        <w:t>artículo 35.1.f</w:t>
      </w:r>
      <w:r w:rsidRPr="00E42617">
        <w:rPr>
          <w:rStyle w:val="FootnoteReference"/>
          <w:sz w:val="20"/>
          <w:szCs w:val="20"/>
          <w:lang w:val="es-ES"/>
        </w:rPr>
        <w:footnoteReference w:id="11"/>
      </w:r>
      <w:r w:rsidRPr="00E42617">
        <w:rPr>
          <w:rFonts w:cs="Arial"/>
          <w:lang w:val="es-ES"/>
        </w:rPr>
        <w:t xml:space="preserve"> </w:t>
      </w:r>
      <w:r w:rsidR="003F4418" w:rsidRPr="00E42617">
        <w:rPr>
          <w:rFonts w:cs="16mgvxmdgcg"/>
          <w:lang w:val="es-ES"/>
        </w:rPr>
        <w:t xml:space="preserve">del </w:t>
      </w:r>
      <w:r w:rsidR="000E6A58" w:rsidRPr="00E42617">
        <w:rPr>
          <w:rFonts w:cs="16mgvxmdgcg"/>
          <w:lang w:val="es-ES"/>
        </w:rPr>
        <w:t>R</w:t>
      </w:r>
      <w:r w:rsidR="003F4418" w:rsidRPr="00E42617">
        <w:rPr>
          <w:rFonts w:cs="16mgvxmdgcg"/>
          <w:lang w:val="es-ES"/>
        </w:rPr>
        <w:t>eglamento de la Corte, ya que</w:t>
      </w:r>
      <w:r w:rsidRPr="00E42617">
        <w:rPr>
          <w:rFonts w:cs="16mgvxmdgcg"/>
          <w:lang w:val="es-ES"/>
        </w:rPr>
        <w:t xml:space="preserve"> si bien e</w:t>
      </w:r>
      <w:r w:rsidR="003F4418" w:rsidRPr="00E42617">
        <w:rPr>
          <w:rFonts w:cs="16mgvxmdgcg"/>
          <w:lang w:val="es-ES"/>
        </w:rPr>
        <w:t>n el escrito de sometimiento del ca</w:t>
      </w:r>
      <w:r w:rsidRPr="00E42617">
        <w:rPr>
          <w:rFonts w:cs="16mgvxmdgcg"/>
          <w:lang w:val="es-ES"/>
        </w:rPr>
        <w:t xml:space="preserve">so se expresó que se ofrecería </w:t>
      </w:r>
      <w:r w:rsidR="003F4418" w:rsidRPr="00E42617">
        <w:rPr>
          <w:rFonts w:cs="16mgvxmdgcg"/>
          <w:lang w:val="es-ES"/>
        </w:rPr>
        <w:t xml:space="preserve">“un perito” no se </w:t>
      </w:r>
      <w:r w:rsidRPr="00E42617">
        <w:rPr>
          <w:rFonts w:cs="16mgvxmdgcg"/>
          <w:lang w:val="es-ES"/>
        </w:rPr>
        <w:t xml:space="preserve">lo </w:t>
      </w:r>
      <w:r w:rsidR="003F4418" w:rsidRPr="00E42617">
        <w:rPr>
          <w:rFonts w:cs="16mgvxmdgcg"/>
          <w:lang w:val="es-ES"/>
        </w:rPr>
        <w:t>ident</w:t>
      </w:r>
      <w:r w:rsidRPr="00E42617">
        <w:rPr>
          <w:rFonts w:cs="16mgvxmdgcg"/>
          <w:lang w:val="es-ES"/>
        </w:rPr>
        <w:t>ificó, sino que se señaló que la hoja de vida sería incluida</w:t>
      </w:r>
      <w:r w:rsidR="003F4418" w:rsidRPr="00E42617">
        <w:rPr>
          <w:rFonts w:cs="16mgvxmdgcg"/>
          <w:lang w:val="es-ES"/>
        </w:rPr>
        <w:t xml:space="preserve"> en los anexos del informe de fondo, fuera del plazo reglamentario, </w:t>
      </w:r>
      <w:r w:rsidRPr="00E42617">
        <w:rPr>
          <w:rFonts w:cs="16mgvxmdgcg"/>
          <w:lang w:val="es-ES"/>
        </w:rPr>
        <w:t>tratando con ello,</w:t>
      </w:r>
      <w:r w:rsidR="003F4418" w:rsidRPr="00E42617">
        <w:rPr>
          <w:rFonts w:cs="16mgvxmdgcg"/>
          <w:lang w:val="es-ES"/>
        </w:rPr>
        <w:t xml:space="preserve"> de subsanar la falencia de manera extemporánea</w:t>
      </w:r>
      <w:r w:rsidRPr="00E42617">
        <w:rPr>
          <w:rFonts w:cs="16mgvxmdgcg"/>
          <w:lang w:val="es-ES"/>
        </w:rPr>
        <w:t>.</w:t>
      </w:r>
    </w:p>
    <w:p w:rsidR="00B45D17" w:rsidRPr="00E42617" w:rsidRDefault="00B45D17" w:rsidP="00B45D17">
      <w:pPr>
        <w:pStyle w:val="ListParagraph"/>
        <w:numPr>
          <w:ilvl w:val="0"/>
          <w:numId w:val="0"/>
        </w:numPr>
        <w:rPr>
          <w:lang w:val="es-ES"/>
        </w:rPr>
      </w:pPr>
    </w:p>
    <w:p w:rsidR="001E0702" w:rsidRPr="00E42617" w:rsidRDefault="00B45D17" w:rsidP="001E0702">
      <w:pPr>
        <w:pStyle w:val="ListParagraph"/>
        <w:numPr>
          <w:ilvl w:val="0"/>
          <w:numId w:val="3"/>
        </w:numPr>
        <w:tabs>
          <w:tab w:val="left" w:pos="567"/>
          <w:tab w:val="left" w:pos="810"/>
        </w:tabs>
        <w:ind w:left="0" w:firstLine="0"/>
        <w:rPr>
          <w:lang w:val="es-ES"/>
        </w:rPr>
      </w:pPr>
      <w:r w:rsidRPr="00E42617">
        <w:rPr>
          <w:lang w:val="es-ES"/>
        </w:rPr>
        <w:t xml:space="preserve">En relación con el segundo punto, el Estado alegó que </w:t>
      </w:r>
      <w:r w:rsidR="003F4418" w:rsidRPr="00E42617">
        <w:rPr>
          <w:rFonts w:cs="16mgvxmdgcg"/>
          <w:lang w:val="es-ES"/>
        </w:rPr>
        <w:t>el ejercicio de la facultad contemplada en el artículo 35.1.f del Regla</w:t>
      </w:r>
      <w:r w:rsidR="00B9520B" w:rsidRPr="00E42617">
        <w:rPr>
          <w:rFonts w:cs="16mgvxmdgcg"/>
          <w:lang w:val="es-ES"/>
        </w:rPr>
        <w:t>mento, está estrechamente ligado</w:t>
      </w:r>
      <w:r w:rsidR="003F4418" w:rsidRPr="00E42617">
        <w:rPr>
          <w:rFonts w:cs="16mgvxmdgcg"/>
          <w:lang w:val="es-ES"/>
        </w:rPr>
        <w:t xml:space="preserve"> a que las cuestiones a definir en el marco de la controversia puedan “tener un impacto sobre fenómenos que ocurren en otros Estados Parte de la Convención”. </w:t>
      </w:r>
      <w:r w:rsidR="001E0702" w:rsidRPr="00E42617">
        <w:rPr>
          <w:rFonts w:cs="16mgvxmdgcg"/>
          <w:lang w:val="es-ES"/>
        </w:rPr>
        <w:t xml:space="preserve">El Estado consideró que la argumentación de la Comisión se limitó a: </w:t>
      </w:r>
      <w:r w:rsidR="00CF6708" w:rsidRPr="00E42617">
        <w:rPr>
          <w:rFonts w:cs="16mgvxmdgcg"/>
          <w:lang w:val="es-ES"/>
        </w:rPr>
        <w:t>“</w:t>
      </w:r>
      <w:r w:rsidR="001E0702" w:rsidRPr="00E42617">
        <w:rPr>
          <w:rFonts w:cs="43qwfywpfoz,Bold"/>
          <w:bCs/>
          <w:lang w:val="es-ES"/>
        </w:rPr>
        <w:t>i)</w:t>
      </w:r>
      <w:r w:rsidR="001E0702" w:rsidRPr="00E42617">
        <w:rPr>
          <w:rFonts w:cs="43qwfywpfoz,Bold"/>
          <w:b/>
          <w:bCs/>
          <w:lang w:val="es-ES"/>
        </w:rPr>
        <w:t xml:space="preserve"> </w:t>
      </w:r>
      <w:r w:rsidR="001E0702" w:rsidRPr="00E42617">
        <w:rPr>
          <w:rFonts w:cs="16mgvxmdgcg"/>
          <w:lang w:val="es-ES"/>
        </w:rPr>
        <w:t xml:space="preserve">la enunciación de los temas que según su apreciación podr[ía] abordar la Corte durante el trámite jurisdiccional que se </w:t>
      </w:r>
      <w:r w:rsidR="001E0702" w:rsidRPr="00E42617">
        <w:rPr>
          <w:rFonts w:cs="16mgvxmdgcg"/>
          <w:lang w:val="es-ES"/>
        </w:rPr>
        <w:lastRenderedPageBreak/>
        <w:t xml:space="preserve">surte en el presente caso; </w:t>
      </w:r>
      <w:r w:rsidR="001E0702" w:rsidRPr="00E42617">
        <w:rPr>
          <w:rFonts w:cs="43qwfywpfoz,Bold"/>
          <w:bCs/>
          <w:lang w:val="es-ES"/>
        </w:rPr>
        <w:t>ii)</w:t>
      </w:r>
      <w:r w:rsidR="001E0702" w:rsidRPr="00E42617">
        <w:rPr>
          <w:rFonts w:cs="43qwfywpfoz,Bold"/>
          <w:b/>
          <w:bCs/>
          <w:lang w:val="es-ES"/>
        </w:rPr>
        <w:t xml:space="preserve"> </w:t>
      </w:r>
      <w:r w:rsidR="001E0702" w:rsidRPr="00E42617">
        <w:rPr>
          <w:rFonts w:cs="16mgvxmdgcg"/>
          <w:lang w:val="es-ES"/>
        </w:rPr>
        <w:t xml:space="preserve">su apreciación, no sustentada, sobre la supuesta utilidad de la práctica de una prueba pericial sobre dichos temas, de la que ni se sabía quién es o será el perito y </w:t>
      </w:r>
      <w:r w:rsidR="001E0702" w:rsidRPr="00E42617">
        <w:rPr>
          <w:rFonts w:cs="43qwfywpfoz,Bold"/>
          <w:bCs/>
          <w:lang w:val="es-ES"/>
        </w:rPr>
        <w:t>iii)</w:t>
      </w:r>
      <w:r w:rsidR="001E0702" w:rsidRPr="00E42617">
        <w:rPr>
          <w:rFonts w:cs="43qwfywpfoz,Bold"/>
          <w:b/>
          <w:bCs/>
          <w:lang w:val="es-ES"/>
        </w:rPr>
        <w:t xml:space="preserve"> </w:t>
      </w:r>
      <w:r w:rsidR="001E0702" w:rsidRPr="00E42617">
        <w:rPr>
          <w:rFonts w:cs="16mgvxmdgcg"/>
          <w:lang w:val="es-ES"/>
        </w:rPr>
        <w:t>la posibilidad de que, a partir de ello, el Tribunal precise o desarrolle su jurisprudencia”. En razón de ello, el Estado estimó que la Comisión no brind</w:t>
      </w:r>
      <w:r w:rsidR="00132AC1">
        <w:rPr>
          <w:rFonts w:cs="16mgvxmdgcg"/>
          <w:lang w:val="es-ES"/>
        </w:rPr>
        <w:t>ó</w:t>
      </w:r>
      <w:r w:rsidR="001E0702" w:rsidRPr="00E42617">
        <w:rPr>
          <w:rFonts w:cs="16mgvxmdgcg"/>
          <w:lang w:val="es-ES"/>
        </w:rPr>
        <w:t xml:space="preserve"> una motivación razonada y suficiente para fundamentar las razones por las cuales los asuntos a tratar afectan el orden público interamericano.</w:t>
      </w:r>
    </w:p>
    <w:p w:rsidR="00307B5F" w:rsidRPr="00E42617" w:rsidRDefault="00307B5F" w:rsidP="00307B5F">
      <w:pPr>
        <w:pStyle w:val="ListParagraph"/>
        <w:numPr>
          <w:ilvl w:val="0"/>
          <w:numId w:val="0"/>
        </w:numPr>
        <w:tabs>
          <w:tab w:val="left" w:pos="567"/>
          <w:tab w:val="left" w:pos="810"/>
        </w:tabs>
        <w:rPr>
          <w:lang w:val="es-ES"/>
        </w:rPr>
      </w:pPr>
    </w:p>
    <w:p w:rsidR="00EF51C5" w:rsidRPr="00E42617" w:rsidRDefault="00EF51C5" w:rsidP="00E827B6">
      <w:pPr>
        <w:pStyle w:val="ListParagraph"/>
        <w:numPr>
          <w:ilvl w:val="0"/>
          <w:numId w:val="3"/>
        </w:numPr>
        <w:tabs>
          <w:tab w:val="left" w:pos="567"/>
          <w:tab w:val="left" w:pos="810"/>
        </w:tabs>
        <w:ind w:left="0" w:firstLine="0"/>
        <w:rPr>
          <w:rFonts w:cs="16mgvxmdgcg"/>
          <w:lang w:val="es-ES"/>
        </w:rPr>
      </w:pPr>
      <w:r w:rsidRPr="00E42617">
        <w:rPr>
          <w:rFonts w:cs="16mgvxmdgcg"/>
          <w:lang w:val="es-ES"/>
        </w:rPr>
        <w:t>En relación con el tercer punto, el Estado consideró que los temas sobre los cuales recaería el peritaje propuesto ya habían sido tratados por la Corte y, en consecuencia, no tenían carácter excepcional.</w:t>
      </w:r>
    </w:p>
    <w:p w:rsidR="00EF51C5" w:rsidRPr="00E42617" w:rsidRDefault="00EF51C5" w:rsidP="00307B5F">
      <w:pPr>
        <w:pStyle w:val="ListParagraph"/>
        <w:numPr>
          <w:ilvl w:val="0"/>
          <w:numId w:val="0"/>
        </w:numPr>
        <w:tabs>
          <w:tab w:val="left" w:pos="567"/>
          <w:tab w:val="left" w:pos="810"/>
        </w:tabs>
        <w:rPr>
          <w:lang w:val="es-ES"/>
        </w:rPr>
      </w:pPr>
    </w:p>
    <w:p w:rsidR="00307B5F" w:rsidRPr="00E42617" w:rsidRDefault="000E6A58" w:rsidP="00E827B6">
      <w:pPr>
        <w:pStyle w:val="ListParagraph"/>
        <w:numPr>
          <w:ilvl w:val="0"/>
          <w:numId w:val="3"/>
        </w:numPr>
        <w:tabs>
          <w:tab w:val="left" w:pos="567"/>
          <w:tab w:val="left" w:pos="810"/>
        </w:tabs>
        <w:ind w:left="0" w:firstLine="0"/>
        <w:rPr>
          <w:lang w:val="es-ES"/>
        </w:rPr>
      </w:pPr>
      <w:r w:rsidRPr="00E42617">
        <w:rPr>
          <w:lang w:val="es-ES"/>
        </w:rPr>
        <w:t xml:space="preserve">En su escrito de observaciones a la recusación interpuesta por el Estado, el </w:t>
      </w:r>
      <w:r w:rsidR="002703DF" w:rsidRPr="00E42617">
        <w:rPr>
          <w:lang w:val="es-ES"/>
        </w:rPr>
        <w:t>señor</w:t>
      </w:r>
      <w:r w:rsidRPr="00E42617">
        <w:rPr>
          <w:lang w:val="es-ES"/>
        </w:rPr>
        <w:t xml:space="preserve"> Miguel Cillero Bruñol señaló que </w:t>
      </w:r>
      <w:r w:rsidR="00307B5F" w:rsidRPr="00E42617">
        <w:rPr>
          <w:rFonts w:cs="16mgvxmdgcg"/>
          <w:lang w:val="es-ES"/>
        </w:rPr>
        <w:t>no le correspondía pronunciarse respecto de la procedencia de su designación y la cuestión del orden público interamericano</w:t>
      </w:r>
      <w:r w:rsidR="002703DF" w:rsidRPr="00E42617">
        <w:rPr>
          <w:rFonts w:cs="16mgvxmdgcg"/>
          <w:lang w:val="es-ES"/>
        </w:rPr>
        <w:t>. Asimismo</w:t>
      </w:r>
      <w:r w:rsidR="00307B5F" w:rsidRPr="00E42617">
        <w:rPr>
          <w:rFonts w:cs="16mgvxmdgcg"/>
          <w:lang w:val="es-ES"/>
        </w:rPr>
        <w:t xml:space="preserve">, destacó que </w:t>
      </w:r>
      <w:r w:rsidR="002703DF" w:rsidRPr="00E42617">
        <w:rPr>
          <w:rFonts w:cs="16mgvxmdgcg"/>
          <w:lang w:val="es-ES"/>
        </w:rPr>
        <w:t>“</w:t>
      </w:r>
      <w:r w:rsidR="002703DF" w:rsidRPr="00E42617">
        <w:rPr>
          <w:lang w:val="es-ES"/>
        </w:rPr>
        <w:t xml:space="preserve">todos los antecedentes fueron entregados en tiempo y forma” y que </w:t>
      </w:r>
      <w:r w:rsidR="00307B5F" w:rsidRPr="00E42617">
        <w:rPr>
          <w:rFonts w:cs="16mgvxmdgcg"/>
          <w:lang w:val="es-ES"/>
        </w:rPr>
        <w:t>la valoración sobre cómo el caso afectaba el orden público interamericano no guardaba relación alguna con las caus</w:t>
      </w:r>
      <w:r w:rsidR="00DB0D4F">
        <w:rPr>
          <w:rFonts w:cs="16mgvxmdgcg"/>
          <w:lang w:val="es-ES"/>
        </w:rPr>
        <w:t>as taxativas de recusación del R</w:t>
      </w:r>
      <w:r w:rsidR="00307B5F" w:rsidRPr="00E42617">
        <w:rPr>
          <w:rFonts w:cs="16mgvxmdgcg"/>
          <w:lang w:val="es-ES"/>
        </w:rPr>
        <w:t>eglamento de la Corte</w:t>
      </w:r>
      <w:r w:rsidR="00BC1E2B" w:rsidRPr="00E42617">
        <w:rPr>
          <w:rFonts w:cs="16mgvxmdgcg"/>
          <w:lang w:val="es-ES"/>
        </w:rPr>
        <w:t>, en las cuales tampoco habría incurrido.</w:t>
      </w:r>
    </w:p>
    <w:p w:rsidR="00C85CBC" w:rsidRPr="00E42617" w:rsidRDefault="00C85CBC" w:rsidP="00C85CBC">
      <w:pPr>
        <w:pStyle w:val="ListParagraph"/>
        <w:numPr>
          <w:ilvl w:val="0"/>
          <w:numId w:val="0"/>
        </w:numPr>
        <w:rPr>
          <w:lang w:val="es-ES"/>
        </w:rPr>
      </w:pPr>
    </w:p>
    <w:p w:rsidR="000E6A58" w:rsidRPr="00E42617" w:rsidRDefault="000E6A58" w:rsidP="000E6A58">
      <w:pPr>
        <w:pStyle w:val="ListParagraph"/>
        <w:numPr>
          <w:ilvl w:val="0"/>
          <w:numId w:val="3"/>
        </w:numPr>
        <w:tabs>
          <w:tab w:val="left" w:pos="567"/>
          <w:tab w:val="left" w:pos="810"/>
        </w:tabs>
        <w:ind w:left="0" w:firstLine="0"/>
        <w:rPr>
          <w:lang w:val="es-ES"/>
        </w:rPr>
      </w:pPr>
      <w:r w:rsidRPr="00E42617">
        <w:rPr>
          <w:lang w:val="es-ES"/>
        </w:rPr>
        <w:t xml:space="preserve">Primeramente, el Presidente considera pertinente resaltar que efectivamente las observaciones presentadas por el Estado en relación con la admisión del dictamen pericial del señor Miguel Cillero Bruñol no consisten en alegatos propios de una recusación, ya que </w:t>
      </w:r>
      <w:r w:rsidRPr="00E42617">
        <w:rPr>
          <w:rFonts w:cs="16mgvxmdgcg"/>
          <w:lang w:val="es-ES"/>
        </w:rPr>
        <w:t>las razones aducidas no se encuadran dentro de alguna de las causales de recusación del artículo 48 del Reglamento de la Corte. Por otra parte, el perito propuesto tampoco ha incurrido en ninguna de las causales de recusació</w:t>
      </w:r>
      <w:r w:rsidR="00DB0D4F">
        <w:rPr>
          <w:rFonts w:cs="16mgvxmdgcg"/>
          <w:lang w:val="es-ES"/>
        </w:rPr>
        <w:t>n recogidas por dicho artículo.</w:t>
      </w:r>
    </w:p>
    <w:p w:rsidR="000E6A58" w:rsidRPr="00E42617" w:rsidRDefault="000E6A58" w:rsidP="000E6A58">
      <w:pPr>
        <w:pStyle w:val="ListParagraph"/>
        <w:numPr>
          <w:ilvl w:val="0"/>
          <w:numId w:val="0"/>
        </w:numPr>
        <w:rPr>
          <w:lang w:val="es-ES"/>
        </w:rPr>
      </w:pPr>
    </w:p>
    <w:p w:rsidR="000E6A58" w:rsidRPr="00E42617" w:rsidRDefault="000E6A58" w:rsidP="000E6A58">
      <w:pPr>
        <w:pStyle w:val="ListParagraph"/>
        <w:numPr>
          <w:ilvl w:val="0"/>
          <w:numId w:val="3"/>
        </w:numPr>
        <w:tabs>
          <w:tab w:val="left" w:pos="567"/>
          <w:tab w:val="left" w:pos="810"/>
        </w:tabs>
        <w:ind w:left="0" w:firstLine="0"/>
        <w:rPr>
          <w:lang w:val="es-ES"/>
        </w:rPr>
      </w:pPr>
      <w:r w:rsidRPr="00E42617">
        <w:rPr>
          <w:lang w:val="es-ES"/>
        </w:rPr>
        <w:t>Sin perjuicio de lo anterior, corresponde analizar la alegada extemporaneidad de la prueba pericial ofrecida por la Comisión Interamericana. Al respecto, la Presidencia recuerda que, de conformidad con lo dispuesto en el artículo 35.1.f del Reglamento de la Corte, el momento procesal oportuno para la presentación de prueba pericial por parte de la Comisión es el de sometimiento del caso, contando con 21 días adicionales para la remisión de los anexos correspondientes, de acuerdo con el artículo 28 del Reglamento</w:t>
      </w:r>
      <w:r w:rsidRPr="00E42617">
        <w:rPr>
          <w:rStyle w:val="FootnoteReference"/>
          <w:sz w:val="20"/>
          <w:szCs w:val="20"/>
          <w:lang w:val="es-ES"/>
        </w:rPr>
        <w:footnoteReference w:id="12"/>
      </w:r>
      <w:r w:rsidRPr="00E42617">
        <w:rPr>
          <w:lang w:val="es-ES"/>
        </w:rPr>
        <w:t xml:space="preserve">. Por lo tanto, dado que la indicación del nombre del perito como la remisión de la hoja de vida fue realizada dentro del plazo referido, esta Presidencia considera pertinente desestimar la objeción acerca la extemporaneidad del ofrecimiento del peritaje. </w:t>
      </w:r>
    </w:p>
    <w:p w:rsidR="000E6A58" w:rsidRPr="00E42617" w:rsidRDefault="000E6A58" w:rsidP="00C85CBC">
      <w:pPr>
        <w:pStyle w:val="ListParagraph"/>
        <w:numPr>
          <w:ilvl w:val="0"/>
          <w:numId w:val="0"/>
        </w:numPr>
        <w:rPr>
          <w:lang w:val="es-ES"/>
        </w:rPr>
      </w:pPr>
    </w:p>
    <w:p w:rsidR="00C85CBC" w:rsidRPr="00E42617" w:rsidRDefault="00C85CBC" w:rsidP="00C85CBC">
      <w:pPr>
        <w:pStyle w:val="ListParagraph"/>
        <w:numPr>
          <w:ilvl w:val="0"/>
          <w:numId w:val="3"/>
        </w:numPr>
        <w:tabs>
          <w:tab w:val="left" w:pos="567"/>
          <w:tab w:val="left" w:pos="810"/>
        </w:tabs>
        <w:ind w:left="0" w:firstLine="0"/>
        <w:rPr>
          <w:lang w:val="es-ES"/>
        </w:rPr>
      </w:pPr>
      <w:r w:rsidRPr="00E42617">
        <w:rPr>
          <w:rFonts w:eastAsia="Times New Roman"/>
          <w:lang w:val="es-ES"/>
        </w:rPr>
        <w:t>E</w:t>
      </w:r>
      <w:r w:rsidR="007A2282" w:rsidRPr="00E42617">
        <w:rPr>
          <w:rFonts w:eastAsia="Times New Roman"/>
          <w:lang w:val="es-ES"/>
        </w:rPr>
        <w:t>n lo que respecta a la invocación del orden público interamericano, e</w:t>
      </w:r>
      <w:r w:rsidRPr="00E42617">
        <w:rPr>
          <w:rFonts w:eastAsia="Times New Roman"/>
          <w:lang w:val="es-ES"/>
        </w:rPr>
        <w:t>l Presidente recuerda que, de</w:t>
      </w:r>
      <w:r w:rsidRPr="00E42617">
        <w:rPr>
          <w:lang w:val="es-ES"/>
        </w:rPr>
        <w:t xml:space="preserve"> acuerdo con lo establecido en el artículo 35.1.f del Reglamento, la “eventual designación de peritos” podrá ser efectuada por la Comisión Interamericana “cuando se afecte de manera relevante el orden público interamericano de los derechos humanos”, cuyo fundamento y objeto tienen que ser adecuadamente sustentados</w:t>
      </w:r>
      <w:r w:rsidRPr="00E42617">
        <w:rPr>
          <w:rStyle w:val="FootnoteReference"/>
          <w:sz w:val="20"/>
          <w:szCs w:val="20"/>
          <w:lang w:val="es-ES"/>
        </w:rPr>
        <w:footnoteReference w:id="13"/>
      </w:r>
      <w:r w:rsidRPr="00E42617">
        <w:rPr>
          <w:lang w:val="es-ES"/>
        </w:rPr>
        <w:t>.</w:t>
      </w:r>
      <w:r w:rsidRPr="00E42617">
        <w:rPr>
          <w:rFonts w:eastAsia="Times New Roman"/>
          <w:lang w:val="es-ES"/>
        </w:rPr>
        <w:t xml:space="preserve"> </w:t>
      </w:r>
      <w:r w:rsidRPr="00E42617">
        <w:rPr>
          <w:lang w:val="es-ES"/>
        </w:rPr>
        <w:t xml:space="preserve">El sentido de esta disposición hace de la designación de peritos por parte de la Comisión un hecho excepcional, sujeto a ese requisito, que no se cumple por el solo hecho de que la prueba que se procura producir tenga relación con una </w:t>
      </w:r>
      <w:r w:rsidRPr="00E42617">
        <w:rPr>
          <w:lang w:val="es-ES"/>
        </w:rPr>
        <w:lastRenderedPageBreak/>
        <w:t>alegada violación de derechos humanos</w:t>
      </w:r>
      <w:r w:rsidRPr="00E42617">
        <w:rPr>
          <w:rStyle w:val="FootnoteReference"/>
          <w:sz w:val="20"/>
          <w:szCs w:val="20"/>
          <w:lang w:val="es-ES"/>
        </w:rPr>
        <w:footnoteReference w:id="14"/>
      </w:r>
      <w:r w:rsidRPr="00E42617">
        <w:rPr>
          <w:lang w:val="es-ES"/>
        </w:rPr>
        <w:t>.</w:t>
      </w:r>
    </w:p>
    <w:p w:rsidR="00C85CBC" w:rsidRPr="00E42617" w:rsidRDefault="00C85CBC" w:rsidP="00C85CBC">
      <w:pPr>
        <w:pStyle w:val="ListParagraph"/>
        <w:numPr>
          <w:ilvl w:val="0"/>
          <w:numId w:val="0"/>
        </w:numPr>
        <w:rPr>
          <w:lang w:val="es-ES"/>
        </w:rPr>
      </w:pPr>
    </w:p>
    <w:p w:rsidR="00BC1E2B" w:rsidRPr="00E42617" w:rsidRDefault="00C85CBC" w:rsidP="00E827B6">
      <w:pPr>
        <w:pStyle w:val="ListParagraph"/>
        <w:numPr>
          <w:ilvl w:val="0"/>
          <w:numId w:val="3"/>
        </w:numPr>
        <w:tabs>
          <w:tab w:val="left" w:pos="567"/>
          <w:tab w:val="left" w:pos="720"/>
          <w:tab w:val="left" w:pos="810"/>
        </w:tabs>
        <w:ind w:left="0" w:firstLine="0"/>
        <w:rPr>
          <w:lang w:val="es-ES"/>
        </w:rPr>
      </w:pPr>
      <w:r w:rsidRPr="00E42617">
        <w:rPr>
          <w:lang w:val="es-ES"/>
        </w:rPr>
        <w:t xml:space="preserve">En este sentido, el Presidente considera que el </w:t>
      </w:r>
      <w:r w:rsidR="0016038F" w:rsidRPr="00E42617">
        <w:rPr>
          <w:lang w:val="es-ES"/>
        </w:rPr>
        <w:t xml:space="preserve">objeto del peritaje ofrecido por la Comisión resulta relevante para el orden público interamericano, debido a que </w:t>
      </w:r>
      <w:r w:rsidRPr="00E42617">
        <w:rPr>
          <w:lang w:val="es-ES"/>
        </w:rPr>
        <w:t xml:space="preserve">trasciende los intereses específicos de las partes en el proceso y puede, eventualmente, tener impacto sobre situaciones que se presentan en otros Estados Parte de la Convención. Ello, ya que dicho objeto </w:t>
      </w:r>
      <w:r w:rsidR="0016038F" w:rsidRPr="00E42617">
        <w:rPr>
          <w:lang w:val="es-ES"/>
        </w:rPr>
        <w:t xml:space="preserve">implica un análisis de estándares internacionales relativos al deber de garantía del Estado respecto de los derechos de una niña quien habría sido víctima de violación sexual cometida por un actor no estatal, en el marco de investigaciones penales en la cuales se alegó su revictimización. </w:t>
      </w:r>
      <w:r w:rsidR="00AA3C18" w:rsidRPr="00E42617">
        <w:rPr>
          <w:lang w:val="es-ES"/>
        </w:rPr>
        <w:t xml:space="preserve">Finalmente, </w:t>
      </w:r>
      <w:r w:rsidR="00BC1E2B" w:rsidRPr="00E42617">
        <w:rPr>
          <w:rFonts w:cs="16mgvxmdgcg"/>
          <w:lang w:val="es-ES"/>
        </w:rPr>
        <w:t>el Presidente destaca que la jurisprudencia de la Corte no se ha referido en profundidad a</w:t>
      </w:r>
      <w:r w:rsidR="004106B9" w:rsidRPr="00E42617">
        <w:rPr>
          <w:rFonts w:cs="16mgvxmdgcg"/>
          <w:lang w:val="es-ES"/>
        </w:rPr>
        <w:t xml:space="preserve"> la</w:t>
      </w:r>
      <w:r w:rsidR="00BC1E2B" w:rsidRPr="00E42617">
        <w:rPr>
          <w:rFonts w:cs="16mgvxmdgcg"/>
          <w:lang w:val="es-ES"/>
        </w:rPr>
        <w:t xml:space="preserve"> temática presentada en el caso, por lo que </w:t>
      </w:r>
      <w:r w:rsidR="00174AE0" w:rsidRPr="00E42617">
        <w:rPr>
          <w:rFonts w:cs="16mgvxmdgcg"/>
          <w:lang w:val="es-ES"/>
        </w:rPr>
        <w:t xml:space="preserve">el mismo brindará a </w:t>
      </w:r>
      <w:r w:rsidR="00BC1E2B" w:rsidRPr="00E42617">
        <w:rPr>
          <w:rFonts w:cs="16mgvxmdgcg"/>
          <w:lang w:val="es-ES"/>
        </w:rPr>
        <w:t>la Corte</w:t>
      </w:r>
      <w:r w:rsidR="00174AE0" w:rsidRPr="00E42617">
        <w:rPr>
          <w:rFonts w:cs="16mgvxmdgcg"/>
          <w:lang w:val="es-ES"/>
        </w:rPr>
        <w:t xml:space="preserve">, en caso de que </w:t>
      </w:r>
      <w:r w:rsidR="00587A3B" w:rsidRPr="00E42617">
        <w:rPr>
          <w:rFonts w:cs="16mgvxmdgcg"/>
          <w:lang w:val="es-ES"/>
        </w:rPr>
        <w:t xml:space="preserve">así </w:t>
      </w:r>
      <w:r w:rsidR="00174AE0" w:rsidRPr="00E42617">
        <w:rPr>
          <w:rFonts w:cs="16mgvxmdgcg"/>
          <w:lang w:val="es-ES"/>
        </w:rPr>
        <w:t>corresponda,</w:t>
      </w:r>
      <w:r w:rsidR="00BC1E2B" w:rsidRPr="00E42617">
        <w:rPr>
          <w:rFonts w:cs="16mgvxmdgcg"/>
          <w:lang w:val="es-ES"/>
        </w:rPr>
        <w:t xml:space="preserve"> la oportunidad de avanzar en</w:t>
      </w:r>
      <w:r w:rsidR="00BE4138" w:rsidRPr="00E42617">
        <w:rPr>
          <w:lang w:val="es-ES"/>
        </w:rPr>
        <w:t xml:space="preserve"> el desarrollo de</w:t>
      </w:r>
      <w:r w:rsidR="00BC1E2B" w:rsidRPr="00E42617">
        <w:rPr>
          <w:rFonts w:cs="16mgvxmdgcg"/>
          <w:lang w:val="es-ES"/>
        </w:rPr>
        <w:t xml:space="preserve"> su jurisprudencia en la materia.</w:t>
      </w:r>
    </w:p>
    <w:p w:rsidR="003F4418" w:rsidRPr="00E42617" w:rsidRDefault="003F4418" w:rsidP="00BC1E2B">
      <w:pPr>
        <w:pStyle w:val="ListParagraph"/>
        <w:numPr>
          <w:ilvl w:val="0"/>
          <w:numId w:val="0"/>
        </w:numPr>
        <w:tabs>
          <w:tab w:val="left" w:pos="567"/>
          <w:tab w:val="left" w:pos="810"/>
        </w:tabs>
        <w:rPr>
          <w:lang w:val="es-ES"/>
        </w:rPr>
      </w:pPr>
    </w:p>
    <w:p w:rsidR="003F4418" w:rsidRPr="00E42617" w:rsidRDefault="00BC1E2B" w:rsidP="00587C88">
      <w:pPr>
        <w:pStyle w:val="ListParagraph"/>
        <w:numPr>
          <w:ilvl w:val="0"/>
          <w:numId w:val="3"/>
        </w:numPr>
        <w:tabs>
          <w:tab w:val="left" w:pos="567"/>
          <w:tab w:val="left" w:pos="810"/>
        </w:tabs>
        <w:ind w:left="0" w:firstLine="0"/>
        <w:rPr>
          <w:lang w:val="es-ES"/>
        </w:rPr>
      </w:pPr>
      <w:r w:rsidRPr="00E42617">
        <w:rPr>
          <w:lang w:val="es-ES"/>
        </w:rPr>
        <w:t xml:space="preserve">Con base en lo expuesto, el Presidente </w:t>
      </w:r>
      <w:r w:rsidR="00E4479F" w:rsidRPr="00E42617">
        <w:rPr>
          <w:lang w:val="es-ES"/>
        </w:rPr>
        <w:t xml:space="preserve">desestima las objeciones interpuestas en contra del peritaje del señor Miguel Cillero Bruñol y </w:t>
      </w:r>
      <w:r w:rsidRPr="00E42617">
        <w:rPr>
          <w:lang w:val="es-ES"/>
        </w:rPr>
        <w:t>estima pertinente admitir dicho dictamen pericial, según el objeto y modalidad determinados en la parte resolutiva de la presente decisión.</w:t>
      </w:r>
    </w:p>
    <w:p w:rsidR="00587C88" w:rsidRPr="00E42617" w:rsidRDefault="00587C88" w:rsidP="00587C88">
      <w:pPr>
        <w:pStyle w:val="ListParagraph"/>
        <w:numPr>
          <w:ilvl w:val="0"/>
          <w:numId w:val="0"/>
        </w:numPr>
        <w:tabs>
          <w:tab w:val="left" w:pos="567"/>
          <w:tab w:val="left" w:pos="810"/>
        </w:tabs>
        <w:rPr>
          <w:lang w:val="es-ES"/>
        </w:rPr>
      </w:pPr>
    </w:p>
    <w:p w:rsidR="005C0291" w:rsidRPr="00E42617" w:rsidRDefault="0020165A" w:rsidP="009E658C">
      <w:pPr>
        <w:pStyle w:val="ListParagraph"/>
        <w:numPr>
          <w:ilvl w:val="0"/>
          <w:numId w:val="13"/>
        </w:numPr>
        <w:tabs>
          <w:tab w:val="left" w:pos="1134"/>
        </w:tabs>
        <w:ind w:left="567" w:firstLine="0"/>
        <w:rPr>
          <w:b/>
          <w:bCs/>
          <w:i/>
          <w:iCs/>
          <w:lang w:val="es-ES"/>
        </w:rPr>
      </w:pPr>
      <w:r w:rsidRPr="00E42617">
        <w:rPr>
          <w:b/>
          <w:i/>
          <w:lang w:val="es-ES"/>
        </w:rPr>
        <w:t>Solicitud</w:t>
      </w:r>
      <w:r w:rsidR="001D53AD" w:rsidRPr="00E42617">
        <w:rPr>
          <w:b/>
          <w:i/>
          <w:lang w:val="es-ES"/>
        </w:rPr>
        <w:t xml:space="preserve"> de la Comisión para formular preguntas en relación con la declaración pericial ofrecida por las representantes</w:t>
      </w:r>
    </w:p>
    <w:p w:rsidR="005C0291" w:rsidRPr="00E42617" w:rsidRDefault="005C0291" w:rsidP="005C0291">
      <w:pPr>
        <w:pStyle w:val="ListParagraph"/>
        <w:numPr>
          <w:ilvl w:val="0"/>
          <w:numId w:val="0"/>
        </w:numPr>
        <w:tabs>
          <w:tab w:val="left" w:pos="567"/>
        </w:tabs>
        <w:ind w:left="1080" w:right="10"/>
        <w:rPr>
          <w:b/>
          <w:bCs/>
          <w:i/>
          <w:iCs/>
          <w:lang w:val="es-ES"/>
        </w:rPr>
      </w:pPr>
    </w:p>
    <w:p w:rsidR="00F32B7D" w:rsidRPr="00E42617" w:rsidRDefault="00DC3649" w:rsidP="00F32B7D">
      <w:pPr>
        <w:pStyle w:val="ListParagraph"/>
        <w:numPr>
          <w:ilvl w:val="0"/>
          <w:numId w:val="3"/>
        </w:numPr>
        <w:tabs>
          <w:tab w:val="left" w:pos="720"/>
          <w:tab w:val="left" w:pos="810"/>
        </w:tabs>
        <w:ind w:left="0" w:firstLine="0"/>
        <w:rPr>
          <w:lang w:val="es-ES"/>
        </w:rPr>
      </w:pPr>
      <w:r w:rsidRPr="00E42617">
        <w:rPr>
          <w:lang w:val="es-ES"/>
        </w:rPr>
        <w:t>La Comisión solicitó la oportunidad verbal o escrita de formular preguntas, en la medida de lo relevante y razonable, al perito ofrecido por las representantes</w:t>
      </w:r>
      <w:r w:rsidR="00F32B7D" w:rsidRPr="00E42617">
        <w:rPr>
          <w:lang w:val="es-ES"/>
        </w:rPr>
        <w:t>.</w:t>
      </w:r>
      <w:r w:rsidRPr="00E42617">
        <w:rPr>
          <w:lang w:val="es-ES"/>
        </w:rPr>
        <w:t xml:space="preserve"> La Comisión notó que el peritaje a cargo </w:t>
      </w:r>
      <w:r w:rsidR="00F32B7D" w:rsidRPr="00E42617">
        <w:rPr>
          <w:lang w:val="es-ES"/>
        </w:rPr>
        <w:t>de Enrique Oscar Stola se encuentra directamente relacionado</w:t>
      </w:r>
      <w:r w:rsidRPr="00E42617">
        <w:rPr>
          <w:lang w:val="es-ES"/>
        </w:rPr>
        <w:t xml:space="preserve"> con el p</w:t>
      </w:r>
      <w:r w:rsidR="00F32B7D" w:rsidRPr="00E42617">
        <w:rPr>
          <w:lang w:val="es-ES"/>
        </w:rPr>
        <w:t xml:space="preserve">eritaje a ser rendido por Miguel Cillero Bruñol, así </w:t>
      </w:r>
      <w:r w:rsidR="0021122E" w:rsidRPr="00E42617">
        <w:rPr>
          <w:lang w:val="es-ES"/>
        </w:rPr>
        <w:t xml:space="preserve">como </w:t>
      </w:r>
      <w:r w:rsidR="00F32B7D" w:rsidRPr="00E42617">
        <w:rPr>
          <w:lang w:val="es-ES"/>
        </w:rPr>
        <w:t>con el orden público interamericano</w:t>
      </w:r>
      <w:r w:rsidR="00E8317C" w:rsidRPr="00E42617">
        <w:rPr>
          <w:lang w:val="es-ES"/>
        </w:rPr>
        <w:t>,</w:t>
      </w:r>
      <w:r w:rsidR="00F32B7D" w:rsidRPr="00E42617">
        <w:rPr>
          <w:lang w:val="es-ES"/>
        </w:rPr>
        <w:t xml:space="preserve"> ya que </w:t>
      </w:r>
      <w:r w:rsidR="0021122E" w:rsidRPr="00E42617">
        <w:rPr>
          <w:lang w:val="es-ES"/>
        </w:rPr>
        <w:t xml:space="preserve">el señor Stola </w:t>
      </w:r>
      <w:r w:rsidR="00E513AD" w:rsidRPr="00E42617">
        <w:rPr>
          <w:lang w:val="es-ES"/>
        </w:rPr>
        <w:t>“</w:t>
      </w:r>
      <w:r w:rsidR="00F32B7D" w:rsidRPr="00E42617">
        <w:rPr>
          <w:rFonts w:eastAsiaTheme="minorHAnsi" w:cs="Times New Roman"/>
          <w:lang w:val="es-ES"/>
        </w:rPr>
        <w:t>se referirá a los estándares aplicables en las investigaciones por hechos como los del presente caso, incluyendo factores de revictimización,</w:t>
      </w:r>
      <w:r w:rsidR="00E513AD" w:rsidRPr="00E42617">
        <w:rPr>
          <w:rFonts w:eastAsiaTheme="minorHAnsi" w:cs="Times New Roman"/>
          <w:lang w:val="es-ES"/>
        </w:rPr>
        <w:t xml:space="preserve"> […]</w:t>
      </w:r>
      <w:r w:rsidR="00F32B7D" w:rsidRPr="00E42617">
        <w:rPr>
          <w:rFonts w:eastAsiaTheme="minorHAnsi" w:cs="Times New Roman"/>
          <w:lang w:val="es-ES"/>
        </w:rPr>
        <w:t xml:space="preserve"> el cual incluye tanto dichos estándares como el análisis del caso concreto</w:t>
      </w:r>
      <w:r w:rsidR="00E513AD" w:rsidRPr="00E42617">
        <w:rPr>
          <w:rFonts w:eastAsiaTheme="minorHAnsi" w:cs="Times New Roman"/>
          <w:lang w:val="es-ES"/>
        </w:rPr>
        <w:t>”</w:t>
      </w:r>
      <w:r w:rsidR="00F32B7D" w:rsidRPr="00E42617">
        <w:rPr>
          <w:rFonts w:eastAsiaTheme="minorHAnsi" w:cs="Times New Roman"/>
          <w:lang w:val="es-ES"/>
        </w:rPr>
        <w:t>.</w:t>
      </w:r>
    </w:p>
    <w:p w:rsidR="00DC3649" w:rsidRPr="00E42617" w:rsidRDefault="00DC3649" w:rsidP="00E8317C">
      <w:pPr>
        <w:pStyle w:val="ListParagraph"/>
        <w:numPr>
          <w:ilvl w:val="0"/>
          <w:numId w:val="0"/>
        </w:numPr>
        <w:tabs>
          <w:tab w:val="left" w:pos="720"/>
          <w:tab w:val="left" w:pos="810"/>
        </w:tabs>
        <w:rPr>
          <w:bCs/>
          <w:iCs/>
          <w:lang w:val="es-ES"/>
        </w:rPr>
      </w:pPr>
    </w:p>
    <w:p w:rsidR="00EC3204" w:rsidRPr="00E42617" w:rsidRDefault="00EC3204" w:rsidP="00E513AD">
      <w:pPr>
        <w:pStyle w:val="ListParagraph"/>
        <w:numPr>
          <w:ilvl w:val="0"/>
          <w:numId w:val="3"/>
        </w:numPr>
        <w:tabs>
          <w:tab w:val="left" w:pos="720"/>
          <w:tab w:val="left" w:pos="810"/>
        </w:tabs>
        <w:ind w:left="0" w:firstLine="0"/>
        <w:rPr>
          <w:bCs/>
          <w:iCs/>
          <w:lang w:val="es-ES"/>
        </w:rPr>
      </w:pPr>
      <w:r w:rsidRPr="00E42617">
        <w:rPr>
          <w:lang w:val="es-ES"/>
        </w:rPr>
        <w:t>El Presidente recuerda las normas del Reglamento del Tribunal en cuanto a la recepción de declaraciones propuestas por la Comisión, así como en relación con la facultad de ésta para interrogar a los declarantes ofrecidos por las partes</w:t>
      </w:r>
      <w:r w:rsidRPr="00E42617">
        <w:rPr>
          <w:rStyle w:val="FootnoteReference"/>
          <w:sz w:val="20"/>
          <w:szCs w:val="20"/>
          <w:lang w:val="es-ES"/>
        </w:rPr>
        <w:footnoteReference w:id="15"/>
      </w:r>
      <w:r w:rsidRPr="00E42617">
        <w:rPr>
          <w:lang w:val="es-ES"/>
        </w:rPr>
        <w:t>. En particular, es pertinente recordar lo establecido en los artículos 50.5 y 52.3 del Reglamento, de modo tal que corresponde a la Comisión fundamentar en cada caso cuál es el vínculo tanto con el orden público interamericano como con la materia sobre la que verse un peritaje ofrecido por la misma, para que pueda evaluarse la solicitud oportunamente y, si corresponde, autorizar la posibilidad de que la Comisión haga su interrogatorio</w:t>
      </w:r>
      <w:r w:rsidRPr="00E42617">
        <w:rPr>
          <w:rStyle w:val="FootnoteReference"/>
          <w:sz w:val="20"/>
          <w:szCs w:val="20"/>
          <w:lang w:val="es-ES"/>
        </w:rPr>
        <w:footnoteReference w:id="16"/>
      </w:r>
      <w:r w:rsidRPr="00E42617">
        <w:rPr>
          <w:lang w:val="es-ES"/>
        </w:rPr>
        <w:t>.</w:t>
      </w:r>
    </w:p>
    <w:p w:rsidR="00DC3649" w:rsidRPr="00E42617" w:rsidRDefault="00DC3649" w:rsidP="00DC3649">
      <w:pPr>
        <w:pStyle w:val="ListParagraph"/>
        <w:numPr>
          <w:ilvl w:val="0"/>
          <w:numId w:val="0"/>
        </w:numPr>
        <w:tabs>
          <w:tab w:val="left" w:pos="720"/>
          <w:tab w:val="left" w:pos="810"/>
        </w:tabs>
        <w:rPr>
          <w:bCs/>
          <w:iCs/>
          <w:lang w:val="es-ES"/>
        </w:rPr>
      </w:pPr>
    </w:p>
    <w:p w:rsidR="00DC3649" w:rsidRPr="00E42617" w:rsidRDefault="00DC3649" w:rsidP="00DC3649">
      <w:pPr>
        <w:pStyle w:val="ListParagraph"/>
        <w:numPr>
          <w:ilvl w:val="0"/>
          <w:numId w:val="3"/>
        </w:numPr>
        <w:tabs>
          <w:tab w:val="left" w:pos="720"/>
          <w:tab w:val="left" w:pos="810"/>
        </w:tabs>
        <w:ind w:left="0" w:firstLine="0"/>
        <w:rPr>
          <w:bCs/>
          <w:iCs/>
          <w:lang w:val="es-ES"/>
        </w:rPr>
      </w:pPr>
      <w:r w:rsidRPr="00E42617">
        <w:rPr>
          <w:bCs/>
          <w:iCs/>
          <w:lang w:val="es-ES"/>
        </w:rPr>
        <w:lastRenderedPageBreak/>
        <w:t>El Presidente consider</w:t>
      </w:r>
      <w:r w:rsidR="00E8317C" w:rsidRPr="00E42617">
        <w:rPr>
          <w:bCs/>
          <w:iCs/>
          <w:lang w:val="es-ES"/>
        </w:rPr>
        <w:t xml:space="preserve">a que el objeto del peritaje del señor Miguel Cillero Bruñol </w:t>
      </w:r>
      <w:r w:rsidRPr="00E42617">
        <w:rPr>
          <w:bCs/>
          <w:iCs/>
          <w:lang w:val="es-ES"/>
        </w:rPr>
        <w:t>propuesto por la Comisión, en lo atinente a “</w:t>
      </w:r>
      <w:r w:rsidR="00F77D63" w:rsidRPr="00E42617">
        <w:rPr>
          <w:bCs/>
          <w:iCs/>
          <w:lang w:val="es-ES"/>
        </w:rPr>
        <w:t>los estándares y las obligaciones estatales en materia de investigación y acceso a la justicia en casos como estos</w:t>
      </w:r>
      <w:r w:rsidR="00E018EB" w:rsidRPr="00E42617">
        <w:rPr>
          <w:bCs/>
          <w:iCs/>
          <w:lang w:val="es-ES"/>
        </w:rPr>
        <w:t xml:space="preserve"> y</w:t>
      </w:r>
      <w:r w:rsidR="00F77D63" w:rsidRPr="00E42617">
        <w:rPr>
          <w:bCs/>
          <w:iCs/>
          <w:lang w:val="es-ES"/>
        </w:rPr>
        <w:t xml:space="preserve"> </w:t>
      </w:r>
      <w:r w:rsidR="00450953" w:rsidRPr="00E42617">
        <w:rPr>
          <w:rFonts w:cs="Arial"/>
          <w:lang w:val="es-ES"/>
        </w:rPr>
        <w:t>las salvaguardas especiales que deben adoptarse para evitar la revictimización de una niña víctima de violencia y violación sexual</w:t>
      </w:r>
      <w:r w:rsidR="00450953" w:rsidRPr="00E42617">
        <w:rPr>
          <w:bCs/>
          <w:iCs/>
          <w:lang w:val="es-ES"/>
        </w:rPr>
        <w:t xml:space="preserve">” </w:t>
      </w:r>
      <w:r w:rsidRPr="00E42617">
        <w:rPr>
          <w:bCs/>
          <w:iCs/>
          <w:lang w:val="es-ES"/>
        </w:rPr>
        <w:t xml:space="preserve">tiene relación con el objeto del peritaje </w:t>
      </w:r>
      <w:r w:rsidR="0040252D" w:rsidRPr="00E42617">
        <w:rPr>
          <w:bCs/>
          <w:iCs/>
          <w:lang w:val="es-ES"/>
        </w:rPr>
        <w:t xml:space="preserve">del señor Stola </w:t>
      </w:r>
      <w:r w:rsidR="00773F49" w:rsidRPr="00E42617">
        <w:rPr>
          <w:bCs/>
          <w:iCs/>
          <w:lang w:val="es-ES"/>
        </w:rPr>
        <w:t>propuesto por las representantes</w:t>
      </w:r>
      <w:r w:rsidR="0040252D" w:rsidRPr="00E42617">
        <w:rPr>
          <w:bCs/>
          <w:iCs/>
          <w:lang w:val="es-ES"/>
        </w:rPr>
        <w:t xml:space="preserve"> en lo que se refiere a las posible revictimización durante las investigaciones y el procedimiento y trato adecuado</w:t>
      </w:r>
      <w:r w:rsidR="003A5F51" w:rsidRPr="00E42617">
        <w:rPr>
          <w:bCs/>
          <w:iCs/>
          <w:lang w:val="es-ES"/>
        </w:rPr>
        <w:t xml:space="preserve"> de las víctimas de tales delitos</w:t>
      </w:r>
      <w:r w:rsidRPr="00E42617">
        <w:rPr>
          <w:bCs/>
          <w:iCs/>
          <w:lang w:val="es-ES"/>
        </w:rPr>
        <w:t>.</w:t>
      </w:r>
      <w:r w:rsidR="0091256E" w:rsidRPr="00E42617">
        <w:rPr>
          <w:bCs/>
          <w:iCs/>
          <w:lang w:val="es-ES"/>
        </w:rPr>
        <w:t xml:space="preserve"> En esta línea, el Presidente resalta la necesidad de un abordaje interdisciplinario en esta materia, dado que la visión jurídica y la de atención clínica y psicosocial resultan complementarias. </w:t>
      </w:r>
    </w:p>
    <w:p w:rsidR="00DC3649" w:rsidRPr="00E42617" w:rsidRDefault="00DC3649" w:rsidP="00DC3649">
      <w:pPr>
        <w:pStyle w:val="ListParagraph"/>
        <w:numPr>
          <w:ilvl w:val="0"/>
          <w:numId w:val="0"/>
        </w:numPr>
        <w:tabs>
          <w:tab w:val="left" w:pos="720"/>
          <w:tab w:val="left" w:pos="810"/>
        </w:tabs>
        <w:rPr>
          <w:bCs/>
          <w:iCs/>
          <w:highlight w:val="yellow"/>
          <w:lang w:val="es-ES"/>
        </w:rPr>
      </w:pPr>
    </w:p>
    <w:p w:rsidR="00DC3649" w:rsidRPr="00E42617" w:rsidRDefault="00DC3649" w:rsidP="00773F49">
      <w:pPr>
        <w:pStyle w:val="ListParagraph"/>
        <w:numPr>
          <w:ilvl w:val="0"/>
          <w:numId w:val="3"/>
        </w:numPr>
        <w:tabs>
          <w:tab w:val="left" w:pos="720"/>
          <w:tab w:val="left" w:pos="810"/>
        </w:tabs>
        <w:ind w:left="0" w:firstLine="0"/>
        <w:rPr>
          <w:bCs/>
          <w:iCs/>
          <w:lang w:val="es-ES"/>
        </w:rPr>
      </w:pPr>
      <w:r w:rsidRPr="00E42617">
        <w:rPr>
          <w:bCs/>
          <w:iCs/>
          <w:lang w:val="es-ES"/>
        </w:rPr>
        <w:t>Por todo lo anterior, el Presidente estima procedente conceder oportunidad a la Comisión para formular preguntas al perito</w:t>
      </w:r>
      <w:r w:rsidR="00E018EB" w:rsidRPr="00E42617">
        <w:rPr>
          <w:bCs/>
          <w:iCs/>
          <w:lang w:val="es-ES"/>
        </w:rPr>
        <w:t xml:space="preserve"> </w:t>
      </w:r>
      <w:r w:rsidR="001E0702" w:rsidRPr="00E42617">
        <w:rPr>
          <w:lang w:val="es-ES"/>
        </w:rPr>
        <w:t>Enrique Oscar Stola</w:t>
      </w:r>
      <w:r w:rsidRPr="00E42617">
        <w:rPr>
          <w:bCs/>
          <w:iCs/>
          <w:lang w:val="es-ES"/>
        </w:rPr>
        <w:t xml:space="preserve">, específicamente en lo que atañe a temas relacionados con el orden público interamericano. </w:t>
      </w:r>
    </w:p>
    <w:p w:rsidR="003F4418" w:rsidRPr="00E42617" w:rsidRDefault="003F4418" w:rsidP="003F4418">
      <w:pPr>
        <w:pStyle w:val="ListParagraph"/>
        <w:numPr>
          <w:ilvl w:val="0"/>
          <w:numId w:val="0"/>
        </w:numPr>
        <w:tabs>
          <w:tab w:val="left" w:pos="567"/>
          <w:tab w:val="left" w:pos="810"/>
        </w:tabs>
        <w:rPr>
          <w:lang w:val="es-ES"/>
        </w:rPr>
      </w:pPr>
    </w:p>
    <w:p w:rsidR="005C0291" w:rsidRPr="00E42617" w:rsidRDefault="005C0291" w:rsidP="009E658C">
      <w:pPr>
        <w:pStyle w:val="ListParagraph"/>
        <w:numPr>
          <w:ilvl w:val="0"/>
          <w:numId w:val="13"/>
        </w:numPr>
        <w:tabs>
          <w:tab w:val="left" w:pos="1134"/>
        </w:tabs>
        <w:ind w:left="567" w:firstLine="0"/>
        <w:rPr>
          <w:b/>
          <w:bCs/>
          <w:i/>
          <w:iCs/>
          <w:lang w:val="es-ES"/>
        </w:rPr>
      </w:pPr>
      <w:r w:rsidRPr="00E42617">
        <w:rPr>
          <w:b/>
          <w:bCs/>
          <w:i/>
          <w:iCs/>
          <w:lang w:val="es-ES"/>
        </w:rPr>
        <w:t xml:space="preserve">Aplicación del Fondo de Asistencia Legal de Víctimas ante la Corte </w:t>
      </w:r>
    </w:p>
    <w:p w:rsidR="005C0291" w:rsidRPr="00E42617" w:rsidRDefault="005C0291" w:rsidP="005C0291">
      <w:pPr>
        <w:pStyle w:val="ListParagraph"/>
        <w:numPr>
          <w:ilvl w:val="0"/>
          <w:numId w:val="0"/>
        </w:numPr>
        <w:tabs>
          <w:tab w:val="left" w:pos="567"/>
        </w:tabs>
        <w:rPr>
          <w:b/>
          <w:lang w:val="es-ES"/>
        </w:rPr>
      </w:pPr>
    </w:p>
    <w:p w:rsidR="005C0291" w:rsidRPr="00E42617" w:rsidRDefault="005C0291" w:rsidP="0021122E">
      <w:pPr>
        <w:pStyle w:val="ListParagraph"/>
        <w:numPr>
          <w:ilvl w:val="0"/>
          <w:numId w:val="3"/>
        </w:numPr>
        <w:tabs>
          <w:tab w:val="left" w:pos="720"/>
          <w:tab w:val="left" w:pos="810"/>
        </w:tabs>
        <w:ind w:left="0" w:firstLine="0"/>
        <w:rPr>
          <w:bCs/>
          <w:iCs/>
          <w:lang w:val="es-ES"/>
        </w:rPr>
      </w:pPr>
      <w:r w:rsidRPr="00E42617">
        <w:rPr>
          <w:rFonts w:cs="Century Gothic"/>
          <w:lang w:val="es-ES"/>
        </w:rPr>
        <w:t>En el presente caso fueron designad</w:t>
      </w:r>
      <w:r w:rsidR="009F05F3" w:rsidRPr="00E42617">
        <w:rPr>
          <w:rFonts w:cs="Century Gothic"/>
          <w:lang w:val="es-ES"/>
        </w:rPr>
        <w:t>a</w:t>
      </w:r>
      <w:r w:rsidRPr="00E42617">
        <w:rPr>
          <w:rFonts w:cs="Century Gothic"/>
          <w:lang w:val="es-ES"/>
        </w:rPr>
        <w:t>s dos defensor</w:t>
      </w:r>
      <w:r w:rsidR="00890A07" w:rsidRPr="00E42617">
        <w:rPr>
          <w:rFonts w:cs="Century Gothic"/>
          <w:lang w:val="es-ES"/>
        </w:rPr>
        <w:t>a</w:t>
      </w:r>
      <w:r w:rsidRPr="00E42617">
        <w:rPr>
          <w:rFonts w:cs="Century Gothic"/>
          <w:lang w:val="es-ES"/>
        </w:rPr>
        <w:t>s interamerican</w:t>
      </w:r>
      <w:r w:rsidR="00890A07" w:rsidRPr="00E42617">
        <w:rPr>
          <w:rFonts w:cs="Century Gothic"/>
          <w:lang w:val="es-ES"/>
        </w:rPr>
        <w:t>a</w:t>
      </w:r>
      <w:r w:rsidRPr="00E42617">
        <w:rPr>
          <w:rFonts w:cs="Century Gothic"/>
          <w:lang w:val="es-ES"/>
        </w:rPr>
        <w:t xml:space="preserve">s para </w:t>
      </w:r>
      <w:r w:rsidR="00210CCA">
        <w:rPr>
          <w:rFonts w:cs="Century Gothic"/>
          <w:lang w:val="es-ES"/>
        </w:rPr>
        <w:t>ejercer la representación de</w:t>
      </w:r>
      <w:r w:rsidRPr="00E42617">
        <w:rPr>
          <w:rFonts w:cs="Century Gothic"/>
          <w:lang w:val="es-ES"/>
        </w:rPr>
        <w:t xml:space="preserve"> </w:t>
      </w:r>
      <w:r w:rsidR="003D150F" w:rsidRPr="00E42617">
        <w:rPr>
          <w:lang w:val="es-ES"/>
        </w:rPr>
        <w:t>V.R.P., V.P.C.</w:t>
      </w:r>
      <w:r w:rsidR="003D150F">
        <w:rPr>
          <w:lang w:val="es-ES"/>
        </w:rPr>
        <w:t xml:space="preserve"> y sus familiares</w:t>
      </w:r>
      <w:r w:rsidRPr="00E42617">
        <w:rPr>
          <w:rFonts w:cs="Century Gothic"/>
          <w:lang w:val="es-ES"/>
        </w:rPr>
        <w:t xml:space="preserve">. </w:t>
      </w:r>
      <w:bookmarkStart w:id="1" w:name="_Ref326583898"/>
      <w:r w:rsidRPr="00E42617">
        <w:rPr>
          <w:lang w:val="es-ES"/>
        </w:rPr>
        <w:t xml:space="preserve">En el escrito de </w:t>
      </w:r>
      <w:r w:rsidRPr="00E42617">
        <w:rPr>
          <w:rFonts w:cs="Century Gothic"/>
          <w:lang w:val="es-ES"/>
        </w:rPr>
        <w:t>solicitudes</w:t>
      </w:r>
      <w:r w:rsidRPr="00E42617">
        <w:rPr>
          <w:lang w:val="es-ES"/>
        </w:rPr>
        <w:t>, argumentos y pruebas, l</w:t>
      </w:r>
      <w:r w:rsidR="00890A07" w:rsidRPr="00E42617">
        <w:rPr>
          <w:lang w:val="es-ES"/>
        </w:rPr>
        <w:t>a</w:t>
      </w:r>
      <w:r w:rsidRPr="00E42617">
        <w:rPr>
          <w:lang w:val="es-ES"/>
        </w:rPr>
        <w:t>s defensor</w:t>
      </w:r>
      <w:r w:rsidR="00890A07" w:rsidRPr="00E42617">
        <w:rPr>
          <w:lang w:val="es-ES"/>
        </w:rPr>
        <w:t>a</w:t>
      </w:r>
      <w:r w:rsidRPr="00E42617">
        <w:rPr>
          <w:lang w:val="es-ES"/>
        </w:rPr>
        <w:t xml:space="preserve">s solicitaron la aplicación del Fondo de Asistencia Legal </w:t>
      </w:r>
      <w:r w:rsidR="0021122E" w:rsidRPr="00E42617">
        <w:rPr>
          <w:lang w:val="es-ES"/>
        </w:rPr>
        <w:t>para lo siguiente: i) garantizar la asistencia a la audiencia de V.R.P., V.P.C. y H.J.R.P</w:t>
      </w:r>
      <w:r w:rsidR="006C400D">
        <w:rPr>
          <w:lang w:val="es-ES"/>
        </w:rPr>
        <w:t>.</w:t>
      </w:r>
      <w:r w:rsidR="0021122E" w:rsidRPr="00E42617">
        <w:rPr>
          <w:lang w:val="es-ES"/>
        </w:rPr>
        <w:t xml:space="preserve"> (viajes, traslados, hospedaje y viáticos); ii) cubrir los gastos que eventualmente pudiera ocasionar la recepción de las declaraciones por </w:t>
      </w:r>
      <w:r w:rsidR="0021122E" w:rsidRPr="007D3352">
        <w:rPr>
          <w:lang w:val="es-ES"/>
        </w:rPr>
        <w:t>affidávit</w:t>
      </w:r>
      <w:r w:rsidR="00F310E6" w:rsidRPr="00E42617">
        <w:rPr>
          <w:lang w:val="es-ES"/>
        </w:rPr>
        <w:t>;</w:t>
      </w:r>
      <w:r w:rsidR="0021122E" w:rsidRPr="00E42617">
        <w:rPr>
          <w:lang w:val="es-ES"/>
        </w:rPr>
        <w:t xml:space="preserve"> iii) cubrir los gastos de viaje, traslado, hospedaje y viáticos que conlleve la </w:t>
      </w:r>
      <w:r w:rsidR="00F310E6" w:rsidRPr="00E42617">
        <w:rPr>
          <w:lang w:val="es-ES"/>
        </w:rPr>
        <w:t xml:space="preserve">participación </w:t>
      </w:r>
      <w:r w:rsidR="0021122E" w:rsidRPr="00E42617">
        <w:rPr>
          <w:lang w:val="es-ES"/>
        </w:rPr>
        <w:t xml:space="preserve">del perito Enrique </w:t>
      </w:r>
      <w:r w:rsidR="00F310E6" w:rsidRPr="00E42617">
        <w:rPr>
          <w:lang w:val="es-ES"/>
        </w:rPr>
        <w:t xml:space="preserve">Oscar </w:t>
      </w:r>
      <w:r w:rsidR="00967C7C">
        <w:rPr>
          <w:lang w:val="es-ES"/>
        </w:rPr>
        <w:t>S</w:t>
      </w:r>
      <w:r w:rsidR="0021122E" w:rsidRPr="00E42617">
        <w:rPr>
          <w:lang w:val="es-ES"/>
        </w:rPr>
        <w:t>tola</w:t>
      </w:r>
      <w:r w:rsidR="00F310E6" w:rsidRPr="00E42617">
        <w:rPr>
          <w:lang w:val="es-ES"/>
        </w:rPr>
        <w:t xml:space="preserve"> en la audiencia</w:t>
      </w:r>
      <w:r w:rsidR="0021122E" w:rsidRPr="00E42617">
        <w:rPr>
          <w:lang w:val="es-ES"/>
        </w:rPr>
        <w:t>, o eventualmente, al pago</w:t>
      </w:r>
      <w:r w:rsidR="00F310E6" w:rsidRPr="00E42617">
        <w:rPr>
          <w:lang w:val="es-ES"/>
        </w:rPr>
        <w:t xml:space="preserve"> que irrogue la recepción de su declaración</w:t>
      </w:r>
      <w:r w:rsidR="0021122E" w:rsidRPr="00E42617">
        <w:rPr>
          <w:lang w:val="es-ES"/>
        </w:rPr>
        <w:t xml:space="preserve"> por la vía qu</w:t>
      </w:r>
      <w:r w:rsidR="00F310E6" w:rsidRPr="00E42617">
        <w:rPr>
          <w:lang w:val="es-ES"/>
        </w:rPr>
        <w:t xml:space="preserve">e la Corte considere apropiada; </w:t>
      </w:r>
      <w:r w:rsidR="00046F01" w:rsidRPr="00E42617">
        <w:rPr>
          <w:lang w:val="es-ES"/>
        </w:rPr>
        <w:t>i</w:t>
      </w:r>
      <w:r w:rsidR="00F52DBC" w:rsidRPr="00E42617">
        <w:rPr>
          <w:lang w:val="es-ES"/>
        </w:rPr>
        <w:t>v</w:t>
      </w:r>
      <w:r w:rsidRPr="00E42617">
        <w:rPr>
          <w:lang w:val="es-ES"/>
        </w:rPr>
        <w:t xml:space="preserve">) </w:t>
      </w:r>
      <w:r w:rsidR="00F310E6" w:rsidRPr="00E42617">
        <w:rPr>
          <w:lang w:val="es-ES"/>
        </w:rPr>
        <w:t xml:space="preserve">garantizar la asistencia a la audiencia </w:t>
      </w:r>
      <w:r w:rsidR="009F05F3" w:rsidRPr="00E42617">
        <w:rPr>
          <w:lang w:val="es-ES"/>
        </w:rPr>
        <w:t>de la</w:t>
      </w:r>
      <w:r w:rsidR="00DF722B" w:rsidRPr="00E42617">
        <w:rPr>
          <w:lang w:val="es-ES"/>
        </w:rPr>
        <w:t xml:space="preserve">s </w:t>
      </w:r>
      <w:r w:rsidR="00F310E6" w:rsidRPr="00E42617">
        <w:rPr>
          <w:lang w:val="es-ES"/>
        </w:rPr>
        <w:t xml:space="preserve">dos </w:t>
      </w:r>
      <w:r w:rsidR="00DF722B" w:rsidRPr="00E42617">
        <w:rPr>
          <w:lang w:val="es-ES"/>
        </w:rPr>
        <w:t>defensor</w:t>
      </w:r>
      <w:r w:rsidR="009F05F3" w:rsidRPr="00E42617">
        <w:rPr>
          <w:lang w:val="es-ES"/>
        </w:rPr>
        <w:t>a</w:t>
      </w:r>
      <w:r w:rsidR="00DF722B" w:rsidRPr="00E42617">
        <w:rPr>
          <w:lang w:val="es-ES"/>
        </w:rPr>
        <w:t xml:space="preserve">s </w:t>
      </w:r>
      <w:r w:rsidR="00F310E6" w:rsidRPr="00E42617">
        <w:rPr>
          <w:lang w:val="es-ES"/>
        </w:rPr>
        <w:t xml:space="preserve">públicas interamericanas (viajes, traslados, hospedaje, viáticos y cualquier otro gasto en el que se incurra en virtud de dicha participación), y </w:t>
      </w:r>
      <w:r w:rsidR="00046F01" w:rsidRPr="00E42617">
        <w:rPr>
          <w:lang w:val="es-ES"/>
        </w:rPr>
        <w:t>v</w:t>
      </w:r>
      <w:r w:rsidRPr="00E42617">
        <w:rPr>
          <w:lang w:val="es-ES"/>
        </w:rPr>
        <w:t>)</w:t>
      </w:r>
      <w:r w:rsidR="00F310E6" w:rsidRPr="00E42617">
        <w:rPr>
          <w:lang w:val="es-ES"/>
        </w:rPr>
        <w:t xml:space="preserve"> cubrir</w:t>
      </w:r>
      <w:r w:rsidRPr="00E42617">
        <w:rPr>
          <w:lang w:val="es-ES"/>
        </w:rPr>
        <w:t xml:space="preserve"> </w:t>
      </w:r>
      <w:r w:rsidR="007C08D9" w:rsidRPr="00E42617">
        <w:rPr>
          <w:lang w:val="es-ES"/>
        </w:rPr>
        <w:t>las erogaciones realizadas</w:t>
      </w:r>
      <w:r w:rsidRPr="00E42617">
        <w:rPr>
          <w:lang w:val="es-ES"/>
        </w:rPr>
        <w:t>.</w:t>
      </w:r>
      <w:bookmarkEnd w:id="1"/>
    </w:p>
    <w:p w:rsidR="00B83114" w:rsidRPr="00E42617" w:rsidRDefault="00B83114" w:rsidP="005C0291">
      <w:pPr>
        <w:pStyle w:val="ListParagraph"/>
        <w:numPr>
          <w:ilvl w:val="0"/>
          <w:numId w:val="0"/>
        </w:numPr>
        <w:tabs>
          <w:tab w:val="left" w:pos="567"/>
          <w:tab w:val="left" w:pos="720"/>
          <w:tab w:val="left" w:pos="810"/>
        </w:tabs>
        <w:rPr>
          <w:lang w:val="es-ES"/>
        </w:rPr>
      </w:pPr>
    </w:p>
    <w:p w:rsidR="005C0291" w:rsidRPr="00E42617" w:rsidRDefault="005C0291" w:rsidP="005C0291">
      <w:pPr>
        <w:pStyle w:val="ListParagraph"/>
        <w:numPr>
          <w:ilvl w:val="0"/>
          <w:numId w:val="3"/>
        </w:numPr>
        <w:tabs>
          <w:tab w:val="left" w:pos="567"/>
          <w:tab w:val="left" w:pos="720"/>
          <w:tab w:val="left" w:pos="810"/>
        </w:tabs>
        <w:ind w:left="0" w:firstLine="0"/>
        <w:rPr>
          <w:lang w:val="es-ES"/>
        </w:rPr>
      </w:pPr>
      <w:r w:rsidRPr="00E42617">
        <w:rPr>
          <w:lang w:val="es-ES"/>
        </w:rPr>
        <w:t xml:space="preserve">El Presidente recuerda que, en casos en que </w:t>
      </w:r>
      <w:r w:rsidR="003D150F">
        <w:rPr>
          <w:lang w:val="es-ES"/>
        </w:rPr>
        <w:t>la</w:t>
      </w:r>
      <w:r w:rsidRPr="00E42617">
        <w:rPr>
          <w:lang w:val="es-ES"/>
        </w:rPr>
        <w:t xml:space="preserve"> representación sea asumida gratuitamente por un defensor interamericano en los términos del artículo 37 del </w:t>
      </w:r>
      <w:r w:rsidRPr="00E42617">
        <w:rPr>
          <w:rFonts w:cs="Century Gothic"/>
          <w:lang w:val="es-ES"/>
        </w:rPr>
        <w:t>Reglamento</w:t>
      </w:r>
      <w:r w:rsidRPr="00E42617">
        <w:rPr>
          <w:lang w:val="es-ES"/>
        </w:rPr>
        <w:t xml:space="preserve"> de la Corte Interamericana</w:t>
      </w:r>
      <w:r w:rsidRPr="00E42617">
        <w:rPr>
          <w:rStyle w:val="FootnoteReference"/>
          <w:rFonts w:cs="Times"/>
          <w:sz w:val="20"/>
          <w:szCs w:val="20"/>
          <w:lang w:val="es-ES"/>
        </w:rPr>
        <w:footnoteReference w:id="17"/>
      </w:r>
      <w:r w:rsidRPr="00E42617">
        <w:rPr>
          <w:lang w:val="es-ES"/>
        </w:rPr>
        <w:t>, se brindará ayuda a través del Fondo de Asistencia Legal de Víctimas para sufragar, en la medida de lo posible, los gastos razonables y necesarios que origine tal representación</w:t>
      </w:r>
      <w:r w:rsidRPr="00E42617">
        <w:rPr>
          <w:rStyle w:val="FootnoteReference"/>
          <w:sz w:val="20"/>
          <w:szCs w:val="20"/>
          <w:lang w:val="es-ES"/>
        </w:rPr>
        <w:footnoteReference w:id="18"/>
      </w:r>
      <w:r w:rsidRPr="00E42617">
        <w:rPr>
          <w:lang w:val="es-ES"/>
        </w:rPr>
        <w:t>. Es decir, la aplicación del Fondo en estas situaciones se rige por lo establecido en el artículo 4 del Acuerdo de Entendimiento ent</w:t>
      </w:r>
      <w:r w:rsidR="00C8258D" w:rsidRPr="00E42617">
        <w:rPr>
          <w:lang w:val="es-ES"/>
        </w:rPr>
        <w:t>r</w:t>
      </w:r>
      <w:r w:rsidRPr="00E42617">
        <w:rPr>
          <w:lang w:val="es-ES"/>
        </w:rPr>
        <w:t>e la Corte Interamericana y la Asociación Interamericana de Defensoría Públicas, de modo que el defensor interamericano designado “deberá presentar ante la Corte todos los comprobantes necesarios que acrediten los gastos en que se ha incurrido con motivo de la tramitación del caso ante ésta”. Lo anterior fue expresamente señalado al notificar el sometimiento del presente caso.</w:t>
      </w:r>
    </w:p>
    <w:p w:rsidR="005C0291" w:rsidRPr="00E42617" w:rsidRDefault="005C0291" w:rsidP="005C0291">
      <w:pPr>
        <w:pStyle w:val="ListParagraph"/>
        <w:numPr>
          <w:ilvl w:val="0"/>
          <w:numId w:val="0"/>
        </w:numPr>
        <w:tabs>
          <w:tab w:val="left" w:pos="567"/>
          <w:tab w:val="left" w:pos="720"/>
          <w:tab w:val="left" w:pos="810"/>
        </w:tabs>
        <w:rPr>
          <w:lang w:val="es-ES"/>
        </w:rPr>
      </w:pPr>
    </w:p>
    <w:p w:rsidR="005C0291" w:rsidRPr="00E42617" w:rsidRDefault="005C0291" w:rsidP="00F747D6">
      <w:pPr>
        <w:pStyle w:val="ListParagraph"/>
        <w:numPr>
          <w:ilvl w:val="0"/>
          <w:numId w:val="3"/>
        </w:numPr>
        <w:tabs>
          <w:tab w:val="left" w:pos="567"/>
          <w:tab w:val="left" w:pos="720"/>
          <w:tab w:val="left" w:pos="810"/>
        </w:tabs>
        <w:ind w:left="0" w:firstLine="0"/>
        <w:rPr>
          <w:lang w:val="es-ES"/>
        </w:rPr>
      </w:pPr>
      <w:r w:rsidRPr="00E42617">
        <w:rPr>
          <w:lang w:val="es-ES"/>
        </w:rPr>
        <w:t>Al haber determinado la apertura del procedimiento oral y resuelto sobre la procedencia de las declaraciones ofrecidas por</w:t>
      </w:r>
      <w:r w:rsidR="00C754BA" w:rsidRPr="00E42617">
        <w:rPr>
          <w:lang w:val="es-ES"/>
        </w:rPr>
        <w:t xml:space="preserve"> la</w:t>
      </w:r>
      <w:r w:rsidRPr="00E42617">
        <w:rPr>
          <w:lang w:val="es-ES"/>
        </w:rPr>
        <w:t>s defensor</w:t>
      </w:r>
      <w:r w:rsidR="00C754BA" w:rsidRPr="00E42617">
        <w:rPr>
          <w:lang w:val="es-ES"/>
        </w:rPr>
        <w:t>a</w:t>
      </w:r>
      <w:r w:rsidRPr="00E42617">
        <w:rPr>
          <w:lang w:val="es-ES"/>
        </w:rPr>
        <w:t>s interamerican</w:t>
      </w:r>
      <w:r w:rsidR="00C754BA" w:rsidRPr="00E42617">
        <w:rPr>
          <w:lang w:val="es-ES"/>
        </w:rPr>
        <w:t>a</w:t>
      </w:r>
      <w:r w:rsidRPr="00E42617">
        <w:rPr>
          <w:lang w:val="es-ES"/>
        </w:rPr>
        <w:t>s, así como el medio por el cual serán evacuadas, el Presidente dispone que la asistencia económica será asignada para cubrir los gastos de: i) viaje</w:t>
      </w:r>
      <w:r w:rsidR="001F6EA9" w:rsidRPr="00E42617">
        <w:rPr>
          <w:lang w:val="es-ES"/>
        </w:rPr>
        <w:t>, traslados</w:t>
      </w:r>
      <w:r w:rsidRPr="00E42617">
        <w:rPr>
          <w:lang w:val="es-ES"/>
        </w:rPr>
        <w:t xml:space="preserve"> y estadía </w:t>
      </w:r>
      <w:r w:rsidRPr="00E42617">
        <w:rPr>
          <w:lang w:val="es-ES"/>
        </w:rPr>
        <w:lastRenderedPageBreak/>
        <w:t>necesarios para que l</w:t>
      </w:r>
      <w:r w:rsidR="00C754BA" w:rsidRPr="00E42617">
        <w:rPr>
          <w:lang w:val="es-ES"/>
        </w:rPr>
        <w:t>as dos defensora</w:t>
      </w:r>
      <w:r w:rsidRPr="00E42617">
        <w:rPr>
          <w:lang w:val="es-ES"/>
        </w:rPr>
        <w:t>s interamerican</w:t>
      </w:r>
      <w:r w:rsidR="00C754BA" w:rsidRPr="00E42617">
        <w:rPr>
          <w:lang w:val="es-ES"/>
        </w:rPr>
        <w:t>a</w:t>
      </w:r>
      <w:r w:rsidRPr="00E42617">
        <w:rPr>
          <w:lang w:val="es-ES"/>
        </w:rPr>
        <w:t>s asistan a la audiencia pública a ejercer sus labores de representación; ii) viaje</w:t>
      </w:r>
      <w:r w:rsidR="001F6EA9" w:rsidRPr="00E42617">
        <w:rPr>
          <w:lang w:val="es-ES"/>
        </w:rPr>
        <w:t>, traslados</w:t>
      </w:r>
      <w:r w:rsidRPr="00E42617">
        <w:rPr>
          <w:lang w:val="es-ES"/>
        </w:rPr>
        <w:t xml:space="preserve"> y estadía necesarios para que </w:t>
      </w:r>
      <w:r w:rsidR="001F6EA9" w:rsidRPr="00E42617">
        <w:rPr>
          <w:lang w:val="es-ES"/>
        </w:rPr>
        <w:t xml:space="preserve">las señoras V.R.P. y V.P.C., y el señor Enrique Oscar Stola </w:t>
      </w:r>
      <w:r w:rsidRPr="00E42617">
        <w:rPr>
          <w:lang w:val="es-ES"/>
        </w:rPr>
        <w:t>comparezca</w:t>
      </w:r>
      <w:r w:rsidR="004C7C12" w:rsidRPr="00E42617">
        <w:rPr>
          <w:lang w:val="es-ES"/>
        </w:rPr>
        <w:t>n</w:t>
      </w:r>
      <w:r w:rsidR="001F6EA9" w:rsidRPr="00E42617">
        <w:rPr>
          <w:lang w:val="es-ES"/>
        </w:rPr>
        <w:t xml:space="preserve"> a</w:t>
      </w:r>
      <w:r w:rsidRPr="00E42617">
        <w:rPr>
          <w:lang w:val="es-ES"/>
        </w:rPr>
        <w:t xml:space="preserve"> dicha audiencia a rendir su</w:t>
      </w:r>
      <w:r w:rsidR="001F6EA9" w:rsidRPr="00E42617">
        <w:rPr>
          <w:lang w:val="es-ES"/>
        </w:rPr>
        <w:t>s declaraciones</w:t>
      </w:r>
      <w:r w:rsidR="004C7C12" w:rsidRPr="00E42617">
        <w:rPr>
          <w:lang w:val="es-ES"/>
        </w:rPr>
        <w:t xml:space="preserve"> y dictamen pericial, respectivamente</w:t>
      </w:r>
      <w:r w:rsidRPr="00E42617">
        <w:rPr>
          <w:lang w:val="es-ES"/>
        </w:rPr>
        <w:t>; i</w:t>
      </w:r>
      <w:r w:rsidR="00C754BA" w:rsidRPr="00E42617">
        <w:rPr>
          <w:lang w:val="es-ES"/>
        </w:rPr>
        <w:t>ii</w:t>
      </w:r>
      <w:r w:rsidRPr="00E42617">
        <w:rPr>
          <w:lang w:val="es-ES"/>
        </w:rPr>
        <w:t>) los costos que irrogue la declaración por af</w:t>
      </w:r>
      <w:r w:rsidR="00C754BA" w:rsidRPr="00E42617">
        <w:rPr>
          <w:lang w:val="es-ES"/>
        </w:rPr>
        <w:t>f</w:t>
      </w:r>
      <w:r w:rsidRPr="00E42617">
        <w:rPr>
          <w:lang w:val="es-ES"/>
        </w:rPr>
        <w:t>idávit de</w:t>
      </w:r>
      <w:r w:rsidR="004C7C12" w:rsidRPr="00E42617">
        <w:rPr>
          <w:lang w:val="es-ES"/>
        </w:rPr>
        <w:t xml:space="preserve"> las demás personas propuestas por las representantes, según se especifica en la parte resolutiva de esta decisión</w:t>
      </w:r>
      <w:r w:rsidR="001F6EA9" w:rsidRPr="00E42617">
        <w:rPr>
          <w:lang w:val="es-ES"/>
        </w:rPr>
        <w:t>, y</w:t>
      </w:r>
      <w:r w:rsidRPr="00E42617">
        <w:rPr>
          <w:lang w:val="es-ES"/>
        </w:rPr>
        <w:t xml:space="preserve"> </w:t>
      </w:r>
      <w:r w:rsidR="00C754BA" w:rsidRPr="00E42617">
        <w:rPr>
          <w:lang w:val="es-ES"/>
        </w:rPr>
        <w:t>i</w:t>
      </w:r>
      <w:r w:rsidRPr="00E42617">
        <w:rPr>
          <w:lang w:val="es-ES"/>
        </w:rPr>
        <w:t>v) los demás gastos razonables y necesarios en que hayan incurrido o puedan incurrir l</w:t>
      </w:r>
      <w:r w:rsidR="00C754BA" w:rsidRPr="00E42617">
        <w:rPr>
          <w:lang w:val="es-ES"/>
        </w:rPr>
        <w:t>a</w:t>
      </w:r>
      <w:r w:rsidRPr="00E42617">
        <w:rPr>
          <w:lang w:val="es-ES"/>
        </w:rPr>
        <w:t>s defensor</w:t>
      </w:r>
      <w:r w:rsidR="00C754BA" w:rsidRPr="00E42617">
        <w:rPr>
          <w:lang w:val="es-ES"/>
        </w:rPr>
        <w:t>a</w:t>
      </w:r>
      <w:r w:rsidRPr="00E42617">
        <w:rPr>
          <w:lang w:val="es-ES"/>
        </w:rPr>
        <w:t>s interamerican</w:t>
      </w:r>
      <w:r w:rsidR="004C7C12" w:rsidRPr="00E42617">
        <w:rPr>
          <w:lang w:val="es-ES"/>
        </w:rPr>
        <w:t>as</w:t>
      </w:r>
      <w:r w:rsidRPr="00E42617">
        <w:rPr>
          <w:lang w:val="es-ES"/>
        </w:rPr>
        <w:t>, para lo cual deberán remitir al Tribunal tanto la justificación de tales gastos como sus comprobantes</w:t>
      </w:r>
      <w:r w:rsidR="00046F01" w:rsidRPr="00E42617">
        <w:rPr>
          <w:lang w:val="es-ES"/>
        </w:rPr>
        <w:t>,</w:t>
      </w:r>
      <w:r w:rsidRPr="00E42617">
        <w:rPr>
          <w:lang w:val="es-ES"/>
        </w:rPr>
        <w:t xml:space="preserve"> a más tardar con la presentación de los alegatos finales escritos, siendo esa la última oportunidad procesal para hacerlo, salvo que esta Presidencia o la Corte otorguen alguna otra oportunidad procesal.</w:t>
      </w:r>
    </w:p>
    <w:p w:rsidR="005C0291" w:rsidRPr="00E42617" w:rsidRDefault="005C0291" w:rsidP="005C0291">
      <w:pPr>
        <w:pStyle w:val="ListParagraph"/>
        <w:numPr>
          <w:ilvl w:val="0"/>
          <w:numId w:val="0"/>
        </w:numPr>
        <w:tabs>
          <w:tab w:val="left" w:pos="567"/>
          <w:tab w:val="left" w:pos="720"/>
          <w:tab w:val="left" w:pos="810"/>
        </w:tabs>
        <w:rPr>
          <w:lang w:val="es-ES"/>
        </w:rPr>
      </w:pPr>
    </w:p>
    <w:p w:rsidR="005C0291" w:rsidRPr="00E42617" w:rsidRDefault="005C0291" w:rsidP="005C0291">
      <w:pPr>
        <w:pStyle w:val="ListParagraph"/>
        <w:numPr>
          <w:ilvl w:val="0"/>
          <w:numId w:val="3"/>
        </w:numPr>
        <w:tabs>
          <w:tab w:val="left" w:pos="567"/>
          <w:tab w:val="left" w:pos="720"/>
          <w:tab w:val="left" w:pos="810"/>
        </w:tabs>
        <w:ind w:left="0" w:firstLine="0"/>
        <w:rPr>
          <w:lang w:val="es-ES"/>
        </w:rPr>
      </w:pPr>
      <w:r w:rsidRPr="00E42617">
        <w:rPr>
          <w:lang w:val="es-ES"/>
        </w:rPr>
        <w:t>L</w:t>
      </w:r>
      <w:r w:rsidR="00C754BA" w:rsidRPr="00E42617">
        <w:rPr>
          <w:lang w:val="es-ES"/>
        </w:rPr>
        <w:t>a</w:t>
      </w:r>
      <w:r w:rsidRPr="00E42617">
        <w:rPr>
          <w:lang w:val="es-ES"/>
        </w:rPr>
        <w:t>s defensor</w:t>
      </w:r>
      <w:r w:rsidR="00C754BA" w:rsidRPr="00E42617">
        <w:rPr>
          <w:lang w:val="es-ES"/>
        </w:rPr>
        <w:t>a</w:t>
      </w:r>
      <w:r w:rsidRPr="00E42617">
        <w:rPr>
          <w:lang w:val="es-ES"/>
        </w:rPr>
        <w:t>s deberán remitir a la Corte una cotización en dólares de los Estados Unidos de América del costo de la formalización de la</w:t>
      </w:r>
      <w:r w:rsidR="00C754BA" w:rsidRPr="00E42617">
        <w:rPr>
          <w:lang w:val="es-ES"/>
        </w:rPr>
        <w:t>s</w:t>
      </w:r>
      <w:r w:rsidRPr="00E42617">
        <w:rPr>
          <w:lang w:val="es-ES"/>
        </w:rPr>
        <w:t xml:space="preserve"> declaraci</w:t>
      </w:r>
      <w:r w:rsidR="00C754BA" w:rsidRPr="00E42617">
        <w:rPr>
          <w:lang w:val="es-ES"/>
        </w:rPr>
        <w:t>o</w:t>
      </w:r>
      <w:r w:rsidRPr="00E42617">
        <w:rPr>
          <w:lang w:val="es-ES"/>
        </w:rPr>
        <w:t>n</w:t>
      </w:r>
      <w:r w:rsidR="00C754BA" w:rsidRPr="00E42617">
        <w:rPr>
          <w:lang w:val="es-ES"/>
        </w:rPr>
        <w:t>es</w:t>
      </w:r>
      <w:r w:rsidRPr="00E42617">
        <w:rPr>
          <w:lang w:val="es-ES"/>
        </w:rPr>
        <w:t xml:space="preserve"> </w:t>
      </w:r>
      <w:r w:rsidR="00C754BA" w:rsidRPr="00E42617">
        <w:rPr>
          <w:lang w:val="es-ES"/>
        </w:rPr>
        <w:t>ante fedatario público</w:t>
      </w:r>
      <w:r w:rsidRPr="00E42617">
        <w:rPr>
          <w:lang w:val="es-ES"/>
        </w:rPr>
        <w:t xml:space="preserve"> y de su envío, en el plazo establecido en la parte resolutiva de la presente </w:t>
      </w:r>
      <w:r w:rsidR="00C754BA" w:rsidRPr="00E42617">
        <w:rPr>
          <w:lang w:val="es-ES"/>
        </w:rPr>
        <w:t>decisión</w:t>
      </w:r>
      <w:r w:rsidRPr="00E42617">
        <w:rPr>
          <w:lang w:val="es-ES"/>
        </w:rPr>
        <w:t xml:space="preserve">. </w:t>
      </w:r>
    </w:p>
    <w:p w:rsidR="005C0291" w:rsidRPr="00E42617" w:rsidRDefault="005C0291" w:rsidP="005C0291">
      <w:pPr>
        <w:pStyle w:val="ListParagraph"/>
        <w:numPr>
          <w:ilvl w:val="0"/>
          <w:numId w:val="0"/>
        </w:numPr>
        <w:tabs>
          <w:tab w:val="left" w:pos="567"/>
          <w:tab w:val="left" w:pos="720"/>
          <w:tab w:val="left" w:pos="810"/>
        </w:tabs>
        <w:rPr>
          <w:lang w:val="es-ES"/>
        </w:rPr>
      </w:pPr>
    </w:p>
    <w:p w:rsidR="005C0291" w:rsidRPr="00E42617" w:rsidRDefault="005C0291" w:rsidP="005C0291">
      <w:pPr>
        <w:pStyle w:val="ListParagraph"/>
        <w:numPr>
          <w:ilvl w:val="0"/>
          <w:numId w:val="3"/>
        </w:numPr>
        <w:tabs>
          <w:tab w:val="left" w:pos="567"/>
          <w:tab w:val="left" w:pos="720"/>
          <w:tab w:val="left" w:pos="810"/>
        </w:tabs>
        <w:ind w:left="0" w:firstLine="0"/>
        <w:rPr>
          <w:lang w:val="es-ES"/>
        </w:rPr>
      </w:pPr>
      <w:r w:rsidRPr="00E42617">
        <w:rPr>
          <w:lang w:val="es-ES"/>
        </w:rPr>
        <w:t>En cuanto</w:t>
      </w:r>
      <w:r w:rsidR="001F6EA9" w:rsidRPr="00E42617">
        <w:rPr>
          <w:lang w:val="es-ES"/>
        </w:rPr>
        <w:t xml:space="preserve"> a la comparecencia a</w:t>
      </w:r>
      <w:r w:rsidRPr="00E42617">
        <w:rPr>
          <w:lang w:val="es-ES"/>
        </w:rPr>
        <w:t xml:space="preserve"> la audiencia pública de l</w:t>
      </w:r>
      <w:r w:rsidR="00A05AC5" w:rsidRPr="00E42617">
        <w:rPr>
          <w:lang w:val="es-ES"/>
        </w:rPr>
        <w:t>a</w:t>
      </w:r>
      <w:r w:rsidRPr="00E42617">
        <w:rPr>
          <w:lang w:val="es-ES"/>
        </w:rPr>
        <w:t>s defensor</w:t>
      </w:r>
      <w:r w:rsidR="00A05AC5" w:rsidRPr="00E42617">
        <w:rPr>
          <w:lang w:val="es-ES"/>
        </w:rPr>
        <w:t>a</w:t>
      </w:r>
      <w:r w:rsidRPr="00E42617">
        <w:rPr>
          <w:lang w:val="es-ES"/>
        </w:rPr>
        <w:t>s interamerican</w:t>
      </w:r>
      <w:r w:rsidR="00A05AC5" w:rsidRPr="00E42617">
        <w:rPr>
          <w:lang w:val="es-ES"/>
        </w:rPr>
        <w:t>a</w:t>
      </w:r>
      <w:r w:rsidRPr="00E42617">
        <w:rPr>
          <w:lang w:val="es-ES"/>
        </w:rPr>
        <w:t>s</w:t>
      </w:r>
      <w:r w:rsidR="00A05AC5" w:rsidRPr="00E42617">
        <w:rPr>
          <w:lang w:val="es-ES"/>
        </w:rPr>
        <w:t>,</w:t>
      </w:r>
      <w:r w:rsidRPr="00E42617">
        <w:rPr>
          <w:lang w:val="es-ES"/>
        </w:rPr>
        <w:t xml:space="preserve"> de la</w:t>
      </w:r>
      <w:r w:rsidR="008F10D5" w:rsidRPr="00E42617">
        <w:rPr>
          <w:lang w:val="es-ES"/>
        </w:rPr>
        <w:t>s</w:t>
      </w:r>
      <w:r w:rsidRPr="00E42617">
        <w:rPr>
          <w:lang w:val="es-ES"/>
        </w:rPr>
        <w:t xml:space="preserve"> </w:t>
      </w:r>
      <w:r w:rsidR="00B507FA">
        <w:rPr>
          <w:lang w:val="es-ES"/>
        </w:rPr>
        <w:t>declarantes</w:t>
      </w:r>
      <w:r w:rsidR="001F6EA9" w:rsidRPr="00E42617">
        <w:rPr>
          <w:lang w:val="es-ES"/>
        </w:rPr>
        <w:t xml:space="preserve"> y del</w:t>
      </w:r>
      <w:r w:rsidR="00A05AC5" w:rsidRPr="00E42617">
        <w:rPr>
          <w:lang w:val="es-ES"/>
        </w:rPr>
        <w:t xml:space="preserve"> perito</w:t>
      </w:r>
      <w:r w:rsidRPr="00E42617">
        <w:rPr>
          <w:lang w:val="es-ES"/>
        </w:rPr>
        <w:t xml:space="preserve">, el Tribunal realizará las gestiones pertinentes y necesarias para cubrir los costos de traslado, alojamiento y manutención de dichos comparecientes con recursos provenientes del Fondo de Asistencia. </w:t>
      </w:r>
    </w:p>
    <w:p w:rsidR="005C0291" w:rsidRPr="00E42617" w:rsidRDefault="005C0291" w:rsidP="005C0291">
      <w:pPr>
        <w:pStyle w:val="ListParagraph"/>
        <w:numPr>
          <w:ilvl w:val="0"/>
          <w:numId w:val="0"/>
        </w:numPr>
        <w:tabs>
          <w:tab w:val="left" w:pos="567"/>
          <w:tab w:val="left" w:pos="720"/>
          <w:tab w:val="left" w:pos="810"/>
        </w:tabs>
        <w:rPr>
          <w:lang w:val="es-ES"/>
        </w:rPr>
      </w:pPr>
    </w:p>
    <w:p w:rsidR="005C0291" w:rsidRPr="00E42617" w:rsidRDefault="005C0291" w:rsidP="005C0291">
      <w:pPr>
        <w:pStyle w:val="ListParagraph"/>
        <w:numPr>
          <w:ilvl w:val="0"/>
          <w:numId w:val="3"/>
        </w:numPr>
        <w:tabs>
          <w:tab w:val="left" w:pos="567"/>
          <w:tab w:val="left" w:pos="720"/>
          <w:tab w:val="left" w:pos="810"/>
        </w:tabs>
        <w:ind w:left="0" w:firstLine="0"/>
        <w:rPr>
          <w:lang w:val="es-ES"/>
        </w:rPr>
      </w:pPr>
      <w:r w:rsidRPr="00E42617">
        <w:rPr>
          <w:lang w:val="es-ES"/>
        </w:rPr>
        <w:t xml:space="preserve">Finalmente, el Presidente recuerda que, según el artículo 5 del Reglamento del Fondo, oportunamente se informará al Estado acerca de las erogaciones realizadas en aplicación del Fondo de Asistencia Legal, para que presente sus observaciones, si así lo desea, dentro del plazo que se establezca al efecto. </w:t>
      </w:r>
    </w:p>
    <w:p w:rsidR="00BA223A" w:rsidRPr="00E42617" w:rsidRDefault="00BA223A" w:rsidP="005C0291">
      <w:pPr>
        <w:tabs>
          <w:tab w:val="left" w:pos="567"/>
        </w:tabs>
        <w:spacing w:after="0" w:line="240" w:lineRule="auto"/>
        <w:jc w:val="both"/>
        <w:rPr>
          <w:rFonts w:cs="Verdana"/>
          <w:b/>
          <w:bCs/>
          <w:szCs w:val="20"/>
          <w:lang w:val="es-ES"/>
        </w:rPr>
      </w:pPr>
    </w:p>
    <w:p w:rsidR="00360D8F" w:rsidRPr="00E42617" w:rsidRDefault="00360D8F" w:rsidP="005C0291">
      <w:pPr>
        <w:tabs>
          <w:tab w:val="left" w:pos="567"/>
        </w:tabs>
        <w:spacing w:after="0" w:line="240" w:lineRule="auto"/>
        <w:jc w:val="both"/>
        <w:rPr>
          <w:rFonts w:cs="Verdana"/>
          <w:b/>
          <w:bCs/>
          <w:szCs w:val="20"/>
          <w:lang w:val="es-ES"/>
        </w:rPr>
      </w:pPr>
    </w:p>
    <w:p w:rsidR="005C0291" w:rsidRPr="00E42617" w:rsidRDefault="005C0291" w:rsidP="005C0291">
      <w:pPr>
        <w:tabs>
          <w:tab w:val="left" w:pos="567"/>
        </w:tabs>
        <w:spacing w:after="0" w:line="240" w:lineRule="auto"/>
        <w:jc w:val="both"/>
        <w:rPr>
          <w:rFonts w:cs="Verdana"/>
          <w:b/>
          <w:bCs/>
          <w:szCs w:val="20"/>
          <w:lang w:val="es-ES"/>
        </w:rPr>
      </w:pPr>
      <w:r w:rsidRPr="00E42617">
        <w:rPr>
          <w:rFonts w:cs="Verdana"/>
          <w:b/>
          <w:bCs/>
          <w:szCs w:val="20"/>
          <w:lang w:val="es-ES"/>
        </w:rPr>
        <w:t>POR TANTO:</w:t>
      </w:r>
    </w:p>
    <w:p w:rsidR="005C0291" w:rsidRPr="00E42617" w:rsidRDefault="005C0291" w:rsidP="005C0291">
      <w:pPr>
        <w:tabs>
          <w:tab w:val="left" w:pos="567"/>
        </w:tabs>
        <w:spacing w:after="0" w:line="240" w:lineRule="auto"/>
        <w:jc w:val="both"/>
        <w:rPr>
          <w:rFonts w:cs="Verdana"/>
          <w:b/>
          <w:bCs/>
          <w:szCs w:val="20"/>
          <w:lang w:val="es-ES"/>
        </w:rPr>
      </w:pPr>
    </w:p>
    <w:p w:rsidR="005C0291" w:rsidRPr="00E42617" w:rsidRDefault="005C0291" w:rsidP="005C0291">
      <w:pPr>
        <w:tabs>
          <w:tab w:val="left" w:pos="567"/>
        </w:tabs>
        <w:spacing w:after="0" w:line="240" w:lineRule="auto"/>
        <w:jc w:val="both"/>
        <w:rPr>
          <w:rFonts w:cs="Verdana"/>
          <w:b/>
          <w:bCs/>
          <w:szCs w:val="20"/>
          <w:lang w:val="es-ES"/>
        </w:rPr>
      </w:pPr>
      <w:r w:rsidRPr="00E42617">
        <w:rPr>
          <w:rFonts w:cs="Verdana"/>
          <w:b/>
          <w:bCs/>
          <w:szCs w:val="20"/>
          <w:lang w:val="es-ES"/>
        </w:rPr>
        <w:t>EL PRESIDENTE DE LA CORTE INTE</w:t>
      </w:r>
      <w:r w:rsidR="005B4BD0" w:rsidRPr="00E42617">
        <w:rPr>
          <w:rFonts w:cs="Verdana"/>
          <w:b/>
          <w:bCs/>
          <w:szCs w:val="20"/>
          <w:lang w:val="es-ES"/>
        </w:rPr>
        <w:t>RAMERICANA DE DERECHOS HUMANOS,</w:t>
      </w:r>
    </w:p>
    <w:p w:rsidR="005C0291" w:rsidRPr="00E42617" w:rsidRDefault="005C0291" w:rsidP="005C0291">
      <w:pPr>
        <w:tabs>
          <w:tab w:val="left" w:pos="567"/>
        </w:tabs>
        <w:spacing w:after="0" w:line="240" w:lineRule="auto"/>
        <w:jc w:val="both"/>
        <w:rPr>
          <w:rFonts w:cs="Verdana"/>
          <w:b/>
          <w:bCs/>
          <w:szCs w:val="20"/>
          <w:lang w:val="es-ES"/>
        </w:rPr>
      </w:pPr>
    </w:p>
    <w:p w:rsidR="005C0291" w:rsidRPr="00E42617" w:rsidRDefault="005C0291" w:rsidP="005C0291">
      <w:pPr>
        <w:tabs>
          <w:tab w:val="left" w:pos="567"/>
        </w:tabs>
        <w:spacing w:after="0" w:line="240" w:lineRule="auto"/>
        <w:jc w:val="both"/>
        <w:rPr>
          <w:rFonts w:cs="Verdana"/>
          <w:szCs w:val="20"/>
          <w:lang w:val="es-ES"/>
        </w:rPr>
      </w:pPr>
      <w:r w:rsidRPr="00E42617">
        <w:rPr>
          <w:rFonts w:cs="Verdana"/>
          <w:szCs w:val="20"/>
          <w:lang w:val="es-ES"/>
        </w:rPr>
        <w:t xml:space="preserve">de conformidad con los artículos 24.1 y 25.2 del Estatuto de la Corte y con los artículos 4, 15.1, 26.1, 31.2, 35.1, 40.2, 41.1, 45, 46 a 48, 50 a 56 y 60 del Reglamento, </w:t>
      </w:r>
    </w:p>
    <w:p w:rsidR="005C0291" w:rsidRPr="00E42617" w:rsidRDefault="005C0291" w:rsidP="005C0291">
      <w:pPr>
        <w:tabs>
          <w:tab w:val="left" w:pos="567"/>
        </w:tabs>
        <w:spacing w:after="0" w:line="240" w:lineRule="auto"/>
        <w:jc w:val="both"/>
        <w:rPr>
          <w:rFonts w:cs="Verdana"/>
          <w:szCs w:val="20"/>
          <w:lang w:val="es-ES"/>
        </w:rPr>
      </w:pPr>
    </w:p>
    <w:p w:rsidR="00360D8F" w:rsidRPr="00E42617" w:rsidRDefault="00360D8F" w:rsidP="005C0291">
      <w:pPr>
        <w:tabs>
          <w:tab w:val="left" w:pos="567"/>
        </w:tabs>
        <w:spacing w:after="0" w:line="240" w:lineRule="auto"/>
        <w:jc w:val="both"/>
        <w:rPr>
          <w:rFonts w:cs="Verdana"/>
          <w:szCs w:val="20"/>
          <w:lang w:val="es-ES"/>
        </w:rPr>
      </w:pPr>
    </w:p>
    <w:p w:rsidR="005C0291" w:rsidRPr="00E42617" w:rsidRDefault="005C0291" w:rsidP="005C0291">
      <w:pPr>
        <w:tabs>
          <w:tab w:val="left" w:pos="567"/>
        </w:tabs>
        <w:spacing w:after="0" w:line="240" w:lineRule="auto"/>
        <w:jc w:val="both"/>
        <w:rPr>
          <w:rFonts w:cs="Verdana"/>
          <w:b/>
          <w:bCs/>
          <w:szCs w:val="20"/>
          <w:lang w:val="es-ES"/>
        </w:rPr>
      </w:pPr>
      <w:r w:rsidRPr="00E42617">
        <w:rPr>
          <w:rFonts w:cs="Verdana"/>
          <w:b/>
          <w:bCs/>
          <w:szCs w:val="20"/>
          <w:lang w:val="es-ES"/>
        </w:rPr>
        <w:t>RESUELVE:</w:t>
      </w:r>
    </w:p>
    <w:p w:rsidR="005C0291" w:rsidRPr="00E42617" w:rsidRDefault="005C0291" w:rsidP="005C0291">
      <w:pPr>
        <w:tabs>
          <w:tab w:val="left" w:pos="567"/>
        </w:tabs>
        <w:spacing w:after="0" w:line="240" w:lineRule="auto"/>
        <w:jc w:val="both"/>
        <w:rPr>
          <w:rFonts w:cs="Verdana"/>
          <w:b/>
          <w:bCs/>
          <w:szCs w:val="20"/>
          <w:lang w:val="es-ES"/>
        </w:rPr>
      </w:pPr>
    </w:p>
    <w:p w:rsidR="005C0291" w:rsidRPr="00E42617" w:rsidRDefault="005C0291" w:rsidP="005E0B6B">
      <w:pPr>
        <w:numPr>
          <w:ilvl w:val="3"/>
          <w:numId w:val="7"/>
        </w:numPr>
        <w:tabs>
          <w:tab w:val="left" w:pos="567"/>
        </w:tabs>
        <w:spacing w:after="0" w:line="240" w:lineRule="auto"/>
        <w:ind w:left="0" w:firstLine="0"/>
        <w:jc w:val="both"/>
        <w:rPr>
          <w:rFonts w:eastAsia="MS Mincho" w:cs="Times"/>
          <w:szCs w:val="20"/>
          <w:lang w:val="es-ES"/>
        </w:rPr>
      </w:pPr>
      <w:bookmarkStart w:id="2" w:name="_Ref230577466"/>
      <w:r w:rsidRPr="00E42617">
        <w:rPr>
          <w:rFonts w:cs="Verdana"/>
          <w:color w:val="000000"/>
          <w:szCs w:val="20"/>
          <w:lang w:val="es-ES" w:eastAsia="es-ES"/>
        </w:rPr>
        <w:t>Convocar</w:t>
      </w:r>
      <w:r w:rsidRPr="00E42617">
        <w:rPr>
          <w:rFonts w:eastAsia="MS Mincho" w:cs="Times"/>
          <w:szCs w:val="20"/>
          <w:lang w:val="es-ES"/>
        </w:rPr>
        <w:t xml:space="preserve"> al Estado, a l</w:t>
      </w:r>
      <w:r w:rsidR="00094055" w:rsidRPr="00E42617">
        <w:rPr>
          <w:rFonts w:eastAsia="MS Mincho" w:cs="Times"/>
          <w:szCs w:val="20"/>
          <w:lang w:val="es-ES"/>
        </w:rPr>
        <w:t>a</w:t>
      </w:r>
      <w:r w:rsidRPr="00E42617">
        <w:rPr>
          <w:rFonts w:eastAsia="MS Mincho" w:cs="Times"/>
          <w:szCs w:val="20"/>
          <w:lang w:val="es-ES"/>
        </w:rPr>
        <w:t xml:space="preserve">s representantes y a la Comisión Interamericana a una audiencia </w:t>
      </w:r>
      <w:r w:rsidRPr="00E42617">
        <w:rPr>
          <w:rFonts w:cs="Verdana"/>
          <w:szCs w:val="20"/>
          <w:lang w:val="es-ES"/>
        </w:rPr>
        <w:t xml:space="preserve">que se celebrará </w:t>
      </w:r>
      <w:r w:rsidR="005E0B6B" w:rsidRPr="00E42617">
        <w:rPr>
          <w:rFonts w:cs="Verdana"/>
          <w:szCs w:val="20"/>
          <w:lang w:val="es-ES"/>
        </w:rPr>
        <w:t>los</w:t>
      </w:r>
      <w:r w:rsidRPr="00E42617">
        <w:rPr>
          <w:rFonts w:cs="Verdana"/>
          <w:szCs w:val="20"/>
          <w:lang w:val="es-ES"/>
        </w:rPr>
        <w:t xml:space="preserve"> día</w:t>
      </w:r>
      <w:r w:rsidR="005E0B6B" w:rsidRPr="00E42617">
        <w:rPr>
          <w:rFonts w:cs="Verdana"/>
          <w:szCs w:val="20"/>
          <w:lang w:val="es-ES"/>
        </w:rPr>
        <w:t>s</w:t>
      </w:r>
      <w:r w:rsidRPr="00E42617">
        <w:rPr>
          <w:rFonts w:cs="Verdana"/>
          <w:szCs w:val="20"/>
          <w:lang w:val="es-ES"/>
        </w:rPr>
        <w:t xml:space="preserve"> </w:t>
      </w:r>
      <w:r w:rsidR="00214709" w:rsidRPr="00E42617">
        <w:rPr>
          <w:rFonts w:cs="Verdana"/>
          <w:szCs w:val="20"/>
          <w:lang w:val="es-ES"/>
        </w:rPr>
        <w:t xml:space="preserve">lunes </w:t>
      </w:r>
      <w:r w:rsidR="005E0B6B" w:rsidRPr="00E42617">
        <w:rPr>
          <w:rFonts w:cs="Verdana"/>
          <w:szCs w:val="20"/>
          <w:lang w:val="es-ES"/>
        </w:rPr>
        <w:t>16 de octubre de 2017, a partir de las 15:00 horas</w:t>
      </w:r>
      <w:r w:rsidR="00214709" w:rsidRPr="00E42617">
        <w:rPr>
          <w:rFonts w:cs="Verdana"/>
          <w:szCs w:val="20"/>
          <w:lang w:val="es-ES"/>
        </w:rPr>
        <w:t>,</w:t>
      </w:r>
      <w:r w:rsidR="005E0B6B" w:rsidRPr="00E42617">
        <w:rPr>
          <w:rFonts w:cs="Verdana"/>
          <w:szCs w:val="20"/>
          <w:lang w:val="es-ES"/>
        </w:rPr>
        <w:t xml:space="preserve"> y</w:t>
      </w:r>
      <w:r w:rsidR="00214709" w:rsidRPr="00E42617">
        <w:rPr>
          <w:rFonts w:cs="Verdana"/>
          <w:szCs w:val="20"/>
          <w:lang w:val="es-ES"/>
        </w:rPr>
        <w:t xml:space="preserve"> martes</w:t>
      </w:r>
      <w:r w:rsidR="005E0B6B" w:rsidRPr="00E42617">
        <w:rPr>
          <w:rFonts w:cs="Verdana"/>
          <w:szCs w:val="20"/>
          <w:lang w:val="es-ES"/>
        </w:rPr>
        <w:t xml:space="preserve"> 17</w:t>
      </w:r>
      <w:r w:rsidRPr="00E42617">
        <w:rPr>
          <w:rFonts w:cs="Verdana"/>
          <w:szCs w:val="20"/>
          <w:lang w:val="es-ES"/>
        </w:rPr>
        <w:t xml:space="preserve"> de </w:t>
      </w:r>
      <w:r w:rsidR="006E54FF" w:rsidRPr="00E42617">
        <w:rPr>
          <w:rFonts w:cs="Verdana"/>
          <w:szCs w:val="20"/>
          <w:lang w:val="es-ES"/>
        </w:rPr>
        <w:t>octubre</w:t>
      </w:r>
      <w:r w:rsidRPr="00E42617">
        <w:rPr>
          <w:rFonts w:cs="Verdana"/>
          <w:szCs w:val="20"/>
          <w:lang w:val="es-ES"/>
        </w:rPr>
        <w:t xml:space="preserve"> de 2017,</w:t>
      </w:r>
      <w:r w:rsidR="005E0B6B" w:rsidRPr="00E42617">
        <w:rPr>
          <w:rFonts w:cs="Verdana"/>
          <w:szCs w:val="20"/>
          <w:lang w:val="es-ES"/>
        </w:rPr>
        <w:t xml:space="preserve"> a partir de las 9:00 horas</w:t>
      </w:r>
      <w:r w:rsidRPr="00E42617">
        <w:rPr>
          <w:rFonts w:cs="Verdana"/>
          <w:szCs w:val="20"/>
          <w:lang w:val="es-ES"/>
        </w:rPr>
        <w:t xml:space="preserve">, durante el </w:t>
      </w:r>
      <w:r w:rsidR="005E0B6B" w:rsidRPr="00E42617">
        <w:rPr>
          <w:rFonts w:cs="Verdana"/>
          <w:szCs w:val="20"/>
          <w:lang w:val="es-ES"/>
        </w:rPr>
        <w:t>58</w:t>
      </w:r>
      <w:r w:rsidR="00094055" w:rsidRPr="00E42617">
        <w:rPr>
          <w:rFonts w:cs="Verdana"/>
          <w:szCs w:val="20"/>
          <w:lang w:val="es-ES"/>
        </w:rPr>
        <w:t>°</w:t>
      </w:r>
      <w:r w:rsidR="006E54FF" w:rsidRPr="00E42617">
        <w:rPr>
          <w:rFonts w:cs="Verdana"/>
          <w:szCs w:val="20"/>
          <w:lang w:val="es-ES"/>
        </w:rPr>
        <w:t xml:space="preserve"> Período Extrao</w:t>
      </w:r>
      <w:r w:rsidRPr="00E42617">
        <w:rPr>
          <w:rFonts w:cs="Verdana"/>
          <w:szCs w:val="20"/>
          <w:lang w:val="es-ES"/>
        </w:rPr>
        <w:t xml:space="preserve">rdinario de Sesiones, </w:t>
      </w:r>
      <w:r w:rsidRPr="00E42617">
        <w:rPr>
          <w:lang w:val="es-ES"/>
        </w:rPr>
        <w:t xml:space="preserve">que se llevará a cabo en la </w:t>
      </w:r>
      <w:r w:rsidR="006E54FF" w:rsidRPr="00E42617">
        <w:rPr>
          <w:lang w:val="es-ES"/>
        </w:rPr>
        <w:t xml:space="preserve">ciudad de Panamá, </w:t>
      </w:r>
      <w:r w:rsidR="00214709" w:rsidRPr="00E42617">
        <w:rPr>
          <w:lang w:val="es-ES"/>
        </w:rPr>
        <w:t xml:space="preserve">República de </w:t>
      </w:r>
      <w:r w:rsidR="006E54FF" w:rsidRPr="00E42617">
        <w:rPr>
          <w:lang w:val="es-ES"/>
        </w:rPr>
        <w:t>Panamá</w:t>
      </w:r>
      <w:r w:rsidR="00214709" w:rsidRPr="00E42617">
        <w:rPr>
          <w:lang w:val="es-ES"/>
        </w:rPr>
        <w:t>,</w:t>
      </w:r>
      <w:r w:rsidR="006E54FF" w:rsidRPr="00E42617">
        <w:rPr>
          <w:lang w:val="es-ES"/>
        </w:rPr>
        <w:t xml:space="preserve"> </w:t>
      </w:r>
      <w:r w:rsidRPr="00E42617">
        <w:rPr>
          <w:rFonts w:eastAsia="MS Mincho" w:cs="Times"/>
          <w:szCs w:val="20"/>
          <w:lang w:val="es-ES"/>
        </w:rPr>
        <w:t xml:space="preserve">para </w:t>
      </w:r>
      <w:r w:rsidR="005E0B6B" w:rsidRPr="00E42617">
        <w:rPr>
          <w:rFonts w:cs="Verdana"/>
          <w:color w:val="000000" w:themeColor="text1"/>
          <w:szCs w:val="20"/>
          <w:lang w:val="es-ES"/>
        </w:rPr>
        <w:t xml:space="preserve">recibir las declaraciones de las personas que a continuación se mencionan y para recibir los alegatos finales orales y observaciones finales orales, respectivamente, </w:t>
      </w:r>
      <w:r w:rsidRPr="00E42617">
        <w:rPr>
          <w:rFonts w:eastAsia="MS Mincho" w:cs="Times"/>
          <w:szCs w:val="20"/>
          <w:lang w:val="es-ES"/>
        </w:rPr>
        <w:t>sobre la</w:t>
      </w:r>
      <w:r w:rsidR="006E54FF" w:rsidRPr="00E42617">
        <w:rPr>
          <w:rFonts w:eastAsia="MS Mincho" w:cs="Times"/>
          <w:szCs w:val="20"/>
          <w:lang w:val="es-ES"/>
        </w:rPr>
        <w:t>s</w:t>
      </w:r>
      <w:r w:rsidRPr="00E42617">
        <w:rPr>
          <w:rFonts w:eastAsia="MS Mincho" w:cs="Times"/>
          <w:szCs w:val="20"/>
          <w:lang w:val="es-ES"/>
        </w:rPr>
        <w:t xml:space="preserve"> excepci</w:t>
      </w:r>
      <w:r w:rsidR="006E54FF" w:rsidRPr="00E42617">
        <w:rPr>
          <w:rFonts w:eastAsia="MS Mincho" w:cs="Times"/>
          <w:szCs w:val="20"/>
          <w:lang w:val="es-ES"/>
        </w:rPr>
        <w:t>ones</w:t>
      </w:r>
      <w:r w:rsidRPr="00E42617">
        <w:rPr>
          <w:rFonts w:eastAsia="MS Mincho" w:cs="Times"/>
          <w:szCs w:val="20"/>
          <w:lang w:val="es-ES"/>
        </w:rPr>
        <w:t xml:space="preserve"> preliminar</w:t>
      </w:r>
      <w:r w:rsidR="006E54FF" w:rsidRPr="00E42617">
        <w:rPr>
          <w:rFonts w:eastAsia="MS Mincho" w:cs="Times"/>
          <w:szCs w:val="20"/>
          <w:lang w:val="es-ES"/>
        </w:rPr>
        <w:t>es</w:t>
      </w:r>
      <w:r w:rsidRPr="00E42617">
        <w:rPr>
          <w:rFonts w:eastAsia="MS Mincho" w:cs="Times"/>
          <w:szCs w:val="20"/>
          <w:lang w:val="es-ES"/>
        </w:rPr>
        <w:t xml:space="preserve"> y eventuales fondo, reparaciones y costas, así como las declaraciones </w:t>
      </w:r>
      <w:bookmarkEnd w:id="2"/>
      <w:r w:rsidR="00094055" w:rsidRPr="00E42617">
        <w:rPr>
          <w:rFonts w:eastAsia="MS Mincho" w:cs="Times"/>
          <w:szCs w:val="20"/>
          <w:lang w:val="es-ES"/>
        </w:rPr>
        <w:t>de las siguientes personas:</w:t>
      </w:r>
    </w:p>
    <w:p w:rsidR="005C0291" w:rsidRPr="00E42617" w:rsidRDefault="005C0291" w:rsidP="005C0291">
      <w:pPr>
        <w:tabs>
          <w:tab w:val="left" w:pos="567"/>
          <w:tab w:val="left" w:pos="851"/>
        </w:tabs>
        <w:autoSpaceDE w:val="0"/>
        <w:autoSpaceDN w:val="0"/>
        <w:adjustRightInd w:val="0"/>
        <w:spacing w:after="0" w:line="240" w:lineRule="auto"/>
        <w:ind w:left="851"/>
        <w:jc w:val="both"/>
        <w:rPr>
          <w:rFonts w:cs="Verdana"/>
          <w:szCs w:val="20"/>
          <w:lang w:val="es-ES"/>
        </w:rPr>
      </w:pPr>
    </w:p>
    <w:p w:rsidR="005C0291" w:rsidRPr="00E42617" w:rsidRDefault="006132CD" w:rsidP="005C0291">
      <w:pPr>
        <w:numPr>
          <w:ilvl w:val="0"/>
          <w:numId w:val="8"/>
        </w:numPr>
        <w:tabs>
          <w:tab w:val="left" w:pos="567"/>
        </w:tabs>
        <w:spacing w:after="0" w:line="240" w:lineRule="auto"/>
        <w:ind w:left="567"/>
        <w:jc w:val="both"/>
        <w:rPr>
          <w:rFonts w:cs="Verdana"/>
          <w:b/>
          <w:bCs/>
          <w:i/>
          <w:iCs/>
          <w:szCs w:val="20"/>
          <w:lang w:val="es-ES"/>
        </w:rPr>
      </w:pPr>
      <w:r>
        <w:rPr>
          <w:rFonts w:cs="Verdana"/>
          <w:bCs/>
          <w:i/>
          <w:iCs/>
          <w:szCs w:val="20"/>
          <w:lang w:val="es-ES"/>
        </w:rPr>
        <w:t>Declarantes</w:t>
      </w:r>
      <w:r w:rsidR="005C0291" w:rsidRPr="00E42617">
        <w:rPr>
          <w:rFonts w:cs="Verdana"/>
          <w:bCs/>
          <w:i/>
          <w:iCs/>
          <w:szCs w:val="20"/>
          <w:lang w:val="es-ES"/>
        </w:rPr>
        <w:t xml:space="preserve"> (</w:t>
      </w:r>
      <w:r w:rsidR="00094055" w:rsidRPr="00E42617">
        <w:rPr>
          <w:rFonts w:cs="Verdana"/>
          <w:i/>
          <w:iCs/>
          <w:szCs w:val="20"/>
          <w:lang w:val="es-ES"/>
        </w:rPr>
        <w:t>propuest</w:t>
      </w:r>
      <w:r w:rsidR="00C76FB1" w:rsidRPr="00E42617">
        <w:rPr>
          <w:rFonts w:cs="Verdana"/>
          <w:i/>
          <w:iCs/>
          <w:szCs w:val="20"/>
          <w:lang w:val="es-ES"/>
        </w:rPr>
        <w:t>a</w:t>
      </w:r>
      <w:r w:rsidR="00900C76" w:rsidRPr="00E42617">
        <w:rPr>
          <w:rFonts w:cs="Verdana"/>
          <w:i/>
          <w:iCs/>
          <w:szCs w:val="20"/>
          <w:lang w:val="es-ES"/>
        </w:rPr>
        <w:t>s</w:t>
      </w:r>
      <w:r w:rsidR="00094055" w:rsidRPr="00E42617">
        <w:rPr>
          <w:rFonts w:cs="Verdana"/>
          <w:i/>
          <w:iCs/>
          <w:szCs w:val="20"/>
          <w:lang w:val="es-ES"/>
        </w:rPr>
        <w:t xml:space="preserve"> por la</w:t>
      </w:r>
      <w:r w:rsidR="005C0291" w:rsidRPr="00E42617">
        <w:rPr>
          <w:rFonts w:cs="Verdana"/>
          <w:i/>
          <w:iCs/>
          <w:szCs w:val="20"/>
          <w:lang w:val="es-ES"/>
        </w:rPr>
        <w:t>s representantes</w:t>
      </w:r>
      <w:r w:rsidR="005C0291" w:rsidRPr="00E42617">
        <w:rPr>
          <w:rFonts w:cs="Verdana"/>
          <w:bCs/>
          <w:i/>
          <w:iCs/>
          <w:szCs w:val="20"/>
          <w:lang w:val="es-ES"/>
        </w:rPr>
        <w:t>)</w:t>
      </w:r>
    </w:p>
    <w:p w:rsidR="005C0291" w:rsidRPr="00E42617" w:rsidRDefault="005C0291" w:rsidP="005C0291">
      <w:pPr>
        <w:tabs>
          <w:tab w:val="left" w:pos="567"/>
        </w:tabs>
        <w:spacing w:after="0" w:line="240" w:lineRule="auto"/>
        <w:ind w:left="720"/>
        <w:jc w:val="both"/>
        <w:rPr>
          <w:rFonts w:cs="Verdana"/>
          <w:i/>
          <w:iCs/>
          <w:szCs w:val="20"/>
          <w:lang w:val="es-ES"/>
        </w:rPr>
      </w:pPr>
    </w:p>
    <w:p w:rsidR="005C0291" w:rsidRPr="00E42617" w:rsidRDefault="006E54FF" w:rsidP="00900C76">
      <w:pPr>
        <w:widowControl w:val="0"/>
        <w:numPr>
          <w:ilvl w:val="0"/>
          <w:numId w:val="9"/>
        </w:numPr>
        <w:tabs>
          <w:tab w:val="left" w:pos="567"/>
          <w:tab w:val="left" w:pos="1134"/>
        </w:tabs>
        <w:autoSpaceDE w:val="0"/>
        <w:autoSpaceDN w:val="0"/>
        <w:adjustRightInd w:val="0"/>
        <w:spacing w:after="0" w:line="240" w:lineRule="auto"/>
        <w:ind w:left="709" w:right="22" w:firstLine="0"/>
        <w:jc w:val="both"/>
        <w:rPr>
          <w:rFonts w:cs="Verdana"/>
          <w:szCs w:val="20"/>
          <w:lang w:val="es-ES"/>
        </w:rPr>
      </w:pPr>
      <w:r w:rsidRPr="00E42617">
        <w:rPr>
          <w:rFonts w:cs="Verdana"/>
          <w:bCs/>
          <w:i/>
          <w:szCs w:val="20"/>
          <w:lang w:val="es-ES"/>
        </w:rPr>
        <w:t>V.R.P.</w:t>
      </w:r>
      <w:r w:rsidR="005C0291" w:rsidRPr="00E42617">
        <w:rPr>
          <w:rFonts w:cs="Verdana"/>
          <w:bCs/>
          <w:szCs w:val="20"/>
          <w:lang w:val="es-ES"/>
        </w:rPr>
        <w:t>, quien</w:t>
      </w:r>
      <w:r w:rsidR="005C0291" w:rsidRPr="00E42617">
        <w:rPr>
          <w:rFonts w:cs="Verdana"/>
          <w:szCs w:val="20"/>
          <w:lang w:val="es-ES"/>
        </w:rPr>
        <w:t xml:space="preserve"> declarará sobre</w:t>
      </w:r>
      <w:r w:rsidR="00215EF9" w:rsidRPr="00E42617">
        <w:rPr>
          <w:szCs w:val="20"/>
          <w:lang w:val="es-ES"/>
        </w:rPr>
        <w:t>: i)</w:t>
      </w:r>
      <w:r w:rsidRPr="00E42617">
        <w:rPr>
          <w:szCs w:val="20"/>
          <w:lang w:val="es-ES"/>
        </w:rPr>
        <w:t xml:space="preserve"> </w:t>
      </w:r>
      <w:r w:rsidR="005B4BD0" w:rsidRPr="00E42617">
        <w:rPr>
          <w:szCs w:val="20"/>
          <w:lang w:val="es-ES"/>
        </w:rPr>
        <w:t>los</w:t>
      </w:r>
      <w:r w:rsidRPr="00E42617">
        <w:rPr>
          <w:szCs w:val="20"/>
          <w:lang w:val="es-ES"/>
        </w:rPr>
        <w:t xml:space="preserve"> hecho</w:t>
      </w:r>
      <w:r w:rsidR="005B4BD0" w:rsidRPr="00E42617">
        <w:rPr>
          <w:szCs w:val="20"/>
          <w:lang w:val="es-ES"/>
        </w:rPr>
        <w:t>s ocurridos conforme a lo descrito</w:t>
      </w:r>
      <w:r w:rsidRPr="00E42617">
        <w:rPr>
          <w:szCs w:val="20"/>
          <w:lang w:val="es-ES"/>
        </w:rPr>
        <w:t xml:space="preserve"> por la Comisión Interamericana</w:t>
      </w:r>
      <w:r w:rsidR="005B4BD0" w:rsidRPr="00E42617">
        <w:rPr>
          <w:szCs w:val="20"/>
          <w:lang w:val="es-ES"/>
        </w:rPr>
        <w:t xml:space="preserve"> en su </w:t>
      </w:r>
      <w:r w:rsidR="00944F5B">
        <w:rPr>
          <w:szCs w:val="20"/>
          <w:lang w:val="es-ES"/>
        </w:rPr>
        <w:t>I</w:t>
      </w:r>
      <w:r w:rsidR="005B4BD0" w:rsidRPr="00E42617">
        <w:rPr>
          <w:szCs w:val="20"/>
          <w:lang w:val="es-ES"/>
        </w:rPr>
        <w:t xml:space="preserve">nforme de </w:t>
      </w:r>
      <w:r w:rsidR="00944F5B">
        <w:rPr>
          <w:szCs w:val="20"/>
          <w:lang w:val="es-ES"/>
        </w:rPr>
        <w:t>F</w:t>
      </w:r>
      <w:r w:rsidR="005B4BD0" w:rsidRPr="00E42617">
        <w:rPr>
          <w:szCs w:val="20"/>
          <w:lang w:val="es-ES"/>
        </w:rPr>
        <w:t>ondo No. 4/16</w:t>
      </w:r>
      <w:r w:rsidR="00215EF9" w:rsidRPr="00E42617">
        <w:rPr>
          <w:szCs w:val="20"/>
          <w:lang w:val="es-ES"/>
        </w:rPr>
        <w:t>; ii)</w:t>
      </w:r>
      <w:r w:rsidRPr="00E42617">
        <w:rPr>
          <w:szCs w:val="20"/>
          <w:lang w:val="es-ES"/>
        </w:rPr>
        <w:t xml:space="preserve"> las consecuencias personales, familiares, sociales y económicas que a ella y a su familia le produjo el desarrollo del proceso penal</w:t>
      </w:r>
      <w:r w:rsidR="003F3B01">
        <w:rPr>
          <w:szCs w:val="20"/>
          <w:lang w:val="es-ES"/>
        </w:rPr>
        <w:t xml:space="preserve"> por lo</w:t>
      </w:r>
      <w:r w:rsidR="007B08CD">
        <w:rPr>
          <w:szCs w:val="20"/>
          <w:lang w:val="es-ES"/>
        </w:rPr>
        <w:t>s</w:t>
      </w:r>
      <w:r w:rsidR="003F3B01">
        <w:rPr>
          <w:szCs w:val="20"/>
          <w:lang w:val="es-ES"/>
        </w:rPr>
        <w:t xml:space="preserve"> hechos del presente </w:t>
      </w:r>
      <w:r w:rsidR="003F3B01">
        <w:rPr>
          <w:szCs w:val="20"/>
          <w:lang w:val="es-ES"/>
        </w:rPr>
        <w:lastRenderedPageBreak/>
        <w:t>caso</w:t>
      </w:r>
      <w:r w:rsidR="00215EF9" w:rsidRPr="00E42617">
        <w:rPr>
          <w:szCs w:val="20"/>
          <w:lang w:val="es-ES"/>
        </w:rPr>
        <w:t>, y iii)</w:t>
      </w:r>
      <w:r w:rsidRPr="00E42617">
        <w:rPr>
          <w:szCs w:val="20"/>
          <w:lang w:val="es-ES"/>
        </w:rPr>
        <w:t xml:space="preserve"> la revictimización a la cual </w:t>
      </w:r>
      <w:r w:rsidR="00E26635" w:rsidRPr="00E42617">
        <w:rPr>
          <w:szCs w:val="20"/>
          <w:lang w:val="es-ES"/>
        </w:rPr>
        <w:t>habría sido expuesta</w:t>
      </w:r>
      <w:r w:rsidRPr="00E42617">
        <w:rPr>
          <w:szCs w:val="20"/>
          <w:lang w:val="es-ES"/>
        </w:rPr>
        <w:t xml:space="preserve"> por las autoridades judiciales.</w:t>
      </w:r>
    </w:p>
    <w:p w:rsidR="00900C76" w:rsidRPr="00E42617" w:rsidRDefault="00900C76" w:rsidP="006E54FF">
      <w:pPr>
        <w:widowControl w:val="0"/>
        <w:tabs>
          <w:tab w:val="left" w:pos="567"/>
          <w:tab w:val="left" w:pos="1134"/>
        </w:tabs>
        <w:autoSpaceDE w:val="0"/>
        <w:autoSpaceDN w:val="0"/>
        <w:adjustRightInd w:val="0"/>
        <w:spacing w:after="0" w:line="240" w:lineRule="auto"/>
        <w:ind w:right="22"/>
        <w:jc w:val="both"/>
        <w:rPr>
          <w:rFonts w:cs="Verdana"/>
          <w:szCs w:val="20"/>
          <w:lang w:val="es-ES"/>
        </w:rPr>
      </w:pPr>
    </w:p>
    <w:p w:rsidR="005C0291" w:rsidRPr="00E42617" w:rsidRDefault="006E54FF" w:rsidP="005C0291">
      <w:pPr>
        <w:widowControl w:val="0"/>
        <w:numPr>
          <w:ilvl w:val="0"/>
          <w:numId w:val="9"/>
        </w:numPr>
        <w:tabs>
          <w:tab w:val="left" w:pos="567"/>
          <w:tab w:val="left" w:pos="1134"/>
        </w:tabs>
        <w:autoSpaceDE w:val="0"/>
        <w:autoSpaceDN w:val="0"/>
        <w:adjustRightInd w:val="0"/>
        <w:spacing w:after="0" w:line="240" w:lineRule="auto"/>
        <w:ind w:left="709" w:right="22" w:firstLine="0"/>
        <w:jc w:val="both"/>
        <w:rPr>
          <w:rFonts w:cs="Verdana"/>
          <w:szCs w:val="20"/>
          <w:lang w:val="es-ES"/>
        </w:rPr>
      </w:pPr>
      <w:r w:rsidRPr="00E42617">
        <w:rPr>
          <w:i/>
          <w:szCs w:val="20"/>
          <w:lang w:val="es-ES"/>
        </w:rPr>
        <w:t>V.P.C</w:t>
      </w:r>
      <w:r w:rsidR="00360D8F" w:rsidRPr="00E42617">
        <w:rPr>
          <w:i/>
          <w:szCs w:val="20"/>
          <w:lang w:val="es-ES"/>
        </w:rPr>
        <w:t>.</w:t>
      </w:r>
      <w:r w:rsidR="00900C76" w:rsidRPr="00E42617">
        <w:rPr>
          <w:szCs w:val="20"/>
          <w:lang w:val="es-ES"/>
        </w:rPr>
        <w:t>,</w:t>
      </w:r>
      <w:r w:rsidRPr="00E42617">
        <w:rPr>
          <w:szCs w:val="20"/>
          <w:lang w:val="es-ES"/>
        </w:rPr>
        <w:t xml:space="preserve"> </w:t>
      </w:r>
      <w:r w:rsidR="00900C76" w:rsidRPr="00E42617">
        <w:rPr>
          <w:szCs w:val="20"/>
          <w:lang w:val="es-ES"/>
        </w:rPr>
        <w:t>quien declarará sobre</w:t>
      </w:r>
      <w:r w:rsidR="00215EF9" w:rsidRPr="00E42617">
        <w:rPr>
          <w:szCs w:val="20"/>
          <w:lang w:val="es-ES"/>
        </w:rPr>
        <w:t>:</w:t>
      </w:r>
      <w:r w:rsidR="00900C76" w:rsidRPr="00E42617">
        <w:rPr>
          <w:szCs w:val="20"/>
          <w:lang w:val="es-ES"/>
        </w:rPr>
        <w:t xml:space="preserve"> </w:t>
      </w:r>
      <w:r w:rsidR="00215EF9" w:rsidRPr="00E42617">
        <w:rPr>
          <w:szCs w:val="20"/>
          <w:lang w:val="es-ES"/>
        </w:rPr>
        <w:t>i)</w:t>
      </w:r>
      <w:r w:rsidRPr="00E42617">
        <w:rPr>
          <w:szCs w:val="20"/>
          <w:lang w:val="es-ES"/>
        </w:rPr>
        <w:t xml:space="preserve"> </w:t>
      </w:r>
      <w:r w:rsidR="005B4BD0" w:rsidRPr="00E42617">
        <w:rPr>
          <w:szCs w:val="20"/>
          <w:lang w:val="es-ES"/>
        </w:rPr>
        <w:t xml:space="preserve">los hechos ocurridos conforme a lo descrito por la Comisión Interamericana en su </w:t>
      </w:r>
      <w:r w:rsidR="00944F5B">
        <w:rPr>
          <w:szCs w:val="20"/>
          <w:lang w:val="es-ES"/>
        </w:rPr>
        <w:t>I</w:t>
      </w:r>
      <w:r w:rsidR="005B4BD0" w:rsidRPr="00E42617">
        <w:rPr>
          <w:szCs w:val="20"/>
          <w:lang w:val="es-ES"/>
        </w:rPr>
        <w:t xml:space="preserve">nforme de </w:t>
      </w:r>
      <w:r w:rsidR="00944F5B">
        <w:rPr>
          <w:szCs w:val="20"/>
          <w:lang w:val="es-ES"/>
        </w:rPr>
        <w:t>F</w:t>
      </w:r>
      <w:r w:rsidR="005B4BD0" w:rsidRPr="00E42617">
        <w:rPr>
          <w:szCs w:val="20"/>
          <w:lang w:val="es-ES"/>
        </w:rPr>
        <w:t>ondo No. 4/16</w:t>
      </w:r>
      <w:r w:rsidR="00215EF9" w:rsidRPr="00E42617">
        <w:rPr>
          <w:szCs w:val="20"/>
          <w:lang w:val="es-ES"/>
        </w:rPr>
        <w:t>; ii)</w:t>
      </w:r>
      <w:r w:rsidRPr="00E42617">
        <w:rPr>
          <w:szCs w:val="20"/>
          <w:lang w:val="es-ES"/>
        </w:rPr>
        <w:t xml:space="preserve"> las consecuencias que a nivel personal </w:t>
      </w:r>
      <w:r w:rsidR="00945193" w:rsidRPr="00E42617">
        <w:rPr>
          <w:szCs w:val="20"/>
          <w:lang w:val="es-ES"/>
        </w:rPr>
        <w:t xml:space="preserve">le produjo </w:t>
      </w:r>
      <w:r w:rsidRPr="00E42617">
        <w:rPr>
          <w:szCs w:val="20"/>
          <w:lang w:val="es-ES"/>
        </w:rPr>
        <w:t>el trato bri</w:t>
      </w:r>
      <w:r w:rsidR="005B4BD0" w:rsidRPr="00E42617">
        <w:rPr>
          <w:szCs w:val="20"/>
          <w:lang w:val="es-ES"/>
        </w:rPr>
        <w:t>n</w:t>
      </w:r>
      <w:r w:rsidRPr="00E42617">
        <w:rPr>
          <w:szCs w:val="20"/>
          <w:lang w:val="es-ES"/>
        </w:rPr>
        <w:t>dado por las autoridades hacia su persona y su hija</w:t>
      </w:r>
      <w:r w:rsidR="00945193" w:rsidRPr="00E42617">
        <w:rPr>
          <w:szCs w:val="20"/>
          <w:lang w:val="es-ES"/>
        </w:rPr>
        <w:t>; iii)</w:t>
      </w:r>
      <w:r w:rsidR="0012778E" w:rsidRPr="00E42617">
        <w:rPr>
          <w:szCs w:val="20"/>
          <w:lang w:val="es-ES"/>
        </w:rPr>
        <w:t xml:space="preserve"> </w:t>
      </w:r>
      <w:r w:rsidR="00945193" w:rsidRPr="00E42617">
        <w:rPr>
          <w:szCs w:val="20"/>
          <w:lang w:val="es-ES"/>
        </w:rPr>
        <w:t>las afectaciones</w:t>
      </w:r>
      <w:r w:rsidRPr="00E42617">
        <w:rPr>
          <w:szCs w:val="20"/>
          <w:lang w:val="es-ES"/>
        </w:rPr>
        <w:t xml:space="preserve"> </w:t>
      </w:r>
      <w:r w:rsidR="00945193" w:rsidRPr="00E42617">
        <w:rPr>
          <w:szCs w:val="20"/>
          <w:lang w:val="es-ES"/>
        </w:rPr>
        <w:t>sobre</w:t>
      </w:r>
      <w:r w:rsidRPr="00E42617">
        <w:rPr>
          <w:szCs w:val="20"/>
          <w:lang w:val="es-ES"/>
        </w:rPr>
        <w:t xml:space="preserve"> su hija y </w:t>
      </w:r>
      <w:r w:rsidR="00945193" w:rsidRPr="00E42617">
        <w:rPr>
          <w:szCs w:val="20"/>
          <w:lang w:val="es-ES"/>
        </w:rPr>
        <w:t xml:space="preserve">las </w:t>
      </w:r>
      <w:r w:rsidRPr="00E42617">
        <w:rPr>
          <w:szCs w:val="20"/>
          <w:lang w:val="es-ES"/>
        </w:rPr>
        <w:t>repercu</w:t>
      </w:r>
      <w:r w:rsidR="00945193" w:rsidRPr="00E42617">
        <w:rPr>
          <w:szCs w:val="20"/>
          <w:lang w:val="es-ES"/>
        </w:rPr>
        <w:t>siones</w:t>
      </w:r>
      <w:r w:rsidRPr="00E42617">
        <w:rPr>
          <w:szCs w:val="20"/>
          <w:lang w:val="es-ES"/>
        </w:rPr>
        <w:t xml:space="preserve"> en toda la familia</w:t>
      </w:r>
      <w:r w:rsidR="00215EF9" w:rsidRPr="00E42617">
        <w:rPr>
          <w:szCs w:val="20"/>
          <w:lang w:val="es-ES"/>
        </w:rPr>
        <w:t>; i</w:t>
      </w:r>
      <w:r w:rsidR="00945193" w:rsidRPr="00E42617">
        <w:rPr>
          <w:szCs w:val="20"/>
          <w:lang w:val="es-ES"/>
        </w:rPr>
        <w:t>v</w:t>
      </w:r>
      <w:r w:rsidR="00215EF9" w:rsidRPr="00E42617">
        <w:rPr>
          <w:szCs w:val="20"/>
          <w:lang w:val="es-ES"/>
        </w:rPr>
        <w:t xml:space="preserve">) </w:t>
      </w:r>
      <w:r w:rsidRPr="00E42617">
        <w:rPr>
          <w:szCs w:val="20"/>
          <w:lang w:val="es-ES"/>
        </w:rPr>
        <w:t>las consecuencias sociales y económicas de todo lo vivido</w:t>
      </w:r>
      <w:r w:rsidR="00945193" w:rsidRPr="00E42617">
        <w:rPr>
          <w:szCs w:val="20"/>
          <w:lang w:val="es-ES"/>
        </w:rPr>
        <w:t>,</w:t>
      </w:r>
      <w:r w:rsidRPr="00E42617">
        <w:rPr>
          <w:szCs w:val="20"/>
          <w:lang w:val="es-ES"/>
        </w:rPr>
        <w:t xml:space="preserve"> y</w:t>
      </w:r>
      <w:r w:rsidR="00945193" w:rsidRPr="00E42617">
        <w:rPr>
          <w:szCs w:val="20"/>
          <w:lang w:val="es-ES"/>
        </w:rPr>
        <w:t xml:space="preserve"> v)</w:t>
      </w:r>
      <w:r w:rsidRPr="00E42617">
        <w:rPr>
          <w:szCs w:val="20"/>
          <w:lang w:val="es-ES"/>
        </w:rPr>
        <w:t xml:space="preserve"> la revictimización a la cual </w:t>
      </w:r>
      <w:r w:rsidR="00945193" w:rsidRPr="00E42617">
        <w:rPr>
          <w:szCs w:val="20"/>
          <w:lang w:val="es-ES"/>
        </w:rPr>
        <w:t>su hija habría sido expuesta</w:t>
      </w:r>
      <w:r w:rsidRPr="00E42617">
        <w:rPr>
          <w:szCs w:val="20"/>
          <w:lang w:val="es-ES"/>
        </w:rPr>
        <w:t xml:space="preserve"> por las autoridades judiciales.</w:t>
      </w:r>
    </w:p>
    <w:p w:rsidR="00094055" w:rsidRPr="00E42617" w:rsidRDefault="00094055" w:rsidP="005C0291">
      <w:pPr>
        <w:tabs>
          <w:tab w:val="left" w:pos="567"/>
          <w:tab w:val="left" w:pos="1134"/>
        </w:tabs>
        <w:autoSpaceDE w:val="0"/>
        <w:autoSpaceDN w:val="0"/>
        <w:adjustRightInd w:val="0"/>
        <w:spacing w:after="0" w:line="240" w:lineRule="auto"/>
        <w:jc w:val="both"/>
        <w:rPr>
          <w:rFonts w:cs="Verdana"/>
          <w:szCs w:val="20"/>
          <w:lang w:val="es-ES"/>
        </w:rPr>
      </w:pPr>
    </w:p>
    <w:p w:rsidR="005C0291" w:rsidRPr="00E42617" w:rsidRDefault="005C0291" w:rsidP="005C0291">
      <w:pPr>
        <w:numPr>
          <w:ilvl w:val="0"/>
          <w:numId w:val="8"/>
        </w:numPr>
        <w:tabs>
          <w:tab w:val="left" w:pos="567"/>
          <w:tab w:val="left" w:pos="1134"/>
        </w:tabs>
        <w:spacing w:after="0" w:line="240" w:lineRule="auto"/>
        <w:ind w:left="567"/>
        <w:jc w:val="both"/>
        <w:rPr>
          <w:rFonts w:cs="Verdana"/>
          <w:bCs/>
          <w:i/>
          <w:iCs/>
          <w:szCs w:val="20"/>
          <w:lang w:val="es-ES"/>
        </w:rPr>
      </w:pPr>
      <w:r w:rsidRPr="00E42617">
        <w:rPr>
          <w:rFonts w:cs="Verdana"/>
          <w:bCs/>
          <w:i/>
          <w:iCs/>
          <w:szCs w:val="20"/>
          <w:lang w:val="es-ES"/>
        </w:rPr>
        <w:t>Perito</w:t>
      </w:r>
      <w:r w:rsidR="0030769C" w:rsidRPr="00E42617">
        <w:rPr>
          <w:rFonts w:cs="Verdana"/>
          <w:bCs/>
          <w:i/>
          <w:iCs/>
          <w:szCs w:val="20"/>
          <w:lang w:val="es-ES"/>
        </w:rPr>
        <w:t xml:space="preserve"> (propuesto</w:t>
      </w:r>
      <w:r w:rsidR="00802495" w:rsidRPr="00E42617">
        <w:rPr>
          <w:rFonts w:cs="Verdana"/>
          <w:bCs/>
          <w:i/>
          <w:iCs/>
          <w:szCs w:val="20"/>
          <w:lang w:val="es-ES"/>
        </w:rPr>
        <w:t xml:space="preserve"> por las representantes)</w:t>
      </w:r>
    </w:p>
    <w:p w:rsidR="005C0291" w:rsidRPr="00E42617" w:rsidRDefault="005C0291" w:rsidP="00802495">
      <w:pPr>
        <w:tabs>
          <w:tab w:val="left" w:pos="567"/>
          <w:tab w:val="left" w:pos="1134"/>
        </w:tabs>
        <w:autoSpaceDE w:val="0"/>
        <w:autoSpaceDN w:val="0"/>
        <w:adjustRightInd w:val="0"/>
        <w:spacing w:after="0" w:line="240" w:lineRule="auto"/>
        <w:jc w:val="both"/>
        <w:rPr>
          <w:rFonts w:cs="Verdana"/>
          <w:szCs w:val="20"/>
          <w:lang w:val="es-ES"/>
        </w:rPr>
      </w:pPr>
    </w:p>
    <w:p w:rsidR="005C0291" w:rsidRPr="00E42617" w:rsidRDefault="0030769C" w:rsidP="0086074D">
      <w:pPr>
        <w:widowControl w:val="0"/>
        <w:numPr>
          <w:ilvl w:val="0"/>
          <w:numId w:val="9"/>
        </w:numPr>
        <w:tabs>
          <w:tab w:val="left" w:pos="567"/>
          <w:tab w:val="left" w:pos="1134"/>
        </w:tabs>
        <w:autoSpaceDE w:val="0"/>
        <w:autoSpaceDN w:val="0"/>
        <w:adjustRightInd w:val="0"/>
        <w:spacing w:after="0" w:line="240" w:lineRule="auto"/>
        <w:ind w:left="709" w:right="22" w:firstLine="0"/>
        <w:jc w:val="both"/>
        <w:rPr>
          <w:rFonts w:cs="Verdana"/>
          <w:szCs w:val="20"/>
          <w:lang w:val="es-ES"/>
        </w:rPr>
      </w:pPr>
      <w:r w:rsidRPr="00E42617">
        <w:rPr>
          <w:rFonts w:cs="Verdana"/>
          <w:i/>
          <w:szCs w:val="20"/>
          <w:lang w:val="es-ES"/>
        </w:rPr>
        <w:t>Enrique Oscar Stola</w:t>
      </w:r>
      <w:r w:rsidR="005C0291" w:rsidRPr="00E42617">
        <w:rPr>
          <w:rFonts w:cs="Verdana"/>
          <w:i/>
          <w:szCs w:val="20"/>
          <w:lang w:val="es-ES"/>
        </w:rPr>
        <w:t xml:space="preserve">, </w:t>
      </w:r>
      <w:r w:rsidRPr="00E42617">
        <w:rPr>
          <w:szCs w:val="20"/>
          <w:lang w:val="es-ES"/>
        </w:rPr>
        <w:t>médico especialista en psiquiatría y psicología</w:t>
      </w:r>
      <w:r w:rsidR="00094055" w:rsidRPr="00E42617">
        <w:rPr>
          <w:szCs w:val="20"/>
          <w:lang w:val="es-ES"/>
        </w:rPr>
        <w:t>,</w:t>
      </w:r>
      <w:r w:rsidR="00094055" w:rsidRPr="00E42617">
        <w:rPr>
          <w:rFonts w:cs="Verdana"/>
          <w:szCs w:val="20"/>
          <w:lang w:val="es-ES"/>
        </w:rPr>
        <w:t xml:space="preserve"> </w:t>
      </w:r>
      <w:r w:rsidR="005C0291" w:rsidRPr="00E42617">
        <w:rPr>
          <w:rFonts w:cs="Verdana"/>
          <w:szCs w:val="20"/>
          <w:lang w:val="es-ES"/>
        </w:rPr>
        <w:t>quien declarar</w:t>
      </w:r>
      <w:r w:rsidR="00FC5803" w:rsidRPr="00E42617">
        <w:rPr>
          <w:rFonts w:cs="Verdana"/>
          <w:szCs w:val="20"/>
          <w:lang w:val="es-ES"/>
        </w:rPr>
        <w:t>á</w:t>
      </w:r>
      <w:r w:rsidRPr="00E42617">
        <w:rPr>
          <w:szCs w:val="20"/>
          <w:lang w:val="es-ES"/>
        </w:rPr>
        <w:t xml:space="preserve"> sobre</w:t>
      </w:r>
      <w:r w:rsidR="006D5206" w:rsidRPr="00E42617">
        <w:rPr>
          <w:szCs w:val="20"/>
          <w:lang w:val="es-ES"/>
        </w:rPr>
        <w:t>: i)</w:t>
      </w:r>
      <w:r w:rsidRPr="00E42617">
        <w:rPr>
          <w:szCs w:val="20"/>
          <w:lang w:val="es-ES"/>
        </w:rPr>
        <w:t xml:space="preserve"> los daños que pudiera ocasionar la agresión sexual a una niña de nueve años</w:t>
      </w:r>
      <w:r w:rsidR="006D5206" w:rsidRPr="00E42617">
        <w:rPr>
          <w:szCs w:val="20"/>
          <w:lang w:val="es-ES"/>
        </w:rPr>
        <w:t>; ii)</w:t>
      </w:r>
      <w:r w:rsidRPr="00E42617">
        <w:rPr>
          <w:szCs w:val="20"/>
          <w:lang w:val="es-ES"/>
        </w:rPr>
        <w:t xml:space="preserve"> las consecuencias en la vida futura</w:t>
      </w:r>
      <w:r w:rsidR="006D5206" w:rsidRPr="00E42617">
        <w:rPr>
          <w:szCs w:val="20"/>
          <w:lang w:val="es-ES"/>
        </w:rPr>
        <w:t>; iii) las</w:t>
      </w:r>
      <w:r w:rsidRPr="00E42617">
        <w:rPr>
          <w:szCs w:val="20"/>
          <w:lang w:val="es-ES"/>
        </w:rPr>
        <w:t xml:space="preserve"> actuaciones de las autoridades en el transcurso de</w:t>
      </w:r>
      <w:r w:rsidR="006D5206" w:rsidRPr="00E42617">
        <w:rPr>
          <w:szCs w:val="20"/>
          <w:lang w:val="es-ES"/>
        </w:rPr>
        <w:t xml:space="preserve"> las</w:t>
      </w:r>
      <w:r w:rsidRPr="00E42617">
        <w:rPr>
          <w:szCs w:val="20"/>
          <w:lang w:val="es-ES"/>
        </w:rPr>
        <w:t xml:space="preserve"> investigaciones que pudier</w:t>
      </w:r>
      <w:r w:rsidR="006C5275" w:rsidRPr="00E42617">
        <w:rPr>
          <w:szCs w:val="20"/>
          <w:lang w:val="es-ES"/>
        </w:rPr>
        <w:t>a</w:t>
      </w:r>
      <w:r w:rsidRPr="00E42617">
        <w:rPr>
          <w:szCs w:val="20"/>
          <w:lang w:val="es-ES"/>
        </w:rPr>
        <w:t>n ocasionar revictimización</w:t>
      </w:r>
      <w:r w:rsidR="006D5206" w:rsidRPr="00E42617">
        <w:rPr>
          <w:szCs w:val="20"/>
          <w:lang w:val="es-ES"/>
        </w:rPr>
        <w:t>, y iv)</w:t>
      </w:r>
      <w:r w:rsidRPr="00E42617">
        <w:rPr>
          <w:szCs w:val="20"/>
          <w:lang w:val="es-ES"/>
        </w:rPr>
        <w:t xml:space="preserve"> el procedimiento y trato adecuado</w:t>
      </w:r>
      <w:r w:rsidR="006D5206" w:rsidRPr="00E42617">
        <w:rPr>
          <w:szCs w:val="20"/>
          <w:lang w:val="es-ES"/>
        </w:rPr>
        <w:t xml:space="preserve"> a las víctimas de delitos sexuales</w:t>
      </w:r>
      <w:r w:rsidRPr="00E42617">
        <w:rPr>
          <w:szCs w:val="20"/>
          <w:lang w:val="es-ES"/>
        </w:rPr>
        <w:t>.</w:t>
      </w:r>
    </w:p>
    <w:p w:rsidR="005C0291" w:rsidRPr="00E42617" w:rsidRDefault="005C0291" w:rsidP="005C0291">
      <w:pPr>
        <w:tabs>
          <w:tab w:val="left" w:pos="567"/>
        </w:tabs>
        <w:spacing w:after="0" w:line="240" w:lineRule="auto"/>
        <w:jc w:val="both"/>
        <w:rPr>
          <w:szCs w:val="20"/>
          <w:lang w:val="es-ES"/>
        </w:rPr>
      </w:pPr>
    </w:p>
    <w:p w:rsidR="0030769C" w:rsidRPr="00E42617" w:rsidRDefault="0030769C" w:rsidP="0030769C">
      <w:pPr>
        <w:numPr>
          <w:ilvl w:val="0"/>
          <w:numId w:val="8"/>
        </w:numPr>
        <w:tabs>
          <w:tab w:val="left" w:pos="567"/>
          <w:tab w:val="left" w:pos="1134"/>
        </w:tabs>
        <w:spacing w:after="0" w:line="240" w:lineRule="auto"/>
        <w:ind w:left="567"/>
        <w:jc w:val="both"/>
        <w:rPr>
          <w:rFonts w:cs="Verdana"/>
          <w:bCs/>
          <w:i/>
          <w:iCs/>
          <w:szCs w:val="20"/>
          <w:lang w:val="es-ES"/>
        </w:rPr>
      </w:pPr>
      <w:r w:rsidRPr="00E42617">
        <w:rPr>
          <w:rFonts w:cs="Verdana"/>
          <w:bCs/>
          <w:i/>
          <w:iCs/>
          <w:szCs w:val="20"/>
          <w:lang w:val="es-ES"/>
        </w:rPr>
        <w:t>Perito (propuesto por la Comisión)</w:t>
      </w:r>
    </w:p>
    <w:p w:rsidR="0030769C" w:rsidRPr="00E42617" w:rsidRDefault="0030769C" w:rsidP="0030769C">
      <w:pPr>
        <w:tabs>
          <w:tab w:val="left" w:pos="567"/>
          <w:tab w:val="left" w:pos="1134"/>
        </w:tabs>
        <w:autoSpaceDE w:val="0"/>
        <w:autoSpaceDN w:val="0"/>
        <w:adjustRightInd w:val="0"/>
        <w:spacing w:after="0" w:line="240" w:lineRule="auto"/>
        <w:jc w:val="both"/>
        <w:rPr>
          <w:rFonts w:cs="Verdana"/>
          <w:szCs w:val="20"/>
          <w:lang w:val="es-ES"/>
        </w:rPr>
      </w:pPr>
    </w:p>
    <w:p w:rsidR="0030769C" w:rsidRPr="00E42617" w:rsidRDefault="0030769C" w:rsidP="0086074D">
      <w:pPr>
        <w:widowControl w:val="0"/>
        <w:numPr>
          <w:ilvl w:val="0"/>
          <w:numId w:val="9"/>
        </w:numPr>
        <w:tabs>
          <w:tab w:val="left" w:pos="567"/>
          <w:tab w:val="left" w:pos="1134"/>
        </w:tabs>
        <w:autoSpaceDE w:val="0"/>
        <w:autoSpaceDN w:val="0"/>
        <w:adjustRightInd w:val="0"/>
        <w:spacing w:after="0" w:line="240" w:lineRule="auto"/>
        <w:ind w:left="709" w:right="22" w:firstLine="0"/>
        <w:jc w:val="both"/>
        <w:rPr>
          <w:rFonts w:cs="Arial"/>
          <w:color w:val="181918"/>
          <w:szCs w:val="20"/>
          <w:lang w:val="es-ES"/>
        </w:rPr>
      </w:pPr>
      <w:r w:rsidRPr="00E42617">
        <w:rPr>
          <w:rFonts w:cs="Verdana"/>
          <w:i/>
          <w:szCs w:val="20"/>
          <w:lang w:val="es-ES"/>
        </w:rPr>
        <w:t xml:space="preserve">Miguel Cillero Bruñol, </w:t>
      </w:r>
      <w:r w:rsidRPr="00E42617">
        <w:rPr>
          <w:szCs w:val="20"/>
          <w:lang w:val="es-ES"/>
        </w:rPr>
        <w:t>abogado</w:t>
      </w:r>
      <w:r w:rsidR="000A3F7F" w:rsidRPr="00E42617">
        <w:rPr>
          <w:szCs w:val="20"/>
          <w:lang w:val="es-ES"/>
        </w:rPr>
        <w:t xml:space="preserve"> y doctor en derecho,</w:t>
      </w:r>
      <w:r w:rsidRPr="00E42617">
        <w:rPr>
          <w:szCs w:val="20"/>
          <w:lang w:val="es-ES"/>
        </w:rPr>
        <w:t xml:space="preserve"> especialista en </w:t>
      </w:r>
      <w:r w:rsidR="000A3F7F" w:rsidRPr="00E42617">
        <w:rPr>
          <w:szCs w:val="20"/>
          <w:lang w:val="es-ES"/>
        </w:rPr>
        <w:t>derechos de los niños, niñas y adolescentes</w:t>
      </w:r>
      <w:r w:rsidRPr="00E42617">
        <w:rPr>
          <w:szCs w:val="20"/>
          <w:lang w:val="es-ES"/>
        </w:rPr>
        <w:t>,</w:t>
      </w:r>
      <w:r w:rsidRPr="00E42617">
        <w:rPr>
          <w:rFonts w:cs="Verdana"/>
          <w:szCs w:val="20"/>
          <w:lang w:val="es-ES"/>
        </w:rPr>
        <w:t xml:space="preserve"> quien declarará </w:t>
      </w:r>
      <w:r w:rsidRPr="00E42617">
        <w:rPr>
          <w:rFonts w:cs="Arial"/>
          <w:color w:val="181918"/>
          <w:szCs w:val="20"/>
          <w:lang w:val="es-ES"/>
        </w:rPr>
        <w:t>sobre</w:t>
      </w:r>
      <w:r w:rsidR="00215EF9" w:rsidRPr="00E42617">
        <w:rPr>
          <w:rFonts w:cs="Arial"/>
          <w:color w:val="181918"/>
          <w:szCs w:val="20"/>
          <w:lang w:val="es-ES"/>
        </w:rPr>
        <w:t>: i)</w:t>
      </w:r>
      <w:r w:rsidRPr="00E42617">
        <w:rPr>
          <w:rFonts w:cs="Arial"/>
          <w:color w:val="181918"/>
          <w:szCs w:val="20"/>
          <w:lang w:val="es-ES"/>
        </w:rPr>
        <w:t xml:space="preserve"> </w:t>
      </w:r>
      <w:r w:rsidRPr="00E42617">
        <w:rPr>
          <w:rFonts w:cs="Arial"/>
          <w:color w:val="070707"/>
          <w:szCs w:val="20"/>
          <w:lang w:val="es-ES"/>
        </w:rPr>
        <w:t xml:space="preserve">las </w:t>
      </w:r>
      <w:r w:rsidRPr="00E42617">
        <w:rPr>
          <w:rFonts w:cs="Arial"/>
          <w:color w:val="181918"/>
          <w:szCs w:val="20"/>
          <w:lang w:val="es-ES"/>
        </w:rPr>
        <w:t xml:space="preserve">obligaciones estatales en materia de </w:t>
      </w:r>
      <w:r w:rsidRPr="00E42617">
        <w:rPr>
          <w:rFonts w:cs="Arial"/>
          <w:color w:val="070707"/>
          <w:szCs w:val="20"/>
          <w:lang w:val="es-ES"/>
        </w:rPr>
        <w:t xml:space="preserve">investigación </w:t>
      </w:r>
      <w:r w:rsidRPr="00E42617">
        <w:rPr>
          <w:rFonts w:cs="Arial"/>
          <w:color w:val="181918"/>
          <w:szCs w:val="20"/>
          <w:lang w:val="es-ES"/>
        </w:rPr>
        <w:t xml:space="preserve">y justicia en casos de violencia y violación sexual </w:t>
      </w:r>
      <w:r w:rsidRPr="00E42617">
        <w:rPr>
          <w:rFonts w:cs="Arial"/>
          <w:color w:val="070707"/>
          <w:szCs w:val="20"/>
          <w:lang w:val="es-ES"/>
        </w:rPr>
        <w:t xml:space="preserve">de niñas, </w:t>
      </w:r>
      <w:r w:rsidRPr="00E42617">
        <w:rPr>
          <w:rFonts w:cs="Arial"/>
          <w:color w:val="181918"/>
          <w:szCs w:val="20"/>
          <w:lang w:val="es-ES"/>
        </w:rPr>
        <w:t xml:space="preserve">con especial énfasis en niñas </w:t>
      </w:r>
      <w:r w:rsidRPr="00E42617">
        <w:rPr>
          <w:rFonts w:cs="Arial"/>
          <w:color w:val="070707"/>
          <w:szCs w:val="20"/>
          <w:lang w:val="es-ES"/>
        </w:rPr>
        <w:t xml:space="preserve">de </w:t>
      </w:r>
      <w:r w:rsidRPr="00E42617">
        <w:rPr>
          <w:rFonts w:cs="Arial"/>
          <w:color w:val="181918"/>
          <w:szCs w:val="20"/>
          <w:lang w:val="es-ES"/>
        </w:rPr>
        <w:t>corta edad</w:t>
      </w:r>
      <w:r w:rsidR="00215EF9" w:rsidRPr="00E42617">
        <w:rPr>
          <w:rFonts w:cs="Arial"/>
          <w:color w:val="181918"/>
          <w:szCs w:val="20"/>
          <w:lang w:val="es-ES"/>
        </w:rPr>
        <w:t xml:space="preserve">; ii) </w:t>
      </w:r>
      <w:r w:rsidRPr="00E42617">
        <w:rPr>
          <w:rFonts w:cs="Arial"/>
          <w:color w:val="070707"/>
          <w:szCs w:val="20"/>
          <w:lang w:val="es-ES"/>
        </w:rPr>
        <w:t xml:space="preserve">las </w:t>
      </w:r>
      <w:r w:rsidRPr="00E42617">
        <w:rPr>
          <w:rFonts w:cs="Arial"/>
          <w:color w:val="181918"/>
          <w:szCs w:val="20"/>
          <w:lang w:val="es-ES"/>
        </w:rPr>
        <w:t>consideraciones específicas que debe</w:t>
      </w:r>
      <w:r w:rsidR="00215EF9" w:rsidRPr="00E42617">
        <w:rPr>
          <w:rFonts w:cs="Arial"/>
          <w:color w:val="181918"/>
          <w:szCs w:val="20"/>
          <w:lang w:val="es-ES"/>
        </w:rPr>
        <w:t>n</w:t>
      </w:r>
      <w:r w:rsidRPr="00E42617">
        <w:rPr>
          <w:rFonts w:cs="Arial"/>
          <w:color w:val="070707"/>
          <w:szCs w:val="20"/>
          <w:lang w:val="es-ES"/>
        </w:rPr>
        <w:t xml:space="preserve"> </w:t>
      </w:r>
      <w:r w:rsidRPr="00E42617">
        <w:rPr>
          <w:rFonts w:cs="Arial"/>
          <w:color w:val="181918"/>
          <w:szCs w:val="20"/>
          <w:lang w:val="es-ES"/>
        </w:rPr>
        <w:t>tomar</w:t>
      </w:r>
      <w:r w:rsidR="00215EF9" w:rsidRPr="00E42617">
        <w:rPr>
          <w:rFonts w:cs="Arial"/>
          <w:color w:val="181918"/>
          <w:szCs w:val="20"/>
          <w:lang w:val="es-ES"/>
        </w:rPr>
        <w:t>se</w:t>
      </w:r>
      <w:r w:rsidRPr="00E42617">
        <w:rPr>
          <w:rFonts w:cs="Arial"/>
          <w:color w:val="181918"/>
          <w:szCs w:val="20"/>
          <w:lang w:val="es-ES"/>
        </w:rPr>
        <w:t xml:space="preserve"> en cuenta a</w:t>
      </w:r>
      <w:r w:rsidR="00215EF9" w:rsidRPr="00E42617">
        <w:rPr>
          <w:rFonts w:cs="Arial"/>
          <w:color w:val="181918"/>
          <w:szCs w:val="20"/>
          <w:lang w:val="es-ES"/>
        </w:rPr>
        <w:t xml:space="preserve"> fin </w:t>
      </w:r>
      <w:r w:rsidRPr="00E42617">
        <w:rPr>
          <w:rFonts w:cs="Arial"/>
          <w:color w:val="181918"/>
          <w:szCs w:val="20"/>
          <w:lang w:val="es-ES"/>
        </w:rPr>
        <w:t>de evaluar si una investigación de violencia y violación</w:t>
      </w:r>
      <w:r w:rsidRPr="00E42617">
        <w:rPr>
          <w:rFonts w:cs="Arial"/>
          <w:color w:val="070707"/>
          <w:szCs w:val="20"/>
          <w:lang w:val="es-ES"/>
        </w:rPr>
        <w:t xml:space="preserve"> </w:t>
      </w:r>
      <w:r w:rsidRPr="00E42617">
        <w:rPr>
          <w:rFonts w:cs="Arial"/>
          <w:color w:val="181918"/>
          <w:szCs w:val="20"/>
          <w:lang w:val="es-ES"/>
        </w:rPr>
        <w:t xml:space="preserve">sexual de </w:t>
      </w:r>
      <w:r w:rsidRPr="00E42617">
        <w:rPr>
          <w:rFonts w:cs="Arial"/>
          <w:color w:val="070707"/>
          <w:szCs w:val="20"/>
          <w:lang w:val="es-ES"/>
        </w:rPr>
        <w:t xml:space="preserve">una </w:t>
      </w:r>
      <w:r w:rsidRPr="00E42617">
        <w:rPr>
          <w:rFonts w:cs="Arial"/>
          <w:color w:val="181918"/>
          <w:szCs w:val="20"/>
          <w:lang w:val="es-ES"/>
        </w:rPr>
        <w:t>niña</w:t>
      </w:r>
      <w:r w:rsidRPr="00E42617">
        <w:rPr>
          <w:rFonts w:cs="Arial"/>
          <w:color w:val="3F3E3E"/>
          <w:szCs w:val="20"/>
          <w:lang w:val="es-ES"/>
        </w:rPr>
        <w:t xml:space="preserve"> </w:t>
      </w:r>
      <w:r w:rsidRPr="00E42617">
        <w:rPr>
          <w:rFonts w:cs="Arial"/>
          <w:color w:val="181918"/>
          <w:szCs w:val="20"/>
          <w:lang w:val="es-ES"/>
        </w:rPr>
        <w:t xml:space="preserve">cumplió con </w:t>
      </w:r>
      <w:r w:rsidRPr="00E42617">
        <w:rPr>
          <w:rFonts w:cs="Arial"/>
          <w:color w:val="070707"/>
          <w:szCs w:val="20"/>
          <w:lang w:val="es-ES"/>
        </w:rPr>
        <w:t xml:space="preserve">las </w:t>
      </w:r>
      <w:r w:rsidRPr="00E42617">
        <w:rPr>
          <w:rFonts w:cs="Arial"/>
          <w:color w:val="181918"/>
          <w:szCs w:val="20"/>
          <w:lang w:val="es-ES"/>
        </w:rPr>
        <w:t xml:space="preserve">obligaciones </w:t>
      </w:r>
      <w:r w:rsidRPr="00E42617">
        <w:rPr>
          <w:rFonts w:cs="Arial"/>
          <w:color w:val="070707"/>
          <w:szCs w:val="20"/>
          <w:lang w:val="es-ES"/>
        </w:rPr>
        <w:t xml:space="preserve">internacionales </w:t>
      </w:r>
      <w:r w:rsidRPr="00E42617">
        <w:rPr>
          <w:rFonts w:cs="Arial"/>
          <w:color w:val="181918"/>
          <w:szCs w:val="20"/>
          <w:lang w:val="es-ES"/>
        </w:rPr>
        <w:t xml:space="preserve">del </w:t>
      </w:r>
      <w:r w:rsidRPr="00E42617">
        <w:rPr>
          <w:rFonts w:cs="Arial"/>
          <w:color w:val="070707"/>
          <w:szCs w:val="20"/>
          <w:lang w:val="es-ES"/>
        </w:rPr>
        <w:t xml:space="preserve">Estado </w:t>
      </w:r>
      <w:r w:rsidRPr="00E42617">
        <w:rPr>
          <w:rFonts w:cs="Arial"/>
          <w:color w:val="181918"/>
          <w:szCs w:val="20"/>
          <w:lang w:val="es-ES"/>
        </w:rPr>
        <w:t>tanto en materia de justicia como de</w:t>
      </w:r>
      <w:r w:rsidRPr="00E42617">
        <w:rPr>
          <w:rFonts w:cs="Arial"/>
          <w:color w:val="070707"/>
          <w:szCs w:val="20"/>
          <w:lang w:val="es-ES"/>
        </w:rPr>
        <w:t xml:space="preserve"> </w:t>
      </w:r>
      <w:r w:rsidRPr="00E42617">
        <w:rPr>
          <w:rFonts w:cs="Arial"/>
          <w:color w:val="181918"/>
          <w:szCs w:val="20"/>
          <w:lang w:val="es-ES"/>
        </w:rPr>
        <w:t>no discriminación</w:t>
      </w:r>
      <w:r w:rsidR="00215EF9" w:rsidRPr="00E42617">
        <w:rPr>
          <w:rFonts w:cs="Arial"/>
          <w:color w:val="181918"/>
          <w:szCs w:val="20"/>
          <w:lang w:val="es-ES"/>
        </w:rPr>
        <w:t>; iii)</w:t>
      </w:r>
      <w:r w:rsidRPr="00E42617">
        <w:rPr>
          <w:rFonts w:cs="Arial"/>
          <w:color w:val="181918"/>
          <w:szCs w:val="20"/>
          <w:lang w:val="es-ES"/>
        </w:rPr>
        <w:t xml:space="preserve"> </w:t>
      </w:r>
      <w:r w:rsidRPr="00E42617">
        <w:rPr>
          <w:rFonts w:cs="Arial"/>
          <w:color w:val="070707"/>
          <w:szCs w:val="20"/>
          <w:lang w:val="es-ES"/>
        </w:rPr>
        <w:t xml:space="preserve">las </w:t>
      </w:r>
      <w:r w:rsidRPr="00E42617">
        <w:rPr>
          <w:rFonts w:cs="Arial"/>
          <w:color w:val="181918"/>
          <w:szCs w:val="20"/>
          <w:lang w:val="es-ES"/>
        </w:rPr>
        <w:t xml:space="preserve">salvaguardas especiales que deben adoptarse para evitar </w:t>
      </w:r>
      <w:r w:rsidRPr="00E42617">
        <w:rPr>
          <w:rFonts w:cs="Arial"/>
          <w:color w:val="070707"/>
          <w:szCs w:val="20"/>
          <w:lang w:val="es-ES"/>
        </w:rPr>
        <w:t xml:space="preserve">la </w:t>
      </w:r>
      <w:r w:rsidRPr="00E42617">
        <w:rPr>
          <w:rFonts w:cs="Arial"/>
          <w:color w:val="181918"/>
          <w:szCs w:val="20"/>
          <w:lang w:val="es-ES"/>
        </w:rPr>
        <w:t>revictimización de una niña víctima de violencia y violación sexual</w:t>
      </w:r>
      <w:r w:rsidR="00215EF9" w:rsidRPr="00E42617">
        <w:rPr>
          <w:rFonts w:cs="Arial"/>
          <w:color w:val="181918"/>
          <w:szCs w:val="20"/>
          <w:lang w:val="es-ES"/>
        </w:rPr>
        <w:t>; iv)</w:t>
      </w:r>
      <w:r w:rsidRPr="00E42617">
        <w:rPr>
          <w:rFonts w:cs="Arial"/>
          <w:color w:val="181918"/>
          <w:szCs w:val="20"/>
          <w:lang w:val="es-ES"/>
        </w:rPr>
        <w:t xml:space="preserve"> </w:t>
      </w:r>
      <w:r w:rsidRPr="00E42617">
        <w:rPr>
          <w:rFonts w:cs="Arial"/>
          <w:color w:val="070707"/>
          <w:szCs w:val="20"/>
          <w:lang w:val="es-ES"/>
        </w:rPr>
        <w:t xml:space="preserve">la investigación realizada </w:t>
      </w:r>
      <w:r w:rsidRPr="00E42617">
        <w:rPr>
          <w:rFonts w:cs="Arial"/>
          <w:color w:val="181918"/>
          <w:szCs w:val="20"/>
          <w:lang w:val="es-ES"/>
        </w:rPr>
        <w:t xml:space="preserve">en el presente caso a </w:t>
      </w:r>
      <w:r w:rsidRPr="00E42617">
        <w:rPr>
          <w:rFonts w:cs="Arial"/>
          <w:color w:val="070707"/>
          <w:szCs w:val="20"/>
          <w:lang w:val="es-ES"/>
        </w:rPr>
        <w:t xml:space="preserve">la luz </w:t>
      </w:r>
      <w:r w:rsidRPr="00E42617">
        <w:rPr>
          <w:rFonts w:cs="Arial"/>
          <w:color w:val="181918"/>
          <w:szCs w:val="20"/>
          <w:lang w:val="es-ES"/>
        </w:rPr>
        <w:t xml:space="preserve">de </w:t>
      </w:r>
      <w:r w:rsidRPr="00E42617">
        <w:rPr>
          <w:rFonts w:cs="Arial"/>
          <w:color w:val="070707"/>
          <w:szCs w:val="20"/>
          <w:lang w:val="es-ES"/>
        </w:rPr>
        <w:t xml:space="preserve">los </w:t>
      </w:r>
      <w:r w:rsidRPr="00E42617">
        <w:rPr>
          <w:rFonts w:cs="Arial"/>
          <w:color w:val="181918"/>
          <w:szCs w:val="20"/>
          <w:lang w:val="es-ES"/>
        </w:rPr>
        <w:t>estándares desarrollados en el peritaje</w:t>
      </w:r>
      <w:r w:rsidR="00215EF9" w:rsidRPr="00E42617">
        <w:rPr>
          <w:rFonts w:cs="Arial"/>
          <w:color w:val="181918"/>
          <w:szCs w:val="20"/>
          <w:lang w:val="es-ES"/>
        </w:rPr>
        <w:t>, y v)</w:t>
      </w:r>
      <w:r w:rsidRPr="00E42617">
        <w:rPr>
          <w:rFonts w:cs="Arial"/>
          <w:color w:val="181918"/>
          <w:szCs w:val="20"/>
          <w:lang w:val="es-ES"/>
        </w:rPr>
        <w:t xml:space="preserve"> </w:t>
      </w:r>
      <w:r w:rsidRPr="00E42617">
        <w:rPr>
          <w:rFonts w:cs="Arial"/>
          <w:color w:val="070707"/>
          <w:szCs w:val="20"/>
          <w:lang w:val="es-ES"/>
        </w:rPr>
        <w:t xml:space="preserve">las </w:t>
      </w:r>
      <w:r w:rsidRPr="00E42617">
        <w:rPr>
          <w:rFonts w:cs="Arial"/>
          <w:color w:val="181918"/>
          <w:szCs w:val="20"/>
          <w:lang w:val="es-ES"/>
        </w:rPr>
        <w:t xml:space="preserve">medidas </w:t>
      </w:r>
      <w:r w:rsidRPr="00E42617">
        <w:rPr>
          <w:rFonts w:cs="Arial"/>
          <w:color w:val="070707"/>
          <w:szCs w:val="20"/>
          <w:lang w:val="es-ES"/>
        </w:rPr>
        <w:t xml:space="preserve">de </w:t>
      </w:r>
      <w:r w:rsidRPr="00E42617">
        <w:rPr>
          <w:rFonts w:cs="Arial"/>
          <w:color w:val="181918"/>
          <w:szCs w:val="20"/>
          <w:lang w:val="es-ES"/>
        </w:rPr>
        <w:t xml:space="preserve">no </w:t>
      </w:r>
      <w:r w:rsidRPr="00E42617">
        <w:rPr>
          <w:rFonts w:cs="Arial"/>
          <w:color w:val="070707"/>
          <w:szCs w:val="20"/>
          <w:lang w:val="es-ES"/>
        </w:rPr>
        <w:t xml:space="preserve">repetición </w:t>
      </w:r>
      <w:r w:rsidRPr="00E42617">
        <w:rPr>
          <w:rFonts w:cs="Arial"/>
          <w:color w:val="181918"/>
          <w:szCs w:val="20"/>
          <w:lang w:val="es-ES"/>
        </w:rPr>
        <w:t>relevantes en casos como el presente.</w:t>
      </w:r>
    </w:p>
    <w:p w:rsidR="0030769C" w:rsidRPr="003302D4" w:rsidRDefault="0030769C" w:rsidP="005C0291">
      <w:pPr>
        <w:tabs>
          <w:tab w:val="left" w:pos="567"/>
        </w:tabs>
        <w:spacing w:after="0" w:line="240" w:lineRule="auto"/>
        <w:jc w:val="both"/>
        <w:rPr>
          <w:szCs w:val="20"/>
          <w:lang w:val="es-ES"/>
        </w:rPr>
      </w:pPr>
    </w:p>
    <w:p w:rsidR="00672B0D" w:rsidRPr="003302D4" w:rsidRDefault="00672B0D" w:rsidP="00672B0D">
      <w:pPr>
        <w:numPr>
          <w:ilvl w:val="0"/>
          <w:numId w:val="6"/>
        </w:numPr>
        <w:tabs>
          <w:tab w:val="left" w:pos="567"/>
        </w:tabs>
        <w:spacing w:after="0" w:line="240" w:lineRule="auto"/>
        <w:jc w:val="both"/>
        <w:rPr>
          <w:szCs w:val="20"/>
          <w:lang w:val="es-ES"/>
        </w:rPr>
      </w:pPr>
      <w:r w:rsidRPr="003302D4">
        <w:rPr>
          <w:rFonts w:cs="Verdana"/>
          <w:szCs w:val="20"/>
          <w:lang w:val="es-ES"/>
        </w:rPr>
        <w:t>Disponer, conforme al artículo 15.1 de</w:t>
      </w:r>
      <w:r w:rsidRPr="003302D4">
        <w:rPr>
          <w:rFonts w:cs="Verdana"/>
          <w:szCs w:val="20"/>
        </w:rPr>
        <w:t>l Reglamento de la Corte</w:t>
      </w:r>
      <w:r w:rsidR="00643ACE" w:rsidRPr="003302D4">
        <w:rPr>
          <w:rFonts w:cs="Verdana"/>
          <w:szCs w:val="20"/>
        </w:rPr>
        <w:t xml:space="preserve"> y por las razones expuestas en la presente Resolución</w:t>
      </w:r>
      <w:r w:rsidRPr="003302D4">
        <w:rPr>
          <w:rFonts w:cs="Verdana"/>
          <w:szCs w:val="20"/>
        </w:rPr>
        <w:t>, que la</w:t>
      </w:r>
      <w:r w:rsidRPr="003302D4">
        <w:t xml:space="preserve"> declaraci</w:t>
      </w:r>
      <w:r w:rsidR="003302D4" w:rsidRPr="003302D4">
        <w:t>ó</w:t>
      </w:r>
      <w:r w:rsidRPr="003302D4">
        <w:t>n</w:t>
      </w:r>
      <w:r w:rsidRPr="003302D4">
        <w:rPr>
          <w:rFonts w:cs="Verdana"/>
          <w:szCs w:val="20"/>
        </w:rPr>
        <w:t xml:space="preserve"> de </w:t>
      </w:r>
      <w:r w:rsidRPr="003302D4">
        <w:rPr>
          <w:rFonts w:cs="Verdana"/>
        </w:rPr>
        <w:t>V</w:t>
      </w:r>
      <w:r w:rsidRPr="003302D4">
        <w:t>.R.P</w:t>
      </w:r>
      <w:r w:rsidR="00892AB8" w:rsidRPr="003302D4">
        <w:t>.</w:t>
      </w:r>
      <w:r w:rsidRPr="003302D4">
        <w:t xml:space="preserve"> </w:t>
      </w:r>
      <w:r w:rsidRPr="003302D4">
        <w:rPr>
          <w:rFonts w:cs="Verdana"/>
          <w:szCs w:val="20"/>
        </w:rPr>
        <w:t>se</w:t>
      </w:r>
      <w:r w:rsidR="00892AB8" w:rsidRPr="003302D4">
        <w:rPr>
          <w:rFonts w:cs="Verdana"/>
          <w:szCs w:val="20"/>
        </w:rPr>
        <w:t>a</w:t>
      </w:r>
      <w:r w:rsidRPr="003302D4">
        <w:rPr>
          <w:rFonts w:cs="Verdana"/>
          <w:szCs w:val="20"/>
        </w:rPr>
        <w:t xml:space="preserve"> rendida </w:t>
      </w:r>
      <w:r w:rsidR="003302D4" w:rsidRPr="003302D4">
        <w:t>ante la Corte Interamericana en privado, con la sola intervención de las partes del caso, de la Comisión Interamericana y la presencia del personal de la Secretaría que sea indispensable para realizar dicha diligencia. Una vez concluida dicha declaración y el interrogatorio de las partes, se proseguirá con el desarrollo de la audiencia de forma pública.</w:t>
      </w:r>
    </w:p>
    <w:p w:rsidR="00672B0D" w:rsidRPr="003302D4" w:rsidRDefault="00672B0D" w:rsidP="00DF7AFA">
      <w:pPr>
        <w:tabs>
          <w:tab w:val="left" w:pos="567"/>
        </w:tabs>
        <w:spacing w:after="0" w:line="240" w:lineRule="auto"/>
        <w:jc w:val="both"/>
        <w:rPr>
          <w:szCs w:val="20"/>
          <w:lang w:val="pt-BR"/>
        </w:rPr>
      </w:pPr>
    </w:p>
    <w:p w:rsidR="005C0291" w:rsidRPr="00E42617" w:rsidRDefault="000A3F7F" w:rsidP="005C0291">
      <w:pPr>
        <w:numPr>
          <w:ilvl w:val="0"/>
          <w:numId w:val="6"/>
        </w:numPr>
        <w:tabs>
          <w:tab w:val="left" w:pos="567"/>
        </w:tabs>
        <w:spacing w:after="0" w:line="240" w:lineRule="auto"/>
        <w:jc w:val="both"/>
        <w:rPr>
          <w:szCs w:val="20"/>
          <w:lang w:val="es-ES"/>
        </w:rPr>
      </w:pPr>
      <w:r w:rsidRPr="00E42617">
        <w:rPr>
          <w:lang w:val="es-ES"/>
        </w:rPr>
        <w:t>Requerir a los</w:t>
      </w:r>
      <w:r w:rsidR="005C0291" w:rsidRPr="00E42617">
        <w:rPr>
          <w:lang w:val="es-ES"/>
        </w:rPr>
        <w:t xml:space="preserve"> perito</w:t>
      </w:r>
      <w:r w:rsidRPr="00E42617">
        <w:rPr>
          <w:lang w:val="es-ES"/>
        </w:rPr>
        <w:t>s</w:t>
      </w:r>
      <w:r w:rsidR="005C0291" w:rsidRPr="00E42617">
        <w:rPr>
          <w:lang w:val="es-ES"/>
        </w:rPr>
        <w:t xml:space="preserve"> convocad</w:t>
      </w:r>
      <w:r w:rsidRPr="00E42617">
        <w:rPr>
          <w:lang w:val="es-ES"/>
        </w:rPr>
        <w:t>os</w:t>
      </w:r>
      <w:r w:rsidR="005C0291" w:rsidRPr="00E42617">
        <w:rPr>
          <w:lang w:val="es-ES"/>
        </w:rPr>
        <w:t xml:space="preserve"> a declarar en audiencia que, </w:t>
      </w:r>
      <w:r w:rsidR="005C0291" w:rsidRPr="00E42617">
        <w:rPr>
          <w:szCs w:val="20"/>
          <w:lang w:val="es-ES"/>
        </w:rPr>
        <w:t xml:space="preserve">de considerarlo conveniente, </w:t>
      </w:r>
      <w:r w:rsidR="005C0291" w:rsidRPr="00E42617">
        <w:rPr>
          <w:lang w:val="es-ES"/>
        </w:rPr>
        <w:t>aporte</w:t>
      </w:r>
      <w:r w:rsidRPr="00E42617">
        <w:rPr>
          <w:lang w:val="es-ES"/>
        </w:rPr>
        <w:t>n</w:t>
      </w:r>
      <w:r w:rsidR="005C0291" w:rsidRPr="00E42617">
        <w:rPr>
          <w:lang w:val="es-ES"/>
        </w:rPr>
        <w:t xml:space="preserve"> una versión escrita de su</w:t>
      </w:r>
      <w:r w:rsidRPr="00E42617">
        <w:rPr>
          <w:lang w:val="es-ES"/>
        </w:rPr>
        <w:t>s</w:t>
      </w:r>
      <w:r w:rsidR="005C0291" w:rsidRPr="00E42617">
        <w:rPr>
          <w:lang w:val="es-ES"/>
        </w:rPr>
        <w:t xml:space="preserve"> peritaje</w:t>
      </w:r>
      <w:r w:rsidRPr="00E42617">
        <w:rPr>
          <w:lang w:val="es-ES"/>
        </w:rPr>
        <w:t>s</w:t>
      </w:r>
      <w:r w:rsidR="005C0291" w:rsidRPr="00E42617">
        <w:rPr>
          <w:lang w:val="es-ES"/>
        </w:rPr>
        <w:t xml:space="preserve"> </w:t>
      </w:r>
      <w:r w:rsidR="005C0291" w:rsidRPr="00E42617">
        <w:rPr>
          <w:rFonts w:eastAsia="MS Mincho" w:cs="Times"/>
          <w:szCs w:val="20"/>
          <w:lang w:val="es-ES"/>
        </w:rPr>
        <w:t xml:space="preserve">a más tardar el </w:t>
      </w:r>
      <w:r w:rsidR="00BE0CDC" w:rsidRPr="00E42617">
        <w:rPr>
          <w:rFonts w:eastAsia="MS Mincho" w:cs="Times"/>
          <w:szCs w:val="20"/>
          <w:lang w:val="es-ES"/>
        </w:rPr>
        <w:t>9</w:t>
      </w:r>
      <w:r w:rsidR="00071CB9" w:rsidRPr="00E42617">
        <w:rPr>
          <w:rFonts w:eastAsia="MS Mincho" w:cs="Times"/>
          <w:szCs w:val="20"/>
          <w:lang w:val="es-ES"/>
        </w:rPr>
        <w:t xml:space="preserve"> de octubre</w:t>
      </w:r>
      <w:r w:rsidRPr="00E42617">
        <w:rPr>
          <w:rFonts w:eastAsia="MS Mincho" w:cs="Times"/>
          <w:szCs w:val="20"/>
          <w:lang w:val="es-ES"/>
        </w:rPr>
        <w:t xml:space="preserve"> </w:t>
      </w:r>
      <w:r w:rsidR="005C0291" w:rsidRPr="00E42617">
        <w:rPr>
          <w:rFonts w:eastAsia="MS Mincho" w:cs="Times"/>
          <w:szCs w:val="20"/>
          <w:lang w:val="es-ES"/>
        </w:rPr>
        <w:t>de 2017</w:t>
      </w:r>
      <w:r w:rsidR="005C0291" w:rsidRPr="00E42617">
        <w:rPr>
          <w:lang w:val="es-ES"/>
        </w:rPr>
        <w:t>.</w:t>
      </w:r>
    </w:p>
    <w:p w:rsidR="005C0291" w:rsidRPr="00E42617" w:rsidRDefault="005C0291" w:rsidP="005C0291">
      <w:pPr>
        <w:tabs>
          <w:tab w:val="left" w:pos="567"/>
        </w:tabs>
        <w:spacing w:after="0" w:line="240" w:lineRule="auto"/>
        <w:jc w:val="both"/>
        <w:rPr>
          <w:szCs w:val="20"/>
          <w:lang w:val="es-ES"/>
        </w:rPr>
      </w:pPr>
    </w:p>
    <w:p w:rsidR="005B4BD0" w:rsidRPr="00E42617" w:rsidRDefault="005C0291" w:rsidP="005B4BD0">
      <w:pPr>
        <w:numPr>
          <w:ilvl w:val="0"/>
          <w:numId w:val="6"/>
        </w:numPr>
        <w:tabs>
          <w:tab w:val="left" w:pos="567"/>
        </w:tabs>
        <w:spacing w:after="0" w:line="240" w:lineRule="auto"/>
        <w:jc w:val="both"/>
        <w:rPr>
          <w:lang w:val="es-ES"/>
        </w:rPr>
      </w:pPr>
      <w:r w:rsidRPr="00E42617">
        <w:rPr>
          <w:rFonts w:cs="Verdana"/>
          <w:color w:val="000000"/>
          <w:szCs w:val="20"/>
          <w:lang w:val="es-ES" w:eastAsia="es-ES"/>
        </w:rPr>
        <w:t xml:space="preserve">Requerir al Estado </w:t>
      </w:r>
      <w:r w:rsidR="00413CEE" w:rsidRPr="00E42617">
        <w:rPr>
          <w:rFonts w:cs="Verdana"/>
          <w:color w:val="000000"/>
          <w:szCs w:val="20"/>
          <w:lang w:val="es-ES" w:eastAsia="es-ES"/>
        </w:rPr>
        <w:t xml:space="preserve">de </w:t>
      </w:r>
      <w:r w:rsidR="00E82AE0" w:rsidRPr="00E42617">
        <w:rPr>
          <w:rFonts w:cs="Verdana"/>
          <w:color w:val="000000"/>
          <w:szCs w:val="20"/>
          <w:lang w:val="es-ES" w:eastAsia="es-ES"/>
        </w:rPr>
        <w:t>Nicaragua</w:t>
      </w:r>
      <w:r w:rsidR="00413CEE" w:rsidRPr="00E42617">
        <w:rPr>
          <w:rFonts w:cs="Verdana"/>
          <w:color w:val="000000"/>
          <w:szCs w:val="20"/>
          <w:lang w:val="es-ES" w:eastAsia="es-ES"/>
        </w:rPr>
        <w:t xml:space="preserve"> </w:t>
      </w:r>
      <w:r w:rsidRPr="00E42617">
        <w:rPr>
          <w:rFonts w:cs="Verdana"/>
          <w:color w:val="000000"/>
          <w:szCs w:val="20"/>
          <w:lang w:val="es-ES" w:eastAsia="es-ES"/>
        </w:rPr>
        <w:t>que facilite la salida y entrada de su territorio de los declarantes, si residen o se encuentran en él, quienes han sido citados en la presente Resolución a rendir declaración en la referida audiencia pública, de conformidad con lo dispuesto en el artículo 26.1 del Reglamento de la Corte.</w:t>
      </w:r>
    </w:p>
    <w:p w:rsidR="005E0B6B" w:rsidRPr="00E42617" w:rsidRDefault="005E0B6B" w:rsidP="005B4BD0">
      <w:pPr>
        <w:tabs>
          <w:tab w:val="left" w:pos="567"/>
        </w:tabs>
        <w:spacing w:after="0" w:line="240" w:lineRule="auto"/>
        <w:jc w:val="both"/>
        <w:rPr>
          <w:lang w:val="es-ES"/>
        </w:rPr>
      </w:pPr>
    </w:p>
    <w:p w:rsidR="005E0B6B" w:rsidRPr="00E42617" w:rsidRDefault="005E0B6B" w:rsidP="005E0B6B">
      <w:pPr>
        <w:numPr>
          <w:ilvl w:val="0"/>
          <w:numId w:val="6"/>
        </w:numPr>
        <w:tabs>
          <w:tab w:val="left" w:pos="567"/>
        </w:tabs>
        <w:spacing w:after="0" w:line="240" w:lineRule="auto"/>
        <w:jc w:val="both"/>
        <w:rPr>
          <w:szCs w:val="20"/>
          <w:lang w:val="es-ES"/>
        </w:rPr>
      </w:pPr>
      <w:r w:rsidRPr="00E42617">
        <w:rPr>
          <w:rFonts w:cs="Verdana"/>
          <w:szCs w:val="20"/>
          <w:lang w:val="es-ES" w:eastAsia="es-ES"/>
        </w:rPr>
        <w:lastRenderedPageBreak/>
        <w:t>Solicitar al Estado de Panamá, de conformidad con lo dispuesto en el artículo 26 incisos 1 y 3 del Reglamento de la Corte, su cooperación para llevar a cabo la audiencia pública sobre</w:t>
      </w:r>
      <w:r w:rsidRPr="00E42617">
        <w:rPr>
          <w:rFonts w:eastAsia="MS Mincho" w:cs="Times"/>
          <w:szCs w:val="20"/>
          <w:lang w:val="es-ES"/>
        </w:rPr>
        <w:t xml:space="preserve"> las excepciones preliminares y eventuales fondo, reparaciones y costas</w:t>
      </w:r>
      <w:r w:rsidRPr="00E42617">
        <w:rPr>
          <w:rFonts w:cs="Verdana"/>
          <w:szCs w:val="20"/>
          <w:lang w:val="es-ES" w:eastAsia="es-ES"/>
        </w:rPr>
        <w:t>, por celebrarse en ese país, convocada mediante la presente Resolución, así como para facilitar la entrada y salida de su territorio de las personas que fueron citadas a rendir su declaración ante la Corte Interamericana en la referida audiencia y de quienes representarán a la Comisión Interamericana, a Nicaragua y a las representantes, durante la misma. Para tal efecto se dispone que la Secretaría notifique la presente Resolución a</w:t>
      </w:r>
      <w:r w:rsidR="005F3875" w:rsidRPr="00E42617">
        <w:rPr>
          <w:rFonts w:cs="Verdana"/>
          <w:szCs w:val="20"/>
          <w:lang w:val="es-ES" w:eastAsia="es-ES"/>
        </w:rPr>
        <w:t xml:space="preserve"> la República de</w:t>
      </w:r>
      <w:r w:rsidRPr="00E42617">
        <w:rPr>
          <w:rFonts w:cs="Verdana"/>
          <w:szCs w:val="20"/>
          <w:lang w:val="es-ES" w:eastAsia="es-ES"/>
        </w:rPr>
        <w:t xml:space="preserve"> Panamá. </w:t>
      </w:r>
    </w:p>
    <w:p w:rsidR="00901A0D" w:rsidRPr="00E42617" w:rsidRDefault="00901A0D" w:rsidP="00901A0D">
      <w:pPr>
        <w:tabs>
          <w:tab w:val="left" w:pos="567"/>
        </w:tabs>
        <w:spacing w:after="0" w:line="240" w:lineRule="auto"/>
        <w:jc w:val="both"/>
        <w:rPr>
          <w:szCs w:val="20"/>
          <w:lang w:val="es-ES"/>
        </w:rPr>
      </w:pPr>
    </w:p>
    <w:p w:rsidR="005C0291" w:rsidRPr="00E42617" w:rsidRDefault="005C0291" w:rsidP="005C0291">
      <w:pPr>
        <w:numPr>
          <w:ilvl w:val="0"/>
          <w:numId w:val="6"/>
        </w:numPr>
        <w:tabs>
          <w:tab w:val="left" w:pos="567"/>
        </w:tabs>
        <w:spacing w:after="0" w:line="240" w:lineRule="auto"/>
        <w:jc w:val="both"/>
        <w:rPr>
          <w:szCs w:val="20"/>
          <w:lang w:val="es-ES"/>
        </w:rPr>
      </w:pPr>
      <w:r w:rsidRPr="00E42617">
        <w:rPr>
          <w:lang w:val="es-ES"/>
        </w:rPr>
        <w:t>Requerir, por las razones expuestas en la presente Resolución, de conformidad con el principio de economía procesal y de la facultad que le otorga el artículo 50.1 del Reglamento de la Corte, que las siguientes personas presten su declaración ante fedatario público:</w:t>
      </w:r>
    </w:p>
    <w:p w:rsidR="005C0291" w:rsidRPr="00E42617" w:rsidRDefault="005C0291" w:rsidP="005C0291">
      <w:pPr>
        <w:tabs>
          <w:tab w:val="left" w:pos="567"/>
          <w:tab w:val="left" w:pos="851"/>
        </w:tabs>
        <w:autoSpaceDE w:val="0"/>
        <w:autoSpaceDN w:val="0"/>
        <w:adjustRightInd w:val="0"/>
        <w:spacing w:after="0" w:line="240" w:lineRule="auto"/>
        <w:jc w:val="both"/>
        <w:rPr>
          <w:rFonts w:cs="Verdana"/>
          <w:szCs w:val="20"/>
          <w:lang w:val="es-ES"/>
        </w:rPr>
      </w:pPr>
    </w:p>
    <w:p w:rsidR="005C0291" w:rsidRPr="00E42617" w:rsidRDefault="006132CD" w:rsidP="005C0291">
      <w:pPr>
        <w:numPr>
          <w:ilvl w:val="0"/>
          <w:numId w:val="5"/>
        </w:numPr>
        <w:tabs>
          <w:tab w:val="left" w:pos="567"/>
        </w:tabs>
        <w:spacing w:after="0" w:line="240" w:lineRule="auto"/>
        <w:jc w:val="both"/>
        <w:rPr>
          <w:rFonts w:cs="Verdana"/>
          <w:bCs/>
          <w:i/>
          <w:iCs/>
          <w:szCs w:val="20"/>
          <w:lang w:val="es-ES"/>
        </w:rPr>
      </w:pPr>
      <w:r>
        <w:rPr>
          <w:rFonts w:cs="Verdana"/>
          <w:bCs/>
          <w:i/>
          <w:iCs/>
          <w:szCs w:val="20"/>
          <w:lang w:val="es-ES"/>
        </w:rPr>
        <w:t>Declarantes</w:t>
      </w:r>
      <w:r w:rsidR="005C0291" w:rsidRPr="00E42617">
        <w:rPr>
          <w:rFonts w:cs="Verdana"/>
          <w:bCs/>
          <w:i/>
          <w:iCs/>
          <w:szCs w:val="20"/>
          <w:lang w:val="es-ES"/>
        </w:rPr>
        <w:t xml:space="preserve"> (propuest</w:t>
      </w:r>
      <w:r>
        <w:rPr>
          <w:rFonts w:cs="Verdana"/>
          <w:bCs/>
          <w:i/>
          <w:iCs/>
          <w:szCs w:val="20"/>
          <w:lang w:val="es-ES"/>
        </w:rPr>
        <w:t>o</w:t>
      </w:r>
      <w:r w:rsidR="005C0291" w:rsidRPr="00E42617">
        <w:rPr>
          <w:rFonts w:cs="Verdana"/>
          <w:bCs/>
          <w:i/>
          <w:iCs/>
          <w:szCs w:val="20"/>
          <w:lang w:val="es-ES"/>
        </w:rPr>
        <w:t>s</w:t>
      </w:r>
      <w:r w:rsidR="00046F01" w:rsidRPr="00E42617">
        <w:rPr>
          <w:rFonts w:cs="Verdana"/>
          <w:bCs/>
          <w:i/>
          <w:iCs/>
          <w:szCs w:val="20"/>
          <w:lang w:val="es-ES"/>
        </w:rPr>
        <w:t xml:space="preserve"> por la</w:t>
      </w:r>
      <w:r w:rsidR="005C0291" w:rsidRPr="00E42617">
        <w:rPr>
          <w:rFonts w:cs="Verdana"/>
          <w:bCs/>
          <w:i/>
          <w:iCs/>
          <w:szCs w:val="20"/>
          <w:lang w:val="es-ES"/>
        </w:rPr>
        <w:t>s representantes)</w:t>
      </w:r>
    </w:p>
    <w:p w:rsidR="005C0291" w:rsidRPr="00E42617" w:rsidRDefault="005C0291" w:rsidP="005C0291">
      <w:pPr>
        <w:tabs>
          <w:tab w:val="left" w:pos="567"/>
        </w:tabs>
        <w:spacing w:after="0" w:line="240" w:lineRule="auto"/>
        <w:ind w:left="720"/>
        <w:jc w:val="both"/>
        <w:rPr>
          <w:rFonts w:cs="Verdana"/>
          <w:b/>
          <w:bCs/>
          <w:i/>
          <w:iCs/>
          <w:szCs w:val="20"/>
          <w:lang w:val="es-ES"/>
        </w:rPr>
      </w:pPr>
    </w:p>
    <w:p w:rsidR="00E942B1" w:rsidRPr="00E42617" w:rsidRDefault="00E942B1" w:rsidP="0086074D">
      <w:pPr>
        <w:widowControl w:val="0"/>
        <w:numPr>
          <w:ilvl w:val="0"/>
          <w:numId w:val="23"/>
        </w:numPr>
        <w:tabs>
          <w:tab w:val="left" w:pos="567"/>
          <w:tab w:val="left" w:pos="1134"/>
        </w:tabs>
        <w:autoSpaceDE w:val="0"/>
        <w:autoSpaceDN w:val="0"/>
        <w:adjustRightInd w:val="0"/>
        <w:spacing w:after="0" w:line="240" w:lineRule="auto"/>
        <w:ind w:left="709" w:right="22" w:firstLine="0"/>
        <w:jc w:val="both"/>
        <w:rPr>
          <w:szCs w:val="20"/>
          <w:lang w:val="es-ES"/>
        </w:rPr>
      </w:pPr>
      <w:r w:rsidRPr="00E42617">
        <w:rPr>
          <w:i/>
          <w:szCs w:val="20"/>
          <w:lang w:val="es-ES"/>
        </w:rPr>
        <w:t>H.J.R.P</w:t>
      </w:r>
      <w:r w:rsidR="00360D8F" w:rsidRPr="00E42617">
        <w:rPr>
          <w:i/>
          <w:szCs w:val="20"/>
          <w:lang w:val="es-ES"/>
        </w:rPr>
        <w:t>.</w:t>
      </w:r>
      <w:r w:rsidR="005C0291" w:rsidRPr="00E42617">
        <w:rPr>
          <w:rFonts w:cs="Verdana"/>
          <w:i/>
          <w:szCs w:val="20"/>
          <w:lang w:val="es-ES"/>
        </w:rPr>
        <w:t xml:space="preserve">, </w:t>
      </w:r>
      <w:r w:rsidR="005C0291" w:rsidRPr="00E42617">
        <w:rPr>
          <w:rFonts w:cs="Verdana"/>
          <w:szCs w:val="20"/>
          <w:lang w:val="es-ES"/>
        </w:rPr>
        <w:t>quien declarará sobre</w:t>
      </w:r>
      <w:r w:rsidR="00477287" w:rsidRPr="00E42617">
        <w:rPr>
          <w:rFonts w:cs="Verdana"/>
          <w:szCs w:val="20"/>
          <w:lang w:val="es-ES"/>
        </w:rPr>
        <w:t>: i)</w:t>
      </w:r>
      <w:r w:rsidR="005C0291" w:rsidRPr="00E42617">
        <w:rPr>
          <w:rFonts w:cs="Verdana"/>
          <w:szCs w:val="20"/>
          <w:lang w:val="es-ES"/>
        </w:rPr>
        <w:t xml:space="preserve"> </w:t>
      </w:r>
      <w:r w:rsidR="0086074D">
        <w:rPr>
          <w:rFonts w:cs="Verdana"/>
          <w:szCs w:val="20"/>
          <w:lang w:val="es-ES"/>
        </w:rPr>
        <w:t>l</w:t>
      </w:r>
      <w:r w:rsidR="0086074D" w:rsidRPr="00E42617">
        <w:rPr>
          <w:szCs w:val="20"/>
          <w:lang w:val="es-ES"/>
        </w:rPr>
        <w:t xml:space="preserve">os hechos ocurridos conforme a lo descrito por la Comisión Interamericana en su </w:t>
      </w:r>
      <w:r w:rsidR="00944F5B">
        <w:rPr>
          <w:szCs w:val="20"/>
          <w:lang w:val="es-ES"/>
        </w:rPr>
        <w:t>I</w:t>
      </w:r>
      <w:r w:rsidR="0086074D" w:rsidRPr="00E42617">
        <w:rPr>
          <w:szCs w:val="20"/>
          <w:lang w:val="es-ES"/>
        </w:rPr>
        <w:t xml:space="preserve">nforme de </w:t>
      </w:r>
      <w:r w:rsidR="00944F5B">
        <w:rPr>
          <w:szCs w:val="20"/>
          <w:lang w:val="es-ES"/>
        </w:rPr>
        <w:t>F</w:t>
      </w:r>
      <w:r w:rsidR="0086074D" w:rsidRPr="00E42617">
        <w:rPr>
          <w:szCs w:val="20"/>
          <w:lang w:val="es-ES"/>
        </w:rPr>
        <w:t>ondo No. 4/16</w:t>
      </w:r>
      <w:r w:rsidR="00477287" w:rsidRPr="00E42617">
        <w:rPr>
          <w:szCs w:val="20"/>
          <w:lang w:val="es-ES"/>
        </w:rPr>
        <w:t>; ii)</w:t>
      </w:r>
      <w:r w:rsidRPr="00E42617">
        <w:rPr>
          <w:szCs w:val="20"/>
          <w:lang w:val="es-ES"/>
        </w:rPr>
        <w:t xml:space="preserve"> las consecuencias que en su persona ha</w:t>
      </w:r>
      <w:r w:rsidR="006C5275" w:rsidRPr="00E42617">
        <w:rPr>
          <w:szCs w:val="20"/>
          <w:lang w:val="es-ES"/>
        </w:rPr>
        <w:t>brían</w:t>
      </w:r>
      <w:r w:rsidRPr="00E42617">
        <w:rPr>
          <w:szCs w:val="20"/>
          <w:lang w:val="es-ES"/>
        </w:rPr>
        <w:t xml:space="preserve"> ocasionado </w:t>
      </w:r>
      <w:r w:rsidR="006C5275" w:rsidRPr="00E42617">
        <w:rPr>
          <w:szCs w:val="20"/>
          <w:lang w:val="es-ES"/>
        </w:rPr>
        <w:t>los hechos; iii)</w:t>
      </w:r>
      <w:r w:rsidRPr="00E42617">
        <w:rPr>
          <w:szCs w:val="20"/>
          <w:lang w:val="es-ES"/>
        </w:rPr>
        <w:t xml:space="preserve"> las actitudes de las autoridades en el caso</w:t>
      </w:r>
      <w:r w:rsidR="006C5275" w:rsidRPr="00E42617">
        <w:rPr>
          <w:szCs w:val="20"/>
          <w:lang w:val="es-ES"/>
        </w:rPr>
        <w:t>; iv)</w:t>
      </w:r>
      <w:r w:rsidRPr="00E42617">
        <w:rPr>
          <w:szCs w:val="20"/>
          <w:lang w:val="es-ES"/>
        </w:rPr>
        <w:t xml:space="preserve"> la desintegración familiar,</w:t>
      </w:r>
      <w:r w:rsidR="006C5275" w:rsidRPr="00E42617">
        <w:rPr>
          <w:szCs w:val="20"/>
          <w:lang w:val="es-ES"/>
        </w:rPr>
        <w:t xml:space="preserve"> y v) </w:t>
      </w:r>
      <w:r w:rsidRPr="00E42617">
        <w:rPr>
          <w:szCs w:val="20"/>
          <w:lang w:val="es-ES"/>
        </w:rPr>
        <w:t xml:space="preserve">los daños que todo </w:t>
      </w:r>
      <w:r w:rsidR="006C5275" w:rsidRPr="00E42617">
        <w:rPr>
          <w:szCs w:val="20"/>
          <w:lang w:val="es-ES"/>
        </w:rPr>
        <w:t xml:space="preserve">lo anterior </w:t>
      </w:r>
      <w:r w:rsidRPr="00E42617">
        <w:rPr>
          <w:szCs w:val="20"/>
          <w:lang w:val="es-ES"/>
        </w:rPr>
        <w:t>le ha</w:t>
      </w:r>
      <w:r w:rsidR="006C5275" w:rsidRPr="00E42617">
        <w:rPr>
          <w:szCs w:val="20"/>
          <w:lang w:val="es-ES"/>
        </w:rPr>
        <w:t>bría</w:t>
      </w:r>
      <w:r w:rsidRPr="00E42617">
        <w:rPr>
          <w:szCs w:val="20"/>
          <w:lang w:val="es-ES"/>
        </w:rPr>
        <w:t xml:space="preserve"> ocasionado a él y a su familia.</w:t>
      </w:r>
    </w:p>
    <w:p w:rsidR="00670136" w:rsidRPr="00E42617" w:rsidRDefault="00670136" w:rsidP="00670136">
      <w:pPr>
        <w:widowControl w:val="0"/>
        <w:tabs>
          <w:tab w:val="left" w:pos="567"/>
          <w:tab w:val="left" w:pos="1134"/>
        </w:tabs>
        <w:autoSpaceDE w:val="0"/>
        <w:autoSpaceDN w:val="0"/>
        <w:adjustRightInd w:val="0"/>
        <w:spacing w:after="0" w:line="240" w:lineRule="auto"/>
        <w:ind w:left="709" w:right="22"/>
        <w:jc w:val="both"/>
        <w:rPr>
          <w:szCs w:val="20"/>
          <w:lang w:val="es-ES"/>
        </w:rPr>
      </w:pPr>
    </w:p>
    <w:p w:rsidR="00670136" w:rsidRPr="00E42617" w:rsidRDefault="00966041" w:rsidP="00173EB3">
      <w:pPr>
        <w:widowControl w:val="0"/>
        <w:numPr>
          <w:ilvl w:val="0"/>
          <w:numId w:val="23"/>
        </w:numPr>
        <w:tabs>
          <w:tab w:val="left" w:pos="567"/>
          <w:tab w:val="left" w:pos="1134"/>
        </w:tabs>
        <w:autoSpaceDE w:val="0"/>
        <w:autoSpaceDN w:val="0"/>
        <w:adjustRightInd w:val="0"/>
        <w:spacing w:after="0" w:line="240" w:lineRule="auto"/>
        <w:ind w:left="709" w:right="22" w:firstLine="0"/>
        <w:jc w:val="both"/>
        <w:rPr>
          <w:szCs w:val="20"/>
          <w:lang w:val="es-ES"/>
        </w:rPr>
      </w:pPr>
      <w:r w:rsidRPr="00E42617">
        <w:rPr>
          <w:i/>
          <w:szCs w:val="20"/>
          <w:lang w:val="es-ES"/>
        </w:rPr>
        <w:t>N.</w:t>
      </w:r>
      <w:r w:rsidR="00E942B1" w:rsidRPr="00E42617">
        <w:rPr>
          <w:i/>
          <w:szCs w:val="20"/>
          <w:lang w:val="es-ES"/>
        </w:rPr>
        <w:t>R.P</w:t>
      </w:r>
      <w:r w:rsidR="003C12A2">
        <w:rPr>
          <w:i/>
          <w:szCs w:val="20"/>
          <w:lang w:val="es-ES"/>
        </w:rPr>
        <w:t>.</w:t>
      </w:r>
      <w:r w:rsidR="00E942B1" w:rsidRPr="00E42617">
        <w:rPr>
          <w:rFonts w:cs="Verdana"/>
          <w:i/>
          <w:szCs w:val="20"/>
          <w:lang w:val="es-ES"/>
        </w:rPr>
        <w:t xml:space="preserve">, </w:t>
      </w:r>
      <w:r w:rsidR="00670136" w:rsidRPr="00E42617">
        <w:rPr>
          <w:szCs w:val="20"/>
          <w:lang w:val="es-ES"/>
        </w:rPr>
        <w:t>quien declarará sobre</w:t>
      </w:r>
      <w:r w:rsidR="00477287" w:rsidRPr="00E42617">
        <w:rPr>
          <w:szCs w:val="20"/>
          <w:lang w:val="es-ES"/>
        </w:rPr>
        <w:t>: i)</w:t>
      </w:r>
      <w:r w:rsidR="00670136" w:rsidRPr="00E42617">
        <w:rPr>
          <w:szCs w:val="20"/>
          <w:lang w:val="es-ES"/>
        </w:rPr>
        <w:t xml:space="preserve"> </w:t>
      </w:r>
      <w:r w:rsidR="0086074D">
        <w:rPr>
          <w:szCs w:val="20"/>
          <w:lang w:val="es-ES"/>
        </w:rPr>
        <w:t>l</w:t>
      </w:r>
      <w:r w:rsidR="0086074D" w:rsidRPr="00E42617">
        <w:rPr>
          <w:szCs w:val="20"/>
          <w:lang w:val="es-ES"/>
        </w:rPr>
        <w:t>os hechos ocurridos conforme a lo descrito por la Comisión I</w:t>
      </w:r>
      <w:r w:rsidR="00944F5B">
        <w:rPr>
          <w:szCs w:val="20"/>
          <w:lang w:val="es-ES"/>
        </w:rPr>
        <w:t>nteramericana en su Informe de F</w:t>
      </w:r>
      <w:r w:rsidR="0086074D" w:rsidRPr="00E42617">
        <w:rPr>
          <w:szCs w:val="20"/>
          <w:lang w:val="es-ES"/>
        </w:rPr>
        <w:t>ondo No. 4/16</w:t>
      </w:r>
      <w:r w:rsidR="006C5275" w:rsidRPr="00E42617">
        <w:rPr>
          <w:szCs w:val="20"/>
          <w:lang w:val="es-ES"/>
        </w:rPr>
        <w:t>, y</w:t>
      </w:r>
      <w:r w:rsidR="00477287" w:rsidRPr="00E42617">
        <w:rPr>
          <w:szCs w:val="20"/>
          <w:lang w:val="es-ES"/>
        </w:rPr>
        <w:t xml:space="preserve"> ii) l</w:t>
      </w:r>
      <w:r w:rsidR="00E942B1" w:rsidRPr="00E42617">
        <w:rPr>
          <w:szCs w:val="20"/>
          <w:lang w:val="es-ES"/>
        </w:rPr>
        <w:t>as consecuencias ocasion</w:t>
      </w:r>
      <w:r w:rsidR="006C5275" w:rsidRPr="00E42617">
        <w:rPr>
          <w:szCs w:val="20"/>
          <w:lang w:val="es-ES"/>
        </w:rPr>
        <w:t>adas</w:t>
      </w:r>
      <w:r w:rsidR="00E942B1" w:rsidRPr="00E42617">
        <w:rPr>
          <w:szCs w:val="20"/>
          <w:lang w:val="es-ES"/>
        </w:rPr>
        <w:t xml:space="preserve"> a nivel personal, familiar, social y económico </w:t>
      </w:r>
      <w:r w:rsidR="006C5275" w:rsidRPr="00E42617">
        <w:rPr>
          <w:szCs w:val="20"/>
          <w:lang w:val="es-ES"/>
        </w:rPr>
        <w:t xml:space="preserve">por </w:t>
      </w:r>
      <w:r w:rsidR="00E942B1" w:rsidRPr="00E42617">
        <w:rPr>
          <w:szCs w:val="20"/>
          <w:lang w:val="es-ES"/>
        </w:rPr>
        <w:t>la forma en la cual se desarrolló el proceso judicial</w:t>
      </w:r>
      <w:r w:rsidR="0086074D">
        <w:rPr>
          <w:szCs w:val="20"/>
          <w:lang w:val="es-ES"/>
        </w:rPr>
        <w:t xml:space="preserve"> respecto a los hechos del </w:t>
      </w:r>
      <w:r w:rsidR="003C12A2">
        <w:rPr>
          <w:szCs w:val="20"/>
          <w:lang w:val="es-ES"/>
        </w:rPr>
        <w:t xml:space="preserve">presente </w:t>
      </w:r>
      <w:r w:rsidR="0086074D">
        <w:rPr>
          <w:szCs w:val="20"/>
          <w:lang w:val="es-ES"/>
        </w:rPr>
        <w:t>caso</w:t>
      </w:r>
      <w:r w:rsidR="00E942B1" w:rsidRPr="00E42617">
        <w:rPr>
          <w:szCs w:val="20"/>
          <w:lang w:val="es-ES"/>
        </w:rPr>
        <w:t>.</w:t>
      </w:r>
    </w:p>
    <w:p w:rsidR="00E942B1" w:rsidRPr="00E42617" w:rsidRDefault="00E942B1" w:rsidP="00E942B1">
      <w:pPr>
        <w:pStyle w:val="ListParagraph"/>
        <w:numPr>
          <w:ilvl w:val="0"/>
          <w:numId w:val="0"/>
        </w:numPr>
        <w:rPr>
          <w:lang w:val="es-ES"/>
        </w:rPr>
      </w:pPr>
    </w:p>
    <w:p w:rsidR="00E942B1" w:rsidRPr="00E42617" w:rsidRDefault="00E942B1" w:rsidP="00E942B1">
      <w:pPr>
        <w:widowControl w:val="0"/>
        <w:numPr>
          <w:ilvl w:val="0"/>
          <w:numId w:val="23"/>
        </w:numPr>
        <w:tabs>
          <w:tab w:val="left" w:pos="567"/>
          <w:tab w:val="left" w:pos="1134"/>
        </w:tabs>
        <w:autoSpaceDE w:val="0"/>
        <w:autoSpaceDN w:val="0"/>
        <w:adjustRightInd w:val="0"/>
        <w:spacing w:after="0" w:line="240" w:lineRule="auto"/>
        <w:ind w:left="709" w:right="22" w:firstLine="0"/>
        <w:jc w:val="both"/>
        <w:rPr>
          <w:szCs w:val="20"/>
          <w:lang w:val="es-ES"/>
        </w:rPr>
      </w:pPr>
      <w:r w:rsidRPr="00E42617">
        <w:rPr>
          <w:i/>
          <w:szCs w:val="20"/>
          <w:lang w:val="es-ES"/>
        </w:rPr>
        <w:t>V.A.R.P</w:t>
      </w:r>
      <w:r w:rsidR="00360D8F" w:rsidRPr="00E42617">
        <w:rPr>
          <w:i/>
          <w:szCs w:val="20"/>
          <w:lang w:val="es-ES"/>
        </w:rPr>
        <w:t>.</w:t>
      </w:r>
      <w:r w:rsidRPr="00E42617">
        <w:rPr>
          <w:rFonts w:cs="Verdana"/>
          <w:i/>
          <w:szCs w:val="20"/>
          <w:lang w:val="es-ES"/>
        </w:rPr>
        <w:t xml:space="preserve">, </w:t>
      </w:r>
      <w:r w:rsidRPr="00E42617">
        <w:rPr>
          <w:szCs w:val="20"/>
          <w:lang w:val="es-ES"/>
        </w:rPr>
        <w:t>quien declarará sobre</w:t>
      </w:r>
      <w:r w:rsidR="00477287" w:rsidRPr="00E42617">
        <w:rPr>
          <w:szCs w:val="20"/>
          <w:lang w:val="es-ES"/>
        </w:rPr>
        <w:t>: i)</w:t>
      </w:r>
      <w:r w:rsidRPr="00E42617">
        <w:rPr>
          <w:szCs w:val="20"/>
          <w:lang w:val="es-ES"/>
        </w:rPr>
        <w:t xml:space="preserve"> </w:t>
      </w:r>
      <w:r w:rsidR="0086074D">
        <w:rPr>
          <w:szCs w:val="20"/>
          <w:lang w:val="es-ES"/>
        </w:rPr>
        <w:t>l</w:t>
      </w:r>
      <w:r w:rsidR="0086074D" w:rsidRPr="00E42617">
        <w:rPr>
          <w:szCs w:val="20"/>
          <w:lang w:val="es-ES"/>
        </w:rPr>
        <w:t xml:space="preserve">os hechos ocurridos conforme a lo descrito por la Comisión Interamericana en su </w:t>
      </w:r>
      <w:r w:rsidR="00944F5B">
        <w:rPr>
          <w:szCs w:val="20"/>
          <w:lang w:val="es-ES"/>
        </w:rPr>
        <w:t>I</w:t>
      </w:r>
      <w:r w:rsidR="0086074D" w:rsidRPr="00E42617">
        <w:rPr>
          <w:szCs w:val="20"/>
          <w:lang w:val="es-ES"/>
        </w:rPr>
        <w:t xml:space="preserve">nforme de </w:t>
      </w:r>
      <w:r w:rsidR="00944F5B">
        <w:rPr>
          <w:szCs w:val="20"/>
          <w:lang w:val="es-ES"/>
        </w:rPr>
        <w:t>F</w:t>
      </w:r>
      <w:r w:rsidR="0086074D" w:rsidRPr="00E42617">
        <w:rPr>
          <w:szCs w:val="20"/>
          <w:lang w:val="es-ES"/>
        </w:rPr>
        <w:t>ondo No. 4/16</w:t>
      </w:r>
      <w:r w:rsidR="006C5275" w:rsidRPr="00E42617">
        <w:rPr>
          <w:szCs w:val="20"/>
          <w:lang w:val="es-ES"/>
        </w:rPr>
        <w:t>, y</w:t>
      </w:r>
      <w:r w:rsidR="00477287" w:rsidRPr="00E42617">
        <w:rPr>
          <w:szCs w:val="20"/>
          <w:lang w:val="es-ES"/>
        </w:rPr>
        <w:t xml:space="preserve"> ii) </w:t>
      </w:r>
      <w:r w:rsidRPr="00E42617">
        <w:rPr>
          <w:szCs w:val="20"/>
          <w:lang w:val="es-ES"/>
        </w:rPr>
        <w:t>las consecuencias ocasion</w:t>
      </w:r>
      <w:r w:rsidR="006C5275" w:rsidRPr="00E42617">
        <w:rPr>
          <w:szCs w:val="20"/>
          <w:lang w:val="es-ES"/>
        </w:rPr>
        <w:t>adas</w:t>
      </w:r>
      <w:r w:rsidRPr="00E42617">
        <w:rPr>
          <w:szCs w:val="20"/>
          <w:lang w:val="es-ES"/>
        </w:rPr>
        <w:t xml:space="preserve"> a nivel personal, familiar, social y económico</w:t>
      </w:r>
      <w:r w:rsidR="006C5275" w:rsidRPr="00E42617">
        <w:rPr>
          <w:szCs w:val="20"/>
          <w:lang w:val="es-ES"/>
        </w:rPr>
        <w:t xml:space="preserve"> por</w:t>
      </w:r>
      <w:r w:rsidRPr="00E42617">
        <w:rPr>
          <w:szCs w:val="20"/>
          <w:lang w:val="es-ES"/>
        </w:rPr>
        <w:t xml:space="preserve"> la forma en la cual se desarrolló el proceso judicial</w:t>
      </w:r>
      <w:r w:rsidR="0086074D">
        <w:rPr>
          <w:szCs w:val="20"/>
          <w:lang w:val="es-ES"/>
        </w:rPr>
        <w:t xml:space="preserve"> respecto a los hechos del </w:t>
      </w:r>
      <w:r w:rsidR="003C12A2">
        <w:rPr>
          <w:szCs w:val="20"/>
          <w:lang w:val="es-ES"/>
        </w:rPr>
        <w:t xml:space="preserve">presente </w:t>
      </w:r>
      <w:r w:rsidR="0086074D">
        <w:rPr>
          <w:szCs w:val="20"/>
          <w:lang w:val="es-ES"/>
        </w:rPr>
        <w:t>caso</w:t>
      </w:r>
      <w:r w:rsidRPr="00E42617">
        <w:rPr>
          <w:szCs w:val="20"/>
          <w:lang w:val="es-ES"/>
        </w:rPr>
        <w:t>.</w:t>
      </w:r>
    </w:p>
    <w:p w:rsidR="005C0291" w:rsidRPr="00E42617" w:rsidRDefault="005C0291" w:rsidP="005C0291">
      <w:pPr>
        <w:widowControl w:val="0"/>
        <w:tabs>
          <w:tab w:val="left" w:pos="567"/>
          <w:tab w:val="left" w:pos="1134"/>
        </w:tabs>
        <w:autoSpaceDE w:val="0"/>
        <w:autoSpaceDN w:val="0"/>
        <w:adjustRightInd w:val="0"/>
        <w:spacing w:after="0" w:line="240" w:lineRule="auto"/>
        <w:ind w:right="22"/>
        <w:jc w:val="both"/>
        <w:rPr>
          <w:rFonts w:cs="Verdana"/>
          <w:i/>
          <w:szCs w:val="20"/>
          <w:lang w:val="es-ES"/>
        </w:rPr>
      </w:pPr>
    </w:p>
    <w:p w:rsidR="005C0291" w:rsidRPr="00E42617" w:rsidRDefault="005C0291" w:rsidP="005C0291">
      <w:pPr>
        <w:numPr>
          <w:ilvl w:val="0"/>
          <w:numId w:val="6"/>
        </w:numPr>
        <w:tabs>
          <w:tab w:val="left" w:pos="567"/>
        </w:tabs>
        <w:spacing w:after="0" w:line="240" w:lineRule="auto"/>
        <w:jc w:val="both"/>
        <w:rPr>
          <w:rFonts w:eastAsia="MS Mincho" w:cs="Times"/>
          <w:szCs w:val="20"/>
          <w:lang w:val="es-ES"/>
        </w:rPr>
      </w:pPr>
      <w:bookmarkStart w:id="3" w:name="_Ref393464381"/>
      <w:r w:rsidRPr="00E42617">
        <w:rPr>
          <w:rFonts w:cs="Verdana"/>
          <w:color w:val="000000"/>
          <w:szCs w:val="20"/>
          <w:lang w:val="es-ES" w:eastAsia="es-ES"/>
        </w:rPr>
        <w:t xml:space="preserve">Requerir a </w:t>
      </w:r>
      <w:r w:rsidR="000A3F7F" w:rsidRPr="00E42617">
        <w:rPr>
          <w:rFonts w:cs="Verdana"/>
          <w:color w:val="000000"/>
          <w:szCs w:val="20"/>
          <w:lang w:val="es-ES" w:eastAsia="es-ES"/>
        </w:rPr>
        <w:t>la Comisión Interamericana y</w:t>
      </w:r>
      <w:r w:rsidRPr="00E42617">
        <w:rPr>
          <w:rFonts w:cs="Verdana"/>
          <w:color w:val="000000"/>
          <w:szCs w:val="20"/>
          <w:lang w:val="es-ES" w:eastAsia="es-ES"/>
        </w:rPr>
        <w:t xml:space="preserve"> a </w:t>
      </w:r>
      <w:r w:rsidR="00B9420D" w:rsidRPr="00E42617">
        <w:rPr>
          <w:color w:val="000000"/>
          <w:szCs w:val="20"/>
          <w:lang w:val="es-ES" w:eastAsia="es-ES"/>
        </w:rPr>
        <w:t>la</w:t>
      </w:r>
      <w:r w:rsidRPr="00E42617">
        <w:rPr>
          <w:color w:val="000000"/>
          <w:szCs w:val="20"/>
          <w:lang w:val="es-ES" w:eastAsia="es-ES"/>
        </w:rPr>
        <w:t xml:space="preserve">s </w:t>
      </w:r>
      <w:r w:rsidRPr="00E42617">
        <w:rPr>
          <w:rFonts w:cs="Verdana"/>
          <w:color w:val="000000"/>
          <w:szCs w:val="20"/>
          <w:lang w:val="es-ES" w:eastAsia="es-ES"/>
        </w:rPr>
        <w:t>representantes que notifiquen la presente Resolución a las personas que han sido convocadas a rendir declaración, respectivamente</w:t>
      </w:r>
      <w:r w:rsidR="00071CB9" w:rsidRPr="00E42617">
        <w:rPr>
          <w:rFonts w:cs="Verdana"/>
          <w:color w:val="000000"/>
          <w:szCs w:val="20"/>
          <w:lang w:val="es-ES" w:eastAsia="es-ES"/>
        </w:rPr>
        <w:t>,</w:t>
      </w:r>
      <w:r w:rsidRPr="00E42617">
        <w:rPr>
          <w:rFonts w:cs="Verdana"/>
          <w:color w:val="000000"/>
          <w:szCs w:val="20"/>
          <w:lang w:val="es-ES" w:eastAsia="es-ES"/>
        </w:rPr>
        <w:t xml:space="preserve"> según fueron por ellos propuestas, de conformidad con lo dispuesto en los artículos 50.2 y 50.4 del Reglamento. </w:t>
      </w:r>
    </w:p>
    <w:p w:rsidR="005C0291" w:rsidRPr="00E42617" w:rsidRDefault="005C0291" w:rsidP="005C0291">
      <w:pPr>
        <w:spacing w:after="0" w:line="240" w:lineRule="auto"/>
        <w:jc w:val="both"/>
        <w:rPr>
          <w:rFonts w:eastAsia="MS Mincho" w:cs="Times"/>
          <w:szCs w:val="20"/>
          <w:lang w:val="es-ES"/>
        </w:rPr>
      </w:pPr>
    </w:p>
    <w:p w:rsidR="005C0291" w:rsidRPr="00E42617" w:rsidRDefault="005C0291" w:rsidP="005C0291">
      <w:pPr>
        <w:numPr>
          <w:ilvl w:val="0"/>
          <w:numId w:val="6"/>
        </w:numPr>
        <w:tabs>
          <w:tab w:val="clear" w:pos="3600"/>
        </w:tabs>
        <w:spacing w:after="0" w:line="240" w:lineRule="auto"/>
        <w:jc w:val="both"/>
        <w:rPr>
          <w:rFonts w:eastAsia="MS Mincho" w:cs="Times"/>
          <w:szCs w:val="20"/>
          <w:lang w:val="es-ES"/>
        </w:rPr>
      </w:pPr>
      <w:r w:rsidRPr="00E42617">
        <w:rPr>
          <w:rFonts w:eastAsia="MS Mincho" w:cs="Times"/>
          <w:szCs w:val="20"/>
          <w:lang w:val="es-ES"/>
        </w:rPr>
        <w:t xml:space="preserve">Requerir al Estado que remita, </w:t>
      </w:r>
      <w:r w:rsidRPr="00E42617">
        <w:rPr>
          <w:lang w:val="es-ES"/>
        </w:rPr>
        <w:t>en los términos del artículo 50.5 del Reglamento y</w:t>
      </w:r>
      <w:r w:rsidRPr="00E42617">
        <w:rPr>
          <w:rFonts w:eastAsia="MS Mincho" w:cs="Times"/>
          <w:szCs w:val="20"/>
          <w:lang w:val="es-ES"/>
        </w:rPr>
        <w:t xml:space="preserve"> de considerarlo pertinente, en el plazo</w:t>
      </w:r>
      <w:r w:rsidRPr="00E42617">
        <w:rPr>
          <w:rFonts w:eastAsia="MS Mincho" w:cs="Verdana"/>
          <w:szCs w:val="20"/>
          <w:lang w:val="es-ES"/>
        </w:rPr>
        <w:t xml:space="preserve"> improrrogable que vence el </w:t>
      </w:r>
      <w:r w:rsidR="00477287" w:rsidRPr="00E42617">
        <w:rPr>
          <w:rFonts w:eastAsia="MS Mincho" w:cs="Verdana"/>
          <w:szCs w:val="20"/>
          <w:lang w:val="es-ES"/>
        </w:rPr>
        <w:t xml:space="preserve">29 </w:t>
      </w:r>
      <w:r w:rsidR="00071CB9" w:rsidRPr="00E42617">
        <w:rPr>
          <w:rFonts w:eastAsia="MS Mincho" w:cs="Verdana"/>
          <w:szCs w:val="20"/>
          <w:lang w:val="es-ES"/>
        </w:rPr>
        <w:t>de se</w:t>
      </w:r>
      <w:r w:rsidR="00477287" w:rsidRPr="00E42617">
        <w:rPr>
          <w:rFonts w:eastAsia="MS Mincho" w:cs="Verdana"/>
          <w:szCs w:val="20"/>
          <w:lang w:val="es-ES"/>
        </w:rPr>
        <w:t>p</w:t>
      </w:r>
      <w:r w:rsidR="00071CB9" w:rsidRPr="00E42617">
        <w:rPr>
          <w:rFonts w:eastAsia="MS Mincho" w:cs="Verdana"/>
          <w:szCs w:val="20"/>
          <w:lang w:val="es-ES"/>
        </w:rPr>
        <w:t>tiembre</w:t>
      </w:r>
      <w:r w:rsidR="002B5BD5" w:rsidRPr="00E42617">
        <w:rPr>
          <w:rFonts w:eastAsia="MS Mincho" w:cs="Verdana"/>
          <w:szCs w:val="20"/>
          <w:lang w:val="es-ES"/>
        </w:rPr>
        <w:t xml:space="preserve"> </w:t>
      </w:r>
      <w:r w:rsidRPr="00E42617">
        <w:rPr>
          <w:rFonts w:eastAsia="MS Mincho" w:cs="Verdana"/>
          <w:szCs w:val="20"/>
          <w:lang w:val="es-ES"/>
        </w:rPr>
        <w:t>de 2017, las preguntas que estime</w:t>
      </w:r>
      <w:r w:rsidR="00FA7FF6" w:rsidRPr="00E42617">
        <w:rPr>
          <w:rFonts w:eastAsia="MS Mincho" w:cs="Verdana"/>
          <w:szCs w:val="20"/>
          <w:lang w:val="es-ES"/>
        </w:rPr>
        <w:t>n</w:t>
      </w:r>
      <w:r w:rsidRPr="00E42617">
        <w:rPr>
          <w:rFonts w:eastAsia="MS Mincho" w:cs="Verdana"/>
          <w:szCs w:val="20"/>
          <w:lang w:val="es-ES"/>
        </w:rPr>
        <w:t xml:space="preserve"> pertinentes formular a través de la Corte Interamericana a </w:t>
      </w:r>
      <w:r w:rsidR="002B5BD5" w:rsidRPr="00E42617">
        <w:rPr>
          <w:rFonts w:eastAsia="MS Mincho" w:cs="Verdana"/>
          <w:szCs w:val="20"/>
          <w:lang w:val="es-ES"/>
        </w:rPr>
        <w:t>l</w:t>
      </w:r>
      <w:r w:rsidR="00B507FA">
        <w:rPr>
          <w:rFonts w:eastAsia="MS Mincho" w:cs="Verdana"/>
          <w:szCs w:val="20"/>
          <w:lang w:val="es-ES"/>
        </w:rPr>
        <w:t>os declarantes</w:t>
      </w:r>
      <w:r w:rsidR="002B5BD5" w:rsidRPr="00E42617">
        <w:rPr>
          <w:rFonts w:eastAsia="MS Mincho" w:cs="Verdana"/>
          <w:szCs w:val="20"/>
          <w:lang w:val="es-ES"/>
        </w:rPr>
        <w:t xml:space="preserve"> </w:t>
      </w:r>
      <w:r w:rsidR="002B5BD5" w:rsidRPr="00E42617">
        <w:rPr>
          <w:rFonts w:eastAsia="MS Mincho" w:cs="Times"/>
          <w:szCs w:val="20"/>
          <w:lang w:val="es-ES"/>
        </w:rPr>
        <w:t>indicad</w:t>
      </w:r>
      <w:r w:rsidR="00B507FA">
        <w:rPr>
          <w:rFonts w:eastAsia="MS Mincho" w:cs="Times"/>
          <w:szCs w:val="20"/>
          <w:lang w:val="es-ES"/>
        </w:rPr>
        <w:t>o</w:t>
      </w:r>
      <w:r w:rsidRPr="00E42617">
        <w:rPr>
          <w:rFonts w:eastAsia="MS Mincho" w:cs="Times"/>
          <w:szCs w:val="20"/>
          <w:lang w:val="es-ES"/>
        </w:rPr>
        <w:t xml:space="preserve">s en el punto resolutivo </w:t>
      </w:r>
      <w:r w:rsidR="009C30E8">
        <w:rPr>
          <w:rFonts w:eastAsia="MS Mincho" w:cs="Times"/>
          <w:szCs w:val="20"/>
          <w:lang w:val="es-ES"/>
        </w:rPr>
        <w:t>6</w:t>
      </w:r>
      <w:r w:rsidR="002B5BD5" w:rsidRPr="00E42617">
        <w:rPr>
          <w:rFonts w:eastAsia="MS Mincho" w:cs="Times"/>
          <w:szCs w:val="20"/>
          <w:lang w:val="es-ES"/>
        </w:rPr>
        <w:t xml:space="preserve"> </w:t>
      </w:r>
      <w:r w:rsidRPr="00E42617">
        <w:rPr>
          <w:rFonts w:eastAsia="MS Mincho" w:cs="Times"/>
          <w:szCs w:val="20"/>
          <w:lang w:val="es-ES"/>
        </w:rPr>
        <w:t>de esta Resolución.</w:t>
      </w:r>
      <w:r w:rsidRPr="00E42617">
        <w:rPr>
          <w:lang w:val="es-ES"/>
        </w:rPr>
        <w:t xml:space="preserve"> </w:t>
      </w:r>
      <w:bookmarkEnd w:id="3"/>
    </w:p>
    <w:p w:rsidR="005C0291" w:rsidRPr="00E42617" w:rsidRDefault="005C0291" w:rsidP="005C0291">
      <w:pPr>
        <w:tabs>
          <w:tab w:val="left" w:pos="567"/>
        </w:tabs>
        <w:spacing w:after="0" w:line="240" w:lineRule="auto"/>
        <w:jc w:val="both"/>
        <w:rPr>
          <w:rFonts w:eastAsia="MS Mincho" w:cs="Times"/>
          <w:szCs w:val="20"/>
          <w:lang w:val="es-ES"/>
        </w:rPr>
      </w:pPr>
    </w:p>
    <w:p w:rsidR="005C0291" w:rsidRPr="00E42617" w:rsidRDefault="005C0291" w:rsidP="005C0291">
      <w:pPr>
        <w:numPr>
          <w:ilvl w:val="0"/>
          <w:numId w:val="6"/>
        </w:numPr>
        <w:tabs>
          <w:tab w:val="left" w:pos="567"/>
        </w:tabs>
        <w:spacing w:after="0" w:line="240" w:lineRule="auto"/>
        <w:jc w:val="both"/>
        <w:rPr>
          <w:rFonts w:eastAsia="MS Mincho" w:cs="Times"/>
          <w:szCs w:val="20"/>
          <w:lang w:val="es-ES"/>
        </w:rPr>
      </w:pPr>
      <w:r w:rsidRPr="00E42617">
        <w:rPr>
          <w:rFonts w:cs="Verdana"/>
          <w:color w:val="000000"/>
          <w:szCs w:val="20"/>
          <w:lang w:val="es-ES" w:eastAsia="es-ES"/>
        </w:rPr>
        <w:t>Requerir a l</w:t>
      </w:r>
      <w:r w:rsidR="00413CEE" w:rsidRPr="00E42617">
        <w:rPr>
          <w:rFonts w:cs="Verdana"/>
          <w:color w:val="000000"/>
          <w:szCs w:val="20"/>
          <w:lang w:val="es-ES" w:eastAsia="es-ES"/>
        </w:rPr>
        <w:t>a</w:t>
      </w:r>
      <w:r w:rsidRPr="00E42617">
        <w:rPr>
          <w:rFonts w:cs="Verdana"/>
          <w:color w:val="000000"/>
          <w:szCs w:val="20"/>
          <w:lang w:val="es-ES" w:eastAsia="es-ES"/>
        </w:rPr>
        <w:t xml:space="preserve">s representantes que comuniquen y </w:t>
      </w:r>
      <w:r w:rsidRPr="00E42617">
        <w:rPr>
          <w:szCs w:val="20"/>
          <w:lang w:val="es-ES"/>
        </w:rPr>
        <w:t xml:space="preserve">remitan </w:t>
      </w:r>
      <w:r w:rsidRPr="00E42617">
        <w:rPr>
          <w:rFonts w:cs="Verdana"/>
          <w:color w:val="000000"/>
          <w:szCs w:val="20"/>
          <w:lang w:val="es-ES" w:eastAsia="es-ES"/>
        </w:rPr>
        <w:t>a la Corte, a más tardar el</w:t>
      </w:r>
      <w:r w:rsidR="00413CEE" w:rsidRPr="00E42617">
        <w:rPr>
          <w:rFonts w:cs="Verdana"/>
          <w:color w:val="000000"/>
          <w:szCs w:val="20"/>
          <w:lang w:val="es-ES" w:eastAsia="es-ES"/>
        </w:rPr>
        <w:t xml:space="preserve"> </w:t>
      </w:r>
      <w:r w:rsidR="00093787" w:rsidRPr="00E42617">
        <w:rPr>
          <w:rFonts w:cs="Verdana"/>
          <w:color w:val="000000"/>
          <w:szCs w:val="20"/>
          <w:lang w:val="es-ES" w:eastAsia="es-ES"/>
        </w:rPr>
        <w:t>29 de septiembre</w:t>
      </w:r>
      <w:r w:rsidR="002B5BD5" w:rsidRPr="00E42617">
        <w:rPr>
          <w:rFonts w:cs="Verdana"/>
          <w:color w:val="000000"/>
          <w:szCs w:val="20"/>
          <w:lang w:val="es-ES" w:eastAsia="es-ES"/>
        </w:rPr>
        <w:t xml:space="preserve"> </w:t>
      </w:r>
      <w:r w:rsidRPr="00E42617">
        <w:rPr>
          <w:rFonts w:cs="Verdana"/>
          <w:color w:val="000000"/>
          <w:szCs w:val="20"/>
          <w:lang w:val="es-ES" w:eastAsia="es-ES"/>
        </w:rPr>
        <w:t xml:space="preserve">de 2017, </w:t>
      </w:r>
      <w:r w:rsidRPr="00E42617">
        <w:rPr>
          <w:szCs w:val="20"/>
          <w:lang w:val="es-ES"/>
        </w:rPr>
        <w:t>una cotización del costo de la formalización de la</w:t>
      </w:r>
      <w:r w:rsidR="00413CEE" w:rsidRPr="00E42617">
        <w:rPr>
          <w:szCs w:val="20"/>
          <w:lang w:val="es-ES"/>
        </w:rPr>
        <w:t>s declaraciones ante fedatario público</w:t>
      </w:r>
      <w:r w:rsidRPr="00E42617">
        <w:rPr>
          <w:szCs w:val="20"/>
          <w:lang w:val="es-ES"/>
        </w:rPr>
        <w:t xml:space="preserve"> en el país de residencia del declarante y de su respectivo envío,</w:t>
      </w:r>
      <w:r w:rsidR="00413CEE" w:rsidRPr="00E42617">
        <w:rPr>
          <w:szCs w:val="20"/>
          <w:lang w:val="es-ES"/>
        </w:rPr>
        <w:t xml:space="preserve"> </w:t>
      </w:r>
      <w:r w:rsidR="00413CEE" w:rsidRPr="00E42617">
        <w:rPr>
          <w:lang w:val="es-ES"/>
        </w:rPr>
        <w:t>a fin de que sea cubierta por el Fondo de Asistencia,</w:t>
      </w:r>
      <w:r w:rsidRPr="00E42617">
        <w:rPr>
          <w:szCs w:val="20"/>
          <w:lang w:val="es-ES"/>
        </w:rPr>
        <w:t xml:space="preserve"> de conformidad con lo establecido en el párrafo considerativo </w:t>
      </w:r>
      <w:r w:rsidR="004B3BC4">
        <w:rPr>
          <w:szCs w:val="20"/>
          <w:lang w:val="es-ES"/>
        </w:rPr>
        <w:t>4</w:t>
      </w:r>
      <w:r w:rsidR="00044F16">
        <w:rPr>
          <w:szCs w:val="20"/>
          <w:lang w:val="es-ES"/>
        </w:rPr>
        <w:t>4</w:t>
      </w:r>
      <w:r w:rsidRPr="00E42617">
        <w:rPr>
          <w:szCs w:val="20"/>
          <w:lang w:val="es-ES"/>
        </w:rPr>
        <w:t xml:space="preserve"> de la presente Resolución. </w:t>
      </w:r>
    </w:p>
    <w:p w:rsidR="005C0291" w:rsidRPr="00E42617" w:rsidRDefault="005C0291" w:rsidP="005C0291">
      <w:pPr>
        <w:tabs>
          <w:tab w:val="left" w:pos="567"/>
        </w:tabs>
        <w:spacing w:after="0" w:line="240" w:lineRule="auto"/>
        <w:jc w:val="both"/>
        <w:rPr>
          <w:rFonts w:eastAsia="MS Mincho" w:cs="Times"/>
          <w:szCs w:val="20"/>
          <w:lang w:val="es-ES"/>
        </w:rPr>
      </w:pPr>
    </w:p>
    <w:p w:rsidR="005C0291" w:rsidRPr="00E42617" w:rsidRDefault="00D151D4" w:rsidP="005C0291">
      <w:pPr>
        <w:numPr>
          <w:ilvl w:val="0"/>
          <w:numId w:val="6"/>
        </w:numPr>
        <w:tabs>
          <w:tab w:val="left" w:pos="567"/>
        </w:tabs>
        <w:spacing w:after="0" w:line="240" w:lineRule="auto"/>
        <w:jc w:val="both"/>
        <w:rPr>
          <w:rFonts w:eastAsia="MS Mincho" w:cs="Times"/>
          <w:szCs w:val="20"/>
          <w:lang w:val="es-ES"/>
        </w:rPr>
      </w:pPr>
      <w:r w:rsidRPr="00E42617">
        <w:rPr>
          <w:lang w:val="es-ES"/>
        </w:rPr>
        <w:t>Requerir a las representantes que coordinen y realicen las diligencias necesarias para que, una vez recibidas las preguntas de</w:t>
      </w:r>
      <w:r w:rsidR="00D708BB" w:rsidRPr="00E42617">
        <w:rPr>
          <w:lang w:val="es-ES"/>
        </w:rPr>
        <w:t>l Estado</w:t>
      </w:r>
      <w:r w:rsidR="0054278B" w:rsidRPr="00E42617">
        <w:rPr>
          <w:lang w:val="es-ES"/>
        </w:rPr>
        <w:t>,</w:t>
      </w:r>
      <w:r w:rsidRPr="00E42617">
        <w:rPr>
          <w:lang w:val="es-ES"/>
        </w:rPr>
        <w:t xml:space="preserve"> </w:t>
      </w:r>
      <w:r w:rsidR="00B507FA">
        <w:rPr>
          <w:rFonts w:eastAsia="MS Mincho" w:cs="Verdana"/>
          <w:szCs w:val="20"/>
          <w:lang w:val="es-ES"/>
        </w:rPr>
        <w:t>los declarantes</w:t>
      </w:r>
      <w:r w:rsidR="00D708BB" w:rsidRPr="00E42617">
        <w:rPr>
          <w:rFonts w:eastAsia="MS Mincho" w:cs="Verdana"/>
          <w:szCs w:val="20"/>
          <w:lang w:val="es-ES"/>
        </w:rPr>
        <w:t xml:space="preserve"> </w:t>
      </w:r>
      <w:r w:rsidR="005C0291" w:rsidRPr="00E42617">
        <w:rPr>
          <w:rFonts w:eastAsia="MS Mincho" w:cs="Times"/>
          <w:szCs w:val="20"/>
          <w:lang w:val="es-ES"/>
        </w:rPr>
        <w:t xml:space="preserve">incluyan las </w:t>
      </w:r>
      <w:r w:rsidR="005C0291" w:rsidRPr="00E42617">
        <w:rPr>
          <w:rFonts w:eastAsia="MS Mincho" w:cs="Times"/>
          <w:szCs w:val="20"/>
          <w:lang w:val="es-ES"/>
        </w:rPr>
        <w:lastRenderedPageBreak/>
        <w:t xml:space="preserve">respuestas en las respectivas declaraciones que rendirán ante fedatario público, </w:t>
      </w:r>
      <w:r w:rsidR="005C0291" w:rsidRPr="00E42617">
        <w:rPr>
          <w:lang w:val="es-ES"/>
        </w:rPr>
        <w:t>salvo que el Presidente disponga lo contrario cuando la Secretaría de la Corte las transmita</w:t>
      </w:r>
      <w:r w:rsidR="005C0291" w:rsidRPr="00E42617">
        <w:rPr>
          <w:rFonts w:eastAsia="MS Mincho" w:cs="Times"/>
          <w:szCs w:val="20"/>
          <w:lang w:val="es-ES"/>
        </w:rPr>
        <w:t xml:space="preserve">. Las declaraciones </w:t>
      </w:r>
      <w:r w:rsidR="00D708BB" w:rsidRPr="00E42617">
        <w:rPr>
          <w:rFonts w:eastAsia="MS Mincho" w:cs="Times"/>
          <w:szCs w:val="20"/>
          <w:lang w:val="es-ES"/>
        </w:rPr>
        <w:t>requerida</w:t>
      </w:r>
      <w:r w:rsidR="00071CB9" w:rsidRPr="00E42617">
        <w:rPr>
          <w:rFonts w:eastAsia="MS Mincho" w:cs="Times"/>
          <w:szCs w:val="20"/>
          <w:lang w:val="es-ES"/>
        </w:rPr>
        <w:t>s deberán ser presentada</w:t>
      </w:r>
      <w:r w:rsidR="005C0291" w:rsidRPr="00E42617">
        <w:rPr>
          <w:rFonts w:eastAsia="MS Mincho" w:cs="Times"/>
          <w:szCs w:val="20"/>
          <w:lang w:val="es-ES"/>
        </w:rPr>
        <w:t xml:space="preserve">s al Tribunal a más tardar el </w:t>
      </w:r>
      <w:r w:rsidR="000034C9">
        <w:rPr>
          <w:rFonts w:eastAsia="MS Mincho" w:cs="Times"/>
          <w:szCs w:val="20"/>
          <w:lang w:val="es-ES"/>
        </w:rPr>
        <w:t>11</w:t>
      </w:r>
      <w:r w:rsidR="00071CB9" w:rsidRPr="00E42617">
        <w:rPr>
          <w:rFonts w:eastAsia="MS Mincho" w:cs="Times"/>
          <w:szCs w:val="20"/>
          <w:lang w:val="es-ES"/>
        </w:rPr>
        <w:t xml:space="preserve"> de octubre</w:t>
      </w:r>
      <w:r w:rsidR="00D708BB" w:rsidRPr="00E42617">
        <w:rPr>
          <w:rFonts w:eastAsia="MS Mincho" w:cs="Times"/>
          <w:szCs w:val="20"/>
          <w:lang w:val="es-ES"/>
        </w:rPr>
        <w:t xml:space="preserve"> </w:t>
      </w:r>
      <w:r w:rsidR="005C0291" w:rsidRPr="00E42617">
        <w:rPr>
          <w:rFonts w:eastAsia="MS Mincho" w:cs="Times"/>
          <w:szCs w:val="20"/>
          <w:lang w:val="es-ES"/>
        </w:rPr>
        <w:t>de 2017</w:t>
      </w:r>
      <w:r w:rsidRPr="00E42617">
        <w:rPr>
          <w:rFonts w:eastAsia="MS Mincho" w:cs="Times"/>
          <w:szCs w:val="20"/>
          <w:lang w:val="es-ES"/>
        </w:rPr>
        <w:t>.</w:t>
      </w:r>
    </w:p>
    <w:p w:rsidR="005C0291" w:rsidRPr="00E42617" w:rsidRDefault="005C0291" w:rsidP="005E42F2">
      <w:pPr>
        <w:tabs>
          <w:tab w:val="left" w:pos="567"/>
        </w:tabs>
        <w:spacing w:after="0" w:line="240" w:lineRule="auto"/>
        <w:jc w:val="both"/>
        <w:rPr>
          <w:rFonts w:eastAsia="MS Mincho" w:cs="Times"/>
          <w:lang w:val="es-ES"/>
        </w:rPr>
      </w:pPr>
    </w:p>
    <w:p w:rsidR="005E42F2" w:rsidRPr="00E42617" w:rsidRDefault="0054278B" w:rsidP="005E42F2">
      <w:pPr>
        <w:numPr>
          <w:ilvl w:val="0"/>
          <w:numId w:val="6"/>
        </w:numPr>
        <w:tabs>
          <w:tab w:val="left" w:pos="567"/>
        </w:tabs>
        <w:spacing w:after="0" w:line="240" w:lineRule="auto"/>
        <w:jc w:val="both"/>
        <w:rPr>
          <w:rFonts w:eastAsia="MS Mincho" w:cs="Times"/>
          <w:szCs w:val="20"/>
          <w:lang w:val="es-ES"/>
        </w:rPr>
      </w:pPr>
      <w:r w:rsidRPr="00E42617">
        <w:rPr>
          <w:lang w:val="es-ES"/>
        </w:rPr>
        <w:t>Disponer</w:t>
      </w:r>
      <w:r w:rsidRPr="00E42617">
        <w:rPr>
          <w:szCs w:val="20"/>
          <w:lang w:val="es-ES"/>
        </w:rPr>
        <w:t xml:space="preserve"> </w:t>
      </w:r>
      <w:r w:rsidRPr="00E42617">
        <w:rPr>
          <w:lang w:val="es-ES"/>
        </w:rPr>
        <w:t xml:space="preserve">conforme al artículo 50.6 del Reglamento </w:t>
      </w:r>
      <w:r w:rsidRPr="00E42617">
        <w:rPr>
          <w:szCs w:val="20"/>
          <w:lang w:val="es-ES"/>
        </w:rPr>
        <w:t xml:space="preserve">que, una vez recibidas las declaraciones, la Secretaría de la Corte Interamericana </w:t>
      </w:r>
      <w:r w:rsidR="00071CB9" w:rsidRPr="00E42617">
        <w:rPr>
          <w:szCs w:val="20"/>
          <w:lang w:val="es-ES"/>
        </w:rPr>
        <w:t xml:space="preserve">los transmita al Estado y a la Comisión, </w:t>
      </w:r>
      <w:r w:rsidRPr="00E42617">
        <w:rPr>
          <w:szCs w:val="20"/>
          <w:lang w:val="es-ES"/>
        </w:rPr>
        <w:t>para que</w:t>
      </w:r>
      <w:r w:rsidR="005E42F2" w:rsidRPr="00E42617">
        <w:rPr>
          <w:szCs w:val="20"/>
          <w:lang w:val="es-ES"/>
        </w:rPr>
        <w:t xml:space="preserve"> </w:t>
      </w:r>
      <w:r w:rsidR="00071CB9" w:rsidRPr="00E42617">
        <w:rPr>
          <w:szCs w:val="20"/>
          <w:lang w:val="es-ES"/>
        </w:rPr>
        <w:t>aquél</w:t>
      </w:r>
      <w:r w:rsidRPr="00E42617">
        <w:rPr>
          <w:szCs w:val="20"/>
          <w:lang w:val="es-ES"/>
        </w:rPr>
        <w:t xml:space="preserve">, </w:t>
      </w:r>
      <w:r w:rsidR="005C0291" w:rsidRPr="00E42617">
        <w:rPr>
          <w:rFonts w:eastAsia="MS Mincho" w:cs="Times"/>
          <w:szCs w:val="20"/>
          <w:lang w:val="es-ES"/>
        </w:rPr>
        <w:t>si lo estima pertinente, presente sus observaciones a</w:t>
      </w:r>
      <w:r w:rsidR="005E42F2" w:rsidRPr="00E42617">
        <w:rPr>
          <w:rFonts w:eastAsia="MS Mincho" w:cs="Times"/>
          <w:szCs w:val="20"/>
          <w:lang w:val="es-ES"/>
        </w:rPr>
        <w:t xml:space="preserve"> </w:t>
      </w:r>
      <w:r w:rsidR="005C0291" w:rsidRPr="00E42617">
        <w:rPr>
          <w:rFonts w:eastAsia="MS Mincho" w:cs="Times"/>
          <w:szCs w:val="20"/>
          <w:lang w:val="es-ES"/>
        </w:rPr>
        <w:t>más tardar con sus alegatos finales escritos.</w:t>
      </w:r>
    </w:p>
    <w:p w:rsidR="00071CB9" w:rsidRPr="00E42617" w:rsidRDefault="00071CB9" w:rsidP="00071CB9">
      <w:pPr>
        <w:pStyle w:val="ListParagraph"/>
        <w:numPr>
          <w:ilvl w:val="0"/>
          <w:numId w:val="0"/>
        </w:numPr>
        <w:rPr>
          <w:rFonts w:eastAsia="MS Mincho" w:cs="Times"/>
          <w:lang w:val="es-ES"/>
        </w:rPr>
      </w:pPr>
    </w:p>
    <w:p w:rsidR="005C0291" w:rsidRPr="00E42617" w:rsidRDefault="005C0291" w:rsidP="005C0291">
      <w:pPr>
        <w:numPr>
          <w:ilvl w:val="0"/>
          <w:numId w:val="6"/>
        </w:numPr>
        <w:tabs>
          <w:tab w:val="left" w:pos="567"/>
        </w:tabs>
        <w:spacing w:after="0" w:line="240" w:lineRule="auto"/>
        <w:jc w:val="both"/>
        <w:rPr>
          <w:rFonts w:eastAsia="MS Mincho" w:cs="Times"/>
          <w:szCs w:val="20"/>
          <w:lang w:val="es-ES"/>
        </w:rPr>
      </w:pPr>
      <w:r w:rsidRPr="00E42617">
        <w:rPr>
          <w:lang w:val="es-ES"/>
        </w:rPr>
        <w:t>Informar a la</w:t>
      </w:r>
      <w:r w:rsidR="00071CB9" w:rsidRPr="00E42617">
        <w:rPr>
          <w:lang w:val="es-ES"/>
        </w:rPr>
        <w:t xml:space="preserve"> Comisión y</w:t>
      </w:r>
      <w:r w:rsidRPr="00E42617">
        <w:rPr>
          <w:lang w:val="es-ES"/>
        </w:rPr>
        <w:t xml:space="preserve"> a l</w:t>
      </w:r>
      <w:r w:rsidR="006D0424" w:rsidRPr="00E42617">
        <w:rPr>
          <w:lang w:val="es-ES"/>
        </w:rPr>
        <w:t>a</w:t>
      </w:r>
      <w:r w:rsidRPr="00E42617">
        <w:rPr>
          <w:lang w:val="es-ES"/>
        </w:rPr>
        <w:t>s representantes que deben cubrir los gastos que ocasione la aportación o rendición de la prueba propuesta por ellos, de conformidad con lo dispuesto en el artículo 60 del Reglamento, sin perjuicio de lo que resulte pertinente en aplicación del Fondo de Asistencia Legal de Víctimas en el presente caso.</w:t>
      </w:r>
    </w:p>
    <w:p w:rsidR="005C0291" w:rsidRPr="00E42617" w:rsidRDefault="005C0291" w:rsidP="005C0291">
      <w:pPr>
        <w:pStyle w:val="ListParagraph"/>
        <w:numPr>
          <w:ilvl w:val="0"/>
          <w:numId w:val="0"/>
        </w:numPr>
        <w:rPr>
          <w:color w:val="000000"/>
          <w:lang w:val="es-ES" w:eastAsia="es-ES"/>
        </w:rPr>
      </w:pPr>
    </w:p>
    <w:p w:rsidR="005C0291" w:rsidRPr="00E42617" w:rsidRDefault="005C0291" w:rsidP="005C0291">
      <w:pPr>
        <w:numPr>
          <w:ilvl w:val="0"/>
          <w:numId w:val="6"/>
        </w:numPr>
        <w:tabs>
          <w:tab w:val="left" w:pos="567"/>
        </w:tabs>
        <w:spacing w:after="0" w:line="240" w:lineRule="auto"/>
        <w:jc w:val="both"/>
        <w:rPr>
          <w:rFonts w:eastAsia="MS Mincho" w:cs="Times"/>
          <w:szCs w:val="20"/>
          <w:lang w:val="es-ES"/>
        </w:rPr>
      </w:pPr>
      <w:r w:rsidRPr="00E42617">
        <w:rPr>
          <w:rFonts w:cs="Verdana"/>
          <w:color w:val="000000"/>
          <w:szCs w:val="20"/>
          <w:lang w:val="es-ES" w:eastAsia="es-ES"/>
        </w:rPr>
        <w:t xml:space="preserve">Requerir a </w:t>
      </w:r>
      <w:r w:rsidR="00071CB9" w:rsidRPr="00E42617">
        <w:rPr>
          <w:rFonts w:cs="Verdana"/>
          <w:color w:val="000000"/>
          <w:szCs w:val="20"/>
          <w:lang w:val="es-ES" w:eastAsia="es-ES"/>
        </w:rPr>
        <w:t xml:space="preserve">la Comisión </w:t>
      </w:r>
      <w:r w:rsidRPr="00E42617">
        <w:rPr>
          <w:rFonts w:cs="Verdana"/>
          <w:color w:val="000000"/>
          <w:szCs w:val="20"/>
          <w:lang w:val="es-ES" w:eastAsia="es-ES"/>
        </w:rPr>
        <w:t xml:space="preserve">y a </w:t>
      </w:r>
      <w:r w:rsidRPr="00E42617">
        <w:rPr>
          <w:color w:val="000000"/>
          <w:szCs w:val="20"/>
          <w:lang w:val="es-ES" w:eastAsia="es-ES"/>
        </w:rPr>
        <w:t>l</w:t>
      </w:r>
      <w:r w:rsidR="006D0424" w:rsidRPr="00E42617">
        <w:rPr>
          <w:color w:val="000000"/>
          <w:szCs w:val="20"/>
          <w:lang w:val="es-ES" w:eastAsia="es-ES"/>
        </w:rPr>
        <w:t>a</w:t>
      </w:r>
      <w:r w:rsidRPr="00E42617">
        <w:rPr>
          <w:color w:val="000000"/>
          <w:szCs w:val="20"/>
          <w:lang w:val="es-ES" w:eastAsia="es-ES"/>
        </w:rPr>
        <w:t xml:space="preserve">s </w:t>
      </w:r>
      <w:r w:rsidRPr="00E42617">
        <w:rPr>
          <w:rFonts w:cs="Verdana"/>
          <w:color w:val="000000"/>
          <w:szCs w:val="20"/>
          <w:lang w:val="es-ES" w:eastAsia="es-ES"/>
        </w:rPr>
        <w:t xml:space="preserve">representantes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5C0291" w:rsidRPr="00E42617" w:rsidRDefault="005C0291" w:rsidP="005C0291">
      <w:pPr>
        <w:pStyle w:val="ListParagraph"/>
        <w:numPr>
          <w:ilvl w:val="0"/>
          <w:numId w:val="0"/>
        </w:numPr>
        <w:rPr>
          <w:color w:val="000000"/>
          <w:lang w:val="es-ES" w:eastAsia="es-ES"/>
        </w:rPr>
      </w:pPr>
    </w:p>
    <w:p w:rsidR="005C0291" w:rsidRPr="00E42617" w:rsidRDefault="005C0291" w:rsidP="005C0291">
      <w:pPr>
        <w:numPr>
          <w:ilvl w:val="0"/>
          <w:numId w:val="6"/>
        </w:numPr>
        <w:tabs>
          <w:tab w:val="left" w:pos="567"/>
        </w:tabs>
        <w:spacing w:after="0" w:line="240" w:lineRule="auto"/>
        <w:jc w:val="both"/>
        <w:rPr>
          <w:rFonts w:eastAsia="MS Mincho" w:cs="Times"/>
          <w:szCs w:val="20"/>
          <w:lang w:val="es-ES"/>
        </w:rPr>
      </w:pPr>
      <w:r w:rsidRPr="00E42617">
        <w:rPr>
          <w:rFonts w:cs="Verdana"/>
          <w:color w:val="000000"/>
          <w:szCs w:val="20"/>
          <w:lang w:val="es-ES" w:eastAsia="es-ES"/>
        </w:rPr>
        <w:t xml:space="preserve">Informar a </w:t>
      </w:r>
      <w:r w:rsidR="006D0424" w:rsidRPr="00E42617">
        <w:rPr>
          <w:color w:val="000000"/>
          <w:szCs w:val="20"/>
          <w:lang w:val="es-ES" w:eastAsia="es-ES"/>
        </w:rPr>
        <w:t>la</w:t>
      </w:r>
      <w:r w:rsidRPr="00E42617">
        <w:rPr>
          <w:color w:val="000000"/>
          <w:szCs w:val="20"/>
          <w:lang w:val="es-ES" w:eastAsia="es-ES"/>
        </w:rPr>
        <w:t xml:space="preserve">s </w:t>
      </w:r>
      <w:r w:rsidRPr="00E42617">
        <w:rPr>
          <w:rFonts w:eastAsia="MS Mincho" w:cs="Times"/>
          <w:color w:val="000000"/>
          <w:szCs w:val="20"/>
          <w:lang w:val="es-ES" w:eastAsia="es-ES"/>
        </w:rPr>
        <w:t>representantes</w:t>
      </w:r>
      <w:r w:rsidRPr="00E42617">
        <w:rPr>
          <w:color w:val="000000"/>
          <w:szCs w:val="20"/>
          <w:lang w:val="es-ES" w:eastAsia="es-ES"/>
        </w:rPr>
        <w:t xml:space="preserve">, </w:t>
      </w:r>
      <w:r w:rsidRPr="00E42617">
        <w:rPr>
          <w:rFonts w:cs="Verdana"/>
          <w:color w:val="000000"/>
          <w:szCs w:val="20"/>
          <w:lang w:val="es-ES" w:eastAsia="es-ES"/>
        </w:rPr>
        <w:t xml:space="preserve">al Estado y a la Comisión Interamericana que, luego de las declaraciones rendidas en la audiencia pública, podrán presentar ante el Tribunal sus alegatos finales orales y observaciones finales orales, respectivamente, sobre </w:t>
      </w:r>
      <w:r w:rsidR="00093787" w:rsidRPr="00E42617">
        <w:rPr>
          <w:rFonts w:cs="Verdana"/>
          <w:color w:val="000000"/>
          <w:szCs w:val="20"/>
          <w:lang w:val="es-ES" w:eastAsia="es-ES"/>
        </w:rPr>
        <w:t xml:space="preserve">las </w:t>
      </w:r>
      <w:r w:rsidRPr="00E42617">
        <w:rPr>
          <w:rFonts w:cs="Verdana"/>
          <w:color w:val="000000"/>
          <w:szCs w:val="20"/>
          <w:lang w:val="es-ES" w:eastAsia="es-ES"/>
        </w:rPr>
        <w:t>excepci</w:t>
      </w:r>
      <w:r w:rsidR="002C3E0D" w:rsidRPr="00E42617">
        <w:rPr>
          <w:rFonts w:cs="Verdana"/>
          <w:color w:val="000000"/>
          <w:szCs w:val="20"/>
          <w:lang w:val="es-ES" w:eastAsia="es-ES"/>
        </w:rPr>
        <w:t>ones</w:t>
      </w:r>
      <w:r w:rsidRPr="00E42617">
        <w:rPr>
          <w:rFonts w:cs="Verdana"/>
          <w:color w:val="000000"/>
          <w:szCs w:val="20"/>
          <w:lang w:val="es-ES" w:eastAsia="es-ES"/>
        </w:rPr>
        <w:t xml:space="preserve"> preliminar</w:t>
      </w:r>
      <w:r w:rsidR="002C3E0D" w:rsidRPr="00E42617">
        <w:rPr>
          <w:rFonts w:cs="Verdana"/>
          <w:color w:val="000000"/>
          <w:szCs w:val="20"/>
          <w:lang w:val="es-ES" w:eastAsia="es-ES"/>
        </w:rPr>
        <w:t>es</w:t>
      </w:r>
      <w:r w:rsidRPr="00E42617">
        <w:rPr>
          <w:rFonts w:cs="Verdana"/>
          <w:color w:val="000000"/>
          <w:szCs w:val="20"/>
          <w:lang w:val="es-ES" w:eastAsia="es-ES"/>
        </w:rPr>
        <w:t xml:space="preserve"> y eventuales fondo, reparaciones y costas en el presente caso. </w:t>
      </w:r>
    </w:p>
    <w:p w:rsidR="005C0291" w:rsidRPr="00E42617" w:rsidRDefault="005C0291" w:rsidP="005C0291">
      <w:pPr>
        <w:pStyle w:val="ListParagraph"/>
        <w:numPr>
          <w:ilvl w:val="0"/>
          <w:numId w:val="0"/>
        </w:numPr>
        <w:rPr>
          <w:color w:val="000000"/>
          <w:lang w:val="es-ES" w:eastAsia="es-ES"/>
        </w:rPr>
      </w:pPr>
    </w:p>
    <w:p w:rsidR="005C0291" w:rsidRPr="00E42617" w:rsidRDefault="005C0291" w:rsidP="005C0291">
      <w:pPr>
        <w:numPr>
          <w:ilvl w:val="0"/>
          <w:numId w:val="6"/>
        </w:numPr>
        <w:tabs>
          <w:tab w:val="left" w:pos="567"/>
        </w:tabs>
        <w:spacing w:after="0" w:line="240" w:lineRule="auto"/>
        <w:jc w:val="both"/>
        <w:rPr>
          <w:rFonts w:eastAsia="MS Mincho" w:cs="Times"/>
          <w:szCs w:val="20"/>
          <w:lang w:val="es-ES"/>
        </w:rPr>
      </w:pPr>
      <w:r w:rsidRPr="00E42617">
        <w:rPr>
          <w:rFonts w:cs="Verdana"/>
          <w:color w:val="000000"/>
          <w:szCs w:val="20"/>
          <w:lang w:val="es-ES" w:eastAsia="es-ES"/>
        </w:rPr>
        <w:t xml:space="preserve">Disponer que la Secretaría de la Corte, de conformidad con lo dispuesto en el artículo 55.3 del Reglamento, indique a </w:t>
      </w:r>
      <w:r w:rsidR="006D0424" w:rsidRPr="00E42617">
        <w:rPr>
          <w:rFonts w:cs="Verdana"/>
          <w:color w:val="000000"/>
          <w:szCs w:val="20"/>
          <w:lang w:val="es-ES" w:eastAsia="es-ES"/>
        </w:rPr>
        <w:t>la Comisión Interamericana, a la</w:t>
      </w:r>
      <w:r w:rsidRPr="00E42617">
        <w:rPr>
          <w:rFonts w:cs="Verdana"/>
          <w:color w:val="000000"/>
          <w:szCs w:val="20"/>
          <w:lang w:val="es-ES" w:eastAsia="es-ES"/>
        </w:rPr>
        <w:t xml:space="preserve">s </w:t>
      </w:r>
      <w:r w:rsidRPr="00E42617">
        <w:rPr>
          <w:rFonts w:eastAsia="MS Mincho" w:cs="Times"/>
          <w:color w:val="000000"/>
          <w:szCs w:val="20"/>
          <w:lang w:val="es-ES" w:eastAsia="es-ES"/>
        </w:rPr>
        <w:t>representantes</w:t>
      </w:r>
      <w:r w:rsidRPr="00E42617">
        <w:rPr>
          <w:rFonts w:cs="Verdana"/>
          <w:color w:val="000000"/>
          <w:szCs w:val="20"/>
          <w:lang w:val="es-ES" w:eastAsia="es-ES"/>
        </w:rPr>
        <w:t xml:space="preserve"> y al Estado el enlace donde se encontrará disponible la grabación de la audiencia pública, a la brevedad posible luego de la celebración de la referida audiencia.</w:t>
      </w:r>
      <w:r w:rsidR="00892AB8" w:rsidRPr="00E42617" w:rsidDel="00892AB8">
        <w:rPr>
          <w:rFonts w:cs="Verdana"/>
          <w:color w:val="000000"/>
          <w:szCs w:val="20"/>
          <w:lang w:val="es-ES" w:eastAsia="es-ES"/>
        </w:rPr>
        <w:t xml:space="preserve"> </w:t>
      </w:r>
    </w:p>
    <w:p w:rsidR="005C0291" w:rsidRPr="00E42617" w:rsidRDefault="005C0291" w:rsidP="00A80ECB">
      <w:pPr>
        <w:tabs>
          <w:tab w:val="left" w:pos="567"/>
        </w:tabs>
        <w:spacing w:after="0" w:line="240" w:lineRule="auto"/>
        <w:jc w:val="both"/>
        <w:rPr>
          <w:color w:val="000000"/>
          <w:lang w:val="es-ES" w:eastAsia="es-ES"/>
        </w:rPr>
      </w:pPr>
    </w:p>
    <w:p w:rsidR="005C0291" w:rsidRPr="00E42617" w:rsidRDefault="005C0291" w:rsidP="005C0291">
      <w:pPr>
        <w:numPr>
          <w:ilvl w:val="0"/>
          <w:numId w:val="6"/>
        </w:numPr>
        <w:tabs>
          <w:tab w:val="left" w:pos="567"/>
        </w:tabs>
        <w:spacing w:after="0" w:line="240" w:lineRule="auto"/>
        <w:jc w:val="both"/>
        <w:rPr>
          <w:rFonts w:eastAsia="MS Mincho" w:cs="Times"/>
          <w:szCs w:val="20"/>
          <w:lang w:val="es-ES"/>
        </w:rPr>
      </w:pPr>
      <w:r w:rsidRPr="00E42617">
        <w:rPr>
          <w:rFonts w:cs="Verdana"/>
          <w:color w:val="000000"/>
          <w:szCs w:val="20"/>
          <w:lang w:val="es-ES" w:eastAsia="es-ES"/>
        </w:rPr>
        <w:t xml:space="preserve">Informar a </w:t>
      </w:r>
      <w:r w:rsidRPr="00E42617">
        <w:rPr>
          <w:color w:val="000000"/>
          <w:szCs w:val="20"/>
          <w:lang w:val="es-ES" w:eastAsia="es-ES"/>
        </w:rPr>
        <w:t>l</w:t>
      </w:r>
      <w:r w:rsidR="006D0424" w:rsidRPr="00E42617">
        <w:rPr>
          <w:color w:val="000000"/>
          <w:szCs w:val="20"/>
          <w:lang w:val="es-ES" w:eastAsia="es-ES"/>
        </w:rPr>
        <w:t>a</w:t>
      </w:r>
      <w:r w:rsidRPr="00E42617">
        <w:rPr>
          <w:color w:val="000000"/>
          <w:szCs w:val="20"/>
          <w:lang w:val="es-ES" w:eastAsia="es-ES"/>
        </w:rPr>
        <w:t xml:space="preserve">s </w:t>
      </w:r>
      <w:r w:rsidRPr="00E42617">
        <w:rPr>
          <w:rFonts w:eastAsia="MS Mincho" w:cs="Times"/>
          <w:color w:val="000000"/>
          <w:szCs w:val="20"/>
          <w:lang w:val="es-ES" w:eastAsia="es-ES"/>
        </w:rPr>
        <w:t>representantes</w:t>
      </w:r>
      <w:r w:rsidRPr="00E42617">
        <w:rPr>
          <w:color w:val="000000"/>
          <w:szCs w:val="20"/>
          <w:lang w:val="es-ES" w:eastAsia="es-ES"/>
        </w:rPr>
        <w:t xml:space="preserve">, </w:t>
      </w:r>
      <w:r w:rsidRPr="00E42617">
        <w:rPr>
          <w:rFonts w:cs="Verdana"/>
          <w:color w:val="000000"/>
          <w:szCs w:val="20"/>
          <w:lang w:val="es-ES" w:eastAsia="es-ES"/>
        </w:rPr>
        <w:t>al Estado y a la Comisión Interamericana que, en los términos d</w:t>
      </w:r>
      <w:r w:rsidRPr="00E42617">
        <w:rPr>
          <w:color w:val="000000"/>
          <w:lang w:val="es-ES" w:eastAsia="es-ES"/>
        </w:rPr>
        <w:t>el artículo 56 del Reglamento,</w:t>
      </w:r>
      <w:r w:rsidRPr="00E42617">
        <w:rPr>
          <w:rFonts w:cs="Verdana"/>
          <w:color w:val="000000"/>
          <w:szCs w:val="20"/>
          <w:lang w:val="es-ES" w:eastAsia="es-ES"/>
        </w:rPr>
        <w:t xml:space="preserve"> cuentan con un plazo hasta el </w:t>
      </w:r>
      <w:r w:rsidR="005B4BD0" w:rsidRPr="00E42617">
        <w:rPr>
          <w:rFonts w:cs="Verdana"/>
          <w:color w:val="000000"/>
          <w:szCs w:val="20"/>
          <w:lang w:val="es-ES" w:eastAsia="es-ES"/>
        </w:rPr>
        <w:t>20</w:t>
      </w:r>
      <w:r w:rsidR="00071CB9" w:rsidRPr="00E42617">
        <w:rPr>
          <w:rFonts w:cs="Verdana"/>
          <w:color w:val="000000"/>
          <w:szCs w:val="20"/>
          <w:lang w:val="es-ES" w:eastAsia="es-ES"/>
        </w:rPr>
        <w:t xml:space="preserve"> de noviembre</w:t>
      </w:r>
      <w:r w:rsidR="002C3E0D" w:rsidRPr="00E42617">
        <w:rPr>
          <w:rFonts w:cs="Verdana"/>
          <w:color w:val="000000"/>
          <w:szCs w:val="20"/>
          <w:lang w:val="es-ES" w:eastAsia="es-ES"/>
        </w:rPr>
        <w:t xml:space="preserve"> </w:t>
      </w:r>
      <w:r w:rsidRPr="00E42617">
        <w:rPr>
          <w:rFonts w:cs="Verdana"/>
          <w:color w:val="000000"/>
          <w:szCs w:val="20"/>
          <w:lang w:val="es-ES" w:eastAsia="es-ES"/>
        </w:rPr>
        <w:t xml:space="preserve">de 2017 para presentar sus alegatos finales escritos y observaciones finales escritas, respectivamente, en relación con </w:t>
      </w:r>
      <w:r w:rsidR="002C3E0D" w:rsidRPr="00E42617">
        <w:rPr>
          <w:rFonts w:cs="Verdana"/>
          <w:color w:val="000000"/>
          <w:szCs w:val="20"/>
          <w:lang w:val="es-ES" w:eastAsia="es-ES"/>
        </w:rPr>
        <w:t xml:space="preserve">las excepciones preliminares y </w:t>
      </w:r>
      <w:r w:rsidRPr="00E42617">
        <w:rPr>
          <w:rFonts w:cs="Verdana"/>
          <w:color w:val="000000"/>
          <w:szCs w:val="20"/>
          <w:lang w:val="es-ES" w:eastAsia="es-ES"/>
        </w:rPr>
        <w:t>eventuales fondo, reparaciones y costas en el presente caso. Este plazo es improrrogable e independiente de la puesta a disposición de las partes de la gra</w:t>
      </w:r>
      <w:r w:rsidR="005B4BD0" w:rsidRPr="00E42617">
        <w:rPr>
          <w:rFonts w:cs="Verdana"/>
          <w:color w:val="000000"/>
          <w:szCs w:val="20"/>
          <w:lang w:val="es-ES" w:eastAsia="es-ES"/>
        </w:rPr>
        <w:t>bación de la audiencia pública.</w:t>
      </w:r>
    </w:p>
    <w:p w:rsidR="005C0291" w:rsidRPr="00E42617" w:rsidRDefault="005C0291" w:rsidP="005C0291">
      <w:pPr>
        <w:tabs>
          <w:tab w:val="left" w:pos="567"/>
        </w:tabs>
        <w:spacing w:after="0" w:line="240" w:lineRule="auto"/>
        <w:jc w:val="both"/>
        <w:rPr>
          <w:rFonts w:eastAsia="MS Mincho" w:cs="Times"/>
          <w:szCs w:val="20"/>
          <w:lang w:val="es-ES"/>
        </w:rPr>
      </w:pPr>
    </w:p>
    <w:p w:rsidR="005C0291" w:rsidRPr="00E42617" w:rsidRDefault="005C0291" w:rsidP="005C0291">
      <w:pPr>
        <w:numPr>
          <w:ilvl w:val="0"/>
          <w:numId w:val="6"/>
        </w:numPr>
        <w:tabs>
          <w:tab w:val="left" w:pos="567"/>
        </w:tabs>
        <w:spacing w:after="0" w:line="240" w:lineRule="auto"/>
        <w:jc w:val="both"/>
        <w:rPr>
          <w:rFonts w:eastAsia="MS Mincho" w:cs="Times"/>
          <w:szCs w:val="20"/>
          <w:lang w:val="es-ES"/>
        </w:rPr>
      </w:pPr>
      <w:r w:rsidRPr="00E42617">
        <w:rPr>
          <w:lang w:val="es-ES"/>
        </w:rPr>
        <w:t xml:space="preserve">Declarar procedente la aplicación del Fondo de Asistencia Legal de Víctimas de la Corte Interamericana en los términos dispuestos en los párrafos considerativos </w:t>
      </w:r>
      <w:r w:rsidR="00006B9A">
        <w:rPr>
          <w:lang w:val="es-ES"/>
        </w:rPr>
        <w:t>41</w:t>
      </w:r>
      <w:r w:rsidR="00071CB9" w:rsidRPr="00E42617">
        <w:rPr>
          <w:lang w:val="es-ES"/>
        </w:rPr>
        <w:t xml:space="preserve"> a 4</w:t>
      </w:r>
      <w:r w:rsidR="00006B9A">
        <w:rPr>
          <w:lang w:val="es-ES"/>
        </w:rPr>
        <w:t>6</w:t>
      </w:r>
      <w:r w:rsidRPr="00E42617">
        <w:rPr>
          <w:lang w:val="es-ES"/>
        </w:rPr>
        <w:t xml:space="preserve"> de esta Resolución.</w:t>
      </w:r>
    </w:p>
    <w:p w:rsidR="005C0291" w:rsidRPr="00E42617" w:rsidRDefault="005C0291" w:rsidP="005C0291">
      <w:pPr>
        <w:pStyle w:val="ListParagraph"/>
        <w:numPr>
          <w:ilvl w:val="0"/>
          <w:numId w:val="0"/>
        </w:numPr>
        <w:rPr>
          <w:color w:val="000000"/>
          <w:lang w:val="es-ES" w:eastAsia="es-ES"/>
        </w:rPr>
      </w:pPr>
    </w:p>
    <w:p w:rsidR="005C0291" w:rsidRPr="00E42617" w:rsidRDefault="005C0291" w:rsidP="005C0291">
      <w:pPr>
        <w:numPr>
          <w:ilvl w:val="0"/>
          <w:numId w:val="6"/>
        </w:numPr>
        <w:tabs>
          <w:tab w:val="left" w:pos="567"/>
        </w:tabs>
        <w:spacing w:after="0" w:line="240" w:lineRule="auto"/>
        <w:jc w:val="both"/>
        <w:rPr>
          <w:rFonts w:eastAsia="MS Mincho" w:cs="Times"/>
          <w:szCs w:val="20"/>
          <w:lang w:val="es-ES"/>
        </w:rPr>
      </w:pPr>
      <w:r w:rsidRPr="00E42617">
        <w:rPr>
          <w:lang w:val="es-ES"/>
        </w:rPr>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p>
    <w:p w:rsidR="005C0291" w:rsidRPr="00E42617" w:rsidRDefault="005C0291" w:rsidP="005C0291">
      <w:pPr>
        <w:pStyle w:val="ListParagraph"/>
        <w:numPr>
          <w:ilvl w:val="0"/>
          <w:numId w:val="0"/>
        </w:numPr>
        <w:rPr>
          <w:color w:val="000000"/>
          <w:lang w:val="es-ES" w:eastAsia="es-ES"/>
        </w:rPr>
      </w:pPr>
    </w:p>
    <w:p w:rsidR="005C0291" w:rsidRPr="00E42617" w:rsidRDefault="005C0291" w:rsidP="005C0291">
      <w:pPr>
        <w:numPr>
          <w:ilvl w:val="0"/>
          <w:numId w:val="6"/>
        </w:numPr>
        <w:tabs>
          <w:tab w:val="left" w:pos="567"/>
        </w:tabs>
        <w:spacing w:after="0" w:line="240" w:lineRule="auto"/>
        <w:jc w:val="both"/>
        <w:rPr>
          <w:rFonts w:eastAsia="MS Mincho" w:cs="Times"/>
          <w:szCs w:val="20"/>
          <w:lang w:val="es-ES"/>
        </w:rPr>
      </w:pPr>
      <w:r w:rsidRPr="00E42617">
        <w:rPr>
          <w:rFonts w:cs="Verdana"/>
          <w:color w:val="000000"/>
          <w:szCs w:val="20"/>
          <w:lang w:val="es-ES" w:eastAsia="es-ES"/>
        </w:rPr>
        <w:lastRenderedPageBreak/>
        <w:t>Disponer que la Secretaría de la Corte Interamericana notifique la presente Resolución a la Comisión Interamericana, a l</w:t>
      </w:r>
      <w:r w:rsidR="00B9420D" w:rsidRPr="00E42617">
        <w:rPr>
          <w:rFonts w:cs="Verdana"/>
          <w:color w:val="000000"/>
          <w:szCs w:val="20"/>
          <w:lang w:val="es-ES" w:eastAsia="es-ES"/>
        </w:rPr>
        <w:t>a</w:t>
      </w:r>
      <w:r w:rsidRPr="00E42617">
        <w:rPr>
          <w:rFonts w:cs="Verdana"/>
          <w:color w:val="000000"/>
          <w:szCs w:val="20"/>
          <w:lang w:val="es-ES" w:eastAsia="es-ES"/>
        </w:rPr>
        <w:t xml:space="preserve">s </w:t>
      </w:r>
      <w:r w:rsidRPr="00E42617">
        <w:rPr>
          <w:rFonts w:eastAsia="MS Mincho" w:cs="Times"/>
          <w:color w:val="000000"/>
          <w:szCs w:val="20"/>
          <w:lang w:val="es-ES" w:eastAsia="es-ES"/>
        </w:rPr>
        <w:t xml:space="preserve">representantes </w:t>
      </w:r>
      <w:r w:rsidRPr="00E42617">
        <w:rPr>
          <w:rFonts w:cs="Verdana"/>
          <w:color w:val="000000"/>
          <w:szCs w:val="20"/>
          <w:lang w:val="es-ES" w:eastAsia="es-ES"/>
        </w:rPr>
        <w:t xml:space="preserve">y al Estado. </w:t>
      </w:r>
    </w:p>
    <w:p w:rsidR="005C0291" w:rsidRPr="00E42617" w:rsidRDefault="005C0291" w:rsidP="005C0291">
      <w:pPr>
        <w:tabs>
          <w:tab w:val="left" w:pos="567"/>
        </w:tabs>
        <w:spacing w:after="0" w:line="240" w:lineRule="auto"/>
        <w:jc w:val="both"/>
        <w:rPr>
          <w:szCs w:val="20"/>
          <w:lang w:val="es-ES"/>
        </w:rPr>
      </w:pPr>
    </w:p>
    <w:p w:rsidR="005C0291" w:rsidRPr="00E42617" w:rsidRDefault="005C0291" w:rsidP="005C0291">
      <w:pPr>
        <w:tabs>
          <w:tab w:val="left" w:pos="567"/>
        </w:tabs>
        <w:spacing w:after="0" w:line="240" w:lineRule="auto"/>
        <w:jc w:val="both"/>
        <w:rPr>
          <w:rFonts w:cs="Verdana"/>
          <w:bCs/>
          <w:szCs w:val="20"/>
          <w:lang w:val="es-ES"/>
        </w:rPr>
      </w:pPr>
      <w:r w:rsidRPr="00E42617">
        <w:rPr>
          <w:rFonts w:cs="Verdana"/>
          <w:bCs/>
          <w:szCs w:val="20"/>
          <w:lang w:val="es-ES"/>
        </w:rPr>
        <w:t xml:space="preserve">Resolución del Presidente de la Corte Interamericana de Derechos Humanos. Caso </w:t>
      </w:r>
      <w:r w:rsidR="002C3E0D" w:rsidRPr="00E42617">
        <w:rPr>
          <w:lang w:val="es-ES"/>
        </w:rPr>
        <w:t xml:space="preserve">V.R.P. y V.P.C. </w:t>
      </w:r>
      <w:r w:rsidRPr="00E42617">
        <w:rPr>
          <w:rFonts w:cs="Verdana"/>
          <w:bCs/>
          <w:szCs w:val="20"/>
          <w:lang w:val="es-ES"/>
        </w:rPr>
        <w:t xml:space="preserve">Vs. </w:t>
      </w:r>
      <w:r w:rsidR="00E82AE0" w:rsidRPr="00E42617">
        <w:rPr>
          <w:rFonts w:cs="Verdana"/>
          <w:bCs/>
          <w:szCs w:val="20"/>
          <w:lang w:val="es-ES"/>
        </w:rPr>
        <w:t>Nicaragua</w:t>
      </w:r>
      <w:r w:rsidRPr="00E42617">
        <w:rPr>
          <w:rFonts w:cs="Verdana"/>
          <w:bCs/>
          <w:szCs w:val="20"/>
          <w:lang w:val="es-ES"/>
        </w:rPr>
        <w:t>.</w:t>
      </w:r>
    </w:p>
    <w:p w:rsidR="005C0291" w:rsidRPr="00E42617" w:rsidRDefault="005C0291" w:rsidP="005C0291">
      <w:pPr>
        <w:tabs>
          <w:tab w:val="left" w:pos="567"/>
        </w:tabs>
        <w:spacing w:after="0" w:line="240" w:lineRule="auto"/>
        <w:jc w:val="both"/>
        <w:rPr>
          <w:rFonts w:cs="Verdana"/>
          <w:bCs/>
          <w:szCs w:val="20"/>
          <w:lang w:val="es-ES"/>
        </w:rPr>
      </w:pPr>
    </w:p>
    <w:p w:rsidR="005C0291" w:rsidRPr="00E21E2A" w:rsidRDefault="005C0291" w:rsidP="005C0291">
      <w:pPr>
        <w:tabs>
          <w:tab w:val="left" w:pos="567"/>
          <w:tab w:val="left" w:pos="6663"/>
        </w:tabs>
        <w:spacing w:after="0" w:line="240" w:lineRule="auto"/>
        <w:jc w:val="both"/>
        <w:rPr>
          <w:szCs w:val="20"/>
          <w:lang w:val="es-ES"/>
        </w:rPr>
      </w:pPr>
    </w:p>
    <w:p w:rsidR="005C0291" w:rsidRPr="00E42617" w:rsidRDefault="005C0291" w:rsidP="005C0291">
      <w:pPr>
        <w:tabs>
          <w:tab w:val="left" w:pos="567"/>
          <w:tab w:val="left" w:pos="6663"/>
        </w:tabs>
        <w:spacing w:after="0" w:line="240" w:lineRule="auto"/>
        <w:jc w:val="both"/>
        <w:rPr>
          <w:szCs w:val="20"/>
          <w:lang w:val="es-ES"/>
        </w:rPr>
      </w:pPr>
    </w:p>
    <w:p w:rsidR="005C0291" w:rsidRPr="00E42617" w:rsidRDefault="005C0291" w:rsidP="005C0291">
      <w:pPr>
        <w:tabs>
          <w:tab w:val="left" w:pos="567"/>
          <w:tab w:val="left" w:pos="6663"/>
        </w:tabs>
        <w:spacing w:after="0" w:line="240" w:lineRule="auto"/>
        <w:jc w:val="both"/>
        <w:rPr>
          <w:szCs w:val="20"/>
          <w:lang w:val="es-ES"/>
        </w:rPr>
      </w:pPr>
    </w:p>
    <w:p w:rsidR="005C0291" w:rsidRPr="00E42617" w:rsidRDefault="005C0291" w:rsidP="005C0291">
      <w:pPr>
        <w:tabs>
          <w:tab w:val="left" w:pos="567"/>
          <w:tab w:val="left" w:pos="6663"/>
        </w:tabs>
        <w:spacing w:after="0" w:line="240" w:lineRule="auto"/>
        <w:jc w:val="both"/>
        <w:rPr>
          <w:szCs w:val="20"/>
          <w:lang w:val="es-ES"/>
        </w:rPr>
      </w:pPr>
    </w:p>
    <w:p w:rsidR="005C0291" w:rsidRPr="00E42617" w:rsidRDefault="005C0291" w:rsidP="005C0291">
      <w:pPr>
        <w:tabs>
          <w:tab w:val="left" w:pos="567"/>
        </w:tabs>
        <w:spacing w:after="0" w:line="240" w:lineRule="auto"/>
        <w:ind w:left="4253"/>
        <w:jc w:val="center"/>
        <w:rPr>
          <w:szCs w:val="20"/>
          <w:lang w:val="es-ES"/>
        </w:rPr>
      </w:pPr>
      <w:r w:rsidRPr="00E42617">
        <w:rPr>
          <w:szCs w:val="20"/>
          <w:lang w:val="es-ES"/>
        </w:rPr>
        <w:t>Roberto F. Caldas</w:t>
      </w:r>
    </w:p>
    <w:p w:rsidR="005C0291" w:rsidRPr="00E42617" w:rsidRDefault="005C0291" w:rsidP="005C0291">
      <w:pPr>
        <w:tabs>
          <w:tab w:val="left" w:pos="567"/>
        </w:tabs>
        <w:spacing w:after="0" w:line="240" w:lineRule="auto"/>
        <w:ind w:left="4253"/>
        <w:jc w:val="center"/>
        <w:rPr>
          <w:szCs w:val="20"/>
          <w:lang w:val="es-ES"/>
        </w:rPr>
      </w:pPr>
      <w:r w:rsidRPr="00E42617">
        <w:rPr>
          <w:szCs w:val="20"/>
          <w:lang w:val="es-ES"/>
        </w:rPr>
        <w:t>Presidente</w:t>
      </w:r>
    </w:p>
    <w:p w:rsidR="005C0291" w:rsidRPr="00E42617" w:rsidRDefault="005C0291" w:rsidP="005C0291">
      <w:pPr>
        <w:tabs>
          <w:tab w:val="left" w:pos="567"/>
          <w:tab w:val="left" w:pos="2835"/>
        </w:tabs>
        <w:spacing w:after="0" w:line="240" w:lineRule="auto"/>
        <w:ind w:right="6003"/>
        <w:rPr>
          <w:szCs w:val="20"/>
          <w:lang w:val="es-ES"/>
        </w:rPr>
      </w:pPr>
    </w:p>
    <w:p w:rsidR="005C0291" w:rsidRPr="00E42617" w:rsidRDefault="005C0291" w:rsidP="005C0291">
      <w:pPr>
        <w:tabs>
          <w:tab w:val="left" w:pos="567"/>
          <w:tab w:val="left" w:pos="2835"/>
        </w:tabs>
        <w:spacing w:after="0" w:line="240" w:lineRule="auto"/>
        <w:ind w:right="6003"/>
        <w:rPr>
          <w:szCs w:val="20"/>
          <w:lang w:val="es-ES"/>
        </w:rPr>
      </w:pPr>
    </w:p>
    <w:p w:rsidR="005C0291" w:rsidRPr="00E42617" w:rsidRDefault="005C0291" w:rsidP="005C0291">
      <w:pPr>
        <w:tabs>
          <w:tab w:val="left" w:pos="567"/>
          <w:tab w:val="left" w:pos="2835"/>
        </w:tabs>
        <w:spacing w:after="0" w:line="240" w:lineRule="auto"/>
        <w:ind w:right="6003"/>
        <w:rPr>
          <w:szCs w:val="20"/>
          <w:lang w:val="es-ES"/>
        </w:rPr>
      </w:pPr>
    </w:p>
    <w:p w:rsidR="005C0291" w:rsidRPr="00E42617" w:rsidRDefault="005C0291" w:rsidP="005C0291">
      <w:pPr>
        <w:tabs>
          <w:tab w:val="left" w:pos="567"/>
          <w:tab w:val="left" w:pos="2835"/>
        </w:tabs>
        <w:spacing w:after="0" w:line="240" w:lineRule="auto"/>
        <w:ind w:right="6003"/>
        <w:rPr>
          <w:szCs w:val="20"/>
          <w:lang w:val="es-ES"/>
        </w:rPr>
      </w:pPr>
    </w:p>
    <w:p w:rsidR="005C0291" w:rsidRPr="00E42617" w:rsidRDefault="005C0291" w:rsidP="005C0291">
      <w:pPr>
        <w:tabs>
          <w:tab w:val="left" w:pos="567"/>
          <w:tab w:val="left" w:pos="2835"/>
        </w:tabs>
        <w:spacing w:after="0" w:line="240" w:lineRule="auto"/>
        <w:ind w:right="6003"/>
        <w:rPr>
          <w:szCs w:val="20"/>
          <w:lang w:val="es-ES"/>
        </w:rPr>
      </w:pPr>
      <w:r w:rsidRPr="00E42617">
        <w:rPr>
          <w:szCs w:val="20"/>
          <w:lang w:val="es-ES"/>
        </w:rPr>
        <w:t>Pablo Saavedra Alessandri</w:t>
      </w:r>
    </w:p>
    <w:p w:rsidR="005C0291" w:rsidRPr="00E42617" w:rsidRDefault="005C0291" w:rsidP="005C0291">
      <w:pPr>
        <w:tabs>
          <w:tab w:val="left" w:pos="567"/>
          <w:tab w:val="left" w:pos="2835"/>
        </w:tabs>
        <w:spacing w:after="0" w:line="240" w:lineRule="auto"/>
        <w:ind w:right="6003"/>
        <w:jc w:val="center"/>
        <w:rPr>
          <w:szCs w:val="20"/>
          <w:lang w:val="es-ES"/>
        </w:rPr>
      </w:pPr>
      <w:r w:rsidRPr="00E42617">
        <w:rPr>
          <w:szCs w:val="20"/>
          <w:lang w:val="es-ES"/>
        </w:rPr>
        <w:t>Secretario</w:t>
      </w:r>
    </w:p>
    <w:p w:rsidR="005C0291" w:rsidRPr="00E42617" w:rsidRDefault="005C0291" w:rsidP="005C0291">
      <w:pPr>
        <w:tabs>
          <w:tab w:val="left" w:pos="567"/>
        </w:tabs>
        <w:spacing w:after="0" w:line="240" w:lineRule="auto"/>
        <w:jc w:val="both"/>
        <w:rPr>
          <w:szCs w:val="20"/>
          <w:lang w:val="es-ES"/>
        </w:rPr>
      </w:pPr>
    </w:p>
    <w:p w:rsidR="005C0291" w:rsidRPr="00E42617" w:rsidRDefault="005C0291" w:rsidP="005C0291">
      <w:pPr>
        <w:tabs>
          <w:tab w:val="left" w:pos="567"/>
        </w:tabs>
        <w:spacing w:after="0" w:line="240" w:lineRule="auto"/>
        <w:jc w:val="both"/>
        <w:rPr>
          <w:szCs w:val="20"/>
          <w:lang w:val="es-ES"/>
        </w:rPr>
      </w:pPr>
    </w:p>
    <w:p w:rsidR="005C0291" w:rsidRDefault="005C0291" w:rsidP="005C0291">
      <w:pPr>
        <w:tabs>
          <w:tab w:val="left" w:pos="567"/>
        </w:tabs>
        <w:spacing w:after="0" w:line="240" w:lineRule="auto"/>
        <w:jc w:val="both"/>
        <w:rPr>
          <w:szCs w:val="20"/>
          <w:lang w:val="es-ES"/>
        </w:rPr>
      </w:pPr>
    </w:p>
    <w:p w:rsidR="004B3BC4" w:rsidRPr="00E42617" w:rsidRDefault="004B3BC4" w:rsidP="005C0291">
      <w:pPr>
        <w:tabs>
          <w:tab w:val="left" w:pos="567"/>
        </w:tabs>
        <w:spacing w:after="0" w:line="240" w:lineRule="auto"/>
        <w:jc w:val="both"/>
        <w:rPr>
          <w:szCs w:val="20"/>
          <w:lang w:val="es-ES"/>
        </w:rPr>
      </w:pPr>
    </w:p>
    <w:p w:rsidR="005C0291" w:rsidRPr="00E42617" w:rsidRDefault="005C0291" w:rsidP="005C0291">
      <w:pPr>
        <w:tabs>
          <w:tab w:val="left" w:pos="567"/>
        </w:tabs>
        <w:spacing w:after="0" w:line="240" w:lineRule="auto"/>
        <w:jc w:val="both"/>
        <w:rPr>
          <w:szCs w:val="20"/>
          <w:lang w:val="es-ES" w:eastAsia="es-CR"/>
        </w:rPr>
      </w:pPr>
      <w:r w:rsidRPr="00E42617">
        <w:rPr>
          <w:szCs w:val="20"/>
          <w:lang w:val="es-ES"/>
        </w:rPr>
        <w:t>Comuníquese y ejecútese,</w:t>
      </w:r>
      <w:r w:rsidRPr="00E42617">
        <w:rPr>
          <w:szCs w:val="20"/>
          <w:lang w:val="es-ES" w:eastAsia="es-CR"/>
        </w:rPr>
        <w:t xml:space="preserve"> </w:t>
      </w:r>
    </w:p>
    <w:p w:rsidR="005C0291" w:rsidRPr="00E42617" w:rsidRDefault="005C0291" w:rsidP="005C0291">
      <w:pPr>
        <w:tabs>
          <w:tab w:val="left" w:pos="567"/>
        </w:tabs>
        <w:spacing w:after="0" w:line="240" w:lineRule="auto"/>
        <w:jc w:val="both"/>
        <w:rPr>
          <w:szCs w:val="20"/>
          <w:lang w:val="es-ES" w:eastAsia="es-CR"/>
        </w:rPr>
      </w:pPr>
    </w:p>
    <w:p w:rsidR="005C0291" w:rsidRPr="00E42617" w:rsidRDefault="005C0291" w:rsidP="005C0291">
      <w:pPr>
        <w:tabs>
          <w:tab w:val="left" w:pos="567"/>
        </w:tabs>
        <w:spacing w:after="0" w:line="240" w:lineRule="auto"/>
        <w:jc w:val="both"/>
        <w:rPr>
          <w:szCs w:val="20"/>
          <w:lang w:val="es-ES"/>
        </w:rPr>
      </w:pPr>
    </w:p>
    <w:p w:rsidR="005C0291" w:rsidRPr="00E42617" w:rsidRDefault="005C0291" w:rsidP="005C0291">
      <w:pPr>
        <w:tabs>
          <w:tab w:val="left" w:pos="567"/>
        </w:tabs>
        <w:spacing w:after="0" w:line="240" w:lineRule="auto"/>
        <w:jc w:val="both"/>
        <w:rPr>
          <w:szCs w:val="20"/>
          <w:lang w:val="es-ES"/>
        </w:rPr>
      </w:pPr>
    </w:p>
    <w:p w:rsidR="005C0291" w:rsidRPr="00E42617" w:rsidRDefault="005C0291" w:rsidP="005C0291">
      <w:pPr>
        <w:tabs>
          <w:tab w:val="left" w:pos="567"/>
        </w:tabs>
        <w:spacing w:after="0" w:line="240" w:lineRule="auto"/>
        <w:ind w:left="4536"/>
        <w:jc w:val="center"/>
        <w:rPr>
          <w:szCs w:val="20"/>
          <w:lang w:val="es-ES"/>
        </w:rPr>
      </w:pPr>
    </w:p>
    <w:p w:rsidR="005C0291" w:rsidRPr="00E42617" w:rsidRDefault="005C0291" w:rsidP="005C0291">
      <w:pPr>
        <w:tabs>
          <w:tab w:val="left" w:pos="567"/>
        </w:tabs>
        <w:spacing w:after="0" w:line="240" w:lineRule="auto"/>
        <w:ind w:left="4536"/>
        <w:jc w:val="center"/>
        <w:rPr>
          <w:szCs w:val="20"/>
          <w:lang w:val="es-ES"/>
        </w:rPr>
      </w:pPr>
    </w:p>
    <w:p w:rsidR="005C0291" w:rsidRPr="00E42617" w:rsidRDefault="005C0291" w:rsidP="005C0291">
      <w:pPr>
        <w:tabs>
          <w:tab w:val="left" w:pos="567"/>
        </w:tabs>
        <w:spacing w:after="0" w:line="240" w:lineRule="auto"/>
        <w:ind w:left="4536"/>
        <w:jc w:val="center"/>
        <w:rPr>
          <w:szCs w:val="20"/>
          <w:lang w:val="es-ES"/>
        </w:rPr>
      </w:pPr>
      <w:r w:rsidRPr="00E42617">
        <w:rPr>
          <w:szCs w:val="20"/>
          <w:lang w:val="es-ES"/>
        </w:rPr>
        <w:t>Roberto F. Caldas</w:t>
      </w:r>
    </w:p>
    <w:p w:rsidR="005C0291" w:rsidRPr="00E42617" w:rsidRDefault="005C0291" w:rsidP="005C0291">
      <w:pPr>
        <w:tabs>
          <w:tab w:val="left" w:pos="567"/>
        </w:tabs>
        <w:spacing w:after="0" w:line="240" w:lineRule="auto"/>
        <w:ind w:left="4536"/>
        <w:jc w:val="center"/>
        <w:rPr>
          <w:szCs w:val="20"/>
          <w:lang w:val="es-ES"/>
        </w:rPr>
      </w:pPr>
      <w:r w:rsidRPr="00E42617">
        <w:rPr>
          <w:szCs w:val="20"/>
          <w:lang w:val="es-ES"/>
        </w:rPr>
        <w:t>Presidente</w:t>
      </w:r>
    </w:p>
    <w:p w:rsidR="005C0291" w:rsidRDefault="005C0291" w:rsidP="005C0291">
      <w:pPr>
        <w:tabs>
          <w:tab w:val="left" w:pos="567"/>
        </w:tabs>
        <w:spacing w:after="0" w:line="240" w:lineRule="auto"/>
        <w:ind w:right="6003"/>
        <w:rPr>
          <w:szCs w:val="20"/>
          <w:lang w:val="es-ES"/>
        </w:rPr>
      </w:pPr>
    </w:p>
    <w:p w:rsidR="004B3BC4" w:rsidRDefault="004B3BC4" w:rsidP="005C0291">
      <w:pPr>
        <w:tabs>
          <w:tab w:val="left" w:pos="567"/>
        </w:tabs>
        <w:spacing w:after="0" w:line="240" w:lineRule="auto"/>
        <w:ind w:right="6003"/>
        <w:rPr>
          <w:szCs w:val="20"/>
          <w:lang w:val="es-ES"/>
        </w:rPr>
      </w:pPr>
    </w:p>
    <w:p w:rsidR="004B3BC4" w:rsidRPr="00E42617" w:rsidRDefault="004B3BC4" w:rsidP="005C0291">
      <w:pPr>
        <w:tabs>
          <w:tab w:val="left" w:pos="567"/>
        </w:tabs>
        <w:spacing w:after="0" w:line="240" w:lineRule="auto"/>
        <w:ind w:right="6003"/>
        <w:rPr>
          <w:szCs w:val="20"/>
          <w:lang w:val="es-ES"/>
        </w:rPr>
      </w:pPr>
    </w:p>
    <w:p w:rsidR="005C0291" w:rsidRPr="00E42617" w:rsidRDefault="005C0291" w:rsidP="005C0291">
      <w:pPr>
        <w:tabs>
          <w:tab w:val="left" w:pos="567"/>
        </w:tabs>
        <w:spacing w:after="0" w:line="240" w:lineRule="auto"/>
        <w:ind w:right="6003"/>
        <w:rPr>
          <w:szCs w:val="20"/>
          <w:lang w:val="es-ES"/>
        </w:rPr>
      </w:pPr>
    </w:p>
    <w:p w:rsidR="005C0291" w:rsidRPr="00E42617" w:rsidRDefault="005C0291" w:rsidP="005C0291">
      <w:pPr>
        <w:tabs>
          <w:tab w:val="left" w:pos="567"/>
        </w:tabs>
        <w:spacing w:after="0" w:line="240" w:lineRule="auto"/>
        <w:ind w:right="6003"/>
        <w:rPr>
          <w:szCs w:val="20"/>
          <w:lang w:val="es-ES"/>
        </w:rPr>
      </w:pPr>
      <w:r w:rsidRPr="00E42617">
        <w:rPr>
          <w:szCs w:val="20"/>
          <w:lang w:val="es-ES"/>
        </w:rPr>
        <w:t>Pablo Saavedra Alessandri</w:t>
      </w:r>
    </w:p>
    <w:p w:rsidR="00584DD4" w:rsidRPr="00E42617" w:rsidRDefault="005C0291" w:rsidP="008D3FFE">
      <w:pPr>
        <w:tabs>
          <w:tab w:val="left" w:pos="567"/>
        </w:tabs>
        <w:spacing w:after="0" w:line="240" w:lineRule="auto"/>
        <w:ind w:right="6003"/>
        <w:jc w:val="center"/>
        <w:rPr>
          <w:szCs w:val="20"/>
          <w:lang w:val="es-ES"/>
        </w:rPr>
      </w:pPr>
      <w:r w:rsidRPr="00E42617">
        <w:rPr>
          <w:szCs w:val="20"/>
          <w:lang w:val="es-ES"/>
        </w:rPr>
        <w:t>Secretario</w:t>
      </w:r>
    </w:p>
    <w:sectPr w:rsidR="00584DD4" w:rsidRPr="00E42617" w:rsidSect="0064494C">
      <w:headerReference w:type="default" r:id="rId9"/>
      <w:headerReference w:type="firs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33" w:rsidRDefault="00576F33" w:rsidP="005C0291">
      <w:pPr>
        <w:spacing w:after="0" w:line="240" w:lineRule="auto"/>
      </w:pPr>
      <w:r>
        <w:separator/>
      </w:r>
    </w:p>
  </w:endnote>
  <w:endnote w:type="continuationSeparator" w:id="0">
    <w:p w:rsidR="00576F33" w:rsidRDefault="00576F33" w:rsidP="005C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16mgvxmdgcg">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43qwfywpfoz,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33" w:rsidRDefault="00576F33" w:rsidP="005C0291">
      <w:pPr>
        <w:spacing w:after="0" w:line="240" w:lineRule="auto"/>
      </w:pPr>
      <w:r>
        <w:separator/>
      </w:r>
    </w:p>
  </w:footnote>
  <w:footnote w:type="continuationSeparator" w:id="0">
    <w:p w:rsidR="00576F33" w:rsidRDefault="00576F33" w:rsidP="005C0291">
      <w:pPr>
        <w:spacing w:after="0" w:line="240" w:lineRule="auto"/>
      </w:pPr>
      <w:r>
        <w:continuationSeparator/>
      </w:r>
    </w:p>
  </w:footnote>
  <w:footnote w:id="1">
    <w:p w:rsidR="00DD7516" w:rsidRPr="00CB2351" w:rsidRDefault="00DD7516" w:rsidP="00E30DBC">
      <w:pPr>
        <w:pStyle w:val="FootnoteText"/>
        <w:spacing w:before="0" w:after="0"/>
      </w:pPr>
      <w:r w:rsidRPr="00CB2351">
        <w:rPr>
          <w:rStyle w:val="FootnoteReference"/>
          <w:b/>
        </w:rPr>
        <w:t>*</w:t>
      </w:r>
      <w:r w:rsidRPr="00CB2351">
        <w:t xml:space="preserve"> </w:t>
      </w:r>
      <w:r w:rsidRPr="00CB2351">
        <w:tab/>
      </w:r>
      <w:r w:rsidR="003A2F6A">
        <w:t>E</w:t>
      </w:r>
      <w:r w:rsidRPr="005F5B2E">
        <w:t>n</w:t>
      </w:r>
      <w:r w:rsidR="005F5B2E" w:rsidRPr="005F5B2E">
        <w:t xml:space="preserve"> su Informe de Admisibilidad No. 3/09,</w:t>
      </w:r>
      <w:r w:rsidR="003A2F6A">
        <w:t xml:space="preserve"> la Comisión indicó que, </w:t>
      </w:r>
      <w:r w:rsidR="005F5B2E" w:rsidRPr="005F5B2E">
        <w:t>“</w:t>
      </w:r>
      <w:r w:rsidR="00022165">
        <w:t>[</w:t>
      </w:r>
      <w:r w:rsidR="005F5B2E" w:rsidRPr="005F5B2E">
        <w:t>a</w:t>
      </w:r>
      <w:r w:rsidR="00022165">
        <w:t>]</w:t>
      </w:r>
      <w:r w:rsidR="005F5B2E" w:rsidRPr="005F5B2E">
        <w:t xml:space="preserve"> pesar de no haber sido solicitado explícitamente por la peticionaria, la [Comisión] reserv[ó] la identidad de la presunta víctima, por ser ésta menor de 18 años [en el momento de la ocurrencia de los hechos] y por tratarse de un caso de una presunta violación sexual”. En este sentido, la Corte considera pertinente </w:t>
      </w:r>
      <w:r w:rsidRPr="005F5B2E">
        <w:t xml:space="preserve">mantener en reserva </w:t>
      </w:r>
      <w:r w:rsidR="005F5B2E" w:rsidRPr="005F5B2E">
        <w:t>los</w:t>
      </w:r>
      <w:r w:rsidRPr="005F5B2E">
        <w:t xml:space="preserve"> nombres de las presuntas víctimas, </w:t>
      </w:r>
      <w:r w:rsidR="005F5B2E" w:rsidRPr="005F5B2E">
        <w:t>por lo que</w:t>
      </w:r>
      <w:r w:rsidRPr="005F5B2E">
        <w:t xml:space="preserve"> utilizará las siglas “V.R.P</w:t>
      </w:r>
      <w:r w:rsidR="009713AA">
        <w:t>.</w:t>
      </w:r>
      <w:r w:rsidRPr="005F5B2E">
        <w:t>” y “V.P.C.” para referirse a la</w:t>
      </w:r>
      <w:r w:rsidR="005F5B2E" w:rsidRPr="005F5B2E">
        <w:t>s mismas</w:t>
      </w:r>
      <w:r w:rsidRPr="005F5B2E">
        <w:t xml:space="preserve">. De igual forma, se mantiene en reserva los nombres de los </w:t>
      </w:r>
      <w:r w:rsidR="00022165">
        <w:t>demás familiares</w:t>
      </w:r>
      <w:r w:rsidR="005F5B2E" w:rsidRPr="005F5B2E">
        <w:t xml:space="preserve">, por lo que se utilizarán las siglas </w:t>
      </w:r>
      <w:r w:rsidRPr="005F5B2E">
        <w:t>“H.J.R.P</w:t>
      </w:r>
      <w:r w:rsidR="00022165">
        <w:t>.</w:t>
      </w:r>
      <w:r w:rsidRPr="005F5B2E">
        <w:t>”</w:t>
      </w:r>
      <w:r w:rsidR="003A2F6A">
        <w:t>,</w:t>
      </w:r>
      <w:r w:rsidRPr="005F5B2E">
        <w:t xml:space="preserve"> “N.R.P</w:t>
      </w:r>
      <w:r w:rsidR="00022165">
        <w:t>.</w:t>
      </w:r>
      <w:r w:rsidRPr="005F5B2E">
        <w:t>”, y “V.A.R.P</w:t>
      </w:r>
      <w:r w:rsidR="00022165">
        <w:t>.</w:t>
      </w:r>
      <w:r w:rsidRPr="005F5B2E">
        <w:t>”</w:t>
      </w:r>
      <w:r w:rsidR="005F5B2E" w:rsidRPr="005F5B2E">
        <w:t xml:space="preserve"> </w:t>
      </w:r>
      <w:r w:rsidRPr="005F5B2E">
        <w:t>para ref</w:t>
      </w:r>
      <w:r w:rsidR="005F5B2E" w:rsidRPr="005F5B2E">
        <w:t>erirse a ello</w:t>
      </w:r>
      <w:r w:rsidRPr="005F5B2E">
        <w:t>s.</w:t>
      </w:r>
    </w:p>
  </w:footnote>
  <w:footnote w:id="2">
    <w:p w:rsidR="00EC1149" w:rsidRPr="00EC3204" w:rsidRDefault="00EC1149">
      <w:pPr>
        <w:pStyle w:val="FootnoteText"/>
        <w:spacing w:before="0" w:after="0"/>
      </w:pPr>
      <w:r w:rsidRPr="00EC3204">
        <w:rPr>
          <w:rStyle w:val="FootnoteReference"/>
        </w:rPr>
        <w:footnoteRef/>
      </w:r>
      <w:r w:rsidRPr="00EC3204">
        <w:t xml:space="preserve"> </w:t>
      </w:r>
      <w:r w:rsidRPr="00EC3204">
        <w:tab/>
        <w:t xml:space="preserve">En el presente caso, las presuntas víctimas están representadas por las defensoras </w:t>
      </w:r>
      <w:r w:rsidR="00210CCA">
        <w:t xml:space="preserve">públicas </w:t>
      </w:r>
      <w:r w:rsidRPr="00EC3204">
        <w:t xml:space="preserve">interamericanas </w:t>
      </w:r>
      <w:r w:rsidRPr="00EC3204">
        <w:rPr>
          <w:lang w:val="es-CR"/>
        </w:rPr>
        <w:t>Fidencia Orozco de Licardi y Juana Ma</w:t>
      </w:r>
      <w:r w:rsidR="004F0C4D">
        <w:rPr>
          <w:lang w:val="es-CR"/>
        </w:rPr>
        <w:t>ría</w:t>
      </w:r>
      <w:r w:rsidRPr="00EC3204">
        <w:rPr>
          <w:lang w:val="es-CR"/>
        </w:rPr>
        <w:t xml:space="preserve"> Cruz Fernández</w:t>
      </w:r>
      <w:r w:rsidR="00CB387A">
        <w:t>.</w:t>
      </w:r>
    </w:p>
  </w:footnote>
  <w:footnote w:id="3">
    <w:p w:rsidR="00FA5397" w:rsidRPr="005C0832" w:rsidRDefault="00FA5397" w:rsidP="005C0832">
      <w:pPr>
        <w:spacing w:after="0" w:line="240" w:lineRule="auto"/>
        <w:jc w:val="both"/>
        <w:rPr>
          <w:b/>
          <w:bCs/>
          <w:color w:val="000000"/>
          <w:sz w:val="16"/>
          <w:szCs w:val="16"/>
          <w:shd w:val="clear" w:color="auto" w:fill="FFFFFF"/>
        </w:rPr>
      </w:pPr>
      <w:r w:rsidRPr="00F438CC">
        <w:rPr>
          <w:rStyle w:val="FootnoteReference"/>
        </w:rPr>
        <w:footnoteRef/>
      </w:r>
      <w:r w:rsidRPr="00DF7AFA">
        <w:rPr>
          <w:sz w:val="16"/>
          <w:szCs w:val="16"/>
        </w:rPr>
        <w:t xml:space="preserve"> </w:t>
      </w:r>
      <w:r w:rsidRPr="00DF7AFA">
        <w:rPr>
          <w:sz w:val="16"/>
          <w:szCs w:val="16"/>
        </w:rPr>
        <w:tab/>
      </w:r>
      <w:r w:rsidRPr="00F438CC">
        <w:rPr>
          <w:rFonts w:cs="Verdana"/>
          <w:i/>
          <w:sz w:val="16"/>
          <w:szCs w:val="16"/>
          <w:lang w:val="es-CR"/>
        </w:rPr>
        <w:t xml:space="preserve">Cfr. </w:t>
      </w:r>
      <w:r w:rsidRPr="00F438CC">
        <w:rPr>
          <w:i/>
          <w:sz w:val="16"/>
          <w:szCs w:val="16"/>
          <w:lang w:val="es-CR"/>
        </w:rPr>
        <w:t xml:space="preserve">Caso Rosendo Cantú </w:t>
      </w:r>
      <w:r>
        <w:rPr>
          <w:i/>
          <w:sz w:val="16"/>
          <w:szCs w:val="16"/>
          <w:lang w:val="es-CR"/>
        </w:rPr>
        <w:t>y otra</w:t>
      </w:r>
      <w:r w:rsidRPr="00F438CC">
        <w:rPr>
          <w:i/>
          <w:sz w:val="16"/>
          <w:szCs w:val="16"/>
          <w:lang w:val="es-CR"/>
        </w:rPr>
        <w:t xml:space="preserve"> Vs. M</w:t>
      </w:r>
      <w:r w:rsidRPr="00643ACE">
        <w:rPr>
          <w:i/>
          <w:sz w:val="16"/>
          <w:szCs w:val="16"/>
          <w:lang w:val="es-CR"/>
        </w:rPr>
        <w:t xml:space="preserve">éxico. </w:t>
      </w:r>
      <w:r w:rsidRPr="00DF7AFA">
        <w:rPr>
          <w:rStyle w:val="Strong"/>
          <w:b w:val="0"/>
          <w:color w:val="000000"/>
          <w:sz w:val="16"/>
          <w:szCs w:val="16"/>
          <w:shd w:val="clear" w:color="auto" w:fill="FFFFFF"/>
        </w:rPr>
        <w:t>Resolución del Presidente de la Corte Interamericana de Derechos Humanos de 23 de abril de 2010, considerando 1</w:t>
      </w:r>
      <w:r w:rsidR="000D3A51">
        <w:rPr>
          <w:rStyle w:val="Strong"/>
          <w:b w:val="0"/>
          <w:color w:val="000000"/>
          <w:sz w:val="16"/>
          <w:szCs w:val="16"/>
          <w:shd w:val="clear" w:color="auto" w:fill="FFFFFF"/>
        </w:rPr>
        <w:t>2</w:t>
      </w:r>
      <w:r w:rsidRPr="005C0832">
        <w:rPr>
          <w:bCs/>
          <w:color w:val="000000"/>
          <w:sz w:val="16"/>
          <w:szCs w:val="16"/>
          <w:shd w:val="clear" w:color="auto" w:fill="FFFFFF"/>
        </w:rPr>
        <w:t>,</w:t>
      </w:r>
      <w:r w:rsidRPr="00DF7AFA">
        <w:rPr>
          <w:b/>
          <w:bCs/>
          <w:color w:val="000000"/>
          <w:sz w:val="16"/>
          <w:szCs w:val="16"/>
          <w:shd w:val="clear" w:color="auto" w:fill="FFFFFF"/>
        </w:rPr>
        <w:t xml:space="preserve"> </w:t>
      </w:r>
      <w:r w:rsidRPr="00DF7AFA">
        <w:rPr>
          <w:bCs/>
          <w:color w:val="000000"/>
          <w:sz w:val="16"/>
          <w:szCs w:val="16"/>
          <w:shd w:val="clear" w:color="auto" w:fill="FFFFFF"/>
        </w:rPr>
        <w:t xml:space="preserve">y </w:t>
      </w:r>
      <w:r w:rsidRPr="00DF7AFA">
        <w:rPr>
          <w:rStyle w:val="Strong"/>
          <w:b w:val="0"/>
          <w:i/>
          <w:color w:val="000000"/>
          <w:sz w:val="16"/>
          <w:szCs w:val="16"/>
          <w:shd w:val="clear" w:color="auto" w:fill="FFFFFF"/>
        </w:rPr>
        <w:t>Caso Genoveva y otros (</w:t>
      </w:r>
      <w:r w:rsidRPr="00DF7AFA">
        <w:rPr>
          <w:rStyle w:val="Strong"/>
          <w:b w:val="0"/>
          <w:i/>
          <w:iCs/>
          <w:color w:val="000000"/>
          <w:sz w:val="16"/>
          <w:szCs w:val="16"/>
          <w:shd w:val="clear" w:color="auto" w:fill="FFFFFF"/>
        </w:rPr>
        <w:t xml:space="preserve">Favela Nova </w:t>
      </w:r>
      <w:r w:rsidR="00C924CA" w:rsidRPr="00DF7AFA">
        <w:rPr>
          <w:rStyle w:val="Strong"/>
          <w:b w:val="0"/>
          <w:i/>
          <w:iCs/>
          <w:color w:val="000000"/>
          <w:sz w:val="16"/>
          <w:szCs w:val="16"/>
          <w:shd w:val="clear" w:color="auto" w:fill="FFFFFF"/>
        </w:rPr>
        <w:t>Brasilia</w:t>
      </w:r>
      <w:r w:rsidRPr="00DF7AFA">
        <w:rPr>
          <w:rStyle w:val="Strong"/>
          <w:b w:val="0"/>
          <w:i/>
          <w:color w:val="000000"/>
          <w:sz w:val="16"/>
          <w:szCs w:val="16"/>
          <w:shd w:val="clear" w:color="auto" w:fill="FFFFFF"/>
        </w:rPr>
        <w:t>) Vs. Brasil.</w:t>
      </w:r>
      <w:r w:rsidRPr="00DF7AFA">
        <w:rPr>
          <w:rStyle w:val="Strong"/>
          <w:color w:val="000000"/>
          <w:sz w:val="16"/>
          <w:szCs w:val="16"/>
          <w:shd w:val="clear" w:color="auto" w:fill="FFFFFF"/>
        </w:rPr>
        <w:t xml:space="preserve"> </w:t>
      </w:r>
      <w:r w:rsidRPr="00DF7AFA">
        <w:rPr>
          <w:rStyle w:val="Strong"/>
          <w:b w:val="0"/>
          <w:color w:val="000000"/>
          <w:sz w:val="16"/>
          <w:szCs w:val="16"/>
          <w:shd w:val="clear" w:color="auto" w:fill="FFFFFF"/>
        </w:rPr>
        <w:t>Resolución del Presidente en ejercicio de la Corte Interamericana de Derechos Humanos de 16 de septiembre de 2016, considerando</w:t>
      </w:r>
      <w:r w:rsidR="000D3A51">
        <w:rPr>
          <w:rStyle w:val="Strong"/>
          <w:b w:val="0"/>
          <w:color w:val="000000"/>
          <w:sz w:val="16"/>
          <w:szCs w:val="16"/>
          <w:shd w:val="clear" w:color="auto" w:fill="FFFFFF"/>
        </w:rPr>
        <w:t xml:space="preserve"> 5</w:t>
      </w:r>
      <w:r w:rsidRPr="00DF7AFA">
        <w:rPr>
          <w:rStyle w:val="Strong"/>
          <w:b w:val="0"/>
          <w:color w:val="000000"/>
          <w:sz w:val="16"/>
          <w:szCs w:val="16"/>
          <w:shd w:val="clear" w:color="auto" w:fill="FFFFFF"/>
        </w:rPr>
        <w:t>.</w:t>
      </w:r>
    </w:p>
  </w:footnote>
  <w:footnote w:id="4">
    <w:p w:rsidR="00FA5397" w:rsidRPr="005C0832" w:rsidRDefault="00FA5397" w:rsidP="005C0832">
      <w:pPr>
        <w:spacing w:after="0" w:line="240" w:lineRule="auto"/>
        <w:jc w:val="both"/>
        <w:rPr>
          <w:b/>
          <w:bCs/>
          <w:color w:val="000000"/>
          <w:sz w:val="16"/>
          <w:szCs w:val="16"/>
          <w:shd w:val="clear" w:color="auto" w:fill="FFFFFF"/>
        </w:rPr>
      </w:pPr>
      <w:r w:rsidRPr="00F438CC">
        <w:rPr>
          <w:rStyle w:val="FootnoteReference"/>
        </w:rPr>
        <w:footnoteRef/>
      </w:r>
      <w:r w:rsidRPr="00DF7AFA">
        <w:rPr>
          <w:sz w:val="16"/>
          <w:szCs w:val="16"/>
        </w:rPr>
        <w:t xml:space="preserve"> </w:t>
      </w:r>
      <w:r w:rsidRPr="00DF7AFA">
        <w:rPr>
          <w:sz w:val="16"/>
          <w:szCs w:val="16"/>
        </w:rPr>
        <w:tab/>
      </w:r>
      <w:r w:rsidRPr="00F438CC">
        <w:rPr>
          <w:rFonts w:cs="Verdana"/>
          <w:i/>
          <w:sz w:val="16"/>
          <w:szCs w:val="16"/>
          <w:lang w:val="es-CR"/>
        </w:rPr>
        <w:t xml:space="preserve">Cfr. </w:t>
      </w:r>
      <w:r w:rsidRPr="00F438CC">
        <w:rPr>
          <w:i/>
          <w:sz w:val="16"/>
          <w:szCs w:val="16"/>
          <w:lang w:val="es-CR"/>
        </w:rPr>
        <w:t xml:space="preserve">Caso Rosendo Cantú </w:t>
      </w:r>
      <w:r>
        <w:rPr>
          <w:i/>
          <w:sz w:val="16"/>
          <w:szCs w:val="16"/>
          <w:lang w:val="es-CR"/>
        </w:rPr>
        <w:t>y otra</w:t>
      </w:r>
      <w:r w:rsidRPr="00F438CC">
        <w:rPr>
          <w:i/>
          <w:sz w:val="16"/>
          <w:szCs w:val="16"/>
          <w:lang w:val="es-CR"/>
        </w:rPr>
        <w:t xml:space="preserve"> Vs. M</w:t>
      </w:r>
      <w:r w:rsidRPr="00643ACE">
        <w:rPr>
          <w:i/>
          <w:sz w:val="16"/>
          <w:szCs w:val="16"/>
          <w:lang w:val="es-CR"/>
        </w:rPr>
        <w:t xml:space="preserve">éxico. </w:t>
      </w:r>
      <w:r w:rsidRPr="00DF7AFA">
        <w:rPr>
          <w:rStyle w:val="Strong"/>
          <w:b w:val="0"/>
          <w:color w:val="000000"/>
          <w:sz w:val="16"/>
          <w:szCs w:val="16"/>
          <w:shd w:val="clear" w:color="auto" w:fill="FFFFFF"/>
        </w:rPr>
        <w:t>Resolución del Presidente de la Corte Interamericana de Derechos Humanos de 23 de abril de 2010, considerandos 11 a 13</w:t>
      </w:r>
      <w:r w:rsidRPr="005C0832">
        <w:rPr>
          <w:bCs/>
          <w:color w:val="000000"/>
          <w:sz w:val="16"/>
          <w:szCs w:val="16"/>
          <w:shd w:val="clear" w:color="auto" w:fill="FFFFFF"/>
        </w:rPr>
        <w:t>,</w:t>
      </w:r>
      <w:r w:rsidRPr="00DF7AFA">
        <w:rPr>
          <w:b/>
          <w:bCs/>
          <w:color w:val="000000"/>
          <w:sz w:val="16"/>
          <w:szCs w:val="16"/>
          <w:shd w:val="clear" w:color="auto" w:fill="FFFFFF"/>
        </w:rPr>
        <w:t xml:space="preserve"> </w:t>
      </w:r>
      <w:r w:rsidRPr="00DF7AFA">
        <w:rPr>
          <w:bCs/>
          <w:color w:val="000000"/>
          <w:sz w:val="16"/>
          <w:szCs w:val="16"/>
          <w:shd w:val="clear" w:color="auto" w:fill="FFFFFF"/>
        </w:rPr>
        <w:t xml:space="preserve">y </w:t>
      </w:r>
      <w:r w:rsidRPr="00DF7AFA">
        <w:rPr>
          <w:rStyle w:val="Strong"/>
          <w:b w:val="0"/>
          <w:i/>
          <w:color w:val="000000"/>
          <w:sz w:val="16"/>
          <w:szCs w:val="16"/>
          <w:shd w:val="clear" w:color="auto" w:fill="FFFFFF"/>
        </w:rPr>
        <w:t>Caso Genoveva y otros (</w:t>
      </w:r>
      <w:r w:rsidRPr="00DF7AFA">
        <w:rPr>
          <w:rStyle w:val="Strong"/>
          <w:b w:val="0"/>
          <w:i/>
          <w:iCs/>
          <w:color w:val="000000"/>
          <w:sz w:val="16"/>
          <w:szCs w:val="16"/>
          <w:shd w:val="clear" w:color="auto" w:fill="FFFFFF"/>
        </w:rPr>
        <w:t xml:space="preserve">Favela Nova </w:t>
      </w:r>
      <w:r w:rsidR="00C924CA" w:rsidRPr="00DF7AFA">
        <w:rPr>
          <w:rStyle w:val="Strong"/>
          <w:b w:val="0"/>
          <w:i/>
          <w:iCs/>
          <w:color w:val="000000"/>
          <w:sz w:val="16"/>
          <w:szCs w:val="16"/>
          <w:shd w:val="clear" w:color="auto" w:fill="FFFFFF"/>
        </w:rPr>
        <w:t>Brasilia</w:t>
      </w:r>
      <w:r w:rsidRPr="00DF7AFA">
        <w:rPr>
          <w:rStyle w:val="Strong"/>
          <w:b w:val="0"/>
          <w:i/>
          <w:color w:val="000000"/>
          <w:sz w:val="16"/>
          <w:szCs w:val="16"/>
          <w:shd w:val="clear" w:color="auto" w:fill="FFFFFF"/>
        </w:rPr>
        <w:t>) Vs. Brasil.</w:t>
      </w:r>
      <w:r w:rsidRPr="00DF7AFA">
        <w:rPr>
          <w:rStyle w:val="Strong"/>
          <w:color w:val="000000"/>
          <w:sz w:val="16"/>
          <w:szCs w:val="16"/>
          <w:shd w:val="clear" w:color="auto" w:fill="FFFFFF"/>
        </w:rPr>
        <w:t xml:space="preserve"> </w:t>
      </w:r>
      <w:r w:rsidRPr="00DF7AFA">
        <w:rPr>
          <w:rStyle w:val="Strong"/>
          <w:b w:val="0"/>
          <w:color w:val="000000"/>
          <w:sz w:val="16"/>
          <w:szCs w:val="16"/>
          <w:shd w:val="clear" w:color="auto" w:fill="FFFFFF"/>
        </w:rPr>
        <w:t>Resolución del Presidente en ejercicio de la Corte Interamericana de Derechos Humanos de 16 de septiembre de 2016, considerandos 4 a 6.</w:t>
      </w:r>
    </w:p>
  </w:footnote>
  <w:footnote w:id="5">
    <w:p w:rsidR="00E23D64" w:rsidRPr="00E23D64" w:rsidRDefault="00E23D64">
      <w:pPr>
        <w:tabs>
          <w:tab w:val="left" w:pos="567"/>
        </w:tabs>
        <w:spacing w:after="0" w:line="240" w:lineRule="auto"/>
        <w:jc w:val="both"/>
        <w:rPr>
          <w:sz w:val="16"/>
          <w:szCs w:val="16"/>
          <w:u w:val="single"/>
        </w:rPr>
      </w:pPr>
      <w:r w:rsidRPr="00E23D64">
        <w:rPr>
          <w:rStyle w:val="FootnoteReference"/>
        </w:rPr>
        <w:footnoteRef/>
      </w:r>
      <w:r w:rsidRPr="00E23D64">
        <w:rPr>
          <w:sz w:val="16"/>
          <w:szCs w:val="16"/>
          <w:lang w:val="es-CR"/>
        </w:rPr>
        <w:t xml:space="preserve"> </w:t>
      </w:r>
      <w:r w:rsidRPr="00E23D64">
        <w:rPr>
          <w:i/>
          <w:sz w:val="16"/>
          <w:szCs w:val="16"/>
          <w:lang w:val="es-CR"/>
        </w:rPr>
        <w:tab/>
      </w:r>
      <w:r w:rsidRPr="00E23D64">
        <w:rPr>
          <w:rFonts w:cs="Verdana"/>
          <w:i/>
          <w:sz w:val="16"/>
          <w:szCs w:val="16"/>
        </w:rPr>
        <w:t xml:space="preserve">Cfr. </w:t>
      </w:r>
      <w:r w:rsidRPr="00E23D64">
        <w:rPr>
          <w:rFonts w:cs="Verdana-Bold"/>
          <w:bCs/>
          <w:i/>
          <w:sz w:val="16"/>
          <w:szCs w:val="16"/>
        </w:rPr>
        <w:t>Caso De la Masacre de las Dos Erres Vs. Guatemala.</w:t>
      </w:r>
      <w:r w:rsidRPr="00E23D64">
        <w:rPr>
          <w:rFonts w:cs="Verdana-Bold"/>
          <w:bCs/>
          <w:sz w:val="16"/>
          <w:szCs w:val="16"/>
        </w:rPr>
        <w:t xml:space="preserve"> Resolución de la Presidenta de la Corte Interamericana de Derechos Humanos de 18 de mayo de 2009, </w:t>
      </w:r>
      <w:r w:rsidRPr="00E23D64">
        <w:rPr>
          <w:sz w:val="16"/>
          <w:szCs w:val="16"/>
        </w:rPr>
        <w:t xml:space="preserve">considerando 8, y </w:t>
      </w:r>
      <w:r w:rsidRPr="00E23D64">
        <w:rPr>
          <w:i/>
          <w:sz w:val="16"/>
          <w:szCs w:val="16"/>
        </w:rPr>
        <w:t>Caso Zulema Tarazona Arrieta y otros Vs. Perú.</w:t>
      </w:r>
      <w:r w:rsidRPr="00E23D64">
        <w:rPr>
          <w:sz w:val="16"/>
          <w:szCs w:val="16"/>
        </w:rPr>
        <w:t xml:space="preserve"> Resolución del Presidente de la Corte Interamericana de Derechos Humanos de 26 de marzo de 2014, considerando 15.</w:t>
      </w:r>
    </w:p>
  </w:footnote>
  <w:footnote w:id="6">
    <w:p w:rsidR="00F7270B" w:rsidRPr="00357E3E" w:rsidRDefault="00F7270B" w:rsidP="00357E3E">
      <w:pPr>
        <w:pStyle w:val="FootnoteText"/>
        <w:spacing w:before="0" w:after="0"/>
        <w:rPr>
          <w:lang w:val="es-CR"/>
        </w:rPr>
      </w:pPr>
      <w:r>
        <w:rPr>
          <w:rStyle w:val="FootnoteReference"/>
        </w:rPr>
        <w:footnoteRef/>
      </w:r>
      <w:r>
        <w:t xml:space="preserve"> </w:t>
      </w:r>
      <w:r>
        <w:rPr>
          <w:lang w:val="es-CR"/>
        </w:rPr>
        <w:tab/>
      </w:r>
      <w:r w:rsidRPr="000E0453">
        <w:rPr>
          <w:bCs/>
          <w:i/>
        </w:rPr>
        <w:t>Cfr. Caso Valle Jaramillo y otros Vs. Colombia.</w:t>
      </w:r>
      <w:r w:rsidRPr="000E0453">
        <w:rPr>
          <w:bCs/>
        </w:rPr>
        <w:t xml:space="preserve"> Resolución de la Presidenta de la Corte Interamericana de Derechos Humanos de 30 de noviembre de 2007</w:t>
      </w:r>
      <w:r w:rsidR="005448DB">
        <w:rPr>
          <w:bCs/>
        </w:rPr>
        <w:t>,</w:t>
      </w:r>
      <w:r w:rsidRPr="000E0453">
        <w:rPr>
          <w:bCs/>
        </w:rPr>
        <w:t xml:space="preserve"> </w:t>
      </w:r>
      <w:r w:rsidR="005448DB">
        <w:t>c</w:t>
      </w:r>
      <w:r w:rsidRPr="000E0453">
        <w:t>onsiderandos 5, 10, 14, 16 y 21.</w:t>
      </w:r>
    </w:p>
  </w:footnote>
  <w:footnote w:id="7">
    <w:p w:rsidR="00F40DF4" w:rsidRPr="00E23D64" w:rsidRDefault="00F40DF4">
      <w:pPr>
        <w:tabs>
          <w:tab w:val="left" w:pos="567"/>
        </w:tabs>
        <w:spacing w:after="0" w:line="240" w:lineRule="auto"/>
        <w:jc w:val="both"/>
        <w:rPr>
          <w:sz w:val="16"/>
          <w:szCs w:val="16"/>
          <w:u w:val="single"/>
        </w:rPr>
      </w:pPr>
      <w:r w:rsidRPr="00E23D64">
        <w:rPr>
          <w:rStyle w:val="FootnoteReference"/>
        </w:rPr>
        <w:footnoteRef/>
      </w:r>
      <w:r w:rsidRPr="00E23D64">
        <w:rPr>
          <w:sz w:val="16"/>
          <w:szCs w:val="16"/>
        </w:rPr>
        <w:t xml:space="preserve"> </w:t>
      </w:r>
      <w:r w:rsidRPr="00E23D64">
        <w:rPr>
          <w:sz w:val="16"/>
          <w:szCs w:val="16"/>
        </w:rPr>
        <w:tab/>
      </w:r>
      <w:r w:rsidRPr="00E23D64">
        <w:rPr>
          <w:i/>
          <w:sz w:val="16"/>
          <w:szCs w:val="16"/>
        </w:rPr>
        <w:t>Cfr. Caso de la “Masacre de Pueblo Bello” Vs. Colombia</w:t>
      </w:r>
      <w:r w:rsidRPr="00E23D64">
        <w:rPr>
          <w:sz w:val="16"/>
          <w:szCs w:val="16"/>
        </w:rPr>
        <w:t>. Resolución del Presidente de la Corte Interamericana de Derechos H</w:t>
      </w:r>
      <w:r w:rsidR="005448DB">
        <w:rPr>
          <w:sz w:val="16"/>
          <w:szCs w:val="16"/>
        </w:rPr>
        <w:t>umanos de 29 de julio de 2005, c</w:t>
      </w:r>
      <w:r w:rsidRPr="00E23D64">
        <w:rPr>
          <w:sz w:val="16"/>
          <w:szCs w:val="16"/>
        </w:rPr>
        <w:t xml:space="preserve">onsiderando 7, y </w:t>
      </w:r>
      <w:r w:rsidRPr="00E23D64">
        <w:rPr>
          <w:i/>
          <w:sz w:val="16"/>
          <w:szCs w:val="16"/>
          <w:lang w:val="es-CR"/>
        </w:rPr>
        <w:t xml:space="preserve">Caso </w:t>
      </w:r>
      <w:r w:rsidR="009B1892">
        <w:rPr>
          <w:i/>
          <w:sz w:val="16"/>
          <w:szCs w:val="16"/>
          <w:lang w:val="es-CR"/>
        </w:rPr>
        <w:t>Villamizar Durán y otros</w:t>
      </w:r>
      <w:r w:rsidRPr="00E23D64">
        <w:rPr>
          <w:i/>
          <w:sz w:val="16"/>
          <w:szCs w:val="16"/>
          <w:lang w:val="es-CR"/>
        </w:rPr>
        <w:t xml:space="preserve"> Vs. </w:t>
      </w:r>
      <w:r w:rsidR="009B1892">
        <w:rPr>
          <w:i/>
          <w:sz w:val="16"/>
          <w:szCs w:val="16"/>
          <w:lang w:val="es-CR"/>
        </w:rPr>
        <w:t>C</w:t>
      </w:r>
      <w:r w:rsidR="009B1892">
        <w:rPr>
          <w:i/>
          <w:sz w:val="16"/>
          <w:szCs w:val="16"/>
        </w:rPr>
        <w:t>olombia</w:t>
      </w:r>
      <w:r w:rsidRPr="00E23D64">
        <w:rPr>
          <w:i/>
          <w:sz w:val="16"/>
          <w:szCs w:val="16"/>
        </w:rPr>
        <w:t>.</w:t>
      </w:r>
      <w:r w:rsidRPr="00E23D64">
        <w:rPr>
          <w:sz w:val="16"/>
          <w:szCs w:val="16"/>
        </w:rPr>
        <w:t xml:space="preserve"> Resolución del President</w:t>
      </w:r>
      <w:r w:rsidR="009B1892">
        <w:rPr>
          <w:sz w:val="16"/>
          <w:szCs w:val="16"/>
        </w:rPr>
        <w:t>e</w:t>
      </w:r>
      <w:r w:rsidRPr="00E23D64">
        <w:rPr>
          <w:sz w:val="16"/>
          <w:szCs w:val="16"/>
        </w:rPr>
        <w:t xml:space="preserve"> de la Corte Interamericana de Derechos Humanos de </w:t>
      </w:r>
      <w:r w:rsidR="009B1892">
        <w:rPr>
          <w:sz w:val="16"/>
          <w:szCs w:val="16"/>
        </w:rPr>
        <w:t>1</w:t>
      </w:r>
      <w:r w:rsidRPr="00E23D64">
        <w:rPr>
          <w:sz w:val="16"/>
          <w:szCs w:val="16"/>
        </w:rPr>
        <w:t xml:space="preserve">2 de </w:t>
      </w:r>
      <w:r w:rsidR="009B1892">
        <w:rPr>
          <w:sz w:val="16"/>
          <w:szCs w:val="16"/>
        </w:rPr>
        <w:t>septiembre</w:t>
      </w:r>
      <w:r w:rsidRPr="00E23D64">
        <w:rPr>
          <w:sz w:val="16"/>
          <w:szCs w:val="16"/>
        </w:rPr>
        <w:t xml:space="preserve"> de 201</w:t>
      </w:r>
      <w:r w:rsidR="009B1892">
        <w:rPr>
          <w:sz w:val="16"/>
          <w:szCs w:val="16"/>
        </w:rPr>
        <w:t>7</w:t>
      </w:r>
      <w:r w:rsidRPr="00E23D64">
        <w:rPr>
          <w:sz w:val="16"/>
          <w:szCs w:val="16"/>
        </w:rPr>
        <w:t xml:space="preserve">, considerando </w:t>
      </w:r>
      <w:r w:rsidR="009B1892">
        <w:rPr>
          <w:sz w:val="16"/>
          <w:szCs w:val="16"/>
        </w:rPr>
        <w:t>27</w:t>
      </w:r>
      <w:r w:rsidRPr="00E23D64">
        <w:rPr>
          <w:sz w:val="16"/>
          <w:szCs w:val="16"/>
        </w:rPr>
        <w:t>.</w:t>
      </w:r>
    </w:p>
  </w:footnote>
  <w:footnote w:id="8">
    <w:p w:rsidR="009513BF" w:rsidRPr="006F29C7" w:rsidRDefault="009513BF">
      <w:pPr>
        <w:pStyle w:val="FootnoteText"/>
        <w:spacing w:before="0" w:after="0"/>
      </w:pPr>
      <w:r w:rsidRPr="009513BF">
        <w:rPr>
          <w:rStyle w:val="FootnoteReference"/>
        </w:rPr>
        <w:footnoteRef/>
      </w:r>
      <w:r w:rsidRPr="009513BF">
        <w:t xml:space="preserve"> </w:t>
      </w:r>
      <w:r>
        <w:tab/>
      </w:r>
      <w:r w:rsidRPr="009513BF">
        <w:t>El objeto del dictamen pericial propu</w:t>
      </w:r>
      <w:r w:rsidRPr="006F29C7">
        <w:t xml:space="preserve">esto se refiere, desde un enfoque general, a los daños que pudiera ocasionar la agresión sexual a una niña de nueve años, las consecuencias en la vida futura, actuaciones de las autoridades en el transcurso de investigaciones que pudieron ocasionar revictimización; el procedimiento y trato adecuado. </w:t>
      </w:r>
      <w:r w:rsidR="006F29C7" w:rsidRPr="00357E3E">
        <w:t>E</w:t>
      </w:r>
      <w:r w:rsidRPr="00357E3E">
        <w:t>n</w:t>
      </w:r>
      <w:r w:rsidR="006F29C7" w:rsidRPr="00357E3E">
        <w:t xml:space="preserve"> el ofrecimiento realizado en el escrito de las </w:t>
      </w:r>
      <w:r w:rsidR="005448DB" w:rsidRPr="005448DB">
        <w:t>representantes</w:t>
      </w:r>
      <w:r w:rsidR="006F29C7" w:rsidRPr="00357E3E">
        <w:t>,</w:t>
      </w:r>
      <w:r w:rsidRPr="00357E3E">
        <w:t xml:space="preserve"> el objeto del peritaje </w:t>
      </w:r>
      <w:r w:rsidR="006F29C7" w:rsidRPr="006F29C7">
        <w:t>abarcaba además lo siguiente que no fue incluido en la lista definitiva:</w:t>
      </w:r>
      <w:r w:rsidRPr="006F29C7">
        <w:t xml:space="preserve"> “el procedimiento y trato adecuado que debe ser realizado a los fines de no incurrir en malas prácticas que pudieren afectar a las víctimas. Igualmente con el peritaje se procura precisar, de una manera particular, las condiciones de mayor vulnerabilidad de la niña por haber recibido la agresión sexual por parte del padre; se referirá sobre los daños psíquicos ante la colocación de la niña víctima en la misma posición y lugar que fue puesta por el agresor en el momento de la violación, ser llevada al lugar de los hechos y ser examinada física e íntimamente en presencia de una gran cantidad de personas. Se referirá a la violencia institucional; en relación al daño que se ocasiona a la familia, el daño sufrido especialmente por la madre y cómo afecta el largo periodo del proceso judicial”.</w:t>
      </w:r>
    </w:p>
  </w:footnote>
  <w:footnote w:id="9">
    <w:p w:rsidR="007669E4" w:rsidRPr="00A25E46" w:rsidRDefault="007669E4">
      <w:pPr>
        <w:pStyle w:val="FootnoteText"/>
        <w:spacing w:before="0" w:after="0"/>
      </w:pPr>
      <w:r w:rsidRPr="006F29C7">
        <w:rPr>
          <w:rStyle w:val="FootnoteReference"/>
        </w:rPr>
        <w:footnoteRef/>
      </w:r>
      <w:r w:rsidRPr="006F29C7">
        <w:t xml:space="preserve"> </w:t>
      </w:r>
      <w:r w:rsidRPr="006F29C7">
        <w:tab/>
        <w:t>Este artículo dispone que: “1. Los peritos podrán ser recusados cuando incurran en alguna de las siguientes causales: […] c) tener o haber tenido vínculos estrechos o relación de subordinación funcional con la parte que lo propone y que a juicio de la Corte pudiera afectar su imparcialidad”.</w:t>
      </w:r>
    </w:p>
  </w:footnote>
  <w:footnote w:id="10">
    <w:p w:rsidR="003947A9" w:rsidRPr="00441CD5" w:rsidRDefault="003947A9">
      <w:pPr>
        <w:pStyle w:val="FootnoteText"/>
        <w:spacing w:before="0" w:after="0"/>
      </w:pPr>
      <w:r>
        <w:rPr>
          <w:rStyle w:val="FootnoteReference"/>
        </w:rPr>
        <w:footnoteRef/>
      </w:r>
      <w:r>
        <w:t xml:space="preserve"> </w:t>
      </w:r>
      <w:r>
        <w:tab/>
      </w:r>
      <w:r>
        <w:rPr>
          <w:i/>
        </w:rPr>
        <w:t xml:space="preserve">Cfr. </w:t>
      </w:r>
      <w:r w:rsidR="00D41131" w:rsidRPr="00D41131">
        <w:rPr>
          <w:i/>
        </w:rPr>
        <w:t xml:space="preserve">Caso Boyce y otros Vs. Barbados. </w:t>
      </w:r>
      <w:r w:rsidR="00D41131">
        <w:t xml:space="preserve">Resolución del Presidente de la Corte Interamericana de Derechos Humanos de 29 de mayo de 2007, considerando 22, y </w:t>
      </w:r>
      <w:r w:rsidR="003652E7">
        <w:rPr>
          <w:i/>
        </w:rPr>
        <w:t>C</w:t>
      </w:r>
      <w:r w:rsidR="00D41131" w:rsidRPr="00E23D64">
        <w:rPr>
          <w:i/>
          <w:lang w:val="es-CR"/>
        </w:rPr>
        <w:t xml:space="preserve">aso </w:t>
      </w:r>
      <w:r w:rsidR="00D41131">
        <w:rPr>
          <w:i/>
          <w:lang w:val="es-CR"/>
        </w:rPr>
        <w:t>Villamizar Durán y otros</w:t>
      </w:r>
      <w:r w:rsidR="00D41131" w:rsidRPr="00E23D64">
        <w:rPr>
          <w:i/>
          <w:lang w:val="es-CR"/>
        </w:rPr>
        <w:t xml:space="preserve"> Vs. </w:t>
      </w:r>
      <w:r w:rsidR="00D41131">
        <w:rPr>
          <w:i/>
          <w:lang w:val="es-CR"/>
        </w:rPr>
        <w:t>C</w:t>
      </w:r>
      <w:r w:rsidR="00D41131">
        <w:rPr>
          <w:i/>
        </w:rPr>
        <w:t>olombia</w:t>
      </w:r>
      <w:r w:rsidR="00D41131" w:rsidRPr="00E23D64">
        <w:rPr>
          <w:i/>
        </w:rPr>
        <w:t>.</w:t>
      </w:r>
      <w:r w:rsidR="00D41131" w:rsidRPr="00E23D64">
        <w:t xml:space="preserve"> Resolución del President</w:t>
      </w:r>
      <w:r w:rsidR="00D41131">
        <w:t>e</w:t>
      </w:r>
      <w:r w:rsidR="00D41131" w:rsidRPr="00E23D64">
        <w:t xml:space="preserve"> de la Corte Interamericana de Derechos Humanos de </w:t>
      </w:r>
      <w:r w:rsidR="00D41131">
        <w:t>1</w:t>
      </w:r>
      <w:r w:rsidR="00D41131" w:rsidRPr="00E23D64">
        <w:t xml:space="preserve">2 de </w:t>
      </w:r>
      <w:r w:rsidR="00D41131">
        <w:t>septiembre</w:t>
      </w:r>
      <w:r w:rsidR="00D41131" w:rsidRPr="00E23D64">
        <w:t xml:space="preserve"> de 201</w:t>
      </w:r>
      <w:r w:rsidR="00D41131">
        <w:t>7</w:t>
      </w:r>
      <w:r w:rsidR="00D41131" w:rsidRPr="00E23D64">
        <w:t xml:space="preserve">, considerando </w:t>
      </w:r>
      <w:r w:rsidR="00D41131">
        <w:t>14</w:t>
      </w:r>
      <w:r w:rsidR="00D41131" w:rsidRPr="00E23D64">
        <w:t>.</w:t>
      </w:r>
    </w:p>
  </w:footnote>
  <w:footnote w:id="11">
    <w:p w:rsidR="00B45D17" w:rsidRPr="00EC3204" w:rsidRDefault="00B45D17" w:rsidP="005B4BD0">
      <w:pPr>
        <w:tabs>
          <w:tab w:val="left" w:pos="567"/>
        </w:tabs>
        <w:spacing w:after="0" w:line="240" w:lineRule="auto"/>
        <w:jc w:val="both"/>
      </w:pPr>
      <w:r w:rsidRPr="00EC3204">
        <w:rPr>
          <w:rStyle w:val="FootnoteReference"/>
        </w:rPr>
        <w:footnoteRef/>
      </w:r>
      <w:r w:rsidRPr="00EC3204">
        <w:rPr>
          <w:sz w:val="16"/>
          <w:szCs w:val="16"/>
        </w:rPr>
        <w:t xml:space="preserve"> </w:t>
      </w:r>
      <w:r w:rsidRPr="00EC3204">
        <w:rPr>
          <w:sz w:val="16"/>
          <w:szCs w:val="16"/>
        </w:rPr>
        <w:tab/>
        <w:t>Dicho artículo prevé que “[e]l caso será sometido a la Corte mediante la presentación del informe al que se refiere el artículo 50 de la Convención, que contenga todos los hechos supuestamente violatorios, inclusive la identificación de las presuntas víctimas. Para que el caso pueda ser examinado, la Corte deberá recibir la siguiente información: […] f. cuando se afecte de manera relevante el orden público interamericano de los derechos humanos, la eventual designación de peritos, indicando el objeto de sus declaraciones y acompañando su hoja de vida”.</w:t>
      </w:r>
    </w:p>
  </w:footnote>
  <w:footnote w:id="12">
    <w:p w:rsidR="000E6A58" w:rsidRPr="00DE09C1" w:rsidRDefault="000E6A58" w:rsidP="00E77539">
      <w:pPr>
        <w:pStyle w:val="FootnoteText"/>
        <w:spacing w:before="0" w:after="0"/>
      </w:pPr>
      <w:r w:rsidRPr="00DE09C1">
        <w:rPr>
          <w:rStyle w:val="FootnoteReference"/>
        </w:rPr>
        <w:footnoteRef/>
      </w:r>
      <w:r w:rsidRPr="00DE09C1">
        <w:t xml:space="preserve"> </w:t>
      </w:r>
      <w:r w:rsidRPr="00DE09C1">
        <w:tab/>
      </w:r>
      <w:r w:rsidRPr="00DE09C1">
        <w:rPr>
          <w:i/>
        </w:rPr>
        <w:t>Cfr.</w:t>
      </w:r>
      <w:r w:rsidRPr="00DE09C1">
        <w:t xml:space="preserve"> </w:t>
      </w:r>
      <w:r w:rsidRPr="00DC775C">
        <w:rPr>
          <w:i/>
        </w:rPr>
        <w:t>Caso</w:t>
      </w:r>
      <w:r w:rsidRPr="00DE09C1">
        <w:t xml:space="preserve"> </w:t>
      </w:r>
      <w:r w:rsidRPr="00DE09C1">
        <w:rPr>
          <w:i/>
        </w:rPr>
        <w:t>Díaz Peña Vs. Venezuela</w:t>
      </w:r>
      <w:r w:rsidRPr="00DE09C1">
        <w:t>. Resolución del Presidente de la Co</w:t>
      </w:r>
      <w:r w:rsidR="005448DB">
        <w:t xml:space="preserve">rte </w:t>
      </w:r>
      <w:r w:rsidR="00EA5665">
        <w:t xml:space="preserve">Interamericana de Derechos Humanos </w:t>
      </w:r>
      <w:r w:rsidR="005448DB">
        <w:t>de 2 de noviembre de 2011, c</w:t>
      </w:r>
      <w:r w:rsidRPr="00DE09C1">
        <w:t>onsiderando 20</w:t>
      </w:r>
      <w:r>
        <w:t>, y</w:t>
      </w:r>
      <w:r>
        <w:rPr>
          <w:i/>
        </w:rPr>
        <w:t xml:space="preserve"> </w:t>
      </w:r>
      <w:r w:rsidR="00DC775C" w:rsidRPr="00DC775C">
        <w:rPr>
          <w:i/>
        </w:rPr>
        <w:t>Caso</w:t>
      </w:r>
      <w:r w:rsidR="00DC775C" w:rsidRPr="00DE09C1">
        <w:t xml:space="preserve"> </w:t>
      </w:r>
      <w:r>
        <w:rPr>
          <w:i/>
        </w:rPr>
        <w:t>Herrera Espinoza y otros</w:t>
      </w:r>
      <w:r w:rsidRPr="00987E41">
        <w:rPr>
          <w:i/>
        </w:rPr>
        <w:t xml:space="preserve"> Vs. </w:t>
      </w:r>
      <w:r>
        <w:rPr>
          <w:i/>
        </w:rPr>
        <w:t>Ecuador</w:t>
      </w:r>
      <w:r w:rsidRPr="00DE09C1">
        <w:t xml:space="preserve"> Resolución del Presidente de la Corte </w:t>
      </w:r>
      <w:r w:rsidR="00EA5665">
        <w:t>Interamericana de Derechos Humanos</w:t>
      </w:r>
      <w:r w:rsidR="00EA5665" w:rsidRPr="00DE09C1">
        <w:t xml:space="preserve"> </w:t>
      </w:r>
      <w:r w:rsidRPr="00DE09C1">
        <w:t xml:space="preserve">de </w:t>
      </w:r>
      <w:r>
        <w:t>10</w:t>
      </w:r>
      <w:r w:rsidRPr="00DE09C1">
        <w:t xml:space="preserve"> de </w:t>
      </w:r>
      <w:r>
        <w:t>diciembre</w:t>
      </w:r>
      <w:r w:rsidRPr="00DE09C1">
        <w:t xml:space="preserve"> de 201</w:t>
      </w:r>
      <w:r>
        <w:t>5</w:t>
      </w:r>
      <w:r w:rsidRPr="00DE09C1">
        <w:t>,</w:t>
      </w:r>
      <w:r w:rsidRPr="00341369">
        <w:t xml:space="preserve"> </w:t>
      </w:r>
      <w:r w:rsidR="005448DB">
        <w:t>c</w:t>
      </w:r>
      <w:r w:rsidRPr="00341369">
        <w:t xml:space="preserve">onsiderando </w:t>
      </w:r>
      <w:r>
        <w:t>12</w:t>
      </w:r>
      <w:r w:rsidRPr="00B473DC">
        <w:t xml:space="preserve">. </w:t>
      </w:r>
    </w:p>
  </w:footnote>
  <w:footnote w:id="13">
    <w:p w:rsidR="00C85CBC" w:rsidRPr="00EC3204" w:rsidRDefault="00C85CBC" w:rsidP="00E30DBC">
      <w:pPr>
        <w:pStyle w:val="FootnoteText"/>
        <w:spacing w:before="0" w:after="0"/>
        <w:rPr>
          <w:rFonts w:cs="Times"/>
          <w:lang w:val="es-CR"/>
        </w:rPr>
      </w:pPr>
      <w:r w:rsidRPr="00EC3204">
        <w:rPr>
          <w:rStyle w:val="FootnoteReference"/>
        </w:rPr>
        <w:footnoteRef/>
      </w:r>
      <w:r w:rsidRPr="00EC3204">
        <w:t xml:space="preserve"> </w:t>
      </w:r>
      <w:r w:rsidRPr="00EC3204">
        <w:tab/>
      </w:r>
      <w:r w:rsidRPr="00EC3204">
        <w:rPr>
          <w:i/>
        </w:rPr>
        <w:t>Cfr. Caso Pedro Miguel Vera Vera y otros Vs. Ecuador.</w:t>
      </w:r>
      <w:r w:rsidRPr="00EC3204">
        <w:t xml:space="preserve"> Resolución del Presidente de la </w:t>
      </w:r>
      <w:r w:rsidRPr="00E4479F">
        <w:t>Cor</w:t>
      </w:r>
      <w:r w:rsidR="00EC3204" w:rsidRPr="00E4479F">
        <w:t xml:space="preserve">te </w:t>
      </w:r>
      <w:r w:rsidR="00EA5665">
        <w:t>Interamericana de Derechos Humanos</w:t>
      </w:r>
      <w:r w:rsidR="00EA5665" w:rsidRPr="00E4479F">
        <w:t xml:space="preserve"> </w:t>
      </w:r>
      <w:r w:rsidR="00EC3204" w:rsidRPr="00E4479F">
        <w:t xml:space="preserve">de 23 de diciembre de 2010, </w:t>
      </w:r>
      <w:r w:rsidR="00534E59" w:rsidRPr="00EC3204">
        <w:t>c</w:t>
      </w:r>
      <w:r w:rsidRPr="00EC3204">
        <w:t xml:space="preserve">onsiderando 9, y </w:t>
      </w:r>
      <w:r w:rsidR="00534E59" w:rsidRPr="00EC3204">
        <w:rPr>
          <w:i/>
        </w:rPr>
        <w:t>Caso Amrhein y otros Vs. Costa Rica</w:t>
      </w:r>
      <w:r w:rsidR="00534E59" w:rsidRPr="00EC3204">
        <w:t xml:space="preserve">. Resolución del Presidente de la Corte </w:t>
      </w:r>
      <w:r w:rsidR="00EA5665">
        <w:t>Interamericana de Derechos Humanos</w:t>
      </w:r>
      <w:r w:rsidR="00EA5665" w:rsidRPr="00EC3204">
        <w:t xml:space="preserve"> </w:t>
      </w:r>
      <w:r w:rsidR="00534E59" w:rsidRPr="00EC3204">
        <w:t>de 12 de julio de 2017, considerando 12.</w:t>
      </w:r>
    </w:p>
  </w:footnote>
  <w:footnote w:id="14">
    <w:p w:rsidR="00C85CBC" w:rsidRPr="00EC3204" w:rsidRDefault="00C85CBC">
      <w:pPr>
        <w:pStyle w:val="FootnoteText"/>
        <w:spacing w:before="0" w:after="0"/>
      </w:pPr>
      <w:r w:rsidRPr="00EC3204">
        <w:rPr>
          <w:rStyle w:val="FootnoteReference"/>
        </w:rPr>
        <w:footnoteRef/>
      </w:r>
      <w:r w:rsidRPr="00EC3204">
        <w:t xml:space="preserve"> </w:t>
      </w:r>
      <w:r w:rsidR="00534E59" w:rsidRPr="00EC3204">
        <w:tab/>
      </w:r>
      <w:r w:rsidRPr="00EC3204">
        <w:rPr>
          <w:i/>
        </w:rPr>
        <w:t>Cfr. Caso Herrera Espinoza y otros Vs. Ecuador.</w:t>
      </w:r>
      <w:r w:rsidRPr="00EC3204">
        <w:t xml:space="preserve"> Resolución del Presidente de la Corte </w:t>
      </w:r>
      <w:r w:rsidR="00DC775C">
        <w:t>Interamericana de Derechos Humanos</w:t>
      </w:r>
      <w:r w:rsidR="00DC775C" w:rsidRPr="00EC3204">
        <w:t xml:space="preserve"> </w:t>
      </w:r>
      <w:r w:rsidRPr="00EC3204">
        <w:t>de 10 de diciembre</w:t>
      </w:r>
      <w:r w:rsidR="00534E59" w:rsidRPr="00EC3204">
        <w:t xml:space="preserve"> de 2015, c</w:t>
      </w:r>
      <w:r w:rsidRPr="00EC3204">
        <w:t xml:space="preserve">onsiderando 19, y </w:t>
      </w:r>
      <w:r w:rsidR="00534E59" w:rsidRPr="00EC3204">
        <w:rPr>
          <w:i/>
        </w:rPr>
        <w:t>Caso Amrhein y otros Vs. Costa Rica</w:t>
      </w:r>
      <w:r w:rsidR="00534E59" w:rsidRPr="00EC3204">
        <w:t xml:space="preserve">. Resolución del Presidente de la Corte </w:t>
      </w:r>
      <w:r w:rsidR="00DC775C">
        <w:t>Interamericana de Derechos Humanos</w:t>
      </w:r>
      <w:r w:rsidR="00DC775C" w:rsidRPr="00EC3204">
        <w:t xml:space="preserve"> </w:t>
      </w:r>
      <w:r w:rsidR="00534E59" w:rsidRPr="00EC3204">
        <w:t>de 12 de julio de 2017, considerando 12.</w:t>
      </w:r>
    </w:p>
  </w:footnote>
  <w:footnote w:id="15">
    <w:p w:rsidR="00EC3204" w:rsidRPr="00EC3204" w:rsidRDefault="00EC3204">
      <w:pPr>
        <w:pStyle w:val="FootnoteText"/>
        <w:spacing w:before="0" w:after="0"/>
        <w:rPr>
          <w:lang w:val="es-CO"/>
        </w:rPr>
      </w:pPr>
      <w:r w:rsidRPr="00EC3204">
        <w:rPr>
          <w:rStyle w:val="FootnoteReference"/>
        </w:rPr>
        <w:footnoteRef/>
      </w:r>
      <w:r w:rsidRPr="00EC3204">
        <w:t xml:space="preserve"> </w:t>
      </w:r>
      <w:r w:rsidRPr="00EC3204">
        <w:tab/>
      </w:r>
      <w:r w:rsidRPr="00EC3204">
        <w:rPr>
          <w:i/>
        </w:rPr>
        <w:t>Cfr</w:t>
      </w:r>
      <w:r w:rsidRPr="00EC3204">
        <w:t xml:space="preserve">. </w:t>
      </w:r>
      <w:r w:rsidRPr="00DC775C">
        <w:rPr>
          <w:i/>
        </w:rPr>
        <w:t>Caso</w:t>
      </w:r>
      <w:r w:rsidRPr="00EC3204">
        <w:rPr>
          <w:i/>
        </w:rPr>
        <w:t xml:space="preserve"> Barbani Duarte y Otros Vs. Uruguay.</w:t>
      </w:r>
      <w:r w:rsidRPr="00EC3204">
        <w:t xml:space="preserve"> Resolución del Presidente de la Corte Interamericana de Derechos Humanos de 31 de enero de 2011, </w:t>
      </w:r>
      <w:r w:rsidR="005448DB">
        <w:t>c</w:t>
      </w:r>
      <w:r w:rsidRPr="00EC3204">
        <w:t xml:space="preserve">onsiderando 16, y </w:t>
      </w:r>
      <w:r w:rsidR="00AC1A76">
        <w:rPr>
          <w:i/>
        </w:rPr>
        <w:t>C</w:t>
      </w:r>
      <w:r w:rsidR="00AC1A76" w:rsidRPr="00E23D64">
        <w:rPr>
          <w:i/>
          <w:lang w:val="es-CR"/>
        </w:rPr>
        <w:t xml:space="preserve">aso </w:t>
      </w:r>
      <w:r w:rsidR="00AC1A76">
        <w:rPr>
          <w:i/>
          <w:lang w:val="es-CR"/>
        </w:rPr>
        <w:t>Villamizar Durán y otros</w:t>
      </w:r>
      <w:r w:rsidR="00AC1A76" w:rsidRPr="00E23D64">
        <w:rPr>
          <w:i/>
          <w:lang w:val="es-CR"/>
        </w:rPr>
        <w:t xml:space="preserve"> Vs. </w:t>
      </w:r>
      <w:r w:rsidR="00AC1A76">
        <w:rPr>
          <w:i/>
          <w:lang w:val="es-CR"/>
        </w:rPr>
        <w:t>C</w:t>
      </w:r>
      <w:r w:rsidR="00AC1A76">
        <w:rPr>
          <w:i/>
        </w:rPr>
        <w:t>olombia</w:t>
      </w:r>
      <w:r w:rsidR="00AC1A76" w:rsidRPr="00E23D64">
        <w:rPr>
          <w:i/>
        </w:rPr>
        <w:t>.</w:t>
      </w:r>
      <w:r w:rsidR="00AC1A76" w:rsidRPr="00E23D64">
        <w:t xml:space="preserve"> Resolución del President</w:t>
      </w:r>
      <w:r w:rsidR="00AC1A76">
        <w:t>e</w:t>
      </w:r>
      <w:r w:rsidR="00AC1A76" w:rsidRPr="00E23D64">
        <w:t xml:space="preserve"> de la Corte Interamericana de Derechos Humanos de </w:t>
      </w:r>
      <w:r w:rsidR="00AC1A76">
        <w:t>1</w:t>
      </w:r>
      <w:r w:rsidR="00AC1A76" w:rsidRPr="00E23D64">
        <w:t xml:space="preserve">2 de </w:t>
      </w:r>
      <w:r w:rsidR="00AC1A76">
        <w:t>septiembre</w:t>
      </w:r>
      <w:r w:rsidR="00AC1A76" w:rsidRPr="00E23D64">
        <w:t xml:space="preserve"> de 201</w:t>
      </w:r>
      <w:r w:rsidR="00AC1A76">
        <w:t>7</w:t>
      </w:r>
      <w:r w:rsidR="00AC1A76" w:rsidRPr="00E23D64">
        <w:t xml:space="preserve">, considerando </w:t>
      </w:r>
      <w:r w:rsidR="00AC1A76">
        <w:t>30</w:t>
      </w:r>
      <w:r w:rsidR="00AC1A76" w:rsidRPr="00E23D64">
        <w:t>.</w:t>
      </w:r>
    </w:p>
  </w:footnote>
  <w:footnote w:id="16">
    <w:p w:rsidR="00EC3204" w:rsidRPr="00EC3204" w:rsidRDefault="00EC3204">
      <w:pPr>
        <w:pStyle w:val="FootnoteText"/>
        <w:spacing w:before="0" w:after="0"/>
      </w:pPr>
      <w:r w:rsidRPr="00EC3204">
        <w:rPr>
          <w:rStyle w:val="FootnoteReference"/>
        </w:rPr>
        <w:footnoteRef/>
      </w:r>
      <w:r w:rsidRPr="00EC3204">
        <w:t xml:space="preserve"> </w:t>
      </w:r>
      <w:r w:rsidR="009513BF">
        <w:rPr>
          <w:b/>
        </w:rPr>
        <w:tab/>
      </w:r>
      <w:r w:rsidRPr="00EC3204">
        <w:rPr>
          <w:i/>
        </w:rPr>
        <w:t>Cfr. Caso Contreras y otros Vs. El Salvador</w:t>
      </w:r>
      <w:r w:rsidRPr="00EC3204">
        <w:t xml:space="preserve">. Resolución del Presidente de la Corte </w:t>
      </w:r>
      <w:r w:rsidR="00DC775C">
        <w:t>Interamericana de Derechos Humanos</w:t>
      </w:r>
      <w:r w:rsidR="00DC775C" w:rsidRPr="00EC3204">
        <w:t xml:space="preserve"> </w:t>
      </w:r>
      <w:r w:rsidRPr="00EC3204">
        <w:t>de 14 de abril de 2011</w:t>
      </w:r>
      <w:r w:rsidR="005448DB">
        <w:t>,</w:t>
      </w:r>
      <w:r w:rsidRPr="00EC3204">
        <w:t xml:space="preserve"> </w:t>
      </w:r>
      <w:r w:rsidR="005448DB">
        <w:t>c</w:t>
      </w:r>
      <w:r w:rsidRPr="00EC3204">
        <w:t xml:space="preserve">onsiderando 25, y </w:t>
      </w:r>
      <w:r w:rsidR="00152FEB">
        <w:rPr>
          <w:i/>
        </w:rPr>
        <w:t>C</w:t>
      </w:r>
      <w:r w:rsidR="00152FEB" w:rsidRPr="00E23D64">
        <w:rPr>
          <w:i/>
          <w:lang w:val="es-CR"/>
        </w:rPr>
        <w:t xml:space="preserve">aso </w:t>
      </w:r>
      <w:r w:rsidR="00152FEB">
        <w:rPr>
          <w:i/>
          <w:lang w:val="es-CR"/>
        </w:rPr>
        <w:t>Villamizar Durán y otros</w:t>
      </w:r>
      <w:r w:rsidR="00152FEB" w:rsidRPr="00E23D64">
        <w:rPr>
          <w:i/>
          <w:lang w:val="es-CR"/>
        </w:rPr>
        <w:t xml:space="preserve"> Vs. </w:t>
      </w:r>
      <w:r w:rsidR="00152FEB">
        <w:rPr>
          <w:i/>
          <w:lang w:val="es-CR"/>
        </w:rPr>
        <w:t>C</w:t>
      </w:r>
      <w:r w:rsidR="00152FEB">
        <w:rPr>
          <w:i/>
        </w:rPr>
        <w:t>olombia</w:t>
      </w:r>
      <w:r w:rsidR="00152FEB" w:rsidRPr="00E23D64">
        <w:rPr>
          <w:i/>
        </w:rPr>
        <w:t>.</w:t>
      </w:r>
      <w:r w:rsidR="00152FEB" w:rsidRPr="00E23D64">
        <w:t xml:space="preserve"> Resolución del President</w:t>
      </w:r>
      <w:r w:rsidR="00152FEB">
        <w:t>e</w:t>
      </w:r>
      <w:r w:rsidR="00152FEB" w:rsidRPr="00E23D64">
        <w:t xml:space="preserve"> de la Corte Interamericana de Derechos Humanos de </w:t>
      </w:r>
      <w:r w:rsidR="00152FEB">
        <w:t>1</w:t>
      </w:r>
      <w:r w:rsidR="00152FEB" w:rsidRPr="00E23D64">
        <w:t xml:space="preserve">2 de </w:t>
      </w:r>
      <w:r w:rsidR="00152FEB">
        <w:t>septiembre</w:t>
      </w:r>
      <w:r w:rsidR="00152FEB" w:rsidRPr="00E23D64">
        <w:t xml:space="preserve"> de 201</w:t>
      </w:r>
      <w:r w:rsidR="00152FEB">
        <w:t>7</w:t>
      </w:r>
      <w:r w:rsidR="00152FEB" w:rsidRPr="00E23D64">
        <w:t xml:space="preserve">, considerando </w:t>
      </w:r>
      <w:r w:rsidR="00152FEB">
        <w:t>30</w:t>
      </w:r>
      <w:r w:rsidRPr="00EC3204">
        <w:rPr>
          <w:rStyle w:val="Strong"/>
          <w:b w:val="0"/>
          <w:color w:val="000000"/>
          <w:shd w:val="clear" w:color="auto" w:fill="FFFFFF"/>
          <w:lang w:val="es-CR"/>
        </w:rPr>
        <w:t>.</w:t>
      </w:r>
    </w:p>
  </w:footnote>
  <w:footnote w:id="17">
    <w:p w:rsidR="005C0291" w:rsidRPr="00EC3204" w:rsidRDefault="005C0291">
      <w:pPr>
        <w:pStyle w:val="FootnoteText"/>
        <w:spacing w:before="0" w:after="0"/>
      </w:pPr>
      <w:r w:rsidRPr="00EC3204">
        <w:rPr>
          <w:rStyle w:val="FootnoteReference"/>
          <w:rFonts w:cs="Times"/>
        </w:rPr>
        <w:footnoteRef/>
      </w:r>
      <w:r w:rsidRPr="00EC3204">
        <w:t xml:space="preserve"> </w:t>
      </w:r>
      <w:r w:rsidRPr="00EC3204">
        <w:tab/>
        <w:t>Dicha norma prevé que “[e]n casos de presuntas víctimas sin representación legal debidamente acreditada, el Tribunal podrá designar un Defensor Interamericano de oficio que las represente durante la tramitación de[l] caso”.</w:t>
      </w:r>
    </w:p>
  </w:footnote>
  <w:footnote w:id="18">
    <w:p w:rsidR="005C0291" w:rsidRPr="00EC3204" w:rsidRDefault="005C0291">
      <w:pPr>
        <w:pStyle w:val="FootnoteText"/>
        <w:spacing w:before="0" w:after="0"/>
      </w:pPr>
      <w:r w:rsidRPr="00EC3204">
        <w:rPr>
          <w:rStyle w:val="FootnoteReference"/>
        </w:rPr>
        <w:footnoteRef/>
      </w:r>
      <w:r w:rsidRPr="00EC3204">
        <w:t xml:space="preserve"> </w:t>
      </w:r>
      <w:r w:rsidRPr="00EC3204">
        <w:tab/>
      </w:r>
      <w:r w:rsidRPr="00EC3204">
        <w:rPr>
          <w:i/>
        </w:rPr>
        <w:t>C</w:t>
      </w:r>
      <w:r w:rsidR="00C5384C" w:rsidRPr="00EC3204">
        <w:rPr>
          <w:i/>
        </w:rPr>
        <w:t>fr. Caso Familia Pacheco Tineo V</w:t>
      </w:r>
      <w:r w:rsidRPr="00EC3204">
        <w:rPr>
          <w:i/>
        </w:rPr>
        <w:t xml:space="preserve">s. Bolivia. </w:t>
      </w:r>
      <w:r w:rsidRPr="00EC3204">
        <w:t xml:space="preserve">Resolución del Presidente de la Corte </w:t>
      </w:r>
      <w:r w:rsidR="00BA0535">
        <w:t>Interamericana de Derechos Humanos</w:t>
      </w:r>
      <w:r w:rsidR="00BA0535" w:rsidRPr="00EC3204">
        <w:t xml:space="preserve"> </w:t>
      </w:r>
      <w:r w:rsidRPr="00EC3204">
        <w:t xml:space="preserve">de 19 de febrero de 2013, </w:t>
      </w:r>
      <w:r w:rsidR="00E77539">
        <w:t xml:space="preserve">considerando </w:t>
      </w:r>
      <w:r w:rsidRPr="00EC3204">
        <w:t>11</w:t>
      </w:r>
      <w:r w:rsidR="00E16B75" w:rsidRPr="00EC3204">
        <w:t>,</w:t>
      </w:r>
      <w:r w:rsidRPr="00EC3204">
        <w:t xml:space="preserve"> y </w:t>
      </w:r>
      <w:r w:rsidR="00C5384C" w:rsidRPr="00EC3204">
        <w:rPr>
          <w:i/>
        </w:rPr>
        <w:t>Caso Amrhein y otros Vs. Costa Rica</w:t>
      </w:r>
      <w:r w:rsidRPr="00EC3204">
        <w:t xml:space="preserve">. Resolución </w:t>
      </w:r>
      <w:r w:rsidR="00C5384C" w:rsidRPr="00EC3204">
        <w:t xml:space="preserve">del Presidente de la Corte </w:t>
      </w:r>
      <w:r w:rsidR="00BA0535">
        <w:t>Interamericana de Derechos Humanos</w:t>
      </w:r>
      <w:r w:rsidR="00BA0535" w:rsidRPr="00EC3204">
        <w:t xml:space="preserve"> </w:t>
      </w:r>
      <w:r w:rsidR="00C5384C" w:rsidRPr="00EC3204">
        <w:t>de 12 de julio</w:t>
      </w:r>
      <w:r w:rsidRPr="00EC3204">
        <w:t xml:space="preserve"> de 20</w:t>
      </w:r>
      <w:r w:rsidR="00C5384C" w:rsidRPr="00EC3204">
        <w:t>17</w:t>
      </w:r>
      <w:r w:rsidR="00534E59" w:rsidRPr="00EC3204">
        <w:t>, considerand</w:t>
      </w:r>
      <w:r w:rsidR="00C5384C" w:rsidRPr="00EC3204">
        <w:t>o 43</w:t>
      </w:r>
      <w:r w:rsidRPr="00EC320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828484"/>
      <w:docPartObj>
        <w:docPartGallery w:val="Page Numbers (Top of Page)"/>
        <w:docPartUnique/>
      </w:docPartObj>
    </w:sdtPr>
    <w:sdtEndPr>
      <w:rPr>
        <w:noProof/>
      </w:rPr>
    </w:sdtEndPr>
    <w:sdtContent>
      <w:p w:rsidR="00145079" w:rsidRDefault="00145079">
        <w:pPr>
          <w:pStyle w:val="Header"/>
          <w:jc w:val="center"/>
        </w:pPr>
        <w:r>
          <w:t>-</w:t>
        </w:r>
        <w:r>
          <w:fldChar w:fldCharType="begin"/>
        </w:r>
        <w:r>
          <w:instrText xml:space="preserve"> PAGE   \* MERGEFORMAT </w:instrText>
        </w:r>
        <w:r>
          <w:fldChar w:fldCharType="separate"/>
        </w:r>
        <w:r w:rsidR="0090642E">
          <w:rPr>
            <w:noProof/>
          </w:rPr>
          <w:t>15</w:t>
        </w:r>
        <w:r>
          <w:rPr>
            <w:noProof/>
          </w:rPr>
          <w:fldChar w:fldCharType="end"/>
        </w:r>
        <w:r>
          <w:rPr>
            <w:noProof/>
          </w:rPr>
          <w:t>-</w:t>
        </w:r>
      </w:p>
    </w:sdtContent>
  </w:sdt>
  <w:p w:rsidR="00145079" w:rsidRDefault="00145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79" w:rsidRDefault="00145079">
    <w:pPr>
      <w:pStyle w:val="Header"/>
      <w:jc w:val="center"/>
    </w:pPr>
  </w:p>
  <w:p w:rsidR="00145079" w:rsidRDefault="00145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BFF"/>
    <w:multiLevelType w:val="hybridMultilevel"/>
    <w:tmpl w:val="1C80CF6E"/>
    <w:lvl w:ilvl="0" w:tplc="04090015">
      <w:start w:val="1"/>
      <w:numFmt w:val="upperLetter"/>
      <w:lvlText w:val="%1."/>
      <w:lvlJc w:val="left"/>
      <w:pPr>
        <w:ind w:left="720" w:hanging="360"/>
      </w:pPr>
      <w:rPr>
        <w:rFonts w:hint="default"/>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4AC25A3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08472C"/>
    <w:multiLevelType w:val="hybridMultilevel"/>
    <w:tmpl w:val="EE665104"/>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2">
    <w:nsid w:val="1ECE7B85"/>
    <w:multiLevelType w:val="hybridMultilevel"/>
    <w:tmpl w:val="AA9E1D94"/>
    <w:lvl w:ilvl="0" w:tplc="04B29282">
      <w:start w:val="1"/>
      <w:numFmt w:val="lowerLetter"/>
      <w:lvlText w:val="%1."/>
      <w:lvlJc w:val="left"/>
      <w:pPr>
        <w:ind w:left="1080" w:hanging="360"/>
      </w:pPr>
      <w:rPr>
        <w:rFonts w:hint="default"/>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nsid w:val="1FBE76AC"/>
    <w:multiLevelType w:val="hybridMultilevel"/>
    <w:tmpl w:val="00CA97C2"/>
    <w:lvl w:ilvl="0" w:tplc="140A0015">
      <w:start w:val="1"/>
      <w:numFmt w:val="upperLetter"/>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4">
    <w:nsid w:val="21283FE2"/>
    <w:multiLevelType w:val="hybridMultilevel"/>
    <w:tmpl w:val="EE665104"/>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5">
    <w:nsid w:val="2A780770"/>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754BB"/>
    <w:multiLevelType w:val="hybridMultilevel"/>
    <w:tmpl w:val="D090AC0C"/>
    <w:lvl w:ilvl="0" w:tplc="04090015">
      <w:start w:val="1"/>
      <w:numFmt w:val="upperLetter"/>
      <w:lvlText w:val="%1."/>
      <w:lvlJc w:val="left"/>
      <w:pPr>
        <w:ind w:left="720" w:hanging="360"/>
      </w:pPr>
      <w:rPr>
        <w:rFonts w:hint="default"/>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38404A"/>
    <w:multiLevelType w:val="hybridMultilevel"/>
    <w:tmpl w:val="1FE64136"/>
    <w:lvl w:ilvl="0" w:tplc="98F6B9EA">
      <w:start w:val="1"/>
      <w:numFmt w:val="decimal"/>
      <w:lvlText w:val="%1."/>
      <w:lvlJc w:val="left"/>
      <w:pPr>
        <w:tabs>
          <w:tab w:val="num" w:pos="1620"/>
        </w:tabs>
        <w:ind w:left="0" w:firstLine="0"/>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
    <w:nsid w:val="434978AC"/>
    <w:multiLevelType w:val="hybridMultilevel"/>
    <w:tmpl w:val="86BC78B2"/>
    <w:lvl w:ilvl="0" w:tplc="140A0015">
      <w:start w:val="1"/>
      <w:numFmt w:val="upp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4BFC57B8"/>
    <w:multiLevelType w:val="hybridMultilevel"/>
    <w:tmpl w:val="B69064D8"/>
    <w:lvl w:ilvl="0" w:tplc="9A22BA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7633564"/>
    <w:multiLevelType w:val="hybridMultilevel"/>
    <w:tmpl w:val="B8F66A6E"/>
    <w:lvl w:ilvl="0" w:tplc="54D4D9A8">
      <w:start w:val="500"/>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5D8806CF"/>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450"/>
        </w:tabs>
        <w:ind w:left="450" w:hanging="360"/>
      </w:pPr>
      <w:rPr>
        <w:i w:val="0"/>
      </w:rPr>
    </w:lvl>
    <w:lvl w:ilvl="4" w:tplc="54B4E548">
      <w:start w:val="1"/>
      <w:numFmt w:val="upperLetter"/>
      <w:lvlText w:val="%5)"/>
      <w:lvlJc w:val="left"/>
      <w:pPr>
        <w:ind w:left="3960" w:hanging="360"/>
      </w:pPr>
      <w:rPr>
        <w:i/>
      </w:r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2">
    <w:nsid w:val="615D6ECD"/>
    <w:multiLevelType w:val="hybridMultilevel"/>
    <w:tmpl w:val="70BA2DC8"/>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pStyle w:val="ListParagraph"/>
      <w:lvlText w:val="%2."/>
      <w:lvlJc w:val="left"/>
      <w:pPr>
        <w:tabs>
          <w:tab w:val="num" w:pos="993"/>
        </w:tabs>
      </w:pPr>
      <w:rPr>
        <w:rFonts w:hint="default"/>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DF4032A0">
      <w:start w:val="1"/>
      <w:numFmt w:val="decimal"/>
      <w:lvlText w:val="%4."/>
      <w:lvlJc w:val="left"/>
      <w:pPr>
        <w:ind w:left="3240" w:hanging="360"/>
      </w:pPr>
      <w:rPr>
        <w:b w:val="0"/>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3">
    <w:nsid w:val="62C97D24"/>
    <w:multiLevelType w:val="hybridMultilevel"/>
    <w:tmpl w:val="C0FAAC86"/>
    <w:lvl w:ilvl="0" w:tplc="3F2CF080">
      <w:start w:val="1"/>
      <w:numFmt w:val="decimal"/>
      <w:lvlText w:val="%1."/>
      <w:lvlJc w:val="left"/>
      <w:pPr>
        <w:ind w:left="1080" w:hanging="720"/>
      </w:pPr>
      <w:rPr>
        <w:rFonts w:hint="default"/>
        <w:b w:val="0"/>
      </w:rPr>
    </w:lvl>
    <w:lvl w:ilvl="1" w:tplc="B08C5A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67737"/>
    <w:multiLevelType w:val="hybridMultilevel"/>
    <w:tmpl w:val="AC36151A"/>
    <w:lvl w:ilvl="0" w:tplc="C3A882F0">
      <w:start w:val="1"/>
      <w:numFmt w:val="upperLetter"/>
      <w:lvlText w:val="%1."/>
      <w:lvlJc w:val="left"/>
      <w:pPr>
        <w:ind w:left="930" w:hanging="360"/>
      </w:pPr>
      <w:rPr>
        <w:rFonts w:hint="default"/>
        <w:b w:val="0"/>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15">
    <w:nsid w:val="644167C5"/>
    <w:multiLevelType w:val="hybridMultilevel"/>
    <w:tmpl w:val="56E2A2AE"/>
    <w:lvl w:ilvl="0" w:tplc="0FD0E226">
      <w:start w:val="2"/>
      <w:numFmt w:val="decimal"/>
      <w:lvlText w:val="%1."/>
      <w:lvlJc w:val="left"/>
      <w:pPr>
        <w:tabs>
          <w:tab w:val="num" w:pos="3600"/>
        </w:tabs>
      </w:pPr>
      <w:rPr>
        <w:rFonts w:ascii="Verdana" w:hAnsi="Verdana" w:cs="Times New Roman" w:hint="default"/>
        <w:b w:val="0"/>
        <w:i w:val="0"/>
        <w:sz w:val="20"/>
      </w:r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6">
    <w:nsid w:val="701E7730"/>
    <w:multiLevelType w:val="hybridMultilevel"/>
    <w:tmpl w:val="44EC8F8A"/>
    <w:lvl w:ilvl="0" w:tplc="687274CC">
      <w:start w:val="1"/>
      <w:numFmt w:val="upperLetter"/>
      <w:lvlText w:val="%1."/>
      <w:lvlJc w:val="left"/>
      <w:pPr>
        <w:ind w:left="1080" w:hanging="72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3F727DD"/>
    <w:multiLevelType w:val="hybridMultilevel"/>
    <w:tmpl w:val="EE665104"/>
    <w:lvl w:ilvl="0" w:tplc="140A000F">
      <w:start w:val="1"/>
      <w:numFmt w:val="decimal"/>
      <w:lvlText w:val="%1."/>
      <w:lvlJc w:val="left"/>
      <w:pPr>
        <w:ind w:left="1429" w:hanging="360"/>
      </w:pPr>
    </w:lvl>
    <w:lvl w:ilvl="1" w:tplc="140A0019">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num w:numId="1">
    <w:abstractNumId w:val="12"/>
  </w:num>
  <w:num w:numId="2">
    <w:abstractNumId w:val="13"/>
  </w:num>
  <w:num w:numId="3">
    <w:abstractNumId w:val="5"/>
  </w:num>
  <w:num w:numId="4">
    <w:abstractNumId w:val="16"/>
  </w:num>
  <w:num w:numId="5">
    <w:abstractNumId w:val="6"/>
  </w:num>
  <w:num w:numId="6">
    <w:abstractNumId w:val="15"/>
  </w:num>
  <w:num w:numId="7">
    <w:abstractNumId w:val="0"/>
  </w:num>
  <w:num w:numId="8">
    <w:abstractNumId w:val="14"/>
  </w:num>
  <w:num w:numId="9">
    <w:abstractNumId w:val="4"/>
  </w:num>
  <w:num w:numId="10">
    <w:abstractNumId w:val="10"/>
  </w:num>
  <w:num w:numId="11">
    <w:abstractNumId w:val="12"/>
  </w:num>
  <w:num w:numId="12">
    <w:abstractNumId w:val="3"/>
  </w:num>
  <w:num w:numId="13">
    <w:abstractNumId w:val="8"/>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7"/>
  </w:num>
  <w:num w:numId="24">
    <w:abstractNumId w:val="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2"/>
  </w:num>
  <w:num w:numId="31">
    <w:abstractNumId w:val="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num>
  <w:num w:numId="35">
    <w:abstractNumId w:val="12"/>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91"/>
    <w:rsid w:val="000034C9"/>
    <w:rsid w:val="00005969"/>
    <w:rsid w:val="0000602B"/>
    <w:rsid w:val="00006B9A"/>
    <w:rsid w:val="00010029"/>
    <w:rsid w:val="00022165"/>
    <w:rsid w:val="00023B03"/>
    <w:rsid w:val="00033E39"/>
    <w:rsid w:val="000363B6"/>
    <w:rsid w:val="00044F16"/>
    <w:rsid w:val="00046011"/>
    <w:rsid w:val="000467C5"/>
    <w:rsid w:val="00046F01"/>
    <w:rsid w:val="00051ADF"/>
    <w:rsid w:val="00065F2D"/>
    <w:rsid w:val="00067FAE"/>
    <w:rsid w:val="00071CB9"/>
    <w:rsid w:val="00072415"/>
    <w:rsid w:val="000732B1"/>
    <w:rsid w:val="00093787"/>
    <w:rsid w:val="00094055"/>
    <w:rsid w:val="00096DC3"/>
    <w:rsid w:val="000A3F7F"/>
    <w:rsid w:val="000A6142"/>
    <w:rsid w:val="000B0403"/>
    <w:rsid w:val="000B6998"/>
    <w:rsid w:val="000B7A9D"/>
    <w:rsid w:val="000C1CE6"/>
    <w:rsid w:val="000C5869"/>
    <w:rsid w:val="000D3A51"/>
    <w:rsid w:val="000D442A"/>
    <w:rsid w:val="000E6A58"/>
    <w:rsid w:val="000F740F"/>
    <w:rsid w:val="0012778E"/>
    <w:rsid w:val="00130978"/>
    <w:rsid w:val="00132AC1"/>
    <w:rsid w:val="00133D43"/>
    <w:rsid w:val="00145079"/>
    <w:rsid w:val="00152FEB"/>
    <w:rsid w:val="0015382D"/>
    <w:rsid w:val="00154EFC"/>
    <w:rsid w:val="0016038F"/>
    <w:rsid w:val="00164D9C"/>
    <w:rsid w:val="00165C4B"/>
    <w:rsid w:val="0016648E"/>
    <w:rsid w:val="00173CDD"/>
    <w:rsid w:val="00173EB3"/>
    <w:rsid w:val="00174AE0"/>
    <w:rsid w:val="00191059"/>
    <w:rsid w:val="001A0CA2"/>
    <w:rsid w:val="001A2017"/>
    <w:rsid w:val="001A7782"/>
    <w:rsid w:val="001D3788"/>
    <w:rsid w:val="001D4523"/>
    <w:rsid w:val="001D53AD"/>
    <w:rsid w:val="001E0702"/>
    <w:rsid w:val="001F588A"/>
    <w:rsid w:val="001F6EA9"/>
    <w:rsid w:val="0020165A"/>
    <w:rsid w:val="00201828"/>
    <w:rsid w:val="00210CCA"/>
    <w:rsid w:val="00211109"/>
    <w:rsid w:val="0021122E"/>
    <w:rsid w:val="00214709"/>
    <w:rsid w:val="00215EF9"/>
    <w:rsid w:val="00217062"/>
    <w:rsid w:val="00230E3F"/>
    <w:rsid w:val="0023268E"/>
    <w:rsid w:val="00252DB8"/>
    <w:rsid w:val="002703DF"/>
    <w:rsid w:val="002840C9"/>
    <w:rsid w:val="002A4134"/>
    <w:rsid w:val="002B112F"/>
    <w:rsid w:val="002B1DC9"/>
    <w:rsid w:val="002B5BD5"/>
    <w:rsid w:val="002B6368"/>
    <w:rsid w:val="002C1F6F"/>
    <w:rsid w:val="002C39C5"/>
    <w:rsid w:val="002C3E0D"/>
    <w:rsid w:val="002C425A"/>
    <w:rsid w:val="002C67E1"/>
    <w:rsid w:val="002C73A7"/>
    <w:rsid w:val="002E321A"/>
    <w:rsid w:val="003023DB"/>
    <w:rsid w:val="0030769C"/>
    <w:rsid w:val="00307B5F"/>
    <w:rsid w:val="003108AF"/>
    <w:rsid w:val="00311D5F"/>
    <w:rsid w:val="00316208"/>
    <w:rsid w:val="0032117C"/>
    <w:rsid w:val="00327FBB"/>
    <w:rsid w:val="003302D4"/>
    <w:rsid w:val="00333E20"/>
    <w:rsid w:val="00353866"/>
    <w:rsid w:val="00357E3E"/>
    <w:rsid w:val="00360D8F"/>
    <w:rsid w:val="00362B99"/>
    <w:rsid w:val="0036528A"/>
    <w:rsid w:val="003652E7"/>
    <w:rsid w:val="0036762E"/>
    <w:rsid w:val="003779D3"/>
    <w:rsid w:val="003810D9"/>
    <w:rsid w:val="00382C43"/>
    <w:rsid w:val="003930BB"/>
    <w:rsid w:val="003947A9"/>
    <w:rsid w:val="003954B1"/>
    <w:rsid w:val="003A2F6A"/>
    <w:rsid w:val="003A5F51"/>
    <w:rsid w:val="003A6D0C"/>
    <w:rsid w:val="003C07F2"/>
    <w:rsid w:val="003C12A2"/>
    <w:rsid w:val="003C13A9"/>
    <w:rsid w:val="003D150F"/>
    <w:rsid w:val="003D1783"/>
    <w:rsid w:val="003F283B"/>
    <w:rsid w:val="003F28F2"/>
    <w:rsid w:val="003F3B01"/>
    <w:rsid w:val="003F4418"/>
    <w:rsid w:val="00400FE1"/>
    <w:rsid w:val="0040252D"/>
    <w:rsid w:val="004064A2"/>
    <w:rsid w:val="004106B9"/>
    <w:rsid w:val="00413CEE"/>
    <w:rsid w:val="004172EE"/>
    <w:rsid w:val="00422695"/>
    <w:rsid w:val="004341D2"/>
    <w:rsid w:val="00434CC7"/>
    <w:rsid w:val="0043717D"/>
    <w:rsid w:val="00450953"/>
    <w:rsid w:val="004573C5"/>
    <w:rsid w:val="00462BE1"/>
    <w:rsid w:val="00464BE2"/>
    <w:rsid w:val="0046714C"/>
    <w:rsid w:val="00477287"/>
    <w:rsid w:val="00493F18"/>
    <w:rsid w:val="004A22D4"/>
    <w:rsid w:val="004A63D8"/>
    <w:rsid w:val="004B20F4"/>
    <w:rsid w:val="004B3BC4"/>
    <w:rsid w:val="004B3DC2"/>
    <w:rsid w:val="004C1586"/>
    <w:rsid w:val="004C7C12"/>
    <w:rsid w:val="004D1655"/>
    <w:rsid w:val="004D502A"/>
    <w:rsid w:val="004D78C2"/>
    <w:rsid w:val="004F0C4D"/>
    <w:rsid w:val="004F2241"/>
    <w:rsid w:val="00505283"/>
    <w:rsid w:val="005201FB"/>
    <w:rsid w:val="00521E15"/>
    <w:rsid w:val="00527CE9"/>
    <w:rsid w:val="0053042E"/>
    <w:rsid w:val="00534E59"/>
    <w:rsid w:val="00540683"/>
    <w:rsid w:val="0054278B"/>
    <w:rsid w:val="005448DB"/>
    <w:rsid w:val="00547A58"/>
    <w:rsid w:val="005536A8"/>
    <w:rsid w:val="00564B0F"/>
    <w:rsid w:val="005654C7"/>
    <w:rsid w:val="00567B98"/>
    <w:rsid w:val="00571F86"/>
    <w:rsid w:val="00573E96"/>
    <w:rsid w:val="00575793"/>
    <w:rsid w:val="00576F33"/>
    <w:rsid w:val="00587A3B"/>
    <w:rsid w:val="00587C88"/>
    <w:rsid w:val="00593BFC"/>
    <w:rsid w:val="00596C20"/>
    <w:rsid w:val="005A4969"/>
    <w:rsid w:val="005B16B2"/>
    <w:rsid w:val="005B4BD0"/>
    <w:rsid w:val="005B6808"/>
    <w:rsid w:val="005C0291"/>
    <w:rsid w:val="005C0832"/>
    <w:rsid w:val="005C3378"/>
    <w:rsid w:val="005C47CB"/>
    <w:rsid w:val="005D47D8"/>
    <w:rsid w:val="005E0B6B"/>
    <w:rsid w:val="005E42F2"/>
    <w:rsid w:val="005E6ED0"/>
    <w:rsid w:val="005F3875"/>
    <w:rsid w:val="005F5B2E"/>
    <w:rsid w:val="006017D3"/>
    <w:rsid w:val="00602562"/>
    <w:rsid w:val="00607DDC"/>
    <w:rsid w:val="00611368"/>
    <w:rsid w:val="00612038"/>
    <w:rsid w:val="006132CD"/>
    <w:rsid w:val="00614A16"/>
    <w:rsid w:val="00617BA0"/>
    <w:rsid w:val="00624DC9"/>
    <w:rsid w:val="00641A7D"/>
    <w:rsid w:val="0064228A"/>
    <w:rsid w:val="00643ACE"/>
    <w:rsid w:val="0064494C"/>
    <w:rsid w:val="006520C8"/>
    <w:rsid w:val="0065531F"/>
    <w:rsid w:val="00670136"/>
    <w:rsid w:val="00670F49"/>
    <w:rsid w:val="00672B0D"/>
    <w:rsid w:val="00681F41"/>
    <w:rsid w:val="00691C3F"/>
    <w:rsid w:val="006A1349"/>
    <w:rsid w:val="006B33C0"/>
    <w:rsid w:val="006C400D"/>
    <w:rsid w:val="006C5275"/>
    <w:rsid w:val="006C7554"/>
    <w:rsid w:val="006C7F83"/>
    <w:rsid w:val="006D0424"/>
    <w:rsid w:val="006D5206"/>
    <w:rsid w:val="006E2E98"/>
    <w:rsid w:val="006E54FF"/>
    <w:rsid w:val="006F29C7"/>
    <w:rsid w:val="006F3AE1"/>
    <w:rsid w:val="006F5B8D"/>
    <w:rsid w:val="007145E0"/>
    <w:rsid w:val="00721037"/>
    <w:rsid w:val="007233C1"/>
    <w:rsid w:val="007265AD"/>
    <w:rsid w:val="007330A9"/>
    <w:rsid w:val="00741E98"/>
    <w:rsid w:val="00764435"/>
    <w:rsid w:val="007669E4"/>
    <w:rsid w:val="00772282"/>
    <w:rsid w:val="00773F49"/>
    <w:rsid w:val="007758C9"/>
    <w:rsid w:val="007803CC"/>
    <w:rsid w:val="007A2282"/>
    <w:rsid w:val="007B08CD"/>
    <w:rsid w:val="007B5A5B"/>
    <w:rsid w:val="007C021B"/>
    <w:rsid w:val="007C08D9"/>
    <w:rsid w:val="007D3352"/>
    <w:rsid w:val="007D4EB5"/>
    <w:rsid w:val="007E08D6"/>
    <w:rsid w:val="007E3225"/>
    <w:rsid w:val="007F73D9"/>
    <w:rsid w:val="00801884"/>
    <w:rsid w:val="00801CBE"/>
    <w:rsid w:val="00802495"/>
    <w:rsid w:val="008036F1"/>
    <w:rsid w:val="00806122"/>
    <w:rsid w:val="0080793E"/>
    <w:rsid w:val="00814024"/>
    <w:rsid w:val="008239EE"/>
    <w:rsid w:val="00831757"/>
    <w:rsid w:val="00842332"/>
    <w:rsid w:val="00843B2A"/>
    <w:rsid w:val="0085092F"/>
    <w:rsid w:val="0086074D"/>
    <w:rsid w:val="00881E6F"/>
    <w:rsid w:val="00890A07"/>
    <w:rsid w:val="00892AB8"/>
    <w:rsid w:val="00892C6A"/>
    <w:rsid w:val="008B2886"/>
    <w:rsid w:val="008B4407"/>
    <w:rsid w:val="008B7628"/>
    <w:rsid w:val="008C734D"/>
    <w:rsid w:val="008D2DA2"/>
    <w:rsid w:val="008D3FFE"/>
    <w:rsid w:val="008D5155"/>
    <w:rsid w:val="008D7BB3"/>
    <w:rsid w:val="008E6A9B"/>
    <w:rsid w:val="008E7CCC"/>
    <w:rsid w:val="008F10D5"/>
    <w:rsid w:val="008F3507"/>
    <w:rsid w:val="008F5DF1"/>
    <w:rsid w:val="00900C76"/>
    <w:rsid w:val="00901A0D"/>
    <w:rsid w:val="00904B43"/>
    <w:rsid w:val="0090513B"/>
    <w:rsid w:val="00905A9D"/>
    <w:rsid w:val="0090642E"/>
    <w:rsid w:val="0091256E"/>
    <w:rsid w:val="00913D67"/>
    <w:rsid w:val="00921E10"/>
    <w:rsid w:val="00925F1D"/>
    <w:rsid w:val="00930572"/>
    <w:rsid w:val="0093714F"/>
    <w:rsid w:val="00944F5B"/>
    <w:rsid w:val="00945193"/>
    <w:rsid w:val="009513BF"/>
    <w:rsid w:val="00956FB7"/>
    <w:rsid w:val="00961C58"/>
    <w:rsid w:val="00966041"/>
    <w:rsid w:val="00967C7C"/>
    <w:rsid w:val="00970390"/>
    <w:rsid w:val="009713AA"/>
    <w:rsid w:val="009823F9"/>
    <w:rsid w:val="00984FB9"/>
    <w:rsid w:val="009A52A5"/>
    <w:rsid w:val="009A59A6"/>
    <w:rsid w:val="009B1892"/>
    <w:rsid w:val="009C30E8"/>
    <w:rsid w:val="009D79DF"/>
    <w:rsid w:val="009E658C"/>
    <w:rsid w:val="009E689B"/>
    <w:rsid w:val="009F05F3"/>
    <w:rsid w:val="00A05AC5"/>
    <w:rsid w:val="00A12B79"/>
    <w:rsid w:val="00A13465"/>
    <w:rsid w:val="00A312C5"/>
    <w:rsid w:val="00A4654D"/>
    <w:rsid w:val="00A5209B"/>
    <w:rsid w:val="00A548B9"/>
    <w:rsid w:val="00A640C1"/>
    <w:rsid w:val="00A76A3A"/>
    <w:rsid w:val="00A76C9A"/>
    <w:rsid w:val="00A80ECB"/>
    <w:rsid w:val="00A8606E"/>
    <w:rsid w:val="00A9541D"/>
    <w:rsid w:val="00A979FA"/>
    <w:rsid w:val="00AA1313"/>
    <w:rsid w:val="00AA3C18"/>
    <w:rsid w:val="00AA584E"/>
    <w:rsid w:val="00AA79B0"/>
    <w:rsid w:val="00AA79C7"/>
    <w:rsid w:val="00AC1A76"/>
    <w:rsid w:val="00AC720A"/>
    <w:rsid w:val="00AC743C"/>
    <w:rsid w:val="00AD5AFD"/>
    <w:rsid w:val="00AD5BFB"/>
    <w:rsid w:val="00B00DC2"/>
    <w:rsid w:val="00B035AE"/>
    <w:rsid w:val="00B048D5"/>
    <w:rsid w:val="00B068C4"/>
    <w:rsid w:val="00B109A6"/>
    <w:rsid w:val="00B14C31"/>
    <w:rsid w:val="00B21AF8"/>
    <w:rsid w:val="00B24E27"/>
    <w:rsid w:val="00B369C7"/>
    <w:rsid w:val="00B450DC"/>
    <w:rsid w:val="00B45D17"/>
    <w:rsid w:val="00B473DC"/>
    <w:rsid w:val="00B507FA"/>
    <w:rsid w:val="00B60DA7"/>
    <w:rsid w:val="00B651D6"/>
    <w:rsid w:val="00B65AA0"/>
    <w:rsid w:val="00B7209D"/>
    <w:rsid w:val="00B83114"/>
    <w:rsid w:val="00B875EE"/>
    <w:rsid w:val="00B92AF3"/>
    <w:rsid w:val="00B93A99"/>
    <w:rsid w:val="00B9420D"/>
    <w:rsid w:val="00B9520B"/>
    <w:rsid w:val="00BA0535"/>
    <w:rsid w:val="00BA223A"/>
    <w:rsid w:val="00BB2BCF"/>
    <w:rsid w:val="00BC1E2B"/>
    <w:rsid w:val="00BC4DB7"/>
    <w:rsid w:val="00BC7C9D"/>
    <w:rsid w:val="00BE0CDC"/>
    <w:rsid w:val="00BE4138"/>
    <w:rsid w:val="00C07AFA"/>
    <w:rsid w:val="00C136AA"/>
    <w:rsid w:val="00C24326"/>
    <w:rsid w:val="00C41BB9"/>
    <w:rsid w:val="00C5384C"/>
    <w:rsid w:val="00C577F7"/>
    <w:rsid w:val="00C7056E"/>
    <w:rsid w:val="00C732E5"/>
    <w:rsid w:val="00C754BA"/>
    <w:rsid w:val="00C76FB1"/>
    <w:rsid w:val="00C8258D"/>
    <w:rsid w:val="00C82ED1"/>
    <w:rsid w:val="00C85CBC"/>
    <w:rsid w:val="00C91E36"/>
    <w:rsid w:val="00C924CA"/>
    <w:rsid w:val="00C92ED3"/>
    <w:rsid w:val="00C93A0A"/>
    <w:rsid w:val="00C95967"/>
    <w:rsid w:val="00CA0267"/>
    <w:rsid w:val="00CA0965"/>
    <w:rsid w:val="00CB387A"/>
    <w:rsid w:val="00CB7484"/>
    <w:rsid w:val="00CD0425"/>
    <w:rsid w:val="00CD0DD7"/>
    <w:rsid w:val="00CD2F08"/>
    <w:rsid w:val="00CD583C"/>
    <w:rsid w:val="00CD5DA1"/>
    <w:rsid w:val="00CF6708"/>
    <w:rsid w:val="00D073D1"/>
    <w:rsid w:val="00D151D4"/>
    <w:rsid w:val="00D25C90"/>
    <w:rsid w:val="00D31656"/>
    <w:rsid w:val="00D31667"/>
    <w:rsid w:val="00D41131"/>
    <w:rsid w:val="00D47BDB"/>
    <w:rsid w:val="00D52FBF"/>
    <w:rsid w:val="00D5317B"/>
    <w:rsid w:val="00D53356"/>
    <w:rsid w:val="00D55214"/>
    <w:rsid w:val="00D65353"/>
    <w:rsid w:val="00D708BB"/>
    <w:rsid w:val="00D77412"/>
    <w:rsid w:val="00D91E3C"/>
    <w:rsid w:val="00D92374"/>
    <w:rsid w:val="00DA664D"/>
    <w:rsid w:val="00DB0D4F"/>
    <w:rsid w:val="00DC3649"/>
    <w:rsid w:val="00DC775C"/>
    <w:rsid w:val="00DD4210"/>
    <w:rsid w:val="00DD7516"/>
    <w:rsid w:val="00DE3949"/>
    <w:rsid w:val="00DF722B"/>
    <w:rsid w:val="00DF7AFA"/>
    <w:rsid w:val="00E018EB"/>
    <w:rsid w:val="00E11C41"/>
    <w:rsid w:val="00E16B75"/>
    <w:rsid w:val="00E204F6"/>
    <w:rsid w:val="00E21E2A"/>
    <w:rsid w:val="00E23D64"/>
    <w:rsid w:val="00E26635"/>
    <w:rsid w:val="00E30DBC"/>
    <w:rsid w:val="00E33713"/>
    <w:rsid w:val="00E33F41"/>
    <w:rsid w:val="00E3681F"/>
    <w:rsid w:val="00E37695"/>
    <w:rsid w:val="00E42617"/>
    <w:rsid w:val="00E4479F"/>
    <w:rsid w:val="00E46632"/>
    <w:rsid w:val="00E513AD"/>
    <w:rsid w:val="00E51D49"/>
    <w:rsid w:val="00E6111A"/>
    <w:rsid w:val="00E626FB"/>
    <w:rsid w:val="00E7244F"/>
    <w:rsid w:val="00E7613B"/>
    <w:rsid w:val="00E77539"/>
    <w:rsid w:val="00E827B6"/>
    <w:rsid w:val="00E82AE0"/>
    <w:rsid w:val="00E8317C"/>
    <w:rsid w:val="00E942B1"/>
    <w:rsid w:val="00E9514D"/>
    <w:rsid w:val="00EA030F"/>
    <w:rsid w:val="00EA5665"/>
    <w:rsid w:val="00EB6026"/>
    <w:rsid w:val="00EC09C5"/>
    <w:rsid w:val="00EC1149"/>
    <w:rsid w:val="00EC2E28"/>
    <w:rsid w:val="00EC3204"/>
    <w:rsid w:val="00ED67A0"/>
    <w:rsid w:val="00EF3D27"/>
    <w:rsid w:val="00EF51C5"/>
    <w:rsid w:val="00F01F03"/>
    <w:rsid w:val="00F06697"/>
    <w:rsid w:val="00F10C7E"/>
    <w:rsid w:val="00F310E6"/>
    <w:rsid w:val="00F32B7D"/>
    <w:rsid w:val="00F36D6D"/>
    <w:rsid w:val="00F40508"/>
    <w:rsid w:val="00F40DF4"/>
    <w:rsid w:val="00F438CC"/>
    <w:rsid w:val="00F50862"/>
    <w:rsid w:val="00F52DBC"/>
    <w:rsid w:val="00F54D8D"/>
    <w:rsid w:val="00F54EC6"/>
    <w:rsid w:val="00F5720B"/>
    <w:rsid w:val="00F62F2A"/>
    <w:rsid w:val="00F6642D"/>
    <w:rsid w:val="00F7270B"/>
    <w:rsid w:val="00F747D6"/>
    <w:rsid w:val="00F77D63"/>
    <w:rsid w:val="00F80671"/>
    <w:rsid w:val="00F8341F"/>
    <w:rsid w:val="00F93FE8"/>
    <w:rsid w:val="00FA5397"/>
    <w:rsid w:val="00FA7FF6"/>
    <w:rsid w:val="00FB473B"/>
    <w:rsid w:val="00FB5D6D"/>
    <w:rsid w:val="00FB672E"/>
    <w:rsid w:val="00FC5803"/>
    <w:rsid w:val="00FC58AB"/>
    <w:rsid w:val="00FD0437"/>
    <w:rsid w:val="00FD105E"/>
    <w:rsid w:val="00FE5DBE"/>
    <w:rsid w:val="00FF232E"/>
    <w:rsid w:val="00FF3CEB"/>
    <w:rsid w:val="00FF63A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91"/>
    <w:rPr>
      <w:rFonts w:ascii="Verdana" w:eastAsia="Calibri" w:hAnsi="Verdana" w:cs="Calibri"/>
      <w:sz w:val="20"/>
      <w:lang w:val="es-MX"/>
    </w:rPr>
  </w:style>
  <w:style w:type="paragraph" w:styleId="Heading1">
    <w:name w:val="heading 1"/>
    <w:basedOn w:val="Normal"/>
    <w:next w:val="Normal"/>
    <w:link w:val="Heading1Char1"/>
    <w:uiPriority w:val="99"/>
    <w:qFormat/>
    <w:rsid w:val="00F40DF4"/>
    <w:pPr>
      <w:keepNext/>
      <w:spacing w:before="240" w:after="60" w:line="240" w:lineRule="auto"/>
      <w:outlineLvl w:val="0"/>
    </w:pPr>
    <w:rPr>
      <w:rFonts w:ascii="Arial" w:eastAsia="Times New Roman" w:hAnsi="Arial" w:cs="Arial"/>
      <w:b/>
      <w:bCs/>
      <w:kern w:val="32"/>
      <w:sz w:val="32"/>
      <w:szCs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link w:val="4GChar"/>
    <w:uiPriority w:val="99"/>
    <w:qFormat/>
    <w:rsid w:val="005C0291"/>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autoRedefine/>
    <w:uiPriority w:val="99"/>
    <w:qFormat/>
    <w:rsid w:val="00E23D64"/>
    <w:pPr>
      <w:tabs>
        <w:tab w:val="left" w:pos="567"/>
      </w:tabs>
      <w:spacing w:before="120" w:after="120" w:line="240" w:lineRule="auto"/>
      <w:jc w:val="both"/>
    </w:pPr>
    <w:rPr>
      <w:rFonts w:cs="Times New Roman"/>
      <w:sz w:val="16"/>
      <w:szCs w:val="16"/>
      <w:lang w:val="es-ES_tradnl" w:eastAsia="es-ES"/>
    </w:rPr>
  </w:style>
  <w:style w:type="character" w:customStyle="1" w:styleId="FootnoteTextChar">
    <w:name w:val="Footnote Text Char"/>
    <w:aliases w:val="Footnote Text Cha Char,FA Fuﬂnotentext Char,Ca Char,C Char"/>
    <w:basedOn w:val="DefaultParagraphFont"/>
    <w:uiPriority w:val="99"/>
    <w:rsid w:val="005C0291"/>
    <w:rPr>
      <w:rFonts w:ascii="Verdana" w:eastAsia="Calibri" w:hAnsi="Verdana"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ink w:val="FootnoteText"/>
    <w:uiPriority w:val="99"/>
    <w:locked/>
    <w:rsid w:val="00E23D64"/>
    <w:rPr>
      <w:rFonts w:ascii="Verdana" w:eastAsia="Calibri" w:hAnsi="Verdana" w:cs="Times New Roman"/>
      <w:sz w:val="16"/>
      <w:szCs w:val="16"/>
      <w:lang w:val="es-ES_tradnl" w:eastAsia="es-ES"/>
    </w:rPr>
  </w:style>
  <w:style w:type="paragraph" w:styleId="ListParagraph">
    <w:name w:val="List Paragraph"/>
    <w:aliases w:val="Footnote,List Paragraph2,List Paragraph1,Lista vistosa - Énfasis 11"/>
    <w:basedOn w:val="Normal"/>
    <w:link w:val="ListParagraphChar"/>
    <w:uiPriority w:val="99"/>
    <w:qFormat/>
    <w:rsid w:val="005C0291"/>
    <w:pPr>
      <w:widowControl w:val="0"/>
      <w:numPr>
        <w:ilvl w:val="1"/>
        <w:numId w:val="1"/>
      </w:numPr>
      <w:autoSpaceDE w:val="0"/>
      <w:autoSpaceDN w:val="0"/>
      <w:adjustRightInd w:val="0"/>
      <w:spacing w:after="0" w:line="240" w:lineRule="auto"/>
      <w:ind w:right="22"/>
      <w:jc w:val="both"/>
    </w:pPr>
    <w:rPr>
      <w:rFonts w:cs="Verdana"/>
      <w:szCs w:val="20"/>
    </w:rPr>
  </w:style>
  <w:style w:type="character" w:styleId="Strong">
    <w:name w:val="Strong"/>
    <w:uiPriority w:val="22"/>
    <w:qFormat/>
    <w:rsid w:val="005C0291"/>
    <w:rPr>
      <w:b/>
      <w:bCs/>
    </w:rPr>
  </w:style>
  <w:style w:type="character" w:customStyle="1" w:styleId="ListParagraphChar">
    <w:name w:val="List Paragraph Char"/>
    <w:aliases w:val="Footnote Char,List Paragraph2 Char,List Paragraph1 Char,Lista vistosa - Énfasis 11 Char"/>
    <w:link w:val="ListParagraph"/>
    <w:uiPriority w:val="99"/>
    <w:locked/>
    <w:rsid w:val="005C0291"/>
    <w:rPr>
      <w:rFonts w:ascii="Verdana" w:eastAsia="Calibri" w:hAnsi="Verdana" w:cs="Verdana"/>
      <w:sz w:val="20"/>
      <w:szCs w:val="20"/>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4573C5"/>
    <w:pPr>
      <w:spacing w:after="0" w:line="240" w:lineRule="auto"/>
      <w:jc w:val="both"/>
    </w:pPr>
    <w:rPr>
      <w:rFonts w:eastAsiaTheme="minorHAnsi" w:cs="Verdana"/>
      <w:sz w:val="16"/>
      <w:szCs w:val="16"/>
      <w:vertAlign w:val="superscript"/>
      <w:lang w:val="es-CR"/>
    </w:rPr>
  </w:style>
  <w:style w:type="character" w:styleId="CommentReference">
    <w:name w:val="annotation reference"/>
    <w:basedOn w:val="DefaultParagraphFont"/>
    <w:uiPriority w:val="99"/>
    <w:semiHidden/>
    <w:unhideWhenUsed/>
    <w:rsid w:val="0054278B"/>
    <w:rPr>
      <w:sz w:val="16"/>
      <w:szCs w:val="16"/>
    </w:rPr>
  </w:style>
  <w:style w:type="paragraph" w:styleId="CommentText">
    <w:name w:val="annotation text"/>
    <w:basedOn w:val="Normal"/>
    <w:link w:val="CommentTextChar"/>
    <w:uiPriority w:val="99"/>
    <w:semiHidden/>
    <w:unhideWhenUsed/>
    <w:rsid w:val="0054278B"/>
    <w:pPr>
      <w:spacing w:line="240" w:lineRule="auto"/>
    </w:pPr>
    <w:rPr>
      <w:szCs w:val="20"/>
    </w:rPr>
  </w:style>
  <w:style w:type="character" w:customStyle="1" w:styleId="CommentTextChar">
    <w:name w:val="Comment Text Char"/>
    <w:basedOn w:val="DefaultParagraphFont"/>
    <w:link w:val="CommentText"/>
    <w:uiPriority w:val="99"/>
    <w:semiHidden/>
    <w:rsid w:val="0054278B"/>
    <w:rPr>
      <w:rFonts w:ascii="Verdana" w:eastAsia="Calibri" w:hAnsi="Verdana" w:cs="Calibri"/>
      <w:sz w:val="20"/>
      <w:szCs w:val="20"/>
      <w:lang w:val="es-MX"/>
    </w:rPr>
  </w:style>
  <w:style w:type="paragraph" w:styleId="CommentSubject">
    <w:name w:val="annotation subject"/>
    <w:basedOn w:val="CommentText"/>
    <w:next w:val="CommentText"/>
    <w:link w:val="CommentSubjectChar"/>
    <w:uiPriority w:val="99"/>
    <w:semiHidden/>
    <w:unhideWhenUsed/>
    <w:rsid w:val="0054278B"/>
    <w:rPr>
      <w:b/>
      <w:bCs/>
    </w:rPr>
  </w:style>
  <w:style w:type="character" w:customStyle="1" w:styleId="CommentSubjectChar">
    <w:name w:val="Comment Subject Char"/>
    <w:basedOn w:val="CommentTextChar"/>
    <w:link w:val="CommentSubject"/>
    <w:uiPriority w:val="99"/>
    <w:semiHidden/>
    <w:rsid w:val="0054278B"/>
    <w:rPr>
      <w:rFonts w:ascii="Verdana" w:eastAsia="Calibri" w:hAnsi="Verdana" w:cs="Calibri"/>
      <w:b/>
      <w:bCs/>
      <w:sz w:val="20"/>
      <w:szCs w:val="20"/>
      <w:lang w:val="es-MX"/>
    </w:rPr>
  </w:style>
  <w:style w:type="paragraph" w:styleId="BalloonText">
    <w:name w:val="Balloon Text"/>
    <w:basedOn w:val="Normal"/>
    <w:link w:val="BalloonTextChar"/>
    <w:uiPriority w:val="99"/>
    <w:semiHidden/>
    <w:unhideWhenUsed/>
    <w:rsid w:val="0054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78B"/>
    <w:rPr>
      <w:rFonts w:ascii="Tahoma" w:eastAsia="Calibri" w:hAnsi="Tahoma" w:cs="Tahoma"/>
      <w:sz w:val="16"/>
      <w:szCs w:val="16"/>
      <w:lang w:val="es-MX"/>
    </w:rPr>
  </w:style>
  <w:style w:type="paragraph" w:styleId="Header">
    <w:name w:val="header"/>
    <w:basedOn w:val="Normal"/>
    <w:link w:val="HeaderChar"/>
    <w:uiPriority w:val="99"/>
    <w:unhideWhenUsed/>
    <w:rsid w:val="00145079"/>
    <w:pPr>
      <w:tabs>
        <w:tab w:val="center" w:pos="4419"/>
        <w:tab w:val="right" w:pos="8838"/>
      </w:tabs>
      <w:spacing w:after="0" w:line="240" w:lineRule="auto"/>
    </w:pPr>
  </w:style>
  <w:style w:type="character" w:customStyle="1" w:styleId="HeaderChar">
    <w:name w:val="Header Char"/>
    <w:basedOn w:val="DefaultParagraphFont"/>
    <w:link w:val="Header"/>
    <w:uiPriority w:val="99"/>
    <w:rsid w:val="00145079"/>
    <w:rPr>
      <w:rFonts w:ascii="Verdana" w:eastAsia="Calibri" w:hAnsi="Verdana" w:cs="Calibri"/>
      <w:sz w:val="20"/>
      <w:lang w:val="es-MX"/>
    </w:rPr>
  </w:style>
  <w:style w:type="paragraph" w:styleId="Footer">
    <w:name w:val="footer"/>
    <w:basedOn w:val="Normal"/>
    <w:link w:val="FooterChar"/>
    <w:uiPriority w:val="99"/>
    <w:unhideWhenUsed/>
    <w:rsid w:val="00145079"/>
    <w:pPr>
      <w:tabs>
        <w:tab w:val="center" w:pos="4419"/>
        <w:tab w:val="right" w:pos="8838"/>
      </w:tabs>
      <w:spacing w:after="0" w:line="240" w:lineRule="auto"/>
    </w:pPr>
  </w:style>
  <w:style w:type="character" w:customStyle="1" w:styleId="FooterChar">
    <w:name w:val="Footer Char"/>
    <w:basedOn w:val="DefaultParagraphFont"/>
    <w:link w:val="Footer"/>
    <w:uiPriority w:val="99"/>
    <w:rsid w:val="00145079"/>
    <w:rPr>
      <w:rFonts w:ascii="Verdana" w:eastAsia="Calibri" w:hAnsi="Verdana" w:cs="Calibri"/>
      <w:sz w:val="20"/>
      <w:lang w:val="es-MX"/>
    </w:rPr>
  </w:style>
  <w:style w:type="paragraph" w:customStyle="1" w:styleId="ColorfulList-Accent11">
    <w:name w:val="Colorful List - Accent 11"/>
    <w:basedOn w:val="Normal"/>
    <w:uiPriority w:val="99"/>
    <w:rsid w:val="005E0B6B"/>
    <w:pPr>
      <w:spacing w:after="0" w:line="240" w:lineRule="auto"/>
      <w:ind w:left="720"/>
    </w:pPr>
    <w:rPr>
      <w:rFonts w:ascii="Times" w:eastAsia="MS Mincho" w:hAnsi="Times" w:cs="Times"/>
      <w:sz w:val="24"/>
      <w:szCs w:val="24"/>
      <w:lang w:val="es-ES_tradnl"/>
    </w:rPr>
  </w:style>
  <w:style w:type="character" w:customStyle="1" w:styleId="Heading1Char">
    <w:name w:val="Heading 1 Char"/>
    <w:basedOn w:val="DefaultParagraphFont"/>
    <w:uiPriority w:val="9"/>
    <w:rsid w:val="00F40DF4"/>
    <w:rPr>
      <w:rFonts w:asciiTheme="majorHAnsi" w:eastAsiaTheme="majorEastAsia" w:hAnsiTheme="majorHAnsi" w:cstheme="majorBidi"/>
      <w:b/>
      <w:bCs/>
      <w:color w:val="365F91" w:themeColor="accent1" w:themeShade="BF"/>
      <w:sz w:val="28"/>
      <w:szCs w:val="28"/>
      <w:lang w:val="es-MX"/>
    </w:rPr>
  </w:style>
  <w:style w:type="character" w:customStyle="1" w:styleId="Heading1Char1">
    <w:name w:val="Heading 1 Char1"/>
    <w:basedOn w:val="DefaultParagraphFont"/>
    <w:link w:val="Heading1"/>
    <w:uiPriority w:val="99"/>
    <w:rsid w:val="00F40DF4"/>
    <w:rPr>
      <w:rFonts w:ascii="Arial" w:eastAsia="Times New Roman" w:hAnsi="Arial" w:cs="Arial"/>
      <w:b/>
      <w:bCs/>
      <w:kern w:val="32"/>
      <w:sz w:val="32"/>
      <w:szCs w:val="32"/>
      <w:lang w:val="es-ES_tradnl"/>
    </w:rPr>
  </w:style>
  <w:style w:type="paragraph" w:styleId="Revision">
    <w:name w:val="Revision"/>
    <w:hidden/>
    <w:uiPriority w:val="99"/>
    <w:semiHidden/>
    <w:rsid w:val="00E827B6"/>
    <w:pPr>
      <w:spacing w:after="0" w:line="240" w:lineRule="auto"/>
    </w:pPr>
    <w:rPr>
      <w:rFonts w:ascii="Verdana" w:eastAsia="Calibri" w:hAnsi="Verdana" w:cs="Calibri"/>
      <w:sz w:val="20"/>
      <w:lang w:val="es-MX"/>
    </w:rPr>
  </w:style>
  <w:style w:type="character" w:styleId="LineNumber">
    <w:name w:val="line number"/>
    <w:basedOn w:val="DefaultParagraphFont"/>
    <w:uiPriority w:val="99"/>
    <w:semiHidden/>
    <w:unhideWhenUsed/>
    <w:rsid w:val="00DD4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91"/>
    <w:rPr>
      <w:rFonts w:ascii="Verdana" w:eastAsia="Calibri" w:hAnsi="Verdana" w:cs="Calibri"/>
      <w:sz w:val="20"/>
      <w:lang w:val="es-MX"/>
    </w:rPr>
  </w:style>
  <w:style w:type="paragraph" w:styleId="Heading1">
    <w:name w:val="heading 1"/>
    <w:basedOn w:val="Normal"/>
    <w:next w:val="Normal"/>
    <w:link w:val="Heading1Char1"/>
    <w:uiPriority w:val="99"/>
    <w:qFormat/>
    <w:rsid w:val="00F40DF4"/>
    <w:pPr>
      <w:keepNext/>
      <w:spacing w:before="240" w:after="60" w:line="240" w:lineRule="auto"/>
      <w:outlineLvl w:val="0"/>
    </w:pPr>
    <w:rPr>
      <w:rFonts w:ascii="Arial" w:eastAsia="Times New Roman" w:hAnsi="Arial" w:cs="Arial"/>
      <w:b/>
      <w:bCs/>
      <w:kern w:val="32"/>
      <w:sz w:val="32"/>
      <w:szCs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link w:val="4GChar"/>
    <w:uiPriority w:val="99"/>
    <w:qFormat/>
    <w:rsid w:val="005C0291"/>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autoRedefine/>
    <w:uiPriority w:val="99"/>
    <w:qFormat/>
    <w:rsid w:val="00E23D64"/>
    <w:pPr>
      <w:tabs>
        <w:tab w:val="left" w:pos="567"/>
      </w:tabs>
      <w:spacing w:before="120" w:after="120" w:line="240" w:lineRule="auto"/>
      <w:jc w:val="both"/>
    </w:pPr>
    <w:rPr>
      <w:rFonts w:cs="Times New Roman"/>
      <w:sz w:val="16"/>
      <w:szCs w:val="16"/>
      <w:lang w:val="es-ES_tradnl" w:eastAsia="es-ES"/>
    </w:rPr>
  </w:style>
  <w:style w:type="character" w:customStyle="1" w:styleId="FootnoteTextChar">
    <w:name w:val="Footnote Text Char"/>
    <w:aliases w:val="Footnote Text Cha Char,FA Fuﬂnotentext Char,Ca Char,C Char"/>
    <w:basedOn w:val="DefaultParagraphFont"/>
    <w:uiPriority w:val="99"/>
    <w:rsid w:val="005C0291"/>
    <w:rPr>
      <w:rFonts w:ascii="Verdana" w:eastAsia="Calibri" w:hAnsi="Verdana"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ink w:val="FootnoteText"/>
    <w:uiPriority w:val="99"/>
    <w:locked/>
    <w:rsid w:val="00E23D64"/>
    <w:rPr>
      <w:rFonts w:ascii="Verdana" w:eastAsia="Calibri" w:hAnsi="Verdana" w:cs="Times New Roman"/>
      <w:sz w:val="16"/>
      <w:szCs w:val="16"/>
      <w:lang w:val="es-ES_tradnl" w:eastAsia="es-ES"/>
    </w:rPr>
  </w:style>
  <w:style w:type="paragraph" w:styleId="ListParagraph">
    <w:name w:val="List Paragraph"/>
    <w:aliases w:val="Footnote,List Paragraph2,List Paragraph1,Lista vistosa - Énfasis 11"/>
    <w:basedOn w:val="Normal"/>
    <w:link w:val="ListParagraphChar"/>
    <w:uiPriority w:val="99"/>
    <w:qFormat/>
    <w:rsid w:val="005C0291"/>
    <w:pPr>
      <w:widowControl w:val="0"/>
      <w:numPr>
        <w:ilvl w:val="1"/>
        <w:numId w:val="1"/>
      </w:numPr>
      <w:autoSpaceDE w:val="0"/>
      <w:autoSpaceDN w:val="0"/>
      <w:adjustRightInd w:val="0"/>
      <w:spacing w:after="0" w:line="240" w:lineRule="auto"/>
      <w:ind w:right="22"/>
      <w:jc w:val="both"/>
    </w:pPr>
    <w:rPr>
      <w:rFonts w:cs="Verdana"/>
      <w:szCs w:val="20"/>
    </w:rPr>
  </w:style>
  <w:style w:type="character" w:styleId="Strong">
    <w:name w:val="Strong"/>
    <w:uiPriority w:val="22"/>
    <w:qFormat/>
    <w:rsid w:val="005C0291"/>
    <w:rPr>
      <w:b/>
      <w:bCs/>
    </w:rPr>
  </w:style>
  <w:style w:type="character" w:customStyle="1" w:styleId="ListParagraphChar">
    <w:name w:val="List Paragraph Char"/>
    <w:aliases w:val="Footnote Char,List Paragraph2 Char,List Paragraph1 Char,Lista vistosa - Énfasis 11 Char"/>
    <w:link w:val="ListParagraph"/>
    <w:uiPriority w:val="99"/>
    <w:locked/>
    <w:rsid w:val="005C0291"/>
    <w:rPr>
      <w:rFonts w:ascii="Verdana" w:eastAsia="Calibri" w:hAnsi="Verdana" w:cs="Verdana"/>
      <w:sz w:val="20"/>
      <w:szCs w:val="20"/>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4573C5"/>
    <w:pPr>
      <w:spacing w:after="0" w:line="240" w:lineRule="auto"/>
      <w:jc w:val="both"/>
    </w:pPr>
    <w:rPr>
      <w:rFonts w:eastAsiaTheme="minorHAnsi" w:cs="Verdana"/>
      <w:sz w:val="16"/>
      <w:szCs w:val="16"/>
      <w:vertAlign w:val="superscript"/>
      <w:lang w:val="es-CR"/>
    </w:rPr>
  </w:style>
  <w:style w:type="character" w:styleId="CommentReference">
    <w:name w:val="annotation reference"/>
    <w:basedOn w:val="DefaultParagraphFont"/>
    <w:uiPriority w:val="99"/>
    <w:semiHidden/>
    <w:unhideWhenUsed/>
    <w:rsid w:val="0054278B"/>
    <w:rPr>
      <w:sz w:val="16"/>
      <w:szCs w:val="16"/>
    </w:rPr>
  </w:style>
  <w:style w:type="paragraph" w:styleId="CommentText">
    <w:name w:val="annotation text"/>
    <w:basedOn w:val="Normal"/>
    <w:link w:val="CommentTextChar"/>
    <w:uiPriority w:val="99"/>
    <w:semiHidden/>
    <w:unhideWhenUsed/>
    <w:rsid w:val="0054278B"/>
    <w:pPr>
      <w:spacing w:line="240" w:lineRule="auto"/>
    </w:pPr>
    <w:rPr>
      <w:szCs w:val="20"/>
    </w:rPr>
  </w:style>
  <w:style w:type="character" w:customStyle="1" w:styleId="CommentTextChar">
    <w:name w:val="Comment Text Char"/>
    <w:basedOn w:val="DefaultParagraphFont"/>
    <w:link w:val="CommentText"/>
    <w:uiPriority w:val="99"/>
    <w:semiHidden/>
    <w:rsid w:val="0054278B"/>
    <w:rPr>
      <w:rFonts w:ascii="Verdana" w:eastAsia="Calibri" w:hAnsi="Verdana" w:cs="Calibri"/>
      <w:sz w:val="20"/>
      <w:szCs w:val="20"/>
      <w:lang w:val="es-MX"/>
    </w:rPr>
  </w:style>
  <w:style w:type="paragraph" w:styleId="CommentSubject">
    <w:name w:val="annotation subject"/>
    <w:basedOn w:val="CommentText"/>
    <w:next w:val="CommentText"/>
    <w:link w:val="CommentSubjectChar"/>
    <w:uiPriority w:val="99"/>
    <w:semiHidden/>
    <w:unhideWhenUsed/>
    <w:rsid w:val="0054278B"/>
    <w:rPr>
      <w:b/>
      <w:bCs/>
    </w:rPr>
  </w:style>
  <w:style w:type="character" w:customStyle="1" w:styleId="CommentSubjectChar">
    <w:name w:val="Comment Subject Char"/>
    <w:basedOn w:val="CommentTextChar"/>
    <w:link w:val="CommentSubject"/>
    <w:uiPriority w:val="99"/>
    <w:semiHidden/>
    <w:rsid w:val="0054278B"/>
    <w:rPr>
      <w:rFonts w:ascii="Verdana" w:eastAsia="Calibri" w:hAnsi="Verdana" w:cs="Calibri"/>
      <w:b/>
      <w:bCs/>
      <w:sz w:val="20"/>
      <w:szCs w:val="20"/>
      <w:lang w:val="es-MX"/>
    </w:rPr>
  </w:style>
  <w:style w:type="paragraph" w:styleId="BalloonText">
    <w:name w:val="Balloon Text"/>
    <w:basedOn w:val="Normal"/>
    <w:link w:val="BalloonTextChar"/>
    <w:uiPriority w:val="99"/>
    <w:semiHidden/>
    <w:unhideWhenUsed/>
    <w:rsid w:val="0054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78B"/>
    <w:rPr>
      <w:rFonts w:ascii="Tahoma" w:eastAsia="Calibri" w:hAnsi="Tahoma" w:cs="Tahoma"/>
      <w:sz w:val="16"/>
      <w:szCs w:val="16"/>
      <w:lang w:val="es-MX"/>
    </w:rPr>
  </w:style>
  <w:style w:type="paragraph" w:styleId="Header">
    <w:name w:val="header"/>
    <w:basedOn w:val="Normal"/>
    <w:link w:val="HeaderChar"/>
    <w:uiPriority w:val="99"/>
    <w:unhideWhenUsed/>
    <w:rsid w:val="00145079"/>
    <w:pPr>
      <w:tabs>
        <w:tab w:val="center" w:pos="4419"/>
        <w:tab w:val="right" w:pos="8838"/>
      </w:tabs>
      <w:spacing w:after="0" w:line="240" w:lineRule="auto"/>
    </w:pPr>
  </w:style>
  <w:style w:type="character" w:customStyle="1" w:styleId="HeaderChar">
    <w:name w:val="Header Char"/>
    <w:basedOn w:val="DefaultParagraphFont"/>
    <w:link w:val="Header"/>
    <w:uiPriority w:val="99"/>
    <w:rsid w:val="00145079"/>
    <w:rPr>
      <w:rFonts w:ascii="Verdana" w:eastAsia="Calibri" w:hAnsi="Verdana" w:cs="Calibri"/>
      <w:sz w:val="20"/>
      <w:lang w:val="es-MX"/>
    </w:rPr>
  </w:style>
  <w:style w:type="paragraph" w:styleId="Footer">
    <w:name w:val="footer"/>
    <w:basedOn w:val="Normal"/>
    <w:link w:val="FooterChar"/>
    <w:uiPriority w:val="99"/>
    <w:unhideWhenUsed/>
    <w:rsid w:val="00145079"/>
    <w:pPr>
      <w:tabs>
        <w:tab w:val="center" w:pos="4419"/>
        <w:tab w:val="right" w:pos="8838"/>
      </w:tabs>
      <w:spacing w:after="0" w:line="240" w:lineRule="auto"/>
    </w:pPr>
  </w:style>
  <w:style w:type="character" w:customStyle="1" w:styleId="FooterChar">
    <w:name w:val="Footer Char"/>
    <w:basedOn w:val="DefaultParagraphFont"/>
    <w:link w:val="Footer"/>
    <w:uiPriority w:val="99"/>
    <w:rsid w:val="00145079"/>
    <w:rPr>
      <w:rFonts w:ascii="Verdana" w:eastAsia="Calibri" w:hAnsi="Verdana" w:cs="Calibri"/>
      <w:sz w:val="20"/>
      <w:lang w:val="es-MX"/>
    </w:rPr>
  </w:style>
  <w:style w:type="paragraph" w:customStyle="1" w:styleId="ColorfulList-Accent11">
    <w:name w:val="Colorful List - Accent 11"/>
    <w:basedOn w:val="Normal"/>
    <w:uiPriority w:val="99"/>
    <w:rsid w:val="005E0B6B"/>
    <w:pPr>
      <w:spacing w:after="0" w:line="240" w:lineRule="auto"/>
      <w:ind w:left="720"/>
    </w:pPr>
    <w:rPr>
      <w:rFonts w:ascii="Times" w:eastAsia="MS Mincho" w:hAnsi="Times" w:cs="Times"/>
      <w:sz w:val="24"/>
      <w:szCs w:val="24"/>
      <w:lang w:val="es-ES_tradnl"/>
    </w:rPr>
  </w:style>
  <w:style w:type="character" w:customStyle="1" w:styleId="Heading1Char">
    <w:name w:val="Heading 1 Char"/>
    <w:basedOn w:val="DefaultParagraphFont"/>
    <w:uiPriority w:val="9"/>
    <w:rsid w:val="00F40DF4"/>
    <w:rPr>
      <w:rFonts w:asciiTheme="majorHAnsi" w:eastAsiaTheme="majorEastAsia" w:hAnsiTheme="majorHAnsi" w:cstheme="majorBidi"/>
      <w:b/>
      <w:bCs/>
      <w:color w:val="365F91" w:themeColor="accent1" w:themeShade="BF"/>
      <w:sz w:val="28"/>
      <w:szCs w:val="28"/>
      <w:lang w:val="es-MX"/>
    </w:rPr>
  </w:style>
  <w:style w:type="character" w:customStyle="1" w:styleId="Heading1Char1">
    <w:name w:val="Heading 1 Char1"/>
    <w:basedOn w:val="DefaultParagraphFont"/>
    <w:link w:val="Heading1"/>
    <w:uiPriority w:val="99"/>
    <w:rsid w:val="00F40DF4"/>
    <w:rPr>
      <w:rFonts w:ascii="Arial" w:eastAsia="Times New Roman" w:hAnsi="Arial" w:cs="Arial"/>
      <w:b/>
      <w:bCs/>
      <w:kern w:val="32"/>
      <w:sz w:val="32"/>
      <w:szCs w:val="32"/>
      <w:lang w:val="es-ES_tradnl"/>
    </w:rPr>
  </w:style>
  <w:style w:type="paragraph" w:styleId="Revision">
    <w:name w:val="Revision"/>
    <w:hidden/>
    <w:uiPriority w:val="99"/>
    <w:semiHidden/>
    <w:rsid w:val="00E827B6"/>
    <w:pPr>
      <w:spacing w:after="0" w:line="240" w:lineRule="auto"/>
    </w:pPr>
    <w:rPr>
      <w:rFonts w:ascii="Verdana" w:eastAsia="Calibri" w:hAnsi="Verdana" w:cs="Calibri"/>
      <w:sz w:val="20"/>
      <w:lang w:val="es-MX"/>
    </w:rPr>
  </w:style>
  <w:style w:type="character" w:styleId="LineNumber">
    <w:name w:val="line number"/>
    <w:basedOn w:val="DefaultParagraphFont"/>
    <w:uiPriority w:val="99"/>
    <w:semiHidden/>
    <w:unhideWhenUsed/>
    <w:rsid w:val="00DD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1181">
      <w:bodyDiv w:val="1"/>
      <w:marLeft w:val="0"/>
      <w:marRight w:val="0"/>
      <w:marTop w:val="0"/>
      <w:marBottom w:val="0"/>
      <w:divBdr>
        <w:top w:val="none" w:sz="0" w:space="0" w:color="auto"/>
        <w:left w:val="none" w:sz="0" w:space="0" w:color="auto"/>
        <w:bottom w:val="none" w:sz="0" w:space="0" w:color="auto"/>
        <w:right w:val="none" w:sz="0" w:space="0" w:color="auto"/>
      </w:divBdr>
    </w:div>
    <w:div w:id="487862510">
      <w:bodyDiv w:val="1"/>
      <w:marLeft w:val="0"/>
      <w:marRight w:val="0"/>
      <w:marTop w:val="0"/>
      <w:marBottom w:val="0"/>
      <w:divBdr>
        <w:top w:val="none" w:sz="0" w:space="0" w:color="auto"/>
        <w:left w:val="none" w:sz="0" w:space="0" w:color="auto"/>
        <w:bottom w:val="none" w:sz="0" w:space="0" w:color="auto"/>
        <w:right w:val="none" w:sz="0" w:space="0" w:color="auto"/>
      </w:divBdr>
    </w:div>
    <w:div w:id="744304478">
      <w:bodyDiv w:val="1"/>
      <w:marLeft w:val="0"/>
      <w:marRight w:val="0"/>
      <w:marTop w:val="0"/>
      <w:marBottom w:val="0"/>
      <w:divBdr>
        <w:top w:val="none" w:sz="0" w:space="0" w:color="auto"/>
        <w:left w:val="none" w:sz="0" w:space="0" w:color="auto"/>
        <w:bottom w:val="none" w:sz="0" w:space="0" w:color="auto"/>
        <w:right w:val="none" w:sz="0" w:space="0" w:color="auto"/>
      </w:divBdr>
    </w:div>
    <w:div w:id="783885737">
      <w:bodyDiv w:val="1"/>
      <w:marLeft w:val="0"/>
      <w:marRight w:val="0"/>
      <w:marTop w:val="0"/>
      <w:marBottom w:val="0"/>
      <w:divBdr>
        <w:top w:val="none" w:sz="0" w:space="0" w:color="auto"/>
        <w:left w:val="none" w:sz="0" w:space="0" w:color="auto"/>
        <w:bottom w:val="none" w:sz="0" w:space="0" w:color="auto"/>
        <w:right w:val="none" w:sz="0" w:space="0" w:color="auto"/>
      </w:divBdr>
    </w:div>
    <w:div w:id="969896359">
      <w:bodyDiv w:val="1"/>
      <w:marLeft w:val="0"/>
      <w:marRight w:val="0"/>
      <w:marTop w:val="0"/>
      <w:marBottom w:val="0"/>
      <w:divBdr>
        <w:top w:val="none" w:sz="0" w:space="0" w:color="auto"/>
        <w:left w:val="none" w:sz="0" w:space="0" w:color="auto"/>
        <w:bottom w:val="none" w:sz="0" w:space="0" w:color="auto"/>
        <w:right w:val="none" w:sz="0" w:space="0" w:color="auto"/>
      </w:divBdr>
    </w:div>
    <w:div w:id="1230310807">
      <w:bodyDiv w:val="1"/>
      <w:marLeft w:val="0"/>
      <w:marRight w:val="0"/>
      <w:marTop w:val="0"/>
      <w:marBottom w:val="0"/>
      <w:divBdr>
        <w:top w:val="none" w:sz="0" w:space="0" w:color="auto"/>
        <w:left w:val="none" w:sz="0" w:space="0" w:color="auto"/>
        <w:bottom w:val="none" w:sz="0" w:space="0" w:color="auto"/>
        <w:right w:val="none" w:sz="0" w:space="0" w:color="auto"/>
      </w:divBdr>
    </w:div>
    <w:div w:id="1567496330">
      <w:bodyDiv w:val="1"/>
      <w:marLeft w:val="0"/>
      <w:marRight w:val="0"/>
      <w:marTop w:val="0"/>
      <w:marBottom w:val="0"/>
      <w:divBdr>
        <w:top w:val="none" w:sz="0" w:space="0" w:color="auto"/>
        <w:left w:val="none" w:sz="0" w:space="0" w:color="auto"/>
        <w:bottom w:val="none" w:sz="0" w:space="0" w:color="auto"/>
        <w:right w:val="none" w:sz="0" w:space="0" w:color="auto"/>
      </w:divBdr>
    </w:div>
    <w:div w:id="1573462535">
      <w:bodyDiv w:val="1"/>
      <w:marLeft w:val="0"/>
      <w:marRight w:val="0"/>
      <w:marTop w:val="0"/>
      <w:marBottom w:val="0"/>
      <w:divBdr>
        <w:top w:val="none" w:sz="0" w:space="0" w:color="auto"/>
        <w:left w:val="none" w:sz="0" w:space="0" w:color="auto"/>
        <w:bottom w:val="none" w:sz="0" w:space="0" w:color="auto"/>
        <w:right w:val="none" w:sz="0" w:space="0" w:color="auto"/>
      </w:divBdr>
    </w:div>
    <w:div w:id="17451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57C0-34FB-45B0-BEBD-88681667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6629</Words>
  <Characters>36460</Characters>
  <Application>Microsoft Office Word</Application>
  <DocSecurity>0</DocSecurity>
  <Lines>303</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Francella Hernandez</cp:lastModifiedBy>
  <cp:revision>5</cp:revision>
  <cp:lastPrinted>2017-09-22T21:21:00Z</cp:lastPrinted>
  <dcterms:created xsi:type="dcterms:W3CDTF">2017-09-22T21:05:00Z</dcterms:created>
  <dcterms:modified xsi:type="dcterms:W3CDTF">2017-09-22T21:21:00Z</dcterms:modified>
</cp:coreProperties>
</file>