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735" w:rsidRPr="00CA45C5" w:rsidRDefault="00A05735" w:rsidP="00C11971">
      <w:pPr>
        <w:spacing w:after="120"/>
        <w:ind w:right="-120"/>
        <w:jc w:val="center"/>
        <w:rPr>
          <w:b/>
          <w:snapToGrid w:val="0"/>
          <w:lang w:val="es-ES"/>
        </w:rPr>
      </w:pPr>
      <w:r w:rsidRPr="00CA45C5">
        <w:rPr>
          <w:b/>
          <w:snapToGrid w:val="0"/>
          <w:lang w:val="es-ES"/>
        </w:rPr>
        <w:t>CORTE INTERAMERICANA DE DERECHOS HUMANOS</w:t>
      </w:r>
      <w:r w:rsidRPr="00CA45C5">
        <w:rPr>
          <w:rStyle w:val="FootnoteReference"/>
          <w:b/>
          <w:snapToGrid w:val="0"/>
          <w:lang w:val="es-ES"/>
        </w:rPr>
        <w:footnoteReference w:customMarkFollows="1" w:id="1"/>
        <w:sym w:font="Symbol" w:char="F02A"/>
      </w:r>
    </w:p>
    <w:p w:rsidR="00A05735" w:rsidRPr="00CA45C5" w:rsidRDefault="00526BD0" w:rsidP="00C11971">
      <w:pPr>
        <w:spacing w:after="120"/>
        <w:ind w:right="-120"/>
        <w:jc w:val="center"/>
        <w:rPr>
          <w:rFonts w:cs="Verdana"/>
          <w:b/>
          <w:bCs/>
          <w:i/>
          <w:caps/>
          <w:snapToGrid w:val="0"/>
          <w:lang w:val="es-ES"/>
        </w:rPr>
      </w:pPr>
      <w:r w:rsidRPr="00CA45C5">
        <w:rPr>
          <w:rFonts w:cs="Verdana"/>
          <w:b/>
          <w:bCs/>
          <w:i/>
          <w:caps/>
          <w:snapToGrid w:val="0"/>
          <w:lang w:val="es-ES"/>
        </w:rPr>
        <w:t>Caso hermanos landaeta mejías y otros</w:t>
      </w:r>
      <w:r w:rsidR="00A05735" w:rsidRPr="00CA45C5">
        <w:rPr>
          <w:rFonts w:cs="Verdana"/>
          <w:b/>
          <w:bCs/>
          <w:i/>
          <w:caps/>
          <w:snapToGrid w:val="0"/>
          <w:lang w:val="es-ES"/>
        </w:rPr>
        <w:t xml:space="preserve"> Vs. </w:t>
      </w:r>
      <w:r w:rsidRPr="00CA45C5">
        <w:rPr>
          <w:rFonts w:cs="Verdana"/>
          <w:b/>
          <w:bCs/>
          <w:i/>
          <w:caps/>
          <w:snapToGrid w:val="0"/>
          <w:lang w:val="es-ES"/>
        </w:rPr>
        <w:t>venezuela</w:t>
      </w:r>
    </w:p>
    <w:p w:rsidR="00A05735" w:rsidRPr="00CA45C5" w:rsidRDefault="00A05735" w:rsidP="00C11971">
      <w:pPr>
        <w:spacing w:after="120"/>
        <w:ind w:right="-120"/>
        <w:jc w:val="center"/>
        <w:rPr>
          <w:b/>
          <w:bCs/>
        </w:rPr>
      </w:pPr>
      <w:r w:rsidRPr="00CA45C5">
        <w:rPr>
          <w:b/>
          <w:bCs/>
        </w:rPr>
        <w:t>RESUMEN OFICIAL EMITIDO POR LA CORTE INTERAMERICANA</w:t>
      </w:r>
    </w:p>
    <w:p w:rsidR="00A05735" w:rsidRPr="00CA45C5" w:rsidRDefault="00A05735" w:rsidP="00C11971">
      <w:pPr>
        <w:tabs>
          <w:tab w:val="center" w:pos="4680"/>
          <w:tab w:val="left" w:pos="8328"/>
        </w:tabs>
        <w:spacing w:after="120"/>
        <w:ind w:right="-120"/>
        <w:jc w:val="center"/>
        <w:rPr>
          <w:b/>
          <w:snapToGrid w:val="0"/>
          <w:lang w:val="es-ES"/>
        </w:rPr>
      </w:pPr>
      <w:r w:rsidRPr="00CA45C5">
        <w:rPr>
          <w:b/>
          <w:snapToGrid w:val="0"/>
          <w:lang w:val="es-ES"/>
        </w:rPr>
        <w:t xml:space="preserve">SENTENCIA DE </w:t>
      </w:r>
      <w:r w:rsidR="00526BD0" w:rsidRPr="00CA45C5">
        <w:rPr>
          <w:b/>
          <w:snapToGrid w:val="0"/>
          <w:lang w:val="es-ES"/>
        </w:rPr>
        <w:t>27 DE AGOSTO</w:t>
      </w:r>
      <w:r w:rsidRPr="00CA45C5">
        <w:rPr>
          <w:b/>
          <w:snapToGrid w:val="0"/>
          <w:lang w:val="es-ES"/>
        </w:rPr>
        <w:t xml:space="preserve"> DE </w:t>
      </w:r>
      <w:r w:rsidR="00526BD0" w:rsidRPr="00CA45C5">
        <w:rPr>
          <w:b/>
          <w:snapToGrid w:val="0"/>
          <w:lang w:val="es-ES"/>
        </w:rPr>
        <w:t>2014</w:t>
      </w:r>
    </w:p>
    <w:p w:rsidR="00CA45C5" w:rsidRDefault="00A05735" w:rsidP="00C11971">
      <w:pPr>
        <w:spacing w:after="120"/>
        <w:ind w:right="-120"/>
        <w:jc w:val="center"/>
        <w:rPr>
          <w:lang w:val="es-ES"/>
        </w:rPr>
      </w:pPr>
      <w:r w:rsidRPr="00CA45C5">
        <w:rPr>
          <w:b/>
          <w:i/>
          <w:snapToGrid w:val="0"/>
          <w:lang w:val="es-ES"/>
        </w:rPr>
        <w:t>(</w:t>
      </w:r>
      <w:r w:rsidR="00526BD0" w:rsidRPr="00CA45C5">
        <w:rPr>
          <w:b/>
          <w:i/>
          <w:snapToGrid w:val="0"/>
          <w:lang w:val="es-ES"/>
        </w:rPr>
        <w:t xml:space="preserve">Excepciones Preliminares, </w:t>
      </w:r>
      <w:r w:rsidRPr="00CA45C5">
        <w:rPr>
          <w:b/>
          <w:i/>
          <w:snapToGrid w:val="0"/>
          <w:lang w:val="es-ES"/>
        </w:rPr>
        <w:t>Fondo, Reparaciones y Costas</w:t>
      </w:r>
      <w:r w:rsidRPr="00CA45C5">
        <w:rPr>
          <w:b/>
          <w:i/>
          <w:caps/>
          <w:snapToGrid w:val="0"/>
          <w:lang w:val="es-ES"/>
        </w:rPr>
        <w:t>)</w:t>
      </w:r>
    </w:p>
    <w:p w:rsidR="00B70D6E" w:rsidRPr="00CA45C5" w:rsidRDefault="002467BA" w:rsidP="00C11971">
      <w:pPr>
        <w:pStyle w:val="NoSpacing"/>
        <w:spacing w:after="120"/>
        <w:ind w:right="-120"/>
        <w:jc w:val="both"/>
        <w:rPr>
          <w:rFonts w:ascii="Verdana" w:eastAsia="Batang" w:hAnsi="Verdana"/>
          <w:sz w:val="20"/>
          <w:szCs w:val="20"/>
          <w:lang w:val="es-CR" w:eastAsia="es-MX"/>
        </w:rPr>
      </w:pPr>
      <w:r w:rsidRPr="00CA45C5">
        <w:rPr>
          <w:rFonts w:ascii="Verdana" w:hAnsi="Verdana"/>
          <w:sz w:val="20"/>
          <w:szCs w:val="20"/>
          <w:lang w:val="es-MX"/>
        </w:rPr>
        <w:t xml:space="preserve">El 27 de agosto de 2014 la Corte Interamericana de Derechos Humanos (en adelante “la Corte Interamericana”, “la Corte”, o “el Tribunal”) dictó Sentencia en el caso </w:t>
      </w:r>
      <w:r w:rsidRPr="00CA45C5">
        <w:rPr>
          <w:rFonts w:ascii="Verdana" w:hAnsi="Verdana"/>
          <w:i/>
          <w:sz w:val="20"/>
          <w:szCs w:val="20"/>
          <w:lang w:val="es-MX"/>
        </w:rPr>
        <w:t>Hermanos Landaeta Mejías y otros Vs. Venezuela</w:t>
      </w:r>
      <w:r w:rsidRPr="00CA45C5">
        <w:rPr>
          <w:rFonts w:ascii="Verdana" w:hAnsi="Verdana"/>
          <w:sz w:val="20"/>
          <w:szCs w:val="20"/>
          <w:lang w:val="es-MX"/>
        </w:rPr>
        <w:t xml:space="preserve"> y declaró que el Estado es internacionalmente responsable por la violación </w:t>
      </w:r>
      <w:r w:rsidRPr="00CA45C5">
        <w:rPr>
          <w:rFonts w:ascii="Verdana" w:eastAsia="Batang" w:hAnsi="Verdana"/>
          <w:sz w:val="20"/>
          <w:szCs w:val="20"/>
          <w:lang w:val="es-CR" w:eastAsia="es-MX"/>
        </w:rPr>
        <w:t>de la obligación de respeto y g</w:t>
      </w:r>
      <w:r w:rsidR="00B70D6E" w:rsidRPr="00CA45C5">
        <w:rPr>
          <w:rFonts w:ascii="Verdana" w:eastAsia="Batang" w:hAnsi="Verdana"/>
          <w:sz w:val="20"/>
          <w:szCs w:val="20"/>
          <w:lang w:val="es-CR" w:eastAsia="es-MX"/>
        </w:rPr>
        <w:t>arantía del derecho a la vida</w:t>
      </w:r>
      <w:r w:rsidR="00150A01">
        <w:rPr>
          <w:rFonts w:ascii="Verdana" w:eastAsia="Batang" w:hAnsi="Verdana"/>
          <w:sz w:val="20"/>
          <w:szCs w:val="20"/>
          <w:lang w:val="es-CR" w:eastAsia="es-MX"/>
        </w:rPr>
        <w:t xml:space="preserve"> </w:t>
      </w:r>
      <w:r w:rsidR="00150A01" w:rsidRPr="00CA45C5">
        <w:rPr>
          <w:rFonts w:ascii="Verdana" w:eastAsia="Batang" w:hAnsi="Verdana"/>
          <w:sz w:val="20"/>
          <w:szCs w:val="20"/>
          <w:lang w:val="es-CR" w:eastAsia="es-MX"/>
        </w:rPr>
        <w:t>de Igmar Alexander Landaeta Mejías</w:t>
      </w:r>
      <w:r w:rsidR="00B70D6E" w:rsidRPr="00CA45C5">
        <w:rPr>
          <w:rFonts w:ascii="Verdana" w:eastAsia="Batang" w:hAnsi="Verdana"/>
          <w:sz w:val="20"/>
          <w:szCs w:val="20"/>
          <w:lang w:val="es-CR" w:eastAsia="es-MX"/>
        </w:rPr>
        <w:t>,</w:t>
      </w:r>
      <w:r w:rsidR="00150A01">
        <w:rPr>
          <w:rFonts w:ascii="Verdana" w:eastAsia="Batang" w:hAnsi="Verdana"/>
          <w:sz w:val="20"/>
          <w:szCs w:val="20"/>
          <w:lang w:val="es-CR" w:eastAsia="es-MX"/>
        </w:rPr>
        <w:t xml:space="preserve"> en relación con el deber de adoptar disposiciones de derecho interno</w:t>
      </w:r>
      <w:r w:rsidR="00B70D6E" w:rsidRPr="00CA45C5">
        <w:rPr>
          <w:rFonts w:ascii="Verdana" w:eastAsia="Batang" w:hAnsi="Verdana"/>
          <w:sz w:val="20"/>
          <w:szCs w:val="20"/>
          <w:lang w:val="es-CR" w:eastAsia="es-MX"/>
        </w:rPr>
        <w:t>.</w:t>
      </w:r>
      <w:r w:rsidR="00B84C0E">
        <w:rPr>
          <w:rFonts w:ascii="Verdana" w:eastAsia="Batang" w:hAnsi="Verdana"/>
          <w:sz w:val="20"/>
          <w:szCs w:val="20"/>
          <w:lang w:val="es-CR" w:eastAsia="es-MX"/>
        </w:rPr>
        <w:t xml:space="preserve"> Asimismo</w:t>
      </w:r>
      <w:r w:rsidR="00B70D6E" w:rsidRPr="00CA45C5">
        <w:rPr>
          <w:rFonts w:ascii="Verdana" w:eastAsia="Batang" w:hAnsi="Verdana"/>
          <w:sz w:val="20"/>
          <w:szCs w:val="20"/>
          <w:lang w:val="es-CR" w:eastAsia="es-MX"/>
        </w:rPr>
        <w:t xml:space="preserve">, la Corte estableció que el Estado es responsable por la violación del </w:t>
      </w:r>
      <w:r w:rsidR="00150A01">
        <w:rPr>
          <w:rFonts w:ascii="Verdana" w:eastAsia="Batang" w:hAnsi="Verdana"/>
          <w:sz w:val="20"/>
          <w:szCs w:val="20"/>
          <w:lang w:val="es-CR" w:eastAsia="es-MX"/>
        </w:rPr>
        <w:t xml:space="preserve">derecho a la libertad personal y </w:t>
      </w:r>
      <w:r w:rsidR="00B70D6E" w:rsidRPr="00CA45C5">
        <w:rPr>
          <w:rFonts w:ascii="Verdana" w:eastAsia="Batang" w:hAnsi="Verdana"/>
          <w:sz w:val="20"/>
          <w:szCs w:val="20"/>
          <w:lang w:val="es-CR" w:eastAsia="es-MX"/>
        </w:rPr>
        <w:t>de la obligación de respeto y garantía de los derechos a la vida y a la inte</w:t>
      </w:r>
      <w:r w:rsidR="00150A01">
        <w:rPr>
          <w:rFonts w:ascii="Verdana" w:eastAsia="Batang" w:hAnsi="Verdana"/>
          <w:sz w:val="20"/>
          <w:szCs w:val="20"/>
          <w:lang w:val="es-CR" w:eastAsia="es-MX"/>
        </w:rPr>
        <w:t>gridad personal, en relación con los derechos del niño</w:t>
      </w:r>
      <w:r w:rsidR="00B70D6E" w:rsidRPr="00CA45C5">
        <w:rPr>
          <w:rFonts w:ascii="Verdana" w:eastAsia="Batang" w:hAnsi="Verdana"/>
          <w:sz w:val="20"/>
          <w:szCs w:val="20"/>
          <w:lang w:val="es-CR" w:eastAsia="es-MX"/>
        </w:rPr>
        <w:t>, en perjuicio de Eduardo José Landaeta Mejías</w:t>
      </w:r>
      <w:r w:rsidR="004748D8" w:rsidRPr="00CA45C5">
        <w:rPr>
          <w:rFonts w:ascii="Verdana" w:eastAsia="Batang" w:hAnsi="Verdana"/>
          <w:sz w:val="20"/>
          <w:szCs w:val="20"/>
          <w:lang w:val="es-CR" w:eastAsia="es-MX"/>
        </w:rPr>
        <w:t xml:space="preserve">, de 17 años de edad al momento de los hechos. </w:t>
      </w:r>
      <w:r w:rsidR="00B70D6E" w:rsidRPr="00CA45C5">
        <w:rPr>
          <w:rFonts w:ascii="Verdana" w:eastAsia="Batang" w:hAnsi="Verdana"/>
          <w:sz w:val="20"/>
          <w:szCs w:val="20"/>
          <w:lang w:val="es-CR" w:eastAsia="es-MX"/>
        </w:rPr>
        <w:t>A</w:t>
      </w:r>
      <w:r w:rsidR="00B84C0E">
        <w:rPr>
          <w:rFonts w:ascii="Verdana" w:eastAsia="Batang" w:hAnsi="Verdana"/>
          <w:sz w:val="20"/>
          <w:szCs w:val="20"/>
          <w:lang w:val="es-CR" w:eastAsia="es-MX"/>
        </w:rPr>
        <w:t>demás</w:t>
      </w:r>
      <w:r w:rsidR="00B70D6E" w:rsidRPr="00CA45C5">
        <w:rPr>
          <w:rFonts w:ascii="Verdana" w:eastAsia="Batang" w:hAnsi="Verdana"/>
          <w:sz w:val="20"/>
          <w:szCs w:val="20"/>
          <w:lang w:val="es-CR" w:eastAsia="es-MX"/>
        </w:rPr>
        <w:t>, el Tribunal concluyó que el Estado venezolano es responsable por la violación de los derechos a las garantías judiciales, a la protección judic</w:t>
      </w:r>
      <w:r w:rsidR="00150A01">
        <w:rPr>
          <w:rFonts w:ascii="Verdana" w:eastAsia="Batang" w:hAnsi="Verdana"/>
          <w:sz w:val="20"/>
          <w:szCs w:val="20"/>
          <w:lang w:val="es-CR" w:eastAsia="es-MX"/>
        </w:rPr>
        <w:t xml:space="preserve">ial y a la integridad personal </w:t>
      </w:r>
      <w:r w:rsidR="00B70D6E" w:rsidRPr="00CA45C5">
        <w:rPr>
          <w:rFonts w:ascii="Verdana" w:eastAsia="Batang" w:hAnsi="Verdana"/>
          <w:sz w:val="20"/>
          <w:szCs w:val="20"/>
          <w:lang w:val="es-CR" w:eastAsia="es-MX"/>
        </w:rPr>
        <w:t xml:space="preserve">de los familiares de los hermanos Landaeta Mejías. </w:t>
      </w:r>
    </w:p>
    <w:p w:rsidR="005A4A69" w:rsidRPr="00CA45C5" w:rsidRDefault="00EE56AF" w:rsidP="00C11971">
      <w:pPr>
        <w:pStyle w:val="ListParagraph1"/>
        <w:tabs>
          <w:tab w:val="left" w:pos="567"/>
          <w:tab w:val="left" w:pos="2128"/>
        </w:tabs>
        <w:spacing w:after="120" w:line="240" w:lineRule="auto"/>
        <w:ind w:left="0" w:right="-120"/>
        <w:contextualSpacing/>
        <w:jc w:val="both"/>
        <w:rPr>
          <w:rFonts w:ascii="Verdana" w:hAnsi="Verdana"/>
          <w:spacing w:val="-2"/>
          <w:sz w:val="20"/>
          <w:szCs w:val="20"/>
          <w:lang w:val="es-CR"/>
        </w:rPr>
      </w:pPr>
      <w:r w:rsidRPr="00CA45C5">
        <w:rPr>
          <w:rFonts w:ascii="Verdana" w:hAnsi="Verdana"/>
          <w:sz w:val="20"/>
          <w:szCs w:val="20"/>
          <w:lang w:val="es-MX"/>
        </w:rPr>
        <w:t xml:space="preserve">El Tribunal constató que al momento de la ocurrencia de los hechos existía </w:t>
      </w:r>
      <w:r w:rsidRPr="00CA45C5">
        <w:rPr>
          <w:rFonts w:ascii="Verdana" w:hAnsi="Verdana"/>
          <w:spacing w:val="-2"/>
          <w:sz w:val="20"/>
          <w:szCs w:val="20"/>
          <w:lang w:val="es-CR"/>
        </w:rPr>
        <w:t>una seria problemática de abusos policiales en diversos estados de Venezuela, incluyendo el estado de Aragua</w:t>
      </w:r>
      <w:r w:rsidR="00FB5682">
        <w:rPr>
          <w:rFonts w:ascii="Verdana" w:hAnsi="Verdana"/>
          <w:spacing w:val="-2"/>
          <w:sz w:val="20"/>
          <w:szCs w:val="20"/>
          <w:lang w:val="es-CR"/>
        </w:rPr>
        <w:t xml:space="preserve"> y </w:t>
      </w:r>
      <w:r w:rsidR="005A4A69" w:rsidRPr="00CA45C5">
        <w:rPr>
          <w:rFonts w:ascii="Verdana" w:hAnsi="Verdana"/>
          <w:spacing w:val="-2"/>
          <w:sz w:val="20"/>
          <w:szCs w:val="20"/>
          <w:lang w:val="es-CR"/>
        </w:rPr>
        <w:t xml:space="preserve">que los hermanos Igmar Alexander y Eduardo José, ambos de apellidos Landaeta Mejías, de 18 y 17 años de edad respectivamente, </w:t>
      </w:r>
      <w:r w:rsidR="00337285" w:rsidRPr="00CA45C5">
        <w:rPr>
          <w:rFonts w:ascii="Verdana" w:hAnsi="Verdana"/>
          <w:spacing w:val="-2"/>
          <w:sz w:val="20"/>
          <w:szCs w:val="20"/>
          <w:lang w:val="es-CR"/>
        </w:rPr>
        <w:t xml:space="preserve">tras amenazas y hostigamientos, </w:t>
      </w:r>
      <w:r w:rsidR="005A4A69" w:rsidRPr="00CA45C5">
        <w:rPr>
          <w:rFonts w:ascii="Verdana" w:hAnsi="Verdana"/>
          <w:spacing w:val="-2"/>
          <w:sz w:val="20"/>
          <w:szCs w:val="20"/>
          <w:lang w:val="es-CR"/>
        </w:rPr>
        <w:t xml:space="preserve">perdieron la vida </w:t>
      </w:r>
      <w:r w:rsidR="00B84C0E" w:rsidRPr="0093280F">
        <w:rPr>
          <w:rFonts w:ascii="Verdana" w:hAnsi="Verdana"/>
          <w:spacing w:val="-2"/>
          <w:sz w:val="20"/>
          <w:szCs w:val="20"/>
          <w:lang w:val="es-CR"/>
        </w:rPr>
        <w:t>con</w:t>
      </w:r>
      <w:r w:rsidR="003E3B60">
        <w:rPr>
          <w:rFonts w:ascii="Verdana" w:hAnsi="Verdana"/>
          <w:spacing w:val="-2"/>
          <w:sz w:val="20"/>
          <w:szCs w:val="20"/>
          <w:lang w:val="es-CR"/>
        </w:rPr>
        <w:t xml:space="preserve"> motivo de</w:t>
      </w:r>
      <w:r w:rsidR="00B84C0E">
        <w:rPr>
          <w:rFonts w:ascii="Verdana" w:hAnsi="Verdana"/>
          <w:spacing w:val="-2"/>
          <w:sz w:val="20"/>
          <w:szCs w:val="20"/>
          <w:lang w:val="es-CR"/>
        </w:rPr>
        <w:t xml:space="preserve"> </w:t>
      </w:r>
      <w:r w:rsidR="005A4A69" w:rsidRPr="00CA45C5">
        <w:rPr>
          <w:rFonts w:ascii="Verdana" w:hAnsi="Verdana"/>
          <w:spacing w:val="-2"/>
          <w:sz w:val="20"/>
          <w:szCs w:val="20"/>
          <w:lang w:val="es-CR"/>
        </w:rPr>
        <w:t>actuaciones de los funcionarios del Cuerpo de Seguridad y Orden Público del estado de Aragua</w:t>
      </w:r>
      <w:r w:rsidR="003F23C2" w:rsidRPr="00CA45C5">
        <w:rPr>
          <w:rFonts w:ascii="Verdana" w:hAnsi="Verdana"/>
          <w:spacing w:val="-2"/>
          <w:sz w:val="20"/>
          <w:szCs w:val="20"/>
          <w:lang w:val="es-CR"/>
        </w:rPr>
        <w:t xml:space="preserve"> (CSOP)</w:t>
      </w:r>
      <w:r w:rsidR="005A4A69" w:rsidRPr="00CA45C5">
        <w:rPr>
          <w:rFonts w:ascii="Verdana" w:hAnsi="Verdana"/>
          <w:spacing w:val="-2"/>
          <w:sz w:val="20"/>
          <w:szCs w:val="20"/>
          <w:lang w:val="es-CR"/>
        </w:rPr>
        <w:t xml:space="preserve">. En este sentido, el 17 de noviembre de 1996, </w:t>
      </w:r>
      <w:r w:rsidR="005A4A69" w:rsidRPr="00E55E8F">
        <w:rPr>
          <w:rFonts w:ascii="Verdana" w:hAnsi="Verdana"/>
          <w:spacing w:val="-2"/>
          <w:sz w:val="20"/>
          <w:szCs w:val="20"/>
          <w:lang w:val="es-CR"/>
        </w:rPr>
        <w:t xml:space="preserve">Igmar Alexander Landaeta Mejías falleció a causa de dos </w:t>
      </w:r>
      <w:r w:rsidR="00357D9D" w:rsidRPr="00E55E8F">
        <w:rPr>
          <w:rFonts w:ascii="Verdana" w:hAnsi="Verdana"/>
          <w:spacing w:val="-2"/>
          <w:sz w:val="20"/>
          <w:szCs w:val="20"/>
          <w:lang w:val="es-CR"/>
        </w:rPr>
        <w:t xml:space="preserve">impactos </w:t>
      </w:r>
      <w:r w:rsidR="005A4A69" w:rsidRPr="00E55E8F">
        <w:rPr>
          <w:rFonts w:ascii="Verdana" w:hAnsi="Verdana"/>
          <w:spacing w:val="-2"/>
          <w:sz w:val="20"/>
          <w:szCs w:val="20"/>
          <w:lang w:val="es-CR"/>
        </w:rPr>
        <w:t>de bala</w:t>
      </w:r>
      <w:r w:rsidR="00E55E8F">
        <w:rPr>
          <w:rFonts w:ascii="Verdana" w:hAnsi="Verdana"/>
          <w:spacing w:val="-2"/>
          <w:sz w:val="20"/>
          <w:szCs w:val="20"/>
          <w:lang w:val="es-CR"/>
        </w:rPr>
        <w:t>,</w:t>
      </w:r>
      <w:r w:rsidR="00FB5682" w:rsidRPr="00E55E8F">
        <w:rPr>
          <w:rFonts w:ascii="Verdana" w:hAnsi="Verdana"/>
          <w:spacing w:val="-2"/>
          <w:sz w:val="20"/>
          <w:szCs w:val="20"/>
          <w:lang w:val="es-CR"/>
        </w:rPr>
        <w:t xml:space="preserve"> </w:t>
      </w:r>
      <w:r w:rsidR="005A4A69" w:rsidRPr="00E55E8F">
        <w:rPr>
          <w:rFonts w:ascii="Verdana" w:hAnsi="Verdana"/>
          <w:spacing w:val="-2"/>
          <w:sz w:val="20"/>
          <w:szCs w:val="20"/>
          <w:lang w:val="es-CR"/>
        </w:rPr>
        <w:t>en el marco de un presunto enfrentamiento con agentes policiales</w:t>
      </w:r>
      <w:r w:rsidR="003D4061" w:rsidRPr="00E55E8F">
        <w:rPr>
          <w:rFonts w:ascii="Verdana" w:hAnsi="Verdana"/>
          <w:spacing w:val="-2"/>
          <w:sz w:val="20"/>
          <w:szCs w:val="20"/>
          <w:lang w:val="es-CR"/>
        </w:rPr>
        <w:t xml:space="preserve"> de inteligencia</w:t>
      </w:r>
      <w:r w:rsidR="00E55E8F">
        <w:rPr>
          <w:rFonts w:ascii="Verdana" w:hAnsi="Verdana"/>
          <w:spacing w:val="-2"/>
          <w:sz w:val="20"/>
          <w:szCs w:val="20"/>
          <w:lang w:val="es-CR"/>
        </w:rPr>
        <w:t>,</w:t>
      </w:r>
      <w:r w:rsidR="00FB5682" w:rsidRPr="00E55E8F">
        <w:rPr>
          <w:rFonts w:ascii="Verdana" w:hAnsi="Verdana"/>
          <w:spacing w:val="-2"/>
          <w:sz w:val="20"/>
          <w:szCs w:val="20"/>
          <w:lang w:val="es-CR"/>
        </w:rPr>
        <w:t xml:space="preserve"> quienes tras dichos eventos trasladaron su cuerpo</w:t>
      </w:r>
      <w:r w:rsidR="00357D9D" w:rsidRPr="00E55E8F">
        <w:rPr>
          <w:rFonts w:ascii="Verdana" w:hAnsi="Verdana"/>
          <w:spacing w:val="-2"/>
          <w:sz w:val="20"/>
          <w:szCs w:val="20"/>
          <w:lang w:val="es-CR"/>
        </w:rPr>
        <w:t xml:space="preserve"> al Centro Ambulatorio Tipo III de Turmero </w:t>
      </w:r>
      <w:r w:rsidR="00FB5682" w:rsidRPr="00E55E8F">
        <w:rPr>
          <w:rFonts w:ascii="Verdana" w:hAnsi="Verdana"/>
          <w:spacing w:val="-2"/>
          <w:sz w:val="20"/>
          <w:szCs w:val="20"/>
          <w:lang w:val="es-CR"/>
        </w:rPr>
        <w:t xml:space="preserve">y luego </w:t>
      </w:r>
      <w:r w:rsidR="00357D9D" w:rsidRPr="00E55E8F">
        <w:rPr>
          <w:rFonts w:ascii="Verdana" w:hAnsi="Verdana"/>
          <w:spacing w:val="-2"/>
          <w:sz w:val="20"/>
          <w:szCs w:val="20"/>
          <w:lang w:val="es-CR"/>
        </w:rPr>
        <w:t xml:space="preserve">se retiraron sin </w:t>
      </w:r>
      <w:r w:rsidR="00B84C0E" w:rsidRPr="00E55E8F">
        <w:rPr>
          <w:rFonts w:ascii="Verdana" w:hAnsi="Verdana"/>
          <w:spacing w:val="-2"/>
          <w:sz w:val="20"/>
          <w:szCs w:val="20"/>
          <w:lang w:val="es-CR"/>
        </w:rPr>
        <w:t>identific</w:t>
      </w:r>
      <w:r w:rsidR="003D4061" w:rsidRPr="00E55E8F">
        <w:rPr>
          <w:rFonts w:ascii="Verdana" w:hAnsi="Verdana"/>
          <w:spacing w:val="-2"/>
          <w:sz w:val="20"/>
          <w:szCs w:val="20"/>
          <w:lang w:val="es-CR"/>
        </w:rPr>
        <w:t>arse</w:t>
      </w:r>
      <w:r w:rsidR="00B84C0E" w:rsidRPr="00E55E8F">
        <w:rPr>
          <w:rFonts w:ascii="Verdana" w:hAnsi="Verdana"/>
          <w:spacing w:val="-2"/>
          <w:sz w:val="20"/>
          <w:szCs w:val="20"/>
          <w:lang w:val="es-CR"/>
        </w:rPr>
        <w:t xml:space="preserve">. </w:t>
      </w:r>
      <w:r w:rsidR="003E3B60" w:rsidRPr="00E55E8F">
        <w:rPr>
          <w:rFonts w:ascii="Verdana" w:hAnsi="Verdana"/>
          <w:spacing w:val="-2"/>
          <w:sz w:val="20"/>
          <w:szCs w:val="20"/>
          <w:lang w:val="es-CR"/>
        </w:rPr>
        <w:t>Respecto de</w:t>
      </w:r>
      <w:r w:rsidR="003F23C2" w:rsidRPr="00E55E8F">
        <w:rPr>
          <w:rFonts w:ascii="Verdana" w:hAnsi="Verdana"/>
          <w:spacing w:val="-2"/>
          <w:sz w:val="20"/>
          <w:szCs w:val="20"/>
          <w:lang w:val="es-CR"/>
        </w:rPr>
        <w:t xml:space="preserve"> Eduardo José Landaeta Mejías,</w:t>
      </w:r>
      <w:r w:rsidR="00B84C0E">
        <w:rPr>
          <w:rFonts w:ascii="Verdana" w:hAnsi="Verdana"/>
          <w:spacing w:val="-2"/>
          <w:sz w:val="20"/>
          <w:szCs w:val="20"/>
          <w:lang w:val="es-CR"/>
        </w:rPr>
        <w:t xml:space="preserve"> de 17 años</w:t>
      </w:r>
      <w:r w:rsidR="003E3B60">
        <w:rPr>
          <w:rFonts w:ascii="Verdana" w:hAnsi="Verdana"/>
          <w:spacing w:val="-2"/>
          <w:sz w:val="20"/>
          <w:szCs w:val="20"/>
          <w:lang w:val="es-CR"/>
        </w:rPr>
        <w:t xml:space="preserve"> de edad</w:t>
      </w:r>
      <w:r w:rsidR="00B84C0E">
        <w:rPr>
          <w:rFonts w:ascii="Verdana" w:hAnsi="Verdana"/>
          <w:spacing w:val="-2"/>
          <w:sz w:val="20"/>
          <w:szCs w:val="20"/>
          <w:lang w:val="es-CR"/>
        </w:rPr>
        <w:t xml:space="preserve">, </w:t>
      </w:r>
      <w:r w:rsidR="003F23C2" w:rsidRPr="00CA45C5">
        <w:rPr>
          <w:rFonts w:ascii="Verdana" w:hAnsi="Verdana"/>
          <w:spacing w:val="-2"/>
          <w:sz w:val="20"/>
          <w:szCs w:val="20"/>
          <w:lang w:val="es-CR"/>
        </w:rPr>
        <w:t>la Corte corroboró que el 29 de diciembre de 1996, es decir un mes y medio después de la muerte de su hermano, fue detenido por agentes del CSOP del estado de Aragua, y llevado al Cuartelito del Barrio de San Carlos, en relación con una supuesta averiguación que se instruía ante la Seccional de Mariño</w:t>
      </w:r>
      <w:r w:rsidR="00E55E8F">
        <w:rPr>
          <w:rFonts w:ascii="Verdana" w:hAnsi="Verdana"/>
          <w:spacing w:val="-2"/>
          <w:sz w:val="20"/>
          <w:szCs w:val="20"/>
          <w:lang w:val="es-CR"/>
        </w:rPr>
        <w:t>,</w:t>
      </w:r>
      <w:r w:rsidR="003F23C2" w:rsidRPr="00CA45C5">
        <w:rPr>
          <w:rFonts w:ascii="Verdana" w:hAnsi="Verdana"/>
          <w:spacing w:val="-2"/>
          <w:sz w:val="20"/>
          <w:szCs w:val="20"/>
          <w:lang w:val="es-CR"/>
        </w:rPr>
        <w:t xml:space="preserve"> y posteriormente trasladado al Cuartel Central.</w:t>
      </w:r>
      <w:r w:rsidR="00E55E8F">
        <w:rPr>
          <w:rFonts w:ascii="Verdana" w:hAnsi="Verdana"/>
          <w:spacing w:val="-2"/>
          <w:sz w:val="20"/>
          <w:szCs w:val="20"/>
          <w:lang w:val="es-CR"/>
        </w:rPr>
        <w:t xml:space="preserve"> Luego de ello, </w:t>
      </w:r>
      <w:r w:rsidR="00316257" w:rsidRPr="0076522A">
        <w:rPr>
          <w:rFonts w:ascii="Verdana" w:hAnsi="Verdana"/>
          <w:spacing w:val="-2"/>
          <w:sz w:val="20"/>
          <w:szCs w:val="20"/>
          <w:lang w:val="es-CR"/>
        </w:rPr>
        <w:t xml:space="preserve">falleció en custodia de policías </w:t>
      </w:r>
      <w:r w:rsidR="00316257" w:rsidRPr="00CA45C5">
        <w:rPr>
          <w:rFonts w:ascii="Verdana" w:hAnsi="Verdana"/>
          <w:spacing w:val="-2"/>
          <w:sz w:val="20"/>
          <w:szCs w:val="20"/>
          <w:lang w:val="es-CR"/>
        </w:rPr>
        <w:t>del CSOP del estado de Aragua</w:t>
      </w:r>
      <w:r w:rsidR="00316257" w:rsidRPr="0076522A">
        <w:rPr>
          <w:rFonts w:ascii="Verdana" w:hAnsi="Verdana"/>
          <w:spacing w:val="-2"/>
          <w:sz w:val="20"/>
          <w:szCs w:val="20"/>
          <w:lang w:val="es-CR"/>
        </w:rPr>
        <w:t xml:space="preserve">, durante el traslado del Comando Central de la Policía a la </w:t>
      </w:r>
      <w:r w:rsidR="00316257">
        <w:rPr>
          <w:rFonts w:ascii="Verdana" w:hAnsi="Verdana"/>
          <w:spacing w:val="-2"/>
          <w:sz w:val="20"/>
          <w:szCs w:val="20"/>
          <w:lang w:val="es-CR"/>
        </w:rPr>
        <w:t>Seccional de Mariño</w:t>
      </w:r>
      <w:r w:rsidR="00316257" w:rsidRPr="0076522A">
        <w:rPr>
          <w:rFonts w:ascii="Verdana" w:hAnsi="Verdana"/>
          <w:spacing w:val="-2"/>
          <w:sz w:val="20"/>
          <w:szCs w:val="20"/>
          <w:lang w:val="es-CR"/>
        </w:rPr>
        <w:t xml:space="preserve">, </w:t>
      </w:r>
      <w:r w:rsidR="00316257" w:rsidRPr="00316257">
        <w:rPr>
          <w:rFonts w:ascii="Verdana" w:hAnsi="Verdana"/>
          <w:spacing w:val="-2"/>
          <w:sz w:val="20"/>
          <w:szCs w:val="20"/>
          <w:lang w:val="es-CR"/>
        </w:rPr>
        <w:t xml:space="preserve">luego de haber estado detenido </w:t>
      </w:r>
      <w:r w:rsidR="003F23C2" w:rsidRPr="00316257">
        <w:rPr>
          <w:rFonts w:ascii="Verdana" w:hAnsi="Verdana"/>
          <w:spacing w:val="-2"/>
          <w:sz w:val="20"/>
          <w:szCs w:val="20"/>
          <w:lang w:val="es-CR"/>
        </w:rPr>
        <w:t>por un periodo mayor a 38 horas</w:t>
      </w:r>
      <w:r w:rsidR="00316257" w:rsidRPr="00316257">
        <w:rPr>
          <w:rFonts w:ascii="Verdana" w:hAnsi="Verdana"/>
          <w:spacing w:val="-2"/>
          <w:sz w:val="20"/>
          <w:szCs w:val="20"/>
          <w:lang w:val="es-CR"/>
        </w:rPr>
        <w:t>.</w:t>
      </w:r>
      <w:r w:rsidR="00316257">
        <w:rPr>
          <w:rFonts w:ascii="Verdana" w:hAnsi="Verdana"/>
          <w:spacing w:val="-2"/>
          <w:sz w:val="20"/>
          <w:szCs w:val="20"/>
          <w:lang w:val="es-CR"/>
        </w:rPr>
        <w:t xml:space="preserve"> </w:t>
      </w:r>
      <w:r w:rsidR="00B84C0E">
        <w:rPr>
          <w:rFonts w:ascii="Verdana" w:hAnsi="Verdana"/>
          <w:spacing w:val="-2"/>
          <w:sz w:val="20"/>
          <w:szCs w:val="20"/>
          <w:lang w:val="es-CR"/>
        </w:rPr>
        <w:t>El p</w:t>
      </w:r>
      <w:r w:rsidR="00A4367D" w:rsidRPr="00CA45C5">
        <w:rPr>
          <w:rFonts w:ascii="Verdana" w:hAnsi="Verdana"/>
          <w:spacing w:val="-2"/>
          <w:sz w:val="20"/>
          <w:szCs w:val="20"/>
          <w:lang w:val="es-CR"/>
        </w:rPr>
        <w:t xml:space="preserve">rotocolo de autopsia identificó la existencia de lesiones adicionales a las causadas por los impactos de proyectil. </w:t>
      </w:r>
    </w:p>
    <w:p w:rsidR="0099086A" w:rsidRDefault="007753BC" w:rsidP="00C11971">
      <w:pPr>
        <w:spacing w:after="120"/>
        <w:ind w:right="-120"/>
        <w:jc w:val="both"/>
        <w:rPr>
          <w:spacing w:val="-2"/>
          <w:lang w:val="es-CR"/>
        </w:rPr>
      </w:pPr>
      <w:r w:rsidRPr="00CA45C5">
        <w:rPr>
          <w:spacing w:val="-2"/>
          <w:lang w:val="es-CR"/>
        </w:rPr>
        <w:t>Como consecuencia de ambas muertes</w:t>
      </w:r>
      <w:r w:rsidR="00525D0E" w:rsidRPr="00CA45C5">
        <w:rPr>
          <w:spacing w:val="-2"/>
          <w:lang w:val="es-CR"/>
        </w:rPr>
        <w:t xml:space="preserve"> se iniciaron investigaciones y procesos penales con el fin de identificar a los presuntos responsables e imponer las sanciones correspondientes. </w:t>
      </w:r>
      <w:r w:rsidR="005E72D5">
        <w:rPr>
          <w:spacing w:val="-2"/>
          <w:lang w:val="es-CR"/>
        </w:rPr>
        <w:t>R</w:t>
      </w:r>
      <w:r w:rsidR="00EB124F">
        <w:rPr>
          <w:spacing w:val="-2"/>
          <w:lang w:val="es-CR"/>
        </w:rPr>
        <w:t xml:space="preserve">especto </w:t>
      </w:r>
      <w:r w:rsidR="00EB124F" w:rsidRPr="00E55E8F">
        <w:rPr>
          <w:spacing w:val="-2"/>
          <w:lang w:val="es-CR"/>
        </w:rPr>
        <w:t>de</w:t>
      </w:r>
      <w:r w:rsidR="00525D0E" w:rsidRPr="00E55E8F">
        <w:rPr>
          <w:spacing w:val="-2"/>
          <w:lang w:val="es-CR"/>
        </w:rPr>
        <w:t xml:space="preserve"> Igmar Landaeta,</w:t>
      </w:r>
      <w:r w:rsidR="00F42049" w:rsidRPr="00E55E8F">
        <w:rPr>
          <w:spacing w:val="-2"/>
          <w:lang w:val="es-CR"/>
        </w:rPr>
        <w:t xml:space="preserve"> </w:t>
      </w:r>
      <w:r w:rsidR="005E72D5" w:rsidRPr="00E55E8F">
        <w:rPr>
          <w:spacing w:val="-2"/>
          <w:lang w:val="es-CR"/>
        </w:rPr>
        <w:t xml:space="preserve">se adelantó un proceso penal </w:t>
      </w:r>
      <w:r w:rsidR="00EE56AF" w:rsidRPr="00E55E8F">
        <w:rPr>
          <w:spacing w:val="-2"/>
          <w:lang w:val="es-CR"/>
        </w:rPr>
        <w:t>contra los</w:t>
      </w:r>
      <w:r w:rsidR="002C7631" w:rsidRPr="00E55E8F">
        <w:rPr>
          <w:spacing w:val="-2"/>
          <w:lang w:val="es-CR"/>
        </w:rPr>
        <w:t xml:space="preserve"> dos</w:t>
      </w:r>
      <w:r w:rsidR="00EE56AF" w:rsidRPr="00E55E8F">
        <w:rPr>
          <w:spacing w:val="-2"/>
          <w:lang w:val="es-CR"/>
        </w:rPr>
        <w:t xml:space="preserve"> ag</w:t>
      </w:r>
      <w:r w:rsidR="00525D0E" w:rsidRPr="00E55E8F">
        <w:rPr>
          <w:spacing w:val="-2"/>
          <w:lang w:val="es-CR"/>
        </w:rPr>
        <w:t xml:space="preserve">entes policiales que </w:t>
      </w:r>
      <w:r w:rsidR="002C7631" w:rsidRPr="00E55E8F">
        <w:rPr>
          <w:spacing w:val="-2"/>
          <w:lang w:val="es-CR"/>
        </w:rPr>
        <w:t>participaron en los hechos</w:t>
      </w:r>
      <w:r w:rsidR="005E72D5">
        <w:rPr>
          <w:spacing w:val="-2"/>
          <w:lang w:val="es-CR"/>
        </w:rPr>
        <w:t>.</w:t>
      </w:r>
      <w:r w:rsidR="002C7631" w:rsidRPr="00CA45C5">
        <w:rPr>
          <w:spacing w:val="-2"/>
          <w:lang w:val="es-CR"/>
        </w:rPr>
        <w:t xml:space="preserve"> </w:t>
      </w:r>
      <w:r w:rsidR="005E72D5">
        <w:rPr>
          <w:spacing w:val="-2"/>
          <w:lang w:val="es-CR"/>
        </w:rPr>
        <w:t xml:space="preserve">El </w:t>
      </w:r>
      <w:r w:rsidR="002C7631" w:rsidRPr="00CA45C5">
        <w:rPr>
          <w:spacing w:val="-2"/>
          <w:lang w:val="es-CR"/>
        </w:rPr>
        <w:t xml:space="preserve">13 de octubre de 2000, el Juzgado Segundo del Régimen Procesal Transitorio emitió sentencia de primera instancia en la cual absolvió a </w:t>
      </w:r>
      <w:r w:rsidR="002C7631" w:rsidRPr="00CA45C5">
        <w:rPr>
          <w:lang w:val="es-MX"/>
        </w:rPr>
        <w:t xml:space="preserve">uno de ellos </w:t>
      </w:r>
      <w:r w:rsidR="002C7631" w:rsidRPr="00CA45C5">
        <w:rPr>
          <w:spacing w:val="-2"/>
          <w:lang w:val="es-CR"/>
        </w:rPr>
        <w:t xml:space="preserve">y condenó al otro a la pena de 12 años de prisión. La defensa presentó un recurso de apelación contra la sentencia condenatoria que fue resuelto por la Corte de Apelaciones, por medio del cual se confirmó la condena dictada por la primera instancia. Contra esta sentencia se interpuso </w:t>
      </w:r>
      <w:r w:rsidR="003D4061">
        <w:rPr>
          <w:spacing w:val="-2"/>
          <w:lang w:val="es-CR"/>
        </w:rPr>
        <w:t xml:space="preserve">un </w:t>
      </w:r>
      <w:r w:rsidR="002C7631" w:rsidRPr="00CA45C5">
        <w:rPr>
          <w:spacing w:val="-2"/>
          <w:lang w:val="es-CR"/>
        </w:rPr>
        <w:t>recurso de casación, resuelto por la Sala de Casación de</w:t>
      </w:r>
      <w:r w:rsidR="007A6EC3">
        <w:rPr>
          <w:spacing w:val="-2"/>
          <w:lang w:val="es-CR"/>
        </w:rPr>
        <w:t>l Tribunal Supremo de Justicia</w:t>
      </w:r>
      <w:r w:rsidR="002C7631" w:rsidRPr="00CA45C5">
        <w:rPr>
          <w:spacing w:val="-2"/>
          <w:lang w:val="es-CR"/>
        </w:rPr>
        <w:t>, mediante la cual ordenó la anulación de la apelación y la reposición de la causa al estado en que la Corte de Apelaciones res</w:t>
      </w:r>
      <w:r w:rsidR="003D4061">
        <w:rPr>
          <w:spacing w:val="-2"/>
          <w:lang w:val="es-CR"/>
        </w:rPr>
        <w:t>olviera</w:t>
      </w:r>
      <w:r w:rsidR="002C7631" w:rsidRPr="00CA45C5">
        <w:rPr>
          <w:spacing w:val="-2"/>
          <w:lang w:val="es-CR"/>
        </w:rPr>
        <w:t xml:space="preserve"> el recurso nuevamente. Finalmente, la Corte de Apelaciones emitió una nueva sentencia el 10 de noviembre de 2003 en donde </w:t>
      </w:r>
      <w:r w:rsidR="007A6EC3">
        <w:rPr>
          <w:spacing w:val="-2"/>
          <w:lang w:val="es-CR"/>
        </w:rPr>
        <w:t xml:space="preserve">se </w:t>
      </w:r>
      <w:r w:rsidR="002C7631" w:rsidRPr="00CA45C5">
        <w:rPr>
          <w:spacing w:val="-2"/>
          <w:lang w:val="es-CR"/>
        </w:rPr>
        <w:t>decidió el sobreseimiento del caso a favor del inicialmente condenado.</w:t>
      </w:r>
      <w:r w:rsidR="000140FE">
        <w:rPr>
          <w:spacing w:val="-2"/>
          <w:lang w:val="es-CR"/>
        </w:rPr>
        <w:t xml:space="preserve"> La causa fue posteriormente remitida</w:t>
      </w:r>
      <w:r w:rsidR="000140FE" w:rsidRPr="0076522A">
        <w:rPr>
          <w:spacing w:val="-2"/>
          <w:lang w:val="es-CR"/>
        </w:rPr>
        <w:t xml:space="preserve"> al Archivo Judicial Central</w:t>
      </w:r>
      <w:r w:rsidR="000140FE">
        <w:rPr>
          <w:spacing w:val="-2"/>
          <w:lang w:val="es-CR"/>
        </w:rPr>
        <w:t>.</w:t>
      </w:r>
      <w:r w:rsidR="002C7631" w:rsidRPr="00CA45C5">
        <w:rPr>
          <w:spacing w:val="-2"/>
          <w:lang w:val="es-CR"/>
        </w:rPr>
        <w:t xml:space="preserve"> </w:t>
      </w:r>
    </w:p>
    <w:p w:rsidR="00D92235" w:rsidRPr="00CA45C5" w:rsidRDefault="002C7631" w:rsidP="00C11971">
      <w:pPr>
        <w:spacing w:after="120"/>
        <w:ind w:right="-120"/>
        <w:jc w:val="both"/>
        <w:rPr>
          <w:spacing w:val="-2"/>
          <w:lang w:val="es-CR"/>
        </w:rPr>
      </w:pPr>
      <w:r w:rsidRPr="00CA45C5">
        <w:rPr>
          <w:spacing w:val="-2"/>
          <w:lang w:val="es-CR"/>
        </w:rPr>
        <w:lastRenderedPageBreak/>
        <w:t xml:space="preserve">Respecto de </w:t>
      </w:r>
      <w:r w:rsidRPr="00E55E8F">
        <w:rPr>
          <w:spacing w:val="-2"/>
          <w:lang w:val="es-CR"/>
        </w:rPr>
        <w:t>Eduardo Landaeta</w:t>
      </w:r>
      <w:r w:rsidR="00EE56AF" w:rsidRPr="00E55E8F">
        <w:rPr>
          <w:spacing w:val="-2"/>
          <w:lang w:val="es-CR"/>
        </w:rPr>
        <w:t>,</w:t>
      </w:r>
      <w:r w:rsidR="00EE56AF" w:rsidRPr="00CA45C5">
        <w:rPr>
          <w:spacing w:val="-2"/>
          <w:lang w:val="es-CR"/>
        </w:rPr>
        <w:t xml:space="preserve"> </w:t>
      </w:r>
      <w:r w:rsidR="00EB124F">
        <w:rPr>
          <w:spacing w:val="-2"/>
          <w:lang w:val="es-CR"/>
        </w:rPr>
        <w:t xml:space="preserve">el </w:t>
      </w:r>
      <w:r w:rsidR="00E50865" w:rsidRPr="00CA45C5">
        <w:rPr>
          <w:spacing w:val="-2"/>
          <w:lang w:val="es-CR"/>
        </w:rPr>
        <w:t xml:space="preserve">Tribunal constató que </w:t>
      </w:r>
      <w:r w:rsidR="00D92235" w:rsidRPr="00CA45C5">
        <w:rPr>
          <w:spacing w:val="-2"/>
          <w:lang w:val="es-CR"/>
        </w:rPr>
        <w:t xml:space="preserve">las investigaciones se iniciaron luego de </w:t>
      </w:r>
      <w:r w:rsidR="005E72D5">
        <w:rPr>
          <w:spacing w:val="-2"/>
          <w:lang w:val="es-CR"/>
        </w:rPr>
        <w:t>su</w:t>
      </w:r>
      <w:r w:rsidR="00D92235" w:rsidRPr="00CA45C5">
        <w:rPr>
          <w:spacing w:val="-2"/>
          <w:lang w:val="es-CR"/>
        </w:rPr>
        <w:t xml:space="preserve"> muerte</w:t>
      </w:r>
      <w:r w:rsidR="003E3B60">
        <w:rPr>
          <w:spacing w:val="-2"/>
          <w:lang w:val="es-CR"/>
        </w:rPr>
        <w:t>, así como ciertas diligencias de investigación.</w:t>
      </w:r>
      <w:r w:rsidR="00D92235" w:rsidRPr="00CA45C5">
        <w:rPr>
          <w:spacing w:val="-2"/>
          <w:lang w:val="es-CR"/>
        </w:rPr>
        <w:t xml:space="preserve"> </w:t>
      </w:r>
      <w:r w:rsidR="00A80773" w:rsidRPr="00CA45C5">
        <w:rPr>
          <w:spacing w:val="-2"/>
          <w:lang w:val="es-CR"/>
        </w:rPr>
        <w:t xml:space="preserve">En virtud de </w:t>
      </w:r>
      <w:r w:rsidR="003E3B60">
        <w:rPr>
          <w:spacing w:val="-2"/>
          <w:lang w:val="es-CR"/>
        </w:rPr>
        <w:t>ello,</w:t>
      </w:r>
      <w:r w:rsidR="00A80773" w:rsidRPr="00CA45C5">
        <w:rPr>
          <w:spacing w:val="-2"/>
          <w:lang w:val="es-CR"/>
        </w:rPr>
        <w:t xml:space="preserve"> se </w:t>
      </w:r>
      <w:r w:rsidR="003E3B60">
        <w:rPr>
          <w:spacing w:val="-2"/>
          <w:lang w:val="es-CR"/>
        </w:rPr>
        <w:t>instauró</w:t>
      </w:r>
      <w:r w:rsidR="003E3B60" w:rsidRPr="00CA45C5">
        <w:rPr>
          <w:spacing w:val="-2"/>
          <w:lang w:val="es-CR"/>
        </w:rPr>
        <w:t xml:space="preserve"> </w:t>
      </w:r>
      <w:r w:rsidR="00A80773" w:rsidRPr="00CA45C5">
        <w:rPr>
          <w:spacing w:val="-2"/>
          <w:lang w:val="es-CR"/>
        </w:rPr>
        <w:t>un proceso penal en contra de tres agentes policiales</w:t>
      </w:r>
      <w:r w:rsidR="005E72D5">
        <w:rPr>
          <w:spacing w:val="-2"/>
          <w:lang w:val="es-CR"/>
        </w:rPr>
        <w:t xml:space="preserve"> quienes fueron absueltos </w:t>
      </w:r>
      <w:r w:rsidR="00A80773" w:rsidRPr="00CA45C5">
        <w:rPr>
          <w:spacing w:val="-2"/>
          <w:lang w:val="es-CR"/>
        </w:rPr>
        <w:t>e</w:t>
      </w:r>
      <w:r w:rsidR="00D92235" w:rsidRPr="00CA45C5">
        <w:rPr>
          <w:spacing w:val="-2"/>
          <w:lang w:val="es-CR"/>
        </w:rPr>
        <w:t xml:space="preserve">n diciembre de 2011 con base en la ausencia de prueba suficiente sobre su responsabilidad penal. Dicha decisión fue </w:t>
      </w:r>
      <w:r w:rsidR="00DC6552" w:rsidRPr="00CA45C5">
        <w:rPr>
          <w:spacing w:val="-2"/>
          <w:lang w:val="es-CR"/>
        </w:rPr>
        <w:t xml:space="preserve">apelada por la Fiscalía debido a la falta de motivación de la misma y por causa de vicios en ciertas notificaciones. Por ello, el 30 de octubre de 2012, </w:t>
      </w:r>
      <w:r w:rsidR="00D92235" w:rsidRPr="00CA45C5">
        <w:rPr>
          <w:spacing w:val="-2"/>
          <w:lang w:val="es-CR"/>
        </w:rPr>
        <w:t>la Corte de Apelaciones</w:t>
      </w:r>
      <w:r w:rsidR="00DC6552" w:rsidRPr="00CA45C5">
        <w:rPr>
          <w:spacing w:val="-2"/>
          <w:lang w:val="es-CR"/>
        </w:rPr>
        <w:t xml:space="preserve"> anuló la decisión de primera instancia y</w:t>
      </w:r>
      <w:r w:rsidR="00D92235" w:rsidRPr="00CA45C5">
        <w:rPr>
          <w:spacing w:val="-2"/>
          <w:lang w:val="es-CR"/>
        </w:rPr>
        <w:t xml:space="preserve"> ordenó la celebración de un nuevo juicio oral, el que se encuentra en curso en la actualidad, habiendo transcurrido más de 17 años de</w:t>
      </w:r>
      <w:r w:rsidR="0099086A">
        <w:rPr>
          <w:spacing w:val="-2"/>
          <w:lang w:val="es-CR"/>
        </w:rPr>
        <w:t xml:space="preserve"> iniciado el</w:t>
      </w:r>
      <w:r w:rsidR="00D92235" w:rsidRPr="00CA45C5">
        <w:rPr>
          <w:spacing w:val="-2"/>
          <w:lang w:val="es-CR"/>
        </w:rPr>
        <w:t xml:space="preserve"> proceso.</w:t>
      </w:r>
    </w:p>
    <w:p w:rsidR="00C65209" w:rsidRPr="00CA45C5" w:rsidRDefault="002467BA" w:rsidP="00C11971">
      <w:pPr>
        <w:pStyle w:val="NoSpacing"/>
        <w:spacing w:after="120"/>
        <w:ind w:right="-120"/>
        <w:jc w:val="both"/>
        <w:rPr>
          <w:rFonts w:ascii="Verdana" w:hAnsi="Verdana" w:cs="Verdana"/>
          <w:spacing w:val="-2"/>
          <w:sz w:val="20"/>
          <w:szCs w:val="20"/>
          <w:lang w:val="es-CR"/>
        </w:rPr>
      </w:pPr>
      <w:r w:rsidRPr="00CA45C5">
        <w:rPr>
          <w:rFonts w:ascii="Verdana" w:hAnsi="Verdana"/>
          <w:sz w:val="20"/>
          <w:szCs w:val="20"/>
          <w:lang w:val="es-MX"/>
        </w:rPr>
        <w:t xml:space="preserve">El Estado presentó </w:t>
      </w:r>
      <w:r w:rsidR="00C65209" w:rsidRPr="00CA45C5">
        <w:rPr>
          <w:rFonts w:ascii="Verdana" w:hAnsi="Verdana" w:cs="Verdana"/>
          <w:spacing w:val="-2"/>
          <w:sz w:val="20"/>
          <w:szCs w:val="20"/>
          <w:lang w:val="es-CR"/>
        </w:rPr>
        <w:t>excepciones preliminares respecto a la</w:t>
      </w:r>
      <w:r w:rsidRPr="00CA45C5">
        <w:rPr>
          <w:rFonts w:ascii="Verdana" w:hAnsi="Verdana" w:cs="Verdana"/>
          <w:spacing w:val="-2"/>
          <w:sz w:val="20"/>
          <w:szCs w:val="20"/>
          <w:lang w:val="es-CR"/>
        </w:rPr>
        <w:t xml:space="preserve"> falta de agotamiento de los recursos internos</w:t>
      </w:r>
      <w:r w:rsidR="003B1575">
        <w:rPr>
          <w:rFonts w:ascii="Verdana" w:hAnsi="Verdana" w:cs="Verdana"/>
          <w:spacing w:val="-2"/>
          <w:sz w:val="20"/>
          <w:szCs w:val="20"/>
          <w:lang w:val="es-CR"/>
        </w:rPr>
        <w:t xml:space="preserve">, las que </w:t>
      </w:r>
      <w:r w:rsidR="00C65209" w:rsidRPr="00CA45C5">
        <w:rPr>
          <w:rFonts w:ascii="Verdana" w:hAnsi="Verdana" w:cs="Verdana"/>
          <w:spacing w:val="-2"/>
          <w:sz w:val="20"/>
          <w:szCs w:val="20"/>
          <w:lang w:val="es-CR"/>
        </w:rPr>
        <w:t>fueron desestimadas por la Corte.</w:t>
      </w:r>
    </w:p>
    <w:p w:rsidR="00A91ECA" w:rsidRPr="00CA45C5" w:rsidRDefault="00430152" w:rsidP="00C11971">
      <w:pPr>
        <w:pStyle w:val="NoSpacing"/>
        <w:spacing w:after="120"/>
        <w:ind w:right="-120"/>
        <w:jc w:val="both"/>
        <w:rPr>
          <w:rFonts w:ascii="Verdana" w:hAnsi="Verdana"/>
          <w:sz w:val="20"/>
          <w:szCs w:val="20"/>
          <w:lang w:val="es-MX"/>
        </w:rPr>
      </w:pPr>
      <w:r>
        <w:rPr>
          <w:rFonts w:ascii="Verdana" w:hAnsi="Verdana"/>
          <w:sz w:val="20"/>
          <w:szCs w:val="20"/>
          <w:lang w:val="es-MX"/>
        </w:rPr>
        <w:t>Respecto de</w:t>
      </w:r>
      <w:r w:rsidR="002467BA" w:rsidRPr="00CA45C5">
        <w:rPr>
          <w:rFonts w:ascii="Verdana" w:hAnsi="Verdana"/>
          <w:sz w:val="20"/>
          <w:szCs w:val="20"/>
          <w:lang w:val="es-MX"/>
        </w:rPr>
        <w:t xml:space="preserve">l derecho a la vida de </w:t>
      </w:r>
      <w:r w:rsidR="002467BA" w:rsidRPr="00C11971">
        <w:rPr>
          <w:rFonts w:ascii="Verdana" w:hAnsi="Verdana"/>
          <w:b/>
          <w:sz w:val="20"/>
          <w:szCs w:val="20"/>
          <w:lang w:val="es-MX"/>
        </w:rPr>
        <w:t>Igmar Landaeta</w:t>
      </w:r>
      <w:r w:rsidR="002467BA" w:rsidRPr="00CA45C5">
        <w:rPr>
          <w:rFonts w:ascii="Verdana" w:hAnsi="Verdana"/>
          <w:sz w:val="20"/>
          <w:szCs w:val="20"/>
          <w:lang w:val="es-MX"/>
        </w:rPr>
        <w:t xml:space="preserve">, </w:t>
      </w:r>
      <w:r w:rsidR="00A91ECA" w:rsidRPr="00CA45C5">
        <w:rPr>
          <w:rFonts w:ascii="Verdana" w:hAnsi="Verdana"/>
          <w:sz w:val="20"/>
          <w:szCs w:val="20"/>
          <w:lang w:val="es-MX"/>
        </w:rPr>
        <w:t>reconocido en el artículo 4 de la Convención Americana, la Corte reiteró su ju</w:t>
      </w:r>
      <w:r>
        <w:rPr>
          <w:rFonts w:ascii="Verdana" w:hAnsi="Verdana"/>
          <w:sz w:val="20"/>
          <w:szCs w:val="20"/>
          <w:lang w:val="es-MX"/>
        </w:rPr>
        <w:t>risprudencia sobre este derecho, y en virtud de que</w:t>
      </w:r>
      <w:r w:rsidR="00A91ECA" w:rsidRPr="00CA45C5">
        <w:rPr>
          <w:rFonts w:ascii="Verdana" w:hAnsi="Verdana"/>
          <w:sz w:val="20"/>
          <w:szCs w:val="20"/>
          <w:lang w:val="es-MX"/>
        </w:rPr>
        <w:t xml:space="preserve"> </w:t>
      </w:r>
      <w:r w:rsidR="00FC0F61" w:rsidRPr="00CA45C5">
        <w:rPr>
          <w:rFonts w:ascii="Verdana" w:hAnsi="Verdana"/>
          <w:sz w:val="20"/>
          <w:szCs w:val="20"/>
          <w:lang w:val="es-MX"/>
        </w:rPr>
        <w:t xml:space="preserve">perdió la vida con motivo de un </w:t>
      </w:r>
      <w:r w:rsidR="0099086A" w:rsidRPr="00CA45C5">
        <w:rPr>
          <w:rFonts w:ascii="Verdana" w:hAnsi="Verdana"/>
          <w:sz w:val="20"/>
          <w:szCs w:val="20"/>
          <w:lang w:val="es-MX"/>
        </w:rPr>
        <w:t xml:space="preserve"> </w:t>
      </w:r>
      <w:r w:rsidR="00FC0F61" w:rsidRPr="00CA45C5">
        <w:rPr>
          <w:rFonts w:ascii="Verdana" w:hAnsi="Verdana"/>
          <w:sz w:val="20"/>
          <w:szCs w:val="20"/>
          <w:lang w:val="es-MX"/>
        </w:rPr>
        <w:t xml:space="preserve">enfrentamiento con agentes policiales de inteligencia, </w:t>
      </w:r>
      <w:r>
        <w:rPr>
          <w:rFonts w:ascii="Verdana" w:hAnsi="Verdana"/>
          <w:sz w:val="20"/>
          <w:szCs w:val="20"/>
          <w:lang w:val="es-MX"/>
        </w:rPr>
        <w:t xml:space="preserve">la Corte </w:t>
      </w:r>
      <w:r w:rsidR="00FC0F61" w:rsidRPr="00CA45C5">
        <w:rPr>
          <w:rFonts w:ascii="Verdana" w:hAnsi="Verdana"/>
          <w:sz w:val="20"/>
          <w:szCs w:val="20"/>
          <w:lang w:val="es-MX"/>
        </w:rPr>
        <w:t>analizó dicho derecho en el marco del uso de la fuerza por la autoridad, tomando en cuanta tres momentos fundamentales: a) las acciones preventivas; b) las acciones concomitantes a los hechos, y c) las acciones posteriores a los hechos.</w:t>
      </w:r>
    </w:p>
    <w:p w:rsidR="00430152" w:rsidRDefault="00FC0F61" w:rsidP="00C11971">
      <w:pPr>
        <w:pStyle w:val="ListParagraph1"/>
        <w:tabs>
          <w:tab w:val="left" w:pos="567"/>
          <w:tab w:val="left" w:pos="2128"/>
        </w:tabs>
        <w:spacing w:after="120" w:line="240" w:lineRule="auto"/>
        <w:ind w:left="0" w:right="-120"/>
        <w:contextualSpacing/>
        <w:jc w:val="both"/>
        <w:rPr>
          <w:rFonts w:ascii="Verdana" w:hAnsi="Verdana"/>
          <w:spacing w:val="-2"/>
          <w:sz w:val="20"/>
          <w:szCs w:val="20"/>
          <w:lang w:val="es-CR"/>
        </w:rPr>
      </w:pPr>
      <w:r w:rsidRPr="00CA45C5">
        <w:rPr>
          <w:rFonts w:ascii="Verdana" w:hAnsi="Verdana"/>
          <w:spacing w:val="-2"/>
          <w:sz w:val="20"/>
          <w:szCs w:val="20"/>
          <w:lang w:val="es-CR"/>
        </w:rPr>
        <w:t>En relación con las acciones preventivas</w:t>
      </w:r>
      <w:r w:rsidR="00891D0B">
        <w:rPr>
          <w:rFonts w:ascii="Verdana" w:hAnsi="Verdana"/>
          <w:spacing w:val="-2"/>
          <w:sz w:val="20"/>
          <w:szCs w:val="20"/>
          <w:lang w:val="es-CR"/>
        </w:rPr>
        <w:t xml:space="preserve">, </w:t>
      </w:r>
      <w:r w:rsidR="009645F1" w:rsidRPr="00430152">
        <w:rPr>
          <w:rFonts w:ascii="Verdana" w:hAnsi="Verdana"/>
          <w:spacing w:val="-2"/>
          <w:sz w:val="20"/>
          <w:szCs w:val="20"/>
          <w:lang w:val="es-CR"/>
        </w:rPr>
        <w:t xml:space="preserve">el Tribunal </w:t>
      </w:r>
      <w:r w:rsidR="000A27F3" w:rsidRPr="00430152">
        <w:rPr>
          <w:rFonts w:ascii="Verdana" w:hAnsi="Verdana"/>
          <w:spacing w:val="-2"/>
          <w:sz w:val="20"/>
          <w:szCs w:val="20"/>
          <w:lang w:val="es-CR"/>
        </w:rPr>
        <w:t>determinó que</w:t>
      </w:r>
      <w:r w:rsidRPr="00430152">
        <w:rPr>
          <w:rFonts w:ascii="Verdana" w:hAnsi="Verdana"/>
          <w:spacing w:val="-2"/>
          <w:sz w:val="20"/>
          <w:szCs w:val="20"/>
          <w:lang w:val="es-CR"/>
        </w:rPr>
        <w:t xml:space="preserve"> </w:t>
      </w:r>
      <w:r w:rsidR="002467BA" w:rsidRPr="00430152">
        <w:rPr>
          <w:rFonts w:ascii="Verdana" w:hAnsi="Verdana"/>
          <w:spacing w:val="-2"/>
          <w:sz w:val="20"/>
          <w:szCs w:val="20"/>
          <w:lang w:val="es-CR"/>
        </w:rPr>
        <w:t xml:space="preserve">el Estado </w:t>
      </w:r>
      <w:r w:rsidR="00430152" w:rsidRPr="00163599">
        <w:rPr>
          <w:rFonts w:ascii="Verdana" w:hAnsi="Verdana"/>
          <w:spacing w:val="-2"/>
          <w:sz w:val="20"/>
          <w:szCs w:val="20"/>
          <w:lang w:val="es-CR"/>
        </w:rPr>
        <w:t>no cumplió</w:t>
      </w:r>
      <w:r w:rsidR="00430152" w:rsidRPr="009E5B3C">
        <w:rPr>
          <w:rFonts w:ascii="Verdana" w:hAnsi="Verdana"/>
          <w:spacing w:val="-2"/>
          <w:sz w:val="20"/>
          <w:szCs w:val="20"/>
          <w:lang w:val="es-CR"/>
        </w:rPr>
        <w:t xml:space="preserve">, </w:t>
      </w:r>
      <w:r w:rsidR="00430152" w:rsidRPr="007E2933">
        <w:rPr>
          <w:rFonts w:ascii="Verdana" w:hAnsi="Verdana"/>
          <w:spacing w:val="-2"/>
          <w:sz w:val="20"/>
          <w:szCs w:val="20"/>
          <w:lang w:val="es-CR"/>
        </w:rPr>
        <w:t>al momento de los hechos,</w:t>
      </w:r>
      <w:r w:rsidR="00430152" w:rsidRPr="009E5B3C">
        <w:rPr>
          <w:rFonts w:ascii="Verdana" w:hAnsi="Verdana"/>
          <w:spacing w:val="-2"/>
          <w:sz w:val="20"/>
          <w:szCs w:val="20"/>
          <w:lang w:val="es-CR"/>
        </w:rPr>
        <w:t xml:space="preserve"> con su obligación de garantizar el derecho a la vida mediante una adecuad</w:t>
      </w:r>
      <w:r w:rsidR="00430152" w:rsidRPr="007E2933">
        <w:rPr>
          <w:rFonts w:ascii="Verdana" w:hAnsi="Verdana"/>
          <w:spacing w:val="-2"/>
          <w:sz w:val="20"/>
          <w:szCs w:val="20"/>
          <w:lang w:val="es-CR"/>
        </w:rPr>
        <w:t>a legislación sobre el uso de la fuerza.</w:t>
      </w:r>
      <w:r w:rsidR="00430152" w:rsidRPr="009E5B3C">
        <w:rPr>
          <w:rFonts w:ascii="Verdana" w:hAnsi="Verdana"/>
          <w:spacing w:val="-2"/>
          <w:sz w:val="20"/>
          <w:szCs w:val="20"/>
          <w:lang w:val="es-CR"/>
        </w:rPr>
        <w:t xml:space="preserve"> </w:t>
      </w:r>
      <w:r w:rsidR="00430152" w:rsidRPr="007E2933">
        <w:rPr>
          <w:rFonts w:ascii="Verdana" w:hAnsi="Verdana"/>
          <w:spacing w:val="-2"/>
          <w:sz w:val="20"/>
          <w:szCs w:val="20"/>
          <w:lang w:val="es-CR"/>
        </w:rPr>
        <w:t>Por ende, tampoco demostró haber brindado capacitación</w:t>
      </w:r>
      <w:r w:rsidR="00430152" w:rsidRPr="009E5B3C">
        <w:rPr>
          <w:rFonts w:ascii="Verdana" w:hAnsi="Verdana"/>
          <w:spacing w:val="-2"/>
          <w:sz w:val="20"/>
          <w:szCs w:val="20"/>
          <w:lang w:val="es-CR"/>
        </w:rPr>
        <w:t xml:space="preserve"> ni entrenamiento en la materia a los agentes encargados de hacer cumplir la ley, en contravención del deber de garantía del derecho a la vida </w:t>
      </w:r>
      <w:r w:rsidR="00430152" w:rsidRPr="00A71148">
        <w:rPr>
          <w:rFonts w:ascii="Verdana" w:hAnsi="Verdana"/>
          <w:spacing w:val="-2"/>
          <w:sz w:val="20"/>
          <w:szCs w:val="20"/>
          <w:lang w:val="es-CR"/>
        </w:rPr>
        <w:t>y las obligaciones derivadas del artículo 2 de la Convención Americana</w:t>
      </w:r>
      <w:r w:rsidR="00430152">
        <w:rPr>
          <w:rFonts w:ascii="Verdana" w:hAnsi="Verdana"/>
          <w:spacing w:val="-2"/>
          <w:sz w:val="20"/>
          <w:szCs w:val="20"/>
          <w:lang w:val="es-CR"/>
        </w:rPr>
        <w:t>.</w:t>
      </w:r>
    </w:p>
    <w:p w:rsidR="00430152" w:rsidRDefault="00430152" w:rsidP="00C11971">
      <w:pPr>
        <w:pStyle w:val="ListParagraph1"/>
        <w:tabs>
          <w:tab w:val="left" w:pos="567"/>
          <w:tab w:val="left" w:pos="2128"/>
        </w:tabs>
        <w:spacing w:after="120" w:line="240" w:lineRule="auto"/>
        <w:ind w:left="0" w:right="-120"/>
        <w:contextualSpacing/>
        <w:jc w:val="both"/>
        <w:rPr>
          <w:rFonts w:ascii="Verdana" w:hAnsi="Verdana"/>
          <w:spacing w:val="-2"/>
          <w:sz w:val="20"/>
          <w:szCs w:val="20"/>
          <w:lang w:val="es-CR"/>
        </w:rPr>
      </w:pPr>
    </w:p>
    <w:p w:rsidR="00ED0458" w:rsidRDefault="00C43D64" w:rsidP="00C11971">
      <w:pPr>
        <w:pStyle w:val="ListParagraph1"/>
        <w:tabs>
          <w:tab w:val="left" w:pos="567"/>
          <w:tab w:val="left" w:pos="2128"/>
        </w:tabs>
        <w:spacing w:after="120" w:line="240" w:lineRule="auto"/>
        <w:ind w:left="0" w:right="-120"/>
        <w:contextualSpacing/>
        <w:jc w:val="both"/>
        <w:rPr>
          <w:rFonts w:ascii="Verdana" w:hAnsi="Verdana"/>
          <w:spacing w:val="-2"/>
          <w:sz w:val="20"/>
          <w:szCs w:val="20"/>
          <w:lang w:val="es-CR"/>
        </w:rPr>
      </w:pPr>
      <w:r w:rsidRPr="00CA45C5">
        <w:rPr>
          <w:rFonts w:ascii="Verdana" w:hAnsi="Verdana"/>
          <w:spacing w:val="-2"/>
          <w:sz w:val="20"/>
          <w:szCs w:val="20"/>
          <w:lang w:val="es-CR"/>
        </w:rPr>
        <w:t xml:space="preserve">En relación con las acciones concomitantes, </w:t>
      </w:r>
      <w:r w:rsidR="00A557E3" w:rsidRPr="00CA45C5">
        <w:rPr>
          <w:rFonts w:ascii="Verdana" w:hAnsi="Verdana"/>
          <w:spacing w:val="-2"/>
          <w:sz w:val="20"/>
          <w:szCs w:val="20"/>
          <w:lang w:val="es-CR"/>
        </w:rPr>
        <w:t xml:space="preserve">el Tribunal </w:t>
      </w:r>
      <w:r w:rsidR="000301A4" w:rsidRPr="000301A4">
        <w:rPr>
          <w:rFonts w:ascii="Verdana" w:hAnsi="Verdana"/>
          <w:spacing w:val="-2"/>
          <w:sz w:val="20"/>
          <w:szCs w:val="20"/>
          <w:lang w:val="es-CR"/>
        </w:rPr>
        <w:t>concluyó que el</w:t>
      </w:r>
      <w:r w:rsidR="000301A4" w:rsidRPr="0076522A">
        <w:rPr>
          <w:rFonts w:ascii="Verdana" w:hAnsi="Verdana"/>
          <w:spacing w:val="-2"/>
          <w:sz w:val="20"/>
          <w:szCs w:val="20"/>
          <w:lang w:val="es-CR"/>
        </w:rPr>
        <w:t xml:space="preserve"> empleo de la fuerza de manera letal</w:t>
      </w:r>
      <w:r w:rsidR="000301A4">
        <w:rPr>
          <w:rFonts w:ascii="Verdana" w:hAnsi="Verdana"/>
          <w:spacing w:val="-2"/>
          <w:sz w:val="20"/>
          <w:szCs w:val="20"/>
          <w:lang w:val="es-CR"/>
        </w:rPr>
        <w:t xml:space="preserve"> no habría sido</w:t>
      </w:r>
      <w:r w:rsidR="000301A4" w:rsidRPr="0076522A">
        <w:rPr>
          <w:rFonts w:ascii="Verdana" w:hAnsi="Verdana"/>
          <w:spacing w:val="-2"/>
          <w:sz w:val="20"/>
          <w:szCs w:val="20"/>
          <w:lang w:val="es-CR"/>
        </w:rPr>
        <w:t xml:space="preserve"> </w:t>
      </w:r>
      <w:r w:rsidR="000301A4">
        <w:rPr>
          <w:rFonts w:ascii="Verdana" w:hAnsi="Verdana"/>
          <w:spacing w:val="-2"/>
          <w:sz w:val="20"/>
          <w:szCs w:val="20"/>
          <w:lang w:val="es-CR"/>
        </w:rPr>
        <w:t>necesario, por lo que</w:t>
      </w:r>
      <w:r w:rsidR="000301A4" w:rsidRPr="0076522A">
        <w:rPr>
          <w:rFonts w:ascii="Verdana" w:hAnsi="Verdana"/>
          <w:spacing w:val="-2"/>
          <w:sz w:val="20"/>
          <w:szCs w:val="20"/>
          <w:lang w:val="es-CR"/>
        </w:rPr>
        <w:t xml:space="preserve">, en particular, el segundo disparo excedió la proporcionalidad del uso de la fuerza que se podría aplicar para lograr el supuesto objetivo que se pretendía alcanzar, consistente en la detención y/o sometimiento de Igmar Landaeta. Además, </w:t>
      </w:r>
      <w:r w:rsidR="000301A4">
        <w:rPr>
          <w:rFonts w:ascii="Verdana" w:hAnsi="Verdana"/>
          <w:spacing w:val="-2"/>
          <w:sz w:val="20"/>
          <w:szCs w:val="20"/>
          <w:lang w:val="es-CR"/>
        </w:rPr>
        <w:t>considerando</w:t>
      </w:r>
      <w:r w:rsidR="000301A4" w:rsidRPr="0076522A">
        <w:rPr>
          <w:rFonts w:ascii="Verdana" w:hAnsi="Verdana"/>
          <w:spacing w:val="-2"/>
          <w:sz w:val="20"/>
          <w:szCs w:val="20"/>
          <w:lang w:val="es-CR"/>
        </w:rPr>
        <w:t xml:space="preserve"> la aludida problemática de abusos policiacos en la época de los hechos y las amenazas proferidas a la familia por parte de los mismos agentes, la </w:t>
      </w:r>
      <w:r w:rsidR="000301A4">
        <w:rPr>
          <w:rFonts w:ascii="Verdana" w:hAnsi="Verdana"/>
          <w:spacing w:val="-2"/>
          <w:sz w:val="20"/>
          <w:szCs w:val="20"/>
          <w:lang w:val="es-CR"/>
        </w:rPr>
        <w:t>Corte estimó que existieron suficientes indicios que apuntaban</w:t>
      </w:r>
      <w:r w:rsidR="000301A4" w:rsidRPr="0076522A">
        <w:rPr>
          <w:rFonts w:ascii="Verdana" w:hAnsi="Verdana"/>
          <w:spacing w:val="-2"/>
          <w:sz w:val="20"/>
          <w:szCs w:val="20"/>
          <w:lang w:val="es-CR"/>
        </w:rPr>
        <w:t xml:space="preserve"> a que el segundo disparo, cuando Igmar Landaeta se encontraba en el suelo, habría sido deliberado.</w:t>
      </w:r>
      <w:r w:rsidR="000301A4">
        <w:rPr>
          <w:rFonts w:ascii="Verdana" w:hAnsi="Verdana"/>
          <w:spacing w:val="-2"/>
          <w:sz w:val="20"/>
          <w:szCs w:val="20"/>
          <w:lang w:val="es-CR"/>
        </w:rPr>
        <w:t xml:space="preserve"> Como consecuencia, su muerte</w:t>
      </w:r>
      <w:r w:rsidR="000301A4" w:rsidRPr="0076522A">
        <w:rPr>
          <w:rFonts w:ascii="Verdana" w:hAnsi="Verdana"/>
          <w:spacing w:val="-2"/>
          <w:sz w:val="20"/>
          <w:szCs w:val="20"/>
          <w:lang w:val="es-CR"/>
        </w:rPr>
        <w:t>, ocasionada durante su persecución, fue el resultado del uso desproporcionado de la fuerza por el actuar de los funcionarios encargados de hacer cu</w:t>
      </w:r>
      <w:r w:rsidR="000301A4">
        <w:rPr>
          <w:rFonts w:ascii="Verdana" w:hAnsi="Verdana"/>
          <w:spacing w:val="-2"/>
          <w:sz w:val="20"/>
          <w:szCs w:val="20"/>
          <w:lang w:val="es-CR"/>
        </w:rPr>
        <w:t xml:space="preserve">mplir la ley, lo </w:t>
      </w:r>
      <w:r w:rsidR="000301A4" w:rsidRPr="00ED0458">
        <w:rPr>
          <w:rFonts w:ascii="Verdana" w:hAnsi="Verdana"/>
          <w:spacing w:val="-2"/>
          <w:sz w:val="20"/>
          <w:szCs w:val="20"/>
          <w:lang w:val="es-CR"/>
        </w:rPr>
        <w:t>cual constituyó una privación arbitraria de la vida atribuible al Estado, en violación del artículo 4 de la</w:t>
      </w:r>
      <w:r w:rsidR="000301A4" w:rsidRPr="0076522A">
        <w:rPr>
          <w:rFonts w:ascii="Verdana" w:hAnsi="Verdana"/>
          <w:spacing w:val="-2"/>
          <w:sz w:val="20"/>
          <w:szCs w:val="20"/>
          <w:lang w:val="es-CR"/>
        </w:rPr>
        <w:t xml:space="preserve"> </w:t>
      </w:r>
      <w:r w:rsidR="000301A4" w:rsidRPr="00ED0458">
        <w:rPr>
          <w:rFonts w:ascii="Verdana" w:hAnsi="Verdana"/>
          <w:spacing w:val="-2"/>
          <w:sz w:val="20"/>
          <w:szCs w:val="20"/>
          <w:lang w:val="es-CR"/>
        </w:rPr>
        <w:t xml:space="preserve">Convención Americana. </w:t>
      </w:r>
    </w:p>
    <w:p w:rsidR="00ED0458" w:rsidRDefault="00ED0458" w:rsidP="00C11971">
      <w:pPr>
        <w:pStyle w:val="ListParagraph1"/>
        <w:tabs>
          <w:tab w:val="left" w:pos="567"/>
          <w:tab w:val="left" w:pos="2128"/>
        </w:tabs>
        <w:spacing w:after="120" w:line="240" w:lineRule="auto"/>
        <w:ind w:left="0" w:right="-120"/>
        <w:contextualSpacing/>
        <w:jc w:val="both"/>
        <w:rPr>
          <w:rFonts w:ascii="Verdana" w:hAnsi="Verdana"/>
          <w:spacing w:val="-2"/>
          <w:sz w:val="20"/>
          <w:szCs w:val="20"/>
          <w:lang w:val="es-CR"/>
        </w:rPr>
      </w:pPr>
    </w:p>
    <w:p w:rsidR="0099086A" w:rsidRPr="00C11971" w:rsidRDefault="00DC5A68" w:rsidP="00C11971">
      <w:pPr>
        <w:pStyle w:val="ListParagraph1"/>
        <w:tabs>
          <w:tab w:val="left" w:pos="567"/>
          <w:tab w:val="left" w:pos="2128"/>
        </w:tabs>
        <w:spacing w:after="120" w:line="240" w:lineRule="auto"/>
        <w:ind w:left="0" w:right="-120"/>
        <w:contextualSpacing/>
        <w:jc w:val="both"/>
        <w:rPr>
          <w:rFonts w:ascii="Verdana" w:hAnsi="Verdana"/>
          <w:spacing w:val="-2"/>
          <w:sz w:val="20"/>
          <w:szCs w:val="20"/>
          <w:lang w:val="es-CR"/>
        </w:rPr>
      </w:pPr>
      <w:r w:rsidRPr="00ED0458">
        <w:rPr>
          <w:rFonts w:ascii="Verdana" w:hAnsi="Verdana"/>
          <w:spacing w:val="-2"/>
          <w:sz w:val="20"/>
          <w:szCs w:val="20"/>
          <w:lang w:val="es-CR"/>
        </w:rPr>
        <w:t>En relación con las acciones posteriores a los hechos</w:t>
      </w:r>
      <w:r w:rsidR="002467BA" w:rsidRPr="00ED0458">
        <w:rPr>
          <w:rFonts w:ascii="Verdana" w:hAnsi="Verdana"/>
          <w:spacing w:val="-2"/>
          <w:sz w:val="20"/>
          <w:szCs w:val="20"/>
          <w:lang w:val="es-CR"/>
        </w:rPr>
        <w:t>, el Estado incumplió con su deber de brindar una atención de acuerdo a los principios de debida diligencia y humanidad a las person</w:t>
      </w:r>
      <w:r w:rsidRPr="00ED0458">
        <w:rPr>
          <w:rFonts w:ascii="Verdana" w:hAnsi="Verdana"/>
          <w:spacing w:val="-2"/>
          <w:sz w:val="20"/>
          <w:szCs w:val="20"/>
          <w:lang w:val="es-CR"/>
        </w:rPr>
        <w:t>as heridas por uso de la fuerza debido a que en el caso de haber sido el segundo disparo de naturaleza inmediatamente mortal, el cuerpo no debió ser trasladado o manipulado de la escena del crimen, puesto que podría repercutir drásticamente en la recolección de la prueba. En el caso de que hubiera requerido atención médica, los agentes estatales debieron asegurarle atención auxiliar inmediata capacitada. De haberlo trasladarlo con vida, debieron presentarlo a las autoridades médicas competentes, identificarse, notificar lo sucedido, así como realizar un informe de la situación, supervisado por una autoridad administrativa y/o judicial, y notificar a los familiares de la víctima</w:t>
      </w:r>
      <w:r w:rsidRPr="00ED0458">
        <w:rPr>
          <w:rFonts w:ascii="Verdana" w:hAnsi="Verdana"/>
          <w:sz w:val="20"/>
          <w:szCs w:val="20"/>
          <w:lang w:val="es-MX"/>
        </w:rPr>
        <w:t>.</w:t>
      </w:r>
      <w:r w:rsidRPr="00ED0458">
        <w:rPr>
          <w:rFonts w:ascii="Verdana" w:hAnsi="Verdana"/>
          <w:spacing w:val="-2"/>
          <w:sz w:val="20"/>
          <w:szCs w:val="20"/>
          <w:lang w:val="es-CR"/>
        </w:rPr>
        <w:t xml:space="preserve"> Lo anterior no fue acreditado en el presente caso</w:t>
      </w:r>
      <w:r w:rsidR="00ED0458" w:rsidRPr="00ED0458">
        <w:rPr>
          <w:rFonts w:ascii="Verdana" w:hAnsi="Verdana"/>
          <w:spacing w:val="-2"/>
          <w:sz w:val="20"/>
          <w:szCs w:val="20"/>
          <w:lang w:val="es-CR"/>
        </w:rPr>
        <w:t>, ya que Igmar Landaeta fue dejado en el hospital, sin que los agentes se identifi</w:t>
      </w:r>
      <w:r w:rsidR="003D4061">
        <w:rPr>
          <w:rFonts w:ascii="Verdana" w:hAnsi="Verdana"/>
          <w:spacing w:val="-2"/>
          <w:sz w:val="20"/>
          <w:szCs w:val="20"/>
          <w:lang w:val="es-CR"/>
        </w:rPr>
        <w:t>caran</w:t>
      </w:r>
      <w:r w:rsidR="00ED0458" w:rsidRPr="00ED0458">
        <w:rPr>
          <w:rFonts w:ascii="Verdana" w:hAnsi="Verdana"/>
          <w:spacing w:val="-2"/>
          <w:sz w:val="20"/>
          <w:szCs w:val="20"/>
          <w:lang w:val="es-CR"/>
        </w:rPr>
        <w:t xml:space="preserve"> y sin que report</w:t>
      </w:r>
      <w:r w:rsidR="003D4061">
        <w:rPr>
          <w:rFonts w:ascii="Verdana" w:hAnsi="Verdana"/>
          <w:spacing w:val="-2"/>
          <w:sz w:val="20"/>
          <w:szCs w:val="20"/>
          <w:lang w:val="es-CR"/>
        </w:rPr>
        <w:t>aran</w:t>
      </w:r>
      <w:r w:rsidR="00ED0458" w:rsidRPr="00ED0458">
        <w:rPr>
          <w:rFonts w:ascii="Verdana" w:hAnsi="Verdana"/>
          <w:spacing w:val="-2"/>
          <w:sz w:val="20"/>
          <w:szCs w:val="20"/>
          <w:lang w:val="es-CR"/>
        </w:rPr>
        <w:t xml:space="preserve"> lo ocurrido. Tampoco se investigó ni sancionó dicha actitud en vía administrativa, disciplinaria o judicial. </w:t>
      </w:r>
      <w:r w:rsidR="009152B1" w:rsidRPr="00C11971">
        <w:rPr>
          <w:rFonts w:ascii="Verdana" w:hAnsi="Verdana"/>
          <w:spacing w:val="-2"/>
          <w:sz w:val="20"/>
          <w:szCs w:val="20"/>
          <w:lang w:val="es-CR"/>
        </w:rPr>
        <w:t xml:space="preserve">Por lo expuesto, la Corte concluyó que el Estado violó el </w:t>
      </w:r>
      <w:r w:rsidR="002467BA" w:rsidRPr="00C11971">
        <w:rPr>
          <w:rFonts w:ascii="Verdana" w:hAnsi="Verdana"/>
          <w:spacing w:val="-2"/>
          <w:sz w:val="20"/>
          <w:szCs w:val="20"/>
          <w:lang w:val="es-CR"/>
        </w:rPr>
        <w:t>deber de respeto y garantía del derecho a la vida, establecido en el artículo 4 de la Convención Americana, en relación con los artículos 1.1 y 2 de la misma.</w:t>
      </w:r>
      <w:r w:rsidR="003D4061" w:rsidRPr="00C11971">
        <w:rPr>
          <w:rFonts w:ascii="Verdana" w:hAnsi="Verdana"/>
          <w:spacing w:val="-2"/>
          <w:sz w:val="20"/>
          <w:szCs w:val="20"/>
          <w:lang w:val="es-CR"/>
        </w:rPr>
        <w:t xml:space="preserve"> </w:t>
      </w:r>
    </w:p>
    <w:p w:rsidR="002467BA" w:rsidRPr="00CA45C5" w:rsidRDefault="002467BA" w:rsidP="00C11971">
      <w:pPr>
        <w:pStyle w:val="ListParagraph1"/>
        <w:tabs>
          <w:tab w:val="left" w:pos="567"/>
          <w:tab w:val="left" w:pos="2128"/>
        </w:tabs>
        <w:spacing w:after="120" w:line="240" w:lineRule="auto"/>
        <w:ind w:left="0" w:right="-120"/>
        <w:contextualSpacing/>
        <w:jc w:val="both"/>
        <w:rPr>
          <w:lang w:val="es-CR"/>
        </w:rPr>
      </w:pPr>
    </w:p>
    <w:p w:rsidR="003B1575" w:rsidRDefault="002467BA" w:rsidP="00C11971">
      <w:pPr>
        <w:pStyle w:val="ListParagraph1"/>
        <w:tabs>
          <w:tab w:val="left" w:pos="567"/>
          <w:tab w:val="left" w:pos="2128"/>
        </w:tabs>
        <w:spacing w:after="120" w:line="240" w:lineRule="auto"/>
        <w:ind w:left="0" w:right="-120"/>
        <w:contextualSpacing/>
        <w:jc w:val="both"/>
        <w:rPr>
          <w:rFonts w:ascii="Verdana" w:hAnsi="Verdana"/>
          <w:spacing w:val="-2"/>
          <w:sz w:val="20"/>
          <w:szCs w:val="20"/>
          <w:lang w:val="es-CR"/>
        </w:rPr>
      </w:pPr>
      <w:r w:rsidRPr="00CA45C5">
        <w:rPr>
          <w:rFonts w:ascii="Verdana" w:hAnsi="Verdana" w:cs="Tahoma"/>
          <w:spacing w:val="-2"/>
          <w:sz w:val="20"/>
          <w:szCs w:val="20"/>
          <w:lang w:val="es-CR"/>
        </w:rPr>
        <w:t xml:space="preserve">Con respecto a </w:t>
      </w:r>
      <w:r w:rsidRPr="00C11971">
        <w:rPr>
          <w:rFonts w:ascii="Verdana" w:hAnsi="Verdana" w:cs="Tahoma"/>
          <w:b/>
          <w:spacing w:val="-2"/>
          <w:sz w:val="20"/>
          <w:szCs w:val="20"/>
          <w:lang w:val="es-CR"/>
        </w:rPr>
        <w:t>Eduardo Landaeta</w:t>
      </w:r>
      <w:r w:rsidRPr="007A6EC3">
        <w:rPr>
          <w:rFonts w:ascii="Verdana" w:hAnsi="Verdana" w:cs="Tahoma"/>
          <w:spacing w:val="-2"/>
          <w:sz w:val="20"/>
          <w:szCs w:val="20"/>
          <w:lang w:val="es-CR"/>
        </w:rPr>
        <w:t>,</w:t>
      </w:r>
      <w:r w:rsidRPr="00CA45C5">
        <w:rPr>
          <w:rFonts w:ascii="Verdana" w:hAnsi="Verdana" w:cs="Tahoma"/>
          <w:spacing w:val="-2"/>
          <w:sz w:val="20"/>
          <w:szCs w:val="20"/>
          <w:lang w:val="es-CR"/>
        </w:rPr>
        <w:t xml:space="preserve"> la Corte </w:t>
      </w:r>
      <w:r w:rsidR="00CE459F" w:rsidRPr="00CA45C5">
        <w:rPr>
          <w:rFonts w:ascii="Verdana" w:hAnsi="Verdana" w:cs="Tahoma"/>
          <w:spacing w:val="-2"/>
          <w:sz w:val="20"/>
          <w:szCs w:val="20"/>
          <w:lang w:val="es-CR"/>
        </w:rPr>
        <w:t xml:space="preserve">analizó </w:t>
      </w:r>
      <w:r w:rsidR="00CA4458" w:rsidRPr="00CA45C5">
        <w:rPr>
          <w:rFonts w:ascii="Verdana" w:hAnsi="Verdana" w:cs="Tahoma"/>
          <w:spacing w:val="-2"/>
          <w:sz w:val="20"/>
          <w:szCs w:val="20"/>
          <w:lang w:val="es-CR"/>
        </w:rPr>
        <w:t xml:space="preserve">las violaciones a sus derechos a la libertad personal, a la vida e integridad personal del menor de edad, quien tenía 17 años al momento de los </w:t>
      </w:r>
      <w:r w:rsidR="00CA4458" w:rsidRPr="00CA45C5">
        <w:rPr>
          <w:rFonts w:ascii="Verdana" w:hAnsi="Verdana" w:cs="Tahoma"/>
          <w:spacing w:val="-2"/>
          <w:sz w:val="20"/>
          <w:szCs w:val="20"/>
          <w:lang w:val="es-CR"/>
        </w:rPr>
        <w:lastRenderedPageBreak/>
        <w:t xml:space="preserve">hechos, por lo que </w:t>
      </w:r>
      <w:r w:rsidR="00CA4458" w:rsidRPr="00CA45C5">
        <w:rPr>
          <w:rFonts w:ascii="Verdana" w:hAnsi="Verdana"/>
          <w:spacing w:val="-2"/>
          <w:sz w:val="20"/>
          <w:szCs w:val="20"/>
          <w:lang w:val="es-CR"/>
        </w:rPr>
        <w:t xml:space="preserve">los derechos del niño (artículo 19 de la Convención) fueron considerados de manera transversal a lo largo de la Sentencia. </w:t>
      </w:r>
    </w:p>
    <w:p w:rsidR="00891D0B" w:rsidRDefault="00891D0B" w:rsidP="00C11971">
      <w:pPr>
        <w:pStyle w:val="ListParagraph1"/>
        <w:tabs>
          <w:tab w:val="left" w:pos="567"/>
          <w:tab w:val="left" w:pos="2128"/>
        </w:tabs>
        <w:spacing w:after="120" w:line="240" w:lineRule="auto"/>
        <w:ind w:left="0" w:right="-120"/>
        <w:contextualSpacing/>
        <w:jc w:val="both"/>
        <w:rPr>
          <w:rFonts w:ascii="Verdana" w:hAnsi="Verdana"/>
          <w:spacing w:val="-2"/>
          <w:sz w:val="20"/>
          <w:szCs w:val="20"/>
          <w:lang w:val="es-CR"/>
        </w:rPr>
      </w:pPr>
    </w:p>
    <w:p w:rsidR="003416DB" w:rsidRPr="00B23C50" w:rsidRDefault="003919EF" w:rsidP="00C11971">
      <w:pPr>
        <w:pStyle w:val="ListParagraph1"/>
        <w:tabs>
          <w:tab w:val="left" w:pos="567"/>
          <w:tab w:val="left" w:pos="2128"/>
        </w:tabs>
        <w:spacing w:after="120" w:line="240" w:lineRule="auto"/>
        <w:ind w:left="0" w:right="-120"/>
        <w:contextualSpacing/>
        <w:jc w:val="both"/>
        <w:rPr>
          <w:rFonts w:ascii="Verdana" w:hAnsi="Verdana"/>
          <w:spacing w:val="-2"/>
          <w:sz w:val="20"/>
          <w:szCs w:val="20"/>
          <w:lang w:val="es-CR"/>
        </w:rPr>
      </w:pPr>
      <w:r>
        <w:rPr>
          <w:rFonts w:ascii="Verdana" w:hAnsi="Verdana"/>
          <w:spacing w:val="-2"/>
          <w:sz w:val="20"/>
          <w:szCs w:val="20"/>
          <w:lang w:val="es-CR"/>
        </w:rPr>
        <w:t>Respecto de</w:t>
      </w:r>
      <w:r w:rsidR="00CA4458" w:rsidRPr="00CA45C5">
        <w:rPr>
          <w:rFonts w:ascii="Verdana" w:hAnsi="Verdana"/>
          <w:spacing w:val="-2"/>
          <w:sz w:val="20"/>
          <w:szCs w:val="20"/>
          <w:lang w:val="es-CR"/>
        </w:rPr>
        <w:t>l dere</w:t>
      </w:r>
      <w:r w:rsidR="003416DB" w:rsidRPr="00CA45C5">
        <w:rPr>
          <w:rFonts w:ascii="Verdana" w:hAnsi="Verdana"/>
          <w:spacing w:val="-2"/>
          <w:sz w:val="20"/>
          <w:szCs w:val="20"/>
          <w:lang w:val="es-CR"/>
        </w:rPr>
        <w:t>cho a la libertad personal, reconocido en el artículo 7 de la Convención, el T</w:t>
      </w:r>
      <w:r w:rsidR="00CA4458" w:rsidRPr="00CA45C5">
        <w:rPr>
          <w:rFonts w:ascii="Verdana" w:hAnsi="Verdana"/>
          <w:spacing w:val="-2"/>
          <w:sz w:val="20"/>
          <w:szCs w:val="20"/>
          <w:lang w:val="es-CR"/>
        </w:rPr>
        <w:t xml:space="preserve">ribunal constató que </w:t>
      </w:r>
      <w:r w:rsidR="002467BA" w:rsidRPr="00CA45C5">
        <w:rPr>
          <w:rFonts w:ascii="Verdana" w:hAnsi="Verdana"/>
          <w:spacing w:val="-2"/>
          <w:sz w:val="20"/>
          <w:szCs w:val="20"/>
          <w:lang w:val="es-CR"/>
        </w:rPr>
        <w:t>de la</w:t>
      </w:r>
      <w:r w:rsidR="00CA4458" w:rsidRPr="00CA45C5">
        <w:rPr>
          <w:rFonts w:ascii="Verdana" w:hAnsi="Verdana"/>
          <w:spacing w:val="-2"/>
          <w:sz w:val="20"/>
          <w:szCs w:val="20"/>
          <w:lang w:val="es-CR"/>
        </w:rPr>
        <w:t xml:space="preserve"> prueba aportada no se desprendió</w:t>
      </w:r>
      <w:r w:rsidR="002467BA" w:rsidRPr="00CA45C5">
        <w:rPr>
          <w:rFonts w:ascii="Verdana" w:hAnsi="Verdana"/>
          <w:spacing w:val="-2"/>
          <w:sz w:val="20"/>
          <w:szCs w:val="20"/>
          <w:lang w:val="es-CR"/>
        </w:rPr>
        <w:t xml:space="preserve"> que al momento de la detención de Eduardo Landaeta hubiera existido una orden judicial o acción en flagran</w:t>
      </w:r>
      <w:r w:rsidR="00CA4458" w:rsidRPr="00CA45C5">
        <w:rPr>
          <w:rFonts w:ascii="Verdana" w:hAnsi="Verdana"/>
          <w:spacing w:val="-2"/>
          <w:sz w:val="20"/>
          <w:szCs w:val="20"/>
          <w:lang w:val="es-CR"/>
        </w:rPr>
        <w:t>cia que justificara la misma, lo q</w:t>
      </w:r>
      <w:r w:rsidR="00C25E6D">
        <w:rPr>
          <w:rFonts w:ascii="Verdana" w:hAnsi="Verdana"/>
          <w:spacing w:val="-2"/>
          <w:sz w:val="20"/>
          <w:szCs w:val="20"/>
          <w:lang w:val="es-CR"/>
        </w:rPr>
        <w:t>ue generó que esta fuera ilegal</w:t>
      </w:r>
      <w:r w:rsidR="006835EB">
        <w:rPr>
          <w:rFonts w:ascii="Verdana" w:hAnsi="Verdana"/>
          <w:spacing w:val="-2"/>
          <w:sz w:val="20"/>
          <w:szCs w:val="20"/>
          <w:lang w:val="es-CR"/>
        </w:rPr>
        <w:t>,</w:t>
      </w:r>
      <w:r w:rsidR="00C25E6D">
        <w:rPr>
          <w:rFonts w:ascii="Verdana" w:hAnsi="Verdana"/>
          <w:spacing w:val="-2"/>
          <w:sz w:val="20"/>
          <w:szCs w:val="20"/>
          <w:lang w:val="es-CR"/>
        </w:rPr>
        <w:t xml:space="preserve"> tampoco</w:t>
      </w:r>
      <w:r w:rsidR="002467BA" w:rsidRPr="00CA45C5">
        <w:rPr>
          <w:rFonts w:ascii="Verdana" w:hAnsi="Verdana"/>
          <w:spacing w:val="-2"/>
          <w:sz w:val="20"/>
          <w:szCs w:val="20"/>
          <w:lang w:val="es-CR"/>
        </w:rPr>
        <w:t xml:space="preserve"> </w:t>
      </w:r>
      <w:r w:rsidR="00C25E6D">
        <w:rPr>
          <w:rFonts w:ascii="Verdana" w:hAnsi="Verdana"/>
          <w:spacing w:val="-2"/>
          <w:sz w:val="20"/>
          <w:szCs w:val="20"/>
          <w:lang w:val="es-CR"/>
        </w:rPr>
        <w:t xml:space="preserve">se estableció </w:t>
      </w:r>
      <w:r w:rsidR="002467BA" w:rsidRPr="00CA45C5">
        <w:rPr>
          <w:rFonts w:ascii="Verdana" w:hAnsi="Verdana"/>
          <w:spacing w:val="-2"/>
          <w:sz w:val="20"/>
          <w:szCs w:val="20"/>
          <w:lang w:val="es-CR"/>
        </w:rPr>
        <w:t xml:space="preserve">alguna razón fundada y motivada para su detención, lo cual derivó </w:t>
      </w:r>
      <w:r w:rsidR="00CA4458" w:rsidRPr="00CA45C5">
        <w:rPr>
          <w:rFonts w:ascii="Verdana" w:hAnsi="Verdana"/>
          <w:spacing w:val="-2"/>
          <w:sz w:val="20"/>
          <w:szCs w:val="20"/>
          <w:lang w:val="es-CR"/>
        </w:rPr>
        <w:t xml:space="preserve">en que la misma fuera </w:t>
      </w:r>
      <w:r w:rsidR="002467BA" w:rsidRPr="00CA45C5">
        <w:rPr>
          <w:rFonts w:ascii="Verdana" w:hAnsi="Verdana"/>
          <w:spacing w:val="-2"/>
          <w:sz w:val="20"/>
          <w:szCs w:val="20"/>
          <w:lang w:val="es-CR"/>
        </w:rPr>
        <w:t xml:space="preserve">arbitraria </w:t>
      </w:r>
      <w:r w:rsidR="006835EB">
        <w:rPr>
          <w:rFonts w:ascii="Verdana" w:hAnsi="Verdana"/>
          <w:spacing w:val="-2"/>
          <w:sz w:val="20"/>
          <w:szCs w:val="20"/>
          <w:lang w:val="es-CR"/>
        </w:rPr>
        <w:t>ni</w:t>
      </w:r>
      <w:r w:rsidR="006835EB" w:rsidRPr="00CA45C5">
        <w:rPr>
          <w:rFonts w:ascii="Verdana" w:hAnsi="Verdana"/>
          <w:spacing w:val="-2"/>
          <w:sz w:val="20"/>
          <w:szCs w:val="20"/>
          <w:lang w:val="es-CR"/>
        </w:rPr>
        <w:t xml:space="preserve"> </w:t>
      </w:r>
      <w:r w:rsidR="002467BA" w:rsidRPr="00CA45C5">
        <w:rPr>
          <w:rFonts w:ascii="Verdana" w:hAnsi="Verdana"/>
          <w:spacing w:val="-2"/>
          <w:sz w:val="20"/>
          <w:szCs w:val="20"/>
          <w:lang w:val="es-CR"/>
        </w:rPr>
        <w:t xml:space="preserve">se utilizó la detención como última </w:t>
      </w:r>
      <w:r w:rsidR="002467BA" w:rsidRPr="00CA45C5">
        <w:rPr>
          <w:rFonts w:ascii="Verdana" w:hAnsi="Verdana"/>
          <w:i/>
          <w:spacing w:val="-2"/>
          <w:sz w:val="20"/>
          <w:szCs w:val="20"/>
          <w:lang w:val="es-CR"/>
        </w:rPr>
        <w:t>ratio</w:t>
      </w:r>
      <w:r w:rsidR="003C074C" w:rsidRPr="00CA45C5">
        <w:rPr>
          <w:rFonts w:ascii="Verdana" w:hAnsi="Verdana"/>
          <w:spacing w:val="-2"/>
          <w:sz w:val="20"/>
          <w:szCs w:val="20"/>
          <w:lang w:val="es-CR"/>
        </w:rPr>
        <w:t>, tratándose de menores de edad.</w:t>
      </w:r>
      <w:r w:rsidR="002467BA" w:rsidRPr="00CA45C5">
        <w:rPr>
          <w:rFonts w:ascii="Verdana" w:hAnsi="Verdana"/>
          <w:spacing w:val="-2"/>
          <w:sz w:val="20"/>
          <w:szCs w:val="20"/>
          <w:lang w:val="es-CR"/>
        </w:rPr>
        <w:t xml:space="preserve"> </w:t>
      </w:r>
      <w:r w:rsidR="0071344F" w:rsidRPr="00CA45C5">
        <w:rPr>
          <w:rFonts w:ascii="Verdana" w:hAnsi="Verdana"/>
          <w:spacing w:val="-2"/>
          <w:sz w:val="20"/>
          <w:szCs w:val="20"/>
          <w:lang w:val="es-CR"/>
        </w:rPr>
        <w:t>Asimismo, del material probatorio no se advierte haberle brindado a Eduardo Landaeta</w:t>
      </w:r>
      <w:r w:rsidR="0071344F" w:rsidRPr="00CA45C5">
        <w:rPr>
          <w:rFonts w:ascii="Verdana" w:hAnsi="Verdana"/>
          <w:iCs/>
          <w:spacing w:val="-2"/>
          <w:sz w:val="20"/>
          <w:szCs w:val="20"/>
          <w:lang w:val="es-CR"/>
        </w:rPr>
        <w:t xml:space="preserve"> información oral o escrita sobre las </w:t>
      </w:r>
      <w:r w:rsidR="0071344F" w:rsidRPr="00CA45C5">
        <w:rPr>
          <w:rFonts w:ascii="Verdana" w:hAnsi="Verdana"/>
          <w:bCs/>
          <w:iCs/>
          <w:spacing w:val="-2"/>
          <w:sz w:val="20"/>
          <w:szCs w:val="20"/>
          <w:lang w:val="es-CR"/>
        </w:rPr>
        <w:t>razones</w:t>
      </w:r>
      <w:r w:rsidR="0071344F" w:rsidRPr="00CA45C5">
        <w:rPr>
          <w:rFonts w:ascii="Verdana" w:hAnsi="Verdana"/>
          <w:iCs/>
          <w:spacing w:val="-2"/>
          <w:sz w:val="20"/>
          <w:szCs w:val="20"/>
          <w:lang w:val="es-CR"/>
        </w:rPr>
        <w:t xml:space="preserve"> de la </w:t>
      </w:r>
      <w:r w:rsidR="0071344F" w:rsidRPr="00CA45C5">
        <w:rPr>
          <w:rFonts w:ascii="Verdana" w:hAnsi="Verdana"/>
          <w:bCs/>
          <w:iCs/>
          <w:spacing w:val="-2"/>
          <w:sz w:val="20"/>
          <w:szCs w:val="20"/>
          <w:lang w:val="es-CR"/>
        </w:rPr>
        <w:t xml:space="preserve">detención ni alguna notificación escrita de los cargos formulados contra él. Tampoco se desprende que se le haya brindado asistencia </w:t>
      </w:r>
      <w:r w:rsidR="0071344F" w:rsidRPr="00B23C50">
        <w:rPr>
          <w:rFonts w:ascii="Verdana" w:hAnsi="Verdana"/>
          <w:bCs/>
          <w:iCs/>
          <w:spacing w:val="-2"/>
          <w:sz w:val="20"/>
          <w:szCs w:val="20"/>
          <w:lang w:val="es-CR"/>
        </w:rPr>
        <w:t>letrada o defensor de oficio ni que se haya tomado en cuenta su condición de menor de edad</w:t>
      </w:r>
      <w:r w:rsidR="003D4061" w:rsidRPr="00B23C50">
        <w:rPr>
          <w:rFonts w:ascii="Verdana" w:hAnsi="Verdana"/>
          <w:bCs/>
          <w:iCs/>
          <w:spacing w:val="-2"/>
          <w:sz w:val="20"/>
          <w:szCs w:val="20"/>
          <w:lang w:val="es-CR"/>
        </w:rPr>
        <w:t xml:space="preserve">. </w:t>
      </w:r>
      <w:r w:rsidR="005B2853" w:rsidRPr="00C11971">
        <w:rPr>
          <w:rFonts w:ascii="Verdana" w:hAnsi="Verdana"/>
          <w:bCs/>
          <w:iCs/>
          <w:spacing w:val="-2"/>
          <w:sz w:val="20"/>
          <w:szCs w:val="20"/>
          <w:lang w:val="es-CR"/>
        </w:rPr>
        <w:t>Asimismo</w:t>
      </w:r>
      <w:r w:rsidR="0071344F" w:rsidRPr="00B23C50">
        <w:rPr>
          <w:rFonts w:ascii="Verdana" w:hAnsi="Verdana"/>
          <w:bCs/>
          <w:iCs/>
          <w:spacing w:val="-2"/>
          <w:sz w:val="20"/>
          <w:szCs w:val="20"/>
          <w:lang w:val="es-CR"/>
        </w:rPr>
        <w:t>, en relación con el control judicial de la privación de la libertad de un menor de edad, el Tribunal</w:t>
      </w:r>
      <w:r w:rsidR="00344E33" w:rsidRPr="00B23C50">
        <w:rPr>
          <w:rFonts w:ascii="Verdana" w:hAnsi="Verdana"/>
          <w:bCs/>
          <w:iCs/>
          <w:spacing w:val="-2"/>
          <w:sz w:val="20"/>
          <w:szCs w:val="20"/>
          <w:lang w:val="es-CR"/>
        </w:rPr>
        <w:t xml:space="preserve"> determinó </w:t>
      </w:r>
      <w:r w:rsidR="0005166C" w:rsidRPr="00C11971">
        <w:rPr>
          <w:rFonts w:ascii="Verdana" w:hAnsi="Verdana"/>
          <w:bCs/>
          <w:iCs/>
          <w:spacing w:val="-2"/>
          <w:sz w:val="20"/>
          <w:szCs w:val="20"/>
          <w:lang w:val="es-CR"/>
        </w:rPr>
        <w:t xml:space="preserve">que </w:t>
      </w:r>
      <w:r w:rsidR="005B2853" w:rsidRPr="00C11971">
        <w:rPr>
          <w:rFonts w:ascii="Verdana" w:hAnsi="Verdana"/>
          <w:bCs/>
          <w:iCs/>
          <w:spacing w:val="-2"/>
          <w:sz w:val="20"/>
          <w:szCs w:val="20"/>
          <w:lang w:val="es-CR"/>
        </w:rPr>
        <w:t>la fiscalía</w:t>
      </w:r>
      <w:r w:rsidR="00344E33" w:rsidRPr="00B23C50">
        <w:rPr>
          <w:rFonts w:ascii="Verdana" w:hAnsi="Verdana"/>
          <w:iCs/>
          <w:spacing w:val="-2"/>
          <w:sz w:val="20"/>
          <w:szCs w:val="20"/>
          <w:lang w:val="es-CR"/>
        </w:rPr>
        <w:t xml:space="preserve"> omiti</w:t>
      </w:r>
      <w:r w:rsidR="005B2853" w:rsidRPr="00C11971">
        <w:rPr>
          <w:rFonts w:ascii="Verdana" w:hAnsi="Verdana"/>
          <w:iCs/>
          <w:spacing w:val="-2"/>
          <w:sz w:val="20"/>
          <w:szCs w:val="20"/>
          <w:lang w:val="es-CR"/>
        </w:rPr>
        <w:t>ó</w:t>
      </w:r>
      <w:r w:rsidR="00344E33" w:rsidRPr="00B23C50">
        <w:rPr>
          <w:rFonts w:ascii="Verdana" w:hAnsi="Verdana"/>
          <w:spacing w:val="-2"/>
          <w:sz w:val="20"/>
          <w:szCs w:val="20"/>
          <w:lang w:val="es-CR"/>
        </w:rPr>
        <w:t xml:space="preserve"> realizar </w:t>
      </w:r>
      <w:r w:rsidR="005B2853" w:rsidRPr="00C11971">
        <w:rPr>
          <w:rFonts w:ascii="Verdana" w:hAnsi="Verdana"/>
          <w:spacing w:val="-2"/>
          <w:sz w:val="20"/>
          <w:szCs w:val="20"/>
          <w:lang w:val="es-CR"/>
        </w:rPr>
        <w:t xml:space="preserve">a Eduardo Landaeta </w:t>
      </w:r>
      <w:r w:rsidR="00344E33" w:rsidRPr="00B23C50">
        <w:rPr>
          <w:rFonts w:ascii="Verdana" w:hAnsi="Verdana"/>
          <w:spacing w:val="-2"/>
          <w:sz w:val="20"/>
          <w:szCs w:val="20"/>
          <w:lang w:val="es-CR"/>
        </w:rPr>
        <w:t>prueba médica alguna, o de otra índole</w:t>
      </w:r>
      <w:r w:rsidR="00C25E6D" w:rsidRPr="00B23C50">
        <w:rPr>
          <w:rFonts w:ascii="Verdana" w:hAnsi="Verdana"/>
          <w:spacing w:val="-2"/>
          <w:sz w:val="20"/>
          <w:szCs w:val="20"/>
          <w:lang w:val="es-CR"/>
        </w:rPr>
        <w:t>,</w:t>
      </w:r>
      <w:r w:rsidR="00344E33" w:rsidRPr="00B23C50">
        <w:rPr>
          <w:rFonts w:ascii="Verdana" w:hAnsi="Verdana"/>
          <w:spacing w:val="-2"/>
          <w:sz w:val="20"/>
          <w:szCs w:val="20"/>
          <w:lang w:val="es-CR"/>
        </w:rPr>
        <w:t xml:space="preserve"> para </w:t>
      </w:r>
      <w:r w:rsidR="005B2853" w:rsidRPr="00C11971">
        <w:rPr>
          <w:rFonts w:ascii="Verdana" w:hAnsi="Verdana"/>
          <w:spacing w:val="-2"/>
          <w:sz w:val="20"/>
          <w:szCs w:val="20"/>
          <w:lang w:val="es-CR"/>
        </w:rPr>
        <w:t>la</w:t>
      </w:r>
      <w:r w:rsidR="00344E33" w:rsidRPr="00B23C50">
        <w:rPr>
          <w:rFonts w:ascii="Verdana" w:hAnsi="Verdana"/>
          <w:spacing w:val="-2"/>
          <w:sz w:val="20"/>
          <w:szCs w:val="20"/>
          <w:lang w:val="es-CR"/>
        </w:rPr>
        <w:t xml:space="preserve"> determinación de </w:t>
      </w:r>
      <w:r w:rsidR="005B2853" w:rsidRPr="00C11971">
        <w:rPr>
          <w:rFonts w:ascii="Verdana" w:hAnsi="Verdana"/>
          <w:spacing w:val="-2"/>
          <w:sz w:val="20"/>
          <w:szCs w:val="20"/>
          <w:lang w:val="es-CR"/>
        </w:rPr>
        <w:t>su</w:t>
      </w:r>
      <w:r w:rsidR="00344E33" w:rsidRPr="00B23C50">
        <w:rPr>
          <w:rFonts w:ascii="Verdana" w:hAnsi="Verdana"/>
          <w:spacing w:val="-2"/>
          <w:sz w:val="20"/>
          <w:szCs w:val="20"/>
          <w:lang w:val="es-CR"/>
        </w:rPr>
        <w:t xml:space="preserve"> edad y </w:t>
      </w:r>
      <w:r w:rsidR="005B2853" w:rsidRPr="00C11971">
        <w:rPr>
          <w:rFonts w:ascii="Verdana" w:hAnsi="Verdana"/>
          <w:spacing w:val="-2"/>
          <w:sz w:val="20"/>
          <w:szCs w:val="20"/>
          <w:lang w:val="es-CR"/>
        </w:rPr>
        <w:t>su</w:t>
      </w:r>
      <w:r w:rsidR="00344E33" w:rsidRPr="00B23C50">
        <w:rPr>
          <w:rFonts w:ascii="Verdana" w:hAnsi="Verdana"/>
          <w:spacing w:val="-2"/>
          <w:sz w:val="20"/>
          <w:szCs w:val="20"/>
          <w:lang w:val="es-CR"/>
        </w:rPr>
        <w:t xml:space="preserve"> esta</w:t>
      </w:r>
      <w:r w:rsidR="00C25E6D" w:rsidRPr="00B23C50">
        <w:rPr>
          <w:rFonts w:ascii="Verdana" w:hAnsi="Verdana"/>
          <w:spacing w:val="-2"/>
          <w:sz w:val="20"/>
          <w:szCs w:val="20"/>
          <w:lang w:val="es-CR"/>
        </w:rPr>
        <w:t xml:space="preserve">do de salud </w:t>
      </w:r>
      <w:r w:rsidR="005B2853" w:rsidRPr="00C11971">
        <w:rPr>
          <w:rFonts w:ascii="Verdana" w:hAnsi="Verdana"/>
          <w:spacing w:val="-2"/>
          <w:sz w:val="20"/>
          <w:szCs w:val="20"/>
          <w:lang w:val="es-CR"/>
        </w:rPr>
        <w:t xml:space="preserve">durante su detención, a fin de </w:t>
      </w:r>
      <w:r w:rsidR="00344E33" w:rsidRPr="00B23C50">
        <w:rPr>
          <w:rFonts w:ascii="Verdana" w:hAnsi="Verdana"/>
          <w:spacing w:val="-2"/>
          <w:sz w:val="20"/>
          <w:szCs w:val="20"/>
          <w:lang w:val="es-CR"/>
        </w:rPr>
        <w:t>prese</w:t>
      </w:r>
      <w:r w:rsidR="005B2853" w:rsidRPr="00C11971">
        <w:rPr>
          <w:rFonts w:ascii="Verdana" w:hAnsi="Verdana"/>
          <w:spacing w:val="-2"/>
          <w:sz w:val="20"/>
          <w:szCs w:val="20"/>
          <w:lang w:val="es-CR"/>
        </w:rPr>
        <w:t>ntarlo</w:t>
      </w:r>
      <w:r w:rsidR="00C25E6D" w:rsidRPr="00B23C50">
        <w:rPr>
          <w:rFonts w:ascii="Verdana" w:hAnsi="Verdana"/>
          <w:spacing w:val="-2"/>
          <w:sz w:val="20"/>
          <w:szCs w:val="20"/>
          <w:lang w:val="es-CR"/>
        </w:rPr>
        <w:t xml:space="preserve"> ante la autoridad competente</w:t>
      </w:r>
      <w:r w:rsidR="005B2853" w:rsidRPr="00C11971">
        <w:rPr>
          <w:rFonts w:ascii="Verdana" w:hAnsi="Verdana"/>
          <w:spacing w:val="-2"/>
          <w:sz w:val="20"/>
          <w:szCs w:val="20"/>
          <w:lang w:val="es-CR"/>
        </w:rPr>
        <w:t xml:space="preserve"> (Juez de Menor)</w:t>
      </w:r>
      <w:r w:rsidR="00C25E6D" w:rsidRPr="00B23C50">
        <w:rPr>
          <w:rFonts w:ascii="Verdana" w:hAnsi="Verdana"/>
          <w:spacing w:val="-2"/>
          <w:sz w:val="20"/>
          <w:szCs w:val="20"/>
          <w:lang w:val="es-CR"/>
        </w:rPr>
        <w:t>.</w:t>
      </w:r>
      <w:r w:rsidR="00344E33" w:rsidRPr="00B23C50">
        <w:rPr>
          <w:rFonts w:ascii="Verdana" w:hAnsi="Verdana"/>
          <w:spacing w:val="-2"/>
          <w:sz w:val="20"/>
          <w:szCs w:val="20"/>
          <w:lang w:val="es-CR"/>
        </w:rPr>
        <w:t xml:space="preserve"> </w:t>
      </w:r>
      <w:r w:rsidR="003416DB" w:rsidRPr="00B23C50">
        <w:rPr>
          <w:rFonts w:ascii="Verdana" w:hAnsi="Verdana"/>
          <w:spacing w:val="-2"/>
          <w:sz w:val="20"/>
          <w:szCs w:val="20"/>
          <w:lang w:val="es-CR"/>
        </w:rPr>
        <w:t xml:space="preserve">Finalmente, </w:t>
      </w:r>
      <w:r w:rsidR="003416DB" w:rsidRPr="00B23C50">
        <w:rPr>
          <w:rFonts w:ascii="Verdana" w:hAnsi="Verdana"/>
          <w:bCs/>
          <w:iCs/>
          <w:spacing w:val="-2"/>
          <w:sz w:val="20"/>
          <w:szCs w:val="20"/>
          <w:lang w:val="es-CR"/>
        </w:rPr>
        <w:t xml:space="preserve">el Tribunal </w:t>
      </w:r>
      <w:r w:rsidR="003416DB" w:rsidRPr="00B23C50">
        <w:rPr>
          <w:rFonts w:ascii="Verdana" w:hAnsi="Verdana"/>
          <w:spacing w:val="-2"/>
          <w:sz w:val="20"/>
          <w:szCs w:val="20"/>
          <w:lang w:val="es-CR"/>
        </w:rPr>
        <w:t>com</w:t>
      </w:r>
      <w:r w:rsidR="00C25E6D" w:rsidRPr="00B23C50">
        <w:rPr>
          <w:rFonts w:ascii="Verdana" w:hAnsi="Verdana"/>
          <w:spacing w:val="-2"/>
          <w:sz w:val="20"/>
          <w:szCs w:val="20"/>
          <w:lang w:val="es-CR"/>
        </w:rPr>
        <w:t>probó que desde el momento de su</w:t>
      </w:r>
      <w:r w:rsidR="003416DB" w:rsidRPr="00B23C50">
        <w:rPr>
          <w:rFonts w:ascii="Verdana" w:hAnsi="Verdana"/>
          <w:spacing w:val="-2"/>
          <w:sz w:val="20"/>
          <w:szCs w:val="20"/>
          <w:lang w:val="es-CR"/>
        </w:rPr>
        <w:t xml:space="preserve"> detención hasta el segundo traslado donde perdió su vida, estuvo detenido aproximadamente durante 38 horas sin haber sido presentado ante un juez o autoridad competente de menores de edad, lo cual, a criterio de la Corte, excedió el estándar de puesta a disposición de autoridad competente “sin demora” aplicable a menores de edad. </w:t>
      </w:r>
      <w:r w:rsidR="0071344F" w:rsidRPr="00B23C50">
        <w:rPr>
          <w:rFonts w:ascii="Verdana" w:hAnsi="Verdana"/>
          <w:spacing w:val="-2"/>
          <w:sz w:val="20"/>
          <w:szCs w:val="20"/>
          <w:lang w:val="es-CR"/>
        </w:rPr>
        <w:t xml:space="preserve">Por lo anterior, el Estado contravino lo dispuesto en los incisos </w:t>
      </w:r>
      <w:r w:rsidR="003416DB" w:rsidRPr="00B23C50">
        <w:rPr>
          <w:rFonts w:ascii="Verdana" w:hAnsi="Verdana"/>
          <w:spacing w:val="-2"/>
          <w:sz w:val="20"/>
          <w:szCs w:val="20"/>
          <w:lang w:val="es-CR"/>
        </w:rPr>
        <w:t xml:space="preserve">1 al 5 </w:t>
      </w:r>
      <w:r w:rsidR="0071344F" w:rsidRPr="00B23C50">
        <w:rPr>
          <w:rFonts w:ascii="Verdana" w:hAnsi="Verdana"/>
          <w:spacing w:val="-2"/>
          <w:sz w:val="20"/>
          <w:szCs w:val="20"/>
          <w:lang w:val="es-CR"/>
        </w:rPr>
        <w:t xml:space="preserve">del artículo 7 de la Convención Americana, en relación con el artículo 19 de la misma. </w:t>
      </w:r>
    </w:p>
    <w:p w:rsidR="00CA45C5" w:rsidRPr="00B23C50" w:rsidRDefault="00CA45C5" w:rsidP="00C11971">
      <w:pPr>
        <w:pStyle w:val="ListParagraph1"/>
        <w:tabs>
          <w:tab w:val="left" w:pos="567"/>
          <w:tab w:val="left" w:pos="2128"/>
        </w:tabs>
        <w:spacing w:after="120" w:line="240" w:lineRule="auto"/>
        <w:ind w:left="0" w:right="-120"/>
        <w:contextualSpacing/>
        <w:jc w:val="both"/>
        <w:rPr>
          <w:rFonts w:ascii="Verdana" w:hAnsi="Verdana"/>
          <w:bCs/>
          <w:iCs/>
          <w:spacing w:val="-2"/>
          <w:sz w:val="20"/>
          <w:szCs w:val="20"/>
          <w:lang w:val="es-CR"/>
        </w:rPr>
      </w:pPr>
    </w:p>
    <w:p w:rsidR="005F4226" w:rsidRDefault="002467BA" w:rsidP="00C11971">
      <w:pPr>
        <w:pStyle w:val="ListParagraph1"/>
        <w:tabs>
          <w:tab w:val="left" w:pos="567"/>
          <w:tab w:val="left" w:pos="2128"/>
        </w:tabs>
        <w:spacing w:after="120" w:line="240" w:lineRule="auto"/>
        <w:ind w:left="0" w:right="-120"/>
        <w:contextualSpacing/>
        <w:jc w:val="both"/>
        <w:rPr>
          <w:rFonts w:ascii="Verdana" w:hAnsi="Verdana"/>
          <w:b/>
          <w:spacing w:val="-2"/>
          <w:sz w:val="20"/>
          <w:szCs w:val="20"/>
          <w:lang w:val="es-CR"/>
        </w:rPr>
      </w:pPr>
      <w:r w:rsidRPr="00B23C50">
        <w:rPr>
          <w:rFonts w:ascii="Verdana" w:hAnsi="Verdana"/>
          <w:spacing w:val="-2"/>
          <w:sz w:val="20"/>
          <w:szCs w:val="20"/>
          <w:lang w:val="es-CR"/>
        </w:rPr>
        <w:t xml:space="preserve">Respecto </w:t>
      </w:r>
      <w:r w:rsidR="00C25E6D" w:rsidRPr="00B23C50">
        <w:rPr>
          <w:rFonts w:ascii="Verdana" w:hAnsi="Verdana"/>
          <w:spacing w:val="-2"/>
          <w:sz w:val="20"/>
          <w:szCs w:val="20"/>
          <w:lang w:val="es-CR"/>
        </w:rPr>
        <w:t>de</w:t>
      </w:r>
      <w:r w:rsidR="003416DB" w:rsidRPr="00B23C50">
        <w:rPr>
          <w:rFonts w:ascii="Verdana" w:hAnsi="Verdana"/>
          <w:spacing w:val="-2"/>
          <w:sz w:val="20"/>
          <w:szCs w:val="20"/>
          <w:lang w:val="es-CR"/>
        </w:rPr>
        <w:t xml:space="preserve">l derecho a la vida de Eduardo Landaeta, </w:t>
      </w:r>
      <w:r w:rsidR="0028789C" w:rsidRPr="00B23C50">
        <w:rPr>
          <w:rFonts w:ascii="Verdana" w:hAnsi="Verdana"/>
          <w:spacing w:val="-2"/>
          <w:sz w:val="20"/>
          <w:szCs w:val="20"/>
          <w:lang w:val="es-CR"/>
        </w:rPr>
        <w:t>la Corte reiteró su jurisprudencia en el sentido que los Estados son responsables, en su condición de garantes</w:t>
      </w:r>
      <w:r w:rsidR="0005166C" w:rsidRPr="00B23C50">
        <w:rPr>
          <w:rFonts w:ascii="Verdana" w:hAnsi="Verdana"/>
          <w:spacing w:val="-2"/>
          <w:sz w:val="20"/>
          <w:szCs w:val="20"/>
          <w:lang w:val="es-CR"/>
        </w:rPr>
        <w:t>,</w:t>
      </w:r>
      <w:r w:rsidR="0028789C" w:rsidRPr="00B23C50">
        <w:rPr>
          <w:rFonts w:ascii="Verdana" w:hAnsi="Verdana"/>
          <w:spacing w:val="-2"/>
          <w:sz w:val="20"/>
          <w:szCs w:val="20"/>
          <w:lang w:val="es-CR"/>
        </w:rPr>
        <w:t xml:space="preserve"> de los derechos consagrados en la Convención, </w:t>
      </w:r>
      <w:r w:rsidR="0005166C" w:rsidRPr="00B23C50">
        <w:rPr>
          <w:rFonts w:ascii="Verdana" w:hAnsi="Verdana"/>
          <w:spacing w:val="-2"/>
          <w:sz w:val="20"/>
          <w:szCs w:val="20"/>
          <w:lang w:val="es-CR"/>
        </w:rPr>
        <w:t xml:space="preserve">así como </w:t>
      </w:r>
      <w:r w:rsidR="0028789C" w:rsidRPr="00B23C50">
        <w:rPr>
          <w:rFonts w:ascii="Verdana" w:hAnsi="Verdana"/>
          <w:spacing w:val="-2"/>
          <w:sz w:val="20"/>
          <w:szCs w:val="20"/>
          <w:lang w:val="es-CR"/>
        </w:rPr>
        <w:t>de la observancia</w:t>
      </w:r>
      <w:r w:rsidR="0028789C" w:rsidRPr="00B23C50">
        <w:rPr>
          <w:rFonts w:ascii="Verdana" w:hAnsi="Verdana"/>
          <w:i/>
          <w:spacing w:val="-2"/>
          <w:sz w:val="20"/>
          <w:szCs w:val="20"/>
          <w:lang w:val="es-CR"/>
        </w:rPr>
        <w:t xml:space="preserve"> </w:t>
      </w:r>
      <w:r w:rsidR="0028789C" w:rsidRPr="00B23C50">
        <w:rPr>
          <w:rFonts w:ascii="Verdana" w:hAnsi="Verdana"/>
          <w:spacing w:val="-2"/>
          <w:sz w:val="20"/>
          <w:szCs w:val="20"/>
          <w:lang w:val="es-CR"/>
        </w:rPr>
        <w:t>de los mismos frente a todo individuo qu</w:t>
      </w:r>
      <w:r w:rsidR="0028789C" w:rsidRPr="00B23C50">
        <w:rPr>
          <w:rFonts w:ascii="Verdana" w:hAnsi="Verdana"/>
          <w:bCs/>
          <w:iCs/>
          <w:spacing w:val="-2"/>
          <w:sz w:val="20"/>
          <w:szCs w:val="20"/>
          <w:lang w:val="es-CR"/>
        </w:rPr>
        <w:t>e se ha</w:t>
      </w:r>
      <w:r w:rsidR="0028789C" w:rsidRPr="00B23C50">
        <w:rPr>
          <w:rFonts w:ascii="Verdana" w:hAnsi="Verdana"/>
          <w:spacing w:val="-2"/>
          <w:sz w:val="20"/>
          <w:szCs w:val="20"/>
          <w:lang w:val="es-CR"/>
        </w:rPr>
        <w:t>lla ba</w:t>
      </w:r>
      <w:r w:rsidR="0028789C" w:rsidRPr="00B23C50">
        <w:rPr>
          <w:rFonts w:ascii="Verdana" w:hAnsi="Verdana"/>
          <w:bCs/>
          <w:iCs/>
          <w:spacing w:val="-2"/>
          <w:sz w:val="20"/>
          <w:szCs w:val="20"/>
          <w:lang w:val="es-CR"/>
        </w:rPr>
        <w:t>jo s</w:t>
      </w:r>
      <w:r w:rsidR="0028789C" w:rsidRPr="00B23C50">
        <w:rPr>
          <w:rFonts w:ascii="Verdana" w:hAnsi="Verdana"/>
          <w:spacing w:val="-2"/>
          <w:sz w:val="20"/>
          <w:szCs w:val="20"/>
          <w:lang w:val="es-CR"/>
        </w:rPr>
        <w:t xml:space="preserve">u custodia, por lo que cuando una persona y, especialmente un niño, muere de manera violenta bajo su custodia, el Estado tiene la carga de demostrar que </w:t>
      </w:r>
      <w:r w:rsidR="00896AA6" w:rsidRPr="00B23C50">
        <w:rPr>
          <w:rFonts w:ascii="Verdana" w:hAnsi="Verdana"/>
          <w:spacing w:val="-2"/>
          <w:sz w:val="20"/>
          <w:szCs w:val="20"/>
          <w:lang w:val="es-CR"/>
        </w:rPr>
        <w:t xml:space="preserve">esta muerte no le es atribuible. </w:t>
      </w:r>
      <w:r w:rsidR="00040411" w:rsidRPr="00B23C50">
        <w:rPr>
          <w:rFonts w:ascii="Verdana" w:hAnsi="Verdana"/>
          <w:spacing w:val="-2"/>
          <w:sz w:val="20"/>
          <w:szCs w:val="20"/>
          <w:lang w:val="es-CR"/>
        </w:rPr>
        <w:t>E</w:t>
      </w:r>
      <w:r w:rsidR="002A4B57" w:rsidRPr="00B23C50">
        <w:rPr>
          <w:rFonts w:ascii="Verdana" w:hAnsi="Verdana"/>
          <w:spacing w:val="-2"/>
          <w:sz w:val="20"/>
          <w:szCs w:val="20"/>
          <w:lang w:val="es-CR"/>
        </w:rPr>
        <w:t xml:space="preserve">l Tribunal constató la existencia de una situación de riesgo contra la vida de Eduardo Landaeta, así como el conocimiento de las autoridades estatales de un riesgo real e inminente en su perjuicio, mismo que se materializó en la privación de su vida. Dicho riesgo provenía de los propios agentes estatales, pertenecientes a la entidad que estaba a cargo de su custodia. </w:t>
      </w:r>
      <w:r w:rsidR="00040411" w:rsidRPr="00B23C50">
        <w:rPr>
          <w:rFonts w:ascii="Verdana" w:hAnsi="Verdana"/>
          <w:spacing w:val="-2"/>
          <w:sz w:val="20"/>
          <w:szCs w:val="20"/>
          <w:lang w:val="es-CR"/>
        </w:rPr>
        <w:t>Asimismo</w:t>
      </w:r>
      <w:r w:rsidR="005F4226" w:rsidRPr="00B23C50">
        <w:rPr>
          <w:rFonts w:ascii="Verdana" w:hAnsi="Verdana"/>
          <w:spacing w:val="-2"/>
          <w:sz w:val="20"/>
          <w:szCs w:val="20"/>
          <w:lang w:val="es-CR"/>
        </w:rPr>
        <w:t>, esta Corte consideró que existieron una serie de elementos concatenados que configuran un incumplimiento por parte del Estado a su deber de respeto y garantía a favor de Eduardo Landaeta, a saber: la referida problemática de abusos policiales en dicha época; las amenazas proferidas contra los hermanos Landaeta Mejías</w:t>
      </w:r>
      <w:r w:rsidR="0005166C" w:rsidRPr="00C11971">
        <w:rPr>
          <w:rFonts w:ascii="Verdana" w:hAnsi="Verdana"/>
          <w:spacing w:val="-2"/>
          <w:sz w:val="20"/>
          <w:szCs w:val="20"/>
          <w:lang w:val="es-CR"/>
        </w:rPr>
        <w:t xml:space="preserve"> por parte de agentes policiales</w:t>
      </w:r>
      <w:r w:rsidR="005F4226" w:rsidRPr="00B23C50">
        <w:rPr>
          <w:rFonts w:ascii="Verdana" w:hAnsi="Verdana"/>
          <w:spacing w:val="-2"/>
          <w:sz w:val="20"/>
          <w:szCs w:val="20"/>
          <w:lang w:val="es-CR"/>
        </w:rPr>
        <w:t xml:space="preserve">; la proximidad de la muerte de su hermano Igmar Landaeta, atribuible a agentes del mismo cuerpo policial; su detención ilegal y arbitraria en los términos descritos; la falta de protección especial en razón de su condición de menor de edad, así como del riesgo en el que se encontraba, </w:t>
      </w:r>
      <w:r w:rsidR="00891D0B" w:rsidRPr="00B23C50">
        <w:rPr>
          <w:rFonts w:ascii="Verdana" w:hAnsi="Verdana"/>
          <w:spacing w:val="-2"/>
          <w:sz w:val="20"/>
          <w:szCs w:val="20"/>
          <w:lang w:val="es-CR"/>
        </w:rPr>
        <w:t>al ser</w:t>
      </w:r>
      <w:r w:rsidR="005F4226" w:rsidRPr="00B23C50">
        <w:rPr>
          <w:rFonts w:ascii="Verdana" w:hAnsi="Verdana"/>
          <w:spacing w:val="-2"/>
          <w:sz w:val="20"/>
          <w:szCs w:val="20"/>
          <w:lang w:val="es-CR"/>
        </w:rPr>
        <w:t xml:space="preserve"> objeto de dos traslados sin ser puesto bajo control judicial ni autoridad competente de menores de edad por un tiempo prolongado; la falta de protección frente a los propios agentes implicados, el incumplimiento en su deber de custodia, así como todos los indicios que permiten inferir la responsabilidad directa de los agentes que lo trasladaban, </w:t>
      </w:r>
      <w:r w:rsidR="003E3B60">
        <w:rPr>
          <w:rFonts w:ascii="Verdana" w:hAnsi="Verdana"/>
          <w:spacing w:val="-2"/>
          <w:sz w:val="20"/>
          <w:szCs w:val="20"/>
          <w:lang w:val="es-CR"/>
        </w:rPr>
        <w:t>mismos que</w:t>
      </w:r>
      <w:r w:rsidR="0005166C" w:rsidRPr="00C11971">
        <w:rPr>
          <w:rFonts w:ascii="Verdana" w:hAnsi="Verdana"/>
          <w:spacing w:val="-2"/>
          <w:sz w:val="20"/>
          <w:szCs w:val="20"/>
          <w:lang w:val="es-CR"/>
        </w:rPr>
        <w:t xml:space="preserve"> </w:t>
      </w:r>
      <w:r w:rsidR="005F4226" w:rsidRPr="00B23C50">
        <w:rPr>
          <w:rFonts w:ascii="Verdana" w:hAnsi="Verdana"/>
          <w:spacing w:val="-2"/>
          <w:sz w:val="20"/>
          <w:szCs w:val="20"/>
          <w:lang w:val="es-CR"/>
        </w:rPr>
        <w:t>desvirtúan la versión de la presunta interceptación por parte de terceros. En razón de ello, la Corte consideró que el Estado es responsable por la privación arbitraria de la vida de Eduardo Landaeta, en incumplimiento de su deber</w:t>
      </w:r>
      <w:r w:rsidR="005F4226" w:rsidRPr="00CA45C5">
        <w:rPr>
          <w:rFonts w:ascii="Verdana" w:hAnsi="Verdana"/>
          <w:spacing w:val="-2"/>
          <w:sz w:val="20"/>
          <w:szCs w:val="20"/>
          <w:lang w:val="es-CR"/>
        </w:rPr>
        <w:t xml:space="preserve"> de respeto y garantía del derecho a la vida de personas bajo su custodia, dispuesto en el artículo 4 de la Convención Americana, en relación con los artículos 1.1 y el 19 del mismo instrumento.</w:t>
      </w:r>
      <w:r w:rsidR="005F4226" w:rsidRPr="00CA45C5">
        <w:rPr>
          <w:rFonts w:ascii="Verdana" w:hAnsi="Verdana"/>
          <w:b/>
          <w:spacing w:val="-2"/>
          <w:sz w:val="20"/>
          <w:szCs w:val="20"/>
          <w:lang w:val="es-CR"/>
        </w:rPr>
        <w:t xml:space="preserve">  </w:t>
      </w:r>
    </w:p>
    <w:p w:rsidR="00CA45C5" w:rsidRPr="00CA45C5" w:rsidRDefault="00CA45C5" w:rsidP="00C11971">
      <w:pPr>
        <w:pStyle w:val="ListParagraph1"/>
        <w:tabs>
          <w:tab w:val="left" w:pos="567"/>
          <w:tab w:val="left" w:pos="2128"/>
        </w:tabs>
        <w:spacing w:after="120" w:line="240" w:lineRule="auto"/>
        <w:ind w:left="0" w:right="-120"/>
        <w:contextualSpacing/>
        <w:jc w:val="both"/>
        <w:rPr>
          <w:rFonts w:ascii="Verdana" w:hAnsi="Verdana"/>
          <w:spacing w:val="-2"/>
          <w:sz w:val="20"/>
          <w:szCs w:val="20"/>
          <w:lang w:val="es-CR"/>
        </w:rPr>
      </w:pPr>
    </w:p>
    <w:p w:rsidR="002467BA" w:rsidRPr="00B23C50" w:rsidRDefault="003D4061" w:rsidP="00C11971">
      <w:pPr>
        <w:pStyle w:val="ListParagraph1"/>
        <w:tabs>
          <w:tab w:val="left" w:pos="567"/>
          <w:tab w:val="left" w:pos="2128"/>
        </w:tabs>
        <w:spacing w:after="120" w:line="240" w:lineRule="auto"/>
        <w:ind w:left="0" w:right="-120"/>
        <w:contextualSpacing/>
        <w:jc w:val="both"/>
        <w:rPr>
          <w:rFonts w:ascii="Verdana" w:hAnsi="Verdana"/>
          <w:spacing w:val="-2"/>
          <w:sz w:val="20"/>
          <w:szCs w:val="20"/>
          <w:lang w:val="es-CR"/>
        </w:rPr>
      </w:pPr>
      <w:r>
        <w:rPr>
          <w:rFonts w:ascii="Verdana" w:hAnsi="Verdana"/>
          <w:spacing w:val="-2"/>
          <w:sz w:val="20"/>
          <w:szCs w:val="20"/>
          <w:lang w:val="es-CR"/>
        </w:rPr>
        <w:t>R</w:t>
      </w:r>
      <w:r w:rsidR="00040411">
        <w:rPr>
          <w:rFonts w:ascii="Verdana" w:hAnsi="Verdana"/>
          <w:spacing w:val="-2"/>
          <w:sz w:val="20"/>
          <w:szCs w:val="20"/>
          <w:lang w:val="es-CR"/>
        </w:rPr>
        <w:t>especto de</w:t>
      </w:r>
      <w:r w:rsidR="005F4226" w:rsidRPr="00CA45C5">
        <w:rPr>
          <w:rFonts w:ascii="Verdana" w:hAnsi="Verdana"/>
          <w:spacing w:val="-2"/>
          <w:sz w:val="20"/>
          <w:szCs w:val="20"/>
          <w:lang w:val="es-CR"/>
        </w:rPr>
        <w:t xml:space="preserve">l derecho a la integridad personal de Eduardo Landaeta, </w:t>
      </w:r>
      <w:r w:rsidR="007A6EC3">
        <w:rPr>
          <w:rFonts w:ascii="Verdana" w:hAnsi="Verdana"/>
          <w:spacing w:val="-2"/>
          <w:sz w:val="20"/>
          <w:szCs w:val="20"/>
          <w:lang w:val="es-CR"/>
        </w:rPr>
        <w:t>el Tribunal</w:t>
      </w:r>
      <w:r w:rsidR="005F4226" w:rsidRPr="00CA45C5">
        <w:rPr>
          <w:rFonts w:ascii="Verdana" w:hAnsi="Verdana"/>
          <w:spacing w:val="-2"/>
          <w:sz w:val="20"/>
          <w:szCs w:val="20"/>
          <w:lang w:val="es-CR"/>
        </w:rPr>
        <w:t xml:space="preserve"> determinó que </w:t>
      </w:r>
      <w:r>
        <w:rPr>
          <w:rFonts w:ascii="Verdana" w:hAnsi="Verdana"/>
          <w:spacing w:val="-2"/>
          <w:sz w:val="20"/>
          <w:szCs w:val="20"/>
          <w:lang w:val="es-CR"/>
        </w:rPr>
        <w:t xml:space="preserve">dichas irregularidades, </w:t>
      </w:r>
      <w:r w:rsidR="005F4226" w:rsidRPr="00CA45C5">
        <w:rPr>
          <w:rFonts w:ascii="Verdana" w:hAnsi="Verdana"/>
          <w:spacing w:val="-2"/>
          <w:sz w:val="20"/>
          <w:szCs w:val="20"/>
          <w:lang w:val="es-CR"/>
        </w:rPr>
        <w:t xml:space="preserve">aunado a la situación de riesgo puesta en conocimiento de autoridades, </w:t>
      </w:r>
      <w:r w:rsidR="003E3B60">
        <w:rPr>
          <w:rFonts w:ascii="Verdana" w:hAnsi="Verdana"/>
          <w:spacing w:val="-2"/>
          <w:sz w:val="20"/>
          <w:szCs w:val="20"/>
          <w:lang w:val="es-CR"/>
        </w:rPr>
        <w:t>y</w:t>
      </w:r>
      <w:r w:rsidR="005F4226" w:rsidRPr="00CA45C5">
        <w:rPr>
          <w:rFonts w:ascii="Verdana" w:hAnsi="Verdana"/>
          <w:spacing w:val="-2"/>
          <w:sz w:val="20"/>
          <w:szCs w:val="20"/>
          <w:lang w:val="es-CR"/>
        </w:rPr>
        <w:t xml:space="preserve"> tomando en cuenta su condición de menor de edad, le generaron sufrimiento y angustia. En este sentido, la Corte concluyó que </w:t>
      </w:r>
      <w:r w:rsidR="007A6EC3">
        <w:rPr>
          <w:rFonts w:ascii="Verdana" w:hAnsi="Verdana"/>
          <w:spacing w:val="-2"/>
          <w:sz w:val="20"/>
          <w:szCs w:val="20"/>
          <w:lang w:val="es-CR"/>
        </w:rPr>
        <w:t xml:space="preserve">el Estado violó </w:t>
      </w:r>
      <w:r w:rsidR="005F4226" w:rsidRPr="00CA45C5">
        <w:rPr>
          <w:rFonts w:ascii="Verdana" w:hAnsi="Verdana"/>
          <w:spacing w:val="-2"/>
          <w:sz w:val="20"/>
          <w:szCs w:val="20"/>
          <w:lang w:val="es-CR"/>
        </w:rPr>
        <w:t xml:space="preserve">el derecho a la </w:t>
      </w:r>
      <w:r w:rsidR="005F4226" w:rsidRPr="00B23C50">
        <w:rPr>
          <w:rFonts w:ascii="Verdana" w:hAnsi="Verdana"/>
          <w:spacing w:val="-2"/>
          <w:sz w:val="20"/>
          <w:szCs w:val="20"/>
          <w:lang w:val="es-CR"/>
        </w:rPr>
        <w:t>integridad psíquica y moral, reconocido en el artículo 5.1 de la Convención Americana, en relación con el ar</w:t>
      </w:r>
      <w:r w:rsidR="00896AA6" w:rsidRPr="00B23C50">
        <w:rPr>
          <w:rFonts w:ascii="Verdana" w:hAnsi="Verdana"/>
          <w:spacing w:val="-2"/>
          <w:sz w:val="20"/>
          <w:szCs w:val="20"/>
          <w:lang w:val="es-CR"/>
        </w:rPr>
        <w:t>tículo 19 del mismo instrumento</w:t>
      </w:r>
      <w:r w:rsidR="005F4226" w:rsidRPr="00B23C50">
        <w:rPr>
          <w:rFonts w:ascii="Verdana" w:hAnsi="Verdana"/>
          <w:spacing w:val="-2"/>
          <w:sz w:val="20"/>
          <w:szCs w:val="20"/>
          <w:lang w:val="es-CR"/>
        </w:rPr>
        <w:t xml:space="preserve">. </w:t>
      </w:r>
    </w:p>
    <w:p w:rsidR="00015D2B" w:rsidRPr="00B23C50" w:rsidRDefault="008B3764" w:rsidP="00C11971">
      <w:pPr>
        <w:pStyle w:val="NoSpacing"/>
        <w:spacing w:after="120"/>
        <w:ind w:right="-120"/>
        <w:jc w:val="both"/>
        <w:rPr>
          <w:rFonts w:ascii="Verdana" w:eastAsia="Times New Roman" w:hAnsi="Verdana"/>
          <w:spacing w:val="-2"/>
          <w:sz w:val="20"/>
          <w:szCs w:val="20"/>
          <w:lang w:val="es-CR"/>
        </w:rPr>
      </w:pPr>
      <w:r w:rsidRPr="00B23C50">
        <w:rPr>
          <w:rFonts w:ascii="Verdana" w:eastAsia="Times New Roman" w:hAnsi="Verdana"/>
          <w:spacing w:val="-2"/>
          <w:sz w:val="20"/>
          <w:szCs w:val="20"/>
          <w:lang w:val="es-CR"/>
        </w:rPr>
        <w:lastRenderedPageBreak/>
        <w:t>Sobre los derechos a las garantías judiciales y protección judicial, reconocidos en los ar</w:t>
      </w:r>
      <w:r w:rsidR="00CA45C5" w:rsidRPr="00B23C50">
        <w:rPr>
          <w:rFonts w:ascii="Verdana" w:eastAsia="Times New Roman" w:hAnsi="Verdana"/>
          <w:spacing w:val="-2"/>
          <w:sz w:val="20"/>
          <w:szCs w:val="20"/>
          <w:lang w:val="es-CR"/>
        </w:rPr>
        <w:t xml:space="preserve">tículos 8 y 25 de la Convención, la Corte estimó que </w:t>
      </w:r>
      <w:r w:rsidR="00015D2B" w:rsidRPr="00B23C50">
        <w:rPr>
          <w:rFonts w:ascii="Verdana" w:hAnsi="Verdana"/>
          <w:spacing w:val="-2"/>
          <w:sz w:val="20"/>
          <w:szCs w:val="20"/>
          <w:lang w:val="es-CR"/>
        </w:rPr>
        <w:t xml:space="preserve">el Estado es responsable por la violación de los </w:t>
      </w:r>
      <w:r w:rsidR="00CA45C5" w:rsidRPr="00B23C50">
        <w:rPr>
          <w:rFonts w:ascii="Verdana" w:hAnsi="Verdana"/>
          <w:spacing w:val="-2"/>
          <w:sz w:val="20"/>
          <w:szCs w:val="20"/>
          <w:lang w:val="es-CR"/>
        </w:rPr>
        <w:t>mismos,</w:t>
      </w:r>
      <w:r w:rsidR="00574EB3" w:rsidRPr="00B23C50">
        <w:rPr>
          <w:rFonts w:ascii="Verdana" w:hAnsi="Verdana"/>
          <w:spacing w:val="-2"/>
          <w:sz w:val="20"/>
          <w:szCs w:val="20"/>
          <w:lang w:val="es-CR"/>
        </w:rPr>
        <w:t xml:space="preserve"> en perjuicio de los familiares </w:t>
      </w:r>
      <w:r w:rsidR="00E20B54" w:rsidRPr="00B23C50">
        <w:rPr>
          <w:rFonts w:ascii="Verdana" w:hAnsi="Verdana"/>
          <w:spacing w:val="-2"/>
          <w:sz w:val="20"/>
          <w:szCs w:val="20"/>
          <w:lang w:val="es-CR"/>
        </w:rPr>
        <w:t xml:space="preserve">acreditados </w:t>
      </w:r>
      <w:r w:rsidR="00574EB3" w:rsidRPr="00B23C50">
        <w:rPr>
          <w:rFonts w:ascii="Verdana" w:hAnsi="Verdana"/>
          <w:spacing w:val="-2"/>
          <w:sz w:val="20"/>
          <w:szCs w:val="20"/>
          <w:lang w:val="es-CR"/>
        </w:rPr>
        <w:t>de los hermanos Landaeta Mejías,</w:t>
      </w:r>
      <w:r w:rsidR="00CA45C5" w:rsidRPr="00B23C50">
        <w:rPr>
          <w:rFonts w:ascii="Verdana" w:hAnsi="Verdana"/>
          <w:spacing w:val="-2"/>
          <w:sz w:val="20"/>
          <w:szCs w:val="20"/>
          <w:lang w:val="es-CR"/>
        </w:rPr>
        <w:t xml:space="preserve"> </w:t>
      </w:r>
      <w:r w:rsidR="00015D2B" w:rsidRPr="00B23C50">
        <w:rPr>
          <w:rFonts w:ascii="Verdana" w:hAnsi="Verdana"/>
          <w:spacing w:val="-2"/>
          <w:sz w:val="20"/>
          <w:szCs w:val="20"/>
          <w:lang w:val="es-CR"/>
        </w:rPr>
        <w:t>debido a la falta de diligencia durante las investigaci</w:t>
      </w:r>
      <w:r w:rsidR="00574EB3" w:rsidRPr="00B23C50">
        <w:rPr>
          <w:rFonts w:ascii="Verdana" w:hAnsi="Verdana"/>
          <w:spacing w:val="-2"/>
          <w:sz w:val="20"/>
          <w:szCs w:val="20"/>
          <w:lang w:val="es-CR"/>
        </w:rPr>
        <w:t xml:space="preserve">ones y procesos penales, a la violación </w:t>
      </w:r>
      <w:r w:rsidR="00015D2B" w:rsidRPr="00B23C50">
        <w:rPr>
          <w:rFonts w:ascii="Verdana" w:hAnsi="Verdana"/>
          <w:spacing w:val="-2"/>
          <w:sz w:val="20"/>
          <w:szCs w:val="20"/>
          <w:lang w:val="es-CR"/>
        </w:rPr>
        <w:t xml:space="preserve">del plazo razonable y a que las investigaciones fueron llevadas a cabo de manera separada, sin que existieran líneas conjuntas de investigación, a pesar de los indicios de interrelación entre ambas muertes. </w:t>
      </w:r>
    </w:p>
    <w:p w:rsidR="00B23C50" w:rsidRPr="00C11971" w:rsidRDefault="008B6D13" w:rsidP="00C11971">
      <w:pPr>
        <w:pStyle w:val="ListParagraph"/>
        <w:spacing w:after="120"/>
        <w:ind w:left="0" w:right="-120"/>
        <w:jc w:val="both"/>
        <w:rPr>
          <w:spacing w:val="-2"/>
          <w:lang w:val="es-CR"/>
        </w:rPr>
      </w:pPr>
      <w:r w:rsidRPr="00C11971">
        <w:rPr>
          <w:spacing w:val="-2"/>
          <w:lang w:val="es-CR"/>
        </w:rPr>
        <w:t>En particular, r</w:t>
      </w:r>
      <w:r w:rsidR="00015D2B" w:rsidRPr="00B23C50">
        <w:rPr>
          <w:spacing w:val="-2"/>
          <w:lang w:val="es-CR"/>
        </w:rPr>
        <w:t>especto de</w:t>
      </w:r>
      <w:r w:rsidR="00597028" w:rsidRPr="00B23C50">
        <w:rPr>
          <w:spacing w:val="-2"/>
          <w:lang w:val="es-CR"/>
        </w:rPr>
        <w:t xml:space="preserve"> </w:t>
      </w:r>
      <w:r w:rsidR="00891D0B" w:rsidRPr="00B23C50">
        <w:rPr>
          <w:spacing w:val="-2"/>
          <w:lang w:val="es-CR"/>
        </w:rPr>
        <w:t>l</w:t>
      </w:r>
      <w:r w:rsidR="00597028" w:rsidRPr="00B23C50">
        <w:rPr>
          <w:spacing w:val="-2"/>
          <w:lang w:val="es-CR"/>
        </w:rPr>
        <w:t>as investigaciones y el</w:t>
      </w:r>
      <w:r w:rsidR="00891D0B" w:rsidRPr="00B23C50">
        <w:rPr>
          <w:spacing w:val="-2"/>
          <w:lang w:val="es-CR"/>
        </w:rPr>
        <w:t xml:space="preserve"> proceso penal adelantado por la muerte de </w:t>
      </w:r>
      <w:r w:rsidR="00015D2B" w:rsidRPr="00C11971">
        <w:rPr>
          <w:b/>
          <w:spacing w:val="-2"/>
          <w:lang w:val="es-CR"/>
        </w:rPr>
        <w:t>Igmar Landaeta</w:t>
      </w:r>
      <w:r w:rsidR="00015D2B" w:rsidRPr="00B23C50">
        <w:rPr>
          <w:spacing w:val="-2"/>
          <w:lang w:val="es-CR"/>
        </w:rPr>
        <w:t>,</w:t>
      </w:r>
      <w:r w:rsidR="00015D2B" w:rsidRPr="00B23C50">
        <w:rPr>
          <w:b/>
          <w:spacing w:val="-2"/>
          <w:lang w:val="es-CR"/>
        </w:rPr>
        <w:t xml:space="preserve"> </w:t>
      </w:r>
      <w:r w:rsidR="00F302BE" w:rsidRPr="00B23C50">
        <w:rPr>
          <w:spacing w:val="-2"/>
          <w:lang w:val="es-CR"/>
        </w:rPr>
        <w:t xml:space="preserve">el Tribunal </w:t>
      </w:r>
      <w:r w:rsidR="005B6639" w:rsidRPr="00B23C50">
        <w:rPr>
          <w:spacing w:val="-2"/>
          <w:lang w:val="es-CR"/>
        </w:rPr>
        <w:t>concluyó que</w:t>
      </w:r>
      <w:r w:rsidR="00891D0B" w:rsidRPr="00B23C50">
        <w:rPr>
          <w:spacing w:val="-2"/>
          <w:lang w:val="es-CR"/>
        </w:rPr>
        <w:t xml:space="preserve"> </w:t>
      </w:r>
      <w:r w:rsidR="005B6639" w:rsidRPr="00B23C50">
        <w:rPr>
          <w:spacing w:val="-2"/>
          <w:lang w:val="es-CR"/>
        </w:rPr>
        <w:t>el Estado no llevó a cabo una averiguación exhaustiva y diligente, que permitiera la obtención de suficientes elementos técnicos, consistentes, congruentes</w:t>
      </w:r>
      <w:r w:rsidR="005B6639" w:rsidRPr="00B23C50">
        <w:rPr>
          <w:i/>
          <w:spacing w:val="-2"/>
          <w:lang w:val="es-CR"/>
        </w:rPr>
        <w:t xml:space="preserve"> </w:t>
      </w:r>
      <w:r w:rsidR="005B6639" w:rsidRPr="00B23C50">
        <w:rPr>
          <w:spacing w:val="-2"/>
          <w:lang w:val="es-CR"/>
        </w:rPr>
        <w:t>y</w:t>
      </w:r>
      <w:r w:rsidR="005B6639" w:rsidRPr="00B23C50">
        <w:rPr>
          <w:i/>
          <w:spacing w:val="-2"/>
          <w:lang w:val="es-CR"/>
        </w:rPr>
        <w:t xml:space="preserve"> </w:t>
      </w:r>
      <w:r w:rsidR="005B6639" w:rsidRPr="00B23C50">
        <w:rPr>
          <w:spacing w:val="-2"/>
          <w:lang w:val="es-CR"/>
        </w:rPr>
        <w:t>fiables</w:t>
      </w:r>
      <w:r w:rsidR="00597028" w:rsidRPr="00B23C50">
        <w:rPr>
          <w:spacing w:val="-2"/>
          <w:lang w:val="es-CR"/>
        </w:rPr>
        <w:t xml:space="preserve"> l</w:t>
      </w:r>
      <w:r w:rsidR="005B6639" w:rsidRPr="00B23C50">
        <w:rPr>
          <w:spacing w:val="-2"/>
          <w:lang w:val="es-CR"/>
        </w:rPr>
        <w:t>o cual incidió de manera relevante en</w:t>
      </w:r>
      <w:r w:rsidR="005B6639" w:rsidRPr="00B23C50">
        <w:rPr>
          <w:b/>
          <w:spacing w:val="-2"/>
          <w:lang w:val="es-CR"/>
        </w:rPr>
        <w:t xml:space="preserve"> </w:t>
      </w:r>
      <w:r w:rsidR="005B6639" w:rsidRPr="00B23C50">
        <w:rPr>
          <w:spacing w:val="-2"/>
          <w:lang w:val="es-CR"/>
        </w:rPr>
        <w:t>la obstrucción del esclarecimiento de los hechos en el fuero interno y en la determinación de las responsabilidades correspondientes.</w:t>
      </w:r>
      <w:r w:rsidR="005B6639" w:rsidRPr="00B23C50">
        <w:rPr>
          <w:b/>
          <w:spacing w:val="-2"/>
          <w:lang w:val="es-CR"/>
        </w:rPr>
        <w:t xml:space="preserve"> </w:t>
      </w:r>
      <w:r w:rsidR="005B6639" w:rsidRPr="00B23C50">
        <w:rPr>
          <w:spacing w:val="-2"/>
          <w:lang w:val="es-CR"/>
        </w:rPr>
        <w:t>De igual manera, la Corte determinó que el Estado no proveyó un recurso judicial efectivo a los familiares de Igmar Landaeta, debido a la existencia de ciertos retrasos procesales en la prosecución del caso.</w:t>
      </w:r>
      <w:r w:rsidRPr="00C11971">
        <w:rPr>
          <w:spacing w:val="-2"/>
          <w:lang w:val="es-CR"/>
        </w:rPr>
        <w:t xml:space="preserve"> </w:t>
      </w:r>
      <w:r w:rsidR="005B6639" w:rsidRPr="00B23C50">
        <w:rPr>
          <w:spacing w:val="-2"/>
          <w:lang w:val="es-CR"/>
        </w:rPr>
        <w:t>Respecto</w:t>
      </w:r>
      <w:r w:rsidR="00597028" w:rsidRPr="00B23C50">
        <w:rPr>
          <w:spacing w:val="-2"/>
          <w:lang w:val="es-CR"/>
        </w:rPr>
        <w:t xml:space="preserve"> de las investigaciones y </w:t>
      </w:r>
      <w:r w:rsidR="00015D2B" w:rsidRPr="00B23C50">
        <w:rPr>
          <w:spacing w:val="-2"/>
          <w:lang w:val="es-CR"/>
        </w:rPr>
        <w:t>e</w:t>
      </w:r>
      <w:r w:rsidR="00597028" w:rsidRPr="00B23C50">
        <w:rPr>
          <w:spacing w:val="-2"/>
          <w:lang w:val="es-CR"/>
        </w:rPr>
        <w:t xml:space="preserve">l </w:t>
      </w:r>
      <w:r w:rsidR="00B86289" w:rsidRPr="00C11971">
        <w:rPr>
          <w:spacing w:val="-2"/>
          <w:lang w:val="es-CR"/>
        </w:rPr>
        <w:t>proceso</w:t>
      </w:r>
      <w:r w:rsidR="00597028" w:rsidRPr="00B23C50">
        <w:rPr>
          <w:spacing w:val="-2"/>
          <w:lang w:val="es-CR"/>
        </w:rPr>
        <w:t xml:space="preserve"> penal iniciado para esclarecer la muerte de </w:t>
      </w:r>
      <w:r w:rsidR="00015D2B" w:rsidRPr="00C11971">
        <w:rPr>
          <w:b/>
          <w:spacing w:val="-2"/>
          <w:lang w:val="es-CR"/>
        </w:rPr>
        <w:t>Eduardo</w:t>
      </w:r>
      <w:r w:rsidR="00374DFB" w:rsidRPr="00C11971">
        <w:rPr>
          <w:b/>
          <w:spacing w:val="-2"/>
          <w:lang w:val="es-CR"/>
        </w:rPr>
        <w:t xml:space="preserve"> Landaeta</w:t>
      </w:r>
      <w:r w:rsidR="00015D2B" w:rsidRPr="00B23C50">
        <w:rPr>
          <w:spacing w:val="-2"/>
          <w:lang w:val="es-CR"/>
        </w:rPr>
        <w:t xml:space="preserve">, </w:t>
      </w:r>
      <w:r w:rsidR="008A55DC" w:rsidRPr="00B23C50">
        <w:rPr>
          <w:rFonts w:cs="Arial"/>
          <w:spacing w:val="-2"/>
          <w:lang w:val="es-CR"/>
        </w:rPr>
        <w:t xml:space="preserve">el Tribunal concluyó que </w:t>
      </w:r>
      <w:r w:rsidR="008A55DC" w:rsidRPr="00B23C50">
        <w:rPr>
          <w:spacing w:val="-2"/>
          <w:lang w:val="es-CR"/>
        </w:rPr>
        <w:t xml:space="preserve">el Estado no llevó a cabo una averiguación diligente debido a falencias durante la recolección de pruebas, las cuales implicaron la actuación de diligencias de importancia más de ocho años después de sucedidos los hechos. Asimismo, el Tribunal determinó que el proceso penal presentó serios retrasos procesales e irregularidades destacadas por las propias autoridades internas. </w:t>
      </w:r>
      <w:r w:rsidR="00E20B54" w:rsidRPr="00B23C50">
        <w:rPr>
          <w:spacing w:val="-2"/>
          <w:lang w:val="es-CR"/>
        </w:rPr>
        <w:t>Por su parte,</w:t>
      </w:r>
      <w:r w:rsidR="008A55DC" w:rsidRPr="00B23C50">
        <w:rPr>
          <w:spacing w:val="-2"/>
          <w:lang w:val="es-CR"/>
        </w:rPr>
        <w:t xml:space="preserve"> la Corte estableció que el Estado no llevó a cabo ningún tipo de averiguación en virtud de la detención ilegal y arbitraria de Eduardo Landaeta ni por los indicios de tortura durante su detención.</w:t>
      </w:r>
    </w:p>
    <w:p w:rsidR="00015D2B" w:rsidRPr="00CA45C5" w:rsidRDefault="00E20B54" w:rsidP="00C11971">
      <w:pPr>
        <w:spacing w:after="120"/>
        <w:ind w:right="-120"/>
        <w:jc w:val="both"/>
        <w:rPr>
          <w:spacing w:val="-2"/>
          <w:lang w:val="es-CR"/>
        </w:rPr>
      </w:pPr>
      <w:r>
        <w:rPr>
          <w:spacing w:val="-2"/>
          <w:lang w:val="es-CR"/>
        </w:rPr>
        <w:t>E</w:t>
      </w:r>
      <w:r w:rsidR="00CA45C5" w:rsidRPr="00CA45C5">
        <w:rPr>
          <w:spacing w:val="-2"/>
          <w:lang w:val="es-CR"/>
        </w:rPr>
        <w:t xml:space="preserve">n relación con el derecho a la integridad personal de los familiares de los hermanos Landaeta Mejías, </w:t>
      </w:r>
      <w:r w:rsidR="004C4D89" w:rsidRPr="00CA45C5">
        <w:rPr>
          <w:spacing w:val="-2"/>
          <w:lang w:val="es-CR"/>
        </w:rPr>
        <w:t xml:space="preserve">el Tribunal </w:t>
      </w:r>
      <w:r w:rsidR="00CA45C5" w:rsidRPr="00CA45C5">
        <w:rPr>
          <w:spacing w:val="-2"/>
          <w:lang w:val="es-CR"/>
        </w:rPr>
        <w:t>consideró que las violaciones de los derechos reconocidos en la Sentencia, les generaron secuelas a nivel psicológico, personal y emocional. De igual manera, la falta de efectividad de las medidas adoptadas para esclarecer los hechos, provocaron en los familiares sufrimiento y angustia, además de un sentimiento de inseguridad, frustración e impotencia, afectando así su integridad psíquica y moral. En consecuencia, la Corte determinó que el Estado es responsable por la violación del artículo 5.1 de la Convención Americana, en relación con el artículo 1.1 de la misma, en perjuicio de</w:t>
      </w:r>
      <w:r w:rsidR="00EB124F">
        <w:rPr>
          <w:spacing w:val="-2"/>
          <w:lang w:val="es-CR"/>
        </w:rPr>
        <w:t xml:space="preserve"> los familiares de los hermanos Landaeta </w:t>
      </w:r>
      <w:r w:rsidR="00570689">
        <w:rPr>
          <w:spacing w:val="-2"/>
          <w:lang w:val="es-CR"/>
        </w:rPr>
        <w:t xml:space="preserve">Mejías, </w:t>
      </w:r>
      <w:r w:rsidR="00EB124F">
        <w:rPr>
          <w:spacing w:val="-2"/>
          <w:lang w:val="es-CR"/>
        </w:rPr>
        <w:t xml:space="preserve">acreditados </w:t>
      </w:r>
      <w:r w:rsidR="00570689">
        <w:rPr>
          <w:spacing w:val="-2"/>
          <w:lang w:val="es-CR"/>
        </w:rPr>
        <w:t xml:space="preserve">como parte lesionada </w:t>
      </w:r>
      <w:r w:rsidR="00EB124F">
        <w:rPr>
          <w:spacing w:val="-2"/>
          <w:lang w:val="es-CR"/>
        </w:rPr>
        <w:t>en la Sentencia.</w:t>
      </w:r>
    </w:p>
    <w:p w:rsidR="009D31D8" w:rsidRPr="009D31D8" w:rsidRDefault="009D31D8" w:rsidP="00C11971">
      <w:pPr>
        <w:pStyle w:val="ListParagraph"/>
        <w:tabs>
          <w:tab w:val="left" w:pos="567"/>
          <w:tab w:val="left" w:pos="2128"/>
        </w:tabs>
        <w:spacing w:after="120"/>
        <w:ind w:left="0" w:right="-120"/>
        <w:contextualSpacing/>
        <w:jc w:val="both"/>
        <w:rPr>
          <w:strike/>
          <w:spacing w:val="-2"/>
          <w:lang w:val="es-CR"/>
        </w:rPr>
      </w:pPr>
      <w:r>
        <w:rPr>
          <w:rFonts w:eastAsia="Batang"/>
          <w:lang w:val="es-CR" w:eastAsia="es-MX"/>
        </w:rPr>
        <w:t>En relación con las medidas de reparación integral ordenadas en el Fallo, l</w:t>
      </w:r>
      <w:r w:rsidR="002467BA" w:rsidRPr="00CA45C5">
        <w:rPr>
          <w:rFonts w:eastAsia="Batang"/>
          <w:lang w:val="es-CR" w:eastAsia="es-MX"/>
        </w:rPr>
        <w:t xml:space="preserve">a Corte estableció que su Sentencia constituye </w:t>
      </w:r>
      <w:r w:rsidR="002467BA" w:rsidRPr="00CA45C5">
        <w:rPr>
          <w:rFonts w:eastAsia="Batang"/>
          <w:i/>
          <w:lang w:val="es-CR" w:eastAsia="es-MX"/>
        </w:rPr>
        <w:t>per se</w:t>
      </w:r>
      <w:r w:rsidR="00F94D72" w:rsidRPr="00CA45C5">
        <w:rPr>
          <w:rFonts w:eastAsia="Batang"/>
          <w:lang w:val="es-CR" w:eastAsia="es-MX"/>
        </w:rPr>
        <w:t xml:space="preserve"> una forma de reparación</w:t>
      </w:r>
      <w:r>
        <w:rPr>
          <w:rFonts w:eastAsia="Batang"/>
          <w:lang w:val="es-CR" w:eastAsia="es-MX"/>
        </w:rPr>
        <w:t>. Asimismo,</w:t>
      </w:r>
      <w:r w:rsidR="00F94D72" w:rsidRPr="00CA45C5">
        <w:rPr>
          <w:rFonts w:eastAsia="Batang"/>
          <w:lang w:val="es-CR" w:eastAsia="es-MX"/>
        </w:rPr>
        <w:t xml:space="preserve"> </w:t>
      </w:r>
      <w:r w:rsidRPr="00CA45C5">
        <w:rPr>
          <w:rFonts w:eastAsia="Batang"/>
          <w:lang w:val="es-CR" w:eastAsia="es-MX"/>
        </w:rPr>
        <w:t>ordenó que el Estado debe: i)</w:t>
      </w:r>
      <w:r>
        <w:rPr>
          <w:rFonts w:eastAsia="Batang"/>
          <w:lang w:val="es-CR" w:eastAsia="es-MX"/>
        </w:rPr>
        <w:t xml:space="preserve"> en relación con </w:t>
      </w:r>
      <w:r w:rsidRPr="00D96691">
        <w:rPr>
          <w:rFonts w:eastAsia="Batang"/>
          <w:i/>
          <w:lang w:val="es-CR" w:eastAsia="es-MX"/>
        </w:rPr>
        <w:t xml:space="preserve">la </w:t>
      </w:r>
      <w:r w:rsidR="00E20B54">
        <w:rPr>
          <w:rFonts w:eastAsia="Batang"/>
          <w:i/>
          <w:lang w:val="es-CR" w:eastAsia="es-MX"/>
        </w:rPr>
        <w:t>O</w:t>
      </w:r>
      <w:r w:rsidRPr="00D96691">
        <w:rPr>
          <w:rFonts w:eastAsia="Batang"/>
          <w:i/>
          <w:lang w:val="es-CR" w:eastAsia="es-MX"/>
        </w:rPr>
        <w:t>bligación de investigar</w:t>
      </w:r>
      <w:r>
        <w:rPr>
          <w:rFonts w:eastAsia="Batang"/>
          <w:lang w:val="es-CR" w:eastAsia="es-MX"/>
        </w:rPr>
        <w:t xml:space="preserve">, </w:t>
      </w:r>
      <w:r w:rsidRPr="00D96691">
        <w:rPr>
          <w:rFonts w:eastAsia="Batang"/>
          <w:lang w:val="es-CR" w:eastAsia="es-MX"/>
        </w:rPr>
        <w:t xml:space="preserve">respecto de </w:t>
      </w:r>
      <w:r w:rsidRPr="00E55E8F">
        <w:rPr>
          <w:rFonts w:eastAsia="Batang"/>
          <w:lang w:val="es-CR" w:eastAsia="es-MX"/>
        </w:rPr>
        <w:t>Igmar Landaeta</w:t>
      </w:r>
      <w:r w:rsidR="00E20B54" w:rsidRPr="00E55E8F">
        <w:rPr>
          <w:rFonts w:eastAsia="Batang"/>
          <w:lang w:val="es-CR" w:eastAsia="es-MX"/>
        </w:rPr>
        <w:t>;</w:t>
      </w:r>
      <w:r w:rsidRPr="00E55E8F">
        <w:rPr>
          <w:rFonts w:eastAsia="Batang"/>
          <w:lang w:val="es-CR" w:eastAsia="es-MX"/>
        </w:rPr>
        <w:t xml:space="preserve"> reabrir</w:t>
      </w:r>
      <w:r w:rsidRPr="00E55E8F">
        <w:rPr>
          <w:spacing w:val="-2"/>
          <w:lang w:val="es-CR"/>
        </w:rPr>
        <w:t xml:space="preserve">, de oficio, la investigación, a fin de esclarecer los hechos y, en su caso, establecer la determinación de responsabilidades por la privación arbitraria de </w:t>
      </w:r>
      <w:r w:rsidR="00E20B54" w:rsidRPr="00C11971">
        <w:rPr>
          <w:spacing w:val="-2"/>
          <w:lang w:val="es-CR"/>
        </w:rPr>
        <w:t>su</w:t>
      </w:r>
      <w:r w:rsidRPr="00C11971">
        <w:rPr>
          <w:spacing w:val="-2"/>
          <w:lang w:val="es-CR"/>
        </w:rPr>
        <w:t xml:space="preserve"> vida, dentro de un plazo razonable. De igual manera, respecto de Eduardo Landaeta</w:t>
      </w:r>
      <w:r w:rsidR="00E20B54" w:rsidRPr="00C11971">
        <w:rPr>
          <w:spacing w:val="-2"/>
          <w:lang w:val="es-CR"/>
        </w:rPr>
        <w:t>;</w:t>
      </w:r>
      <w:r w:rsidRPr="00C11971">
        <w:rPr>
          <w:spacing w:val="-2"/>
          <w:lang w:val="es-CR"/>
        </w:rPr>
        <w:t xml:space="preserve"> continuar y concluir, en un plazo</w:t>
      </w:r>
      <w:r w:rsidRPr="00D96691">
        <w:rPr>
          <w:spacing w:val="-2"/>
          <w:lang w:val="es-CR"/>
        </w:rPr>
        <w:t xml:space="preserve"> razonable, la investigación de dichos hechos en la jurisdicción ordinaria, que permita efectivamente identificar, juzgar y, en su caso, sancionar a los responsables por la privación arbitraria de </w:t>
      </w:r>
      <w:r w:rsidR="00E20B54">
        <w:rPr>
          <w:spacing w:val="-2"/>
          <w:lang w:val="es-CR"/>
        </w:rPr>
        <w:t>su</w:t>
      </w:r>
      <w:r w:rsidR="00E20B54" w:rsidRPr="00D96691">
        <w:rPr>
          <w:spacing w:val="-2"/>
          <w:lang w:val="es-CR"/>
        </w:rPr>
        <w:t xml:space="preserve"> </w:t>
      </w:r>
      <w:r w:rsidRPr="00D96691">
        <w:rPr>
          <w:spacing w:val="-2"/>
          <w:lang w:val="es-CR"/>
        </w:rPr>
        <w:t>vida</w:t>
      </w:r>
      <w:r w:rsidR="00460719" w:rsidRPr="00E20B54">
        <w:rPr>
          <w:spacing w:val="-2"/>
          <w:lang w:val="es-CR"/>
        </w:rPr>
        <w:t>;</w:t>
      </w:r>
      <w:r w:rsidR="00460719" w:rsidRPr="00460719">
        <w:rPr>
          <w:spacing w:val="-2"/>
          <w:lang w:val="es-CR"/>
        </w:rPr>
        <w:t xml:space="preserve"> ii) </w:t>
      </w:r>
      <w:r w:rsidRPr="00CA45C5">
        <w:rPr>
          <w:rFonts w:eastAsia="Batang"/>
          <w:lang w:val="es-CR" w:eastAsia="es-MX"/>
        </w:rPr>
        <w:t xml:space="preserve">como medida de </w:t>
      </w:r>
      <w:r w:rsidRPr="00CA45C5">
        <w:rPr>
          <w:rFonts w:eastAsia="Batang"/>
          <w:i/>
          <w:lang w:val="es-CR" w:eastAsia="es-MX"/>
        </w:rPr>
        <w:t>Rehabilitación</w:t>
      </w:r>
      <w:r w:rsidRPr="00CA45C5">
        <w:rPr>
          <w:rFonts w:eastAsia="Batang"/>
          <w:lang w:val="es-CR" w:eastAsia="es-MX"/>
        </w:rPr>
        <w:t xml:space="preserve">, </w:t>
      </w:r>
      <w:r w:rsidRPr="00CA45C5">
        <w:rPr>
          <w:spacing w:val="-2"/>
          <w:lang w:val="es-CR"/>
        </w:rPr>
        <w:t>brindar gratuitamente, a través de sus instituciones de salud especializadas y de forma inmediata, el tratamiento psicoló</w:t>
      </w:r>
      <w:r>
        <w:rPr>
          <w:spacing w:val="-2"/>
          <w:lang w:val="es-CR"/>
        </w:rPr>
        <w:t>gico que requieran las víctimas</w:t>
      </w:r>
      <w:r w:rsidRPr="00CA45C5">
        <w:rPr>
          <w:spacing w:val="-2"/>
          <w:lang w:val="es-CR"/>
        </w:rPr>
        <w:t>; ii</w:t>
      </w:r>
      <w:r w:rsidR="00460719">
        <w:rPr>
          <w:spacing w:val="-2"/>
          <w:lang w:val="es-CR"/>
        </w:rPr>
        <w:t>i</w:t>
      </w:r>
      <w:r w:rsidRPr="00CA45C5">
        <w:rPr>
          <w:spacing w:val="-2"/>
          <w:lang w:val="es-CR"/>
        </w:rPr>
        <w:t xml:space="preserve">) como medidas de </w:t>
      </w:r>
      <w:r w:rsidRPr="00CA45C5">
        <w:rPr>
          <w:i/>
          <w:spacing w:val="-2"/>
          <w:lang w:val="es-CR"/>
        </w:rPr>
        <w:t>Satisfacción</w:t>
      </w:r>
      <w:r w:rsidRPr="00CA45C5">
        <w:rPr>
          <w:spacing w:val="-2"/>
          <w:lang w:val="es-CR"/>
        </w:rPr>
        <w:t>, realizar un reconocimiento de responsabilidad internacional y disculpas públicas, así como realizar las publicacione</w:t>
      </w:r>
      <w:r w:rsidR="00460719">
        <w:rPr>
          <w:spacing w:val="-2"/>
          <w:lang w:val="es-CR"/>
        </w:rPr>
        <w:t>s ordenadas en la Sentencia; iv</w:t>
      </w:r>
      <w:r w:rsidRPr="00CA45C5">
        <w:rPr>
          <w:spacing w:val="-2"/>
          <w:lang w:val="es-CR"/>
        </w:rPr>
        <w:t xml:space="preserve">) como </w:t>
      </w:r>
      <w:r w:rsidRPr="00CA45C5">
        <w:rPr>
          <w:i/>
          <w:spacing w:val="-2"/>
          <w:lang w:val="es-CR"/>
        </w:rPr>
        <w:t>Garantías de no repetición</w:t>
      </w:r>
      <w:r w:rsidRPr="00CA45C5">
        <w:rPr>
          <w:spacing w:val="-2"/>
          <w:lang w:val="es-CR"/>
        </w:rPr>
        <w:t xml:space="preserve">, la Corte </w:t>
      </w:r>
      <w:r w:rsidR="00460719">
        <w:rPr>
          <w:spacing w:val="-2"/>
          <w:lang w:val="es-CR"/>
        </w:rPr>
        <w:t xml:space="preserve">consideró importante </w:t>
      </w:r>
      <w:r w:rsidRPr="00CA45C5">
        <w:rPr>
          <w:spacing w:val="-2"/>
          <w:lang w:val="es-CR"/>
        </w:rPr>
        <w:t xml:space="preserve">que el Estado refuerce sus capacidades </w:t>
      </w:r>
      <w:r w:rsidRPr="00CA45C5">
        <w:rPr>
          <w:rFonts w:eastAsiaTheme="majorEastAsia" w:cstheme="majorBidi"/>
          <w:bCs/>
          <w:spacing w:val="-2"/>
          <w:lang w:val="es-CR"/>
        </w:rPr>
        <w:t>en la implementación del monitoreo y rendición de</w:t>
      </w:r>
      <w:r w:rsidRPr="00CA45C5">
        <w:rPr>
          <w:rFonts w:eastAsiaTheme="majorEastAsia" w:cstheme="majorBidi"/>
          <w:b/>
          <w:bCs/>
          <w:spacing w:val="-2"/>
          <w:lang w:val="es-CR"/>
        </w:rPr>
        <w:t xml:space="preserve"> </w:t>
      </w:r>
      <w:r w:rsidRPr="00CA45C5">
        <w:rPr>
          <w:rFonts w:eastAsiaTheme="majorEastAsia" w:cstheme="majorBidi"/>
          <w:bCs/>
          <w:spacing w:val="-2"/>
          <w:lang w:val="es-CR"/>
        </w:rPr>
        <w:t>cuentas de agentes policiales involucrados en episodios de uso de la fuerza, de conformidad con los estándares internacionales reflejados en el presente Fallo</w:t>
      </w:r>
      <w:r w:rsidR="00460719">
        <w:rPr>
          <w:spacing w:val="-2"/>
          <w:lang w:val="es-CR"/>
        </w:rPr>
        <w:t xml:space="preserve">, y </w:t>
      </w:r>
      <w:r w:rsidRPr="00CA45C5">
        <w:rPr>
          <w:spacing w:val="-2"/>
          <w:lang w:val="es-CR"/>
        </w:rPr>
        <w:t>v) como</w:t>
      </w:r>
      <w:r w:rsidR="00E20B54">
        <w:rPr>
          <w:spacing w:val="-2"/>
          <w:lang w:val="es-CR"/>
        </w:rPr>
        <w:t xml:space="preserve"> </w:t>
      </w:r>
      <w:r w:rsidR="00E20B54">
        <w:rPr>
          <w:i/>
          <w:spacing w:val="-2"/>
          <w:lang w:val="es-CR"/>
        </w:rPr>
        <w:t>I</w:t>
      </w:r>
      <w:r w:rsidR="00E20B54" w:rsidRPr="00CA45C5">
        <w:rPr>
          <w:i/>
          <w:spacing w:val="-2"/>
          <w:lang w:val="es-CR"/>
        </w:rPr>
        <w:t xml:space="preserve">ndemnizatoria </w:t>
      </w:r>
      <w:r w:rsidR="00E20B54">
        <w:rPr>
          <w:i/>
          <w:spacing w:val="-2"/>
          <w:lang w:val="es-CR"/>
        </w:rPr>
        <w:t>c</w:t>
      </w:r>
      <w:r w:rsidRPr="00CA45C5">
        <w:rPr>
          <w:i/>
          <w:spacing w:val="-2"/>
          <w:lang w:val="es-CR"/>
        </w:rPr>
        <w:t>ompensa</w:t>
      </w:r>
      <w:r w:rsidR="00E20B54">
        <w:rPr>
          <w:i/>
          <w:spacing w:val="-2"/>
          <w:lang w:val="es-CR"/>
        </w:rPr>
        <w:t>toria</w:t>
      </w:r>
      <w:r w:rsidRPr="00CA45C5">
        <w:rPr>
          <w:spacing w:val="-2"/>
          <w:lang w:val="es-CR"/>
        </w:rPr>
        <w:t xml:space="preserve">, pagar las cantidades fijadas por daño material e inmaterial, reintegro de costas y gastos, así como el reintegro al </w:t>
      </w:r>
      <w:r w:rsidRPr="00CA45C5">
        <w:rPr>
          <w:rFonts w:eastAsiaTheme="majorEastAsia" w:cstheme="majorBidi"/>
          <w:bCs/>
          <w:spacing w:val="-2"/>
          <w:lang w:val="es-CR"/>
        </w:rPr>
        <w:t>Fondo de Asistencia Legal de Víctimas, por los gastos incurridos.</w:t>
      </w:r>
    </w:p>
    <w:p w:rsidR="00CA45C5" w:rsidRPr="00CA45C5" w:rsidRDefault="00CA45C5" w:rsidP="00C11971">
      <w:pPr>
        <w:pStyle w:val="ListParagraph"/>
        <w:tabs>
          <w:tab w:val="left" w:pos="567"/>
          <w:tab w:val="left" w:pos="2128"/>
        </w:tabs>
        <w:spacing w:after="120"/>
        <w:ind w:left="0" w:right="-120"/>
        <w:contextualSpacing/>
        <w:jc w:val="both"/>
        <w:rPr>
          <w:spacing w:val="-2"/>
          <w:lang w:val="es-CR"/>
        </w:rPr>
      </w:pPr>
    </w:p>
    <w:p w:rsidR="00E05146" w:rsidRPr="00CA45C5" w:rsidRDefault="00035AA0" w:rsidP="00C11971">
      <w:pPr>
        <w:pStyle w:val="ListParagraph"/>
        <w:tabs>
          <w:tab w:val="left" w:pos="567"/>
          <w:tab w:val="left" w:pos="2128"/>
        </w:tabs>
        <w:spacing w:after="120"/>
        <w:ind w:left="0" w:right="-120"/>
        <w:jc w:val="both"/>
        <w:rPr>
          <w:rFonts w:cs="Verdana"/>
          <w:spacing w:val="-2"/>
          <w:lang w:val="es-CR"/>
        </w:rPr>
      </w:pPr>
      <w:r w:rsidRPr="00CA45C5">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rsidR="002467BA" w:rsidRDefault="002467BA" w:rsidP="00C11971">
      <w:pPr>
        <w:pStyle w:val="NoSpacing"/>
        <w:spacing w:after="120"/>
        <w:ind w:right="-120"/>
        <w:jc w:val="both"/>
        <w:rPr>
          <w:rFonts w:ascii="Verdana" w:eastAsia="Batang" w:hAnsi="Verdana"/>
          <w:sz w:val="20"/>
          <w:szCs w:val="20"/>
          <w:lang w:val="es-CR" w:eastAsia="es-MX"/>
        </w:rPr>
      </w:pPr>
      <w:r w:rsidRPr="00CA45C5">
        <w:rPr>
          <w:rFonts w:ascii="Verdana" w:eastAsia="Batang" w:hAnsi="Verdana"/>
          <w:sz w:val="20"/>
          <w:szCs w:val="20"/>
          <w:lang w:val="es-CR" w:eastAsia="es-MX"/>
        </w:rPr>
        <w:t>El texto íntegro de la Sentencia puede consultarse en el siguiente enla</w:t>
      </w:r>
      <w:r w:rsidR="00AE0C8C">
        <w:rPr>
          <w:rFonts w:ascii="Verdana" w:eastAsia="Batang" w:hAnsi="Verdana"/>
          <w:sz w:val="20"/>
          <w:szCs w:val="20"/>
          <w:lang w:val="es-CR" w:eastAsia="es-MX"/>
        </w:rPr>
        <w:t xml:space="preserve">ce: </w:t>
      </w:r>
      <w:hyperlink r:id="rId11" w:history="1">
        <w:r w:rsidR="00AE0C8C" w:rsidRPr="00112D96">
          <w:rPr>
            <w:rStyle w:val="Hyperlink"/>
            <w:rFonts w:ascii="Verdana" w:eastAsia="Batang" w:hAnsi="Verdana"/>
            <w:sz w:val="20"/>
            <w:szCs w:val="20"/>
            <w:lang w:val="es-CR" w:eastAsia="es-MX"/>
          </w:rPr>
          <w:t>http://www.corteidh.or.cr/index.php/es/casos-contenciosos</w:t>
        </w:r>
      </w:hyperlink>
    </w:p>
    <w:sectPr w:rsidR="002467BA" w:rsidSect="00374DFB">
      <w:headerReference w:type="default" r:id="rId12"/>
      <w:pgSz w:w="12240" w:h="15840"/>
      <w:pgMar w:top="1077" w:right="1077" w:bottom="1440" w:left="107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C15" w:rsidRDefault="005A6C15" w:rsidP="00A05735">
      <w:r>
        <w:separator/>
      </w:r>
    </w:p>
  </w:endnote>
  <w:endnote w:type="continuationSeparator" w:id="0">
    <w:p w:rsidR="005A6C15" w:rsidRDefault="005A6C15" w:rsidP="00A05735">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alatino-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C15" w:rsidRDefault="005A6C15" w:rsidP="00A05735">
      <w:r>
        <w:separator/>
      </w:r>
    </w:p>
  </w:footnote>
  <w:footnote w:type="continuationSeparator" w:id="0">
    <w:p w:rsidR="005A6C15" w:rsidRDefault="005A6C15" w:rsidP="00A05735">
      <w:r>
        <w:continuationSeparator/>
      </w:r>
    </w:p>
  </w:footnote>
  <w:footnote w:id="1">
    <w:p w:rsidR="003D4061" w:rsidRPr="00F5707A" w:rsidRDefault="003D4061" w:rsidP="00337285">
      <w:pPr>
        <w:pStyle w:val="Default"/>
        <w:jc w:val="both"/>
        <w:rPr>
          <w:iCs/>
          <w:sz w:val="16"/>
          <w:szCs w:val="16"/>
          <w:lang w:val="es-ES"/>
        </w:rPr>
      </w:pPr>
      <w:r w:rsidRPr="00F5707A">
        <w:rPr>
          <w:rStyle w:val="FootnoteReference"/>
          <w:rFonts w:cs="Times New Roman"/>
          <w:color w:val="auto"/>
          <w:sz w:val="16"/>
          <w:szCs w:val="20"/>
          <w:lang w:val="es-ES_tradnl"/>
        </w:rPr>
        <w:sym w:font="Symbol" w:char="F02A"/>
      </w:r>
      <w:r w:rsidRPr="00F5707A">
        <w:rPr>
          <w:lang w:val="es-ES"/>
        </w:rPr>
        <w:t xml:space="preserve"> </w:t>
      </w:r>
      <w:r w:rsidRPr="00F5707A">
        <w:rPr>
          <w:sz w:val="16"/>
          <w:szCs w:val="16"/>
          <w:lang w:val="es-ES"/>
        </w:rPr>
        <w:t>Integrada por los siguientes jueces</w:t>
      </w:r>
      <w:r w:rsidRPr="004748D8">
        <w:rPr>
          <w:sz w:val="16"/>
          <w:szCs w:val="16"/>
          <w:lang w:val="es-ES"/>
        </w:rPr>
        <w:t xml:space="preserve">: </w:t>
      </w:r>
      <w:r w:rsidRPr="004748D8">
        <w:rPr>
          <w:iCs/>
          <w:sz w:val="16"/>
          <w:szCs w:val="16"/>
          <w:lang w:val="es-ES"/>
        </w:rPr>
        <w:t>Humberto Antonio Sierra Porto</w:t>
      </w:r>
      <w:r w:rsidRPr="004748D8">
        <w:rPr>
          <w:sz w:val="16"/>
          <w:szCs w:val="16"/>
          <w:lang w:val="es-ES"/>
        </w:rPr>
        <w:t xml:space="preserve">, Presidente; </w:t>
      </w:r>
      <w:r w:rsidRPr="004748D8">
        <w:rPr>
          <w:iCs/>
          <w:sz w:val="16"/>
          <w:szCs w:val="16"/>
          <w:lang w:val="es-ES"/>
        </w:rPr>
        <w:t>Roberto F. Caldas</w:t>
      </w:r>
      <w:r w:rsidRPr="004748D8">
        <w:rPr>
          <w:sz w:val="16"/>
          <w:szCs w:val="16"/>
          <w:lang w:val="es-ES"/>
        </w:rPr>
        <w:t xml:space="preserve">, Vicepresidente; Manuel E. </w:t>
      </w:r>
      <w:r w:rsidR="007239E6">
        <w:rPr>
          <w:sz w:val="16"/>
          <w:szCs w:val="16"/>
          <w:lang w:val="es-ES"/>
        </w:rPr>
        <w:t>Ventura Robles, Juez; Eduardo Vi</w:t>
      </w:r>
      <w:bookmarkStart w:id="0" w:name="_GoBack"/>
      <w:bookmarkEnd w:id="0"/>
      <w:r w:rsidRPr="004748D8">
        <w:rPr>
          <w:sz w:val="16"/>
          <w:szCs w:val="16"/>
          <w:lang w:val="es-ES"/>
        </w:rPr>
        <w:t>o Grossi, Juez</w:t>
      </w:r>
      <w:r w:rsidRPr="004748D8">
        <w:rPr>
          <w:iCs/>
          <w:sz w:val="16"/>
          <w:szCs w:val="16"/>
          <w:lang w:val="es-ES"/>
        </w:rPr>
        <w:t xml:space="preserve">, y Eduardo Ferrer Mac-Gregor Poisot, Juez. Presentes, además, el Secretario del Tribunal Pablo Saavedra Alessandri y la Secretaria Adjunta Emilia Segares Rodríguez. </w:t>
      </w:r>
      <w:r w:rsidRPr="004748D8">
        <w:rPr>
          <w:bCs/>
          <w:sz w:val="16"/>
          <w:szCs w:val="16"/>
          <w:lang w:val="es-CR"/>
        </w:rPr>
        <w:t xml:space="preserve">Los jueces Diego García-Sayán y Alberto Pérez Pérez, </w:t>
      </w:r>
      <w:r w:rsidRPr="004748D8">
        <w:rPr>
          <w:bCs/>
          <w:sz w:val="16"/>
          <w:szCs w:val="16"/>
          <w:lang w:val="es-MX"/>
        </w:rPr>
        <w:t>se excusaron de conocer de la presente Sentencia de Excepciones Preliminares, Fondo, Reparaciones y Costas, debido, tanto a una excusa presentada, como por motivos de fuerza mayor, respectivamente.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0704"/>
      <w:docPartObj>
        <w:docPartGallery w:val="Page Numbers (Top of Page)"/>
        <w:docPartUnique/>
      </w:docPartObj>
    </w:sdtPr>
    <w:sdtContent>
      <w:p w:rsidR="003D4061" w:rsidRDefault="00110A6D">
        <w:pPr>
          <w:pStyle w:val="Header"/>
          <w:jc w:val="center"/>
        </w:pPr>
        <w:r>
          <w:fldChar w:fldCharType="begin"/>
        </w:r>
        <w:r w:rsidR="003D4061">
          <w:instrText xml:space="preserve"> PAGE   \* MERGEFORMAT </w:instrText>
        </w:r>
        <w:r>
          <w:fldChar w:fldCharType="separate"/>
        </w:r>
        <w:r w:rsidR="000B2598">
          <w:rPr>
            <w:noProof/>
          </w:rPr>
          <w:t>4</w:t>
        </w:r>
        <w:r>
          <w:rPr>
            <w:noProof/>
          </w:rPr>
          <w:fldChar w:fldCharType="end"/>
        </w:r>
      </w:p>
    </w:sdtContent>
  </w:sdt>
  <w:p w:rsidR="003D4061" w:rsidRDefault="003D40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D4F8C"/>
    <w:multiLevelType w:val="hybridMultilevel"/>
    <w:tmpl w:val="A030CC00"/>
    <w:lvl w:ilvl="0" w:tplc="5A780B6E">
      <w:start w:val="7"/>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680C15"/>
    <w:multiLevelType w:val="hybridMultilevel"/>
    <w:tmpl w:val="AE4E5A92"/>
    <w:lvl w:ilvl="0" w:tplc="E76EE724">
      <w:start w:val="1"/>
      <w:numFmt w:val="decimal"/>
      <w:lvlText w:val="%1."/>
      <w:lvlJc w:val="left"/>
      <w:pPr>
        <w:ind w:left="720" w:hanging="360"/>
      </w:pPr>
      <w:rPr>
        <w:rFonts w:ascii="Verdana" w:hAnsi="Verdana" w:hint="default"/>
        <w:b w:val="0"/>
        <w:i w:val="0"/>
        <w:strike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6ECE2AC3"/>
    <w:multiLevelType w:val="hybridMultilevel"/>
    <w:tmpl w:val="8C867516"/>
    <w:lvl w:ilvl="0" w:tplc="7556F916">
      <w:start w:val="1"/>
      <w:numFmt w:val="upperRoman"/>
      <w:lvlText w:val="%1."/>
      <w:lvlJc w:val="right"/>
      <w:pPr>
        <w:ind w:left="0" w:firstLine="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05735"/>
    <w:rsid w:val="000140FE"/>
    <w:rsid w:val="00015D2B"/>
    <w:rsid w:val="00027391"/>
    <w:rsid w:val="000301A4"/>
    <w:rsid w:val="00035AA0"/>
    <w:rsid w:val="00040411"/>
    <w:rsid w:val="0005166C"/>
    <w:rsid w:val="00065AD0"/>
    <w:rsid w:val="000A27F3"/>
    <w:rsid w:val="000B2598"/>
    <w:rsid w:val="000F1324"/>
    <w:rsid w:val="00110A6D"/>
    <w:rsid w:val="001214F8"/>
    <w:rsid w:val="00135384"/>
    <w:rsid w:val="00150A01"/>
    <w:rsid w:val="00184E0D"/>
    <w:rsid w:val="001A3C49"/>
    <w:rsid w:val="001C0FFE"/>
    <w:rsid w:val="001E10CD"/>
    <w:rsid w:val="001E3317"/>
    <w:rsid w:val="001F01E1"/>
    <w:rsid w:val="002206D8"/>
    <w:rsid w:val="00223CF0"/>
    <w:rsid w:val="00234072"/>
    <w:rsid w:val="00244299"/>
    <w:rsid w:val="0024531F"/>
    <w:rsid w:val="002467BA"/>
    <w:rsid w:val="0028789C"/>
    <w:rsid w:val="00293D7D"/>
    <w:rsid w:val="002A1F5E"/>
    <w:rsid w:val="002A4B57"/>
    <w:rsid w:val="002C7631"/>
    <w:rsid w:val="002D18D5"/>
    <w:rsid w:val="00316257"/>
    <w:rsid w:val="00320061"/>
    <w:rsid w:val="00320BCA"/>
    <w:rsid w:val="00337285"/>
    <w:rsid w:val="003416DB"/>
    <w:rsid w:val="00344E33"/>
    <w:rsid w:val="00357D9D"/>
    <w:rsid w:val="00364BB3"/>
    <w:rsid w:val="00366D9B"/>
    <w:rsid w:val="00374DFB"/>
    <w:rsid w:val="00386F27"/>
    <w:rsid w:val="003919EF"/>
    <w:rsid w:val="003922CD"/>
    <w:rsid w:val="003A24BB"/>
    <w:rsid w:val="003B1575"/>
    <w:rsid w:val="003C074C"/>
    <w:rsid w:val="003D4061"/>
    <w:rsid w:val="003E3B60"/>
    <w:rsid w:val="003E6146"/>
    <w:rsid w:val="003E71CD"/>
    <w:rsid w:val="003F23C2"/>
    <w:rsid w:val="004140C7"/>
    <w:rsid w:val="004156DE"/>
    <w:rsid w:val="00415D18"/>
    <w:rsid w:val="00426F82"/>
    <w:rsid w:val="00430152"/>
    <w:rsid w:val="00437B84"/>
    <w:rsid w:val="00460719"/>
    <w:rsid w:val="004665A6"/>
    <w:rsid w:val="004748D8"/>
    <w:rsid w:val="004930CC"/>
    <w:rsid w:val="00495613"/>
    <w:rsid w:val="004B103A"/>
    <w:rsid w:val="004C241D"/>
    <w:rsid w:val="004C4D89"/>
    <w:rsid w:val="005035DC"/>
    <w:rsid w:val="00504437"/>
    <w:rsid w:val="00511AB4"/>
    <w:rsid w:val="00525D0E"/>
    <w:rsid w:val="00526BD0"/>
    <w:rsid w:val="00542535"/>
    <w:rsid w:val="005604C8"/>
    <w:rsid w:val="00570689"/>
    <w:rsid w:val="00574EB3"/>
    <w:rsid w:val="00597028"/>
    <w:rsid w:val="005A4A69"/>
    <w:rsid w:val="005A6C15"/>
    <w:rsid w:val="005B2853"/>
    <w:rsid w:val="005B6639"/>
    <w:rsid w:val="005E5429"/>
    <w:rsid w:val="005E5DF4"/>
    <w:rsid w:val="005E72D5"/>
    <w:rsid w:val="005F2985"/>
    <w:rsid w:val="005F4226"/>
    <w:rsid w:val="0061670C"/>
    <w:rsid w:val="00622E5C"/>
    <w:rsid w:val="00666BD3"/>
    <w:rsid w:val="00672447"/>
    <w:rsid w:val="00672E6C"/>
    <w:rsid w:val="00676AB4"/>
    <w:rsid w:val="006835EB"/>
    <w:rsid w:val="006A45F8"/>
    <w:rsid w:val="006A6D29"/>
    <w:rsid w:val="006B6696"/>
    <w:rsid w:val="006C7162"/>
    <w:rsid w:val="007024F1"/>
    <w:rsid w:val="0071344F"/>
    <w:rsid w:val="00721BF5"/>
    <w:rsid w:val="007239E6"/>
    <w:rsid w:val="00733B8F"/>
    <w:rsid w:val="00734455"/>
    <w:rsid w:val="007401B2"/>
    <w:rsid w:val="007525E4"/>
    <w:rsid w:val="00755999"/>
    <w:rsid w:val="00774BFA"/>
    <w:rsid w:val="007753BC"/>
    <w:rsid w:val="007948DD"/>
    <w:rsid w:val="007973D4"/>
    <w:rsid w:val="007A6EC3"/>
    <w:rsid w:val="007B4754"/>
    <w:rsid w:val="007C6059"/>
    <w:rsid w:val="007D28F2"/>
    <w:rsid w:val="007D6B87"/>
    <w:rsid w:val="007E6CA9"/>
    <w:rsid w:val="007E6FB6"/>
    <w:rsid w:val="007F0EEA"/>
    <w:rsid w:val="007F2ABB"/>
    <w:rsid w:val="0082612D"/>
    <w:rsid w:val="0084715B"/>
    <w:rsid w:val="0086368D"/>
    <w:rsid w:val="0086378D"/>
    <w:rsid w:val="00891D0B"/>
    <w:rsid w:val="00896AA6"/>
    <w:rsid w:val="00896C71"/>
    <w:rsid w:val="008A1A07"/>
    <w:rsid w:val="008A55DC"/>
    <w:rsid w:val="008B3764"/>
    <w:rsid w:val="008B6D13"/>
    <w:rsid w:val="008B7403"/>
    <w:rsid w:val="008B783B"/>
    <w:rsid w:val="009152B1"/>
    <w:rsid w:val="00930720"/>
    <w:rsid w:val="00930BC6"/>
    <w:rsid w:val="0093280F"/>
    <w:rsid w:val="00941A50"/>
    <w:rsid w:val="0095077F"/>
    <w:rsid w:val="009645F1"/>
    <w:rsid w:val="009648AE"/>
    <w:rsid w:val="00966CBF"/>
    <w:rsid w:val="009679D9"/>
    <w:rsid w:val="009820DC"/>
    <w:rsid w:val="0099086A"/>
    <w:rsid w:val="009A5008"/>
    <w:rsid w:val="009A566F"/>
    <w:rsid w:val="009D31D8"/>
    <w:rsid w:val="009D5996"/>
    <w:rsid w:val="009D790E"/>
    <w:rsid w:val="009E2B74"/>
    <w:rsid w:val="009F6048"/>
    <w:rsid w:val="00A05735"/>
    <w:rsid w:val="00A4367D"/>
    <w:rsid w:val="00A557E3"/>
    <w:rsid w:val="00A80773"/>
    <w:rsid w:val="00A91ECA"/>
    <w:rsid w:val="00AB46A0"/>
    <w:rsid w:val="00AB5174"/>
    <w:rsid w:val="00AE0C8C"/>
    <w:rsid w:val="00AF0F97"/>
    <w:rsid w:val="00AF4289"/>
    <w:rsid w:val="00B11A65"/>
    <w:rsid w:val="00B23C50"/>
    <w:rsid w:val="00B467B4"/>
    <w:rsid w:val="00B500C6"/>
    <w:rsid w:val="00B644E5"/>
    <w:rsid w:val="00B70D6E"/>
    <w:rsid w:val="00B77A03"/>
    <w:rsid w:val="00B84C0E"/>
    <w:rsid w:val="00B86289"/>
    <w:rsid w:val="00B9216E"/>
    <w:rsid w:val="00B93572"/>
    <w:rsid w:val="00BA47BE"/>
    <w:rsid w:val="00BF11BB"/>
    <w:rsid w:val="00C11971"/>
    <w:rsid w:val="00C169A0"/>
    <w:rsid w:val="00C25E6D"/>
    <w:rsid w:val="00C43D64"/>
    <w:rsid w:val="00C47951"/>
    <w:rsid w:val="00C65209"/>
    <w:rsid w:val="00C73C38"/>
    <w:rsid w:val="00C946A8"/>
    <w:rsid w:val="00C97E0B"/>
    <w:rsid w:val="00CA4458"/>
    <w:rsid w:val="00CA45C5"/>
    <w:rsid w:val="00CC0871"/>
    <w:rsid w:val="00CE459F"/>
    <w:rsid w:val="00CF0CF0"/>
    <w:rsid w:val="00D473BF"/>
    <w:rsid w:val="00D92235"/>
    <w:rsid w:val="00D96691"/>
    <w:rsid w:val="00DC5A68"/>
    <w:rsid w:val="00DC6552"/>
    <w:rsid w:val="00DD1C3F"/>
    <w:rsid w:val="00DE6497"/>
    <w:rsid w:val="00E05146"/>
    <w:rsid w:val="00E20B54"/>
    <w:rsid w:val="00E45405"/>
    <w:rsid w:val="00E50865"/>
    <w:rsid w:val="00E52D84"/>
    <w:rsid w:val="00E55E8F"/>
    <w:rsid w:val="00E65545"/>
    <w:rsid w:val="00EB124F"/>
    <w:rsid w:val="00EC1E1D"/>
    <w:rsid w:val="00EC5764"/>
    <w:rsid w:val="00ED0458"/>
    <w:rsid w:val="00ED4055"/>
    <w:rsid w:val="00EE56AF"/>
    <w:rsid w:val="00EF014B"/>
    <w:rsid w:val="00F03ADF"/>
    <w:rsid w:val="00F07539"/>
    <w:rsid w:val="00F26289"/>
    <w:rsid w:val="00F302BE"/>
    <w:rsid w:val="00F42049"/>
    <w:rsid w:val="00F75D0F"/>
    <w:rsid w:val="00F805CA"/>
    <w:rsid w:val="00F90D10"/>
    <w:rsid w:val="00F94D72"/>
    <w:rsid w:val="00FB490B"/>
    <w:rsid w:val="00FB5682"/>
    <w:rsid w:val="00FC0F6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735"/>
    <w:pPr>
      <w:spacing w:after="0" w:line="240" w:lineRule="auto"/>
    </w:pPr>
    <w:rPr>
      <w:rFonts w:ascii="Verdana" w:eastAsia="Times New Roman" w:hAnsi="Verdana" w:cs="Times New Roman"/>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Párrafo de lista1"/>
    <w:basedOn w:val="Normal"/>
    <w:link w:val="ListParagraphChar"/>
    <w:uiPriority w:val="99"/>
    <w:qFormat/>
    <w:rsid w:val="00A05735"/>
    <w:pPr>
      <w:ind w:left="720"/>
    </w:pPr>
  </w:style>
  <w:style w:type="paragraph" w:customStyle="1" w:styleId="Default">
    <w:name w:val="Default"/>
    <w:rsid w:val="00A05735"/>
    <w:pPr>
      <w:autoSpaceDE w:val="0"/>
      <w:autoSpaceDN w:val="0"/>
      <w:adjustRightInd w:val="0"/>
      <w:spacing w:after="0" w:line="240" w:lineRule="auto"/>
    </w:pPr>
    <w:rPr>
      <w:rFonts w:ascii="Verdana" w:eastAsia="Times New Roman" w:hAnsi="Verdana" w:cs="Verdana"/>
      <w:color w:val="000000"/>
      <w:sz w:val="24"/>
      <w:szCs w:val="24"/>
      <w:lang w:val="en-U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qFormat/>
    <w:rsid w:val="00A05735"/>
    <w:rPr>
      <w:vertAlign w:val="superscript"/>
    </w:rPr>
  </w:style>
  <w:style w:type="character" w:customStyle="1" w:styleId="ListParagraphChar">
    <w:name w:val="List Paragraph Char"/>
    <w:aliases w:val="Footnote Char,Párrafo de lista1 Char"/>
    <w:basedOn w:val="DefaultParagraphFont"/>
    <w:link w:val="ListParagraph"/>
    <w:uiPriority w:val="99"/>
    <w:rsid w:val="00A05735"/>
    <w:rPr>
      <w:rFonts w:ascii="Verdana" w:eastAsia="Times New Roman" w:hAnsi="Verdana" w:cs="Times New Roman"/>
      <w:sz w:val="20"/>
      <w:szCs w:val="20"/>
      <w:lang w:val="es-ES_tradnl"/>
    </w:rPr>
  </w:style>
  <w:style w:type="paragraph" w:styleId="Header">
    <w:name w:val="header"/>
    <w:basedOn w:val="Normal"/>
    <w:link w:val="HeaderChar"/>
    <w:uiPriority w:val="99"/>
    <w:unhideWhenUsed/>
    <w:rsid w:val="00A05735"/>
    <w:pPr>
      <w:tabs>
        <w:tab w:val="center" w:pos="4680"/>
        <w:tab w:val="right" w:pos="9360"/>
      </w:tabs>
    </w:pPr>
  </w:style>
  <w:style w:type="character" w:customStyle="1" w:styleId="HeaderChar">
    <w:name w:val="Header Char"/>
    <w:basedOn w:val="DefaultParagraphFont"/>
    <w:link w:val="Header"/>
    <w:uiPriority w:val="99"/>
    <w:rsid w:val="00A05735"/>
    <w:rPr>
      <w:rFonts w:ascii="Verdana" w:eastAsia="Times New Roman" w:hAnsi="Verdana" w:cs="Times New Roman"/>
      <w:sz w:val="20"/>
      <w:szCs w:val="20"/>
      <w:lang w:val="es-ES_tradnl"/>
    </w:rPr>
  </w:style>
  <w:style w:type="paragraph" w:customStyle="1" w:styleId="Estilo1">
    <w:name w:val="Estilo1"/>
    <w:basedOn w:val="Normal"/>
    <w:link w:val="Estilo1Car"/>
    <w:qFormat/>
    <w:rsid w:val="00A05735"/>
    <w:pPr>
      <w:tabs>
        <w:tab w:val="left" w:pos="567"/>
        <w:tab w:val="left" w:pos="1134"/>
        <w:tab w:val="num" w:pos="6042"/>
      </w:tabs>
      <w:spacing w:after="120"/>
      <w:jc w:val="both"/>
    </w:pPr>
    <w:rPr>
      <w:rFonts w:eastAsia="Calibri"/>
      <w:lang w:val="es-ES"/>
    </w:rPr>
  </w:style>
  <w:style w:type="character" w:customStyle="1" w:styleId="Estilo1Car">
    <w:name w:val="Estilo1 Car"/>
    <w:link w:val="Estilo1"/>
    <w:rsid w:val="00A05735"/>
    <w:rPr>
      <w:rFonts w:ascii="Verdana" w:eastAsia="Calibri" w:hAnsi="Verdana" w:cs="Times New Roman"/>
      <w:sz w:val="20"/>
      <w:szCs w:val="20"/>
      <w:lang w:val="es-ES"/>
    </w:rPr>
  </w:style>
  <w:style w:type="paragraph" w:styleId="NoSpacing">
    <w:name w:val="No Spacing"/>
    <w:uiPriority w:val="1"/>
    <w:qFormat/>
    <w:rsid w:val="002467BA"/>
    <w:pPr>
      <w:spacing w:after="0" w:line="240" w:lineRule="auto"/>
    </w:pPr>
    <w:rPr>
      <w:rFonts w:ascii="Calibri" w:eastAsia="Calibri" w:hAnsi="Calibri" w:cs="Times New Roman"/>
      <w:lang w:val="en-US"/>
    </w:rPr>
  </w:style>
  <w:style w:type="paragraph" w:customStyle="1" w:styleId="ListParagraph1">
    <w:name w:val="List Paragraph1"/>
    <w:aliases w:val="Colorful List - Accent 11"/>
    <w:basedOn w:val="Normal"/>
    <w:uiPriority w:val="99"/>
    <w:qFormat/>
    <w:rsid w:val="002467BA"/>
    <w:pPr>
      <w:spacing w:after="200" w:line="276" w:lineRule="auto"/>
      <w:ind w:left="720"/>
    </w:pPr>
    <w:rPr>
      <w:rFonts w:ascii="Times New Roman" w:hAnsi="Times New Roman"/>
      <w:sz w:val="24"/>
      <w:szCs w:val="22"/>
      <w:lang w:val="en-US"/>
    </w:rPr>
  </w:style>
  <w:style w:type="paragraph" w:styleId="FootnoteText">
    <w:name w:val="footnote text"/>
    <w:aliases w:val="2. Footnote Text,Footnote Tesina,Footnote Text Char Char Char Char Char,Footnote Text Char Char Char Char,Footnote reference,FA Fu,Footnote Text Char Char Char,Footnote Text Cha,FA Fußnotentext,FA Fuﬂnotentext,Footnote Text Char Char,Ca,C"/>
    <w:basedOn w:val="Normal"/>
    <w:link w:val="FootnoteTextChar"/>
    <w:autoRedefine/>
    <w:uiPriority w:val="99"/>
    <w:unhideWhenUsed/>
    <w:qFormat/>
    <w:rsid w:val="002C7631"/>
    <w:pPr>
      <w:tabs>
        <w:tab w:val="left" w:pos="567"/>
      </w:tabs>
      <w:jc w:val="both"/>
    </w:pPr>
    <w:rPr>
      <w:rFonts w:ascii="Times New Roman" w:eastAsia="Batang" w:hAnsi="Times New Roman"/>
      <w:spacing w:val="-6"/>
      <w:sz w:val="16"/>
      <w:szCs w:val="16"/>
      <w:lang w:val="es-ES" w:eastAsia="es-ES"/>
    </w:rPr>
  </w:style>
  <w:style w:type="character" w:customStyle="1" w:styleId="FootnoteTextChar">
    <w:name w:val="Footnote Text Char"/>
    <w:aliases w:val="2. Footnote Text Char,Footnote Tesina Char,Footnote Text Char Char Char Char Char Char,Footnote Text Char Char Char Char Char1,Footnote reference Char,FA Fu Char,Footnote Text Char Char Char Char1,Footnote Text Cha Char,Ca Char,C Char"/>
    <w:basedOn w:val="DefaultParagraphFont"/>
    <w:link w:val="FootnoteText"/>
    <w:uiPriority w:val="99"/>
    <w:rsid w:val="002C7631"/>
    <w:rPr>
      <w:rFonts w:ascii="Times New Roman" w:eastAsia="Batang" w:hAnsi="Times New Roman" w:cs="Times New Roman"/>
      <w:spacing w:val="-6"/>
      <w:sz w:val="16"/>
      <w:szCs w:val="16"/>
      <w:lang w:val="es-ES" w:eastAsia="es-ES"/>
    </w:rPr>
  </w:style>
  <w:style w:type="paragraph" w:customStyle="1" w:styleId="Footnotes">
    <w:name w:val="**. Footnotes"/>
    <w:basedOn w:val="FootnoteText"/>
    <w:link w:val="FootnotesChar"/>
    <w:autoRedefine/>
    <w:qFormat/>
    <w:rsid w:val="006C7162"/>
    <w:pPr>
      <w:spacing w:before="120"/>
      <w:jc w:val="center"/>
    </w:pPr>
    <w:rPr>
      <w:rFonts w:ascii="Verdana" w:hAnsi="Verdana" w:cs="Palatino-Italic"/>
      <w:iCs/>
      <w:lang w:eastAsia="en-US"/>
    </w:rPr>
  </w:style>
  <w:style w:type="character" w:customStyle="1" w:styleId="FootnotesChar">
    <w:name w:val="**. Footnotes Char"/>
    <w:basedOn w:val="DefaultParagraphFont"/>
    <w:link w:val="Footnotes"/>
    <w:rsid w:val="006C7162"/>
    <w:rPr>
      <w:rFonts w:ascii="Verdana" w:eastAsia="Batang" w:hAnsi="Verdana" w:cs="Palatino-Italic"/>
      <w:iCs/>
      <w:spacing w:val="-6"/>
      <w:sz w:val="16"/>
      <w:szCs w:val="16"/>
      <w:lang w:val="es-ES"/>
    </w:rPr>
  </w:style>
  <w:style w:type="character" w:customStyle="1" w:styleId="apple-converted-space">
    <w:name w:val="apple-converted-space"/>
    <w:basedOn w:val="DefaultParagraphFont"/>
    <w:rsid w:val="005B6639"/>
  </w:style>
  <w:style w:type="paragraph" w:styleId="BalloonText">
    <w:name w:val="Balloon Text"/>
    <w:basedOn w:val="Normal"/>
    <w:link w:val="BalloonTextChar"/>
    <w:uiPriority w:val="99"/>
    <w:semiHidden/>
    <w:unhideWhenUsed/>
    <w:rsid w:val="003D4061"/>
    <w:rPr>
      <w:rFonts w:ascii="Tahoma" w:hAnsi="Tahoma" w:cs="Tahoma"/>
      <w:sz w:val="16"/>
      <w:szCs w:val="16"/>
    </w:rPr>
  </w:style>
  <w:style w:type="character" w:customStyle="1" w:styleId="BalloonTextChar">
    <w:name w:val="Balloon Text Char"/>
    <w:basedOn w:val="DefaultParagraphFont"/>
    <w:link w:val="BalloonText"/>
    <w:uiPriority w:val="99"/>
    <w:semiHidden/>
    <w:rsid w:val="003D4061"/>
    <w:rPr>
      <w:rFonts w:ascii="Tahoma" w:eastAsia="Times New Roman" w:hAnsi="Tahoma" w:cs="Tahoma"/>
      <w:sz w:val="16"/>
      <w:szCs w:val="16"/>
      <w:lang w:val="es-ES_tradnl"/>
    </w:rPr>
  </w:style>
  <w:style w:type="character" w:styleId="Hyperlink">
    <w:name w:val="Hyperlink"/>
    <w:basedOn w:val="DefaultParagraphFont"/>
    <w:uiPriority w:val="99"/>
    <w:unhideWhenUsed/>
    <w:rsid w:val="00AE0C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735"/>
    <w:pPr>
      <w:spacing w:after="0" w:line="240" w:lineRule="auto"/>
    </w:pPr>
    <w:rPr>
      <w:rFonts w:ascii="Verdana" w:eastAsia="Times New Roman" w:hAnsi="Verdana"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Párrafo de lista1"/>
    <w:basedOn w:val="Normal"/>
    <w:link w:val="PrrafodelistaCar"/>
    <w:uiPriority w:val="99"/>
    <w:qFormat/>
    <w:rsid w:val="00A05735"/>
    <w:pPr>
      <w:ind w:left="720"/>
    </w:pPr>
  </w:style>
  <w:style w:type="paragraph" w:customStyle="1" w:styleId="Default">
    <w:name w:val="Default"/>
    <w:rsid w:val="00A05735"/>
    <w:pPr>
      <w:autoSpaceDE w:val="0"/>
      <w:autoSpaceDN w:val="0"/>
      <w:adjustRightInd w:val="0"/>
      <w:spacing w:after="0" w:line="240" w:lineRule="auto"/>
    </w:pPr>
    <w:rPr>
      <w:rFonts w:ascii="Verdana" w:eastAsia="Times New Roman" w:hAnsi="Verdana" w:cs="Verdana"/>
      <w:color w:val="000000"/>
      <w:sz w:val="24"/>
      <w:szCs w:val="24"/>
      <w:lang w:val="en-US"/>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qFormat/>
    <w:rsid w:val="00A05735"/>
    <w:rPr>
      <w:vertAlign w:val="superscript"/>
    </w:rPr>
  </w:style>
  <w:style w:type="character" w:customStyle="1" w:styleId="PrrafodelistaCar">
    <w:name w:val="Párrafo de lista Car"/>
    <w:aliases w:val="Footnote Car,Párrafo de lista1 Car"/>
    <w:basedOn w:val="Fuentedeprrafopredeter"/>
    <w:link w:val="Prrafodelista"/>
    <w:uiPriority w:val="99"/>
    <w:rsid w:val="00A05735"/>
    <w:rPr>
      <w:rFonts w:ascii="Verdana" w:eastAsia="Times New Roman" w:hAnsi="Verdana" w:cs="Times New Roman"/>
      <w:sz w:val="20"/>
      <w:szCs w:val="20"/>
      <w:lang w:val="es-ES_tradnl"/>
    </w:rPr>
  </w:style>
  <w:style w:type="paragraph" w:styleId="Encabezado">
    <w:name w:val="header"/>
    <w:basedOn w:val="Normal"/>
    <w:link w:val="EncabezadoCar"/>
    <w:uiPriority w:val="99"/>
    <w:unhideWhenUsed/>
    <w:rsid w:val="00A05735"/>
    <w:pPr>
      <w:tabs>
        <w:tab w:val="center" w:pos="4680"/>
        <w:tab w:val="right" w:pos="9360"/>
      </w:tabs>
    </w:pPr>
  </w:style>
  <w:style w:type="character" w:customStyle="1" w:styleId="EncabezadoCar">
    <w:name w:val="Encabezado Car"/>
    <w:basedOn w:val="Fuentedeprrafopredeter"/>
    <w:link w:val="Encabezado"/>
    <w:uiPriority w:val="99"/>
    <w:rsid w:val="00A05735"/>
    <w:rPr>
      <w:rFonts w:ascii="Verdana" w:eastAsia="Times New Roman" w:hAnsi="Verdana" w:cs="Times New Roman"/>
      <w:sz w:val="20"/>
      <w:szCs w:val="20"/>
      <w:lang w:val="es-ES_tradnl"/>
    </w:rPr>
  </w:style>
  <w:style w:type="paragraph" w:customStyle="1" w:styleId="Estilo1">
    <w:name w:val="Estilo1"/>
    <w:basedOn w:val="Normal"/>
    <w:link w:val="Estilo1Car"/>
    <w:qFormat/>
    <w:rsid w:val="00A05735"/>
    <w:pPr>
      <w:tabs>
        <w:tab w:val="left" w:pos="567"/>
        <w:tab w:val="left" w:pos="1134"/>
        <w:tab w:val="num" w:pos="6042"/>
      </w:tabs>
      <w:spacing w:after="120"/>
      <w:jc w:val="both"/>
    </w:pPr>
    <w:rPr>
      <w:rFonts w:eastAsia="Calibri"/>
      <w:lang w:val="es-ES"/>
    </w:rPr>
  </w:style>
  <w:style w:type="character" w:customStyle="1" w:styleId="Estilo1Car">
    <w:name w:val="Estilo1 Car"/>
    <w:link w:val="Estilo1"/>
    <w:rsid w:val="00A05735"/>
    <w:rPr>
      <w:rFonts w:ascii="Verdana" w:eastAsia="Calibri" w:hAnsi="Verdana" w:cs="Times New Roman"/>
      <w:sz w:val="20"/>
      <w:szCs w:val="20"/>
      <w:lang w:val="es-ES"/>
    </w:rPr>
  </w:style>
  <w:style w:type="paragraph" w:styleId="Sinespaciado">
    <w:name w:val="No Spacing"/>
    <w:uiPriority w:val="1"/>
    <w:qFormat/>
    <w:rsid w:val="002467BA"/>
    <w:pPr>
      <w:spacing w:after="0" w:line="240" w:lineRule="auto"/>
    </w:pPr>
    <w:rPr>
      <w:rFonts w:ascii="Calibri" w:eastAsia="Calibri" w:hAnsi="Calibri" w:cs="Times New Roman"/>
      <w:lang w:val="en-US"/>
    </w:rPr>
  </w:style>
  <w:style w:type="paragraph" w:customStyle="1" w:styleId="ListParagraph1">
    <w:name w:val="List Paragraph1"/>
    <w:aliases w:val="Colorful List - Accent 11"/>
    <w:basedOn w:val="Normal"/>
    <w:uiPriority w:val="99"/>
    <w:qFormat/>
    <w:rsid w:val="002467BA"/>
    <w:pPr>
      <w:spacing w:after="200" w:line="276" w:lineRule="auto"/>
      <w:ind w:left="720"/>
    </w:pPr>
    <w:rPr>
      <w:rFonts w:ascii="Times New Roman" w:hAnsi="Times New Roman"/>
      <w:sz w:val="24"/>
      <w:szCs w:val="22"/>
      <w:lang w:val="en-US"/>
    </w:rPr>
  </w:style>
  <w:style w:type="paragraph" w:styleId="Textonotapie">
    <w:name w:val="footnote text"/>
    <w:aliases w:val="2. Footnote Text,Footnote Tesina,Footnote Text Char Char Char Char Char,Footnote Text Char Char Char Char,Footnote reference,FA Fu,Footnote Text Char Char Char,Footnote Text Cha,FA Fußnotentext,FA Fuﬂnotentext,Footnote Text Char Char,Ca,C"/>
    <w:basedOn w:val="Normal"/>
    <w:link w:val="TextonotapieCar"/>
    <w:autoRedefine/>
    <w:uiPriority w:val="99"/>
    <w:unhideWhenUsed/>
    <w:qFormat/>
    <w:rsid w:val="002C7631"/>
    <w:pPr>
      <w:tabs>
        <w:tab w:val="left" w:pos="567"/>
      </w:tabs>
      <w:jc w:val="both"/>
    </w:pPr>
    <w:rPr>
      <w:rFonts w:ascii="Times New Roman" w:eastAsia="Batang" w:hAnsi="Times New Roman"/>
      <w:spacing w:val="-6"/>
      <w:sz w:val="16"/>
      <w:szCs w:val="16"/>
      <w:lang w:val="es-ES" w:eastAsia="es-ES"/>
    </w:rPr>
  </w:style>
  <w:style w:type="character" w:customStyle="1" w:styleId="TextonotapieCar">
    <w:name w:val="Texto nota pie Car"/>
    <w:aliases w:val="2. Footnote Text Car,Footnote Tesina Car,Footnote Text Char Char Char Char Char Car,Footnote Text Char Char Char Char Car,Footnote reference Car,FA Fu Car,Footnote Text Char Char Char Car,Footnote Text Cha Car,FA Fußnotentext Car"/>
    <w:basedOn w:val="Fuentedeprrafopredeter"/>
    <w:link w:val="Textonotapie"/>
    <w:uiPriority w:val="99"/>
    <w:rsid w:val="002C7631"/>
    <w:rPr>
      <w:rFonts w:ascii="Times New Roman" w:eastAsia="Batang" w:hAnsi="Times New Roman" w:cs="Times New Roman"/>
      <w:spacing w:val="-6"/>
      <w:sz w:val="16"/>
      <w:szCs w:val="16"/>
      <w:lang w:val="es-ES" w:eastAsia="es-ES"/>
    </w:rPr>
  </w:style>
  <w:style w:type="paragraph" w:customStyle="1" w:styleId="Footnotes">
    <w:name w:val="**. Footnotes"/>
    <w:basedOn w:val="Textonotapie"/>
    <w:link w:val="FootnotesChar"/>
    <w:autoRedefine/>
    <w:qFormat/>
    <w:rsid w:val="006C7162"/>
    <w:pPr>
      <w:spacing w:before="120"/>
      <w:jc w:val="center"/>
    </w:pPr>
    <w:rPr>
      <w:rFonts w:ascii="Verdana" w:hAnsi="Verdana" w:cs="Palatino-Italic"/>
      <w:iCs/>
      <w:lang w:eastAsia="en-US"/>
    </w:rPr>
  </w:style>
  <w:style w:type="character" w:customStyle="1" w:styleId="FootnotesChar">
    <w:name w:val="**. Footnotes Char"/>
    <w:basedOn w:val="Fuentedeprrafopredeter"/>
    <w:link w:val="Footnotes"/>
    <w:rsid w:val="006C7162"/>
    <w:rPr>
      <w:rFonts w:ascii="Verdana" w:eastAsia="Batang" w:hAnsi="Verdana" w:cs="Palatino-Italic"/>
      <w:iCs/>
      <w:spacing w:val="-6"/>
      <w:sz w:val="16"/>
      <w:szCs w:val="16"/>
      <w:lang w:val="es-ES"/>
    </w:rPr>
  </w:style>
  <w:style w:type="character" w:customStyle="1" w:styleId="apple-converted-space">
    <w:name w:val="apple-converted-space"/>
    <w:basedOn w:val="Fuentedeprrafopredeter"/>
    <w:rsid w:val="005B6639"/>
  </w:style>
  <w:style w:type="paragraph" w:styleId="Textodeglobo">
    <w:name w:val="Balloon Text"/>
    <w:basedOn w:val="Normal"/>
    <w:link w:val="TextodegloboCar"/>
    <w:uiPriority w:val="99"/>
    <w:semiHidden/>
    <w:unhideWhenUsed/>
    <w:rsid w:val="003D4061"/>
    <w:rPr>
      <w:rFonts w:ascii="Tahoma" w:hAnsi="Tahoma" w:cs="Tahoma"/>
      <w:sz w:val="16"/>
      <w:szCs w:val="16"/>
    </w:rPr>
  </w:style>
  <w:style w:type="character" w:customStyle="1" w:styleId="TextodegloboCar">
    <w:name w:val="Texto de globo Car"/>
    <w:basedOn w:val="Fuentedeprrafopredeter"/>
    <w:link w:val="Textodeglobo"/>
    <w:uiPriority w:val="99"/>
    <w:semiHidden/>
    <w:rsid w:val="003D4061"/>
    <w:rPr>
      <w:rFonts w:ascii="Tahoma" w:eastAsia="Times New Roman" w:hAnsi="Tahoma" w:cs="Tahoma"/>
      <w:sz w:val="16"/>
      <w:szCs w:val="16"/>
      <w:lang w:val="es-ES_tradnl"/>
    </w:rPr>
  </w:style>
  <w:style w:type="character" w:styleId="Hipervnculo">
    <w:name w:val="Hyperlink"/>
    <w:basedOn w:val="Fuentedeprrafopredeter"/>
    <w:uiPriority w:val="99"/>
    <w:unhideWhenUsed/>
    <w:rsid w:val="00AE0C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rteidh.or.cr/index.php/es/casos-contenciosos" TargetMode="Externa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15BEBE2BF87F40A76A9C926EBECC0C" ma:contentTypeVersion="0" ma:contentTypeDescription="Create a new document." ma:contentTypeScope="" ma:versionID="ad8069bb81a7b5dc5c766ad6aa2648b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CB91B-E119-4CB1-B143-8532C5331CB3}">
  <ds:schemaRefs>
    <ds:schemaRef ds:uri="http://schemas.microsoft.com/office/2006/metadata/properties"/>
  </ds:schemaRefs>
</ds:datastoreItem>
</file>

<file path=customXml/itemProps2.xml><?xml version="1.0" encoding="utf-8"?>
<ds:datastoreItem xmlns:ds="http://schemas.openxmlformats.org/officeDocument/2006/customXml" ds:itemID="{40765193-5662-4102-96E1-2BE2651087F4}">
  <ds:schemaRefs>
    <ds:schemaRef ds:uri="http://schemas.microsoft.com/sharepoint/v3/contenttype/forms"/>
  </ds:schemaRefs>
</ds:datastoreItem>
</file>

<file path=customXml/itemProps3.xml><?xml version="1.0" encoding="utf-8"?>
<ds:datastoreItem xmlns:ds="http://schemas.openxmlformats.org/officeDocument/2006/customXml" ds:itemID="{44DB0CA2-F2A5-4D10-8853-24EBA6293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225B58B-1397-4D92-89B6-059D68F09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2804</Words>
  <Characters>15427</Characters>
  <Application>Microsoft Office Word</Application>
  <DocSecurity>0</DocSecurity>
  <Lines>128</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2</cp:revision>
  <cp:lastPrinted>2014-10-10T16:47:00Z</cp:lastPrinted>
  <dcterms:created xsi:type="dcterms:W3CDTF">2014-10-10T20:00:00Z</dcterms:created>
  <dcterms:modified xsi:type="dcterms:W3CDTF">2014-10-10T20:00:00Z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0x010100D015BEBE2BF87F40A76A9C926EBECC0C</vt:lpwstr>
  </property>
</Properties>
</file>