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5B71" w14:textId="66B429FD" w:rsidR="006420CA" w:rsidRPr="00387D3A" w:rsidRDefault="006420CA" w:rsidP="00EA5D2D">
      <w:pPr>
        <w:rPr>
          <w:rFonts w:eastAsia="ヒラギノ角ゴ Pro W3"/>
        </w:rPr>
      </w:pPr>
    </w:p>
    <w:p w14:paraId="53DBE69E" w14:textId="77777777" w:rsidR="004441B1" w:rsidRPr="00387D3A" w:rsidRDefault="004441B1"/>
    <w:p w14:paraId="47110833" w14:textId="77777777" w:rsidR="00EA5D2D" w:rsidRDefault="00EA5D2D" w:rsidP="006420CA">
      <w:pPr>
        <w:jc w:val="center"/>
        <w:rPr>
          <w:rFonts w:ascii="Verdana" w:hAnsi="Verdana" w:cs="Verdana"/>
          <w:b/>
          <w:bCs/>
          <w:snapToGrid w:val="0"/>
          <w:sz w:val="20"/>
          <w:szCs w:val="20"/>
          <w:lang w:eastAsia="es-ES"/>
        </w:rPr>
      </w:pPr>
    </w:p>
    <w:p w14:paraId="54374DEE" w14:textId="77777777" w:rsidR="00EA5D2D" w:rsidRDefault="00EA5D2D" w:rsidP="006420CA">
      <w:pPr>
        <w:jc w:val="center"/>
        <w:rPr>
          <w:rFonts w:ascii="Verdana" w:hAnsi="Verdana" w:cs="Verdana"/>
          <w:b/>
          <w:bCs/>
          <w:snapToGrid w:val="0"/>
          <w:sz w:val="20"/>
          <w:szCs w:val="20"/>
          <w:lang w:eastAsia="es-ES"/>
        </w:rPr>
      </w:pPr>
    </w:p>
    <w:p w14:paraId="1818A7AE" w14:textId="77777777" w:rsidR="00EA5D2D" w:rsidRDefault="00EA5D2D" w:rsidP="006420CA">
      <w:pPr>
        <w:jc w:val="center"/>
        <w:rPr>
          <w:rFonts w:ascii="Verdana" w:hAnsi="Verdana" w:cs="Verdana"/>
          <w:b/>
          <w:bCs/>
          <w:snapToGrid w:val="0"/>
          <w:sz w:val="20"/>
          <w:szCs w:val="20"/>
          <w:lang w:eastAsia="es-ES"/>
        </w:rPr>
      </w:pPr>
    </w:p>
    <w:p w14:paraId="70DA0385" w14:textId="77777777" w:rsidR="00EA5D2D" w:rsidRDefault="00EA5D2D" w:rsidP="006420CA">
      <w:pPr>
        <w:jc w:val="center"/>
        <w:rPr>
          <w:rFonts w:ascii="Verdana" w:hAnsi="Verdana" w:cs="Verdana"/>
          <w:b/>
          <w:bCs/>
          <w:snapToGrid w:val="0"/>
          <w:sz w:val="20"/>
          <w:szCs w:val="20"/>
          <w:lang w:eastAsia="es-ES"/>
        </w:rPr>
      </w:pPr>
    </w:p>
    <w:p w14:paraId="26360C69" w14:textId="77777777" w:rsidR="00EA5D2D" w:rsidRDefault="00EA5D2D" w:rsidP="006420CA">
      <w:pPr>
        <w:jc w:val="center"/>
        <w:rPr>
          <w:rFonts w:ascii="Verdana" w:hAnsi="Verdana" w:cs="Verdana"/>
          <w:b/>
          <w:bCs/>
          <w:snapToGrid w:val="0"/>
          <w:sz w:val="20"/>
          <w:szCs w:val="20"/>
          <w:lang w:eastAsia="es-ES"/>
        </w:rPr>
      </w:pPr>
    </w:p>
    <w:p w14:paraId="75B255CD" w14:textId="77777777" w:rsidR="00E87770" w:rsidRDefault="00E87770" w:rsidP="006420CA">
      <w:pPr>
        <w:jc w:val="center"/>
        <w:rPr>
          <w:rFonts w:ascii="Verdana" w:hAnsi="Verdana" w:cs="Verdana"/>
          <w:b/>
          <w:bCs/>
          <w:snapToGrid w:val="0"/>
          <w:sz w:val="20"/>
          <w:szCs w:val="20"/>
          <w:lang w:eastAsia="es-ES"/>
        </w:rPr>
      </w:pPr>
    </w:p>
    <w:p w14:paraId="7249C899" w14:textId="77777777" w:rsidR="00E87770" w:rsidRDefault="00E87770" w:rsidP="006420CA">
      <w:pPr>
        <w:jc w:val="center"/>
        <w:rPr>
          <w:rFonts w:ascii="Verdana" w:hAnsi="Verdana" w:cs="Verdana"/>
          <w:b/>
          <w:bCs/>
          <w:snapToGrid w:val="0"/>
          <w:sz w:val="20"/>
          <w:szCs w:val="20"/>
          <w:lang w:eastAsia="es-ES"/>
        </w:rPr>
      </w:pPr>
    </w:p>
    <w:p w14:paraId="362B1D41" w14:textId="55928D76" w:rsidR="006420CA" w:rsidRPr="00387D3A" w:rsidRDefault="006420CA" w:rsidP="006420CA">
      <w:pPr>
        <w:jc w:val="center"/>
        <w:rPr>
          <w:rFonts w:ascii="Verdana" w:hAnsi="Verdana" w:cs="Verdana"/>
          <w:b/>
          <w:bCs/>
          <w:caps/>
          <w:snapToGrid w:val="0"/>
          <w:sz w:val="20"/>
          <w:szCs w:val="20"/>
          <w:lang w:eastAsia="es-ES"/>
        </w:rPr>
      </w:pPr>
      <w:r w:rsidRPr="00387D3A">
        <w:rPr>
          <w:rFonts w:ascii="Verdana" w:hAnsi="Verdana" w:cs="Verdana"/>
          <w:b/>
          <w:bCs/>
          <w:snapToGrid w:val="0"/>
          <w:sz w:val="20"/>
          <w:szCs w:val="20"/>
          <w:lang w:eastAsia="es-ES"/>
        </w:rPr>
        <w:t>CORTE INTERAMERICANA DE DERECHOS HUMANOS</w:t>
      </w:r>
      <w:r w:rsidRPr="00387D3A">
        <w:rPr>
          <w:rStyle w:val="Refdenotaalpie"/>
          <w:b/>
          <w:snapToGrid w:val="0"/>
        </w:rPr>
        <w:footnoteReference w:customMarkFollows="1" w:id="1"/>
        <w:sym w:font="Symbol" w:char="F02A"/>
      </w:r>
    </w:p>
    <w:p w14:paraId="2F0E28FF" w14:textId="77777777" w:rsidR="006420CA" w:rsidRPr="00387D3A" w:rsidRDefault="006420CA" w:rsidP="00387D3A">
      <w:pPr>
        <w:pStyle w:val="Body1"/>
        <w:rPr>
          <w:rFonts w:ascii="Verdana" w:hAnsi="Verdana"/>
          <w:lang w:val="es-CR"/>
        </w:rPr>
      </w:pPr>
    </w:p>
    <w:p w14:paraId="4D478512" w14:textId="77777777" w:rsidR="006420CA" w:rsidRPr="00387D3A" w:rsidRDefault="006420CA" w:rsidP="00387D3A">
      <w:pPr>
        <w:pStyle w:val="Ttulo"/>
        <w:ind w:left="-142" w:right="-138"/>
        <w:rPr>
          <w:rFonts w:eastAsia="MS Mincho"/>
          <w:lang w:val="es-CR"/>
        </w:rPr>
      </w:pPr>
      <w:r w:rsidRPr="00387D3A">
        <w:rPr>
          <w:rFonts w:eastAsia="MS Mincho"/>
          <w:lang w:val="es-CR"/>
        </w:rPr>
        <w:t>CASO ESPINOZA GONZÁLES VS. PERÚ</w:t>
      </w:r>
    </w:p>
    <w:p w14:paraId="4BC8D37D" w14:textId="77777777" w:rsidR="006420CA" w:rsidRPr="00387D3A" w:rsidRDefault="006420CA" w:rsidP="00387D3A">
      <w:pPr>
        <w:jc w:val="both"/>
        <w:outlineLvl w:val="0"/>
        <w:rPr>
          <w:rFonts w:ascii="Verdana" w:eastAsia="ヒラギノ角ゴ Pro W3" w:hAnsi="Verdana"/>
          <w:b/>
          <w:color w:val="000000"/>
          <w:sz w:val="18"/>
          <w:szCs w:val="18"/>
        </w:rPr>
      </w:pPr>
    </w:p>
    <w:p w14:paraId="726634FA" w14:textId="77777777" w:rsidR="006420CA" w:rsidRPr="00387D3A" w:rsidRDefault="006420CA" w:rsidP="00387D3A">
      <w:pPr>
        <w:jc w:val="center"/>
        <w:outlineLvl w:val="0"/>
        <w:rPr>
          <w:rFonts w:ascii="Verdana" w:hAnsi="Verdana" w:cs="Verdana"/>
          <w:b/>
          <w:bCs/>
          <w:snapToGrid w:val="0"/>
          <w:sz w:val="20"/>
          <w:szCs w:val="20"/>
          <w:lang w:eastAsia="es-ES"/>
        </w:rPr>
      </w:pPr>
      <w:r w:rsidRPr="00387D3A">
        <w:rPr>
          <w:rFonts w:ascii="Verdana" w:hAnsi="Verdana" w:cs="Verdana"/>
          <w:b/>
          <w:bCs/>
          <w:snapToGrid w:val="0"/>
          <w:sz w:val="20"/>
          <w:szCs w:val="20"/>
          <w:lang w:eastAsia="es-ES"/>
        </w:rPr>
        <w:t>SENTENCIA DE 20 DE NOVIEMBRE DE 2014</w:t>
      </w:r>
    </w:p>
    <w:p w14:paraId="560B6177" w14:textId="77777777" w:rsidR="006420CA" w:rsidRPr="00387D3A" w:rsidRDefault="006420CA" w:rsidP="00387D3A">
      <w:pPr>
        <w:jc w:val="center"/>
        <w:rPr>
          <w:rFonts w:ascii="Verdana" w:hAnsi="Verdana" w:cs="Verdana"/>
          <w:b/>
          <w:bCs/>
          <w:caps/>
          <w:snapToGrid w:val="0"/>
          <w:sz w:val="20"/>
          <w:szCs w:val="20"/>
          <w:lang w:eastAsia="es-ES"/>
        </w:rPr>
      </w:pPr>
      <w:r w:rsidRPr="00387D3A">
        <w:rPr>
          <w:rFonts w:ascii="Verdana" w:hAnsi="Verdana" w:cs="Verdana"/>
          <w:b/>
          <w:bCs/>
          <w:i/>
          <w:snapToGrid w:val="0"/>
          <w:sz w:val="20"/>
          <w:szCs w:val="20"/>
          <w:lang w:eastAsia="es-ES"/>
        </w:rPr>
        <w:t xml:space="preserve">(Excepciones Preliminares, </w:t>
      </w:r>
      <w:r w:rsidRPr="00387D3A">
        <w:rPr>
          <w:rFonts w:ascii="Verdana" w:eastAsia="Batang" w:hAnsi="Verdana" w:cs="Verdana"/>
          <w:b/>
          <w:bCs/>
          <w:i/>
          <w:sz w:val="20"/>
        </w:rPr>
        <w:t>Fondo, Reparaciones y Costas</w:t>
      </w:r>
      <w:r w:rsidRPr="00387D3A">
        <w:rPr>
          <w:rFonts w:ascii="Verdana" w:hAnsi="Verdana" w:cs="Verdana"/>
          <w:b/>
          <w:bCs/>
          <w:snapToGrid w:val="0"/>
          <w:sz w:val="20"/>
          <w:szCs w:val="20"/>
          <w:lang w:eastAsia="es-ES"/>
        </w:rPr>
        <w:t>)</w:t>
      </w:r>
    </w:p>
    <w:p w14:paraId="0DA6FBCF" w14:textId="77777777" w:rsidR="006420CA" w:rsidRPr="00387D3A" w:rsidRDefault="006420CA" w:rsidP="00387D3A">
      <w:pPr>
        <w:jc w:val="center"/>
        <w:rPr>
          <w:rFonts w:ascii="Verdana" w:hAnsi="Verdana" w:cs="Verdana"/>
          <w:b/>
          <w:bCs/>
          <w:snapToGrid w:val="0"/>
          <w:sz w:val="20"/>
          <w:szCs w:val="20"/>
          <w:lang w:eastAsia="es-ES"/>
        </w:rPr>
      </w:pPr>
    </w:p>
    <w:p w14:paraId="5A16E50D" w14:textId="77777777" w:rsidR="006420CA" w:rsidRPr="00387D3A" w:rsidRDefault="006420CA" w:rsidP="00387D3A">
      <w:pPr>
        <w:jc w:val="center"/>
        <w:rPr>
          <w:rFonts w:ascii="Verdana" w:hAnsi="Verdana" w:cs="Verdana"/>
          <w:b/>
          <w:bCs/>
          <w:caps/>
          <w:snapToGrid w:val="0"/>
          <w:sz w:val="20"/>
          <w:szCs w:val="20"/>
          <w:lang w:eastAsia="es-ES"/>
        </w:rPr>
      </w:pPr>
      <w:r w:rsidRPr="00387D3A">
        <w:rPr>
          <w:rFonts w:ascii="Verdana" w:hAnsi="Verdana" w:cs="Verdana"/>
          <w:b/>
          <w:bCs/>
          <w:snapToGrid w:val="0"/>
          <w:sz w:val="20"/>
          <w:szCs w:val="20"/>
          <w:lang w:eastAsia="es-ES"/>
        </w:rPr>
        <w:t>RESUMEN OFICIAL EMITIDO POR LA CORTE INTERAMERICANA</w:t>
      </w:r>
    </w:p>
    <w:p w14:paraId="3B5E0E0C" w14:textId="77777777" w:rsidR="006420CA" w:rsidRPr="002F6F31" w:rsidRDefault="006420CA" w:rsidP="002F6F31">
      <w:pPr>
        <w:jc w:val="center"/>
        <w:rPr>
          <w:rFonts w:ascii="Verdana" w:hAnsi="Verdana"/>
          <w:sz w:val="20"/>
          <w:szCs w:val="20"/>
        </w:rPr>
      </w:pPr>
    </w:p>
    <w:p w14:paraId="224DB289" w14:textId="77777777" w:rsidR="00410A10" w:rsidRPr="002F6F31" w:rsidRDefault="006420CA" w:rsidP="002F6F31">
      <w:pPr>
        <w:pStyle w:val="PrrafodeSentencia"/>
        <w:spacing w:before="0" w:after="0"/>
        <w:rPr>
          <w:color w:val="000000" w:themeColor="text1"/>
          <w:spacing w:val="-2"/>
          <w:lang w:val="es-CR" w:eastAsia="es-CR"/>
        </w:rPr>
      </w:pPr>
      <w:r w:rsidRPr="002F6F31">
        <w:rPr>
          <w:lang w:val="es-CR"/>
        </w:rPr>
        <w:t>El 20 de noviembre de 2014 la Corte Int</w:t>
      </w:r>
      <w:r w:rsidR="004268AB" w:rsidRPr="002F6F31">
        <w:rPr>
          <w:lang w:val="es-CR"/>
        </w:rPr>
        <w:t xml:space="preserve">eramericana de Derechos Humanos </w:t>
      </w:r>
      <w:r w:rsidRPr="002F6F31">
        <w:rPr>
          <w:lang w:val="es-CR"/>
        </w:rPr>
        <w:t>dictó Sentencia</w:t>
      </w:r>
      <w:r w:rsidR="00410A10" w:rsidRPr="002F6F31">
        <w:rPr>
          <w:lang w:val="es-CR"/>
        </w:rPr>
        <w:t>,</w:t>
      </w:r>
      <w:r w:rsidRPr="002F6F31">
        <w:rPr>
          <w:lang w:val="es-CR"/>
        </w:rPr>
        <w:t xml:space="preserve"> mediante la cual declaró responsable internacionalmente al Estado</w:t>
      </w:r>
      <w:r w:rsidR="00410A10" w:rsidRPr="002F6F31">
        <w:rPr>
          <w:lang w:val="es-CR"/>
        </w:rPr>
        <w:t xml:space="preserve"> del Perú</w:t>
      </w:r>
      <w:r w:rsidRPr="002F6F31">
        <w:rPr>
          <w:lang w:val="es-CR"/>
        </w:rPr>
        <w:t xml:space="preserve"> por l</w:t>
      </w:r>
      <w:r w:rsidR="00410A10" w:rsidRPr="002F6F31">
        <w:rPr>
          <w:lang w:val="es-CR"/>
        </w:rPr>
        <w:t xml:space="preserve">a </w:t>
      </w:r>
      <w:r w:rsidR="00410A10" w:rsidRPr="002F6F31">
        <w:rPr>
          <w:rFonts w:cs="Times"/>
          <w:color w:val="000000" w:themeColor="text1"/>
          <w:spacing w:val="-2"/>
          <w:lang w:val="es-CR"/>
        </w:rPr>
        <w:t xml:space="preserve">violación de los </w:t>
      </w:r>
      <w:r w:rsidR="00410A10" w:rsidRPr="002F6F31">
        <w:rPr>
          <w:spacing w:val="-2"/>
          <w:lang w:val="es-CR"/>
        </w:rPr>
        <w:t>derechos</w:t>
      </w:r>
      <w:r w:rsidR="00410A10" w:rsidRPr="002F6F31">
        <w:rPr>
          <w:rFonts w:cs="Times"/>
          <w:color w:val="000000" w:themeColor="text1"/>
          <w:spacing w:val="-2"/>
          <w:lang w:val="es-CR"/>
        </w:rPr>
        <w:t xml:space="preserve"> a la</w:t>
      </w:r>
      <w:r w:rsidR="00410A10" w:rsidRPr="002F6F31">
        <w:rPr>
          <w:color w:val="000000" w:themeColor="text1"/>
          <w:spacing w:val="-2"/>
          <w:lang w:val="es-CR" w:eastAsia="es-CR"/>
        </w:rPr>
        <w:t xml:space="preserve"> libertad personal, </w:t>
      </w:r>
      <w:r w:rsidR="00410A10" w:rsidRPr="002F6F31">
        <w:rPr>
          <w:color w:val="000000" w:themeColor="text1"/>
          <w:spacing w:val="-2"/>
          <w:lang w:val="es-CR"/>
        </w:rPr>
        <w:t xml:space="preserve">integridad personal, </w:t>
      </w:r>
      <w:r w:rsidR="00410A10" w:rsidRPr="002F6F31">
        <w:rPr>
          <w:color w:val="000000" w:themeColor="text1"/>
          <w:spacing w:val="-2"/>
          <w:lang w:val="es-CR" w:eastAsia="es-ES"/>
        </w:rPr>
        <w:t xml:space="preserve">protección de la honra y dignidad, </w:t>
      </w:r>
      <w:r w:rsidR="00882C25" w:rsidRPr="002F6F31">
        <w:rPr>
          <w:color w:val="000000" w:themeColor="text1"/>
          <w:spacing w:val="-2"/>
          <w:lang w:val="es-CR"/>
        </w:rPr>
        <w:t>garantías judiciales y</w:t>
      </w:r>
      <w:r w:rsidR="00410A10" w:rsidRPr="002F6F31">
        <w:rPr>
          <w:color w:val="000000" w:themeColor="text1"/>
          <w:spacing w:val="-2"/>
          <w:lang w:val="es-CR"/>
        </w:rPr>
        <w:t xml:space="preserve"> protección judicial, así como por el </w:t>
      </w:r>
      <w:r w:rsidR="00410A10" w:rsidRPr="002F6F31">
        <w:rPr>
          <w:rFonts w:cs="Consolas"/>
          <w:spacing w:val="-2"/>
          <w:lang w:val="es-CR"/>
        </w:rPr>
        <w:t>incumplimiento del deber de no discriminar</w:t>
      </w:r>
      <w:r w:rsidR="00882C25" w:rsidRPr="002F6F31">
        <w:rPr>
          <w:rFonts w:cs="Consolas"/>
          <w:spacing w:val="-2"/>
          <w:lang w:val="es-CR"/>
        </w:rPr>
        <w:t>, todos</w:t>
      </w:r>
      <w:r w:rsidR="00410A10" w:rsidRPr="002F6F31">
        <w:rPr>
          <w:color w:val="000000" w:themeColor="text1"/>
          <w:spacing w:val="-2"/>
          <w:lang w:val="es-CR" w:eastAsia="es-CR"/>
        </w:rPr>
        <w:t xml:space="preserve"> en perjuicio de </w:t>
      </w:r>
      <w:r w:rsidR="00882C25" w:rsidRPr="002F6F31">
        <w:rPr>
          <w:color w:val="000000" w:themeColor="text1"/>
          <w:spacing w:val="-2"/>
          <w:lang w:val="es-CR" w:eastAsia="es-CR"/>
        </w:rPr>
        <w:t xml:space="preserve">Gladys Carol Espinoza Gonzáles. Además, </w:t>
      </w:r>
      <w:r w:rsidR="00CC4FE7">
        <w:rPr>
          <w:color w:val="000000" w:themeColor="text1"/>
          <w:spacing w:val="-2"/>
          <w:lang w:val="es-CR" w:eastAsia="es-CR"/>
        </w:rPr>
        <w:t xml:space="preserve">declaró </w:t>
      </w:r>
      <w:r w:rsidR="00CB3C02">
        <w:rPr>
          <w:color w:val="000000" w:themeColor="text1"/>
          <w:spacing w:val="-2"/>
          <w:lang w:val="es-CR" w:eastAsia="es-CR"/>
        </w:rPr>
        <w:t>la</w:t>
      </w:r>
      <w:r w:rsidR="00CC4FE7">
        <w:rPr>
          <w:color w:val="000000" w:themeColor="text1"/>
          <w:spacing w:val="-2"/>
          <w:lang w:val="es-CR" w:eastAsia="es-CR"/>
        </w:rPr>
        <w:t xml:space="preserve"> responsabilidad </w:t>
      </w:r>
      <w:r w:rsidR="00CB3C02">
        <w:rPr>
          <w:color w:val="000000" w:themeColor="text1"/>
          <w:spacing w:val="-2"/>
          <w:lang w:val="es-CR" w:eastAsia="es-CR"/>
        </w:rPr>
        <w:t xml:space="preserve">del Perú </w:t>
      </w:r>
      <w:r w:rsidR="00882C25" w:rsidRPr="002F6F31">
        <w:rPr>
          <w:color w:val="000000" w:themeColor="text1"/>
          <w:spacing w:val="-2"/>
          <w:lang w:val="es-CR" w:eastAsia="es-CR"/>
        </w:rPr>
        <w:t xml:space="preserve">por la violación del derecho a </w:t>
      </w:r>
      <w:r w:rsidR="00882C25" w:rsidRPr="002F6F31">
        <w:rPr>
          <w:color w:val="000000" w:themeColor="text1"/>
          <w:spacing w:val="-2"/>
          <w:lang w:val="es-CR"/>
        </w:rPr>
        <w:t>la integridad personal de Teodora Gonzáles de Espinoza y Manuel Espinoza Gonzáles</w:t>
      </w:r>
      <w:r w:rsidR="00CB3C02">
        <w:rPr>
          <w:color w:val="000000" w:themeColor="text1"/>
          <w:spacing w:val="-2"/>
          <w:lang w:val="es-CR"/>
        </w:rPr>
        <w:t>, madre y hermano de Gladys Espinoza</w:t>
      </w:r>
      <w:r w:rsidR="00882C25" w:rsidRPr="002F6F31">
        <w:rPr>
          <w:color w:val="000000" w:themeColor="text1"/>
          <w:spacing w:val="-2"/>
          <w:lang w:val="es-CR"/>
        </w:rPr>
        <w:t>.</w:t>
      </w:r>
    </w:p>
    <w:p w14:paraId="19C6F2E3" w14:textId="77777777" w:rsidR="006420CA" w:rsidRPr="002F6F31" w:rsidRDefault="006420CA" w:rsidP="002F6F31">
      <w:pPr>
        <w:pStyle w:val="PrrafodeSentencia"/>
        <w:spacing w:before="0" w:after="0"/>
        <w:rPr>
          <w:lang w:val="es-CR"/>
        </w:rPr>
      </w:pPr>
    </w:p>
    <w:p w14:paraId="00609C07" w14:textId="77777777" w:rsidR="006C4E07" w:rsidRPr="002F6F31" w:rsidRDefault="006C4E07" w:rsidP="002F6F31">
      <w:pPr>
        <w:pStyle w:val="Prrafodelista"/>
        <w:numPr>
          <w:ilvl w:val="0"/>
          <w:numId w:val="1"/>
        </w:numPr>
        <w:jc w:val="both"/>
        <w:rPr>
          <w:rFonts w:ascii="Verdana" w:hAnsi="Verdana"/>
          <w:sz w:val="20"/>
          <w:szCs w:val="20"/>
        </w:rPr>
      </w:pPr>
      <w:r w:rsidRPr="002F6F31">
        <w:rPr>
          <w:rFonts w:ascii="Verdana" w:eastAsia="Calibri" w:hAnsi="Verdana"/>
          <w:b/>
          <w:spacing w:val="-2"/>
          <w:sz w:val="20"/>
          <w:szCs w:val="20"/>
        </w:rPr>
        <w:t>Hechos</w:t>
      </w:r>
    </w:p>
    <w:p w14:paraId="154E5671" w14:textId="77777777" w:rsidR="003D68F4" w:rsidRPr="002F6F31" w:rsidRDefault="003D68F4" w:rsidP="002F6F31">
      <w:pPr>
        <w:contextualSpacing/>
        <w:jc w:val="both"/>
        <w:rPr>
          <w:rFonts w:ascii="Verdana" w:eastAsia="Calibri" w:hAnsi="Verdana"/>
          <w:spacing w:val="-2"/>
          <w:sz w:val="20"/>
          <w:szCs w:val="20"/>
        </w:rPr>
      </w:pPr>
    </w:p>
    <w:p w14:paraId="7956F2BB" w14:textId="77777777" w:rsidR="00F354B0" w:rsidRPr="002F6F31" w:rsidRDefault="002F0AD7" w:rsidP="002F6F31">
      <w:pPr>
        <w:contextualSpacing/>
        <w:jc w:val="both"/>
        <w:rPr>
          <w:rFonts w:ascii="Verdana" w:eastAsia="Calibri" w:hAnsi="Verdana" w:cs="FPNLKG+TimesNewRoman"/>
          <w:spacing w:val="-2"/>
          <w:sz w:val="20"/>
          <w:szCs w:val="20"/>
        </w:rPr>
      </w:pPr>
      <w:r w:rsidRPr="002F6F31">
        <w:rPr>
          <w:rFonts w:ascii="Verdana" w:eastAsia="Calibri" w:hAnsi="Verdana"/>
          <w:spacing w:val="-2"/>
          <w:sz w:val="20"/>
          <w:szCs w:val="20"/>
        </w:rPr>
        <w:t>E</w:t>
      </w:r>
      <w:r w:rsidR="002E138B" w:rsidRPr="002F6F31">
        <w:rPr>
          <w:rFonts w:ascii="Verdana" w:eastAsia="Calibri" w:hAnsi="Verdana"/>
          <w:spacing w:val="-2"/>
          <w:sz w:val="20"/>
          <w:szCs w:val="20"/>
        </w:rPr>
        <w:t>n el marco del conflicto entre grupos armados y agentes de las fuerzas policiales y militares que se vivió en el Perú e</w:t>
      </w:r>
      <w:r w:rsidR="00860E93" w:rsidRPr="002F6F31">
        <w:rPr>
          <w:rFonts w:ascii="Verdana" w:eastAsia="Calibri" w:hAnsi="Verdana"/>
          <w:spacing w:val="-2"/>
          <w:sz w:val="20"/>
          <w:szCs w:val="20"/>
        </w:rPr>
        <w:t>ntre 1980 y 2000</w:t>
      </w:r>
      <w:r w:rsidR="003D1B6A">
        <w:rPr>
          <w:rFonts w:ascii="Verdana" w:eastAsia="Calibri" w:hAnsi="Verdana"/>
          <w:spacing w:val="-2"/>
          <w:sz w:val="20"/>
          <w:szCs w:val="20"/>
        </w:rPr>
        <w:t>,</w:t>
      </w:r>
      <w:r w:rsidR="002E138B" w:rsidRPr="002F6F31">
        <w:rPr>
          <w:rFonts w:ascii="Verdana" w:eastAsia="Calibri" w:hAnsi="Verdana"/>
          <w:spacing w:val="-2"/>
          <w:sz w:val="20"/>
          <w:szCs w:val="20"/>
        </w:rPr>
        <w:t xml:space="preserve"> la</w:t>
      </w:r>
      <w:r w:rsidR="00860E93" w:rsidRPr="002F6F31">
        <w:rPr>
          <w:rFonts w:ascii="Verdana" w:eastAsia="Calibri" w:hAnsi="Verdana"/>
          <w:spacing w:val="-2"/>
          <w:sz w:val="20"/>
          <w:szCs w:val="20"/>
        </w:rPr>
        <w:t xml:space="preserve"> tortura y otros tratos o penas crueles, inh</w:t>
      </w:r>
      <w:r w:rsidR="00A036FC" w:rsidRPr="002F6F31">
        <w:rPr>
          <w:rFonts w:ascii="Verdana" w:eastAsia="Calibri" w:hAnsi="Verdana"/>
          <w:spacing w:val="-2"/>
          <w:sz w:val="20"/>
          <w:szCs w:val="20"/>
        </w:rPr>
        <w:t>umanos o degradantes</w:t>
      </w:r>
      <w:r w:rsidR="002E138B" w:rsidRPr="002F6F31">
        <w:rPr>
          <w:rFonts w:ascii="Verdana" w:eastAsia="Calibri" w:hAnsi="Verdana"/>
          <w:spacing w:val="-2"/>
          <w:sz w:val="20"/>
          <w:szCs w:val="20"/>
        </w:rPr>
        <w:t xml:space="preserve"> constituyeron una práctica sistemática y generalizada y se utilizaron como instrumento de la lucha contrasubversiva en el marco de investigaciones criminales por los delitos de traición a la patria y terrorismo</w:t>
      </w:r>
      <w:r w:rsidR="00AC5355" w:rsidRPr="002F6F31">
        <w:rPr>
          <w:rFonts w:ascii="Verdana" w:eastAsia="Calibri" w:hAnsi="Verdana"/>
          <w:spacing w:val="-2"/>
          <w:sz w:val="20"/>
          <w:szCs w:val="20"/>
        </w:rPr>
        <w:t>. En particular, se produjeron numerosos actos que configuraron una práctica generalizada y aberrante de violación sexual y o</w:t>
      </w:r>
      <w:r w:rsidR="00120D72" w:rsidRPr="002F6F31">
        <w:rPr>
          <w:rFonts w:ascii="Verdana" w:eastAsia="Calibri" w:hAnsi="Verdana"/>
          <w:spacing w:val="-2"/>
          <w:sz w:val="20"/>
          <w:szCs w:val="20"/>
        </w:rPr>
        <w:t>tras formas de violencia sexual</w:t>
      </w:r>
      <w:r w:rsidR="00AC5355" w:rsidRPr="002F6F31">
        <w:rPr>
          <w:rFonts w:ascii="Verdana" w:eastAsia="Calibri" w:hAnsi="Verdana"/>
          <w:spacing w:val="-2"/>
          <w:sz w:val="20"/>
          <w:szCs w:val="20"/>
        </w:rPr>
        <w:t xml:space="preserve"> que afectó principalmente a las mujeres</w:t>
      </w:r>
      <w:r w:rsidR="003962BA">
        <w:rPr>
          <w:rFonts w:ascii="Verdana" w:eastAsia="Calibri" w:hAnsi="Verdana"/>
          <w:spacing w:val="-2"/>
          <w:sz w:val="20"/>
          <w:szCs w:val="20"/>
        </w:rPr>
        <w:t xml:space="preserve"> y se enmarcó</w:t>
      </w:r>
      <w:r w:rsidR="00AC5355" w:rsidRPr="002F6F31">
        <w:rPr>
          <w:rFonts w:ascii="Verdana" w:eastAsia="Calibri" w:hAnsi="Verdana"/>
          <w:spacing w:val="-2"/>
          <w:sz w:val="20"/>
          <w:szCs w:val="20"/>
        </w:rPr>
        <w:t xml:space="preserve"> en un contexto más amplio de discriminación contra la mujer</w:t>
      </w:r>
      <w:r w:rsidR="00120D72" w:rsidRPr="002F6F31">
        <w:rPr>
          <w:rFonts w:ascii="Verdana" w:eastAsia="Calibri" w:hAnsi="Verdana"/>
          <w:spacing w:val="-2"/>
          <w:sz w:val="20"/>
          <w:szCs w:val="20"/>
        </w:rPr>
        <w:t>.</w:t>
      </w:r>
      <w:r w:rsidR="00CA27B9" w:rsidRPr="002F6F31">
        <w:rPr>
          <w:rFonts w:ascii="Verdana" w:eastAsia="Calibri" w:hAnsi="Verdana"/>
          <w:spacing w:val="-2"/>
          <w:sz w:val="20"/>
          <w:szCs w:val="20"/>
        </w:rPr>
        <w:t xml:space="preserve"> </w:t>
      </w:r>
      <w:r w:rsidR="003962BA">
        <w:rPr>
          <w:rFonts w:ascii="Verdana" w:eastAsia="Calibri" w:hAnsi="Verdana"/>
          <w:spacing w:val="-2"/>
          <w:sz w:val="20"/>
          <w:szCs w:val="20"/>
        </w:rPr>
        <w:t>Dichas</w:t>
      </w:r>
      <w:r w:rsidR="003962BA" w:rsidRPr="002F6F31">
        <w:rPr>
          <w:rFonts w:ascii="Verdana" w:eastAsia="Calibri" w:hAnsi="Verdana" w:cs="FPNLKG+TimesNewRoman"/>
          <w:spacing w:val="-2"/>
          <w:sz w:val="20"/>
          <w:szCs w:val="20"/>
        </w:rPr>
        <w:t xml:space="preserve"> </w:t>
      </w:r>
      <w:r w:rsidR="00F354B0" w:rsidRPr="002F6F31">
        <w:rPr>
          <w:rFonts w:ascii="Verdana" w:eastAsia="Calibri" w:hAnsi="Verdana" w:cs="FPNLKG+TimesNewRoman"/>
          <w:spacing w:val="-2"/>
          <w:sz w:val="20"/>
          <w:szCs w:val="20"/>
        </w:rPr>
        <w:t>práctica</w:t>
      </w:r>
      <w:r w:rsidR="003962BA">
        <w:rPr>
          <w:rFonts w:ascii="Verdana" w:eastAsia="Calibri" w:hAnsi="Verdana" w:cs="FPNLKG+TimesNewRoman"/>
          <w:spacing w:val="-2"/>
          <w:sz w:val="20"/>
          <w:szCs w:val="20"/>
        </w:rPr>
        <w:t>s</w:t>
      </w:r>
      <w:r w:rsidR="00F354B0" w:rsidRPr="002F6F31">
        <w:rPr>
          <w:rFonts w:ascii="Verdana" w:eastAsia="Calibri" w:hAnsi="Verdana" w:cs="FPNLKG+TimesNewRoman"/>
          <w:spacing w:val="-2"/>
          <w:sz w:val="20"/>
          <w:szCs w:val="20"/>
        </w:rPr>
        <w:t xml:space="preserve"> </w:t>
      </w:r>
      <w:r w:rsidR="00EF1CD1" w:rsidRPr="002F6F31">
        <w:rPr>
          <w:rFonts w:ascii="Verdana" w:eastAsia="Calibri" w:hAnsi="Verdana" w:cs="FPNLKG+TimesNewRoman"/>
          <w:spacing w:val="-2"/>
          <w:sz w:val="20"/>
          <w:szCs w:val="20"/>
        </w:rPr>
        <w:t>fue</w:t>
      </w:r>
      <w:r w:rsidR="003962BA">
        <w:rPr>
          <w:rFonts w:ascii="Verdana" w:eastAsia="Calibri" w:hAnsi="Verdana" w:cs="FPNLKG+TimesNewRoman"/>
          <w:spacing w:val="-2"/>
          <w:sz w:val="20"/>
          <w:szCs w:val="20"/>
        </w:rPr>
        <w:t>ron</w:t>
      </w:r>
      <w:r w:rsidR="00EF1CD1" w:rsidRPr="002F6F31">
        <w:rPr>
          <w:rFonts w:ascii="Verdana" w:eastAsia="Calibri" w:hAnsi="Verdana" w:cs="FPNLKG+TimesNewRoman"/>
          <w:spacing w:val="-2"/>
          <w:sz w:val="20"/>
          <w:szCs w:val="20"/>
        </w:rPr>
        <w:t xml:space="preserve"> </w:t>
      </w:r>
      <w:r w:rsidR="00DE7D18" w:rsidRPr="002F6F31">
        <w:rPr>
          <w:rFonts w:ascii="Verdana" w:eastAsia="Calibri" w:hAnsi="Verdana"/>
          <w:spacing w:val="-2"/>
          <w:sz w:val="20"/>
          <w:szCs w:val="20"/>
        </w:rPr>
        <w:t>facilitada</w:t>
      </w:r>
      <w:r w:rsidR="003962BA">
        <w:rPr>
          <w:rFonts w:ascii="Verdana" w:eastAsia="Calibri" w:hAnsi="Verdana"/>
          <w:spacing w:val="-2"/>
          <w:sz w:val="20"/>
          <w:szCs w:val="20"/>
        </w:rPr>
        <w:t>s</w:t>
      </w:r>
      <w:r w:rsidR="00EF1CD1" w:rsidRPr="002F6F31">
        <w:rPr>
          <w:rFonts w:ascii="Verdana" w:eastAsia="Calibri" w:hAnsi="Verdana"/>
          <w:spacing w:val="-2"/>
          <w:sz w:val="20"/>
          <w:szCs w:val="20"/>
        </w:rPr>
        <w:t xml:space="preserve"> por el permanente recurso a los estados de emergencia y </w:t>
      </w:r>
      <w:r w:rsidR="00F354B0" w:rsidRPr="002F6F31">
        <w:rPr>
          <w:rFonts w:ascii="Verdana" w:eastAsia="Calibri" w:hAnsi="Verdana"/>
          <w:spacing w:val="-2"/>
          <w:sz w:val="20"/>
          <w:szCs w:val="20"/>
        </w:rPr>
        <w:t>la legislación antiterrorista vigente para la fecha, la cual se caracterizó por la ausencia de garantías mínimas para los detenidos, además de disponer, entre otros, la potestad de incomunicar a los detenidos y el aislamiento celular.</w:t>
      </w:r>
    </w:p>
    <w:p w14:paraId="17AAFBA9" w14:textId="77777777" w:rsidR="00A036FC" w:rsidRPr="002F6F31" w:rsidRDefault="00A036FC" w:rsidP="002F6F31">
      <w:pPr>
        <w:rPr>
          <w:rFonts w:ascii="Verdana" w:eastAsia="Calibri" w:hAnsi="Verdana"/>
          <w:spacing w:val="-2"/>
          <w:sz w:val="20"/>
          <w:szCs w:val="20"/>
        </w:rPr>
      </w:pPr>
    </w:p>
    <w:p w14:paraId="15853486" w14:textId="77777777" w:rsidR="00802DE2" w:rsidRPr="002F6F31" w:rsidRDefault="00A036FC" w:rsidP="002F6F31">
      <w:pPr>
        <w:contextualSpacing/>
        <w:jc w:val="both"/>
        <w:rPr>
          <w:rFonts w:ascii="Verdana" w:eastAsia="Calibri" w:hAnsi="Verdana"/>
          <w:spacing w:val="-2"/>
          <w:sz w:val="20"/>
          <w:szCs w:val="20"/>
        </w:rPr>
      </w:pPr>
      <w:r w:rsidRPr="002F6F31">
        <w:rPr>
          <w:rFonts w:ascii="Verdana" w:eastAsia="Calibri" w:hAnsi="Verdana"/>
          <w:spacing w:val="-2"/>
          <w:sz w:val="20"/>
          <w:szCs w:val="20"/>
        </w:rPr>
        <w:t xml:space="preserve">En el marco de dicho contexto, </w:t>
      </w:r>
      <w:r w:rsidR="00A215AC" w:rsidRPr="002F6F31">
        <w:rPr>
          <w:rFonts w:ascii="Verdana" w:eastAsia="Calibri" w:hAnsi="Verdana"/>
          <w:spacing w:val="-2"/>
          <w:sz w:val="20"/>
          <w:szCs w:val="20"/>
        </w:rPr>
        <w:t xml:space="preserve">el 17 de abril de 1993 </w:t>
      </w:r>
      <w:r w:rsidR="00EC5445" w:rsidRPr="002F6F31">
        <w:rPr>
          <w:rFonts w:ascii="Verdana" w:hAnsi="Verdana"/>
          <w:color w:val="000000" w:themeColor="text1"/>
          <w:spacing w:val="-2"/>
          <w:sz w:val="20"/>
          <w:szCs w:val="20"/>
          <w:lang w:eastAsia="es-CR"/>
        </w:rPr>
        <w:t>Gladys Carol Espinoza Gonzáles</w:t>
      </w:r>
      <w:r w:rsidR="00EC5445" w:rsidRPr="002F6F31">
        <w:rPr>
          <w:rFonts w:ascii="Verdana" w:eastAsia="Calibri" w:hAnsi="Verdana"/>
          <w:spacing w:val="-2"/>
          <w:sz w:val="20"/>
          <w:szCs w:val="20"/>
        </w:rPr>
        <w:t xml:space="preserve"> </w:t>
      </w:r>
      <w:r w:rsidR="00B37E4E" w:rsidRPr="002F6F31">
        <w:rPr>
          <w:rFonts w:ascii="Verdana" w:eastAsia="Calibri" w:hAnsi="Verdana"/>
          <w:spacing w:val="-2"/>
          <w:sz w:val="20"/>
          <w:szCs w:val="20"/>
        </w:rPr>
        <w:t>fue interceptada junto con su pareja sentimental</w:t>
      </w:r>
      <w:r w:rsidR="004679E5" w:rsidRPr="002F6F31">
        <w:rPr>
          <w:rFonts w:ascii="Verdana" w:eastAsia="Calibri" w:hAnsi="Verdana"/>
          <w:spacing w:val="-2"/>
          <w:sz w:val="20"/>
          <w:szCs w:val="20"/>
        </w:rPr>
        <w:t xml:space="preserve"> Rafael Salgado</w:t>
      </w:r>
      <w:r w:rsidR="00B37E4E" w:rsidRPr="002F6F31">
        <w:rPr>
          <w:rFonts w:ascii="Verdana" w:eastAsia="Calibri" w:hAnsi="Verdana"/>
          <w:spacing w:val="-2"/>
          <w:sz w:val="20"/>
          <w:szCs w:val="20"/>
        </w:rPr>
        <w:t xml:space="preserve"> </w:t>
      </w:r>
      <w:r w:rsidR="004A29F4" w:rsidRPr="002F6F31">
        <w:rPr>
          <w:rFonts w:ascii="Verdana" w:eastAsia="Calibri" w:hAnsi="Verdana"/>
          <w:spacing w:val="-2"/>
          <w:sz w:val="20"/>
          <w:szCs w:val="20"/>
        </w:rPr>
        <w:t xml:space="preserve">en Lima </w:t>
      </w:r>
      <w:r w:rsidR="004679E5" w:rsidRPr="002F6F31">
        <w:rPr>
          <w:rFonts w:ascii="Verdana" w:eastAsia="Calibri" w:hAnsi="Verdana"/>
          <w:spacing w:val="-2"/>
          <w:sz w:val="20"/>
          <w:szCs w:val="20"/>
        </w:rPr>
        <w:t xml:space="preserve">por </w:t>
      </w:r>
      <w:r w:rsidR="00562880">
        <w:rPr>
          <w:rFonts w:ascii="Verdana" w:eastAsia="Calibri" w:hAnsi="Verdana"/>
          <w:spacing w:val="-2"/>
          <w:sz w:val="20"/>
          <w:szCs w:val="20"/>
        </w:rPr>
        <w:t>agentes</w:t>
      </w:r>
      <w:r w:rsidR="00562880" w:rsidRPr="002F6F31">
        <w:rPr>
          <w:rFonts w:ascii="Verdana" w:eastAsia="Calibri" w:hAnsi="Verdana"/>
          <w:spacing w:val="-2"/>
          <w:sz w:val="20"/>
          <w:szCs w:val="20"/>
        </w:rPr>
        <w:t xml:space="preserve"> </w:t>
      </w:r>
      <w:r w:rsidR="004679E5" w:rsidRPr="002F6F31">
        <w:rPr>
          <w:rFonts w:ascii="Verdana" w:eastAsia="Calibri" w:hAnsi="Verdana"/>
          <w:spacing w:val="-2"/>
          <w:sz w:val="20"/>
          <w:szCs w:val="20"/>
        </w:rPr>
        <w:t>de la</w:t>
      </w:r>
      <w:r w:rsidR="00B37E4E" w:rsidRPr="002F6F31">
        <w:rPr>
          <w:rFonts w:ascii="Verdana" w:eastAsia="Calibri" w:hAnsi="Verdana"/>
          <w:spacing w:val="-2"/>
          <w:sz w:val="20"/>
          <w:szCs w:val="20"/>
        </w:rPr>
        <w:t xml:space="preserve"> División de Investigación de Secuestros (</w:t>
      </w:r>
      <w:r w:rsidR="004A29F4" w:rsidRPr="002F6F31">
        <w:rPr>
          <w:rFonts w:ascii="Verdana" w:eastAsia="Calibri" w:hAnsi="Verdana"/>
          <w:spacing w:val="-2"/>
          <w:sz w:val="20"/>
          <w:szCs w:val="20"/>
        </w:rPr>
        <w:t>DIVISE</w:t>
      </w:r>
      <w:r w:rsidR="00B37E4E" w:rsidRPr="002F6F31">
        <w:rPr>
          <w:rFonts w:ascii="Verdana" w:eastAsia="Calibri" w:hAnsi="Verdana"/>
          <w:spacing w:val="-2"/>
          <w:sz w:val="20"/>
          <w:szCs w:val="20"/>
        </w:rPr>
        <w:t>) de la Policía Nacional del Perú (PNP),</w:t>
      </w:r>
      <w:r w:rsidR="004A29F4" w:rsidRPr="002F6F31">
        <w:rPr>
          <w:rFonts w:ascii="Verdana" w:eastAsia="Calibri" w:hAnsi="Verdana"/>
          <w:spacing w:val="-2"/>
          <w:sz w:val="20"/>
          <w:szCs w:val="20"/>
        </w:rPr>
        <w:t xml:space="preserve"> quienes habían montado el operativo denominado “Oriente”</w:t>
      </w:r>
      <w:r w:rsidR="00A215AC">
        <w:rPr>
          <w:rFonts w:ascii="Verdana" w:eastAsia="Calibri" w:hAnsi="Verdana"/>
          <w:spacing w:val="-2"/>
          <w:sz w:val="20"/>
          <w:szCs w:val="20"/>
        </w:rPr>
        <w:t>,</w:t>
      </w:r>
      <w:r w:rsidR="004A29F4" w:rsidRPr="002F6F31">
        <w:rPr>
          <w:rFonts w:ascii="Verdana" w:eastAsia="Calibri" w:hAnsi="Verdana"/>
          <w:spacing w:val="-2"/>
          <w:sz w:val="20"/>
          <w:szCs w:val="20"/>
        </w:rPr>
        <w:t xml:space="preserve"> a fin de dar con los autores del secuestro de un empresario</w:t>
      </w:r>
      <w:r w:rsidR="004679E5" w:rsidRPr="002F6F31">
        <w:rPr>
          <w:rFonts w:ascii="Verdana" w:eastAsia="Calibri" w:hAnsi="Verdana"/>
          <w:spacing w:val="-2"/>
          <w:sz w:val="20"/>
          <w:szCs w:val="20"/>
        </w:rPr>
        <w:t xml:space="preserve">. </w:t>
      </w:r>
      <w:r w:rsidR="004A29F4" w:rsidRPr="002F6F31">
        <w:rPr>
          <w:rFonts w:ascii="Verdana" w:eastAsia="Calibri" w:hAnsi="Verdana"/>
          <w:spacing w:val="-2"/>
          <w:sz w:val="20"/>
          <w:szCs w:val="20"/>
        </w:rPr>
        <w:t>A</w:t>
      </w:r>
      <w:r w:rsidR="004679E5" w:rsidRPr="002F6F31">
        <w:rPr>
          <w:rFonts w:ascii="Verdana" w:eastAsia="Calibri" w:hAnsi="Verdana"/>
          <w:spacing w:val="-2"/>
          <w:sz w:val="20"/>
          <w:szCs w:val="20"/>
        </w:rPr>
        <w:t>mbos fueron trasladados a las instalaciones de la DIVISE y</w:t>
      </w:r>
      <w:r w:rsidR="004A29F4" w:rsidRPr="002F6F31">
        <w:rPr>
          <w:rFonts w:ascii="Verdana" w:eastAsia="Calibri" w:hAnsi="Verdana"/>
          <w:spacing w:val="-2"/>
          <w:sz w:val="20"/>
          <w:szCs w:val="20"/>
        </w:rPr>
        <w:t xml:space="preserve">, al día siguiente, Gladys Espinoza fue trasladada a instalaciones de la </w:t>
      </w:r>
      <w:r w:rsidR="004A29F4" w:rsidRPr="002F6F31">
        <w:rPr>
          <w:rFonts w:ascii="Verdana" w:eastAsia="Calibri" w:hAnsi="Verdana" w:cs="Arial"/>
          <w:spacing w:val="-2"/>
          <w:sz w:val="20"/>
          <w:szCs w:val="20"/>
        </w:rPr>
        <w:t xml:space="preserve">Dirección Nacional Contra el Terrorismo </w:t>
      </w:r>
      <w:r w:rsidR="004A29F4" w:rsidRPr="002F6F31">
        <w:rPr>
          <w:rFonts w:ascii="Verdana" w:eastAsia="Calibri" w:hAnsi="Verdana" w:cs="Arial"/>
          <w:spacing w:val="-2"/>
          <w:sz w:val="20"/>
          <w:szCs w:val="20"/>
        </w:rPr>
        <w:lastRenderedPageBreak/>
        <w:t>(DINCOTE)</w:t>
      </w:r>
      <w:r w:rsidR="004A29F4" w:rsidRPr="002F6F31">
        <w:rPr>
          <w:rFonts w:ascii="Verdana" w:eastAsia="Calibri" w:hAnsi="Verdana"/>
          <w:spacing w:val="-2"/>
          <w:sz w:val="20"/>
          <w:szCs w:val="20"/>
        </w:rPr>
        <w:t>.</w:t>
      </w:r>
      <w:r w:rsidR="00A31AF1" w:rsidRPr="002F6F31">
        <w:rPr>
          <w:rFonts w:ascii="Verdana" w:eastAsia="Calibri" w:hAnsi="Verdana"/>
          <w:spacing w:val="-2"/>
          <w:sz w:val="20"/>
          <w:szCs w:val="20"/>
        </w:rPr>
        <w:t xml:space="preserve"> </w:t>
      </w:r>
      <w:r w:rsidR="00BA171F" w:rsidRPr="002F6F31">
        <w:rPr>
          <w:rFonts w:ascii="Verdana" w:eastAsia="Calibri" w:hAnsi="Verdana"/>
          <w:spacing w:val="-2"/>
          <w:sz w:val="20"/>
          <w:szCs w:val="20"/>
        </w:rPr>
        <w:t xml:space="preserve">En dichas instalaciones, a la madre de Gladys Espinoza, Teodora Gonzáles </w:t>
      </w:r>
      <w:r w:rsidR="00102880">
        <w:rPr>
          <w:rFonts w:ascii="Verdana" w:eastAsia="Calibri" w:hAnsi="Verdana"/>
          <w:spacing w:val="-2"/>
          <w:sz w:val="20"/>
          <w:szCs w:val="20"/>
        </w:rPr>
        <w:t xml:space="preserve">le </w:t>
      </w:r>
      <w:r w:rsidR="00BA171F" w:rsidRPr="002F6F31">
        <w:rPr>
          <w:rFonts w:ascii="Verdana" w:eastAsia="Calibri" w:hAnsi="Verdana"/>
          <w:spacing w:val="-2"/>
          <w:sz w:val="20"/>
          <w:szCs w:val="20"/>
        </w:rPr>
        <w:t>negaron que aquella estuviera detenida y no</w:t>
      </w:r>
      <w:r w:rsidR="005B61EC">
        <w:rPr>
          <w:rFonts w:ascii="Verdana" w:eastAsia="Calibri" w:hAnsi="Verdana"/>
          <w:spacing w:val="-2"/>
          <w:sz w:val="20"/>
          <w:szCs w:val="20"/>
        </w:rPr>
        <w:t xml:space="preserve"> le</w:t>
      </w:r>
      <w:r w:rsidR="00BA171F" w:rsidRPr="002F6F31">
        <w:rPr>
          <w:rFonts w:ascii="Verdana" w:eastAsia="Calibri" w:hAnsi="Verdana"/>
          <w:spacing w:val="-2"/>
          <w:sz w:val="20"/>
          <w:szCs w:val="20"/>
        </w:rPr>
        <w:t xml:space="preserve"> permitieron verla sino hasta</w:t>
      </w:r>
      <w:r w:rsidR="0009612E">
        <w:rPr>
          <w:rFonts w:ascii="Verdana" w:eastAsia="Calibri" w:hAnsi="Verdana"/>
          <w:spacing w:val="-2"/>
          <w:sz w:val="20"/>
          <w:szCs w:val="20"/>
        </w:rPr>
        <w:t xml:space="preserve"> aproximadamente</w:t>
      </w:r>
      <w:r w:rsidR="00BA171F" w:rsidRPr="002F6F31">
        <w:rPr>
          <w:rFonts w:ascii="Verdana" w:eastAsia="Calibri" w:hAnsi="Verdana"/>
          <w:spacing w:val="-2"/>
          <w:sz w:val="20"/>
          <w:szCs w:val="20"/>
        </w:rPr>
        <w:t xml:space="preserve"> tres semanas después. </w:t>
      </w:r>
      <w:r w:rsidR="00802DE2" w:rsidRPr="002F6F31">
        <w:rPr>
          <w:rFonts w:ascii="Verdana" w:eastAsia="Calibri" w:hAnsi="Verdana"/>
          <w:spacing w:val="-2"/>
          <w:sz w:val="20"/>
          <w:szCs w:val="20"/>
        </w:rPr>
        <w:t>El 26 de abril de 1993 Teodora Gonzále</w:t>
      </w:r>
      <w:bookmarkStart w:id="0" w:name="_GoBack"/>
      <w:bookmarkEnd w:id="0"/>
      <w:r w:rsidR="00802DE2" w:rsidRPr="002F6F31">
        <w:rPr>
          <w:rFonts w:ascii="Verdana" w:eastAsia="Calibri" w:hAnsi="Verdana"/>
          <w:spacing w:val="-2"/>
          <w:sz w:val="20"/>
          <w:szCs w:val="20"/>
        </w:rPr>
        <w:t xml:space="preserve">s presentó un escrito ante la 14a Fiscalía Especial de Terrorismo, mediante el cual solicitó la intervención de un médico legista para verificar la vida y estado de salud de su hija. Dos días después, el entonces Coordinador General de </w:t>
      </w:r>
      <w:r w:rsidR="00802DE2" w:rsidRPr="002F6F31">
        <w:rPr>
          <w:rFonts w:ascii="Verdana" w:hAnsi="Verdana"/>
          <w:spacing w:val="-2"/>
          <w:sz w:val="20"/>
          <w:szCs w:val="20"/>
        </w:rPr>
        <w:t>la</w:t>
      </w:r>
      <w:r w:rsidR="00802DE2" w:rsidRPr="002F6F31">
        <w:rPr>
          <w:rFonts w:ascii="Verdana" w:eastAsia="Calibri" w:hAnsi="Verdana" w:cs="Arial"/>
          <w:spacing w:val="-2"/>
          <w:sz w:val="20"/>
          <w:szCs w:val="20"/>
        </w:rPr>
        <w:t xml:space="preserve"> Asociación Pro Derechos Humanos (APRODEH) </w:t>
      </w:r>
      <w:r w:rsidR="00802DE2" w:rsidRPr="002F6F31">
        <w:rPr>
          <w:rFonts w:ascii="Verdana" w:eastAsia="Calibri" w:hAnsi="Verdana"/>
          <w:spacing w:val="-2"/>
          <w:sz w:val="20"/>
          <w:szCs w:val="20"/>
        </w:rPr>
        <w:t>denunció ante la Fiscalía Especial de Defensoría del Pueblo y Derechos Humanos, y ante la Fiscalía de la Nación, Ministerio Público, que Gladys Espinoza había sido sometida a abuso sexual y maltratos físicos, entre otros, los cuales tendrían una secuencia desde el día de la detención.</w:t>
      </w:r>
      <w:r w:rsidR="00BB59BE" w:rsidRPr="002F6F31">
        <w:rPr>
          <w:rFonts w:ascii="Verdana" w:eastAsia="Calibri" w:hAnsi="Verdana"/>
          <w:spacing w:val="-2"/>
          <w:sz w:val="20"/>
          <w:szCs w:val="20"/>
        </w:rPr>
        <w:t xml:space="preserve"> Durante su permanencia en la DINCOTE Gladys Espinoza fue objeto de atención y tratamiento </w:t>
      </w:r>
      <w:r w:rsidR="00AD5DFC" w:rsidRPr="002F6F31">
        <w:rPr>
          <w:rFonts w:ascii="Verdana" w:eastAsia="Calibri" w:hAnsi="Verdana"/>
          <w:spacing w:val="-2"/>
          <w:sz w:val="20"/>
          <w:szCs w:val="20"/>
        </w:rPr>
        <w:t>médico</w:t>
      </w:r>
      <w:r w:rsidR="00BB59BE" w:rsidRPr="002F6F31">
        <w:rPr>
          <w:rFonts w:ascii="Verdana" w:eastAsia="Calibri" w:hAnsi="Verdana"/>
          <w:spacing w:val="-2"/>
          <w:sz w:val="20"/>
          <w:szCs w:val="20"/>
        </w:rPr>
        <w:t>. Al respecto,</w:t>
      </w:r>
      <w:r w:rsidR="00150E7B" w:rsidRPr="002F6F31">
        <w:rPr>
          <w:rFonts w:ascii="Verdana" w:eastAsia="Calibri" w:hAnsi="Verdana"/>
          <w:spacing w:val="-2"/>
          <w:sz w:val="20"/>
          <w:szCs w:val="20"/>
        </w:rPr>
        <w:t xml:space="preserve"> se</w:t>
      </w:r>
      <w:r w:rsidR="00BB59BE" w:rsidRPr="002F6F31">
        <w:rPr>
          <w:rFonts w:ascii="Verdana" w:eastAsia="Calibri" w:hAnsi="Verdana"/>
          <w:spacing w:val="-2"/>
          <w:sz w:val="20"/>
          <w:szCs w:val="20"/>
        </w:rPr>
        <w:t xml:space="preserve"> emitieron al menos cinco exámenes, informes y certificados </w:t>
      </w:r>
      <w:r w:rsidR="00AD5DFC" w:rsidRPr="002F6F31">
        <w:rPr>
          <w:rFonts w:ascii="Verdana" w:eastAsia="Calibri" w:hAnsi="Verdana"/>
          <w:spacing w:val="-2"/>
          <w:sz w:val="20"/>
          <w:szCs w:val="20"/>
        </w:rPr>
        <w:t>médicos</w:t>
      </w:r>
      <w:r w:rsidR="00150E7B" w:rsidRPr="002F6F31">
        <w:rPr>
          <w:rFonts w:ascii="Verdana" w:eastAsia="Calibri" w:hAnsi="Verdana"/>
          <w:spacing w:val="-2"/>
          <w:sz w:val="20"/>
          <w:szCs w:val="20"/>
        </w:rPr>
        <w:t>, en los cuales</w:t>
      </w:r>
      <w:r w:rsidR="00BB59BE" w:rsidRPr="002F6F31">
        <w:rPr>
          <w:rFonts w:ascii="Verdana" w:eastAsia="Calibri" w:hAnsi="Verdana"/>
          <w:spacing w:val="-2"/>
          <w:sz w:val="20"/>
          <w:szCs w:val="20"/>
        </w:rPr>
        <w:t xml:space="preserve"> se certificó la presencia de lesiones y hematomas en diversas partes del cuerpo</w:t>
      </w:r>
      <w:r w:rsidR="00150E7B" w:rsidRPr="002F6F31">
        <w:rPr>
          <w:rFonts w:ascii="Verdana" w:eastAsia="Calibri" w:hAnsi="Verdana"/>
          <w:spacing w:val="-2"/>
          <w:sz w:val="20"/>
          <w:szCs w:val="20"/>
        </w:rPr>
        <w:t>.</w:t>
      </w:r>
    </w:p>
    <w:p w14:paraId="323CC003" w14:textId="77777777" w:rsidR="00BB59BE" w:rsidRPr="002F6F31" w:rsidRDefault="00BB59BE" w:rsidP="002F6F31">
      <w:pPr>
        <w:contextualSpacing/>
        <w:jc w:val="both"/>
        <w:rPr>
          <w:rFonts w:ascii="Verdana" w:eastAsia="Calibri" w:hAnsi="Verdana"/>
          <w:spacing w:val="-2"/>
          <w:sz w:val="20"/>
          <w:szCs w:val="20"/>
        </w:rPr>
      </w:pPr>
    </w:p>
    <w:p w14:paraId="5F9F09EE" w14:textId="77777777" w:rsidR="00641EF3" w:rsidRPr="002F6F31" w:rsidRDefault="00BB59BE" w:rsidP="002F6F31">
      <w:pPr>
        <w:contextualSpacing/>
        <w:jc w:val="both"/>
        <w:rPr>
          <w:rFonts w:ascii="Verdana" w:eastAsia="Calibri" w:hAnsi="Verdana"/>
          <w:spacing w:val="-2"/>
          <w:sz w:val="20"/>
          <w:szCs w:val="20"/>
        </w:rPr>
      </w:pPr>
      <w:r w:rsidRPr="002F6F31">
        <w:rPr>
          <w:rFonts w:ascii="Verdana" w:eastAsia="Calibri" w:hAnsi="Verdana"/>
          <w:spacing w:val="-2"/>
          <w:sz w:val="20"/>
          <w:szCs w:val="20"/>
        </w:rPr>
        <w:t>El 25 de junio de 1993 el Juez Instructor Militar Especial condenó a Gladys Espinoza como autora del delito de traición a la patria. El 17 de febrero de 2003 la Sala Penal Superior de la Corte Suprema declaró nulo todo lo actuado en el proceso penal seguido ante el Fuero Militar por delito de traición a la patria. El 1 de marzo de 2004 la Sala Nacional de Terrorismo dictó Sentencia, mediante la cual condenó a Gladys Espinoza por el delito contra la Tranquilidad Pública – Terrorismo. El 24 de noviembre de 2004 la Sala Penal Permanente de la Corte Suprema de Justicia impuso a Gladys Espinoza la pena privativa de libertad de 25 años a vencer el 17 de abril de 2018</w:t>
      </w:r>
      <w:r w:rsidRPr="002F6F31">
        <w:rPr>
          <w:rFonts w:ascii="Verdana" w:hAnsi="Verdana"/>
          <w:spacing w:val="-2"/>
          <w:sz w:val="20"/>
          <w:szCs w:val="20"/>
        </w:rPr>
        <w:t xml:space="preserve">. </w:t>
      </w:r>
      <w:r w:rsidR="00641EF3" w:rsidRPr="002F6F31">
        <w:rPr>
          <w:rFonts w:ascii="Verdana" w:eastAsia="Calibri" w:hAnsi="Verdana"/>
          <w:spacing w:val="-2"/>
          <w:sz w:val="20"/>
          <w:szCs w:val="20"/>
        </w:rPr>
        <w:t xml:space="preserve">Gladys Espinoza ha permanecido en diversos establecimientos penitenciarios en el Perú y actualmente continúa recluida. Entre 1996 y 2001 permaneció en el Establecimiento Penal de </w:t>
      </w:r>
      <w:proofErr w:type="spellStart"/>
      <w:r w:rsidR="00641EF3" w:rsidRPr="002F6F31">
        <w:rPr>
          <w:rFonts w:ascii="Verdana" w:eastAsia="Calibri" w:hAnsi="Verdana"/>
          <w:spacing w:val="-2"/>
          <w:sz w:val="20"/>
          <w:szCs w:val="20"/>
        </w:rPr>
        <w:t>Yanamayo</w:t>
      </w:r>
      <w:proofErr w:type="spellEnd"/>
      <w:r w:rsidR="00641EF3" w:rsidRPr="002F6F31">
        <w:rPr>
          <w:rFonts w:ascii="Verdana" w:eastAsia="Calibri" w:hAnsi="Verdana"/>
          <w:spacing w:val="-2"/>
          <w:sz w:val="20"/>
          <w:szCs w:val="20"/>
        </w:rPr>
        <w:t>.</w:t>
      </w:r>
    </w:p>
    <w:p w14:paraId="734CDD4E" w14:textId="77777777" w:rsidR="00641EF3" w:rsidRPr="002F6F31" w:rsidRDefault="00641EF3" w:rsidP="002F6F31">
      <w:pPr>
        <w:contextualSpacing/>
        <w:jc w:val="both"/>
        <w:rPr>
          <w:rFonts w:ascii="Verdana" w:hAnsi="Verdana"/>
          <w:spacing w:val="-2"/>
          <w:sz w:val="20"/>
          <w:szCs w:val="20"/>
        </w:rPr>
      </w:pPr>
    </w:p>
    <w:p w14:paraId="66D2DE1D" w14:textId="77777777" w:rsidR="0080428A" w:rsidRPr="002F6F31" w:rsidRDefault="000B03D7" w:rsidP="002F6F31">
      <w:pPr>
        <w:contextualSpacing/>
        <w:jc w:val="both"/>
        <w:rPr>
          <w:rFonts w:ascii="Verdana" w:hAnsi="Verdana"/>
          <w:spacing w:val="-2"/>
          <w:sz w:val="20"/>
          <w:szCs w:val="20"/>
        </w:rPr>
      </w:pPr>
      <w:r w:rsidRPr="002F6F31">
        <w:rPr>
          <w:rFonts w:ascii="Verdana" w:eastAsia="Calibri" w:hAnsi="Verdana"/>
          <w:spacing w:val="-2"/>
          <w:sz w:val="20"/>
          <w:szCs w:val="20"/>
        </w:rPr>
        <w:t xml:space="preserve">En el marco de </w:t>
      </w:r>
      <w:r w:rsidR="00641EF3" w:rsidRPr="002F6F31">
        <w:rPr>
          <w:rFonts w:ascii="Verdana" w:eastAsia="Calibri" w:hAnsi="Verdana"/>
          <w:spacing w:val="-2"/>
          <w:sz w:val="20"/>
          <w:szCs w:val="20"/>
        </w:rPr>
        <w:t>los</w:t>
      </w:r>
      <w:r w:rsidRPr="002F6F31">
        <w:rPr>
          <w:rFonts w:ascii="Verdana" w:eastAsia="Calibri" w:hAnsi="Verdana"/>
          <w:spacing w:val="-2"/>
          <w:sz w:val="20"/>
          <w:szCs w:val="20"/>
        </w:rPr>
        <w:t xml:space="preserve"> </w:t>
      </w:r>
      <w:r w:rsidR="00641EF3" w:rsidRPr="002F6F31">
        <w:rPr>
          <w:rFonts w:ascii="Verdana" w:eastAsia="Calibri" w:hAnsi="Verdana"/>
          <w:spacing w:val="-2"/>
          <w:sz w:val="20"/>
          <w:szCs w:val="20"/>
        </w:rPr>
        <w:t xml:space="preserve">referidos </w:t>
      </w:r>
      <w:r w:rsidRPr="002F6F31">
        <w:rPr>
          <w:rFonts w:ascii="Verdana" w:eastAsia="Calibri" w:hAnsi="Verdana"/>
          <w:spacing w:val="-2"/>
          <w:sz w:val="20"/>
          <w:szCs w:val="20"/>
        </w:rPr>
        <w:t>procesos</w:t>
      </w:r>
      <w:r w:rsidR="0080428A" w:rsidRPr="002F6F31">
        <w:rPr>
          <w:rFonts w:ascii="Verdana" w:eastAsia="Calibri" w:hAnsi="Verdana"/>
          <w:spacing w:val="-2"/>
          <w:sz w:val="20"/>
          <w:szCs w:val="20"/>
        </w:rPr>
        <w:t xml:space="preserve"> penales y en diversas oportunidades</w:t>
      </w:r>
      <w:r w:rsidRPr="002F6F31">
        <w:rPr>
          <w:rFonts w:ascii="Verdana" w:eastAsia="Calibri" w:hAnsi="Verdana"/>
          <w:spacing w:val="-2"/>
          <w:sz w:val="20"/>
          <w:szCs w:val="20"/>
        </w:rPr>
        <w:t xml:space="preserve">, </w:t>
      </w:r>
      <w:r w:rsidR="0080428A" w:rsidRPr="002F6F31">
        <w:rPr>
          <w:rFonts w:ascii="Verdana" w:eastAsia="Calibri" w:hAnsi="Verdana"/>
          <w:spacing w:val="-2"/>
          <w:sz w:val="20"/>
          <w:szCs w:val="20"/>
        </w:rPr>
        <w:t>Gladys Espinoza relató, ante autoridades del Perú</w:t>
      </w:r>
      <w:r w:rsidR="00BB59BE" w:rsidRPr="002F6F31">
        <w:rPr>
          <w:rFonts w:ascii="Verdana" w:eastAsia="Calibri" w:hAnsi="Verdana"/>
          <w:spacing w:val="-2"/>
          <w:sz w:val="20"/>
          <w:szCs w:val="20"/>
        </w:rPr>
        <w:t>,</w:t>
      </w:r>
      <w:r w:rsidR="0080428A" w:rsidRPr="002F6F31">
        <w:rPr>
          <w:rFonts w:ascii="Verdana" w:eastAsia="Calibri" w:hAnsi="Verdana"/>
          <w:spacing w:val="-2"/>
          <w:sz w:val="20"/>
          <w:szCs w:val="20"/>
        </w:rPr>
        <w:t xml:space="preserve"> que fue víctima de actos de violencia durante su detención, así como de actos </w:t>
      </w:r>
      <w:r w:rsidR="007043B8">
        <w:rPr>
          <w:rFonts w:ascii="Verdana" w:eastAsia="Calibri" w:hAnsi="Verdana"/>
          <w:spacing w:val="-2"/>
          <w:sz w:val="20"/>
          <w:szCs w:val="20"/>
        </w:rPr>
        <w:t>de tortura, violación y otras formas de violencia sexual</w:t>
      </w:r>
      <w:r w:rsidR="0080428A" w:rsidRPr="002F6F31">
        <w:rPr>
          <w:rFonts w:ascii="Verdana" w:eastAsia="Calibri" w:hAnsi="Verdana"/>
          <w:spacing w:val="-2"/>
          <w:sz w:val="20"/>
          <w:szCs w:val="20"/>
        </w:rPr>
        <w:t xml:space="preserve"> durante el tiempo en que permaneció en las instalaciones de la DIVISE y la DINCOTE</w:t>
      </w:r>
      <w:r w:rsidR="00147BBD" w:rsidRPr="002F6F31">
        <w:rPr>
          <w:rFonts w:ascii="Verdana" w:eastAsia="Calibri" w:hAnsi="Verdana"/>
          <w:spacing w:val="-2"/>
          <w:sz w:val="20"/>
          <w:szCs w:val="20"/>
        </w:rPr>
        <w:t xml:space="preserve">. A su vez, en el año 2004 </w:t>
      </w:r>
      <w:r w:rsidR="0080428A" w:rsidRPr="002F6F31">
        <w:rPr>
          <w:rFonts w:ascii="Verdana" w:eastAsia="Calibri" w:hAnsi="Verdana"/>
          <w:spacing w:val="-2"/>
          <w:sz w:val="20"/>
          <w:szCs w:val="20"/>
        </w:rPr>
        <w:t>se realizó a Gladys Espinoza un “Protocolo de Reconocimiento Médico Legal para la Detección de Lesiones Resultantes de Tortura en Personas Vivas”</w:t>
      </w:r>
      <w:r w:rsidR="00147BBD" w:rsidRPr="002F6F31">
        <w:rPr>
          <w:rFonts w:ascii="Verdana" w:eastAsia="Calibri" w:hAnsi="Verdana"/>
          <w:spacing w:val="-2"/>
          <w:sz w:val="20"/>
          <w:szCs w:val="20"/>
        </w:rPr>
        <w:t>.</w:t>
      </w:r>
    </w:p>
    <w:p w14:paraId="429FE437" w14:textId="77777777" w:rsidR="00012DBD" w:rsidRPr="002F6F31" w:rsidRDefault="00012DBD" w:rsidP="002F6F31">
      <w:pPr>
        <w:contextualSpacing/>
        <w:jc w:val="both"/>
        <w:rPr>
          <w:rFonts w:ascii="Verdana" w:eastAsia="Calibri" w:hAnsi="Verdana"/>
          <w:spacing w:val="-2"/>
          <w:sz w:val="20"/>
          <w:szCs w:val="20"/>
        </w:rPr>
      </w:pPr>
    </w:p>
    <w:p w14:paraId="0B02D81E" w14:textId="77777777" w:rsidR="00012DBD" w:rsidRPr="002F6F31" w:rsidRDefault="009F3E2C" w:rsidP="002F6F31">
      <w:pPr>
        <w:contextualSpacing/>
        <w:jc w:val="both"/>
        <w:rPr>
          <w:rFonts w:ascii="Verdana" w:hAnsi="Verdana"/>
          <w:spacing w:val="-2"/>
          <w:sz w:val="20"/>
          <w:szCs w:val="20"/>
        </w:rPr>
      </w:pPr>
      <w:r w:rsidRPr="002F6F31">
        <w:rPr>
          <w:rFonts w:ascii="Verdana" w:eastAsia="Calibri" w:hAnsi="Verdana"/>
          <w:spacing w:val="-2"/>
          <w:sz w:val="20"/>
          <w:szCs w:val="20"/>
        </w:rPr>
        <w:t>A pesar de las numerosas denuncias formuladas desde 1993 en adelante,</w:t>
      </w:r>
      <w:r w:rsidR="00EA50A8">
        <w:rPr>
          <w:rFonts w:ascii="Verdana" w:eastAsia="Calibri" w:hAnsi="Verdana"/>
          <w:spacing w:val="-2"/>
          <w:sz w:val="20"/>
          <w:szCs w:val="20"/>
        </w:rPr>
        <w:t xml:space="preserve"> y de los informes médicos que constataban su estado de salud,</w:t>
      </w:r>
      <w:r w:rsidRPr="002F6F31">
        <w:rPr>
          <w:rFonts w:ascii="Verdana" w:eastAsia="Calibri" w:hAnsi="Verdana"/>
          <w:spacing w:val="-2"/>
          <w:sz w:val="20"/>
          <w:szCs w:val="20"/>
        </w:rPr>
        <w:t xml:space="preserve"> no hubo investigación </w:t>
      </w:r>
      <w:r w:rsidR="00D82610">
        <w:rPr>
          <w:rFonts w:ascii="Verdana" w:eastAsia="Calibri" w:hAnsi="Verdana"/>
          <w:spacing w:val="-2"/>
          <w:sz w:val="20"/>
          <w:szCs w:val="20"/>
        </w:rPr>
        <w:t xml:space="preserve">alguna </w:t>
      </w:r>
      <w:r w:rsidRPr="002F6F31">
        <w:rPr>
          <w:rFonts w:ascii="Verdana" w:eastAsia="Calibri" w:hAnsi="Verdana"/>
          <w:spacing w:val="-2"/>
          <w:sz w:val="20"/>
          <w:szCs w:val="20"/>
        </w:rPr>
        <w:t xml:space="preserve">sobre los alegados actos de violencia, y en particular de violencia sexual, perpetrados en contra de Gladys Espinoza. Fue recién </w:t>
      </w:r>
      <w:r w:rsidR="005F0C3F" w:rsidRPr="002F6F31">
        <w:rPr>
          <w:rFonts w:ascii="Verdana" w:eastAsia="Calibri" w:hAnsi="Verdana"/>
          <w:spacing w:val="-2"/>
          <w:sz w:val="20"/>
          <w:szCs w:val="20"/>
        </w:rPr>
        <w:t xml:space="preserve">el </w:t>
      </w:r>
      <w:r w:rsidR="00012DBD" w:rsidRPr="002F6F31">
        <w:rPr>
          <w:rFonts w:ascii="Verdana" w:eastAsia="Calibri" w:hAnsi="Verdana"/>
          <w:spacing w:val="-2"/>
          <w:sz w:val="20"/>
          <w:szCs w:val="20"/>
        </w:rPr>
        <w:t xml:space="preserve">8 de junio de 2011 cuando la Comisión Interamericana notificó al Perú el Informe de Admisibilidad y Fondo </w:t>
      </w:r>
      <w:r w:rsidRPr="002F6F31">
        <w:rPr>
          <w:rFonts w:ascii="Verdana" w:hAnsi="Verdana"/>
          <w:spacing w:val="-2"/>
          <w:sz w:val="20"/>
          <w:szCs w:val="20"/>
        </w:rPr>
        <w:t xml:space="preserve">No. 67/11 </w:t>
      </w:r>
      <w:r w:rsidR="00012DBD" w:rsidRPr="002F6F31">
        <w:rPr>
          <w:rFonts w:ascii="Verdana" w:eastAsia="Calibri" w:hAnsi="Verdana"/>
          <w:spacing w:val="-2"/>
          <w:sz w:val="20"/>
          <w:szCs w:val="20"/>
        </w:rPr>
        <w:t>correspondiente al presente caso, que se puso en marcha</w:t>
      </w:r>
      <w:r w:rsidRPr="002F6F31">
        <w:rPr>
          <w:rFonts w:ascii="Verdana" w:eastAsia="Calibri" w:hAnsi="Verdana"/>
          <w:spacing w:val="-2"/>
          <w:sz w:val="20"/>
          <w:szCs w:val="20"/>
        </w:rPr>
        <w:t xml:space="preserve"> </w:t>
      </w:r>
      <w:r w:rsidRPr="002F6F31">
        <w:rPr>
          <w:rFonts w:ascii="Verdana" w:hAnsi="Verdana"/>
          <w:spacing w:val="-2"/>
          <w:sz w:val="20"/>
          <w:szCs w:val="20"/>
        </w:rPr>
        <w:t>el procedimiento que llevó a la investigación</w:t>
      </w:r>
      <w:r w:rsidRPr="002F6F31">
        <w:rPr>
          <w:rFonts w:ascii="Verdana" w:eastAsia="Calibri" w:hAnsi="Verdana"/>
          <w:spacing w:val="-2"/>
          <w:sz w:val="20"/>
          <w:szCs w:val="20"/>
        </w:rPr>
        <w:t xml:space="preserve"> </w:t>
      </w:r>
      <w:r w:rsidR="00012DBD" w:rsidRPr="002F6F31">
        <w:rPr>
          <w:rFonts w:ascii="Verdana" w:eastAsia="Calibri" w:hAnsi="Verdana"/>
          <w:spacing w:val="-2"/>
          <w:sz w:val="20"/>
          <w:szCs w:val="20"/>
        </w:rPr>
        <w:t xml:space="preserve">a cargo de la Tercera Fiscalía </w:t>
      </w:r>
      <w:r w:rsidR="00742B1C" w:rsidRPr="002F6F31">
        <w:rPr>
          <w:rFonts w:ascii="Verdana" w:eastAsia="Calibri" w:hAnsi="Verdana"/>
          <w:spacing w:val="-2"/>
          <w:sz w:val="20"/>
          <w:szCs w:val="20"/>
        </w:rPr>
        <w:t xml:space="preserve">Penal </w:t>
      </w:r>
      <w:r w:rsidR="00012DBD" w:rsidRPr="002F6F31">
        <w:rPr>
          <w:rFonts w:ascii="Verdana" w:eastAsia="Calibri" w:hAnsi="Verdana"/>
          <w:spacing w:val="-2"/>
          <w:sz w:val="20"/>
          <w:szCs w:val="20"/>
        </w:rPr>
        <w:t>Supraprovincial de Lima</w:t>
      </w:r>
      <w:r w:rsidR="00BC58F6" w:rsidRPr="002F6F31">
        <w:rPr>
          <w:rFonts w:ascii="Verdana" w:eastAsia="Calibri" w:hAnsi="Verdana"/>
          <w:spacing w:val="-2"/>
          <w:sz w:val="20"/>
          <w:szCs w:val="20"/>
        </w:rPr>
        <w:t xml:space="preserve">, la cual </w:t>
      </w:r>
      <w:r w:rsidR="003B7D09" w:rsidRPr="002F6F31">
        <w:rPr>
          <w:rFonts w:ascii="Verdana" w:eastAsia="Calibri" w:hAnsi="Verdana"/>
          <w:spacing w:val="-2"/>
          <w:sz w:val="20"/>
          <w:szCs w:val="20"/>
        </w:rPr>
        <w:t>dio in</w:t>
      </w:r>
      <w:r w:rsidR="00742B1C" w:rsidRPr="002F6F31">
        <w:rPr>
          <w:rFonts w:ascii="Verdana" w:eastAsia="Calibri" w:hAnsi="Verdana"/>
          <w:spacing w:val="-2"/>
          <w:sz w:val="20"/>
          <w:szCs w:val="20"/>
        </w:rPr>
        <w:t>i</w:t>
      </w:r>
      <w:r w:rsidR="003B7D09" w:rsidRPr="002F6F31">
        <w:rPr>
          <w:rFonts w:ascii="Verdana" w:eastAsia="Calibri" w:hAnsi="Verdana"/>
          <w:spacing w:val="-2"/>
          <w:sz w:val="20"/>
          <w:szCs w:val="20"/>
        </w:rPr>
        <w:t>ció</w:t>
      </w:r>
      <w:r w:rsidR="00BC58F6" w:rsidRPr="002F6F31">
        <w:rPr>
          <w:rFonts w:ascii="Verdana" w:eastAsia="Calibri" w:hAnsi="Verdana"/>
          <w:spacing w:val="-2"/>
          <w:sz w:val="20"/>
          <w:szCs w:val="20"/>
        </w:rPr>
        <w:t xml:space="preserve"> </w:t>
      </w:r>
      <w:r w:rsidR="00742B1C" w:rsidRPr="002F6F31">
        <w:rPr>
          <w:rFonts w:ascii="Verdana" w:eastAsia="Calibri" w:hAnsi="Verdana"/>
          <w:spacing w:val="-2"/>
          <w:sz w:val="20"/>
          <w:szCs w:val="20"/>
        </w:rPr>
        <w:t>el 16 de abril de 2012</w:t>
      </w:r>
      <w:r w:rsidR="00012DBD" w:rsidRPr="002F6F31">
        <w:rPr>
          <w:rFonts w:ascii="Verdana" w:eastAsia="Calibri" w:hAnsi="Verdana"/>
          <w:spacing w:val="-2"/>
          <w:sz w:val="20"/>
          <w:szCs w:val="20"/>
        </w:rPr>
        <w:t>.</w:t>
      </w:r>
      <w:r w:rsidRPr="002F6F31">
        <w:rPr>
          <w:rFonts w:ascii="Verdana" w:eastAsia="Calibri" w:hAnsi="Verdana"/>
          <w:spacing w:val="-2"/>
          <w:sz w:val="20"/>
          <w:szCs w:val="20"/>
        </w:rPr>
        <w:t xml:space="preserve"> Una vez realizadas las diligencias investigativas correspondientes </w:t>
      </w:r>
      <w:r w:rsidR="003B7D09" w:rsidRPr="002F6F31">
        <w:rPr>
          <w:rFonts w:ascii="Verdana" w:eastAsia="Calibri" w:hAnsi="Verdana"/>
          <w:spacing w:val="-2"/>
          <w:sz w:val="20"/>
          <w:szCs w:val="20"/>
        </w:rPr>
        <w:t xml:space="preserve">en el marco de las cuales el Instituto de Medicina Legal elaboró el 7 de enero de 2014 un “Protocolo de Investigación de Tortura o Tratos Crueles Inhumanos o Degradantes” respecto de </w:t>
      </w:r>
      <w:r w:rsidR="003B7D09" w:rsidRPr="002F6F31">
        <w:rPr>
          <w:rFonts w:ascii="Verdana" w:hAnsi="Verdana"/>
          <w:spacing w:val="-2"/>
          <w:sz w:val="20"/>
          <w:szCs w:val="20"/>
        </w:rPr>
        <w:t>Gladys Espinoza</w:t>
      </w:r>
      <w:r w:rsidR="0069092A" w:rsidRPr="002F6F31">
        <w:rPr>
          <w:rFonts w:ascii="Verdana" w:hAnsi="Verdana"/>
          <w:spacing w:val="-2"/>
          <w:sz w:val="20"/>
          <w:szCs w:val="20"/>
        </w:rPr>
        <w:t>,</w:t>
      </w:r>
      <w:r w:rsidR="0069092A" w:rsidRPr="002F6F31">
        <w:rPr>
          <w:rFonts w:ascii="Verdana" w:eastAsia="Calibri" w:hAnsi="Verdana"/>
          <w:spacing w:val="-2"/>
          <w:sz w:val="20"/>
          <w:szCs w:val="20"/>
        </w:rPr>
        <w:t xml:space="preserve"> e</w:t>
      </w:r>
      <w:r w:rsidR="000D7D39" w:rsidRPr="002F6F31">
        <w:rPr>
          <w:rFonts w:ascii="Verdana" w:hAnsi="Verdana"/>
          <w:spacing w:val="-2"/>
          <w:sz w:val="20"/>
          <w:szCs w:val="20"/>
        </w:rPr>
        <w:t xml:space="preserve">l </w:t>
      </w:r>
      <w:r w:rsidR="0069092A" w:rsidRPr="002F6F31">
        <w:rPr>
          <w:rFonts w:ascii="Verdana" w:hAnsi="Verdana"/>
          <w:spacing w:val="-2"/>
          <w:sz w:val="20"/>
          <w:szCs w:val="20"/>
        </w:rPr>
        <w:t xml:space="preserve">30 de abril de 2014 el Fiscal formalizó la denuncia penal </w:t>
      </w:r>
      <w:r w:rsidR="0069092A" w:rsidRPr="002F6F31">
        <w:rPr>
          <w:rFonts w:ascii="Verdana" w:eastAsia="Calibri" w:hAnsi="Verdana"/>
          <w:spacing w:val="-2"/>
          <w:sz w:val="20"/>
          <w:szCs w:val="20"/>
        </w:rPr>
        <w:t xml:space="preserve">ante el Juzgado Penal Nacional de Turno de Lima, </w:t>
      </w:r>
      <w:r w:rsidR="000D7D39" w:rsidRPr="002F6F31">
        <w:rPr>
          <w:rFonts w:ascii="Verdana" w:hAnsi="Verdana"/>
          <w:spacing w:val="-2"/>
          <w:sz w:val="20"/>
          <w:szCs w:val="20"/>
        </w:rPr>
        <w:t xml:space="preserve">y el 20 de mayo de 2014, el Primer Juzgado Penal Nacional emitió auto de procesamiento, mediante el cual promovió la acción penal en contra de varias personas por los delitos de secuestro, violación sexual y tortura. </w:t>
      </w:r>
    </w:p>
    <w:p w14:paraId="0729AAFA" w14:textId="77777777" w:rsidR="00D66FF5" w:rsidRPr="002F6F31" w:rsidRDefault="00D66FF5" w:rsidP="002F6F31">
      <w:pPr>
        <w:contextualSpacing/>
        <w:jc w:val="both"/>
        <w:rPr>
          <w:rFonts w:ascii="Verdana" w:eastAsia="Calibri" w:hAnsi="Verdana"/>
          <w:spacing w:val="-2"/>
          <w:sz w:val="20"/>
          <w:szCs w:val="20"/>
        </w:rPr>
      </w:pPr>
    </w:p>
    <w:p w14:paraId="6490F583" w14:textId="77777777" w:rsidR="00D66FF5" w:rsidRPr="002F6F31" w:rsidRDefault="00E65A75" w:rsidP="002F6F31">
      <w:pPr>
        <w:pStyle w:val="Prrafodelista"/>
        <w:numPr>
          <w:ilvl w:val="0"/>
          <w:numId w:val="1"/>
        </w:numPr>
        <w:jc w:val="both"/>
        <w:rPr>
          <w:rFonts w:ascii="Verdana" w:eastAsia="Calibri" w:hAnsi="Verdana"/>
          <w:b/>
          <w:spacing w:val="-2"/>
          <w:sz w:val="20"/>
          <w:szCs w:val="20"/>
        </w:rPr>
      </w:pPr>
      <w:r w:rsidRPr="002F6F31">
        <w:rPr>
          <w:rFonts w:ascii="Verdana" w:eastAsia="Calibri" w:hAnsi="Verdana"/>
          <w:b/>
          <w:spacing w:val="-2"/>
          <w:sz w:val="20"/>
          <w:szCs w:val="20"/>
        </w:rPr>
        <w:t>Excepciones Preliminares y Consideraciones Previas</w:t>
      </w:r>
    </w:p>
    <w:p w14:paraId="28278160" w14:textId="77777777" w:rsidR="00E65A75" w:rsidRPr="002F6F31" w:rsidRDefault="00E65A75" w:rsidP="002F6F31">
      <w:pPr>
        <w:jc w:val="both"/>
        <w:rPr>
          <w:rFonts w:ascii="Verdana" w:eastAsia="Calibri" w:hAnsi="Verdana"/>
          <w:b/>
          <w:spacing w:val="-2"/>
          <w:sz w:val="20"/>
          <w:szCs w:val="20"/>
        </w:rPr>
      </w:pPr>
    </w:p>
    <w:p w14:paraId="0E9B111A" w14:textId="77777777" w:rsidR="00AE6B5F" w:rsidRPr="002F6F31" w:rsidRDefault="00E65A75" w:rsidP="002F6F31">
      <w:pPr>
        <w:jc w:val="both"/>
        <w:rPr>
          <w:rFonts w:ascii="Verdana" w:eastAsia="Calibri" w:hAnsi="Verdana"/>
          <w:spacing w:val="-2"/>
          <w:sz w:val="20"/>
          <w:szCs w:val="20"/>
        </w:rPr>
      </w:pPr>
      <w:r w:rsidRPr="002F6F31">
        <w:rPr>
          <w:rFonts w:ascii="Verdana" w:eastAsia="Calibri" w:hAnsi="Verdana"/>
          <w:spacing w:val="-2"/>
          <w:sz w:val="20"/>
          <w:szCs w:val="20"/>
        </w:rPr>
        <w:t xml:space="preserve">La Corte </w:t>
      </w:r>
      <w:r w:rsidR="00CF09DD" w:rsidRPr="002F6F31">
        <w:rPr>
          <w:rFonts w:ascii="Verdana" w:eastAsia="Calibri" w:hAnsi="Verdana"/>
          <w:spacing w:val="-2"/>
          <w:sz w:val="20"/>
          <w:szCs w:val="20"/>
        </w:rPr>
        <w:t>resolvió</w:t>
      </w:r>
      <w:r w:rsidR="009B673C" w:rsidRPr="002F6F31">
        <w:rPr>
          <w:rFonts w:ascii="Verdana" w:eastAsia="Calibri" w:hAnsi="Verdana"/>
          <w:spacing w:val="-2"/>
          <w:sz w:val="20"/>
          <w:szCs w:val="20"/>
        </w:rPr>
        <w:t xml:space="preserve"> dos</w:t>
      </w:r>
      <w:r w:rsidRPr="002F6F31">
        <w:rPr>
          <w:rFonts w:ascii="Verdana" w:eastAsia="Calibri" w:hAnsi="Verdana"/>
          <w:spacing w:val="-2"/>
          <w:sz w:val="20"/>
          <w:szCs w:val="20"/>
        </w:rPr>
        <w:t xml:space="preserve"> excepciones preliminares </w:t>
      </w:r>
      <w:r w:rsidR="009B673C" w:rsidRPr="002F6F31">
        <w:rPr>
          <w:rFonts w:ascii="Verdana" w:eastAsia="Calibri" w:hAnsi="Verdana"/>
          <w:spacing w:val="-2"/>
          <w:sz w:val="20"/>
          <w:szCs w:val="20"/>
        </w:rPr>
        <w:t>interpuestas por el Estado</w:t>
      </w:r>
      <w:r w:rsidR="003D26B6">
        <w:rPr>
          <w:rFonts w:ascii="Verdana" w:eastAsia="Calibri" w:hAnsi="Verdana"/>
          <w:spacing w:val="-2"/>
          <w:sz w:val="20"/>
          <w:szCs w:val="20"/>
        </w:rPr>
        <w:t>, alegando la</w:t>
      </w:r>
      <w:r w:rsidR="009B673C" w:rsidRPr="002F6F31">
        <w:rPr>
          <w:rFonts w:ascii="Verdana" w:eastAsia="Calibri" w:hAnsi="Verdana"/>
          <w:spacing w:val="-2"/>
          <w:sz w:val="20"/>
          <w:szCs w:val="20"/>
        </w:rPr>
        <w:t xml:space="preserve"> </w:t>
      </w:r>
      <w:r w:rsidR="0052447A" w:rsidRPr="002F6F31">
        <w:rPr>
          <w:rFonts w:ascii="Verdana" w:eastAsia="Calibri" w:hAnsi="Verdana"/>
          <w:spacing w:val="-2"/>
          <w:sz w:val="20"/>
          <w:szCs w:val="20"/>
        </w:rPr>
        <w:t>falta de competencia</w:t>
      </w:r>
      <w:r w:rsidR="0052447A" w:rsidRPr="002F6F31">
        <w:rPr>
          <w:rFonts w:ascii="Verdana" w:eastAsia="Calibri" w:hAnsi="Verdana"/>
          <w:i/>
          <w:spacing w:val="-2"/>
          <w:sz w:val="20"/>
          <w:szCs w:val="20"/>
        </w:rPr>
        <w:t xml:space="preserve"> </w:t>
      </w:r>
      <w:proofErr w:type="spellStart"/>
      <w:r w:rsidR="0052447A" w:rsidRPr="002F6F31">
        <w:rPr>
          <w:rFonts w:ascii="Verdana" w:eastAsia="Calibri" w:hAnsi="Verdana"/>
          <w:i/>
          <w:spacing w:val="-2"/>
          <w:sz w:val="20"/>
          <w:szCs w:val="20"/>
        </w:rPr>
        <w:t>ratione</w:t>
      </w:r>
      <w:proofErr w:type="spellEnd"/>
      <w:r w:rsidR="0052447A" w:rsidRPr="002F6F31">
        <w:rPr>
          <w:rFonts w:ascii="Verdana" w:eastAsia="Calibri" w:hAnsi="Verdana"/>
          <w:i/>
          <w:spacing w:val="-2"/>
          <w:sz w:val="20"/>
          <w:szCs w:val="20"/>
        </w:rPr>
        <w:t xml:space="preserve"> materia</w:t>
      </w:r>
      <w:r w:rsidR="0052447A" w:rsidRPr="002F6F31">
        <w:rPr>
          <w:rFonts w:ascii="Verdana" w:eastAsia="Calibri" w:hAnsi="Verdana"/>
          <w:spacing w:val="-2"/>
          <w:sz w:val="20"/>
          <w:szCs w:val="20"/>
        </w:rPr>
        <w:t xml:space="preserve"> y </w:t>
      </w:r>
      <w:proofErr w:type="spellStart"/>
      <w:r w:rsidR="0052447A" w:rsidRPr="002F6F31">
        <w:rPr>
          <w:rFonts w:ascii="Verdana" w:eastAsia="Calibri" w:hAnsi="Verdana"/>
          <w:i/>
          <w:spacing w:val="-2"/>
          <w:sz w:val="20"/>
          <w:szCs w:val="20"/>
        </w:rPr>
        <w:t>ratione</w:t>
      </w:r>
      <w:proofErr w:type="spellEnd"/>
      <w:r w:rsidR="0052447A" w:rsidRPr="002F6F31">
        <w:rPr>
          <w:rFonts w:ascii="Verdana" w:eastAsia="Calibri" w:hAnsi="Verdana"/>
          <w:i/>
          <w:spacing w:val="-2"/>
          <w:sz w:val="20"/>
          <w:szCs w:val="20"/>
        </w:rPr>
        <w:t xml:space="preserve"> </w:t>
      </w:r>
      <w:proofErr w:type="spellStart"/>
      <w:r w:rsidR="0052447A" w:rsidRPr="002F6F31">
        <w:rPr>
          <w:rFonts w:ascii="Verdana" w:eastAsia="Calibri" w:hAnsi="Verdana"/>
          <w:i/>
          <w:spacing w:val="-2"/>
          <w:sz w:val="20"/>
          <w:szCs w:val="20"/>
        </w:rPr>
        <w:t>temporis</w:t>
      </w:r>
      <w:proofErr w:type="spellEnd"/>
      <w:r w:rsidR="0052447A" w:rsidRPr="002F6F31">
        <w:rPr>
          <w:rFonts w:ascii="Verdana" w:eastAsia="Calibri" w:hAnsi="Verdana"/>
          <w:spacing w:val="-2"/>
          <w:sz w:val="20"/>
          <w:szCs w:val="20"/>
        </w:rPr>
        <w:t xml:space="preserve"> </w:t>
      </w:r>
      <w:r w:rsidRPr="002F6F31">
        <w:rPr>
          <w:rFonts w:ascii="Verdana" w:eastAsia="Calibri" w:hAnsi="Verdana"/>
          <w:spacing w:val="-2"/>
          <w:sz w:val="20"/>
          <w:szCs w:val="20"/>
        </w:rPr>
        <w:t>de la Corte</w:t>
      </w:r>
      <w:r w:rsidR="000C59A1" w:rsidRPr="002F6F31">
        <w:rPr>
          <w:rFonts w:ascii="Verdana" w:eastAsia="Calibri" w:hAnsi="Verdana"/>
          <w:spacing w:val="-2"/>
          <w:sz w:val="20"/>
          <w:szCs w:val="20"/>
        </w:rPr>
        <w:t xml:space="preserve"> para conocer sobre el artículo 7 de la </w:t>
      </w:r>
      <w:r w:rsidR="000C59A1" w:rsidRPr="002F6F31">
        <w:rPr>
          <w:rFonts w:ascii="Verdana" w:eastAsia="Calibri" w:hAnsi="Verdana" w:cs="Arial"/>
          <w:spacing w:val="-2"/>
          <w:sz w:val="20"/>
          <w:szCs w:val="20"/>
        </w:rPr>
        <w:t>Convención Interamericana para Prevenir, Sancionar y Erradicar la Violencia contra la Mujer (Convención de Belém do Pará)</w:t>
      </w:r>
      <w:r w:rsidRPr="002F6F31">
        <w:rPr>
          <w:rFonts w:ascii="Verdana" w:eastAsia="Calibri" w:hAnsi="Verdana"/>
          <w:spacing w:val="-2"/>
          <w:sz w:val="20"/>
          <w:szCs w:val="20"/>
        </w:rPr>
        <w:t xml:space="preserve">. </w:t>
      </w:r>
      <w:r w:rsidR="00596753" w:rsidRPr="002F6F31">
        <w:rPr>
          <w:rFonts w:ascii="Verdana" w:eastAsia="Calibri" w:hAnsi="Verdana"/>
          <w:spacing w:val="-2"/>
          <w:sz w:val="20"/>
          <w:szCs w:val="20"/>
        </w:rPr>
        <w:t xml:space="preserve">Respecto a su competencia </w:t>
      </w:r>
      <w:proofErr w:type="spellStart"/>
      <w:r w:rsidR="00596753" w:rsidRPr="002F6F31">
        <w:rPr>
          <w:rFonts w:ascii="Verdana" w:eastAsia="Calibri" w:hAnsi="Verdana"/>
          <w:i/>
          <w:spacing w:val="-2"/>
          <w:sz w:val="20"/>
          <w:szCs w:val="20"/>
        </w:rPr>
        <w:t>ratione</w:t>
      </w:r>
      <w:proofErr w:type="spellEnd"/>
      <w:r w:rsidR="00596753" w:rsidRPr="002F6F31">
        <w:rPr>
          <w:rFonts w:ascii="Verdana" w:eastAsia="Calibri" w:hAnsi="Verdana"/>
          <w:i/>
          <w:spacing w:val="-2"/>
          <w:sz w:val="20"/>
          <w:szCs w:val="20"/>
        </w:rPr>
        <w:t xml:space="preserve"> materia,</w:t>
      </w:r>
      <w:r w:rsidR="00596753" w:rsidRPr="002F6F31">
        <w:rPr>
          <w:rFonts w:ascii="Verdana" w:eastAsia="Calibri" w:hAnsi="Verdana"/>
          <w:spacing w:val="-2"/>
          <w:sz w:val="20"/>
          <w:szCs w:val="20"/>
        </w:rPr>
        <w:t xml:space="preserve"> l</w:t>
      </w:r>
      <w:r w:rsidRPr="002F6F31">
        <w:rPr>
          <w:rFonts w:ascii="Verdana" w:eastAsia="Calibri" w:hAnsi="Verdana"/>
          <w:spacing w:val="-2"/>
          <w:sz w:val="20"/>
          <w:szCs w:val="20"/>
        </w:rPr>
        <w:t>a</w:t>
      </w:r>
      <w:r w:rsidR="00596753" w:rsidRPr="002F6F31">
        <w:rPr>
          <w:rFonts w:ascii="Verdana" w:eastAsia="Calibri" w:hAnsi="Verdana"/>
          <w:spacing w:val="-2"/>
          <w:sz w:val="20"/>
          <w:szCs w:val="20"/>
        </w:rPr>
        <w:t xml:space="preserve"> Corte</w:t>
      </w:r>
      <w:r w:rsidRPr="002F6F31">
        <w:rPr>
          <w:rFonts w:ascii="Verdana" w:eastAsia="Calibri" w:hAnsi="Verdana"/>
          <w:spacing w:val="-2"/>
          <w:sz w:val="20"/>
          <w:szCs w:val="20"/>
        </w:rPr>
        <w:t xml:space="preserve"> </w:t>
      </w:r>
      <w:r w:rsidR="00596753" w:rsidRPr="002F6F31">
        <w:rPr>
          <w:rFonts w:ascii="Verdana" w:eastAsia="Calibri" w:hAnsi="Verdana"/>
          <w:spacing w:val="-2"/>
          <w:sz w:val="20"/>
          <w:szCs w:val="20"/>
        </w:rPr>
        <w:t xml:space="preserve">reiteró que el </w:t>
      </w:r>
      <w:r w:rsidR="00596753" w:rsidRPr="002F6F31">
        <w:rPr>
          <w:rFonts w:ascii="Verdana" w:eastAsia="Calibri" w:hAnsi="Verdana" w:cs="Arial"/>
          <w:spacing w:val="-2"/>
          <w:sz w:val="20"/>
          <w:szCs w:val="20"/>
        </w:rPr>
        <w:t xml:space="preserve">artículo 12 de dicho instrumento concede competencia a la Corte al no exceptuar de su </w:t>
      </w:r>
      <w:r w:rsidR="00596753" w:rsidRPr="002F6F31">
        <w:rPr>
          <w:rFonts w:ascii="Verdana" w:eastAsia="Calibri" w:hAnsi="Verdana" w:cs="Arial"/>
          <w:spacing w:val="-2"/>
          <w:sz w:val="20"/>
          <w:szCs w:val="20"/>
        </w:rPr>
        <w:lastRenderedPageBreak/>
        <w:t>aplicación ninguna de las normas y requisitos de procedimiento para las comunicaciones individual</w:t>
      </w:r>
      <w:r w:rsidR="00387D3A" w:rsidRPr="002F6F31">
        <w:rPr>
          <w:rFonts w:ascii="Verdana" w:eastAsia="Calibri" w:hAnsi="Verdana" w:cs="Arial"/>
          <w:spacing w:val="-2"/>
          <w:sz w:val="20"/>
          <w:szCs w:val="20"/>
        </w:rPr>
        <w:t>e</w:t>
      </w:r>
      <w:r w:rsidR="00596753" w:rsidRPr="002F6F31">
        <w:rPr>
          <w:rFonts w:ascii="Verdana" w:eastAsia="Calibri" w:hAnsi="Verdana" w:cs="Arial"/>
          <w:spacing w:val="-2"/>
          <w:sz w:val="20"/>
          <w:szCs w:val="20"/>
        </w:rPr>
        <w:t>s</w:t>
      </w:r>
      <w:r w:rsidR="00FC46A5" w:rsidRPr="002F6F31">
        <w:rPr>
          <w:rFonts w:ascii="Verdana" w:eastAsia="Calibri" w:hAnsi="Verdana" w:cs="Arial"/>
          <w:spacing w:val="-2"/>
          <w:sz w:val="20"/>
          <w:szCs w:val="20"/>
        </w:rPr>
        <w:t>, y desestimó dicha excepción preliminar</w:t>
      </w:r>
      <w:r w:rsidR="00596753" w:rsidRPr="002F6F31">
        <w:rPr>
          <w:rFonts w:ascii="Verdana" w:eastAsia="Calibri" w:hAnsi="Verdana" w:cs="Arial"/>
          <w:spacing w:val="-2"/>
          <w:sz w:val="20"/>
          <w:szCs w:val="20"/>
        </w:rPr>
        <w:t xml:space="preserve">. En </w:t>
      </w:r>
      <w:r w:rsidR="00D61040" w:rsidRPr="002F6F31">
        <w:rPr>
          <w:rFonts w:ascii="Verdana" w:eastAsia="Calibri" w:hAnsi="Verdana" w:cs="Arial"/>
          <w:spacing w:val="-2"/>
          <w:sz w:val="20"/>
          <w:szCs w:val="20"/>
        </w:rPr>
        <w:t>lo que se refiere</w:t>
      </w:r>
      <w:r w:rsidR="00596753" w:rsidRPr="002F6F31">
        <w:rPr>
          <w:rFonts w:ascii="Verdana" w:eastAsia="Calibri" w:hAnsi="Verdana" w:cs="Arial"/>
          <w:spacing w:val="-2"/>
          <w:sz w:val="20"/>
          <w:szCs w:val="20"/>
        </w:rPr>
        <w:t xml:space="preserve"> a su </w:t>
      </w:r>
      <w:r w:rsidR="00596753" w:rsidRPr="002F6F31">
        <w:rPr>
          <w:rFonts w:ascii="Verdana" w:eastAsia="Calibri" w:hAnsi="Verdana"/>
          <w:spacing w:val="-2"/>
          <w:sz w:val="20"/>
          <w:szCs w:val="20"/>
        </w:rPr>
        <w:t xml:space="preserve">competencia </w:t>
      </w:r>
      <w:proofErr w:type="spellStart"/>
      <w:r w:rsidR="00596753" w:rsidRPr="002F6F31">
        <w:rPr>
          <w:rFonts w:ascii="Verdana" w:eastAsia="Calibri" w:hAnsi="Verdana"/>
          <w:i/>
          <w:spacing w:val="-2"/>
          <w:sz w:val="20"/>
          <w:szCs w:val="20"/>
        </w:rPr>
        <w:t>ratione</w:t>
      </w:r>
      <w:proofErr w:type="spellEnd"/>
      <w:r w:rsidR="00596753" w:rsidRPr="002F6F31">
        <w:rPr>
          <w:rFonts w:ascii="Verdana" w:eastAsia="Calibri" w:hAnsi="Verdana"/>
          <w:i/>
          <w:spacing w:val="-2"/>
          <w:sz w:val="20"/>
          <w:szCs w:val="20"/>
        </w:rPr>
        <w:t xml:space="preserve"> </w:t>
      </w:r>
      <w:proofErr w:type="spellStart"/>
      <w:r w:rsidR="00596753" w:rsidRPr="002F6F31">
        <w:rPr>
          <w:rFonts w:ascii="Verdana" w:eastAsia="Calibri" w:hAnsi="Verdana"/>
          <w:i/>
          <w:spacing w:val="-2"/>
          <w:sz w:val="20"/>
          <w:szCs w:val="20"/>
        </w:rPr>
        <w:t>temporis</w:t>
      </w:r>
      <w:proofErr w:type="spellEnd"/>
      <w:r w:rsidR="00CF09DD" w:rsidRPr="002F6F31">
        <w:rPr>
          <w:rFonts w:ascii="Verdana" w:eastAsia="Calibri" w:hAnsi="Verdana"/>
          <w:spacing w:val="-2"/>
          <w:sz w:val="20"/>
          <w:szCs w:val="20"/>
        </w:rPr>
        <w:t xml:space="preserve">, </w:t>
      </w:r>
      <w:r w:rsidR="00596753" w:rsidRPr="002F6F31">
        <w:rPr>
          <w:rFonts w:ascii="Verdana" w:eastAsia="Calibri" w:hAnsi="Verdana"/>
          <w:spacing w:val="-2"/>
          <w:sz w:val="20"/>
          <w:szCs w:val="20"/>
        </w:rPr>
        <w:t xml:space="preserve">la Corte </w:t>
      </w:r>
      <w:r w:rsidR="00CF09DD" w:rsidRPr="002F6F31">
        <w:rPr>
          <w:rFonts w:ascii="Verdana" w:eastAsia="Calibri" w:hAnsi="Verdana"/>
          <w:spacing w:val="-2"/>
          <w:sz w:val="20"/>
          <w:szCs w:val="20"/>
        </w:rPr>
        <w:t xml:space="preserve">determinó que no tenía competencia para pronunciarse, con base en </w:t>
      </w:r>
      <w:r w:rsidR="00FC46A5" w:rsidRPr="002F6F31">
        <w:rPr>
          <w:rFonts w:ascii="Verdana" w:eastAsia="Calibri" w:hAnsi="Verdana"/>
          <w:spacing w:val="-2"/>
          <w:sz w:val="20"/>
          <w:szCs w:val="20"/>
        </w:rPr>
        <w:t>dicho</w:t>
      </w:r>
      <w:r w:rsidR="00CF09DD" w:rsidRPr="002F6F31">
        <w:rPr>
          <w:rFonts w:ascii="Verdana" w:eastAsia="Calibri" w:hAnsi="Verdana"/>
          <w:spacing w:val="-2"/>
          <w:sz w:val="20"/>
          <w:szCs w:val="20"/>
        </w:rPr>
        <w:t xml:space="preserve"> tratado, sobre los hechos y la falta de investigación previos </w:t>
      </w:r>
      <w:r w:rsidR="00FC46A5" w:rsidRPr="002F6F31">
        <w:rPr>
          <w:rFonts w:ascii="Verdana" w:eastAsia="Calibri" w:hAnsi="Verdana"/>
          <w:spacing w:val="-2"/>
          <w:sz w:val="20"/>
          <w:szCs w:val="20"/>
        </w:rPr>
        <w:t xml:space="preserve">al </w:t>
      </w:r>
      <w:r w:rsidR="00FC46A5" w:rsidRPr="002F6F31">
        <w:rPr>
          <w:rFonts w:ascii="Verdana" w:eastAsia="Batang" w:hAnsi="Verdana" w:cs="Times"/>
          <w:spacing w:val="-2"/>
          <w:sz w:val="20"/>
          <w:szCs w:val="20"/>
        </w:rPr>
        <w:t>4 de junio de 1996</w:t>
      </w:r>
      <w:r w:rsidR="00FC46A5" w:rsidRPr="002F6F31">
        <w:rPr>
          <w:rFonts w:ascii="Verdana" w:eastAsia="Calibri" w:hAnsi="Verdana"/>
          <w:spacing w:val="-2"/>
          <w:sz w:val="20"/>
          <w:szCs w:val="20"/>
        </w:rPr>
        <w:t>, fecha en que el Perú ratificó ese instrumento</w:t>
      </w:r>
      <w:r w:rsidR="002E517B" w:rsidRPr="002F6F31">
        <w:rPr>
          <w:rFonts w:ascii="Verdana" w:eastAsia="Calibri" w:hAnsi="Verdana"/>
          <w:spacing w:val="-2"/>
          <w:sz w:val="20"/>
          <w:szCs w:val="20"/>
        </w:rPr>
        <w:t xml:space="preserve">, </w:t>
      </w:r>
      <w:r w:rsidR="002E517B" w:rsidRPr="002F6F31">
        <w:rPr>
          <w:rFonts w:ascii="Verdana" w:eastAsia="Calibri" w:hAnsi="Verdana" w:cs="Verdana"/>
          <w:spacing w:val="-2"/>
          <w:sz w:val="20"/>
          <w:szCs w:val="20"/>
        </w:rPr>
        <w:t xml:space="preserve">por tanto, </w:t>
      </w:r>
      <w:r w:rsidR="002E517B" w:rsidRPr="002F6F31">
        <w:rPr>
          <w:rFonts w:ascii="Verdana" w:hAnsi="Verdana" w:cs="Verdana"/>
          <w:spacing w:val="-2"/>
          <w:sz w:val="20"/>
          <w:szCs w:val="20"/>
        </w:rPr>
        <w:t>admit</w:t>
      </w:r>
      <w:r w:rsidR="009D3ADA" w:rsidRPr="002F6F31">
        <w:rPr>
          <w:rFonts w:ascii="Verdana" w:hAnsi="Verdana" w:cs="Verdana"/>
          <w:spacing w:val="-2"/>
          <w:sz w:val="20"/>
          <w:szCs w:val="20"/>
        </w:rPr>
        <w:t>ió</w:t>
      </w:r>
      <w:r w:rsidR="002E517B" w:rsidRPr="002F6F31">
        <w:rPr>
          <w:rFonts w:ascii="Verdana" w:hAnsi="Verdana" w:cs="Verdana"/>
          <w:spacing w:val="-2"/>
          <w:sz w:val="20"/>
          <w:szCs w:val="20"/>
        </w:rPr>
        <w:t xml:space="preserve"> parcialmente la excepción </w:t>
      </w:r>
      <w:r w:rsidR="00D61040" w:rsidRPr="002F6F31">
        <w:rPr>
          <w:rFonts w:ascii="Verdana" w:hAnsi="Verdana" w:cs="Verdana"/>
          <w:spacing w:val="-2"/>
          <w:sz w:val="20"/>
          <w:szCs w:val="20"/>
        </w:rPr>
        <w:t>preliminar</w:t>
      </w:r>
      <w:r w:rsidR="00C201E4" w:rsidRPr="002F6F31">
        <w:rPr>
          <w:rFonts w:ascii="Verdana" w:hAnsi="Verdana" w:cs="Verdana"/>
          <w:spacing w:val="-2"/>
          <w:sz w:val="20"/>
          <w:szCs w:val="20"/>
        </w:rPr>
        <w:t>.</w:t>
      </w:r>
      <w:r w:rsidR="00D61040" w:rsidRPr="002F6F31">
        <w:rPr>
          <w:rFonts w:ascii="Verdana" w:eastAsia="Calibri" w:hAnsi="Verdana"/>
          <w:spacing w:val="-2"/>
          <w:sz w:val="20"/>
          <w:szCs w:val="20"/>
        </w:rPr>
        <w:t xml:space="preserve"> </w:t>
      </w:r>
      <w:r w:rsidR="00387D3A" w:rsidRPr="002F6F31">
        <w:rPr>
          <w:rFonts w:ascii="Verdana" w:eastAsia="Calibri" w:hAnsi="Verdana"/>
          <w:spacing w:val="-2"/>
          <w:sz w:val="20"/>
          <w:szCs w:val="20"/>
        </w:rPr>
        <w:t>Además</w:t>
      </w:r>
      <w:r w:rsidR="00B6374A" w:rsidRPr="002F6F31">
        <w:rPr>
          <w:rFonts w:ascii="Verdana" w:eastAsia="Calibri" w:hAnsi="Verdana"/>
          <w:spacing w:val="-2"/>
          <w:sz w:val="20"/>
          <w:szCs w:val="20"/>
        </w:rPr>
        <w:t xml:space="preserve">, la Corte resolvió </w:t>
      </w:r>
      <w:r w:rsidR="00D61040" w:rsidRPr="002F6F31">
        <w:rPr>
          <w:rFonts w:ascii="Verdana" w:eastAsia="Calibri" w:hAnsi="Verdana"/>
          <w:spacing w:val="-2"/>
          <w:sz w:val="20"/>
          <w:szCs w:val="20"/>
        </w:rPr>
        <w:t xml:space="preserve">dos </w:t>
      </w:r>
      <w:r w:rsidR="00387D3A" w:rsidRPr="002F6F31">
        <w:rPr>
          <w:rFonts w:ascii="Verdana" w:eastAsia="Calibri" w:hAnsi="Verdana"/>
          <w:spacing w:val="-2"/>
          <w:sz w:val="20"/>
          <w:szCs w:val="20"/>
        </w:rPr>
        <w:t>consideraciones</w:t>
      </w:r>
      <w:r w:rsidR="00B6374A" w:rsidRPr="002F6F31">
        <w:rPr>
          <w:rFonts w:ascii="Verdana" w:eastAsia="Calibri" w:hAnsi="Verdana"/>
          <w:spacing w:val="-2"/>
          <w:sz w:val="20"/>
          <w:szCs w:val="20"/>
        </w:rPr>
        <w:t xml:space="preserve"> previas relativas a la determinaci</w:t>
      </w:r>
      <w:r w:rsidR="00D61040" w:rsidRPr="002F6F31">
        <w:rPr>
          <w:rFonts w:ascii="Verdana" w:eastAsia="Calibri" w:hAnsi="Verdana"/>
          <w:spacing w:val="-2"/>
          <w:sz w:val="20"/>
          <w:szCs w:val="20"/>
        </w:rPr>
        <w:t xml:space="preserve">ón de las presuntas víctimas y </w:t>
      </w:r>
      <w:r w:rsidR="00B6374A" w:rsidRPr="002F6F31">
        <w:rPr>
          <w:rFonts w:ascii="Verdana" w:eastAsia="Calibri" w:hAnsi="Verdana"/>
          <w:spacing w:val="-2"/>
          <w:sz w:val="20"/>
          <w:szCs w:val="20"/>
        </w:rPr>
        <w:t xml:space="preserve">el marco fáctico </w:t>
      </w:r>
      <w:r w:rsidR="00D61040" w:rsidRPr="002F6F31">
        <w:rPr>
          <w:rFonts w:ascii="Verdana" w:eastAsia="Calibri" w:hAnsi="Verdana"/>
          <w:spacing w:val="-2"/>
          <w:sz w:val="20"/>
          <w:szCs w:val="20"/>
        </w:rPr>
        <w:t>del caso</w:t>
      </w:r>
      <w:r w:rsidR="00B6374A" w:rsidRPr="002F6F31">
        <w:rPr>
          <w:rFonts w:ascii="Verdana" w:eastAsia="Calibri" w:hAnsi="Verdana"/>
          <w:spacing w:val="-2"/>
          <w:sz w:val="20"/>
          <w:szCs w:val="20"/>
        </w:rPr>
        <w:t xml:space="preserve">. En cuanto a la primera, se excluyó </w:t>
      </w:r>
      <w:r w:rsidR="00D61040" w:rsidRPr="002F6F31">
        <w:rPr>
          <w:rFonts w:ascii="Verdana" w:eastAsia="Calibri" w:hAnsi="Verdana"/>
          <w:spacing w:val="-2"/>
          <w:sz w:val="20"/>
          <w:szCs w:val="20"/>
        </w:rPr>
        <w:t xml:space="preserve">como presuntas víctimas </w:t>
      </w:r>
      <w:r w:rsidR="00B6374A" w:rsidRPr="002F6F31">
        <w:rPr>
          <w:rFonts w:ascii="Verdana" w:eastAsia="Calibri" w:hAnsi="Verdana"/>
          <w:spacing w:val="-2"/>
          <w:sz w:val="20"/>
          <w:szCs w:val="20"/>
        </w:rPr>
        <w:t xml:space="preserve">a dos </w:t>
      </w:r>
      <w:r w:rsidR="00D61040" w:rsidRPr="002F6F31">
        <w:rPr>
          <w:rFonts w:ascii="Verdana" w:eastAsia="Calibri" w:hAnsi="Verdana"/>
          <w:spacing w:val="-2"/>
          <w:sz w:val="20"/>
          <w:szCs w:val="20"/>
        </w:rPr>
        <w:t xml:space="preserve">personas </w:t>
      </w:r>
      <w:r w:rsidR="00B6374A" w:rsidRPr="002F6F31">
        <w:rPr>
          <w:rFonts w:ascii="Verdana" w:eastAsia="Calibri" w:hAnsi="Verdana"/>
          <w:spacing w:val="-2"/>
          <w:sz w:val="20"/>
          <w:szCs w:val="20"/>
        </w:rPr>
        <w:t xml:space="preserve">ante su solicitud expresa. </w:t>
      </w:r>
      <w:r w:rsidR="00B30A45" w:rsidRPr="002F6F31">
        <w:rPr>
          <w:rFonts w:ascii="Verdana" w:eastAsia="Calibri" w:hAnsi="Verdana"/>
          <w:spacing w:val="-2"/>
          <w:sz w:val="20"/>
          <w:szCs w:val="20"/>
        </w:rPr>
        <w:t>En relación con</w:t>
      </w:r>
      <w:r w:rsidR="00B6374A" w:rsidRPr="002F6F31">
        <w:rPr>
          <w:rFonts w:ascii="Verdana" w:eastAsia="Calibri" w:hAnsi="Verdana"/>
          <w:spacing w:val="-2"/>
          <w:sz w:val="20"/>
          <w:szCs w:val="20"/>
        </w:rPr>
        <w:t xml:space="preserve"> la segunda, </w:t>
      </w:r>
      <w:r w:rsidR="009B7514" w:rsidRPr="002F6F31">
        <w:rPr>
          <w:rFonts w:ascii="Verdana" w:eastAsia="Calibri" w:hAnsi="Verdana"/>
          <w:spacing w:val="-2"/>
          <w:sz w:val="20"/>
          <w:szCs w:val="20"/>
        </w:rPr>
        <w:t xml:space="preserve">se excluyeron determinados hechos alegados por las partes que no formaban parte del marco fáctico del presente caso. Al respecto, la Corte tomó en consideración que </w:t>
      </w:r>
      <w:r w:rsidR="00B6374A" w:rsidRPr="002F6F31">
        <w:rPr>
          <w:rFonts w:ascii="Verdana" w:eastAsia="Calibri" w:hAnsi="Verdana"/>
          <w:spacing w:val="-2"/>
          <w:sz w:val="20"/>
          <w:szCs w:val="20"/>
        </w:rPr>
        <w:t>la Comisión</w:t>
      </w:r>
      <w:r w:rsidR="009B7514" w:rsidRPr="002F6F31">
        <w:rPr>
          <w:rFonts w:ascii="Verdana" w:eastAsia="Calibri" w:hAnsi="Verdana"/>
          <w:spacing w:val="-2"/>
          <w:sz w:val="20"/>
          <w:szCs w:val="20"/>
        </w:rPr>
        <w:t xml:space="preserve"> Interamericana</w:t>
      </w:r>
      <w:r w:rsidR="00B6374A" w:rsidRPr="002F6F31">
        <w:rPr>
          <w:rFonts w:ascii="Verdana" w:eastAsia="Calibri" w:hAnsi="Verdana"/>
          <w:spacing w:val="-2"/>
          <w:sz w:val="20"/>
          <w:szCs w:val="20"/>
        </w:rPr>
        <w:t xml:space="preserve"> excluyó</w:t>
      </w:r>
      <w:r w:rsidR="009B7514" w:rsidRPr="002F6F31">
        <w:rPr>
          <w:rFonts w:ascii="Verdana" w:eastAsia="Calibri" w:hAnsi="Verdana"/>
          <w:spacing w:val="-2"/>
          <w:sz w:val="20"/>
          <w:szCs w:val="20"/>
        </w:rPr>
        <w:t xml:space="preserve"> expresamente</w:t>
      </w:r>
      <w:r w:rsidR="00B6374A" w:rsidRPr="002F6F31">
        <w:rPr>
          <w:rFonts w:ascii="Verdana" w:eastAsia="Calibri" w:hAnsi="Verdana"/>
          <w:spacing w:val="-2"/>
          <w:sz w:val="20"/>
          <w:szCs w:val="20"/>
        </w:rPr>
        <w:t xml:space="preserve"> del marco fáctico del caso </w:t>
      </w:r>
      <w:r w:rsidR="009B7514" w:rsidRPr="002F6F31">
        <w:rPr>
          <w:rFonts w:ascii="Verdana" w:eastAsia="Calibri" w:hAnsi="Verdana" w:cs="Arial"/>
          <w:spacing w:val="-2"/>
          <w:sz w:val="20"/>
          <w:szCs w:val="20"/>
        </w:rPr>
        <w:t xml:space="preserve">los hechos relacionados con los procesos penales seguidos en contra de </w:t>
      </w:r>
      <w:r w:rsidR="009B7514" w:rsidRPr="002F6F31">
        <w:rPr>
          <w:rFonts w:ascii="Verdana" w:hAnsi="Verdana"/>
          <w:spacing w:val="-2"/>
          <w:sz w:val="20"/>
          <w:szCs w:val="20"/>
        </w:rPr>
        <w:t>Gladys Espinoza</w:t>
      </w:r>
      <w:r w:rsidR="009B7514" w:rsidRPr="002F6F31">
        <w:rPr>
          <w:rFonts w:ascii="Verdana" w:eastAsia="Calibri" w:hAnsi="Verdana" w:cs="Arial"/>
          <w:spacing w:val="-2"/>
          <w:sz w:val="20"/>
          <w:szCs w:val="20"/>
        </w:rPr>
        <w:t>, incluyendo únicamente su “supuesta detención ilegal y arbitraria</w:t>
      </w:r>
      <w:r w:rsidR="00387D3A" w:rsidRPr="002F6F31">
        <w:rPr>
          <w:rFonts w:ascii="Verdana" w:eastAsia="Calibri" w:hAnsi="Verdana" w:cs="Arial"/>
          <w:spacing w:val="-2"/>
          <w:sz w:val="20"/>
          <w:szCs w:val="20"/>
        </w:rPr>
        <w:t>” y “</w:t>
      </w:r>
      <w:r w:rsidR="009B7514" w:rsidRPr="002F6F31">
        <w:rPr>
          <w:rFonts w:ascii="Verdana" w:eastAsia="Calibri" w:hAnsi="Verdana" w:cs="Arial"/>
          <w:spacing w:val="-2"/>
          <w:sz w:val="20"/>
          <w:szCs w:val="20"/>
        </w:rPr>
        <w:t xml:space="preserve">[las] presuntas torturas y condiciones inhumanas de detención de las que habría sido objeto, así como la alegada ausencia de </w:t>
      </w:r>
      <w:r w:rsidR="009B7514" w:rsidRPr="002F6F31">
        <w:rPr>
          <w:rFonts w:ascii="Verdana" w:eastAsia="Calibri" w:hAnsi="Verdana" w:cs="Verdana"/>
          <w:spacing w:val="-2"/>
          <w:sz w:val="20"/>
          <w:szCs w:val="20"/>
        </w:rPr>
        <w:t>investigaciones</w:t>
      </w:r>
      <w:r w:rsidR="009B7514" w:rsidRPr="002F6F31">
        <w:rPr>
          <w:rFonts w:ascii="Verdana" w:eastAsia="Calibri" w:hAnsi="Verdana" w:cs="Arial"/>
          <w:spacing w:val="-2"/>
          <w:sz w:val="20"/>
          <w:szCs w:val="20"/>
        </w:rPr>
        <w:t xml:space="preserve"> al respect</w:t>
      </w:r>
      <w:r w:rsidR="002642C7" w:rsidRPr="002F6F31">
        <w:rPr>
          <w:rFonts w:ascii="Verdana" w:eastAsia="Calibri" w:hAnsi="Verdana" w:cs="Arial"/>
          <w:spacing w:val="-2"/>
          <w:sz w:val="20"/>
          <w:szCs w:val="20"/>
        </w:rPr>
        <w:t>o</w:t>
      </w:r>
      <w:r w:rsidR="009B7514" w:rsidRPr="002F6F31">
        <w:rPr>
          <w:rFonts w:ascii="Verdana" w:eastAsia="Calibri" w:hAnsi="Verdana" w:cs="Arial"/>
          <w:spacing w:val="-2"/>
          <w:sz w:val="20"/>
          <w:szCs w:val="20"/>
        </w:rPr>
        <w:t>”.</w:t>
      </w:r>
    </w:p>
    <w:p w14:paraId="6DEBC206" w14:textId="77777777" w:rsidR="00D5510D" w:rsidRPr="002F6F31" w:rsidRDefault="00D5510D" w:rsidP="002F6F31">
      <w:pPr>
        <w:jc w:val="both"/>
        <w:rPr>
          <w:rFonts w:ascii="Verdana" w:eastAsia="Calibri" w:hAnsi="Verdana"/>
          <w:spacing w:val="-2"/>
          <w:sz w:val="20"/>
          <w:szCs w:val="20"/>
        </w:rPr>
      </w:pPr>
    </w:p>
    <w:p w14:paraId="087F4723" w14:textId="77777777" w:rsidR="00D5510D" w:rsidRPr="002F6F31" w:rsidRDefault="00D5510D" w:rsidP="002F6F31">
      <w:pPr>
        <w:pStyle w:val="Prrafodelista"/>
        <w:numPr>
          <w:ilvl w:val="0"/>
          <w:numId w:val="1"/>
        </w:numPr>
        <w:jc w:val="both"/>
        <w:rPr>
          <w:rFonts w:ascii="Verdana" w:eastAsia="Calibri" w:hAnsi="Verdana"/>
          <w:b/>
          <w:spacing w:val="-2"/>
          <w:sz w:val="20"/>
          <w:szCs w:val="20"/>
        </w:rPr>
      </w:pPr>
      <w:r w:rsidRPr="002F6F31">
        <w:rPr>
          <w:rFonts w:ascii="Verdana" w:eastAsia="Calibri" w:hAnsi="Verdana"/>
          <w:b/>
          <w:spacing w:val="-2"/>
          <w:sz w:val="20"/>
          <w:szCs w:val="20"/>
        </w:rPr>
        <w:t>Fondo</w:t>
      </w:r>
    </w:p>
    <w:p w14:paraId="15D8AD02" w14:textId="77777777" w:rsidR="00D5510D" w:rsidRPr="002F6F31" w:rsidRDefault="00D5510D" w:rsidP="002F6F31">
      <w:pPr>
        <w:jc w:val="both"/>
        <w:rPr>
          <w:rFonts w:ascii="Verdana" w:eastAsia="Calibri" w:hAnsi="Verdana"/>
          <w:b/>
          <w:spacing w:val="-2"/>
          <w:sz w:val="20"/>
          <w:szCs w:val="20"/>
        </w:rPr>
      </w:pPr>
    </w:p>
    <w:p w14:paraId="3471EE68" w14:textId="77777777" w:rsidR="00D5510D" w:rsidRPr="002F6F31" w:rsidRDefault="00C53443" w:rsidP="002F6F31">
      <w:pPr>
        <w:jc w:val="both"/>
        <w:rPr>
          <w:rFonts w:ascii="Verdana" w:hAnsi="Verdana"/>
          <w:spacing w:val="-2"/>
          <w:sz w:val="20"/>
          <w:szCs w:val="20"/>
        </w:rPr>
      </w:pPr>
      <w:r w:rsidRPr="002F6F31">
        <w:rPr>
          <w:rFonts w:ascii="Verdana" w:hAnsi="Verdana"/>
          <w:spacing w:val="-2"/>
          <w:sz w:val="20"/>
          <w:szCs w:val="20"/>
        </w:rPr>
        <w:t>L</w:t>
      </w:r>
      <w:r w:rsidR="006F73B4" w:rsidRPr="002F6F31">
        <w:rPr>
          <w:rFonts w:ascii="Verdana" w:hAnsi="Verdana"/>
          <w:spacing w:val="-2"/>
          <w:sz w:val="20"/>
          <w:szCs w:val="20"/>
        </w:rPr>
        <w:t>a Corte determinó que el Perú violó, en perjuicio de Gladys Espinoza</w:t>
      </w:r>
      <w:r w:rsidR="00D25183" w:rsidRPr="002F6F31">
        <w:rPr>
          <w:rFonts w:ascii="Verdana" w:hAnsi="Verdana"/>
          <w:spacing w:val="-2"/>
          <w:sz w:val="20"/>
          <w:szCs w:val="20"/>
        </w:rPr>
        <w:t>, y</w:t>
      </w:r>
      <w:r w:rsidR="006F73B4" w:rsidRPr="002F6F31">
        <w:rPr>
          <w:rFonts w:ascii="Verdana" w:hAnsi="Verdana"/>
          <w:spacing w:val="-2"/>
          <w:sz w:val="20"/>
          <w:szCs w:val="20"/>
        </w:rPr>
        <w:t xml:space="preserve"> en relación con el artículo 1.1 de </w:t>
      </w:r>
      <w:r w:rsidR="00D25183" w:rsidRPr="002F6F31">
        <w:rPr>
          <w:rFonts w:ascii="Verdana" w:hAnsi="Verdana"/>
          <w:spacing w:val="-2"/>
          <w:sz w:val="20"/>
          <w:szCs w:val="20"/>
        </w:rPr>
        <w:t>la Convención</w:t>
      </w:r>
      <w:r w:rsidR="007D24FF" w:rsidRPr="002F6F31">
        <w:rPr>
          <w:rFonts w:ascii="Verdana" w:hAnsi="Verdana"/>
          <w:spacing w:val="-2"/>
          <w:sz w:val="20"/>
          <w:szCs w:val="20"/>
        </w:rPr>
        <w:t xml:space="preserve"> Americana</w:t>
      </w:r>
      <w:r w:rsidR="00AD5DFC" w:rsidRPr="002F6F31">
        <w:rPr>
          <w:rFonts w:ascii="Verdana" w:hAnsi="Verdana"/>
          <w:spacing w:val="-2"/>
          <w:sz w:val="20"/>
          <w:szCs w:val="20"/>
        </w:rPr>
        <w:t xml:space="preserve"> sobre Derechos Humanos</w:t>
      </w:r>
      <w:r w:rsidR="006F73B4" w:rsidRPr="002F6F31">
        <w:rPr>
          <w:rFonts w:ascii="Verdana" w:hAnsi="Verdana"/>
          <w:spacing w:val="-2"/>
          <w:sz w:val="20"/>
          <w:szCs w:val="20"/>
        </w:rPr>
        <w:t xml:space="preserve">: a) los artículos 7.1 y 7.2 de </w:t>
      </w:r>
      <w:r w:rsidR="00D25183" w:rsidRPr="002F6F31">
        <w:rPr>
          <w:rFonts w:ascii="Verdana" w:hAnsi="Verdana"/>
          <w:spacing w:val="-2"/>
          <w:sz w:val="20"/>
          <w:szCs w:val="20"/>
        </w:rPr>
        <w:t>dicho tratado</w:t>
      </w:r>
      <w:r w:rsidR="00647971" w:rsidRPr="002F6F31">
        <w:rPr>
          <w:rFonts w:ascii="Verdana" w:hAnsi="Verdana"/>
          <w:spacing w:val="-2"/>
          <w:sz w:val="20"/>
          <w:szCs w:val="20"/>
        </w:rPr>
        <w:t xml:space="preserve">, </w:t>
      </w:r>
      <w:r w:rsidR="006F73B4" w:rsidRPr="002F6F31">
        <w:rPr>
          <w:rFonts w:ascii="Verdana" w:hAnsi="Verdana"/>
          <w:spacing w:val="-2"/>
          <w:sz w:val="20"/>
          <w:szCs w:val="20"/>
        </w:rPr>
        <w:t>por la falta de un registro adecuado de dicha detención; b) los artículos 7.1 y 7.4 de</w:t>
      </w:r>
      <w:r w:rsidR="00E71052" w:rsidRPr="002F6F31">
        <w:rPr>
          <w:rFonts w:ascii="Verdana" w:hAnsi="Verdana"/>
          <w:spacing w:val="-2"/>
          <w:sz w:val="20"/>
          <w:szCs w:val="20"/>
        </w:rPr>
        <w:t>l tratado</w:t>
      </w:r>
      <w:r w:rsidR="006F73B4" w:rsidRPr="002F6F31">
        <w:rPr>
          <w:rFonts w:ascii="Verdana" w:hAnsi="Verdana"/>
          <w:spacing w:val="-2"/>
          <w:sz w:val="20"/>
          <w:szCs w:val="20"/>
        </w:rPr>
        <w:t>, en razón que no se le informó de las razones de la detención ni se le notificaron los cargos formulados según los estándares convencionales; c) los artículos 7.1, 7.3 y 7.5 de</w:t>
      </w:r>
      <w:r w:rsidR="00D25183" w:rsidRPr="002F6F31">
        <w:rPr>
          <w:rFonts w:ascii="Verdana" w:hAnsi="Verdana"/>
          <w:spacing w:val="-2"/>
          <w:sz w:val="20"/>
          <w:szCs w:val="20"/>
        </w:rPr>
        <w:t>l mismo</w:t>
      </w:r>
      <w:r w:rsidR="006F73B4" w:rsidRPr="002F6F31">
        <w:rPr>
          <w:rFonts w:ascii="Verdana" w:hAnsi="Verdana"/>
          <w:spacing w:val="-2"/>
          <w:sz w:val="20"/>
          <w:szCs w:val="20"/>
        </w:rPr>
        <w:t>, por la falta de control judicial de la detención por al menos 30 días, que hizo que la detención pasase a ser arbitraria, y d) los artículos 7.1 y 7.6 de la Convención, en relación con el artículo 2 de la misma, debido a la imposibilidad de interponer el recurso de hábeas corpus o cualquier otra acción de garantía durant</w:t>
      </w:r>
      <w:r w:rsidR="00E71052" w:rsidRPr="002F6F31">
        <w:rPr>
          <w:rFonts w:ascii="Verdana" w:hAnsi="Verdana"/>
          <w:spacing w:val="-2"/>
          <w:sz w:val="20"/>
          <w:szCs w:val="20"/>
        </w:rPr>
        <w:t>e la vigencia del Decreto Ley 25</w:t>
      </w:r>
      <w:r w:rsidR="006F73B4" w:rsidRPr="002F6F31">
        <w:rPr>
          <w:rFonts w:ascii="Verdana" w:hAnsi="Verdana"/>
          <w:spacing w:val="-2"/>
          <w:sz w:val="20"/>
          <w:szCs w:val="20"/>
        </w:rPr>
        <w:t>.659</w:t>
      </w:r>
      <w:r w:rsidR="007A7FBE" w:rsidRPr="002F6F31">
        <w:rPr>
          <w:rFonts w:ascii="Verdana" w:hAnsi="Verdana"/>
          <w:spacing w:val="-2"/>
          <w:sz w:val="20"/>
          <w:szCs w:val="20"/>
        </w:rPr>
        <w:t xml:space="preserve"> de agosto de 1992, que disp</w:t>
      </w:r>
      <w:r w:rsidR="00E71052" w:rsidRPr="002F6F31">
        <w:rPr>
          <w:rFonts w:ascii="Verdana" w:hAnsi="Verdana"/>
          <w:spacing w:val="-2"/>
          <w:sz w:val="20"/>
          <w:szCs w:val="20"/>
        </w:rPr>
        <w:t xml:space="preserve">uso </w:t>
      </w:r>
      <w:r w:rsidR="007A7FBE" w:rsidRPr="002F6F31">
        <w:rPr>
          <w:rFonts w:ascii="Verdana" w:hAnsi="Verdana"/>
          <w:spacing w:val="-2"/>
          <w:sz w:val="20"/>
          <w:szCs w:val="20"/>
        </w:rPr>
        <w:t xml:space="preserve">la improcedencia de </w:t>
      </w:r>
      <w:r w:rsidR="00E71052" w:rsidRPr="002F6F31">
        <w:rPr>
          <w:rFonts w:ascii="Verdana" w:hAnsi="Verdana"/>
          <w:spacing w:val="-2"/>
          <w:sz w:val="20"/>
          <w:szCs w:val="20"/>
        </w:rPr>
        <w:t xml:space="preserve">las </w:t>
      </w:r>
      <w:r w:rsidR="007A7FBE" w:rsidRPr="002F6F31">
        <w:rPr>
          <w:rFonts w:ascii="Verdana" w:hAnsi="Verdana"/>
          <w:spacing w:val="-2"/>
          <w:sz w:val="20"/>
          <w:szCs w:val="20"/>
        </w:rPr>
        <w:t>Acciones de Garantía de los detenidos, implicados o procesados por los delitos de terrorismo</w:t>
      </w:r>
      <w:r w:rsidR="006F73B4" w:rsidRPr="002F6F31">
        <w:rPr>
          <w:rFonts w:ascii="Verdana" w:hAnsi="Verdana"/>
          <w:spacing w:val="-2"/>
          <w:sz w:val="20"/>
          <w:szCs w:val="20"/>
        </w:rPr>
        <w:t>.</w:t>
      </w:r>
    </w:p>
    <w:p w14:paraId="11D3ECF7" w14:textId="77777777" w:rsidR="009C6EEF" w:rsidRPr="002F6F31" w:rsidRDefault="009C6EEF" w:rsidP="002F6F31">
      <w:pPr>
        <w:jc w:val="both"/>
        <w:rPr>
          <w:rFonts w:ascii="Verdana" w:hAnsi="Verdana"/>
          <w:spacing w:val="-2"/>
          <w:sz w:val="20"/>
          <w:szCs w:val="20"/>
        </w:rPr>
      </w:pPr>
    </w:p>
    <w:p w14:paraId="0A3689C3" w14:textId="77777777" w:rsidR="009C6EEF" w:rsidRPr="002F6F31" w:rsidRDefault="001A6933" w:rsidP="002F6F31">
      <w:pPr>
        <w:jc w:val="both"/>
        <w:rPr>
          <w:rFonts w:ascii="Verdana" w:eastAsia="Calibri" w:hAnsi="Verdana"/>
          <w:spacing w:val="-2"/>
          <w:sz w:val="20"/>
          <w:szCs w:val="20"/>
        </w:rPr>
      </w:pPr>
      <w:r w:rsidRPr="002F6F31">
        <w:rPr>
          <w:rFonts w:ascii="Verdana" w:eastAsia="Calibri" w:hAnsi="Verdana"/>
          <w:spacing w:val="-2"/>
          <w:sz w:val="20"/>
          <w:szCs w:val="20"/>
        </w:rPr>
        <w:t xml:space="preserve">Por otro lado, el Tribunal </w:t>
      </w:r>
      <w:r w:rsidR="00BE6411" w:rsidRPr="002F6F31">
        <w:rPr>
          <w:rFonts w:ascii="Verdana" w:eastAsia="Calibri" w:hAnsi="Verdana"/>
          <w:spacing w:val="-2"/>
          <w:sz w:val="20"/>
          <w:szCs w:val="20"/>
        </w:rPr>
        <w:t>determinó que</w:t>
      </w:r>
      <w:r w:rsidR="00B42D43">
        <w:rPr>
          <w:rFonts w:ascii="Verdana" w:eastAsia="Calibri" w:hAnsi="Verdana"/>
          <w:spacing w:val="-2"/>
          <w:sz w:val="20"/>
          <w:szCs w:val="20"/>
        </w:rPr>
        <w:t xml:space="preserve">, </w:t>
      </w:r>
      <w:r w:rsidR="00E83CCF" w:rsidRPr="002F6F31">
        <w:rPr>
          <w:rFonts w:ascii="Verdana" w:eastAsia="Calibri" w:hAnsi="Verdana"/>
          <w:spacing w:val="-2"/>
          <w:sz w:val="20"/>
          <w:szCs w:val="20"/>
        </w:rPr>
        <w:t>durante su detención el 17 de abril de 1993</w:t>
      </w:r>
      <w:r w:rsidR="00B42D43">
        <w:rPr>
          <w:rFonts w:ascii="Verdana" w:eastAsia="Calibri" w:hAnsi="Verdana"/>
          <w:spacing w:val="-2"/>
          <w:sz w:val="20"/>
          <w:szCs w:val="20"/>
        </w:rPr>
        <w:t>, Gladys Espinoza fue golpeada y amenazada de muerte, entre otros</w:t>
      </w:r>
      <w:r w:rsidR="003A3666">
        <w:rPr>
          <w:rFonts w:ascii="Verdana" w:eastAsia="Calibri" w:hAnsi="Verdana"/>
          <w:spacing w:val="-2"/>
          <w:sz w:val="20"/>
          <w:szCs w:val="20"/>
        </w:rPr>
        <w:t>, y que el Perú no justificó la fuerza utilizada</w:t>
      </w:r>
      <w:r w:rsidR="005C1424">
        <w:rPr>
          <w:rFonts w:ascii="Verdana" w:eastAsia="Calibri" w:hAnsi="Verdana"/>
          <w:spacing w:val="-2"/>
          <w:sz w:val="20"/>
          <w:szCs w:val="20"/>
        </w:rPr>
        <w:t xml:space="preserve"> por sus agentes</w:t>
      </w:r>
      <w:r w:rsidR="003A3666">
        <w:rPr>
          <w:rFonts w:ascii="Verdana" w:eastAsia="Calibri" w:hAnsi="Verdana"/>
          <w:spacing w:val="-2"/>
          <w:sz w:val="20"/>
          <w:szCs w:val="20"/>
        </w:rPr>
        <w:t>,</w:t>
      </w:r>
      <w:r w:rsidR="001D5A5C" w:rsidRPr="002F6F31">
        <w:rPr>
          <w:rFonts w:ascii="Verdana" w:eastAsia="Calibri" w:hAnsi="Verdana"/>
          <w:spacing w:val="-2"/>
          <w:sz w:val="20"/>
          <w:szCs w:val="20"/>
        </w:rPr>
        <w:t xml:space="preserve"> en violación a su </w:t>
      </w:r>
      <w:r w:rsidR="00AD5DFC" w:rsidRPr="002F6F31">
        <w:rPr>
          <w:rFonts w:ascii="Verdana" w:eastAsia="Calibri" w:hAnsi="Verdana"/>
          <w:spacing w:val="-2"/>
          <w:sz w:val="20"/>
          <w:szCs w:val="20"/>
        </w:rPr>
        <w:t>derecho a la integridad personal</w:t>
      </w:r>
      <w:r w:rsidR="003A3666">
        <w:rPr>
          <w:rFonts w:ascii="Verdana" w:eastAsia="Calibri" w:hAnsi="Verdana"/>
          <w:spacing w:val="-2"/>
          <w:sz w:val="20"/>
          <w:szCs w:val="20"/>
        </w:rPr>
        <w:t>. Asimismo, la Corte determinó que la forma en que se dio dicha detención constituyó tortura psicológica</w:t>
      </w:r>
      <w:r w:rsidRPr="002F6F31">
        <w:rPr>
          <w:rFonts w:ascii="Verdana" w:eastAsia="Calibri" w:hAnsi="Verdana"/>
          <w:spacing w:val="-2"/>
          <w:sz w:val="20"/>
          <w:szCs w:val="20"/>
        </w:rPr>
        <w:t xml:space="preserve">. </w:t>
      </w:r>
      <w:r w:rsidR="005C1424">
        <w:rPr>
          <w:rFonts w:ascii="Verdana" w:eastAsia="Calibri" w:hAnsi="Verdana"/>
          <w:spacing w:val="-2"/>
          <w:sz w:val="20"/>
          <w:szCs w:val="20"/>
        </w:rPr>
        <w:t xml:space="preserve">Una vez trasladada a instalaciones de la DIVISE y la DINCOTE, </w:t>
      </w:r>
      <w:r w:rsidRPr="002F6F31">
        <w:rPr>
          <w:rFonts w:ascii="Verdana" w:eastAsia="Calibri" w:hAnsi="Verdana"/>
          <w:spacing w:val="-2"/>
          <w:sz w:val="20"/>
          <w:szCs w:val="20"/>
        </w:rPr>
        <w:t xml:space="preserve">Gladys Espinoza fue víctima de </w:t>
      </w:r>
      <w:r w:rsidR="00E83CCF" w:rsidRPr="002F6F31">
        <w:rPr>
          <w:rFonts w:ascii="Verdana" w:eastAsia="Calibri" w:hAnsi="Verdana"/>
          <w:spacing w:val="-2"/>
          <w:sz w:val="20"/>
          <w:szCs w:val="20"/>
        </w:rPr>
        <w:t>tratos inhumanos y degradantes</w:t>
      </w:r>
      <w:r w:rsidR="005C1424">
        <w:rPr>
          <w:rFonts w:ascii="Verdana" w:eastAsia="Calibri" w:hAnsi="Verdana"/>
          <w:spacing w:val="-2"/>
          <w:sz w:val="20"/>
          <w:szCs w:val="20"/>
        </w:rPr>
        <w:t>,</w:t>
      </w:r>
      <w:r w:rsidR="00E83CCF" w:rsidRPr="002F6F31">
        <w:rPr>
          <w:rFonts w:ascii="Verdana" w:eastAsia="Calibri" w:hAnsi="Verdana"/>
          <w:spacing w:val="-2"/>
          <w:sz w:val="20"/>
          <w:szCs w:val="20"/>
        </w:rPr>
        <w:t xml:space="preserve"> </w:t>
      </w:r>
      <w:r w:rsidRPr="002F6F31">
        <w:rPr>
          <w:rFonts w:ascii="Verdana" w:eastAsia="Calibri" w:hAnsi="Verdana"/>
          <w:spacing w:val="-2"/>
          <w:sz w:val="20"/>
          <w:szCs w:val="20"/>
        </w:rPr>
        <w:t xml:space="preserve">ya que </w:t>
      </w:r>
      <w:r w:rsidR="00E83CCF" w:rsidRPr="002F6F31">
        <w:rPr>
          <w:rFonts w:ascii="Verdana" w:eastAsia="Calibri" w:hAnsi="Verdana"/>
          <w:spacing w:val="-2"/>
          <w:sz w:val="20"/>
          <w:szCs w:val="20"/>
        </w:rPr>
        <w:t>estuvo sometida</w:t>
      </w:r>
      <w:r w:rsidRPr="002F6F31">
        <w:rPr>
          <w:rFonts w:ascii="Verdana" w:eastAsia="Calibri" w:hAnsi="Verdana"/>
          <w:spacing w:val="-2"/>
          <w:sz w:val="20"/>
          <w:szCs w:val="20"/>
        </w:rPr>
        <w:t xml:space="preserve"> a incomunicación</w:t>
      </w:r>
      <w:r w:rsidR="00E83CCF" w:rsidRPr="002F6F31">
        <w:rPr>
          <w:rFonts w:ascii="Verdana" w:eastAsia="Calibri" w:hAnsi="Verdana"/>
          <w:spacing w:val="-2"/>
          <w:sz w:val="20"/>
          <w:szCs w:val="20"/>
        </w:rPr>
        <w:t xml:space="preserve"> por aproximadamente tres semanas, sin acceso a su familia</w:t>
      </w:r>
      <w:r w:rsidRPr="002F6F31">
        <w:rPr>
          <w:rFonts w:ascii="Verdana" w:eastAsia="Calibri" w:hAnsi="Verdana"/>
          <w:spacing w:val="-2"/>
          <w:sz w:val="20"/>
          <w:szCs w:val="20"/>
        </w:rPr>
        <w:t xml:space="preserve">. Asimismo, </w:t>
      </w:r>
      <w:r w:rsidR="005C1424">
        <w:rPr>
          <w:rFonts w:ascii="Verdana" w:eastAsia="Calibri" w:hAnsi="Verdana"/>
          <w:spacing w:val="-2"/>
          <w:sz w:val="20"/>
          <w:szCs w:val="20"/>
        </w:rPr>
        <w:t>en dichos recintos</w:t>
      </w:r>
      <w:r w:rsidR="003A488C" w:rsidRPr="002F6F31">
        <w:rPr>
          <w:rFonts w:ascii="Verdana" w:eastAsia="Calibri" w:hAnsi="Verdana"/>
          <w:spacing w:val="-2"/>
          <w:sz w:val="20"/>
          <w:szCs w:val="20"/>
        </w:rPr>
        <w:t xml:space="preserve"> </w:t>
      </w:r>
      <w:r w:rsidRPr="002F6F31">
        <w:rPr>
          <w:rFonts w:ascii="Verdana" w:eastAsia="Calibri" w:hAnsi="Verdana"/>
          <w:spacing w:val="-2"/>
          <w:sz w:val="20"/>
          <w:szCs w:val="20"/>
        </w:rPr>
        <w:t xml:space="preserve">fue víctima de </w:t>
      </w:r>
      <w:r w:rsidR="003A488C" w:rsidRPr="002F6F31">
        <w:rPr>
          <w:rFonts w:ascii="Verdana" w:eastAsia="Calibri" w:hAnsi="Verdana"/>
          <w:spacing w:val="-2"/>
          <w:sz w:val="20"/>
          <w:szCs w:val="20"/>
        </w:rPr>
        <w:t>tortura</w:t>
      </w:r>
      <w:r w:rsidR="00291A40" w:rsidRPr="002F6F31">
        <w:rPr>
          <w:rFonts w:ascii="Verdana" w:eastAsia="Calibri" w:hAnsi="Verdana"/>
          <w:spacing w:val="-2"/>
          <w:sz w:val="20"/>
          <w:szCs w:val="20"/>
        </w:rPr>
        <w:t xml:space="preserve"> en razón </w:t>
      </w:r>
      <w:r w:rsidR="00DC4882" w:rsidRPr="002F6F31">
        <w:rPr>
          <w:rFonts w:ascii="Verdana" w:eastAsia="Calibri" w:hAnsi="Verdana"/>
          <w:spacing w:val="-2"/>
          <w:sz w:val="20"/>
          <w:szCs w:val="20"/>
        </w:rPr>
        <w:t xml:space="preserve">que se ejerció </w:t>
      </w:r>
      <w:r w:rsidR="00E83CCF" w:rsidRPr="002F6F31">
        <w:rPr>
          <w:rFonts w:ascii="Verdana" w:eastAsia="Calibri" w:hAnsi="Verdana"/>
          <w:spacing w:val="-2"/>
          <w:sz w:val="20"/>
          <w:szCs w:val="20"/>
        </w:rPr>
        <w:t>violencia psicológica y física</w:t>
      </w:r>
      <w:r w:rsidR="00291A40" w:rsidRPr="002F6F31">
        <w:rPr>
          <w:rFonts w:ascii="Verdana" w:eastAsia="Calibri" w:hAnsi="Verdana"/>
          <w:spacing w:val="-2"/>
          <w:sz w:val="20"/>
          <w:szCs w:val="20"/>
        </w:rPr>
        <w:t xml:space="preserve"> contra ella</w:t>
      </w:r>
      <w:r w:rsidR="00DC4882" w:rsidRPr="002F6F31">
        <w:rPr>
          <w:rFonts w:ascii="Verdana" w:eastAsia="Calibri" w:hAnsi="Verdana"/>
          <w:spacing w:val="-2"/>
          <w:sz w:val="20"/>
          <w:szCs w:val="20"/>
        </w:rPr>
        <w:t xml:space="preserve"> con la finalidad de conseguir información respecto del Movimiento Revolucionario T</w:t>
      </w:r>
      <w:r w:rsidR="008C7DBF" w:rsidRPr="002F6F31">
        <w:rPr>
          <w:rFonts w:ascii="Verdana" w:eastAsia="Calibri" w:hAnsi="Verdana"/>
          <w:spacing w:val="-2"/>
          <w:sz w:val="20"/>
          <w:szCs w:val="20"/>
        </w:rPr>
        <w:t>ú</w:t>
      </w:r>
      <w:r w:rsidR="00DC4882" w:rsidRPr="002F6F31">
        <w:rPr>
          <w:rFonts w:ascii="Verdana" w:eastAsia="Calibri" w:hAnsi="Verdana"/>
          <w:spacing w:val="-2"/>
          <w:sz w:val="20"/>
          <w:szCs w:val="20"/>
        </w:rPr>
        <w:t xml:space="preserve">pac Amaru (MRTA) y el secuestro mencionado. A su vez, Gladys Espinoza fue víctima de </w:t>
      </w:r>
      <w:r w:rsidR="00E83CCF" w:rsidRPr="002F6F31">
        <w:rPr>
          <w:rFonts w:ascii="Verdana" w:eastAsia="Calibri" w:hAnsi="Verdana"/>
          <w:spacing w:val="-2"/>
          <w:sz w:val="20"/>
          <w:szCs w:val="20"/>
        </w:rPr>
        <w:t>violación</w:t>
      </w:r>
      <w:r w:rsidR="00DC4882" w:rsidRPr="002F6F31">
        <w:rPr>
          <w:rFonts w:ascii="Verdana" w:eastAsia="Calibri" w:hAnsi="Verdana"/>
          <w:spacing w:val="-2"/>
          <w:sz w:val="20"/>
          <w:szCs w:val="20"/>
        </w:rPr>
        <w:t xml:space="preserve"> sexual</w:t>
      </w:r>
      <w:r w:rsidR="00E83CCF" w:rsidRPr="002F6F31">
        <w:rPr>
          <w:rFonts w:ascii="Verdana" w:eastAsia="Calibri" w:hAnsi="Verdana"/>
          <w:spacing w:val="-2"/>
          <w:sz w:val="20"/>
          <w:szCs w:val="20"/>
        </w:rPr>
        <w:t xml:space="preserve"> y</w:t>
      </w:r>
      <w:r w:rsidR="00DC4882" w:rsidRPr="002F6F31">
        <w:rPr>
          <w:rFonts w:ascii="Verdana" w:eastAsia="Calibri" w:hAnsi="Verdana"/>
          <w:spacing w:val="-2"/>
          <w:sz w:val="20"/>
          <w:szCs w:val="20"/>
        </w:rPr>
        <w:t xml:space="preserve"> otros tipos de</w:t>
      </w:r>
      <w:r w:rsidR="00E83CCF" w:rsidRPr="002F6F31">
        <w:rPr>
          <w:rFonts w:ascii="Verdana" w:eastAsia="Calibri" w:hAnsi="Verdana"/>
          <w:spacing w:val="-2"/>
          <w:sz w:val="20"/>
          <w:szCs w:val="20"/>
        </w:rPr>
        <w:t xml:space="preserve"> violencia sexual</w:t>
      </w:r>
      <w:r w:rsidR="00A23368" w:rsidRPr="002F6F31">
        <w:rPr>
          <w:rFonts w:ascii="Verdana" w:eastAsia="Calibri" w:hAnsi="Verdana"/>
          <w:spacing w:val="-2"/>
          <w:sz w:val="20"/>
          <w:szCs w:val="20"/>
        </w:rPr>
        <w:t xml:space="preserve"> en reiteradas ocasiones y por un período prolongado de tiempo</w:t>
      </w:r>
      <w:r w:rsidR="00AA02E2" w:rsidRPr="002F6F31">
        <w:rPr>
          <w:rFonts w:ascii="Verdana" w:eastAsia="Calibri" w:hAnsi="Verdana"/>
          <w:spacing w:val="-2"/>
          <w:sz w:val="20"/>
          <w:szCs w:val="20"/>
        </w:rPr>
        <w:t>.</w:t>
      </w:r>
      <w:r w:rsidR="00E83CCF" w:rsidRPr="002F6F31">
        <w:rPr>
          <w:rFonts w:ascii="Verdana" w:eastAsia="Calibri" w:hAnsi="Verdana"/>
          <w:spacing w:val="-2"/>
          <w:sz w:val="20"/>
          <w:szCs w:val="20"/>
        </w:rPr>
        <w:t xml:space="preserve"> </w:t>
      </w:r>
      <w:r w:rsidR="00A23368" w:rsidRPr="002F6F31">
        <w:rPr>
          <w:rFonts w:ascii="Verdana" w:eastAsia="Calibri" w:hAnsi="Verdana"/>
          <w:spacing w:val="-2"/>
          <w:sz w:val="20"/>
          <w:szCs w:val="20"/>
        </w:rPr>
        <w:t>A</w:t>
      </w:r>
      <w:r w:rsidR="00AA02E2" w:rsidRPr="002F6F31">
        <w:rPr>
          <w:rFonts w:ascii="Verdana" w:eastAsia="Calibri" w:hAnsi="Verdana"/>
          <w:spacing w:val="-2"/>
          <w:sz w:val="20"/>
          <w:szCs w:val="20"/>
        </w:rPr>
        <w:t xml:space="preserve">l respecto, </w:t>
      </w:r>
      <w:r w:rsidR="00A23368" w:rsidRPr="002F6F31">
        <w:rPr>
          <w:rFonts w:ascii="Verdana" w:eastAsia="Calibri" w:hAnsi="Verdana"/>
          <w:spacing w:val="-2"/>
          <w:sz w:val="20"/>
          <w:szCs w:val="20"/>
        </w:rPr>
        <w:t>la Corte determinó que</w:t>
      </w:r>
      <w:r w:rsidR="00D31A69" w:rsidRPr="002F6F31">
        <w:rPr>
          <w:rFonts w:ascii="Verdana" w:eastAsia="Calibri" w:hAnsi="Verdana"/>
          <w:spacing w:val="-2"/>
          <w:sz w:val="20"/>
          <w:szCs w:val="20"/>
        </w:rPr>
        <w:t>,</w:t>
      </w:r>
      <w:r w:rsidR="00A23368" w:rsidRPr="002F6F31">
        <w:rPr>
          <w:rFonts w:ascii="Verdana" w:eastAsia="Calibri" w:hAnsi="Verdana"/>
          <w:spacing w:val="-2"/>
          <w:sz w:val="20"/>
          <w:szCs w:val="20"/>
        </w:rPr>
        <w:t xml:space="preserve"> </w:t>
      </w:r>
      <w:r w:rsidR="00AA02E2" w:rsidRPr="002F6F31">
        <w:rPr>
          <w:rFonts w:ascii="Verdana" w:eastAsia="Calibri" w:hAnsi="Verdana"/>
          <w:spacing w:val="-2"/>
          <w:sz w:val="20"/>
          <w:szCs w:val="20"/>
        </w:rPr>
        <w:t xml:space="preserve">debido a </w:t>
      </w:r>
      <w:r w:rsidR="00D31A69" w:rsidRPr="002F6F31">
        <w:rPr>
          <w:rFonts w:ascii="Verdana" w:eastAsia="Calibri" w:hAnsi="Verdana"/>
          <w:spacing w:val="-2"/>
          <w:sz w:val="20"/>
          <w:szCs w:val="20"/>
        </w:rPr>
        <w:t xml:space="preserve">que lo sucedido a la señora Espinoza fue consistente con la práctica generalizada de violación sexual y otras formas de violencia sexual que afectaron principalmente a las mujeres </w:t>
      </w:r>
      <w:r w:rsidR="00287D79">
        <w:rPr>
          <w:rFonts w:ascii="Verdana" w:eastAsia="Calibri" w:hAnsi="Verdana"/>
          <w:spacing w:val="-2"/>
          <w:sz w:val="20"/>
          <w:szCs w:val="20"/>
        </w:rPr>
        <w:t>durante el conflicto</w:t>
      </w:r>
      <w:r w:rsidR="00D31A69" w:rsidRPr="002F6F31">
        <w:rPr>
          <w:rFonts w:ascii="Verdana" w:eastAsia="Calibri" w:hAnsi="Verdana"/>
          <w:spacing w:val="-2"/>
          <w:sz w:val="20"/>
          <w:szCs w:val="20"/>
        </w:rPr>
        <w:t xml:space="preserve">, </w:t>
      </w:r>
      <w:r w:rsidR="00D31A69" w:rsidRPr="002F6F31">
        <w:rPr>
          <w:rFonts w:ascii="Verdana" w:hAnsi="Verdana"/>
          <w:spacing w:val="-2"/>
          <w:sz w:val="20"/>
          <w:szCs w:val="20"/>
          <w:lang w:eastAsia="es-ES"/>
        </w:rPr>
        <w:t>los actos de violencia sexual en contra de Gladys Espinoza también constituyeron actos de tortura.</w:t>
      </w:r>
      <w:r w:rsidR="00AD5DFC" w:rsidRPr="002F6F31">
        <w:rPr>
          <w:rFonts w:ascii="Verdana" w:hAnsi="Verdana"/>
          <w:spacing w:val="-2"/>
          <w:sz w:val="20"/>
          <w:szCs w:val="20"/>
          <w:lang w:eastAsia="es-ES"/>
        </w:rPr>
        <w:t xml:space="preserve"> Por todo lo anterior</w:t>
      </w:r>
      <w:r w:rsidR="0004634A" w:rsidRPr="002F6F31">
        <w:rPr>
          <w:rFonts w:ascii="Verdana" w:eastAsia="Calibri" w:hAnsi="Verdana"/>
          <w:spacing w:val="-2"/>
          <w:sz w:val="20"/>
          <w:szCs w:val="20"/>
        </w:rPr>
        <w:t>, la Corte consideró que el Perú violó</w:t>
      </w:r>
      <w:r w:rsidR="008A0A99">
        <w:rPr>
          <w:rFonts w:ascii="Verdana" w:eastAsia="Calibri" w:hAnsi="Verdana"/>
          <w:spacing w:val="-2"/>
          <w:sz w:val="20"/>
          <w:szCs w:val="20"/>
        </w:rPr>
        <w:t>,</w:t>
      </w:r>
      <w:r w:rsidR="0004634A" w:rsidRPr="002F6F31">
        <w:rPr>
          <w:rFonts w:ascii="Verdana" w:eastAsia="Calibri" w:hAnsi="Verdana"/>
          <w:spacing w:val="-2"/>
          <w:sz w:val="20"/>
          <w:szCs w:val="20"/>
        </w:rPr>
        <w:t xml:space="preserve"> en perjuicio de Gladys Espinoza</w:t>
      </w:r>
      <w:r w:rsidR="008A0A99">
        <w:rPr>
          <w:rFonts w:ascii="Verdana" w:eastAsia="Calibri" w:hAnsi="Verdana"/>
          <w:spacing w:val="-2"/>
          <w:sz w:val="20"/>
          <w:szCs w:val="20"/>
        </w:rPr>
        <w:t>,</w:t>
      </w:r>
      <w:r w:rsidR="0004634A" w:rsidRPr="002F6F31">
        <w:rPr>
          <w:rFonts w:ascii="Verdana" w:eastAsia="Calibri" w:hAnsi="Verdana"/>
          <w:spacing w:val="-2"/>
          <w:sz w:val="20"/>
          <w:szCs w:val="20"/>
        </w:rPr>
        <w:t xml:space="preserve"> los artículos 5.1 y 5.2 de la Convención</w:t>
      </w:r>
      <w:r w:rsidR="00AD5DFC" w:rsidRPr="002F6F31">
        <w:rPr>
          <w:rFonts w:ascii="Verdana" w:eastAsia="Calibri" w:hAnsi="Verdana"/>
          <w:spacing w:val="-2"/>
          <w:sz w:val="20"/>
          <w:szCs w:val="20"/>
        </w:rPr>
        <w:t xml:space="preserve"> Americana</w:t>
      </w:r>
      <w:r w:rsidR="0004634A" w:rsidRPr="002F6F31">
        <w:rPr>
          <w:rFonts w:ascii="Verdana" w:eastAsia="Calibri" w:hAnsi="Verdana"/>
          <w:spacing w:val="-2"/>
          <w:sz w:val="20"/>
          <w:szCs w:val="20"/>
        </w:rPr>
        <w:t xml:space="preserve">, </w:t>
      </w:r>
      <w:r w:rsidR="008A0A99">
        <w:rPr>
          <w:rFonts w:ascii="Verdana" w:eastAsia="Calibri" w:hAnsi="Verdana"/>
          <w:spacing w:val="-2"/>
          <w:sz w:val="20"/>
          <w:szCs w:val="20"/>
        </w:rPr>
        <w:t>e incumplió las obligaciones establecidas en los artículos</w:t>
      </w:r>
      <w:r w:rsidR="0004634A" w:rsidRPr="002F6F31">
        <w:rPr>
          <w:rFonts w:ascii="Verdana" w:eastAsia="Calibri" w:hAnsi="Verdana"/>
          <w:spacing w:val="-2"/>
          <w:sz w:val="20"/>
          <w:szCs w:val="20"/>
        </w:rPr>
        <w:t xml:space="preserve"> 1 y 6 de la Convención Interamericana para Prevenir y Sancionar la Tortura por los actos perpetrados en su contra en las instalaciones de la DIVISE y la DINCOTE</w:t>
      </w:r>
      <w:r w:rsidR="00A23368" w:rsidRPr="002F6F31">
        <w:rPr>
          <w:rFonts w:ascii="Verdana" w:eastAsia="Calibri" w:hAnsi="Verdana"/>
          <w:spacing w:val="-2"/>
          <w:sz w:val="20"/>
          <w:szCs w:val="20"/>
        </w:rPr>
        <w:t xml:space="preserve"> </w:t>
      </w:r>
      <w:r w:rsidR="0004634A" w:rsidRPr="002F6F31">
        <w:rPr>
          <w:rFonts w:ascii="Verdana" w:eastAsia="Calibri" w:hAnsi="Verdana"/>
          <w:spacing w:val="-2"/>
          <w:sz w:val="20"/>
          <w:szCs w:val="20"/>
        </w:rPr>
        <w:t>en 1993.</w:t>
      </w:r>
      <w:r w:rsidR="00FC6006" w:rsidRPr="002F6F31">
        <w:rPr>
          <w:rFonts w:ascii="Verdana" w:eastAsia="Calibri" w:hAnsi="Verdana"/>
          <w:spacing w:val="-2"/>
          <w:sz w:val="20"/>
          <w:szCs w:val="20"/>
        </w:rPr>
        <w:t xml:space="preserve"> Además, en cuanto a los hechos de violencia y violación sexual, la Corte consideró también violados los artículos 11.1 y 11.2 de la Convención</w:t>
      </w:r>
      <w:r w:rsidR="00E87CD5" w:rsidRPr="002F6F31">
        <w:rPr>
          <w:rFonts w:ascii="Verdana" w:eastAsia="Calibri" w:hAnsi="Verdana"/>
          <w:spacing w:val="-2"/>
          <w:sz w:val="20"/>
          <w:szCs w:val="20"/>
        </w:rPr>
        <w:t>.</w:t>
      </w:r>
    </w:p>
    <w:p w14:paraId="694FC2FF" w14:textId="77777777" w:rsidR="00F358B3" w:rsidRPr="002F6F31" w:rsidRDefault="00F358B3" w:rsidP="002F6F31">
      <w:pPr>
        <w:jc w:val="both"/>
        <w:rPr>
          <w:rFonts w:ascii="Verdana" w:eastAsia="Calibri" w:hAnsi="Verdana"/>
          <w:spacing w:val="-2"/>
          <w:sz w:val="20"/>
          <w:szCs w:val="20"/>
        </w:rPr>
      </w:pPr>
    </w:p>
    <w:p w14:paraId="33F8A394" w14:textId="77777777" w:rsidR="00BF31E0" w:rsidRPr="002F6F31" w:rsidRDefault="001577B0" w:rsidP="002F6F31">
      <w:pPr>
        <w:jc w:val="both"/>
        <w:rPr>
          <w:rFonts w:ascii="Verdana" w:eastAsia="Calibri" w:hAnsi="Verdana"/>
          <w:spacing w:val="-2"/>
          <w:sz w:val="20"/>
          <w:szCs w:val="20"/>
        </w:rPr>
      </w:pPr>
      <w:r>
        <w:rPr>
          <w:rFonts w:ascii="Verdana" w:eastAsia="Calibri" w:hAnsi="Verdana"/>
          <w:spacing w:val="-2"/>
          <w:sz w:val="20"/>
          <w:szCs w:val="20"/>
        </w:rPr>
        <w:lastRenderedPageBreak/>
        <w:t xml:space="preserve">Por otro lado, </w:t>
      </w:r>
      <w:r w:rsidR="00A46B1A">
        <w:rPr>
          <w:rFonts w:ascii="Verdana" w:eastAsia="Calibri" w:hAnsi="Verdana"/>
          <w:spacing w:val="-2"/>
          <w:sz w:val="20"/>
          <w:szCs w:val="20"/>
        </w:rPr>
        <w:t>la</w:t>
      </w:r>
      <w:r w:rsidR="00A46B1A" w:rsidRPr="002F6F31">
        <w:rPr>
          <w:rFonts w:ascii="Verdana" w:eastAsia="Calibri" w:hAnsi="Verdana"/>
          <w:spacing w:val="-2"/>
          <w:sz w:val="20"/>
          <w:szCs w:val="20"/>
        </w:rPr>
        <w:t xml:space="preserve"> Corte concluyó que</w:t>
      </w:r>
      <w:r w:rsidR="00A46B1A">
        <w:rPr>
          <w:rFonts w:ascii="Verdana" w:eastAsia="Calibri" w:hAnsi="Verdana"/>
          <w:spacing w:val="-2"/>
          <w:sz w:val="20"/>
          <w:szCs w:val="20"/>
        </w:rPr>
        <w:t>,</w:t>
      </w:r>
      <w:r w:rsidR="00A46B1A" w:rsidRPr="002F6F31">
        <w:rPr>
          <w:rFonts w:ascii="Verdana" w:eastAsia="Calibri" w:hAnsi="Verdana"/>
          <w:spacing w:val="-2"/>
          <w:sz w:val="20"/>
          <w:szCs w:val="20"/>
        </w:rPr>
        <w:t xml:space="preserve"> durante su permanencia en el Establecimiento Penitenciario de </w:t>
      </w:r>
      <w:proofErr w:type="spellStart"/>
      <w:r w:rsidR="00A46B1A" w:rsidRPr="002F6F31">
        <w:rPr>
          <w:rFonts w:ascii="Verdana" w:eastAsia="Calibri" w:hAnsi="Verdana"/>
          <w:spacing w:val="-2"/>
          <w:sz w:val="20"/>
          <w:szCs w:val="20"/>
        </w:rPr>
        <w:t>Yanamayo</w:t>
      </w:r>
      <w:proofErr w:type="spellEnd"/>
      <w:r w:rsidR="00A46B1A" w:rsidRPr="002F6F31">
        <w:rPr>
          <w:rFonts w:ascii="Verdana" w:eastAsia="Calibri" w:hAnsi="Verdana"/>
          <w:spacing w:val="-2"/>
          <w:sz w:val="20"/>
          <w:szCs w:val="20"/>
        </w:rPr>
        <w:t xml:space="preserve"> entre 1996 y 2001</w:t>
      </w:r>
      <w:r w:rsidR="00A46B1A">
        <w:rPr>
          <w:rFonts w:ascii="Verdana" w:eastAsia="Calibri" w:hAnsi="Verdana"/>
          <w:spacing w:val="-2"/>
          <w:sz w:val="20"/>
          <w:szCs w:val="20"/>
        </w:rPr>
        <w:t xml:space="preserve">, </w:t>
      </w:r>
      <w:r w:rsidR="00A46B1A" w:rsidRPr="002F6F31">
        <w:rPr>
          <w:rFonts w:ascii="Verdana" w:eastAsia="Calibri" w:hAnsi="Verdana"/>
          <w:spacing w:val="-2"/>
          <w:sz w:val="20"/>
          <w:szCs w:val="20"/>
        </w:rPr>
        <w:t xml:space="preserve">el Estado </w:t>
      </w:r>
      <w:r w:rsidR="00A46B1A">
        <w:rPr>
          <w:rFonts w:ascii="Verdana" w:eastAsia="Calibri" w:hAnsi="Verdana"/>
          <w:spacing w:val="-2"/>
          <w:sz w:val="20"/>
          <w:szCs w:val="20"/>
        </w:rPr>
        <w:t>sometió a Gladys Espinoza a trato cruel, inhumano y degradante, en violación de</w:t>
      </w:r>
      <w:r w:rsidR="00A46B1A" w:rsidRPr="002F6F31">
        <w:rPr>
          <w:rFonts w:ascii="Verdana" w:eastAsia="Calibri" w:hAnsi="Verdana"/>
          <w:spacing w:val="-2"/>
          <w:sz w:val="20"/>
          <w:szCs w:val="20"/>
        </w:rPr>
        <w:t xml:space="preserve"> los artículos 5.</w:t>
      </w:r>
      <w:r w:rsidR="00A46B1A">
        <w:rPr>
          <w:rFonts w:ascii="Verdana" w:eastAsia="Calibri" w:hAnsi="Verdana"/>
          <w:spacing w:val="-2"/>
          <w:sz w:val="20"/>
          <w:szCs w:val="20"/>
        </w:rPr>
        <w:t>2</w:t>
      </w:r>
      <w:r w:rsidR="00A46B1A" w:rsidRPr="002F6F31">
        <w:rPr>
          <w:rFonts w:ascii="Verdana" w:eastAsia="Calibri" w:hAnsi="Verdana"/>
          <w:spacing w:val="-2"/>
          <w:sz w:val="20"/>
          <w:szCs w:val="20"/>
        </w:rPr>
        <w:t xml:space="preserve"> y 5.</w:t>
      </w:r>
      <w:r w:rsidR="00A46B1A">
        <w:rPr>
          <w:rFonts w:ascii="Verdana" w:eastAsia="Calibri" w:hAnsi="Verdana"/>
          <w:spacing w:val="-2"/>
          <w:sz w:val="20"/>
          <w:szCs w:val="20"/>
        </w:rPr>
        <w:t>1</w:t>
      </w:r>
      <w:r w:rsidR="00A46B1A" w:rsidRPr="002F6F31">
        <w:rPr>
          <w:rFonts w:ascii="Verdana" w:eastAsia="Calibri" w:hAnsi="Verdana"/>
          <w:spacing w:val="-2"/>
          <w:sz w:val="20"/>
          <w:szCs w:val="20"/>
        </w:rPr>
        <w:t xml:space="preserve"> de la Convención Americana</w:t>
      </w:r>
      <w:r w:rsidR="00A46B1A">
        <w:rPr>
          <w:rFonts w:ascii="Verdana" w:eastAsia="Calibri" w:hAnsi="Verdana"/>
          <w:spacing w:val="-2"/>
          <w:sz w:val="20"/>
          <w:szCs w:val="20"/>
        </w:rPr>
        <w:t>,</w:t>
      </w:r>
      <w:r w:rsidR="00A46B1A" w:rsidRPr="002F6F31">
        <w:rPr>
          <w:rFonts w:ascii="Verdana" w:eastAsia="Calibri" w:hAnsi="Verdana"/>
          <w:spacing w:val="-2"/>
          <w:sz w:val="20"/>
          <w:szCs w:val="20"/>
        </w:rPr>
        <w:t xml:space="preserve"> en conexión con el artículo 1.1 de la misma</w:t>
      </w:r>
      <w:r w:rsidR="00A46B1A">
        <w:rPr>
          <w:rFonts w:ascii="Verdana" w:eastAsia="Calibri" w:hAnsi="Verdana"/>
          <w:spacing w:val="-2"/>
          <w:sz w:val="20"/>
          <w:szCs w:val="20"/>
        </w:rPr>
        <w:t>,</w:t>
      </w:r>
      <w:r w:rsidR="00A46B1A" w:rsidRPr="002F6F31">
        <w:rPr>
          <w:rFonts w:ascii="Verdana" w:eastAsia="Calibri" w:hAnsi="Verdana"/>
          <w:spacing w:val="-2"/>
          <w:sz w:val="20"/>
          <w:szCs w:val="20"/>
        </w:rPr>
        <w:t xml:space="preserve"> </w:t>
      </w:r>
      <w:r w:rsidR="006B3D7C" w:rsidRPr="002F6F31">
        <w:rPr>
          <w:rFonts w:ascii="Verdana" w:eastAsia="Calibri" w:hAnsi="Verdana"/>
          <w:spacing w:val="-2"/>
          <w:sz w:val="20"/>
          <w:szCs w:val="20"/>
        </w:rPr>
        <w:t>teniendo en cuenta: i) las condiciones de detención en</w:t>
      </w:r>
      <w:r w:rsidR="00A46B1A" w:rsidRPr="00A46B1A">
        <w:rPr>
          <w:rFonts w:ascii="Verdana" w:eastAsia="Calibri" w:hAnsi="Verdana"/>
          <w:spacing w:val="-2"/>
          <w:sz w:val="20"/>
          <w:szCs w:val="20"/>
        </w:rPr>
        <w:t xml:space="preserve"> </w:t>
      </w:r>
      <w:r w:rsidR="00A46B1A" w:rsidRPr="002F6F31">
        <w:rPr>
          <w:rFonts w:ascii="Verdana" w:eastAsia="Calibri" w:hAnsi="Verdana"/>
          <w:spacing w:val="-2"/>
          <w:sz w:val="20"/>
          <w:szCs w:val="20"/>
        </w:rPr>
        <w:t>dicho penal</w:t>
      </w:r>
      <w:r w:rsidR="006B3D7C" w:rsidRPr="002F6F31">
        <w:rPr>
          <w:rFonts w:ascii="Verdana" w:eastAsia="Calibri" w:hAnsi="Verdana"/>
          <w:spacing w:val="-2"/>
          <w:sz w:val="20"/>
          <w:szCs w:val="20"/>
        </w:rPr>
        <w:t xml:space="preserve">; </w:t>
      </w:r>
      <w:proofErr w:type="spellStart"/>
      <w:r w:rsidR="006B3D7C" w:rsidRPr="002F6F31">
        <w:rPr>
          <w:rFonts w:ascii="Verdana" w:eastAsia="Calibri" w:hAnsi="Verdana"/>
          <w:spacing w:val="-2"/>
          <w:sz w:val="20"/>
          <w:szCs w:val="20"/>
        </w:rPr>
        <w:t>ii</w:t>
      </w:r>
      <w:proofErr w:type="spellEnd"/>
      <w:r w:rsidR="006B3D7C" w:rsidRPr="002F6F31">
        <w:rPr>
          <w:rFonts w:ascii="Verdana" w:eastAsia="Calibri" w:hAnsi="Verdana"/>
          <w:spacing w:val="-2"/>
          <w:sz w:val="20"/>
          <w:szCs w:val="20"/>
        </w:rPr>
        <w:t>) el régimen al que fue sometida</w:t>
      </w:r>
      <w:r w:rsidR="006B3D7C">
        <w:rPr>
          <w:rFonts w:ascii="Verdana" w:eastAsia="Calibri" w:hAnsi="Verdana"/>
          <w:spacing w:val="-2"/>
          <w:sz w:val="20"/>
          <w:szCs w:val="20"/>
        </w:rPr>
        <w:t>,</w:t>
      </w:r>
      <w:r w:rsidR="006B3D7C" w:rsidRPr="002F6F31">
        <w:rPr>
          <w:rFonts w:ascii="Verdana" w:eastAsia="Calibri" w:hAnsi="Verdana"/>
          <w:spacing w:val="-2"/>
          <w:sz w:val="20"/>
          <w:szCs w:val="20"/>
        </w:rPr>
        <w:t xml:space="preserve"> previsto para procesados y/o sentenciados por terrorismo y traición a la patria, y </w:t>
      </w:r>
      <w:proofErr w:type="spellStart"/>
      <w:r w:rsidR="006B3D7C" w:rsidRPr="002F6F31">
        <w:rPr>
          <w:rFonts w:ascii="Verdana" w:eastAsia="Calibri" w:hAnsi="Verdana"/>
          <w:spacing w:val="-2"/>
          <w:sz w:val="20"/>
          <w:szCs w:val="20"/>
        </w:rPr>
        <w:t>iii</w:t>
      </w:r>
      <w:proofErr w:type="spellEnd"/>
      <w:r w:rsidR="006B3D7C" w:rsidRPr="002F6F31">
        <w:rPr>
          <w:rFonts w:ascii="Verdana" w:eastAsia="Calibri" w:hAnsi="Verdana"/>
          <w:spacing w:val="-2"/>
          <w:sz w:val="20"/>
          <w:szCs w:val="20"/>
        </w:rPr>
        <w:t>) la ausencia de atención médica especializada, adecuada y oportuna</w:t>
      </w:r>
      <w:r w:rsidR="00A46B1A">
        <w:rPr>
          <w:rFonts w:ascii="Verdana" w:eastAsia="Calibri" w:hAnsi="Verdana"/>
          <w:spacing w:val="-2"/>
          <w:sz w:val="20"/>
          <w:szCs w:val="20"/>
        </w:rPr>
        <w:t>,</w:t>
      </w:r>
      <w:r w:rsidR="006B3D7C" w:rsidRPr="002F6F31">
        <w:rPr>
          <w:rFonts w:ascii="Verdana" w:eastAsia="Calibri" w:hAnsi="Verdana"/>
          <w:spacing w:val="-2"/>
          <w:sz w:val="20"/>
          <w:szCs w:val="20"/>
        </w:rPr>
        <w:t xml:space="preserve"> ante el deterioro progresivo de salud de Gladys Espinoza evidenciado en los informes médicos </w:t>
      </w:r>
      <w:r w:rsidR="006B3D7C">
        <w:rPr>
          <w:rFonts w:ascii="Verdana" w:eastAsia="Calibri" w:hAnsi="Verdana"/>
          <w:spacing w:val="-2"/>
          <w:sz w:val="20"/>
          <w:szCs w:val="20"/>
        </w:rPr>
        <w:t>practicados a ella en la época</w:t>
      </w:r>
      <w:r w:rsidR="001634D0">
        <w:rPr>
          <w:rFonts w:ascii="Verdana" w:eastAsia="Calibri" w:hAnsi="Verdana"/>
          <w:spacing w:val="-2"/>
          <w:sz w:val="20"/>
          <w:szCs w:val="20"/>
        </w:rPr>
        <w:t>.</w:t>
      </w:r>
      <w:r w:rsidR="00927B4C" w:rsidRPr="002F6F31">
        <w:rPr>
          <w:rFonts w:ascii="Verdana" w:eastAsia="Calibri" w:hAnsi="Verdana"/>
          <w:spacing w:val="-2"/>
          <w:sz w:val="20"/>
          <w:szCs w:val="20"/>
        </w:rPr>
        <w:t xml:space="preserve"> </w:t>
      </w:r>
      <w:r w:rsidR="000173AD" w:rsidRPr="002F6F31">
        <w:rPr>
          <w:rFonts w:ascii="Verdana" w:eastAsia="Calibri" w:hAnsi="Verdana"/>
          <w:spacing w:val="-2"/>
          <w:sz w:val="20"/>
          <w:szCs w:val="20"/>
        </w:rPr>
        <w:t xml:space="preserve">Igualmente, </w:t>
      </w:r>
      <w:r w:rsidR="00BF31E0" w:rsidRPr="002F6F31">
        <w:rPr>
          <w:rFonts w:ascii="Verdana" w:eastAsia="Calibri" w:hAnsi="Verdana"/>
          <w:spacing w:val="-2"/>
          <w:sz w:val="20"/>
          <w:szCs w:val="20"/>
        </w:rPr>
        <w:t>la Corte determinó que</w:t>
      </w:r>
      <w:r w:rsidR="00D33F84" w:rsidRPr="002F6F31">
        <w:rPr>
          <w:rFonts w:ascii="Verdana" w:eastAsia="Calibri" w:hAnsi="Verdana"/>
          <w:spacing w:val="-2"/>
          <w:sz w:val="20"/>
          <w:szCs w:val="20"/>
        </w:rPr>
        <w:t xml:space="preserve"> el Estado</w:t>
      </w:r>
      <w:r w:rsidR="00BF31E0" w:rsidRPr="002F6F31">
        <w:rPr>
          <w:rFonts w:ascii="Verdana" w:eastAsia="Calibri" w:hAnsi="Verdana"/>
          <w:spacing w:val="-2"/>
          <w:sz w:val="20"/>
          <w:szCs w:val="20"/>
        </w:rPr>
        <w:t xml:space="preserve"> viol</w:t>
      </w:r>
      <w:r w:rsidR="00D33F84" w:rsidRPr="002F6F31">
        <w:rPr>
          <w:rFonts w:ascii="Verdana" w:eastAsia="Calibri" w:hAnsi="Verdana"/>
          <w:spacing w:val="-2"/>
          <w:sz w:val="20"/>
          <w:szCs w:val="20"/>
        </w:rPr>
        <w:t>ó</w:t>
      </w:r>
      <w:r w:rsidR="00BF31E0" w:rsidRPr="002F6F31">
        <w:rPr>
          <w:rFonts w:ascii="Verdana" w:eastAsia="Calibri" w:hAnsi="Verdana"/>
          <w:spacing w:val="-2"/>
          <w:sz w:val="20"/>
          <w:szCs w:val="20"/>
        </w:rPr>
        <w:t xml:space="preserve"> los artículos 5.1 y 5.2 de la Convención en perjuicio de Gladys Espinoza, por </w:t>
      </w:r>
      <w:r w:rsidR="00D33F84" w:rsidRPr="002F6F31">
        <w:rPr>
          <w:rFonts w:ascii="Verdana" w:hAnsi="Verdana"/>
          <w:spacing w:val="-2"/>
          <w:sz w:val="20"/>
          <w:szCs w:val="20"/>
        </w:rPr>
        <w:t>la magnitud de la fuerza</w:t>
      </w:r>
      <w:r w:rsidR="00AE3CC4" w:rsidRPr="002F6F31">
        <w:rPr>
          <w:rFonts w:ascii="Verdana" w:hAnsi="Verdana"/>
          <w:spacing w:val="-2"/>
          <w:sz w:val="20"/>
          <w:szCs w:val="20"/>
        </w:rPr>
        <w:t xml:space="preserve"> utilizada</w:t>
      </w:r>
      <w:r w:rsidR="00BF31E0" w:rsidRPr="002F6F31">
        <w:rPr>
          <w:rFonts w:ascii="Verdana" w:eastAsia="Calibri" w:hAnsi="Verdana"/>
          <w:spacing w:val="-2"/>
          <w:sz w:val="20"/>
          <w:szCs w:val="20"/>
        </w:rPr>
        <w:t xml:space="preserve"> en su contra</w:t>
      </w:r>
      <w:r w:rsidR="00D33F84" w:rsidRPr="002F6F31">
        <w:rPr>
          <w:rFonts w:ascii="Verdana" w:eastAsia="Calibri" w:hAnsi="Verdana"/>
          <w:spacing w:val="-2"/>
          <w:sz w:val="20"/>
          <w:szCs w:val="20"/>
        </w:rPr>
        <w:t xml:space="preserve"> en el marco de una requisa ocurrida en el Establecimiento Penitenciario de </w:t>
      </w:r>
      <w:proofErr w:type="spellStart"/>
      <w:r w:rsidR="00D33F84" w:rsidRPr="002F6F31">
        <w:rPr>
          <w:rFonts w:ascii="Verdana" w:eastAsia="Calibri" w:hAnsi="Verdana"/>
          <w:spacing w:val="-2"/>
          <w:sz w:val="20"/>
          <w:szCs w:val="20"/>
        </w:rPr>
        <w:t>Yanamayo</w:t>
      </w:r>
      <w:proofErr w:type="spellEnd"/>
      <w:r w:rsidR="00D33F84" w:rsidRPr="002F6F31">
        <w:rPr>
          <w:rFonts w:ascii="Verdana" w:eastAsia="Calibri" w:hAnsi="Verdana"/>
          <w:spacing w:val="-2"/>
          <w:sz w:val="20"/>
          <w:szCs w:val="20"/>
        </w:rPr>
        <w:t xml:space="preserve"> el 5 de agosto de 1999 con la participación de efectivos de la Dirección Nacional de Operaciones Especiales (DINOES)</w:t>
      </w:r>
      <w:r w:rsidR="00AE3CC4" w:rsidRPr="002F6F31">
        <w:rPr>
          <w:rFonts w:ascii="Verdana" w:eastAsia="Calibri" w:hAnsi="Verdana"/>
          <w:spacing w:val="-2"/>
          <w:sz w:val="20"/>
          <w:szCs w:val="20"/>
        </w:rPr>
        <w:t xml:space="preserve">, lo cual </w:t>
      </w:r>
      <w:r w:rsidR="00AE3CC4" w:rsidRPr="002F6F31">
        <w:rPr>
          <w:rFonts w:ascii="Verdana" w:hAnsi="Verdana"/>
          <w:spacing w:val="-2"/>
          <w:sz w:val="20"/>
          <w:szCs w:val="20"/>
        </w:rPr>
        <w:t>constituyó una forma de tortura</w:t>
      </w:r>
      <w:r w:rsidR="006D63AD" w:rsidRPr="002F6F31">
        <w:rPr>
          <w:rFonts w:ascii="Verdana" w:eastAsia="Calibri" w:hAnsi="Verdana"/>
          <w:spacing w:val="-2"/>
          <w:sz w:val="20"/>
          <w:szCs w:val="20"/>
        </w:rPr>
        <w:t>. L</w:t>
      </w:r>
      <w:r w:rsidR="002A668C" w:rsidRPr="002F6F31">
        <w:rPr>
          <w:rFonts w:ascii="Verdana" w:eastAsia="Calibri" w:hAnsi="Verdana"/>
          <w:spacing w:val="-2"/>
          <w:sz w:val="20"/>
          <w:szCs w:val="20"/>
        </w:rPr>
        <w:t>a Corte afirmó que en ningún caso el uso de violencia sexual es una medida permi</w:t>
      </w:r>
      <w:r w:rsidR="00552CC5">
        <w:rPr>
          <w:rFonts w:ascii="Verdana" w:eastAsia="Calibri" w:hAnsi="Verdana"/>
          <w:spacing w:val="-2"/>
          <w:sz w:val="20"/>
          <w:szCs w:val="20"/>
        </w:rPr>
        <w:t>sible</w:t>
      </w:r>
      <w:r w:rsidR="002A668C" w:rsidRPr="002F6F31">
        <w:rPr>
          <w:rFonts w:ascii="Verdana" w:eastAsia="Calibri" w:hAnsi="Verdana"/>
          <w:spacing w:val="-2"/>
          <w:sz w:val="20"/>
          <w:szCs w:val="20"/>
        </w:rPr>
        <w:t xml:space="preserve"> en el uso de la fuerza por parte de las fuerzas de seguridad.</w:t>
      </w:r>
    </w:p>
    <w:p w14:paraId="64A830AB" w14:textId="77777777" w:rsidR="00D5510D" w:rsidRPr="002F6F31" w:rsidRDefault="00D5510D" w:rsidP="002F6F31">
      <w:pPr>
        <w:jc w:val="both"/>
        <w:rPr>
          <w:rFonts w:ascii="Verdana" w:eastAsia="Calibri" w:hAnsi="Verdana"/>
          <w:b/>
          <w:spacing w:val="-2"/>
          <w:sz w:val="20"/>
          <w:szCs w:val="20"/>
        </w:rPr>
      </w:pPr>
    </w:p>
    <w:p w14:paraId="235FEA0A" w14:textId="77777777" w:rsidR="00203386" w:rsidRPr="002F6F31" w:rsidRDefault="00935741" w:rsidP="002F6F31">
      <w:pPr>
        <w:jc w:val="both"/>
        <w:rPr>
          <w:rFonts w:ascii="Verdana" w:eastAsia="Calibri" w:hAnsi="Verdana"/>
          <w:sz w:val="20"/>
          <w:szCs w:val="20"/>
        </w:rPr>
      </w:pPr>
      <w:r w:rsidRPr="002F6F31">
        <w:rPr>
          <w:rFonts w:ascii="Verdana" w:eastAsia="Calibri" w:hAnsi="Verdana"/>
          <w:spacing w:val="-2"/>
          <w:sz w:val="20"/>
          <w:szCs w:val="20"/>
        </w:rPr>
        <w:t>La Corte consideró que</w:t>
      </w:r>
      <w:r w:rsidR="00D77F89" w:rsidRPr="002F6F31">
        <w:rPr>
          <w:rFonts w:ascii="Verdana" w:eastAsia="Calibri" w:hAnsi="Verdana"/>
          <w:spacing w:val="-2"/>
          <w:sz w:val="20"/>
          <w:szCs w:val="20"/>
        </w:rPr>
        <w:t xml:space="preserve"> la</w:t>
      </w:r>
      <w:r w:rsidRPr="002F6F31">
        <w:rPr>
          <w:rFonts w:ascii="Verdana" w:eastAsia="Calibri" w:hAnsi="Verdana"/>
          <w:spacing w:val="-2"/>
          <w:sz w:val="20"/>
          <w:szCs w:val="20"/>
        </w:rPr>
        <w:t xml:space="preserve"> práctica</w:t>
      </w:r>
      <w:r w:rsidR="00D77F89" w:rsidRPr="002F6F31">
        <w:rPr>
          <w:rFonts w:ascii="Verdana" w:eastAsia="Calibri" w:hAnsi="Verdana"/>
          <w:spacing w:val="-2"/>
          <w:sz w:val="20"/>
          <w:szCs w:val="20"/>
        </w:rPr>
        <w:t xml:space="preserve"> </w:t>
      </w:r>
      <w:r w:rsidR="00D77F89" w:rsidRPr="002F6F31">
        <w:rPr>
          <w:rFonts w:ascii="Verdana" w:eastAsia="Calibri" w:hAnsi="Verdana" w:cs="FPNLKG+TimesNewRoman"/>
          <w:spacing w:val="-2"/>
          <w:sz w:val="20"/>
          <w:szCs w:val="20"/>
        </w:rPr>
        <w:t xml:space="preserve">generalizada de la violencia sexual </w:t>
      </w:r>
      <w:r w:rsidR="00613DAF">
        <w:rPr>
          <w:rFonts w:ascii="Verdana" w:eastAsia="Calibri" w:hAnsi="Verdana" w:cs="FPNLKG+TimesNewRoman"/>
          <w:spacing w:val="-2"/>
          <w:sz w:val="20"/>
          <w:szCs w:val="20"/>
        </w:rPr>
        <w:t>por</w:t>
      </w:r>
      <w:r w:rsidR="00D77F89" w:rsidRPr="002F6F31">
        <w:rPr>
          <w:rFonts w:ascii="Verdana" w:eastAsia="Calibri" w:hAnsi="Verdana" w:cs="FPNLKG+TimesNewRoman"/>
          <w:spacing w:val="-2"/>
          <w:sz w:val="20"/>
          <w:szCs w:val="20"/>
        </w:rPr>
        <w:t xml:space="preserve"> las fuerzas de seguridad </w:t>
      </w:r>
      <w:r w:rsidR="00265AA6" w:rsidRPr="002F6F31">
        <w:rPr>
          <w:rFonts w:ascii="Verdana" w:eastAsia="Calibri" w:hAnsi="Verdana"/>
          <w:spacing w:val="-2"/>
          <w:sz w:val="20"/>
          <w:szCs w:val="20"/>
        </w:rPr>
        <w:t>durante el período del conflicto</w:t>
      </w:r>
      <w:r w:rsidR="00265AA6" w:rsidRPr="002F6F31">
        <w:rPr>
          <w:rFonts w:ascii="Verdana" w:eastAsia="Calibri" w:hAnsi="Verdana" w:cs="FPNLKG+TimesNewRoman"/>
          <w:spacing w:val="-2"/>
          <w:sz w:val="20"/>
          <w:szCs w:val="20"/>
        </w:rPr>
        <w:t xml:space="preserve"> </w:t>
      </w:r>
      <w:r w:rsidRPr="002F6F31">
        <w:rPr>
          <w:rFonts w:ascii="Verdana" w:eastAsia="Calibri" w:hAnsi="Verdana"/>
          <w:spacing w:val="-2"/>
          <w:sz w:val="20"/>
          <w:szCs w:val="20"/>
        </w:rPr>
        <w:t xml:space="preserve">constituyó </w:t>
      </w:r>
      <w:r w:rsidRPr="002F6F31">
        <w:rPr>
          <w:rFonts w:ascii="Verdana" w:hAnsi="Verdana"/>
          <w:spacing w:val="-2"/>
          <w:sz w:val="20"/>
          <w:szCs w:val="20"/>
        </w:rPr>
        <w:t>violencia basada en g</w:t>
      </w:r>
      <w:r w:rsidR="00C90CDE" w:rsidRPr="002F6F31">
        <w:rPr>
          <w:rFonts w:ascii="Verdana" w:hAnsi="Verdana"/>
          <w:spacing w:val="-2"/>
          <w:sz w:val="20"/>
          <w:szCs w:val="20"/>
        </w:rPr>
        <w:t>é</w:t>
      </w:r>
      <w:r w:rsidRPr="002F6F31">
        <w:rPr>
          <w:rFonts w:ascii="Verdana" w:hAnsi="Verdana"/>
          <w:spacing w:val="-2"/>
          <w:sz w:val="20"/>
          <w:szCs w:val="20"/>
        </w:rPr>
        <w:t>nero</w:t>
      </w:r>
      <w:r w:rsidRPr="002F6F31">
        <w:rPr>
          <w:rFonts w:ascii="Verdana" w:eastAsia="Calibri" w:hAnsi="Verdana"/>
          <w:spacing w:val="-2"/>
          <w:sz w:val="20"/>
          <w:szCs w:val="20"/>
        </w:rPr>
        <w:t xml:space="preserve"> pues afectó a las mujeres por el solo hecho de serlo.</w:t>
      </w:r>
      <w:r w:rsidR="00C90CDE" w:rsidRPr="002F6F31">
        <w:rPr>
          <w:rFonts w:ascii="Verdana" w:eastAsia="Calibri" w:hAnsi="Verdana"/>
          <w:spacing w:val="-2"/>
          <w:sz w:val="20"/>
          <w:szCs w:val="20"/>
        </w:rPr>
        <w:t xml:space="preserve"> A la luz de ese</w:t>
      </w:r>
      <w:r w:rsidR="000F0066" w:rsidRPr="002F6F31">
        <w:rPr>
          <w:rFonts w:ascii="Verdana" w:eastAsia="Calibri" w:hAnsi="Verdana"/>
          <w:spacing w:val="-2"/>
          <w:sz w:val="20"/>
          <w:szCs w:val="20"/>
        </w:rPr>
        <w:t xml:space="preserve"> contexto</w:t>
      </w:r>
      <w:r w:rsidR="00C657D2" w:rsidRPr="002F6F31">
        <w:rPr>
          <w:rFonts w:ascii="Verdana" w:eastAsia="Calibri" w:hAnsi="Verdana"/>
          <w:spacing w:val="-2"/>
          <w:sz w:val="20"/>
          <w:szCs w:val="20"/>
        </w:rPr>
        <w:t>,</w:t>
      </w:r>
      <w:r w:rsidR="00F020A7" w:rsidRPr="002F6F31">
        <w:rPr>
          <w:rFonts w:ascii="Verdana" w:eastAsia="Calibri" w:hAnsi="Verdana"/>
          <w:spacing w:val="-2"/>
          <w:sz w:val="20"/>
          <w:szCs w:val="20"/>
        </w:rPr>
        <w:t xml:space="preserve"> la Corte consideró que el cuerpo de Gladys Espinoza </w:t>
      </w:r>
      <w:r w:rsidR="004E78BF" w:rsidRPr="002F6F31">
        <w:rPr>
          <w:rFonts w:ascii="Verdana" w:eastAsia="Calibri" w:hAnsi="Verdana"/>
          <w:spacing w:val="-2"/>
          <w:sz w:val="20"/>
          <w:szCs w:val="20"/>
        </w:rPr>
        <w:t xml:space="preserve">como mujer fue utilizado a fin de obtener información de su compañero sentimental y humillar e intimidar a ambos. Estos actos confirman que los agentes estatales utilizaron la violencia sexual y la amenaza de violencia sexual en contra de Gladys Carol Espinoza Gonzáles como estrategia en la lucha contra el mencionado grupo </w:t>
      </w:r>
      <w:r w:rsidR="00250040">
        <w:rPr>
          <w:rFonts w:ascii="Verdana" w:eastAsia="Calibri" w:hAnsi="Verdana"/>
          <w:spacing w:val="-2"/>
          <w:sz w:val="20"/>
          <w:szCs w:val="20"/>
        </w:rPr>
        <w:t>subversivo</w:t>
      </w:r>
      <w:r w:rsidR="004E78BF" w:rsidRPr="002F6F31">
        <w:rPr>
          <w:rFonts w:ascii="Verdana" w:eastAsia="Calibri" w:hAnsi="Verdana"/>
          <w:spacing w:val="-2"/>
          <w:sz w:val="20"/>
          <w:szCs w:val="20"/>
        </w:rPr>
        <w:t>. Como consecuencia, la Corte</w:t>
      </w:r>
      <w:r w:rsidR="004E78BF" w:rsidRPr="002F6F31">
        <w:rPr>
          <w:rFonts w:ascii="Verdana" w:eastAsia="Calibri" w:hAnsi="Verdana"/>
          <w:i/>
          <w:spacing w:val="-2"/>
          <w:sz w:val="20"/>
          <w:szCs w:val="20"/>
        </w:rPr>
        <w:t xml:space="preserve"> </w:t>
      </w:r>
      <w:r w:rsidR="00203386" w:rsidRPr="002F6F31">
        <w:rPr>
          <w:rFonts w:ascii="Verdana" w:eastAsia="Calibri" w:hAnsi="Verdana"/>
          <w:spacing w:val="-2"/>
          <w:sz w:val="20"/>
          <w:szCs w:val="20"/>
        </w:rPr>
        <w:t>concluyó que Gladys Espinoza fue víctima de trato discriminatorio individualizad</w:t>
      </w:r>
      <w:r w:rsidR="007F47A2">
        <w:rPr>
          <w:rFonts w:ascii="Verdana" w:eastAsia="Calibri" w:hAnsi="Verdana"/>
          <w:spacing w:val="-2"/>
          <w:sz w:val="20"/>
          <w:szCs w:val="20"/>
        </w:rPr>
        <w:t>o</w:t>
      </w:r>
      <w:r w:rsidR="00203386" w:rsidRPr="002F6F31">
        <w:rPr>
          <w:rFonts w:ascii="Verdana" w:eastAsia="Calibri" w:hAnsi="Verdana"/>
          <w:spacing w:val="-2"/>
          <w:sz w:val="20"/>
          <w:szCs w:val="20"/>
        </w:rPr>
        <w:t xml:space="preserve"> por su condición de ser mujer, en violación al artículo 1.1 de la Convención, </w:t>
      </w:r>
      <w:r w:rsidR="007F47A2">
        <w:rPr>
          <w:rFonts w:ascii="Verdana" w:eastAsia="Calibri" w:hAnsi="Verdana"/>
          <w:spacing w:val="-2"/>
          <w:sz w:val="20"/>
          <w:szCs w:val="20"/>
        </w:rPr>
        <w:t>en relación con</w:t>
      </w:r>
      <w:r w:rsidR="00203386" w:rsidRPr="002F6F31">
        <w:rPr>
          <w:rFonts w:ascii="Verdana" w:eastAsia="Calibri" w:hAnsi="Verdana"/>
          <w:spacing w:val="-2"/>
          <w:sz w:val="20"/>
          <w:szCs w:val="20"/>
        </w:rPr>
        <w:t xml:space="preserve"> los artículos 5.1, 5.2 y 11 del mismo tratado, </w:t>
      </w:r>
      <w:r w:rsidR="007F47A2">
        <w:rPr>
          <w:rFonts w:ascii="Verdana" w:eastAsia="Calibri" w:hAnsi="Verdana"/>
          <w:spacing w:val="-2"/>
          <w:sz w:val="20"/>
          <w:szCs w:val="20"/>
        </w:rPr>
        <w:t>y</w:t>
      </w:r>
      <w:r w:rsidR="00203386" w:rsidRPr="002F6F31">
        <w:rPr>
          <w:rFonts w:ascii="Verdana" w:eastAsia="Calibri" w:hAnsi="Verdana"/>
          <w:spacing w:val="-2"/>
          <w:sz w:val="20"/>
          <w:szCs w:val="20"/>
        </w:rPr>
        <w:t xml:space="preserve"> los artículos 1 y 6 de la Convención Interamericana para Prevenir y Sancionar la Tortura</w:t>
      </w:r>
      <w:r w:rsidR="00EC522E">
        <w:rPr>
          <w:rFonts w:ascii="Verdana" w:eastAsia="Calibri" w:hAnsi="Verdana"/>
          <w:spacing w:val="-2"/>
          <w:sz w:val="20"/>
          <w:szCs w:val="20"/>
        </w:rPr>
        <w:t xml:space="preserve"> (CIPST)</w:t>
      </w:r>
      <w:r w:rsidR="00203386" w:rsidRPr="002F6F31">
        <w:rPr>
          <w:rFonts w:ascii="Verdana" w:eastAsia="Calibri" w:hAnsi="Verdana"/>
          <w:spacing w:val="-2"/>
          <w:sz w:val="20"/>
          <w:szCs w:val="20"/>
        </w:rPr>
        <w:t>.</w:t>
      </w:r>
    </w:p>
    <w:p w14:paraId="31A233E9" w14:textId="77777777" w:rsidR="00265AA6" w:rsidRPr="002F6F31" w:rsidRDefault="00265AA6" w:rsidP="002F6F31">
      <w:pPr>
        <w:jc w:val="both"/>
        <w:rPr>
          <w:rFonts w:ascii="Verdana" w:eastAsia="Calibri" w:hAnsi="Verdana"/>
          <w:b/>
          <w:spacing w:val="-2"/>
          <w:sz w:val="20"/>
          <w:szCs w:val="20"/>
        </w:rPr>
      </w:pPr>
    </w:p>
    <w:p w14:paraId="36AE46EA" w14:textId="77777777" w:rsidR="00C029BD" w:rsidRPr="002F6F31" w:rsidRDefault="00C029BD" w:rsidP="002F6F31">
      <w:pPr>
        <w:jc w:val="both"/>
        <w:rPr>
          <w:rFonts w:ascii="Verdana" w:eastAsia="MS Mincho" w:hAnsi="Verdana"/>
          <w:spacing w:val="-2"/>
          <w:sz w:val="20"/>
          <w:szCs w:val="20"/>
        </w:rPr>
      </w:pPr>
      <w:r w:rsidRPr="002F6F31">
        <w:rPr>
          <w:rFonts w:ascii="Verdana" w:eastAsia="Calibri" w:hAnsi="Verdana"/>
          <w:spacing w:val="-2"/>
          <w:sz w:val="20"/>
          <w:szCs w:val="20"/>
        </w:rPr>
        <w:t xml:space="preserve">En razón que Gladys Espinoza fue sometida a torturas, las cuales incluyeron la violencia y la violación sexual, así como a otros tratos inhumanos y degradantes, </w:t>
      </w:r>
      <w:r w:rsidRPr="002F6F31">
        <w:rPr>
          <w:rFonts w:ascii="Verdana" w:eastAsia="MS Mincho" w:hAnsi="Verdana"/>
          <w:spacing w:val="-2"/>
          <w:sz w:val="20"/>
          <w:szCs w:val="20"/>
        </w:rPr>
        <w:t>todo ello en el marco de una práctica generalizada de los mismos</w:t>
      </w:r>
      <w:r w:rsidRPr="002F6F31">
        <w:rPr>
          <w:rFonts w:ascii="Verdana" w:eastAsia="Calibri" w:hAnsi="Verdana"/>
          <w:spacing w:val="-2"/>
          <w:sz w:val="20"/>
          <w:szCs w:val="20"/>
        </w:rPr>
        <w:t xml:space="preserve">, la Corte aplicó la presunción iuris tantum </w:t>
      </w:r>
      <w:r w:rsidR="0048601D" w:rsidRPr="002F6F31">
        <w:rPr>
          <w:rFonts w:ascii="Verdana" w:eastAsia="Calibri" w:hAnsi="Verdana"/>
          <w:spacing w:val="-2"/>
          <w:sz w:val="20"/>
          <w:szCs w:val="20"/>
        </w:rPr>
        <w:t>sobre la</w:t>
      </w:r>
      <w:r w:rsidRPr="002F6F31">
        <w:rPr>
          <w:rFonts w:ascii="Verdana" w:eastAsia="Calibri" w:hAnsi="Verdana"/>
          <w:spacing w:val="-2"/>
          <w:sz w:val="20"/>
          <w:szCs w:val="20"/>
        </w:rPr>
        <w:t xml:space="preserve"> violación del derecho a la integridad psíquica y moral </w:t>
      </w:r>
      <w:r w:rsidR="00FC60A1">
        <w:rPr>
          <w:rFonts w:ascii="Verdana" w:eastAsia="Calibri" w:hAnsi="Verdana"/>
          <w:spacing w:val="-2"/>
          <w:sz w:val="20"/>
          <w:szCs w:val="20"/>
        </w:rPr>
        <w:t>de</w:t>
      </w:r>
      <w:r w:rsidR="0048601D" w:rsidRPr="002F6F31">
        <w:rPr>
          <w:rFonts w:ascii="Verdana" w:eastAsia="Calibri" w:hAnsi="Verdana"/>
          <w:spacing w:val="-2"/>
          <w:sz w:val="20"/>
          <w:szCs w:val="20"/>
        </w:rPr>
        <w:t xml:space="preserve"> </w:t>
      </w:r>
      <w:r w:rsidRPr="002F6F31">
        <w:rPr>
          <w:rFonts w:ascii="Verdana" w:eastAsia="Calibri" w:hAnsi="Verdana"/>
          <w:spacing w:val="-2"/>
          <w:sz w:val="20"/>
          <w:szCs w:val="20"/>
        </w:rPr>
        <w:t xml:space="preserve">su madre, Teodora Gonzáles. Igualmente, consideró </w:t>
      </w:r>
      <w:r w:rsidR="0048601D" w:rsidRPr="002F6F31">
        <w:rPr>
          <w:rFonts w:ascii="Verdana" w:eastAsia="Calibri" w:hAnsi="Verdana"/>
          <w:spacing w:val="-2"/>
          <w:sz w:val="20"/>
          <w:szCs w:val="20"/>
        </w:rPr>
        <w:t xml:space="preserve">que el Estado violó </w:t>
      </w:r>
      <w:r w:rsidRPr="002F6F31">
        <w:rPr>
          <w:rFonts w:ascii="Verdana" w:eastAsia="Calibri" w:hAnsi="Verdana"/>
          <w:spacing w:val="-2"/>
          <w:sz w:val="20"/>
          <w:szCs w:val="20"/>
        </w:rPr>
        <w:t xml:space="preserve">la integridad </w:t>
      </w:r>
      <w:r w:rsidR="0048601D" w:rsidRPr="002F6F31">
        <w:rPr>
          <w:rFonts w:ascii="Verdana" w:eastAsia="Calibri" w:hAnsi="Verdana"/>
          <w:spacing w:val="-2"/>
          <w:sz w:val="20"/>
          <w:szCs w:val="20"/>
        </w:rPr>
        <w:t>personal</w:t>
      </w:r>
      <w:r w:rsidRPr="002F6F31">
        <w:rPr>
          <w:rFonts w:ascii="Verdana" w:eastAsia="Calibri" w:hAnsi="Verdana"/>
          <w:spacing w:val="-2"/>
          <w:sz w:val="20"/>
          <w:szCs w:val="20"/>
        </w:rPr>
        <w:t xml:space="preserve"> de su hermano, Manuel Espinoza</w:t>
      </w:r>
      <w:r w:rsidR="005C795E" w:rsidRPr="002F6F31">
        <w:rPr>
          <w:rFonts w:ascii="Verdana" w:eastAsia="Calibri" w:hAnsi="Verdana"/>
          <w:spacing w:val="-2"/>
          <w:sz w:val="20"/>
          <w:szCs w:val="20"/>
        </w:rPr>
        <w:t xml:space="preserve">. Por todo lo anterior, se violó el artículo </w:t>
      </w:r>
      <w:r w:rsidR="005C795E" w:rsidRPr="002F6F31">
        <w:rPr>
          <w:rFonts w:ascii="Verdana" w:eastAsia="MS Mincho" w:hAnsi="Verdana"/>
          <w:spacing w:val="-2"/>
          <w:sz w:val="20"/>
          <w:szCs w:val="20"/>
        </w:rPr>
        <w:t>5.1 de la Convención Americana</w:t>
      </w:r>
      <w:r w:rsidR="00CB160B" w:rsidRPr="002F6F31">
        <w:rPr>
          <w:rFonts w:ascii="Verdana" w:eastAsia="MS Mincho" w:hAnsi="Verdana"/>
          <w:spacing w:val="-2"/>
          <w:sz w:val="20"/>
          <w:szCs w:val="20"/>
        </w:rPr>
        <w:t>.</w:t>
      </w:r>
    </w:p>
    <w:p w14:paraId="56E34D9B" w14:textId="77777777" w:rsidR="00CB160B" w:rsidRPr="002F6F31" w:rsidRDefault="00CB160B" w:rsidP="009A6676">
      <w:pPr>
        <w:rPr>
          <w:rFonts w:ascii="Verdana" w:eastAsia="MS Mincho" w:hAnsi="Verdana"/>
          <w:spacing w:val="-2"/>
          <w:sz w:val="20"/>
          <w:szCs w:val="20"/>
        </w:rPr>
      </w:pPr>
    </w:p>
    <w:p w14:paraId="692521E7" w14:textId="77777777" w:rsidR="00D53E92" w:rsidRPr="002F6F31" w:rsidRDefault="00105B47" w:rsidP="002F6F31">
      <w:pPr>
        <w:jc w:val="both"/>
        <w:rPr>
          <w:rFonts w:ascii="Verdana" w:eastAsia="Calibri" w:hAnsi="Verdana"/>
          <w:spacing w:val="-2"/>
          <w:sz w:val="20"/>
          <w:szCs w:val="20"/>
        </w:rPr>
      </w:pPr>
      <w:r>
        <w:rPr>
          <w:rFonts w:ascii="Verdana" w:hAnsi="Verdana"/>
          <w:spacing w:val="-2"/>
          <w:sz w:val="20"/>
          <w:szCs w:val="20"/>
        </w:rPr>
        <w:t>Por otra parte, la</w:t>
      </w:r>
      <w:r w:rsidRPr="002F6F31">
        <w:rPr>
          <w:rFonts w:ascii="Verdana" w:hAnsi="Verdana"/>
          <w:spacing w:val="-2"/>
          <w:sz w:val="20"/>
          <w:szCs w:val="20"/>
        </w:rPr>
        <w:t xml:space="preserve"> </w:t>
      </w:r>
      <w:r w:rsidR="005C795E" w:rsidRPr="002F6F31">
        <w:rPr>
          <w:rFonts w:ascii="Verdana" w:hAnsi="Verdana"/>
          <w:spacing w:val="-2"/>
          <w:sz w:val="20"/>
          <w:szCs w:val="20"/>
        </w:rPr>
        <w:t xml:space="preserve">Corte consideró que el Estado violó los artículos 8.1 y 25 de la Convención, </w:t>
      </w:r>
      <w:r w:rsidR="00426624">
        <w:rPr>
          <w:rFonts w:ascii="Verdana" w:hAnsi="Verdana"/>
          <w:spacing w:val="-2"/>
          <w:sz w:val="20"/>
          <w:szCs w:val="20"/>
        </w:rPr>
        <w:t>en relación con el</w:t>
      </w:r>
      <w:r w:rsidR="005C795E" w:rsidRPr="002F6F31">
        <w:rPr>
          <w:rFonts w:ascii="Verdana" w:hAnsi="Verdana"/>
          <w:spacing w:val="-2"/>
          <w:sz w:val="20"/>
          <w:szCs w:val="20"/>
        </w:rPr>
        <w:t xml:space="preserve"> artículo 1.1 de dicho tratado, </w:t>
      </w:r>
      <w:r w:rsidR="00FC266C">
        <w:rPr>
          <w:rFonts w:ascii="Verdana" w:hAnsi="Verdana"/>
          <w:spacing w:val="-2"/>
          <w:sz w:val="20"/>
          <w:szCs w:val="20"/>
        </w:rPr>
        <w:t>e incumplió las obligaciones establecidas en</w:t>
      </w:r>
      <w:r w:rsidR="005C795E" w:rsidRPr="002F6F31">
        <w:rPr>
          <w:rFonts w:ascii="Verdana" w:hAnsi="Verdana"/>
          <w:spacing w:val="-2"/>
          <w:sz w:val="20"/>
          <w:szCs w:val="20"/>
        </w:rPr>
        <w:t xml:space="preserve"> los artículos 1, 6 y 8 de la </w:t>
      </w:r>
      <w:r w:rsidR="00EC522E">
        <w:rPr>
          <w:rFonts w:ascii="Verdana" w:hAnsi="Verdana"/>
          <w:spacing w:val="-2"/>
          <w:sz w:val="20"/>
          <w:szCs w:val="20"/>
        </w:rPr>
        <w:t>CIPST</w:t>
      </w:r>
      <w:r w:rsidR="005C795E" w:rsidRPr="002F6F31">
        <w:rPr>
          <w:rFonts w:ascii="Verdana" w:hAnsi="Verdana"/>
          <w:spacing w:val="-2"/>
          <w:sz w:val="20"/>
          <w:szCs w:val="20"/>
        </w:rPr>
        <w:t xml:space="preserve"> y el artículo 7.b de la Convención Belém </w:t>
      </w:r>
      <w:r w:rsidR="00426624">
        <w:rPr>
          <w:rFonts w:ascii="Verdana" w:hAnsi="Verdana"/>
          <w:spacing w:val="-2"/>
          <w:sz w:val="20"/>
          <w:szCs w:val="20"/>
        </w:rPr>
        <w:t>d</w:t>
      </w:r>
      <w:r w:rsidR="005C795E" w:rsidRPr="002F6F31">
        <w:rPr>
          <w:rFonts w:ascii="Verdana" w:hAnsi="Verdana"/>
          <w:spacing w:val="-2"/>
          <w:sz w:val="20"/>
          <w:szCs w:val="20"/>
        </w:rPr>
        <w:t>o Pará (</w:t>
      </w:r>
      <w:r w:rsidR="00BF2784">
        <w:rPr>
          <w:rFonts w:ascii="Verdana" w:hAnsi="Verdana"/>
          <w:spacing w:val="-2"/>
          <w:sz w:val="20"/>
          <w:szCs w:val="20"/>
        </w:rPr>
        <w:t xml:space="preserve">en cuanto a esta última, </w:t>
      </w:r>
      <w:r w:rsidR="00426624">
        <w:rPr>
          <w:rFonts w:ascii="Verdana" w:hAnsi="Verdana"/>
          <w:spacing w:val="-2"/>
          <w:sz w:val="20"/>
          <w:szCs w:val="20"/>
        </w:rPr>
        <w:t>a partir de la fecha en que fue ratificada</w:t>
      </w:r>
      <w:r w:rsidR="005C795E" w:rsidRPr="002F6F31">
        <w:rPr>
          <w:rFonts w:ascii="Verdana" w:hAnsi="Verdana"/>
          <w:spacing w:val="-2"/>
          <w:sz w:val="20"/>
          <w:szCs w:val="20"/>
        </w:rPr>
        <w:t xml:space="preserve">), por </w:t>
      </w:r>
      <w:r w:rsidR="00AE3649" w:rsidRPr="002F6F31">
        <w:rPr>
          <w:rFonts w:ascii="Verdana" w:hAnsi="Verdana"/>
          <w:spacing w:val="-2"/>
          <w:sz w:val="20"/>
          <w:szCs w:val="20"/>
        </w:rPr>
        <w:t>el retardo injustificado para iniciar la</w:t>
      </w:r>
      <w:r w:rsidR="005C795E" w:rsidRPr="002F6F31">
        <w:rPr>
          <w:rFonts w:ascii="Verdana" w:hAnsi="Verdana"/>
          <w:spacing w:val="-2"/>
          <w:sz w:val="20"/>
          <w:szCs w:val="20"/>
        </w:rPr>
        <w:t xml:space="preserve"> investigación de los hechos ocurridos en perjuicio de Gladys Espinoza</w:t>
      </w:r>
      <w:r w:rsidR="00EC522E">
        <w:rPr>
          <w:rFonts w:ascii="Verdana" w:hAnsi="Verdana"/>
          <w:spacing w:val="-2"/>
          <w:sz w:val="20"/>
          <w:szCs w:val="20"/>
        </w:rPr>
        <w:t>.</w:t>
      </w:r>
      <w:r w:rsidR="00E70F1F">
        <w:rPr>
          <w:rFonts w:ascii="Verdana" w:hAnsi="Verdana"/>
          <w:spacing w:val="-2"/>
          <w:sz w:val="20"/>
          <w:szCs w:val="20"/>
        </w:rPr>
        <w:t xml:space="preserve"> </w:t>
      </w:r>
      <w:r w:rsidR="00E70F1F">
        <w:rPr>
          <w:rFonts w:ascii="Verdana" w:eastAsia="Calibri" w:hAnsi="Verdana"/>
          <w:spacing w:val="-2"/>
          <w:sz w:val="20"/>
          <w:szCs w:val="20"/>
        </w:rPr>
        <w:t>Asimismo, en</w:t>
      </w:r>
      <w:r w:rsidR="00FD3C75" w:rsidRPr="002F6F31">
        <w:rPr>
          <w:rFonts w:ascii="Verdana" w:eastAsia="Calibri" w:hAnsi="Verdana"/>
          <w:spacing w:val="-2"/>
          <w:sz w:val="20"/>
          <w:szCs w:val="20"/>
        </w:rPr>
        <w:t xml:space="preserve"> su análisis de fondo, l</w:t>
      </w:r>
      <w:r w:rsidR="009B0D5A" w:rsidRPr="002F6F31">
        <w:rPr>
          <w:rFonts w:ascii="Verdana" w:eastAsia="Calibri" w:hAnsi="Verdana"/>
          <w:spacing w:val="-2"/>
          <w:sz w:val="20"/>
          <w:szCs w:val="20"/>
        </w:rPr>
        <w:t>a Corte observó que ni las declaraciones que se le tomaron a Gladys Espinoza ni los informes médicos correspondientes a los exámenes que se le practicaron cumplieron con los estándares internacionales aplicables para la</w:t>
      </w:r>
      <w:r w:rsidR="00D53E92" w:rsidRPr="002F6F31">
        <w:rPr>
          <w:rFonts w:ascii="Verdana" w:eastAsia="Calibri" w:hAnsi="Verdana"/>
          <w:spacing w:val="-2"/>
          <w:sz w:val="20"/>
          <w:szCs w:val="20"/>
        </w:rPr>
        <w:t xml:space="preserve"> </w:t>
      </w:r>
      <w:r w:rsidR="00D53E92" w:rsidRPr="002F6F31">
        <w:rPr>
          <w:rFonts w:ascii="Verdana" w:hAnsi="Verdana"/>
          <w:spacing w:val="-2"/>
          <w:sz w:val="20"/>
          <w:szCs w:val="20"/>
        </w:rPr>
        <w:t>recaudación de prueba en casos de tortura y violencia sexual, y en particular, a la recopilación de declaraciones y la realización de evaluaciones médicas y psicológicas</w:t>
      </w:r>
      <w:r w:rsidR="00C409AB" w:rsidRPr="002F6F31">
        <w:rPr>
          <w:rFonts w:ascii="Verdana" w:hAnsi="Verdana"/>
          <w:spacing w:val="-2"/>
          <w:sz w:val="20"/>
          <w:szCs w:val="20"/>
        </w:rPr>
        <w:t>.</w:t>
      </w:r>
    </w:p>
    <w:p w14:paraId="509278A7" w14:textId="77777777" w:rsidR="00D53E92" w:rsidRPr="002F6F31" w:rsidRDefault="00D53E92" w:rsidP="002F6F31">
      <w:pPr>
        <w:jc w:val="both"/>
        <w:rPr>
          <w:rFonts w:ascii="Verdana" w:eastAsia="Calibri" w:hAnsi="Verdana"/>
          <w:spacing w:val="-2"/>
          <w:sz w:val="20"/>
          <w:szCs w:val="20"/>
        </w:rPr>
      </w:pPr>
    </w:p>
    <w:p w14:paraId="1E2B816D" w14:textId="77777777" w:rsidR="00D00ECF" w:rsidRPr="002F6F31" w:rsidRDefault="000D609C" w:rsidP="002F6F31">
      <w:pPr>
        <w:jc w:val="both"/>
        <w:rPr>
          <w:rFonts w:ascii="Verdana" w:eastAsia="Calibri" w:hAnsi="Verdana"/>
          <w:spacing w:val="-2"/>
          <w:sz w:val="20"/>
          <w:szCs w:val="20"/>
        </w:rPr>
      </w:pPr>
      <w:r w:rsidRPr="002F6F31">
        <w:rPr>
          <w:rFonts w:ascii="Verdana" w:hAnsi="Verdana"/>
          <w:spacing w:val="-2"/>
          <w:sz w:val="20"/>
          <w:szCs w:val="20"/>
        </w:rPr>
        <w:t xml:space="preserve">La Corte consideró que, en cuanto a las entrevistas que se realicen a una persona que afirma haber sido sometida a actos de tortura: i) se debe permitir que ésta pueda exponer lo que considere relevante con libertad, por lo que los funcionarios deben evitar limitarse a formular preguntas; </w:t>
      </w:r>
      <w:proofErr w:type="spellStart"/>
      <w:r w:rsidRPr="002F6F31">
        <w:rPr>
          <w:rFonts w:ascii="Verdana" w:hAnsi="Verdana"/>
          <w:spacing w:val="-2"/>
          <w:sz w:val="20"/>
          <w:szCs w:val="20"/>
        </w:rPr>
        <w:t>ii</w:t>
      </w:r>
      <w:proofErr w:type="spellEnd"/>
      <w:r w:rsidRPr="002F6F31">
        <w:rPr>
          <w:rFonts w:ascii="Verdana" w:hAnsi="Verdana"/>
          <w:spacing w:val="-2"/>
          <w:sz w:val="20"/>
          <w:szCs w:val="20"/>
        </w:rPr>
        <w:t xml:space="preserve">) no debe exigirse a nadie hablar de ninguna forma de tortura si se siente incómodo al hacerlo; </w:t>
      </w:r>
      <w:proofErr w:type="spellStart"/>
      <w:r w:rsidRPr="002F6F31">
        <w:rPr>
          <w:rFonts w:ascii="Verdana" w:hAnsi="Verdana"/>
          <w:spacing w:val="-2"/>
          <w:sz w:val="20"/>
          <w:szCs w:val="20"/>
        </w:rPr>
        <w:t>iii</w:t>
      </w:r>
      <w:proofErr w:type="spellEnd"/>
      <w:r w:rsidRPr="002F6F31">
        <w:rPr>
          <w:rFonts w:ascii="Verdana" w:hAnsi="Verdana"/>
          <w:spacing w:val="-2"/>
          <w:sz w:val="20"/>
          <w:szCs w:val="20"/>
        </w:rPr>
        <w:t xml:space="preserve">) se debe documentar durante la entrevista la historia psicosocial y previa al arresto de la presunta víctima, el resumen de los hechos narrados por ésta relacionados al momento de su detención inicial, las circunstancias, el lugar y las condiciones en las que se encontraba durante su permanencia bajo custodia estatal, los malos tratos o actos de tortura </w:t>
      </w:r>
      <w:r w:rsidRPr="002F6F31">
        <w:rPr>
          <w:rFonts w:ascii="Verdana" w:hAnsi="Verdana"/>
          <w:spacing w:val="-2"/>
          <w:sz w:val="20"/>
          <w:szCs w:val="20"/>
        </w:rPr>
        <w:lastRenderedPageBreak/>
        <w:t xml:space="preserve">presuntamente sufridos, así como los métodos presuntamente utilizados para ello, y </w:t>
      </w:r>
      <w:proofErr w:type="spellStart"/>
      <w:r w:rsidRPr="002F6F31">
        <w:rPr>
          <w:rFonts w:ascii="Verdana" w:hAnsi="Verdana"/>
          <w:spacing w:val="-2"/>
          <w:sz w:val="20"/>
          <w:szCs w:val="20"/>
        </w:rPr>
        <w:t>iv</w:t>
      </w:r>
      <w:proofErr w:type="spellEnd"/>
      <w:r w:rsidRPr="002F6F31">
        <w:rPr>
          <w:rFonts w:ascii="Verdana" w:hAnsi="Verdana"/>
          <w:spacing w:val="-2"/>
          <w:sz w:val="20"/>
          <w:szCs w:val="20"/>
        </w:rPr>
        <w:t>) se debe grabar y hacer transcribir la declaración detallada. En casos de que la alegada tortura incluya actos de violencia o violación sexual, dicha grabación deberá ser consentida por la presunta víctima.</w:t>
      </w:r>
      <w:r w:rsidR="00D00ECF" w:rsidRPr="002F6F31">
        <w:rPr>
          <w:rFonts w:ascii="Verdana" w:eastAsia="Calibri" w:hAnsi="Verdana"/>
          <w:spacing w:val="-2"/>
          <w:sz w:val="20"/>
          <w:szCs w:val="20"/>
        </w:rPr>
        <w:t xml:space="preserve"> </w:t>
      </w:r>
      <w:r w:rsidR="00D00ECF" w:rsidRPr="002F6F31">
        <w:rPr>
          <w:rFonts w:ascii="Verdana" w:hAnsi="Verdana"/>
          <w:spacing w:val="-2"/>
          <w:sz w:val="20"/>
          <w:szCs w:val="20"/>
        </w:rPr>
        <w:t>Además</w:t>
      </w:r>
      <w:r w:rsidR="00A017F6" w:rsidRPr="002F6F31">
        <w:rPr>
          <w:rFonts w:ascii="Verdana" w:hAnsi="Verdana"/>
          <w:spacing w:val="-2"/>
          <w:sz w:val="20"/>
          <w:szCs w:val="20"/>
        </w:rPr>
        <w:t>, la Corte reiteró que</w:t>
      </w:r>
      <w:r w:rsidR="003B6C14" w:rsidRPr="002F6F31">
        <w:rPr>
          <w:rFonts w:ascii="Verdana" w:hAnsi="Verdana"/>
          <w:spacing w:val="-2"/>
          <w:sz w:val="20"/>
          <w:szCs w:val="20"/>
        </w:rPr>
        <w:t xml:space="preserve"> en</w:t>
      </w:r>
      <w:r w:rsidR="00A017F6" w:rsidRPr="002F6F31">
        <w:rPr>
          <w:rFonts w:ascii="Verdana" w:hAnsi="Verdana"/>
          <w:spacing w:val="-2"/>
          <w:sz w:val="20"/>
          <w:szCs w:val="20"/>
        </w:rPr>
        <w:t xml:space="preserve"> la entrevista que se realiza a una presunta víctima de actos de violencia o violación sexual, </w:t>
      </w:r>
      <w:r w:rsidR="00D00ECF" w:rsidRPr="002F6F31">
        <w:rPr>
          <w:rFonts w:ascii="Verdana" w:hAnsi="Verdana"/>
          <w:spacing w:val="-2"/>
          <w:sz w:val="20"/>
          <w:szCs w:val="20"/>
        </w:rPr>
        <w:t xml:space="preserve">es necesario que la declaración de ésta se realice en un ambiente cómodo y seguro, que le brinde privacidad y confianza, y que la declaración se registre de forma tal que se evite o limite la necesidad de su repetición. Dicha declaración deberá contener, con el consentimiento de la presunta víctima: i) la fecha, hora y lugar del acto de violencia sexual perpetrado, incluyendo la descripción del lugar donde ocurrió el acto; </w:t>
      </w:r>
      <w:proofErr w:type="spellStart"/>
      <w:r w:rsidR="00D00ECF" w:rsidRPr="002F6F31">
        <w:rPr>
          <w:rFonts w:ascii="Verdana" w:hAnsi="Verdana"/>
          <w:spacing w:val="-2"/>
          <w:sz w:val="20"/>
          <w:szCs w:val="20"/>
        </w:rPr>
        <w:t>ii</w:t>
      </w:r>
      <w:proofErr w:type="spellEnd"/>
      <w:r w:rsidR="00D00ECF" w:rsidRPr="002F6F31">
        <w:rPr>
          <w:rFonts w:ascii="Verdana" w:hAnsi="Verdana"/>
          <w:spacing w:val="-2"/>
          <w:sz w:val="20"/>
          <w:szCs w:val="20"/>
        </w:rPr>
        <w:t xml:space="preserve">) el nombre, identidad y número de agresores; </w:t>
      </w:r>
      <w:proofErr w:type="spellStart"/>
      <w:r w:rsidR="00D00ECF" w:rsidRPr="002F6F31">
        <w:rPr>
          <w:rFonts w:ascii="Verdana" w:hAnsi="Verdana"/>
          <w:spacing w:val="-2"/>
          <w:sz w:val="20"/>
          <w:szCs w:val="20"/>
        </w:rPr>
        <w:t>iii</w:t>
      </w:r>
      <w:proofErr w:type="spellEnd"/>
      <w:r w:rsidR="00D00ECF" w:rsidRPr="002F6F31">
        <w:rPr>
          <w:rFonts w:ascii="Verdana" w:hAnsi="Verdana"/>
          <w:spacing w:val="-2"/>
          <w:sz w:val="20"/>
          <w:szCs w:val="20"/>
        </w:rPr>
        <w:t xml:space="preserve">) la naturaleza de los contactos físicos de los que habría sido víctima; </w:t>
      </w:r>
      <w:proofErr w:type="spellStart"/>
      <w:r w:rsidR="00D00ECF" w:rsidRPr="002F6F31">
        <w:rPr>
          <w:rFonts w:ascii="Verdana" w:hAnsi="Verdana"/>
          <w:spacing w:val="-2"/>
          <w:sz w:val="20"/>
          <w:szCs w:val="20"/>
        </w:rPr>
        <w:t>iv</w:t>
      </w:r>
      <w:proofErr w:type="spellEnd"/>
      <w:r w:rsidR="00D00ECF" w:rsidRPr="002F6F31">
        <w:rPr>
          <w:rFonts w:ascii="Verdana" w:hAnsi="Verdana"/>
          <w:spacing w:val="-2"/>
          <w:sz w:val="20"/>
          <w:szCs w:val="20"/>
        </w:rPr>
        <w:t xml:space="preserve">) si existió uso de armas o retenedores; v) el uso de medicación, drogas, alcohol u otras substancias; vi) la forma en la que la ropa fue removida, de ser el caso; </w:t>
      </w:r>
      <w:proofErr w:type="spellStart"/>
      <w:r w:rsidR="00D00ECF" w:rsidRPr="002F6F31">
        <w:rPr>
          <w:rFonts w:ascii="Verdana" w:hAnsi="Verdana"/>
          <w:spacing w:val="-2"/>
          <w:sz w:val="20"/>
          <w:szCs w:val="20"/>
        </w:rPr>
        <w:t>vii</w:t>
      </w:r>
      <w:proofErr w:type="spellEnd"/>
      <w:r w:rsidR="00D00ECF" w:rsidRPr="002F6F31">
        <w:rPr>
          <w:rFonts w:ascii="Verdana" w:hAnsi="Verdana"/>
          <w:spacing w:val="-2"/>
          <w:sz w:val="20"/>
          <w:szCs w:val="20"/>
        </w:rPr>
        <w:t xml:space="preserve">) los detalles sobre las actividades sexuales perpetradas o intentadas en contra de la presunta víctima; </w:t>
      </w:r>
      <w:proofErr w:type="spellStart"/>
      <w:r w:rsidR="00D00ECF" w:rsidRPr="002F6F31">
        <w:rPr>
          <w:rFonts w:ascii="Verdana" w:hAnsi="Verdana"/>
          <w:spacing w:val="-2"/>
          <w:sz w:val="20"/>
          <w:szCs w:val="20"/>
        </w:rPr>
        <w:t>viii</w:t>
      </w:r>
      <w:proofErr w:type="spellEnd"/>
      <w:r w:rsidR="00D00ECF" w:rsidRPr="002F6F31">
        <w:rPr>
          <w:rFonts w:ascii="Verdana" w:hAnsi="Verdana"/>
          <w:spacing w:val="-2"/>
          <w:sz w:val="20"/>
          <w:szCs w:val="20"/>
        </w:rPr>
        <w:t xml:space="preserve">) si existió el uso de preservativos o lubricantes; </w:t>
      </w:r>
      <w:proofErr w:type="spellStart"/>
      <w:r w:rsidR="00D00ECF" w:rsidRPr="002F6F31">
        <w:rPr>
          <w:rFonts w:ascii="Verdana" w:hAnsi="Verdana"/>
          <w:spacing w:val="-2"/>
          <w:sz w:val="20"/>
          <w:szCs w:val="20"/>
        </w:rPr>
        <w:t>ix</w:t>
      </w:r>
      <w:proofErr w:type="spellEnd"/>
      <w:r w:rsidR="00D00ECF" w:rsidRPr="002F6F31">
        <w:rPr>
          <w:rFonts w:ascii="Verdana" w:hAnsi="Verdana"/>
          <w:spacing w:val="-2"/>
          <w:sz w:val="20"/>
          <w:szCs w:val="20"/>
        </w:rPr>
        <w:t>) si existieron otras conductas que podrían alterar la evidencia, y x) detalles sobre los síntomas que ha padecido la presunta víctima desde ese momento.</w:t>
      </w:r>
    </w:p>
    <w:p w14:paraId="0610F583" w14:textId="77777777" w:rsidR="00D00ECF" w:rsidRPr="002F6F31" w:rsidRDefault="00D00ECF" w:rsidP="002F6F31">
      <w:pPr>
        <w:jc w:val="both"/>
        <w:rPr>
          <w:rFonts w:ascii="Verdana" w:hAnsi="Verdana"/>
          <w:spacing w:val="-2"/>
          <w:sz w:val="20"/>
          <w:szCs w:val="20"/>
        </w:rPr>
      </w:pPr>
    </w:p>
    <w:p w14:paraId="53A75DEF" w14:textId="77777777" w:rsidR="00646CDB" w:rsidRPr="002F6F31" w:rsidRDefault="00EA7F97" w:rsidP="002F6F31">
      <w:pPr>
        <w:jc w:val="both"/>
        <w:rPr>
          <w:rFonts w:ascii="Verdana" w:hAnsi="Verdana"/>
          <w:spacing w:val="-2"/>
          <w:sz w:val="20"/>
          <w:szCs w:val="20"/>
        </w:rPr>
      </w:pPr>
      <w:r w:rsidRPr="002F6F31">
        <w:rPr>
          <w:rFonts w:ascii="Verdana" w:hAnsi="Verdana"/>
          <w:spacing w:val="-2"/>
          <w:sz w:val="20"/>
          <w:szCs w:val="20"/>
        </w:rPr>
        <w:t>Por otra parte</w:t>
      </w:r>
      <w:r w:rsidR="00123F9E" w:rsidRPr="002F6F31">
        <w:rPr>
          <w:rFonts w:ascii="Verdana" w:hAnsi="Verdana"/>
          <w:spacing w:val="-2"/>
          <w:sz w:val="20"/>
          <w:szCs w:val="20"/>
        </w:rPr>
        <w:t>, la Corte consideró que, en casos donde existen indicios de tortura, los exámenes médicos que se realicen a una potencial víctima de tortura</w:t>
      </w:r>
      <w:r w:rsidR="008D6D5D" w:rsidRPr="002F6F31">
        <w:rPr>
          <w:rFonts w:ascii="Verdana" w:hAnsi="Verdana"/>
          <w:spacing w:val="-2"/>
          <w:sz w:val="20"/>
          <w:szCs w:val="20"/>
        </w:rPr>
        <w:t xml:space="preserve"> </w:t>
      </w:r>
      <w:r w:rsidR="00123F9E" w:rsidRPr="002F6F31">
        <w:rPr>
          <w:rFonts w:ascii="Verdana" w:hAnsi="Verdana"/>
          <w:spacing w:val="-2"/>
          <w:sz w:val="20"/>
          <w:szCs w:val="20"/>
        </w:rPr>
        <w:t>deben ser realizados con consentimiento previo e informado, sin la presencia de agentes de seguridad u otros agentes estatales, y los informes correspondientes deben incluir, al menos, los siguientes elementos:</w:t>
      </w:r>
      <w:r w:rsidR="00646CDB" w:rsidRPr="002F6F31">
        <w:rPr>
          <w:rFonts w:ascii="Verdana" w:hAnsi="Verdana"/>
          <w:spacing w:val="-2"/>
          <w:sz w:val="20"/>
          <w:szCs w:val="20"/>
        </w:rPr>
        <w:t xml:space="preserve"> a) </w:t>
      </w:r>
      <w:r w:rsidR="00AD4798">
        <w:rPr>
          <w:rFonts w:ascii="Verdana" w:hAnsi="Verdana"/>
          <w:spacing w:val="-2"/>
          <w:sz w:val="20"/>
          <w:szCs w:val="20"/>
        </w:rPr>
        <w:t>l</w:t>
      </w:r>
      <w:r w:rsidR="00646CDB" w:rsidRPr="002F6F31">
        <w:rPr>
          <w:rFonts w:ascii="Verdana" w:hAnsi="Verdana"/>
          <w:spacing w:val="-2"/>
          <w:sz w:val="20"/>
          <w:szCs w:val="20"/>
        </w:rPr>
        <w:t>as circunstancias de la entrevista: el nombre del sujeto y el nombre y la filiación de todas las personas presentes en el examen; la fecha y hora exactas; la ubicación, carácter y domicilio de la institución donde se realizó el examen; circunstancias particulares en el momento del examen</w:t>
      </w:r>
      <w:r w:rsidR="00AD4798">
        <w:rPr>
          <w:rFonts w:ascii="Verdana" w:hAnsi="Verdana"/>
          <w:spacing w:val="-2"/>
          <w:sz w:val="20"/>
          <w:szCs w:val="20"/>
        </w:rPr>
        <w:t>,</w:t>
      </w:r>
      <w:r w:rsidR="00646CDB" w:rsidRPr="002F6F31">
        <w:rPr>
          <w:rFonts w:ascii="Verdana" w:hAnsi="Verdana"/>
          <w:spacing w:val="-2"/>
          <w:sz w:val="20"/>
          <w:szCs w:val="20"/>
        </w:rPr>
        <w:t xml:space="preserve"> y cualquier otro factor que el médico considere pertinente; b) </w:t>
      </w:r>
      <w:r w:rsidR="00AD4798">
        <w:rPr>
          <w:rFonts w:ascii="Verdana" w:hAnsi="Verdana"/>
          <w:spacing w:val="-2"/>
          <w:sz w:val="20"/>
          <w:szCs w:val="20"/>
        </w:rPr>
        <w:t>una</w:t>
      </w:r>
      <w:r w:rsidR="00646CDB" w:rsidRPr="002F6F31">
        <w:rPr>
          <w:rFonts w:ascii="Verdana" w:hAnsi="Verdana"/>
          <w:spacing w:val="-2"/>
          <w:sz w:val="20"/>
          <w:szCs w:val="20"/>
        </w:rPr>
        <w:t xml:space="preserve"> exposición detallada de los hechos relatados por el sujeto durante la entrevista; c) </w:t>
      </w:r>
      <w:r w:rsidR="00AD4798">
        <w:rPr>
          <w:rFonts w:ascii="Verdana" w:hAnsi="Verdana"/>
          <w:spacing w:val="-2"/>
          <w:sz w:val="20"/>
          <w:szCs w:val="20"/>
        </w:rPr>
        <w:t xml:space="preserve">una </w:t>
      </w:r>
      <w:r w:rsidR="00646CDB" w:rsidRPr="002F6F31">
        <w:rPr>
          <w:rFonts w:ascii="Verdana" w:hAnsi="Verdana"/>
          <w:spacing w:val="-2"/>
          <w:sz w:val="20"/>
          <w:szCs w:val="20"/>
        </w:rPr>
        <w:t>descripción de todas las observaciones físicas y psicológicas del examen clínico, incluidas las pruebas de diagnóstico correspondientes y, cuando sea posible, fotografías en color de todas las lesiones; d) una interpretación de la relación probable entre los síntomas físicos y psicológicos y las posibles torturas o malos tratos</w:t>
      </w:r>
      <w:r w:rsidR="00A2329C">
        <w:rPr>
          <w:rFonts w:ascii="Verdana" w:hAnsi="Verdana"/>
          <w:spacing w:val="-2"/>
          <w:sz w:val="20"/>
          <w:szCs w:val="20"/>
        </w:rPr>
        <w:t>,</w:t>
      </w:r>
      <w:r w:rsidR="00AD4798">
        <w:rPr>
          <w:rFonts w:ascii="Verdana" w:hAnsi="Verdana"/>
          <w:spacing w:val="-2"/>
          <w:sz w:val="20"/>
          <w:szCs w:val="20"/>
        </w:rPr>
        <w:t xml:space="preserve"> y </w:t>
      </w:r>
      <w:r w:rsidR="00A2329C">
        <w:rPr>
          <w:rFonts w:ascii="Verdana" w:hAnsi="Verdana"/>
          <w:spacing w:val="-2"/>
          <w:sz w:val="20"/>
          <w:szCs w:val="20"/>
        </w:rPr>
        <w:t>una opinión respecto a la r</w:t>
      </w:r>
      <w:r w:rsidR="00646CDB" w:rsidRPr="002F6F31">
        <w:rPr>
          <w:rFonts w:ascii="Verdana" w:hAnsi="Verdana"/>
          <w:spacing w:val="-2"/>
          <w:sz w:val="20"/>
          <w:szCs w:val="20"/>
        </w:rPr>
        <w:t xml:space="preserve">ecomendación de un tratamiento médico y psicológico o de nuevos exámenes, y </w:t>
      </w:r>
      <w:proofErr w:type="spellStart"/>
      <w:r w:rsidR="00646CDB" w:rsidRPr="002F6F31">
        <w:rPr>
          <w:rFonts w:ascii="Verdana" w:hAnsi="Verdana"/>
          <w:spacing w:val="-2"/>
          <w:sz w:val="20"/>
          <w:szCs w:val="20"/>
        </w:rPr>
        <w:t>e</w:t>
      </w:r>
      <w:proofErr w:type="spellEnd"/>
      <w:r w:rsidR="00646CDB" w:rsidRPr="002F6F31">
        <w:rPr>
          <w:rFonts w:ascii="Verdana" w:hAnsi="Verdana"/>
          <w:spacing w:val="-2"/>
          <w:sz w:val="20"/>
          <w:szCs w:val="20"/>
        </w:rPr>
        <w:t>) el informe deberá ir firmado y en él se identificará claramente a las personas que hayan llevado a cabo el examen.</w:t>
      </w:r>
    </w:p>
    <w:p w14:paraId="56CB6E44" w14:textId="77777777" w:rsidR="00646CDB" w:rsidRPr="002F6F31" w:rsidRDefault="00646CDB" w:rsidP="002F6F31">
      <w:pPr>
        <w:tabs>
          <w:tab w:val="left" w:pos="0"/>
          <w:tab w:val="left" w:pos="720"/>
        </w:tabs>
        <w:autoSpaceDE w:val="0"/>
        <w:autoSpaceDN w:val="0"/>
        <w:adjustRightInd w:val="0"/>
        <w:ind w:right="-180"/>
        <w:contextualSpacing/>
        <w:jc w:val="both"/>
        <w:rPr>
          <w:rFonts w:ascii="Verdana" w:hAnsi="Verdana"/>
          <w:spacing w:val="-2"/>
          <w:sz w:val="20"/>
          <w:szCs w:val="20"/>
        </w:rPr>
      </w:pPr>
    </w:p>
    <w:p w14:paraId="55521BBD" w14:textId="77777777" w:rsidR="00F60D74" w:rsidRPr="002F6F31" w:rsidRDefault="00704A90" w:rsidP="002F6F31">
      <w:pPr>
        <w:contextualSpacing/>
        <w:jc w:val="both"/>
        <w:rPr>
          <w:rFonts w:ascii="Verdana" w:eastAsia="Batang" w:hAnsi="Verdana"/>
          <w:spacing w:val="-2"/>
          <w:sz w:val="20"/>
          <w:szCs w:val="20"/>
        </w:rPr>
      </w:pPr>
      <w:r w:rsidRPr="002F6F31">
        <w:rPr>
          <w:rFonts w:ascii="Verdana" w:hAnsi="Verdana"/>
          <w:spacing w:val="-2"/>
          <w:sz w:val="20"/>
          <w:szCs w:val="20"/>
        </w:rPr>
        <w:t xml:space="preserve">Asimismo, </w:t>
      </w:r>
      <w:r w:rsidR="00DA02BF">
        <w:rPr>
          <w:rFonts w:ascii="Verdana" w:hAnsi="Verdana"/>
          <w:spacing w:val="-2"/>
          <w:sz w:val="20"/>
          <w:szCs w:val="20"/>
        </w:rPr>
        <w:t xml:space="preserve">la Corte </w:t>
      </w:r>
      <w:r w:rsidRPr="002F6F31">
        <w:rPr>
          <w:rFonts w:ascii="Verdana" w:hAnsi="Verdana"/>
          <w:spacing w:val="-2"/>
          <w:sz w:val="20"/>
          <w:szCs w:val="20"/>
        </w:rPr>
        <w:t>recordó que</w:t>
      </w:r>
      <w:r w:rsidR="008D6D5D" w:rsidRPr="002F6F31">
        <w:rPr>
          <w:rFonts w:ascii="Verdana" w:hAnsi="Verdana"/>
          <w:spacing w:val="-2"/>
          <w:sz w:val="20"/>
          <w:szCs w:val="20"/>
        </w:rPr>
        <w:t xml:space="preserve"> en casos de violencia contra la mujer, </w:t>
      </w:r>
      <w:r w:rsidR="008D6D5D" w:rsidRPr="002F6F31">
        <w:rPr>
          <w:rFonts w:ascii="Verdana" w:eastAsia="Batang" w:hAnsi="Verdana"/>
          <w:spacing w:val="-2"/>
          <w:sz w:val="20"/>
          <w:szCs w:val="20"/>
        </w:rPr>
        <w:t xml:space="preserve">al tomar conocimiento de los actos alegados, </w:t>
      </w:r>
      <w:r w:rsidR="008D6D5D" w:rsidRPr="002F6F31">
        <w:rPr>
          <w:rFonts w:ascii="Verdana" w:hAnsi="Verdana"/>
          <w:spacing w:val="-2"/>
          <w:sz w:val="20"/>
          <w:szCs w:val="20"/>
        </w:rPr>
        <w:t xml:space="preserve">es necesario que </w:t>
      </w:r>
      <w:r w:rsidR="008D6D5D" w:rsidRPr="002F6F31">
        <w:rPr>
          <w:rFonts w:ascii="Verdana" w:eastAsia="Batang" w:hAnsi="Verdana"/>
          <w:spacing w:val="-2"/>
          <w:sz w:val="20"/>
          <w:szCs w:val="20"/>
        </w:rPr>
        <w:t>se realice inmediatamente un examen médico y psicológico completo y detallado por personal idóneo y capacitado, en lo posible del sexo que la víctima indique, ofreciéndole que sea acompañada por alguien de su confianza si así lo desea. Dicho examen deberá ser realizado de conformidad con protocolos dirigidos específicamente a documentar evidencias en casos de violencia de géner</w:t>
      </w:r>
      <w:r w:rsidR="00730C71" w:rsidRPr="002F6F31">
        <w:rPr>
          <w:rFonts w:ascii="Verdana" w:eastAsia="Batang" w:hAnsi="Verdana"/>
          <w:spacing w:val="-2"/>
          <w:sz w:val="20"/>
          <w:szCs w:val="20"/>
        </w:rPr>
        <w:t xml:space="preserve">o. </w:t>
      </w:r>
      <w:r w:rsidR="00F60D74" w:rsidRPr="002F6F31">
        <w:rPr>
          <w:rFonts w:ascii="Verdana" w:eastAsia="Batang" w:hAnsi="Verdana"/>
          <w:spacing w:val="-2"/>
          <w:sz w:val="20"/>
          <w:szCs w:val="20"/>
        </w:rPr>
        <w:t xml:space="preserve">Más aún, la Corte </w:t>
      </w:r>
      <w:r w:rsidR="00061CF5" w:rsidRPr="002F6F31">
        <w:rPr>
          <w:rFonts w:ascii="Verdana" w:eastAsia="Batang" w:hAnsi="Verdana"/>
          <w:spacing w:val="-2"/>
          <w:sz w:val="20"/>
          <w:szCs w:val="20"/>
        </w:rPr>
        <w:t>recordó</w:t>
      </w:r>
      <w:r w:rsidR="00F60D74" w:rsidRPr="002F6F31">
        <w:rPr>
          <w:rFonts w:ascii="Verdana" w:eastAsia="Batang" w:hAnsi="Verdana"/>
          <w:spacing w:val="-2"/>
          <w:sz w:val="20"/>
          <w:szCs w:val="20"/>
        </w:rPr>
        <w:t xml:space="preserve"> que </w:t>
      </w:r>
      <w:r w:rsidR="00F60D74" w:rsidRPr="002F6F31">
        <w:rPr>
          <w:rFonts w:ascii="Verdana" w:hAnsi="Verdana"/>
          <w:spacing w:val="-2"/>
          <w:sz w:val="20"/>
          <w:szCs w:val="20"/>
        </w:rPr>
        <w:t xml:space="preserve">en casos de violencia sexual la investigación debe intentar </w:t>
      </w:r>
      <w:r w:rsidR="00F60D74" w:rsidRPr="002F6F31">
        <w:rPr>
          <w:rFonts w:ascii="Verdana" w:hAnsi="Verdana"/>
          <w:bCs/>
          <w:iCs/>
          <w:spacing w:val="-2"/>
          <w:sz w:val="20"/>
          <w:szCs w:val="20"/>
        </w:rPr>
        <w:t>evitar</w:t>
      </w:r>
      <w:r w:rsidR="00F60D74" w:rsidRPr="002F6F31">
        <w:rPr>
          <w:rFonts w:ascii="Verdana" w:hAnsi="Verdana"/>
          <w:spacing w:val="-2"/>
          <w:sz w:val="20"/>
          <w:szCs w:val="20"/>
        </w:rPr>
        <w:t xml:space="preserve"> en lo posible la </w:t>
      </w:r>
      <w:r w:rsidR="00F60D74" w:rsidRPr="002F6F31">
        <w:rPr>
          <w:rFonts w:ascii="Verdana" w:hAnsi="Verdana"/>
          <w:bCs/>
          <w:iCs/>
          <w:spacing w:val="-2"/>
          <w:sz w:val="20"/>
          <w:szCs w:val="20"/>
        </w:rPr>
        <w:t>revictimización</w:t>
      </w:r>
      <w:r w:rsidR="00F60D74" w:rsidRPr="002F6F31">
        <w:rPr>
          <w:rFonts w:ascii="Verdana" w:hAnsi="Verdana"/>
          <w:spacing w:val="-2"/>
          <w:sz w:val="20"/>
          <w:szCs w:val="20"/>
        </w:rPr>
        <w:t xml:space="preserve"> o reexperimentación de la profunda experiencia traumática a la presunta víctima</w:t>
      </w:r>
      <w:r w:rsidR="00061CF5" w:rsidRPr="002F6F31">
        <w:rPr>
          <w:rFonts w:ascii="Verdana" w:hAnsi="Verdana"/>
          <w:spacing w:val="-2"/>
          <w:sz w:val="20"/>
          <w:szCs w:val="20"/>
        </w:rPr>
        <w:t xml:space="preserve">, y consideró </w:t>
      </w:r>
      <w:r w:rsidR="00F60D74" w:rsidRPr="002F6F31">
        <w:rPr>
          <w:rFonts w:ascii="Verdana" w:hAnsi="Verdana"/>
          <w:spacing w:val="-2"/>
          <w:sz w:val="20"/>
          <w:szCs w:val="20"/>
        </w:rPr>
        <w:t>que el peritaje ginecológico y anal debe ser realizado, de considerarse procedente su realización y con el consentimiento previo e informado de la presunta víctima, durante las primeras 72 horas a partir del hecho denunciado, con base en un protocolo específico de atención a las víctimas de violencia sexual. Esto no obsta a que el peritaje ginecológico se realice con posterioridad a este período</w:t>
      </w:r>
      <w:r w:rsidR="00F60D74" w:rsidRPr="002F6F31">
        <w:rPr>
          <w:rFonts w:ascii="Verdana" w:hAnsi="Verdana" w:cs="Arial"/>
          <w:spacing w:val="-2"/>
          <w:sz w:val="20"/>
          <w:szCs w:val="20"/>
        </w:rPr>
        <w:t xml:space="preserve">, </w:t>
      </w:r>
      <w:r w:rsidR="00F60D74" w:rsidRPr="002F6F31">
        <w:rPr>
          <w:rFonts w:ascii="Verdana" w:hAnsi="Verdana"/>
          <w:spacing w:val="-2"/>
          <w:sz w:val="20"/>
          <w:szCs w:val="20"/>
        </w:rPr>
        <w:t xml:space="preserve">con el consentimiento de la presunta víctima, </w:t>
      </w:r>
      <w:r w:rsidR="00F60D74" w:rsidRPr="002F6F31">
        <w:rPr>
          <w:rFonts w:ascii="Verdana" w:hAnsi="Verdana" w:cs="Arial"/>
          <w:spacing w:val="-2"/>
          <w:sz w:val="20"/>
          <w:szCs w:val="20"/>
        </w:rPr>
        <w:t xml:space="preserve">toda vez que evidencias pueden ser encontradas tiempo después del acto de violencia sexual, particularmente con el desarrollo de la tecnología en materia de investigación forense. </w:t>
      </w:r>
      <w:r w:rsidR="00F60D74" w:rsidRPr="002F6F31">
        <w:rPr>
          <w:rFonts w:ascii="Verdana" w:hAnsi="Verdana"/>
          <w:spacing w:val="-2"/>
          <w:sz w:val="20"/>
          <w:szCs w:val="20"/>
        </w:rPr>
        <w:t xml:space="preserve">En vista de ello, la Corte </w:t>
      </w:r>
      <w:r w:rsidR="00F60D74" w:rsidRPr="002F6F31">
        <w:rPr>
          <w:rFonts w:ascii="Verdana" w:hAnsi="Verdana" w:cs="Arial"/>
          <w:spacing w:val="-2"/>
          <w:sz w:val="20"/>
          <w:szCs w:val="20"/>
        </w:rPr>
        <w:t>consider</w:t>
      </w:r>
      <w:r w:rsidR="00FA0860" w:rsidRPr="002F6F31">
        <w:rPr>
          <w:rFonts w:ascii="Verdana" w:hAnsi="Verdana" w:cs="Arial"/>
          <w:spacing w:val="-2"/>
          <w:sz w:val="20"/>
          <w:szCs w:val="20"/>
        </w:rPr>
        <w:t>ó</w:t>
      </w:r>
      <w:r w:rsidR="00F60D74" w:rsidRPr="002F6F31">
        <w:rPr>
          <w:rFonts w:ascii="Verdana" w:hAnsi="Verdana" w:cs="Arial"/>
          <w:spacing w:val="-2"/>
          <w:sz w:val="20"/>
          <w:szCs w:val="20"/>
        </w:rPr>
        <w:t xml:space="preserve"> que la procedencia de un peritaje ginecológico debe ser motivada detalladamente por la autoridad que l</w:t>
      </w:r>
      <w:r w:rsidR="00DA02BF">
        <w:rPr>
          <w:rFonts w:ascii="Verdana" w:hAnsi="Verdana" w:cs="Arial"/>
          <w:spacing w:val="-2"/>
          <w:sz w:val="20"/>
          <w:szCs w:val="20"/>
        </w:rPr>
        <w:t>o</w:t>
      </w:r>
      <w:r w:rsidR="00F60D74" w:rsidRPr="002F6F31">
        <w:rPr>
          <w:rFonts w:ascii="Verdana" w:hAnsi="Verdana" w:cs="Arial"/>
          <w:spacing w:val="-2"/>
          <w:sz w:val="20"/>
          <w:szCs w:val="20"/>
        </w:rPr>
        <w:t xml:space="preserve"> solicita y, en caso de no ser procedente o no contar con el consentimiento informado de la presunta víctima, el examen debe ser omitido, lo que en ninguna circunstancia debe servir de excusa para desacreditar a la presunta víctima y/o impedir una investigación.</w:t>
      </w:r>
    </w:p>
    <w:p w14:paraId="49FF1739" w14:textId="77777777" w:rsidR="00F60D74" w:rsidRPr="002F6F31" w:rsidRDefault="00F60D74" w:rsidP="002F6F31">
      <w:pPr>
        <w:contextualSpacing/>
        <w:jc w:val="both"/>
        <w:rPr>
          <w:rFonts w:ascii="Verdana" w:hAnsi="Verdana"/>
          <w:b/>
          <w:spacing w:val="-2"/>
          <w:sz w:val="20"/>
          <w:szCs w:val="20"/>
        </w:rPr>
      </w:pPr>
    </w:p>
    <w:p w14:paraId="5A2ABF52" w14:textId="77777777" w:rsidR="00F76F62" w:rsidRDefault="009B6AF8" w:rsidP="002F6F31">
      <w:pPr>
        <w:contextualSpacing/>
        <w:jc w:val="both"/>
        <w:rPr>
          <w:rFonts w:ascii="Verdana" w:hAnsi="Verdana"/>
          <w:spacing w:val="-2"/>
          <w:sz w:val="20"/>
          <w:szCs w:val="20"/>
        </w:rPr>
      </w:pPr>
      <w:r w:rsidRPr="002F6F31">
        <w:rPr>
          <w:rFonts w:ascii="Verdana" w:eastAsia="Calibri" w:hAnsi="Verdana"/>
          <w:spacing w:val="-2"/>
          <w:sz w:val="20"/>
          <w:szCs w:val="20"/>
        </w:rPr>
        <w:lastRenderedPageBreak/>
        <w:t xml:space="preserve">Por otra parte, la Corte afirmó que </w:t>
      </w:r>
      <w:r w:rsidRPr="002F6F31">
        <w:rPr>
          <w:rFonts w:ascii="Verdana" w:hAnsi="Verdana"/>
          <w:spacing w:val="-2"/>
          <w:sz w:val="20"/>
          <w:szCs w:val="20"/>
        </w:rPr>
        <w:t>los médicos y demás miembros del personal de salud están en la obligación de no participar, ni activa ni pasivamente, en actos que constituyan participación o complicidad en torturas u otros tratos c</w:t>
      </w:r>
      <w:r w:rsidR="002963FF" w:rsidRPr="002F6F31">
        <w:rPr>
          <w:rFonts w:ascii="Verdana" w:hAnsi="Verdana"/>
          <w:spacing w:val="-2"/>
          <w:sz w:val="20"/>
          <w:szCs w:val="20"/>
        </w:rPr>
        <w:t>rueles, inhumanos o degradantes</w:t>
      </w:r>
      <w:r w:rsidR="001E412C" w:rsidRPr="002F6F31">
        <w:rPr>
          <w:rFonts w:ascii="Verdana" w:hAnsi="Verdana"/>
          <w:spacing w:val="-2"/>
          <w:sz w:val="20"/>
          <w:szCs w:val="20"/>
        </w:rPr>
        <w:t xml:space="preserve">, incitación a ello o intento de cometerlos. En particular, el médico forense está en la obligación de plasmar en sus informes la existencia de prueba de malos tratos, de ser el caso. Así, los médicos forenses deben adoptar medidas a fin de notificar posibles abusos a las autoridades correspondientes o, si ello implica riesgos previsibles para los profesionales de la salud o sus pacientes, a autoridades ajenas a la jurisdicción inmediata. Además, el Estado debe proporcionar las garantías necesarias para que, si un examen médico forense apoyara la posibilidad de que se hayan cometido actos de tortura u otros tratos crueles, inhumanos o degradantes, el detenido o la detenida no regrese al lugar de detención donde éstos habrían ocurrido. Asimismo, </w:t>
      </w:r>
      <w:r w:rsidR="006D683E" w:rsidRPr="002F6F31">
        <w:rPr>
          <w:rFonts w:ascii="Verdana" w:hAnsi="Verdana"/>
          <w:spacing w:val="-2"/>
          <w:sz w:val="20"/>
          <w:szCs w:val="20"/>
        </w:rPr>
        <w:t xml:space="preserve">el Estado </w:t>
      </w:r>
      <w:r w:rsidR="00957554" w:rsidRPr="002F6F31">
        <w:rPr>
          <w:rFonts w:ascii="Verdana" w:hAnsi="Verdana"/>
          <w:spacing w:val="-2"/>
          <w:sz w:val="20"/>
          <w:szCs w:val="20"/>
        </w:rPr>
        <w:t>debe garantizar la independencia del personal médico y de salud encargado de examinar y prestar asistencia a los detenidos de manera que puedan practicar libremente las evaluaciones médicas necesarias, respetando las normas establecidas en la práctica de su profesión.</w:t>
      </w:r>
      <w:r w:rsidR="00957554" w:rsidRPr="002F6F31">
        <w:rPr>
          <w:rFonts w:ascii="Verdana" w:hAnsi="Verdana"/>
          <w:b/>
          <w:spacing w:val="-2"/>
          <w:sz w:val="20"/>
          <w:szCs w:val="20"/>
        </w:rPr>
        <w:t xml:space="preserve"> </w:t>
      </w:r>
      <w:r w:rsidR="00957554" w:rsidRPr="002F6F31">
        <w:rPr>
          <w:rFonts w:ascii="Verdana" w:hAnsi="Verdana"/>
          <w:spacing w:val="-2"/>
          <w:sz w:val="20"/>
          <w:szCs w:val="20"/>
        </w:rPr>
        <w:t>El deber de independencia exige que el médico tenga plena libertad de actuar en interés del paciente, e implica que los médicos hagan uso de las prácticas médicas óptimas, sean cuales fueren las presiones a las que puedan estar sometidos, incluidas las instrucciones que puedan darle sus empleadores, autoridades penitenciarias o fuerzas de seguridad. En esta línea, el Estado tiene la obligación de abstenerse de obligar de cualquier forma a los médicos de comprometer su independencia profesional. Si bien no basta con afirmar que un médico sea funcionario del Estado para determinar que no es independiente, el Estado debe asegurarse de que sus condiciones contractuales le otorguen la independencia profesional necesaria para realizar sus juicios clínicos libres de presiones. El médico forense tiene igualmente una obligación de imparcialidad y objetividad frente a la evaluación de la persona a quien examina.</w:t>
      </w:r>
    </w:p>
    <w:p w14:paraId="34FA8FEC" w14:textId="77777777" w:rsidR="00EC522E" w:rsidRDefault="00EC522E" w:rsidP="002F6F31">
      <w:pPr>
        <w:contextualSpacing/>
        <w:jc w:val="both"/>
        <w:rPr>
          <w:rFonts w:ascii="Verdana" w:hAnsi="Verdana"/>
          <w:spacing w:val="-2"/>
          <w:sz w:val="20"/>
          <w:szCs w:val="20"/>
        </w:rPr>
      </w:pPr>
    </w:p>
    <w:p w14:paraId="0B701021" w14:textId="77777777" w:rsidR="00EC522E" w:rsidRPr="002F6F31" w:rsidRDefault="00EC522E" w:rsidP="002F6F31">
      <w:pPr>
        <w:contextualSpacing/>
        <w:jc w:val="both"/>
        <w:rPr>
          <w:rFonts w:ascii="Verdana" w:hAnsi="Verdana"/>
          <w:spacing w:val="-2"/>
          <w:sz w:val="20"/>
          <w:szCs w:val="20"/>
        </w:rPr>
      </w:pPr>
      <w:r w:rsidRPr="00EC522E">
        <w:rPr>
          <w:rFonts w:ascii="Verdana" w:eastAsia="Calibri" w:hAnsi="Verdana"/>
          <w:spacing w:val="-2"/>
          <w:sz w:val="20"/>
          <w:szCs w:val="20"/>
        </w:rPr>
        <w:t xml:space="preserve">Finalmente, la Corte consideró que el Estado incumplió su obligación contenida en el artículo 1.1 de la Convención, en relación con los artículos 8 y 25 y 2 de la misma, y con los artículos 1, 6 y 8 de la CIPST y el artículo 7.b de la Convención de Belém do Pará, </w:t>
      </w:r>
      <w:r w:rsidRPr="00EC522E">
        <w:rPr>
          <w:rFonts w:ascii="Verdana" w:hAnsi="Verdana"/>
          <w:spacing w:val="-2"/>
          <w:sz w:val="20"/>
          <w:szCs w:val="20"/>
        </w:rPr>
        <w:t xml:space="preserve">por la valoración </w:t>
      </w:r>
      <w:r w:rsidRPr="00EC522E">
        <w:rPr>
          <w:rFonts w:ascii="Verdana" w:eastAsia="Calibri" w:hAnsi="Verdana"/>
          <w:spacing w:val="-2"/>
          <w:sz w:val="20"/>
          <w:szCs w:val="20"/>
        </w:rPr>
        <w:t xml:space="preserve">estereotipada de la prueba por parte de la Sala Penal Permanente de la Corte Suprema de Justicia que derivó en que en el año 2004 nuevamente </w:t>
      </w:r>
      <w:r w:rsidRPr="002F6F31">
        <w:rPr>
          <w:rFonts w:ascii="Verdana" w:eastAsia="Calibri" w:hAnsi="Verdana"/>
          <w:spacing w:val="-2"/>
          <w:sz w:val="20"/>
          <w:szCs w:val="20"/>
        </w:rPr>
        <w:t xml:space="preserve">no se ordenara la investigación de los hechos denunciados, lo cual constituyó discriminación en el acceso a la justicia por razones de género. En este sentido, la Corte reconoció y rechazó el estereotipo de género por el cual se considera a las mujeres sospechosas de haber cometido un delito como intrínsecamente no confiables o manipuladoras, especialmente en el marco de procesos judiciales. </w:t>
      </w:r>
      <w:r w:rsidRPr="002F6F31">
        <w:rPr>
          <w:rFonts w:ascii="Verdana" w:hAnsi="Verdana"/>
          <w:spacing w:val="-2"/>
          <w:sz w:val="20"/>
          <w:szCs w:val="20"/>
        </w:rPr>
        <w:t xml:space="preserve">Además, la Corte señaló que </w:t>
      </w:r>
      <w:r w:rsidRPr="002F6F31">
        <w:rPr>
          <w:rFonts w:ascii="Verdana" w:eastAsia="Calibri" w:hAnsi="Verdana"/>
          <w:spacing w:val="-2"/>
          <w:sz w:val="20"/>
          <w:szCs w:val="20"/>
        </w:rPr>
        <w:t xml:space="preserve">una garantía para el acceso a la justicia de las mujeres víctimas de violencia sexual debe ser la previsión de reglas para la valoración de la prueba, que evite afirmaciones, insinuaciones y alusiones estereotipadas, las cuales no existieron en el presente caso. Finalmente, la </w:t>
      </w:r>
      <w:r w:rsidRPr="002F6F31">
        <w:rPr>
          <w:rFonts w:ascii="Verdana" w:hAnsi="Verdana"/>
          <w:spacing w:val="-2"/>
          <w:sz w:val="20"/>
          <w:szCs w:val="20"/>
          <w:lang w:val="es-VE"/>
        </w:rPr>
        <w:t>Corte concluyó que en el Perú se tornó invisible</w:t>
      </w:r>
      <w:r w:rsidRPr="002F6F31">
        <w:rPr>
          <w:rFonts w:ascii="Verdana" w:hAnsi="Verdana"/>
          <w:b/>
          <w:spacing w:val="-2"/>
          <w:sz w:val="20"/>
          <w:szCs w:val="20"/>
          <w:lang w:val="es-VE"/>
        </w:rPr>
        <w:t xml:space="preserve"> </w:t>
      </w:r>
      <w:r w:rsidRPr="002F6F31">
        <w:rPr>
          <w:rFonts w:ascii="Verdana" w:hAnsi="Verdana"/>
          <w:spacing w:val="-2"/>
          <w:sz w:val="20"/>
          <w:szCs w:val="20"/>
          <w:lang w:val="es-VE"/>
        </w:rPr>
        <w:t>el patrón grave de violencia sexual del cual fueron víctimas las mujeres detenidas en razón de su presunta participación en delitos de terrorismo y traición a la patria, lo cual constituyó un obstáculo a la judicialización de dichos hechos, favoreciendo su impunidad hasta la fecha, y configuró discriminación en el acceso a la justicia por razones de género.</w:t>
      </w:r>
    </w:p>
    <w:p w14:paraId="652768B9" w14:textId="77777777" w:rsidR="00F76F62" w:rsidRPr="002F6F31" w:rsidRDefault="00F76F62" w:rsidP="002F6F31">
      <w:pPr>
        <w:jc w:val="both"/>
        <w:rPr>
          <w:rFonts w:ascii="Verdana" w:eastAsia="Calibri" w:hAnsi="Verdana"/>
          <w:b/>
          <w:spacing w:val="-2"/>
          <w:sz w:val="20"/>
          <w:szCs w:val="20"/>
        </w:rPr>
      </w:pPr>
    </w:p>
    <w:p w14:paraId="33E97DE4" w14:textId="77777777" w:rsidR="00D5510D" w:rsidRPr="002F6F31" w:rsidRDefault="00D5510D" w:rsidP="002F6F31">
      <w:pPr>
        <w:pStyle w:val="Prrafodelista"/>
        <w:numPr>
          <w:ilvl w:val="0"/>
          <w:numId w:val="1"/>
        </w:numPr>
        <w:jc w:val="both"/>
        <w:rPr>
          <w:rFonts w:ascii="Verdana" w:eastAsia="Calibri" w:hAnsi="Verdana"/>
          <w:b/>
          <w:spacing w:val="-2"/>
          <w:sz w:val="20"/>
          <w:szCs w:val="20"/>
        </w:rPr>
      </w:pPr>
      <w:r w:rsidRPr="002F6F31">
        <w:rPr>
          <w:rFonts w:ascii="Verdana" w:eastAsia="Calibri" w:hAnsi="Verdana"/>
          <w:b/>
          <w:spacing w:val="-2"/>
          <w:sz w:val="20"/>
          <w:szCs w:val="20"/>
        </w:rPr>
        <w:t>Reparaciones</w:t>
      </w:r>
    </w:p>
    <w:p w14:paraId="1F8F50E6" w14:textId="77777777" w:rsidR="00D5510D" w:rsidRPr="002F6F31" w:rsidRDefault="00D5510D" w:rsidP="002F6F31">
      <w:pPr>
        <w:pStyle w:val="Prrafodelista"/>
        <w:rPr>
          <w:rFonts w:ascii="Verdana" w:eastAsia="Calibri" w:hAnsi="Verdana"/>
          <w:b/>
          <w:spacing w:val="-2"/>
          <w:sz w:val="20"/>
          <w:szCs w:val="20"/>
        </w:rPr>
      </w:pPr>
    </w:p>
    <w:p w14:paraId="581F3C74" w14:textId="77777777" w:rsidR="007C558C" w:rsidRPr="002F6F31" w:rsidRDefault="00084D8C" w:rsidP="002F6F31">
      <w:pPr>
        <w:jc w:val="both"/>
        <w:rPr>
          <w:rFonts w:ascii="Verdana" w:eastAsia="Calibri" w:hAnsi="Verdana"/>
          <w:spacing w:val="-2"/>
          <w:sz w:val="20"/>
          <w:szCs w:val="20"/>
        </w:rPr>
      </w:pPr>
      <w:r w:rsidRPr="002F6F31">
        <w:rPr>
          <w:rFonts w:ascii="Verdana" w:eastAsia="Calibri" w:hAnsi="Verdana"/>
          <w:spacing w:val="-2"/>
          <w:sz w:val="20"/>
          <w:szCs w:val="20"/>
        </w:rPr>
        <w:t xml:space="preserve">La Corte estableció que su sentencia constituye </w:t>
      </w:r>
      <w:r w:rsidRPr="002F6F31">
        <w:rPr>
          <w:rFonts w:ascii="Verdana" w:eastAsia="Calibri" w:hAnsi="Verdana"/>
          <w:i/>
          <w:spacing w:val="-2"/>
          <w:sz w:val="20"/>
          <w:szCs w:val="20"/>
        </w:rPr>
        <w:t>per se</w:t>
      </w:r>
      <w:r w:rsidRPr="002F6F31">
        <w:rPr>
          <w:rFonts w:ascii="Verdana" w:eastAsia="Calibri" w:hAnsi="Verdana"/>
          <w:spacing w:val="-2"/>
          <w:sz w:val="20"/>
          <w:szCs w:val="20"/>
        </w:rPr>
        <w:t xml:space="preserve"> una forma de reparación. Además, ordenó al Estado: i) abrir, impulsar, dirigir, continuar y concluir, según corresponda y con la mayor diligencia, las investigaciones y procesos penales pertinentes, a fin de identificar, procesar y, en su caso, sancionar a los responsables de las graves afectaciones a la integridad personal ocasionadas en perjuicio de Gladys Espinoza; </w:t>
      </w:r>
      <w:proofErr w:type="spellStart"/>
      <w:r w:rsidRPr="002F6F31">
        <w:rPr>
          <w:rFonts w:ascii="Verdana" w:eastAsia="Calibri" w:hAnsi="Verdana"/>
          <w:spacing w:val="-2"/>
          <w:sz w:val="20"/>
          <w:szCs w:val="20"/>
        </w:rPr>
        <w:t>ii</w:t>
      </w:r>
      <w:proofErr w:type="spellEnd"/>
      <w:r w:rsidRPr="002F6F31">
        <w:rPr>
          <w:rFonts w:ascii="Verdana" w:eastAsia="Calibri" w:hAnsi="Verdana"/>
          <w:spacing w:val="-2"/>
          <w:sz w:val="20"/>
          <w:szCs w:val="20"/>
        </w:rPr>
        <w:t xml:space="preserve">) brindar de forma gratuita e inmediata, el tratamiento médico y psicológico o psiquiátrico, según corresponda, a las víctimas del presente caso que así lo soliciten; </w:t>
      </w:r>
      <w:proofErr w:type="spellStart"/>
      <w:r w:rsidRPr="002F6F31">
        <w:rPr>
          <w:rFonts w:ascii="Verdana" w:eastAsia="Calibri" w:hAnsi="Verdana"/>
          <w:spacing w:val="-2"/>
          <w:sz w:val="20"/>
          <w:szCs w:val="20"/>
        </w:rPr>
        <w:t>iii</w:t>
      </w:r>
      <w:proofErr w:type="spellEnd"/>
      <w:r w:rsidRPr="002F6F31">
        <w:rPr>
          <w:rFonts w:ascii="Verdana" w:eastAsia="Calibri" w:hAnsi="Verdana"/>
          <w:spacing w:val="-2"/>
          <w:sz w:val="20"/>
          <w:szCs w:val="20"/>
        </w:rPr>
        <w:t xml:space="preserve">) publicar la </w:t>
      </w:r>
      <w:r w:rsidR="002218B0">
        <w:rPr>
          <w:rFonts w:ascii="Verdana" w:eastAsia="Calibri" w:hAnsi="Verdana"/>
          <w:spacing w:val="-2"/>
          <w:sz w:val="20"/>
          <w:szCs w:val="20"/>
        </w:rPr>
        <w:t>S</w:t>
      </w:r>
      <w:r w:rsidRPr="002F6F31">
        <w:rPr>
          <w:rFonts w:ascii="Verdana" w:eastAsia="Calibri" w:hAnsi="Verdana"/>
          <w:spacing w:val="-2"/>
          <w:sz w:val="20"/>
          <w:szCs w:val="20"/>
        </w:rPr>
        <w:t>entencia y su resumen</w:t>
      </w:r>
      <w:r w:rsidR="002218B0">
        <w:rPr>
          <w:rFonts w:ascii="Verdana" w:eastAsia="Calibri" w:hAnsi="Verdana"/>
          <w:spacing w:val="-2"/>
          <w:sz w:val="20"/>
          <w:szCs w:val="20"/>
        </w:rPr>
        <w:t xml:space="preserve"> oficial</w:t>
      </w:r>
      <w:r w:rsidRPr="002F6F31">
        <w:rPr>
          <w:rFonts w:ascii="Verdana" w:eastAsia="Calibri" w:hAnsi="Verdana"/>
          <w:spacing w:val="-2"/>
          <w:sz w:val="20"/>
          <w:szCs w:val="20"/>
        </w:rPr>
        <w:t xml:space="preserve">; </w:t>
      </w:r>
      <w:proofErr w:type="spellStart"/>
      <w:r w:rsidRPr="002F6F31">
        <w:rPr>
          <w:rFonts w:ascii="Verdana" w:eastAsia="Calibri" w:hAnsi="Verdana"/>
          <w:spacing w:val="-2"/>
          <w:sz w:val="20"/>
          <w:szCs w:val="20"/>
        </w:rPr>
        <w:t>iv</w:t>
      </w:r>
      <w:proofErr w:type="spellEnd"/>
      <w:r w:rsidRPr="002F6F31">
        <w:rPr>
          <w:rFonts w:ascii="Verdana" w:eastAsia="Calibri" w:hAnsi="Verdana"/>
          <w:spacing w:val="-2"/>
          <w:sz w:val="20"/>
          <w:szCs w:val="20"/>
        </w:rPr>
        <w:t xml:space="preserve">) desarrollar </w:t>
      </w:r>
      <w:r w:rsidRPr="002F6F31">
        <w:rPr>
          <w:rFonts w:ascii="Verdana" w:eastAsia="Calibri" w:hAnsi="Verdana"/>
          <w:spacing w:val="-2"/>
          <w:sz w:val="20"/>
          <w:szCs w:val="20"/>
        </w:rPr>
        <w:lastRenderedPageBreak/>
        <w:t>protocolos de investigación para que los casos de tortura, violación sexual y otras formas de violencia sexual sean debidamente investigados y juzgados</w:t>
      </w:r>
      <w:r w:rsidR="007C558C" w:rsidRPr="002F6F31">
        <w:rPr>
          <w:rFonts w:ascii="Verdana" w:hAnsi="Verdana"/>
          <w:spacing w:val="-2"/>
          <w:sz w:val="20"/>
          <w:szCs w:val="20"/>
        </w:rPr>
        <w:t xml:space="preserve"> de conformidad con los estándares indicados en la Sentencia</w:t>
      </w:r>
      <w:r w:rsidRPr="002F6F31">
        <w:rPr>
          <w:rFonts w:ascii="Verdana" w:eastAsia="Calibri" w:hAnsi="Verdana"/>
          <w:spacing w:val="-2"/>
          <w:sz w:val="20"/>
          <w:szCs w:val="20"/>
        </w:rPr>
        <w:t>; v) incorporar en los programas y cursos permanentes de educación y capacitación dirigidos a quienes están encargados de la persecución penal y su judicialización</w:t>
      </w:r>
      <w:r w:rsidR="00DD0ABF" w:rsidRPr="002F6F31">
        <w:rPr>
          <w:rFonts w:ascii="Verdana" w:hAnsi="Verdana"/>
          <w:spacing w:val="-2"/>
          <w:sz w:val="20"/>
          <w:szCs w:val="20"/>
        </w:rPr>
        <w:t xml:space="preserve"> los estándares establecidos en </w:t>
      </w:r>
      <w:r w:rsidR="002218B0">
        <w:rPr>
          <w:rFonts w:ascii="Verdana" w:hAnsi="Verdana"/>
          <w:spacing w:val="-2"/>
          <w:sz w:val="20"/>
          <w:szCs w:val="20"/>
        </w:rPr>
        <w:t>la</w:t>
      </w:r>
      <w:r w:rsidR="002218B0" w:rsidRPr="002F6F31">
        <w:rPr>
          <w:rFonts w:ascii="Verdana" w:hAnsi="Verdana"/>
          <w:spacing w:val="-2"/>
          <w:sz w:val="20"/>
          <w:szCs w:val="20"/>
        </w:rPr>
        <w:t xml:space="preserve"> </w:t>
      </w:r>
      <w:r w:rsidR="00DD0ABF" w:rsidRPr="002F6F31">
        <w:rPr>
          <w:rFonts w:ascii="Verdana" w:hAnsi="Verdana"/>
          <w:spacing w:val="-2"/>
          <w:sz w:val="20"/>
          <w:szCs w:val="20"/>
        </w:rPr>
        <w:t>Sentencia</w:t>
      </w:r>
      <w:r w:rsidRPr="002F6F31">
        <w:rPr>
          <w:rFonts w:ascii="Verdana" w:eastAsia="Calibri" w:hAnsi="Verdana"/>
          <w:spacing w:val="-2"/>
          <w:sz w:val="20"/>
          <w:szCs w:val="20"/>
        </w:rPr>
        <w:t xml:space="preserve">; vi) implementar un mecanismo que permita a todas las mujeres víctimas de la práctica generalizada de la violación sexual y otras formas de violencia sexual durante el conflicto peruano tener acceso gratuito a una rehabilitación especializada de carácter médico, psicológico y/o psiquiátrico dirigido a reparar este tipo de violaciones; </w:t>
      </w:r>
      <w:proofErr w:type="spellStart"/>
      <w:r w:rsidRPr="002F6F31">
        <w:rPr>
          <w:rFonts w:ascii="Verdana" w:eastAsia="Calibri" w:hAnsi="Verdana"/>
          <w:spacing w:val="-2"/>
          <w:sz w:val="20"/>
          <w:szCs w:val="20"/>
        </w:rPr>
        <w:t>vii</w:t>
      </w:r>
      <w:proofErr w:type="spellEnd"/>
      <w:r w:rsidRPr="002F6F31">
        <w:rPr>
          <w:rFonts w:ascii="Verdana" w:eastAsia="Calibri" w:hAnsi="Verdana"/>
          <w:spacing w:val="-2"/>
          <w:sz w:val="20"/>
          <w:szCs w:val="20"/>
        </w:rPr>
        <w:t xml:space="preserve">) pagar los montos señalados en la </w:t>
      </w:r>
      <w:r w:rsidR="000978D8">
        <w:rPr>
          <w:rFonts w:ascii="Verdana" w:eastAsia="Calibri" w:hAnsi="Verdana"/>
          <w:spacing w:val="-2"/>
          <w:sz w:val="20"/>
          <w:szCs w:val="20"/>
        </w:rPr>
        <w:t>S</w:t>
      </w:r>
      <w:r w:rsidRPr="002F6F31">
        <w:rPr>
          <w:rFonts w:ascii="Verdana" w:eastAsia="Calibri" w:hAnsi="Verdana"/>
          <w:spacing w:val="-2"/>
          <w:sz w:val="20"/>
          <w:szCs w:val="20"/>
        </w:rPr>
        <w:t xml:space="preserve">entencia por concepto de indemnizaciones por daños inmateriales, y el reintegro de costas y gastos. </w:t>
      </w:r>
      <w:r w:rsidR="00CB5E80" w:rsidRPr="002F6F31">
        <w:rPr>
          <w:rFonts w:ascii="Verdana" w:eastAsia="Calibri" w:hAnsi="Verdana"/>
          <w:spacing w:val="-2"/>
          <w:sz w:val="20"/>
          <w:szCs w:val="20"/>
        </w:rPr>
        <w:t>Asimismo, la Corte dispuso que el Estado debe reintegrar al Fondo de Asistencia Legal de Víctimas de la Corte las cantidades erogadas durante la tramitación del presente caso.</w:t>
      </w:r>
    </w:p>
    <w:p w14:paraId="415F111F" w14:textId="77777777" w:rsidR="00CB5E80" w:rsidRPr="002F6F31" w:rsidRDefault="00CB5E80" w:rsidP="002F6F31">
      <w:pPr>
        <w:jc w:val="both"/>
        <w:rPr>
          <w:rFonts w:ascii="Verdana" w:eastAsia="Calibri" w:hAnsi="Verdana"/>
          <w:spacing w:val="-2"/>
          <w:sz w:val="20"/>
          <w:szCs w:val="20"/>
        </w:rPr>
      </w:pPr>
    </w:p>
    <w:p w14:paraId="7720AA13" w14:textId="77777777" w:rsidR="00084D8C" w:rsidRPr="002F6F31" w:rsidRDefault="00084D8C" w:rsidP="002F6F31">
      <w:pPr>
        <w:jc w:val="center"/>
        <w:rPr>
          <w:rFonts w:ascii="Verdana" w:hAnsi="Verdana" w:cs="Verdana"/>
          <w:sz w:val="20"/>
          <w:szCs w:val="20"/>
        </w:rPr>
      </w:pPr>
      <w:r w:rsidRPr="002F6F31">
        <w:rPr>
          <w:rFonts w:ascii="Verdana" w:hAnsi="Verdana" w:cs="Verdana"/>
          <w:sz w:val="20"/>
          <w:szCs w:val="20"/>
        </w:rPr>
        <w:t>-----</w:t>
      </w:r>
    </w:p>
    <w:p w14:paraId="3B29969C" w14:textId="77777777" w:rsidR="00084D8C" w:rsidRPr="002F6F31" w:rsidRDefault="00084D8C" w:rsidP="002F6F31">
      <w:pPr>
        <w:jc w:val="both"/>
        <w:rPr>
          <w:rFonts w:ascii="Verdana" w:hAnsi="Verdana" w:cs="Verdana"/>
          <w:sz w:val="20"/>
          <w:szCs w:val="20"/>
        </w:rPr>
      </w:pPr>
    </w:p>
    <w:p w14:paraId="4583B451" w14:textId="77777777" w:rsidR="00084D8C" w:rsidRPr="002F6F31" w:rsidRDefault="00084D8C" w:rsidP="002F6F31">
      <w:pPr>
        <w:jc w:val="both"/>
        <w:rPr>
          <w:rFonts w:ascii="Verdana" w:hAnsi="Verdana"/>
          <w:sz w:val="20"/>
          <w:szCs w:val="20"/>
        </w:rPr>
      </w:pPr>
      <w:r w:rsidRPr="002F6F31">
        <w:rPr>
          <w:rFonts w:ascii="Verdana" w:hAnsi="Verdana" w:cs="Verdana"/>
          <w:sz w:val="20"/>
          <w:szCs w:val="20"/>
        </w:rPr>
        <w:t xml:space="preserve">La Corte Interamericana de Derechos Humanos supervisará el cumplimiento íntegro de la Sentencia, </w:t>
      </w:r>
      <w:r w:rsidRPr="002F6F31">
        <w:rPr>
          <w:rFonts w:ascii="Verdana" w:hAnsi="Verdana"/>
          <w:sz w:val="20"/>
          <w:szCs w:val="20"/>
        </w:rPr>
        <w:t xml:space="preserve">en ejercicio de sus atribuciones y en cumplimiento de sus deberes conforme a la Convención Americana sobre Derechos Humanos, </w:t>
      </w:r>
      <w:r w:rsidRPr="002F6F31">
        <w:rPr>
          <w:rFonts w:ascii="Verdana" w:hAnsi="Verdana" w:cs="Verdana"/>
          <w:sz w:val="20"/>
          <w:szCs w:val="20"/>
        </w:rPr>
        <w:t xml:space="preserve">y dará por concluido el caso una vez que el Estado haya dado cabal cumplimiento a lo dispuesto en la Sentencia. </w:t>
      </w:r>
    </w:p>
    <w:p w14:paraId="68A95280" w14:textId="77777777" w:rsidR="00084D8C" w:rsidRPr="002F6F31" w:rsidRDefault="00084D8C" w:rsidP="002F6F31">
      <w:pPr>
        <w:jc w:val="center"/>
        <w:outlineLvl w:val="0"/>
        <w:rPr>
          <w:rFonts w:ascii="Verdana" w:eastAsia="Helvetica" w:hAnsi="Verdana"/>
          <w:color w:val="000000"/>
          <w:sz w:val="20"/>
          <w:szCs w:val="20"/>
        </w:rPr>
      </w:pPr>
    </w:p>
    <w:p w14:paraId="42CEF8DA" w14:textId="77777777" w:rsidR="00084D8C" w:rsidRPr="002F6F31" w:rsidRDefault="00084D8C" w:rsidP="002F6F31">
      <w:pPr>
        <w:jc w:val="both"/>
        <w:rPr>
          <w:rFonts w:ascii="Verdana" w:hAnsi="Verdana"/>
          <w:sz w:val="20"/>
          <w:szCs w:val="20"/>
        </w:rPr>
      </w:pPr>
      <w:r w:rsidRPr="002F6F31">
        <w:rPr>
          <w:rFonts w:ascii="Verdana" w:hAnsi="Verdana"/>
          <w:sz w:val="20"/>
          <w:szCs w:val="20"/>
        </w:rPr>
        <w:t xml:space="preserve">El texto íntegro de la Sentencia puede consultarse en el siguiente enlace: </w:t>
      </w:r>
      <w:hyperlink r:id="rId11" w:history="1">
        <w:r w:rsidRPr="002F6F31">
          <w:rPr>
            <w:rStyle w:val="Hipervnculo"/>
            <w:rFonts w:ascii="Verdana" w:hAnsi="Verdana"/>
            <w:sz w:val="20"/>
            <w:szCs w:val="20"/>
          </w:rPr>
          <w:t>http://www.corteidh.or.cr/casos.cfm</w:t>
        </w:r>
      </w:hyperlink>
    </w:p>
    <w:p w14:paraId="192DA2CE" w14:textId="77777777" w:rsidR="00084D8C" w:rsidRPr="00387D3A" w:rsidRDefault="00084D8C" w:rsidP="00387D3A">
      <w:pPr>
        <w:jc w:val="both"/>
        <w:rPr>
          <w:rFonts w:ascii="Verdana" w:eastAsia="Calibri" w:hAnsi="Verdana"/>
          <w:spacing w:val="-2"/>
          <w:sz w:val="20"/>
          <w:szCs w:val="20"/>
        </w:rPr>
      </w:pPr>
    </w:p>
    <w:sectPr w:rsidR="00084D8C" w:rsidRPr="00387D3A" w:rsidSect="00B9595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C93A" w14:textId="77777777" w:rsidR="00D1049F" w:rsidRDefault="00D1049F" w:rsidP="006420CA">
      <w:r>
        <w:separator/>
      </w:r>
    </w:p>
  </w:endnote>
  <w:endnote w:type="continuationSeparator" w:id="0">
    <w:p w14:paraId="7FEA3916" w14:textId="77777777" w:rsidR="00D1049F" w:rsidRDefault="00D1049F" w:rsidP="0064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PNLK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068591"/>
      <w:docPartObj>
        <w:docPartGallery w:val="Page Numbers (Bottom of Page)"/>
        <w:docPartUnique/>
      </w:docPartObj>
    </w:sdtPr>
    <w:sdtEndPr>
      <w:rPr>
        <w:rFonts w:ascii="Verdana" w:hAnsi="Verdana"/>
        <w:sz w:val="20"/>
        <w:szCs w:val="20"/>
      </w:rPr>
    </w:sdtEndPr>
    <w:sdtContent>
      <w:p w14:paraId="3B77C19B" w14:textId="77777777" w:rsidR="00B95957" w:rsidRPr="00B95957" w:rsidRDefault="004D0824">
        <w:pPr>
          <w:pStyle w:val="Piedepgina"/>
          <w:jc w:val="center"/>
          <w:rPr>
            <w:rFonts w:ascii="Verdana" w:hAnsi="Verdana"/>
            <w:sz w:val="20"/>
            <w:szCs w:val="20"/>
          </w:rPr>
        </w:pPr>
        <w:r w:rsidRPr="00B95957">
          <w:rPr>
            <w:rFonts w:ascii="Verdana" w:hAnsi="Verdana"/>
            <w:sz w:val="20"/>
            <w:szCs w:val="20"/>
          </w:rPr>
          <w:fldChar w:fldCharType="begin"/>
        </w:r>
        <w:r w:rsidR="00B95957" w:rsidRPr="00B95957">
          <w:rPr>
            <w:rFonts w:ascii="Verdana" w:hAnsi="Verdana"/>
            <w:sz w:val="20"/>
            <w:szCs w:val="20"/>
          </w:rPr>
          <w:instrText>PAGE   \* MERGEFORMAT</w:instrText>
        </w:r>
        <w:r w:rsidRPr="00B95957">
          <w:rPr>
            <w:rFonts w:ascii="Verdana" w:hAnsi="Verdana"/>
            <w:sz w:val="20"/>
            <w:szCs w:val="20"/>
          </w:rPr>
          <w:fldChar w:fldCharType="separate"/>
        </w:r>
        <w:r w:rsidR="00D338A0" w:rsidRPr="00D338A0">
          <w:rPr>
            <w:rFonts w:ascii="Verdana" w:hAnsi="Verdana"/>
            <w:noProof/>
            <w:sz w:val="20"/>
            <w:szCs w:val="20"/>
            <w:lang w:val="es-ES"/>
          </w:rPr>
          <w:t>2</w:t>
        </w:r>
        <w:r w:rsidRPr="00B95957">
          <w:rPr>
            <w:rFonts w:ascii="Verdana" w:hAnsi="Verdana"/>
            <w:sz w:val="20"/>
            <w:szCs w:val="20"/>
          </w:rPr>
          <w:fldChar w:fldCharType="end"/>
        </w:r>
      </w:p>
    </w:sdtContent>
  </w:sdt>
  <w:p w14:paraId="7C4B187E" w14:textId="77777777" w:rsidR="00B95957" w:rsidRDefault="00B95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5505" w14:textId="77777777" w:rsidR="00D1049F" w:rsidRDefault="00D1049F" w:rsidP="006420CA">
      <w:r>
        <w:separator/>
      </w:r>
    </w:p>
  </w:footnote>
  <w:footnote w:type="continuationSeparator" w:id="0">
    <w:p w14:paraId="0A13A8F3" w14:textId="77777777" w:rsidR="00D1049F" w:rsidRDefault="00D1049F" w:rsidP="006420CA">
      <w:r>
        <w:continuationSeparator/>
      </w:r>
    </w:p>
  </w:footnote>
  <w:footnote w:id="1">
    <w:p w14:paraId="0F4CAE82" w14:textId="77777777" w:rsidR="00F76F62" w:rsidRPr="00232B07" w:rsidRDefault="00F76F62" w:rsidP="002E5C2F">
      <w:pPr>
        <w:pStyle w:val="Default"/>
        <w:ind w:left="0"/>
        <w:rPr>
          <w:sz w:val="16"/>
          <w:szCs w:val="16"/>
          <w:lang w:val="es-ES"/>
        </w:rPr>
      </w:pPr>
      <w:r w:rsidRPr="00D13033">
        <w:rPr>
          <w:rStyle w:val="Refdenotaalpie"/>
          <w:color w:val="auto"/>
          <w:sz w:val="16"/>
          <w:szCs w:val="20"/>
        </w:rPr>
        <w:sym w:font="Symbol" w:char="F02A"/>
      </w:r>
      <w:r w:rsidRPr="00D7244C">
        <w:rPr>
          <w:lang w:val="es-ES"/>
        </w:rPr>
        <w:t xml:space="preserve"> </w:t>
      </w:r>
      <w:r>
        <w:rPr>
          <w:lang w:val="es-ES"/>
        </w:rPr>
        <w:tab/>
      </w:r>
      <w:r w:rsidRPr="00D7244C">
        <w:rPr>
          <w:sz w:val="16"/>
          <w:szCs w:val="16"/>
          <w:lang w:val="es-ES"/>
        </w:rPr>
        <w:t xml:space="preserve">Integrada por </w:t>
      </w:r>
      <w:r w:rsidRPr="00232B07">
        <w:rPr>
          <w:sz w:val="16"/>
          <w:szCs w:val="16"/>
          <w:lang w:val="es-ES"/>
        </w:rPr>
        <w:t>los siguientes jueces: Humberto Antonio Sierra Porto, Presidente;</w:t>
      </w:r>
      <w:r w:rsidRPr="00993972">
        <w:rPr>
          <w:sz w:val="16"/>
          <w:szCs w:val="16"/>
          <w:lang w:val="es-ES"/>
        </w:rPr>
        <w:t xml:space="preserve"> </w:t>
      </w:r>
      <w:r w:rsidRPr="00232B07">
        <w:rPr>
          <w:sz w:val="16"/>
          <w:szCs w:val="16"/>
          <w:lang w:val="es-ES"/>
        </w:rPr>
        <w:t xml:space="preserve">Roberto </w:t>
      </w:r>
      <w:r>
        <w:rPr>
          <w:sz w:val="16"/>
          <w:szCs w:val="16"/>
          <w:lang w:val="es-ES"/>
        </w:rPr>
        <w:t>F.</w:t>
      </w:r>
      <w:r w:rsidRPr="00232B07">
        <w:rPr>
          <w:sz w:val="16"/>
          <w:szCs w:val="16"/>
          <w:lang w:val="es-ES"/>
        </w:rPr>
        <w:t xml:space="preserve"> Caldas, Vicepresidente; Manuel E. Ventura Robles, Juez; Eduardo Vio Grossi, Juez</w:t>
      </w:r>
      <w:r>
        <w:rPr>
          <w:sz w:val="16"/>
          <w:szCs w:val="16"/>
          <w:lang w:val="es-ES"/>
        </w:rPr>
        <w:t>,</w:t>
      </w:r>
      <w:r w:rsidRPr="00232B07">
        <w:rPr>
          <w:sz w:val="16"/>
          <w:szCs w:val="16"/>
          <w:lang w:val="es-ES"/>
        </w:rPr>
        <w:t xml:space="preserve"> y Eduardo Ferrer Mac-</w:t>
      </w:r>
      <w:proofErr w:type="spellStart"/>
      <w:r w:rsidRPr="00232B07">
        <w:rPr>
          <w:sz w:val="16"/>
          <w:szCs w:val="16"/>
          <w:lang w:val="es-ES"/>
        </w:rPr>
        <w:t>Gregor</w:t>
      </w:r>
      <w:proofErr w:type="spellEnd"/>
      <w:r w:rsidRPr="00232B07">
        <w:rPr>
          <w:sz w:val="16"/>
          <w:szCs w:val="16"/>
          <w:lang w:val="es-ES"/>
        </w:rPr>
        <w:t xml:space="preserve"> </w:t>
      </w:r>
      <w:proofErr w:type="spellStart"/>
      <w:r w:rsidRPr="00232B07">
        <w:rPr>
          <w:sz w:val="16"/>
          <w:szCs w:val="16"/>
          <w:lang w:val="es-ES"/>
        </w:rPr>
        <w:t>Poisot</w:t>
      </w:r>
      <w:proofErr w:type="spellEnd"/>
      <w:r w:rsidRPr="00232B07">
        <w:rPr>
          <w:sz w:val="16"/>
          <w:szCs w:val="16"/>
          <w:lang w:val="es-ES"/>
        </w:rPr>
        <w:t xml:space="preserve">, Juez. Presentes, además, el Secretario del Tribunal Pablo Saavedra Alessandri y la Secretaria Adjunta Emilia Segares Rodríguez. </w:t>
      </w:r>
      <w:r w:rsidRPr="000779D5">
        <w:rPr>
          <w:rFonts w:cs="Microsoft Sans Serif"/>
          <w:spacing w:val="-4"/>
          <w:sz w:val="16"/>
          <w:szCs w:val="16"/>
          <w:lang w:val="es-PR"/>
        </w:rPr>
        <w:t xml:space="preserve">De conformidad con el artículo 19.1 del Reglamento de la Corte Interamericana aplicable al presente caso, el Juez Diego García-Sayán, de nacionalidad peruana, no participó de la deliberación de esta Sentencia. Por su parte, el Juez </w:t>
      </w:r>
      <w:r w:rsidRPr="000779D5">
        <w:rPr>
          <w:rFonts w:cs="Microsoft Sans Serif"/>
          <w:spacing w:val="-4"/>
          <w:sz w:val="16"/>
          <w:szCs w:val="16"/>
          <w:lang w:val="es-CO"/>
        </w:rPr>
        <w:t xml:space="preserve">Alberto Pérez </w:t>
      </w:r>
      <w:proofErr w:type="spellStart"/>
      <w:r w:rsidRPr="000779D5">
        <w:rPr>
          <w:rFonts w:cs="Microsoft Sans Serif"/>
          <w:spacing w:val="-4"/>
          <w:sz w:val="16"/>
          <w:szCs w:val="16"/>
          <w:lang w:val="es-CO"/>
        </w:rPr>
        <w:t>Pérez</w:t>
      </w:r>
      <w:proofErr w:type="spellEnd"/>
      <w:r w:rsidRPr="000779D5">
        <w:rPr>
          <w:rFonts w:cs="Microsoft Sans Serif"/>
          <w:spacing w:val="-4"/>
          <w:sz w:val="16"/>
          <w:szCs w:val="16"/>
          <w:lang w:val="es-CO"/>
        </w:rPr>
        <w:t xml:space="preserve"> no participó de la deliberación de esta Sentencia por razones de fuerza mayor.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E9E"/>
    <w:multiLevelType w:val="hybridMultilevel"/>
    <w:tmpl w:val="6DD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E4720"/>
    <w:multiLevelType w:val="hybridMultilevel"/>
    <w:tmpl w:val="823E125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1BA1B8E"/>
    <w:multiLevelType w:val="hybridMultilevel"/>
    <w:tmpl w:val="77AA246E"/>
    <w:lvl w:ilvl="0" w:tplc="EA6CF236">
      <w:start w:val="1"/>
      <w:numFmt w:val="upperRoman"/>
      <w:lvlText w:val="%1."/>
      <w:lvlJc w:val="left"/>
      <w:pPr>
        <w:ind w:left="1080" w:hanging="72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469CD"/>
    <w:multiLevelType w:val="hybridMultilevel"/>
    <w:tmpl w:val="1D440E3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CA"/>
    <w:rsid w:val="00006158"/>
    <w:rsid w:val="00007EFA"/>
    <w:rsid w:val="00012DBD"/>
    <w:rsid w:val="000173AD"/>
    <w:rsid w:val="00017849"/>
    <w:rsid w:val="000179C1"/>
    <w:rsid w:val="00023C69"/>
    <w:rsid w:val="00036C91"/>
    <w:rsid w:val="0004634A"/>
    <w:rsid w:val="000516CC"/>
    <w:rsid w:val="00052A52"/>
    <w:rsid w:val="00061CF5"/>
    <w:rsid w:val="00081585"/>
    <w:rsid w:val="00084D8C"/>
    <w:rsid w:val="00086AFB"/>
    <w:rsid w:val="0009612E"/>
    <w:rsid w:val="000978D8"/>
    <w:rsid w:val="000B03D7"/>
    <w:rsid w:val="000B0950"/>
    <w:rsid w:val="000C19D3"/>
    <w:rsid w:val="000C59A1"/>
    <w:rsid w:val="000D4820"/>
    <w:rsid w:val="000D609C"/>
    <w:rsid w:val="000D7D39"/>
    <w:rsid w:val="000E3644"/>
    <w:rsid w:val="000F0066"/>
    <w:rsid w:val="000F11F5"/>
    <w:rsid w:val="001025ED"/>
    <w:rsid w:val="00102880"/>
    <w:rsid w:val="00105B47"/>
    <w:rsid w:val="00120D72"/>
    <w:rsid w:val="00123F9E"/>
    <w:rsid w:val="0012770D"/>
    <w:rsid w:val="00131A6E"/>
    <w:rsid w:val="00134524"/>
    <w:rsid w:val="00147BBD"/>
    <w:rsid w:val="00150E7B"/>
    <w:rsid w:val="00155ECE"/>
    <w:rsid w:val="001577B0"/>
    <w:rsid w:val="001634D0"/>
    <w:rsid w:val="00177B77"/>
    <w:rsid w:val="001A20BE"/>
    <w:rsid w:val="001A340A"/>
    <w:rsid w:val="001A6933"/>
    <w:rsid w:val="001B2007"/>
    <w:rsid w:val="001C45F9"/>
    <w:rsid w:val="001C5920"/>
    <w:rsid w:val="001C5E43"/>
    <w:rsid w:val="001D2FE8"/>
    <w:rsid w:val="001D5A5C"/>
    <w:rsid w:val="001E412C"/>
    <w:rsid w:val="001F33FA"/>
    <w:rsid w:val="001F5140"/>
    <w:rsid w:val="001F67FE"/>
    <w:rsid w:val="00203386"/>
    <w:rsid w:val="002125EA"/>
    <w:rsid w:val="00213FE1"/>
    <w:rsid w:val="002218B0"/>
    <w:rsid w:val="00244F9D"/>
    <w:rsid w:val="00250040"/>
    <w:rsid w:val="002559A4"/>
    <w:rsid w:val="002642C7"/>
    <w:rsid w:val="00265AA6"/>
    <w:rsid w:val="002707C7"/>
    <w:rsid w:val="0027164F"/>
    <w:rsid w:val="00287D79"/>
    <w:rsid w:val="00291A40"/>
    <w:rsid w:val="00296362"/>
    <w:rsid w:val="002963FF"/>
    <w:rsid w:val="002A668C"/>
    <w:rsid w:val="002A6DF3"/>
    <w:rsid w:val="002B4DE9"/>
    <w:rsid w:val="002B563A"/>
    <w:rsid w:val="002D67B7"/>
    <w:rsid w:val="002E138B"/>
    <w:rsid w:val="002E517B"/>
    <w:rsid w:val="002E5C2F"/>
    <w:rsid w:val="002E6865"/>
    <w:rsid w:val="002F0AD7"/>
    <w:rsid w:val="002F2B47"/>
    <w:rsid w:val="002F6F31"/>
    <w:rsid w:val="00302544"/>
    <w:rsid w:val="00307CCB"/>
    <w:rsid w:val="00324FF6"/>
    <w:rsid w:val="00326D11"/>
    <w:rsid w:val="00343F2F"/>
    <w:rsid w:val="00350ACF"/>
    <w:rsid w:val="00352841"/>
    <w:rsid w:val="00361C38"/>
    <w:rsid w:val="00383418"/>
    <w:rsid w:val="00384F1D"/>
    <w:rsid w:val="00387D3A"/>
    <w:rsid w:val="003962BA"/>
    <w:rsid w:val="003A3666"/>
    <w:rsid w:val="003A488C"/>
    <w:rsid w:val="003A5258"/>
    <w:rsid w:val="003B6C14"/>
    <w:rsid w:val="003B7D09"/>
    <w:rsid w:val="003C4CD4"/>
    <w:rsid w:val="003D1B6A"/>
    <w:rsid w:val="003D246C"/>
    <w:rsid w:val="003D26B6"/>
    <w:rsid w:val="003D68F4"/>
    <w:rsid w:val="00402062"/>
    <w:rsid w:val="00402764"/>
    <w:rsid w:val="00407873"/>
    <w:rsid w:val="00410A10"/>
    <w:rsid w:val="00426624"/>
    <w:rsid w:val="004268AB"/>
    <w:rsid w:val="00430787"/>
    <w:rsid w:val="00433CF6"/>
    <w:rsid w:val="004441B1"/>
    <w:rsid w:val="004679E5"/>
    <w:rsid w:val="004814C3"/>
    <w:rsid w:val="0048601D"/>
    <w:rsid w:val="004A29F4"/>
    <w:rsid w:val="004C1F3E"/>
    <w:rsid w:val="004C5674"/>
    <w:rsid w:val="004D0824"/>
    <w:rsid w:val="004D2F9B"/>
    <w:rsid w:val="004E0341"/>
    <w:rsid w:val="004E78BF"/>
    <w:rsid w:val="004E79BD"/>
    <w:rsid w:val="0052447A"/>
    <w:rsid w:val="005523D4"/>
    <w:rsid w:val="00552CC5"/>
    <w:rsid w:val="005569E0"/>
    <w:rsid w:val="00562880"/>
    <w:rsid w:val="005644D4"/>
    <w:rsid w:val="00575D2C"/>
    <w:rsid w:val="00596753"/>
    <w:rsid w:val="005A021F"/>
    <w:rsid w:val="005A099F"/>
    <w:rsid w:val="005A1DE6"/>
    <w:rsid w:val="005A2E7E"/>
    <w:rsid w:val="005B145E"/>
    <w:rsid w:val="005B2352"/>
    <w:rsid w:val="005B61EC"/>
    <w:rsid w:val="005C1424"/>
    <w:rsid w:val="005C2975"/>
    <w:rsid w:val="005C47BD"/>
    <w:rsid w:val="005C6D47"/>
    <w:rsid w:val="005C795E"/>
    <w:rsid w:val="005F0C3F"/>
    <w:rsid w:val="00601170"/>
    <w:rsid w:val="00613DAF"/>
    <w:rsid w:val="00641EF3"/>
    <w:rsid w:val="006420CA"/>
    <w:rsid w:val="00646CDB"/>
    <w:rsid w:val="00647453"/>
    <w:rsid w:val="00647971"/>
    <w:rsid w:val="0065656A"/>
    <w:rsid w:val="006605AD"/>
    <w:rsid w:val="006631C6"/>
    <w:rsid w:val="006811D4"/>
    <w:rsid w:val="0069092A"/>
    <w:rsid w:val="0069188E"/>
    <w:rsid w:val="00695C66"/>
    <w:rsid w:val="006A289A"/>
    <w:rsid w:val="006A68C5"/>
    <w:rsid w:val="006B3D7C"/>
    <w:rsid w:val="006C4E07"/>
    <w:rsid w:val="006D63AD"/>
    <w:rsid w:val="006D683E"/>
    <w:rsid w:val="006E76D3"/>
    <w:rsid w:val="006F5187"/>
    <w:rsid w:val="006F73B4"/>
    <w:rsid w:val="007043B8"/>
    <w:rsid w:val="00704A90"/>
    <w:rsid w:val="00705212"/>
    <w:rsid w:val="00730C71"/>
    <w:rsid w:val="00742B1C"/>
    <w:rsid w:val="0074314B"/>
    <w:rsid w:val="0075585F"/>
    <w:rsid w:val="00761410"/>
    <w:rsid w:val="007651BC"/>
    <w:rsid w:val="00767FCC"/>
    <w:rsid w:val="007A6967"/>
    <w:rsid w:val="007A7FBE"/>
    <w:rsid w:val="007B6918"/>
    <w:rsid w:val="007B79E0"/>
    <w:rsid w:val="007C558C"/>
    <w:rsid w:val="007D24FF"/>
    <w:rsid w:val="007D5624"/>
    <w:rsid w:val="007F47A2"/>
    <w:rsid w:val="00802DE2"/>
    <w:rsid w:val="00803A7A"/>
    <w:rsid w:val="0080428A"/>
    <w:rsid w:val="00807751"/>
    <w:rsid w:val="008145F2"/>
    <w:rsid w:val="00816C42"/>
    <w:rsid w:val="008266F3"/>
    <w:rsid w:val="00841A2A"/>
    <w:rsid w:val="00860E93"/>
    <w:rsid w:val="008620D5"/>
    <w:rsid w:val="00867DD1"/>
    <w:rsid w:val="00882C25"/>
    <w:rsid w:val="00893756"/>
    <w:rsid w:val="008A0A99"/>
    <w:rsid w:val="008A1AB4"/>
    <w:rsid w:val="008B5653"/>
    <w:rsid w:val="008C15D5"/>
    <w:rsid w:val="008C7DBF"/>
    <w:rsid w:val="008D6D5D"/>
    <w:rsid w:val="008E5740"/>
    <w:rsid w:val="009028D6"/>
    <w:rsid w:val="00915438"/>
    <w:rsid w:val="00920BC2"/>
    <w:rsid w:val="00927B4C"/>
    <w:rsid w:val="00935741"/>
    <w:rsid w:val="00957554"/>
    <w:rsid w:val="00987A6A"/>
    <w:rsid w:val="009A6676"/>
    <w:rsid w:val="009B0D5A"/>
    <w:rsid w:val="009B3B10"/>
    <w:rsid w:val="009B673C"/>
    <w:rsid w:val="009B6AF8"/>
    <w:rsid w:val="009B7514"/>
    <w:rsid w:val="009C5CCE"/>
    <w:rsid w:val="009C6EEF"/>
    <w:rsid w:val="009D3ADA"/>
    <w:rsid w:val="009D66EA"/>
    <w:rsid w:val="009F0299"/>
    <w:rsid w:val="009F1446"/>
    <w:rsid w:val="009F272D"/>
    <w:rsid w:val="009F3E2C"/>
    <w:rsid w:val="00A017F6"/>
    <w:rsid w:val="00A02DFD"/>
    <w:rsid w:val="00A036FC"/>
    <w:rsid w:val="00A215AC"/>
    <w:rsid w:val="00A2329C"/>
    <w:rsid w:val="00A23368"/>
    <w:rsid w:val="00A31AF1"/>
    <w:rsid w:val="00A46B1A"/>
    <w:rsid w:val="00A61068"/>
    <w:rsid w:val="00A802C2"/>
    <w:rsid w:val="00A8036F"/>
    <w:rsid w:val="00AA02E2"/>
    <w:rsid w:val="00AB12C4"/>
    <w:rsid w:val="00AC5355"/>
    <w:rsid w:val="00AD4798"/>
    <w:rsid w:val="00AD540D"/>
    <w:rsid w:val="00AD5DFC"/>
    <w:rsid w:val="00AE2171"/>
    <w:rsid w:val="00AE3649"/>
    <w:rsid w:val="00AE3CC4"/>
    <w:rsid w:val="00AE6B5F"/>
    <w:rsid w:val="00B30A45"/>
    <w:rsid w:val="00B346C0"/>
    <w:rsid w:val="00B35832"/>
    <w:rsid w:val="00B37E4E"/>
    <w:rsid w:val="00B42D43"/>
    <w:rsid w:val="00B6374A"/>
    <w:rsid w:val="00B8792D"/>
    <w:rsid w:val="00B95957"/>
    <w:rsid w:val="00BA171F"/>
    <w:rsid w:val="00BA23A7"/>
    <w:rsid w:val="00BA6DFD"/>
    <w:rsid w:val="00BB59BE"/>
    <w:rsid w:val="00BB653B"/>
    <w:rsid w:val="00BC58F6"/>
    <w:rsid w:val="00BD5591"/>
    <w:rsid w:val="00BD709D"/>
    <w:rsid w:val="00BE6411"/>
    <w:rsid w:val="00BF2784"/>
    <w:rsid w:val="00BF31E0"/>
    <w:rsid w:val="00C029BD"/>
    <w:rsid w:val="00C04590"/>
    <w:rsid w:val="00C201E4"/>
    <w:rsid w:val="00C409AB"/>
    <w:rsid w:val="00C53443"/>
    <w:rsid w:val="00C657D2"/>
    <w:rsid w:val="00C72688"/>
    <w:rsid w:val="00C741F8"/>
    <w:rsid w:val="00C90CDE"/>
    <w:rsid w:val="00C92765"/>
    <w:rsid w:val="00C9440F"/>
    <w:rsid w:val="00CA27B9"/>
    <w:rsid w:val="00CA5A8B"/>
    <w:rsid w:val="00CA605A"/>
    <w:rsid w:val="00CB160B"/>
    <w:rsid w:val="00CB3C02"/>
    <w:rsid w:val="00CB5E80"/>
    <w:rsid w:val="00CC4FE7"/>
    <w:rsid w:val="00CF09DD"/>
    <w:rsid w:val="00CF3AB8"/>
    <w:rsid w:val="00D00ECF"/>
    <w:rsid w:val="00D072B8"/>
    <w:rsid w:val="00D1049F"/>
    <w:rsid w:val="00D13A91"/>
    <w:rsid w:val="00D152B6"/>
    <w:rsid w:val="00D25183"/>
    <w:rsid w:val="00D31A69"/>
    <w:rsid w:val="00D338A0"/>
    <w:rsid w:val="00D33F84"/>
    <w:rsid w:val="00D430DF"/>
    <w:rsid w:val="00D52F72"/>
    <w:rsid w:val="00D53E92"/>
    <w:rsid w:val="00D5510D"/>
    <w:rsid w:val="00D61040"/>
    <w:rsid w:val="00D65FCD"/>
    <w:rsid w:val="00D66FF5"/>
    <w:rsid w:val="00D77F89"/>
    <w:rsid w:val="00D82610"/>
    <w:rsid w:val="00D927FE"/>
    <w:rsid w:val="00DA02BF"/>
    <w:rsid w:val="00DA0B63"/>
    <w:rsid w:val="00DC03C1"/>
    <w:rsid w:val="00DC4882"/>
    <w:rsid w:val="00DD06E4"/>
    <w:rsid w:val="00DD0ABF"/>
    <w:rsid w:val="00DE39DD"/>
    <w:rsid w:val="00DE5928"/>
    <w:rsid w:val="00DE7D18"/>
    <w:rsid w:val="00E01CDC"/>
    <w:rsid w:val="00E07059"/>
    <w:rsid w:val="00E40E9E"/>
    <w:rsid w:val="00E456B7"/>
    <w:rsid w:val="00E615A0"/>
    <w:rsid w:val="00E65A75"/>
    <w:rsid w:val="00E70F1F"/>
    <w:rsid w:val="00E71052"/>
    <w:rsid w:val="00E83CCF"/>
    <w:rsid w:val="00E87770"/>
    <w:rsid w:val="00E87CD5"/>
    <w:rsid w:val="00E9140B"/>
    <w:rsid w:val="00EA50A8"/>
    <w:rsid w:val="00EA5D2D"/>
    <w:rsid w:val="00EA714A"/>
    <w:rsid w:val="00EA7F97"/>
    <w:rsid w:val="00EC040D"/>
    <w:rsid w:val="00EC4CF1"/>
    <w:rsid w:val="00EC522E"/>
    <w:rsid w:val="00EC5445"/>
    <w:rsid w:val="00EF1CD1"/>
    <w:rsid w:val="00EF5E83"/>
    <w:rsid w:val="00EF7E3A"/>
    <w:rsid w:val="00F020A7"/>
    <w:rsid w:val="00F0285F"/>
    <w:rsid w:val="00F04D97"/>
    <w:rsid w:val="00F2631A"/>
    <w:rsid w:val="00F354B0"/>
    <w:rsid w:val="00F358B3"/>
    <w:rsid w:val="00F57450"/>
    <w:rsid w:val="00F60D74"/>
    <w:rsid w:val="00F71A51"/>
    <w:rsid w:val="00F76F62"/>
    <w:rsid w:val="00F9021C"/>
    <w:rsid w:val="00FA0860"/>
    <w:rsid w:val="00FC266C"/>
    <w:rsid w:val="00FC46A5"/>
    <w:rsid w:val="00FC6006"/>
    <w:rsid w:val="00FC60A1"/>
    <w:rsid w:val="00FD3C75"/>
    <w:rsid w:val="00FD4921"/>
    <w:rsid w:val="00FD6E40"/>
    <w:rsid w:val="00FE3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0CD9983"/>
  <w15:docId w15:val="{AF331AA8-AA39-4A47-936D-211B685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CA"/>
    <w:pPr>
      <w:spacing w:after="0" w:line="240" w:lineRule="auto"/>
    </w:pPr>
    <w:rPr>
      <w:rFonts w:ascii="Times New Roman" w:eastAsia="Times New Roman" w:hAnsi="Times New Roman" w:cs="Times New Roman"/>
      <w:sz w:val="24"/>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6420CA"/>
    <w:pPr>
      <w:spacing w:after="0" w:line="240" w:lineRule="auto"/>
      <w:outlineLvl w:val="0"/>
    </w:pPr>
    <w:rPr>
      <w:rFonts w:ascii="Helvetica" w:eastAsia="ヒラギノ角ゴ Pro W3" w:hAnsi="Helvetica" w:cs="Times New Roman"/>
      <w:color w:val="000000"/>
      <w:sz w:val="24"/>
      <w:szCs w:val="20"/>
      <w:lang w:eastAsia="es-MX"/>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qFormat/>
    <w:rsid w:val="006420CA"/>
    <w:rPr>
      <w:rFonts w:cs="Times New Roman"/>
      <w:vertAlign w:val="superscript"/>
    </w:rPr>
  </w:style>
  <w:style w:type="paragraph" w:customStyle="1" w:styleId="Default">
    <w:name w:val="Default"/>
    <w:rsid w:val="006420CA"/>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Ttulo">
    <w:name w:val="Title"/>
    <w:basedOn w:val="Normal"/>
    <w:link w:val="TtuloCar"/>
    <w:uiPriority w:val="99"/>
    <w:qFormat/>
    <w:rsid w:val="006420CA"/>
    <w:pPr>
      <w:jc w:val="center"/>
    </w:pPr>
    <w:rPr>
      <w:rFonts w:ascii="Verdana" w:hAnsi="Verdana"/>
      <w:b/>
      <w:sz w:val="20"/>
      <w:szCs w:val="20"/>
      <w:lang w:val="es-ES_tradnl"/>
    </w:rPr>
  </w:style>
  <w:style w:type="character" w:customStyle="1" w:styleId="TtuloCar">
    <w:name w:val="Título Car"/>
    <w:basedOn w:val="Fuentedeprrafopredeter"/>
    <w:link w:val="Ttulo"/>
    <w:uiPriority w:val="99"/>
    <w:rsid w:val="006420CA"/>
    <w:rPr>
      <w:rFonts w:ascii="Verdana" w:eastAsia="Times New Roman" w:hAnsi="Verdana" w:cs="Times New Roman"/>
      <w:b/>
      <w:sz w:val="20"/>
      <w:szCs w:val="20"/>
      <w:lang w:val="es-ES_tradnl"/>
    </w:rPr>
  </w:style>
  <w:style w:type="paragraph" w:customStyle="1" w:styleId="PrrafodeSentencia">
    <w:name w:val="*. Párrafo de Sentencia"/>
    <w:link w:val="PrrafodeSentenciaChar"/>
    <w:autoRedefine/>
    <w:qFormat/>
    <w:rsid w:val="00AE6B5F"/>
    <w:pPr>
      <w:spacing w:before="120" w:after="120" w:line="240" w:lineRule="auto"/>
      <w:jc w:val="both"/>
    </w:pPr>
    <w:rPr>
      <w:rFonts w:ascii="Verdana" w:eastAsia="Batang" w:hAnsi="Verdana" w:cs="Times New Roman"/>
      <w:sz w:val="20"/>
      <w:szCs w:val="20"/>
      <w:lang w:val="es-CL" w:eastAsia="es-MX"/>
    </w:rPr>
  </w:style>
  <w:style w:type="character" w:customStyle="1" w:styleId="PrrafodeSentenciaChar">
    <w:name w:val="*. Párrafo de Sentencia Char"/>
    <w:link w:val="PrrafodeSentencia"/>
    <w:rsid w:val="00AE6B5F"/>
    <w:rPr>
      <w:rFonts w:ascii="Verdana" w:eastAsia="Batang" w:hAnsi="Verdana" w:cs="Times New Roman"/>
      <w:sz w:val="20"/>
      <w:szCs w:val="20"/>
      <w:lang w:val="es-CL" w:eastAsia="es-MX"/>
    </w:rPr>
  </w:style>
  <w:style w:type="table" w:styleId="Cuadrculaclara-nfasis3">
    <w:name w:val="Light Grid Accent 3"/>
    <w:basedOn w:val="Tablanormal"/>
    <w:uiPriority w:val="62"/>
    <w:rsid w:val="006420C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stilo4">
    <w:name w:val="Estilo4"/>
    <w:basedOn w:val="Prrafodelista"/>
    <w:qFormat/>
    <w:rsid w:val="00860E93"/>
    <w:pPr>
      <w:numPr>
        <w:ilvl w:val="1"/>
        <w:numId w:val="2"/>
      </w:numPr>
      <w:spacing w:after="120"/>
      <w:ind w:left="0" w:firstLine="357"/>
      <w:contextualSpacing w:val="0"/>
      <w:jc w:val="both"/>
    </w:pPr>
    <w:rPr>
      <w:rFonts w:ascii="Verdana" w:hAnsi="Verdana"/>
      <w:spacing w:val="-2"/>
      <w:sz w:val="20"/>
      <w:szCs w:val="20"/>
    </w:rPr>
  </w:style>
  <w:style w:type="paragraph" w:styleId="Prrafodelista">
    <w:name w:val="List Paragraph"/>
    <w:aliases w:val="Párrafo de lista1,List Paragraph1,Colorful List - Accent 11,Footnote"/>
    <w:basedOn w:val="Normal"/>
    <w:link w:val="PrrafodelistaCar"/>
    <w:uiPriority w:val="99"/>
    <w:qFormat/>
    <w:rsid w:val="00860E93"/>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TextonotapieCar"/>
    <w:uiPriority w:val="99"/>
    <w:unhideWhenUsed/>
    <w:qFormat/>
    <w:rsid w:val="00A017F6"/>
    <w:rPr>
      <w:rFonts w:ascii="Calibri" w:hAnsi="Calibr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A017F6"/>
    <w:rPr>
      <w:rFonts w:ascii="Calibri" w:eastAsia="Times New Roman" w:hAnsi="Calibri" w:cs="Times New Roman"/>
      <w:sz w:val="20"/>
      <w:szCs w:val="20"/>
    </w:rPr>
  </w:style>
  <w:style w:type="character" w:styleId="Hipervnculo">
    <w:name w:val="Hyperlink"/>
    <w:uiPriority w:val="99"/>
    <w:unhideWhenUsed/>
    <w:rsid w:val="00084D8C"/>
    <w:rPr>
      <w:color w:val="0000FF"/>
      <w:u w:val="single"/>
    </w:rPr>
  </w:style>
  <w:style w:type="paragraph" w:styleId="Sinespaciado">
    <w:name w:val="No Spacing"/>
    <w:uiPriority w:val="1"/>
    <w:qFormat/>
    <w:rsid w:val="0080428A"/>
    <w:pPr>
      <w:spacing w:after="0" w:line="240" w:lineRule="auto"/>
    </w:pPr>
    <w:rPr>
      <w:rFonts w:ascii="Calibri" w:eastAsia="Times New Roman" w:hAnsi="Calibri" w:cs="Times New Roman"/>
    </w:rPr>
  </w:style>
  <w:style w:type="character" w:customStyle="1" w:styleId="PrrafodelistaCar">
    <w:name w:val="Párrafo de lista Car"/>
    <w:aliases w:val="Párrafo de lista1 Car,List Paragraph1 Car,Colorful List - Accent 11 Car,Footnote Car"/>
    <w:link w:val="Prrafodelista"/>
    <w:uiPriority w:val="99"/>
    <w:rsid w:val="004E0341"/>
    <w:rPr>
      <w:rFonts w:ascii="Times New Roman" w:eastAsia="Times New Roman" w:hAnsi="Times New Roman" w:cs="Times New Roman"/>
      <w:sz w:val="24"/>
      <w:szCs w:val="24"/>
      <w:lang w:val="es-CR"/>
    </w:rPr>
  </w:style>
  <w:style w:type="character" w:customStyle="1" w:styleId="shorttext">
    <w:name w:val="shorttext"/>
    <w:basedOn w:val="Fuentedeprrafopredeter"/>
    <w:rsid w:val="000D609C"/>
  </w:style>
  <w:style w:type="paragraph" w:styleId="Textodeglobo">
    <w:name w:val="Balloon Text"/>
    <w:basedOn w:val="Normal"/>
    <w:link w:val="TextodegloboCar"/>
    <w:uiPriority w:val="99"/>
    <w:semiHidden/>
    <w:unhideWhenUsed/>
    <w:rsid w:val="00CB3C02"/>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C02"/>
    <w:rPr>
      <w:rFonts w:ascii="Tahoma" w:eastAsia="Times New Roman" w:hAnsi="Tahoma" w:cs="Tahoma"/>
      <w:sz w:val="16"/>
      <w:szCs w:val="16"/>
      <w:lang w:val="es-CR"/>
    </w:rPr>
  </w:style>
  <w:style w:type="paragraph" w:styleId="Revisin">
    <w:name w:val="Revision"/>
    <w:hidden/>
    <w:uiPriority w:val="99"/>
    <w:semiHidden/>
    <w:rsid w:val="00AD4798"/>
    <w:pPr>
      <w:spacing w:after="0" w:line="240" w:lineRule="auto"/>
    </w:pPr>
    <w:rPr>
      <w:rFonts w:ascii="Times New Roman" w:eastAsia="Times New Roman" w:hAnsi="Times New Roman" w:cs="Times New Roman"/>
      <w:sz w:val="24"/>
      <w:szCs w:val="24"/>
      <w:lang w:val="es-CR"/>
    </w:rPr>
  </w:style>
  <w:style w:type="paragraph" w:styleId="Encabezado">
    <w:name w:val="header"/>
    <w:basedOn w:val="Normal"/>
    <w:link w:val="EncabezadoCar"/>
    <w:uiPriority w:val="99"/>
    <w:unhideWhenUsed/>
    <w:rsid w:val="00B95957"/>
    <w:pPr>
      <w:tabs>
        <w:tab w:val="center" w:pos="4419"/>
        <w:tab w:val="right" w:pos="8838"/>
      </w:tabs>
    </w:pPr>
  </w:style>
  <w:style w:type="character" w:customStyle="1" w:styleId="EncabezadoCar">
    <w:name w:val="Encabezado Car"/>
    <w:basedOn w:val="Fuentedeprrafopredeter"/>
    <w:link w:val="Encabezado"/>
    <w:uiPriority w:val="99"/>
    <w:rsid w:val="00B95957"/>
    <w:rPr>
      <w:rFonts w:ascii="Times New Roman" w:eastAsia="Times New Roman" w:hAnsi="Times New Roman" w:cs="Times New Roman"/>
      <w:sz w:val="24"/>
      <w:szCs w:val="24"/>
      <w:lang w:val="es-CR"/>
    </w:rPr>
  </w:style>
  <w:style w:type="paragraph" w:styleId="Piedepgina">
    <w:name w:val="footer"/>
    <w:basedOn w:val="Normal"/>
    <w:link w:val="PiedepginaCar"/>
    <w:uiPriority w:val="99"/>
    <w:unhideWhenUsed/>
    <w:rsid w:val="00B95957"/>
    <w:pPr>
      <w:tabs>
        <w:tab w:val="center" w:pos="4419"/>
        <w:tab w:val="right" w:pos="8838"/>
      </w:tabs>
    </w:pPr>
  </w:style>
  <w:style w:type="character" w:customStyle="1" w:styleId="PiedepginaCar">
    <w:name w:val="Pie de página Car"/>
    <w:basedOn w:val="Fuentedeprrafopredeter"/>
    <w:link w:val="Piedepgina"/>
    <w:uiPriority w:val="99"/>
    <w:rsid w:val="00B95957"/>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teidh.or.cr/casos.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8516B-BB55-4B3F-AFA5-67DB537CCB3B}">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F1C0164-7A23-4D44-AF43-BF576BF4F570}">
  <ds:schemaRefs>
    <ds:schemaRef ds:uri="http://schemas.microsoft.com/sharepoint/v3/contenttype/forms"/>
  </ds:schemaRefs>
</ds:datastoreItem>
</file>

<file path=customXml/itemProps3.xml><?xml version="1.0" encoding="utf-8"?>
<ds:datastoreItem xmlns:ds="http://schemas.openxmlformats.org/officeDocument/2006/customXml" ds:itemID="{042DD0AE-A028-4EE5-9018-A57C4AC0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1040D0-B541-4A28-873F-F390F52E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3972</Words>
  <Characters>21849</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2014-12-18T15:27:00Z</cp:lastPrinted>
  <dcterms:created xsi:type="dcterms:W3CDTF">2019-08-27T18:34:00Z</dcterms:created>
  <dcterms:modified xsi:type="dcterms:W3CDTF">2019-08-27T18:35:00Z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