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1C" w:rsidRDefault="00166F1C" w:rsidP="00166F1C">
      <w:pPr>
        <w:spacing w:after="0" w:line="240" w:lineRule="auto"/>
        <w:rPr>
          <w:rFonts w:ascii="Verdana" w:hAnsi="Verdana"/>
          <w:sz w:val="20"/>
          <w:szCs w:val="20"/>
        </w:rPr>
      </w:pPr>
    </w:p>
    <w:p w:rsidR="00166F1C" w:rsidRDefault="00166F1C" w:rsidP="00166F1C">
      <w:pPr>
        <w:spacing w:after="0" w:line="240" w:lineRule="auto"/>
        <w:rPr>
          <w:rFonts w:ascii="Verdana" w:hAnsi="Verdana"/>
          <w:sz w:val="20"/>
          <w:szCs w:val="20"/>
        </w:rPr>
      </w:pPr>
    </w:p>
    <w:p w:rsidR="00166F1C" w:rsidRDefault="00166F1C" w:rsidP="00166F1C">
      <w:pPr>
        <w:spacing w:after="0" w:line="240" w:lineRule="auto"/>
        <w:rPr>
          <w:rFonts w:ascii="Verdana" w:hAnsi="Verdana"/>
          <w:sz w:val="20"/>
          <w:szCs w:val="20"/>
        </w:rPr>
      </w:pPr>
    </w:p>
    <w:p w:rsidR="00166F1C" w:rsidRDefault="00166F1C" w:rsidP="00166F1C">
      <w:pPr>
        <w:spacing w:after="0" w:line="240" w:lineRule="auto"/>
        <w:rPr>
          <w:rFonts w:ascii="Verdana" w:hAnsi="Verdana"/>
          <w:sz w:val="20"/>
          <w:szCs w:val="20"/>
        </w:rPr>
      </w:pPr>
    </w:p>
    <w:p w:rsidR="00166F1C" w:rsidRDefault="00166F1C" w:rsidP="00166F1C">
      <w:pPr>
        <w:spacing w:after="0" w:line="240" w:lineRule="auto"/>
        <w:rPr>
          <w:rFonts w:ascii="Verdana" w:hAnsi="Verdana"/>
          <w:sz w:val="20"/>
          <w:szCs w:val="20"/>
        </w:rPr>
      </w:pPr>
      <w:bookmarkStart w:id="0" w:name="_GoBack"/>
      <w:bookmarkEnd w:id="0"/>
    </w:p>
    <w:p w:rsidR="00AF7458" w:rsidRDefault="00AF7458" w:rsidP="00166F1C">
      <w:pPr>
        <w:spacing w:after="0" w:line="240" w:lineRule="auto"/>
        <w:rPr>
          <w:rFonts w:ascii="Verdana" w:hAnsi="Verdana"/>
          <w:sz w:val="20"/>
          <w:szCs w:val="20"/>
        </w:rPr>
      </w:pPr>
    </w:p>
    <w:p w:rsidR="00AF7458" w:rsidRPr="00615151" w:rsidRDefault="00AF7458" w:rsidP="00166F1C">
      <w:pPr>
        <w:spacing w:after="0" w:line="240" w:lineRule="auto"/>
        <w:rPr>
          <w:rFonts w:ascii="Verdana" w:hAnsi="Verdana"/>
          <w:sz w:val="20"/>
          <w:szCs w:val="20"/>
        </w:rPr>
      </w:pPr>
    </w:p>
    <w:p w:rsidR="00166F1C" w:rsidRPr="00615151" w:rsidRDefault="00166F1C" w:rsidP="00166F1C">
      <w:pPr>
        <w:spacing w:after="0" w:line="240" w:lineRule="auto"/>
        <w:jc w:val="center"/>
        <w:rPr>
          <w:rFonts w:ascii="Verdana" w:eastAsia="MS Mincho" w:hAnsi="Verdana"/>
          <w:b/>
          <w:sz w:val="20"/>
          <w:szCs w:val="20"/>
          <w:lang w:val="es-ES_tradnl"/>
        </w:rPr>
      </w:pPr>
      <w:r w:rsidRPr="00615151">
        <w:rPr>
          <w:rFonts w:ascii="Verdana" w:eastAsia="MS Mincho" w:hAnsi="Verdana"/>
          <w:b/>
          <w:sz w:val="20"/>
          <w:szCs w:val="20"/>
          <w:lang w:val="es-ES_tradnl"/>
        </w:rPr>
        <w:t>CORTE INTERAMERICANA DE DERECHOS HUMANOS</w:t>
      </w:r>
      <w:r w:rsidRPr="00615151">
        <w:rPr>
          <w:rFonts w:ascii="Verdana" w:eastAsia="Times New Roman" w:hAnsi="Verdana" w:cs="Verdana"/>
          <w:b/>
          <w:bCs/>
          <w:sz w:val="20"/>
          <w:szCs w:val="20"/>
          <w:vertAlign w:val="superscript"/>
          <w:lang w:val="es-ES_tradnl"/>
        </w:rPr>
        <w:footnoteReference w:customMarkFollows="1" w:id="1"/>
        <w:sym w:font="Symbol" w:char="F02A"/>
      </w:r>
    </w:p>
    <w:p w:rsidR="00166F1C" w:rsidRPr="00615151" w:rsidRDefault="00166F1C" w:rsidP="00166F1C">
      <w:pPr>
        <w:spacing w:after="0" w:line="240" w:lineRule="auto"/>
        <w:jc w:val="center"/>
        <w:rPr>
          <w:rFonts w:ascii="Verdana" w:eastAsia="MS Mincho" w:hAnsi="Verdana"/>
          <w:b/>
          <w:sz w:val="20"/>
          <w:szCs w:val="20"/>
          <w:lang w:val="es-ES_tradnl"/>
        </w:rPr>
      </w:pPr>
    </w:p>
    <w:p w:rsidR="00166F1C" w:rsidRPr="00772F06" w:rsidRDefault="00166F1C" w:rsidP="00166F1C">
      <w:pPr>
        <w:spacing w:after="0" w:line="240" w:lineRule="auto"/>
        <w:jc w:val="center"/>
        <w:rPr>
          <w:rFonts w:ascii="Verdana" w:eastAsia="MS Mincho" w:hAnsi="Verdana"/>
          <w:b/>
          <w:sz w:val="20"/>
          <w:szCs w:val="20"/>
        </w:rPr>
      </w:pPr>
      <w:r w:rsidRPr="00772F06">
        <w:rPr>
          <w:rFonts w:ascii="Verdana" w:eastAsia="MS Mincho" w:hAnsi="Verdana"/>
          <w:b/>
          <w:sz w:val="20"/>
          <w:szCs w:val="20"/>
        </w:rPr>
        <w:t xml:space="preserve">CASO CRUZ SÁNCHEZ Y OTROS </w:t>
      </w:r>
      <w:r w:rsidRPr="00772F06">
        <w:rPr>
          <w:rFonts w:ascii="Verdana" w:eastAsia="MS Mincho" w:hAnsi="Verdana"/>
          <w:b/>
          <w:i/>
          <w:sz w:val="20"/>
          <w:szCs w:val="20"/>
        </w:rPr>
        <w:t>VS.</w:t>
      </w:r>
      <w:r w:rsidRPr="00772F06">
        <w:rPr>
          <w:rFonts w:ascii="Verdana" w:eastAsia="MS Mincho" w:hAnsi="Verdana"/>
          <w:b/>
          <w:sz w:val="20"/>
          <w:szCs w:val="20"/>
        </w:rPr>
        <w:t xml:space="preserve"> PERÚ</w:t>
      </w:r>
    </w:p>
    <w:p w:rsidR="00166F1C" w:rsidRPr="00772F06" w:rsidRDefault="00166F1C" w:rsidP="00166F1C">
      <w:pPr>
        <w:spacing w:after="0" w:line="240" w:lineRule="auto"/>
        <w:jc w:val="center"/>
        <w:rPr>
          <w:rFonts w:ascii="Verdana" w:eastAsia="MS Mincho" w:hAnsi="Verdana"/>
          <w:b/>
          <w:sz w:val="20"/>
          <w:szCs w:val="20"/>
        </w:rPr>
      </w:pPr>
    </w:p>
    <w:p w:rsidR="00166F1C" w:rsidRPr="00166F1C" w:rsidRDefault="00166F1C" w:rsidP="00166F1C">
      <w:pPr>
        <w:spacing w:after="0" w:line="240" w:lineRule="auto"/>
        <w:jc w:val="center"/>
        <w:rPr>
          <w:rFonts w:ascii="Verdana" w:eastAsia="MS Mincho" w:hAnsi="Verdana"/>
          <w:b/>
          <w:sz w:val="20"/>
          <w:szCs w:val="20"/>
        </w:rPr>
      </w:pPr>
    </w:p>
    <w:p w:rsidR="00166F1C" w:rsidRPr="00615151" w:rsidRDefault="00166F1C" w:rsidP="00166F1C">
      <w:pPr>
        <w:spacing w:after="0" w:line="240" w:lineRule="auto"/>
        <w:jc w:val="center"/>
        <w:rPr>
          <w:rFonts w:ascii="Verdana" w:hAnsi="Verdana" w:cs="Verdana"/>
          <w:b/>
          <w:bCs/>
          <w:snapToGrid w:val="0"/>
          <w:sz w:val="20"/>
          <w:szCs w:val="20"/>
          <w:lang w:val="es-ES" w:eastAsia="es-ES"/>
        </w:rPr>
      </w:pPr>
      <w:r w:rsidRPr="00615151">
        <w:rPr>
          <w:rFonts w:ascii="Verdana" w:hAnsi="Verdana" w:cs="Verdana"/>
          <w:b/>
          <w:bCs/>
          <w:snapToGrid w:val="0"/>
          <w:sz w:val="20"/>
          <w:szCs w:val="20"/>
          <w:lang w:val="es-ES" w:eastAsia="es-ES"/>
        </w:rPr>
        <w:t>RESUMEN OFICIAL EMITIDO POR LA CORTE INTERAMERICANA</w:t>
      </w:r>
    </w:p>
    <w:p w:rsidR="00166F1C" w:rsidRPr="00615151" w:rsidRDefault="00166F1C" w:rsidP="00166F1C">
      <w:pPr>
        <w:spacing w:after="0" w:line="240" w:lineRule="auto"/>
        <w:jc w:val="center"/>
        <w:rPr>
          <w:rFonts w:ascii="Verdana" w:hAnsi="Verdana" w:cs="Verdana"/>
          <w:b/>
          <w:bCs/>
          <w:caps/>
          <w:snapToGrid w:val="0"/>
          <w:sz w:val="20"/>
          <w:szCs w:val="20"/>
          <w:lang w:val="es-ES" w:eastAsia="es-ES"/>
        </w:rPr>
      </w:pPr>
    </w:p>
    <w:p w:rsidR="00166F1C" w:rsidRPr="00772F06" w:rsidRDefault="00166F1C" w:rsidP="00166F1C">
      <w:pPr>
        <w:spacing w:after="0" w:line="240" w:lineRule="auto"/>
        <w:jc w:val="center"/>
        <w:rPr>
          <w:rFonts w:ascii="Verdana" w:eastAsia="MS Mincho" w:hAnsi="Verdana"/>
          <w:b/>
          <w:sz w:val="20"/>
          <w:szCs w:val="20"/>
        </w:rPr>
      </w:pPr>
      <w:r w:rsidRPr="00615151">
        <w:rPr>
          <w:rFonts w:ascii="Verdana" w:eastAsia="MS Mincho" w:hAnsi="Verdana"/>
          <w:b/>
          <w:sz w:val="20"/>
          <w:szCs w:val="20"/>
          <w:lang w:val="es-ES_tradnl"/>
        </w:rPr>
        <w:t xml:space="preserve">DE LA </w:t>
      </w:r>
      <w:r w:rsidRPr="00772F06">
        <w:rPr>
          <w:rFonts w:ascii="Verdana" w:eastAsia="MS Mincho" w:hAnsi="Verdana"/>
          <w:b/>
          <w:sz w:val="20"/>
          <w:szCs w:val="20"/>
        </w:rPr>
        <w:t>SENTENCIA DE 17 DE ABRIL DE 2015</w:t>
      </w:r>
    </w:p>
    <w:p w:rsidR="00166F1C" w:rsidRPr="00772F06" w:rsidRDefault="00166F1C" w:rsidP="00166F1C">
      <w:pPr>
        <w:spacing w:after="0" w:line="240" w:lineRule="auto"/>
        <w:jc w:val="center"/>
        <w:rPr>
          <w:rFonts w:ascii="Verdana" w:eastAsia="MS Mincho" w:hAnsi="Verdana"/>
          <w:b/>
          <w:sz w:val="20"/>
          <w:szCs w:val="20"/>
        </w:rPr>
      </w:pPr>
    </w:p>
    <w:p w:rsidR="00166F1C" w:rsidRPr="00615151" w:rsidRDefault="00166F1C" w:rsidP="00166F1C">
      <w:pPr>
        <w:spacing w:after="0" w:line="240" w:lineRule="auto"/>
        <w:jc w:val="center"/>
        <w:rPr>
          <w:rFonts w:ascii="Verdana" w:eastAsia="MS Mincho" w:hAnsi="Verdana"/>
          <w:b/>
          <w:i/>
          <w:sz w:val="20"/>
          <w:szCs w:val="20"/>
          <w:lang w:val="es-ES_tradnl"/>
        </w:rPr>
      </w:pPr>
      <w:r w:rsidRPr="00772F06">
        <w:rPr>
          <w:rFonts w:ascii="Verdana" w:eastAsia="MS Mincho" w:hAnsi="Verdana"/>
          <w:b/>
          <w:i/>
          <w:sz w:val="20"/>
          <w:szCs w:val="20"/>
        </w:rPr>
        <w:t>(Excepciones Preliminares, Fondo, Reparaciones y Costas)</w:t>
      </w:r>
    </w:p>
    <w:p w:rsidR="00166F1C" w:rsidRPr="00615151" w:rsidRDefault="00166F1C" w:rsidP="00166F1C">
      <w:pPr>
        <w:spacing w:after="0" w:line="240" w:lineRule="auto"/>
        <w:jc w:val="center"/>
        <w:rPr>
          <w:rFonts w:ascii="Verdana" w:eastAsia="MS Mincho" w:hAnsi="Verdana"/>
          <w:b/>
          <w:i/>
          <w:sz w:val="20"/>
          <w:szCs w:val="20"/>
          <w:lang w:val="es-ES_tradnl"/>
        </w:rPr>
      </w:pPr>
    </w:p>
    <w:p w:rsidR="00166F1C" w:rsidRPr="00615151" w:rsidRDefault="00166F1C" w:rsidP="00166F1C">
      <w:pPr>
        <w:spacing w:after="0" w:line="240" w:lineRule="auto"/>
        <w:rPr>
          <w:rFonts w:ascii="Verdana" w:hAnsi="Verdana"/>
          <w:sz w:val="20"/>
          <w:szCs w:val="20"/>
          <w:lang w:val="es-ES_tradnl"/>
        </w:rPr>
      </w:pPr>
    </w:p>
    <w:p w:rsidR="00166F1C" w:rsidRPr="00A824B8" w:rsidRDefault="00166F1C" w:rsidP="007E6BA9">
      <w:pPr>
        <w:pStyle w:val="ListParagraph"/>
        <w:spacing w:after="0" w:line="240" w:lineRule="auto"/>
        <w:ind w:left="0"/>
        <w:jc w:val="both"/>
        <w:rPr>
          <w:rFonts w:ascii="Verdana" w:hAnsi="Verdana"/>
          <w:sz w:val="20"/>
          <w:szCs w:val="20"/>
          <w:lang w:val="es-ES"/>
        </w:rPr>
      </w:pPr>
      <w:r w:rsidRPr="00A824B8">
        <w:rPr>
          <w:rFonts w:ascii="Verdana" w:hAnsi="Verdana"/>
          <w:sz w:val="20"/>
          <w:szCs w:val="20"/>
          <w:lang w:val="es-ES"/>
        </w:rPr>
        <w:t xml:space="preserve">El </w:t>
      </w:r>
      <w:r w:rsidR="00A824B8" w:rsidRPr="00A824B8">
        <w:rPr>
          <w:rFonts w:ascii="Verdana" w:hAnsi="Verdana"/>
          <w:sz w:val="20"/>
          <w:szCs w:val="20"/>
          <w:lang w:val="es-ES"/>
        </w:rPr>
        <w:t>17</w:t>
      </w:r>
      <w:r w:rsidRPr="00A824B8">
        <w:rPr>
          <w:rFonts w:ascii="Verdana" w:hAnsi="Verdana"/>
          <w:sz w:val="20"/>
          <w:szCs w:val="20"/>
          <w:lang w:val="es-ES"/>
        </w:rPr>
        <w:t xml:space="preserve"> de </w:t>
      </w:r>
      <w:r w:rsidR="00A824B8" w:rsidRPr="00A824B8">
        <w:rPr>
          <w:rFonts w:ascii="Verdana" w:hAnsi="Verdana"/>
          <w:sz w:val="20"/>
          <w:szCs w:val="20"/>
          <w:lang w:val="es-ES"/>
        </w:rPr>
        <w:t>abril</w:t>
      </w:r>
      <w:r w:rsidRPr="00A824B8">
        <w:rPr>
          <w:rFonts w:ascii="Verdana" w:hAnsi="Verdana"/>
          <w:sz w:val="20"/>
          <w:szCs w:val="20"/>
          <w:lang w:val="es-ES"/>
        </w:rPr>
        <w:t xml:space="preserve"> de 201</w:t>
      </w:r>
      <w:r w:rsidR="00A824B8" w:rsidRPr="00A824B8">
        <w:rPr>
          <w:rFonts w:ascii="Verdana" w:hAnsi="Verdana"/>
          <w:sz w:val="20"/>
          <w:szCs w:val="20"/>
          <w:lang w:val="es-ES"/>
        </w:rPr>
        <w:t>5</w:t>
      </w:r>
      <w:r w:rsidRPr="00A824B8">
        <w:rPr>
          <w:rFonts w:ascii="Verdana" w:hAnsi="Verdana"/>
          <w:sz w:val="20"/>
          <w:szCs w:val="20"/>
          <w:lang w:val="es-ES"/>
        </w:rPr>
        <w:t xml:space="preserve"> la Corte Interamericana de Derechos Humanos (en adelante “la Corte Interamericana”, “la Corte” o “el Tribunal”) emitió una Sentencia, mediante la cual declaró responsable internacionalmente a la República del Perú por la</w:t>
      </w:r>
      <w:r w:rsidR="00A824B8" w:rsidRPr="00A824B8">
        <w:rPr>
          <w:rFonts w:ascii="Verdana" w:hAnsi="Verdana"/>
          <w:sz w:val="20"/>
          <w:szCs w:val="20"/>
          <w:lang w:val="es-ES"/>
        </w:rPr>
        <w:t xml:space="preserve"> </w:t>
      </w:r>
      <w:r w:rsidR="00A824B8" w:rsidRPr="00A824B8">
        <w:rPr>
          <w:rFonts w:ascii="Verdana" w:eastAsia="Times" w:hAnsi="Verdana"/>
          <w:sz w:val="20"/>
          <w:szCs w:val="20"/>
        </w:rPr>
        <w:t>violación del derecho a la vida, reconocido en el artículo</w:t>
      </w:r>
      <w:r w:rsidR="00A824B8" w:rsidRPr="00A824B8">
        <w:rPr>
          <w:rFonts w:ascii="Verdana" w:eastAsia="Batang" w:hAnsi="Verdana" w:cs="Times"/>
          <w:sz w:val="20"/>
          <w:szCs w:val="20"/>
        </w:rPr>
        <w:t xml:space="preserve"> 4.1 de la </w:t>
      </w:r>
      <w:r w:rsidR="00A824B8" w:rsidRPr="00A824B8">
        <w:rPr>
          <w:rFonts w:ascii="Verdana" w:eastAsia="Times" w:hAnsi="Verdana"/>
          <w:sz w:val="20"/>
          <w:szCs w:val="20"/>
        </w:rPr>
        <w:t>Convención Americana sobre Derechos Humanos</w:t>
      </w:r>
      <w:r w:rsidR="00451D3A">
        <w:rPr>
          <w:rFonts w:ascii="Verdana" w:eastAsia="Times" w:hAnsi="Verdana"/>
          <w:sz w:val="20"/>
          <w:szCs w:val="20"/>
        </w:rPr>
        <w:t xml:space="preserve"> </w:t>
      </w:r>
      <w:r w:rsidR="00451D3A" w:rsidRPr="00DE5E39">
        <w:rPr>
          <w:rFonts w:ascii="Verdana" w:eastAsia="Times New Roman" w:hAnsi="Verdana"/>
          <w:sz w:val="20"/>
          <w:szCs w:val="20"/>
        </w:rPr>
        <w:t>(en adelante también “la Convención Americana” o “la Convención”)</w:t>
      </w:r>
      <w:r w:rsidR="00A824B8" w:rsidRPr="00A824B8">
        <w:rPr>
          <w:rFonts w:ascii="Verdana" w:eastAsia="Times" w:hAnsi="Verdana"/>
          <w:sz w:val="20"/>
          <w:szCs w:val="20"/>
        </w:rPr>
        <w:t>, en relación con el artículo 1.1 de la misma, en perjuicio de</w:t>
      </w:r>
      <w:r w:rsidR="00A824B8" w:rsidRPr="00A824B8">
        <w:rPr>
          <w:rFonts w:ascii="Verdana" w:eastAsia="Batang" w:hAnsi="Verdana" w:cs="Times"/>
          <w:sz w:val="20"/>
          <w:szCs w:val="20"/>
        </w:rPr>
        <w:t xml:space="preserve"> </w:t>
      </w:r>
      <w:r w:rsidR="00A824B8" w:rsidRPr="00A824B8">
        <w:rPr>
          <w:rFonts w:ascii="Verdana" w:eastAsia="Times New Roman" w:hAnsi="Verdana"/>
          <w:sz w:val="20"/>
          <w:szCs w:val="20"/>
        </w:rPr>
        <w:t xml:space="preserve">Eduardo Nicolás Cruz Sánchez. Asimismo, declaró </w:t>
      </w:r>
      <w:r w:rsidR="00A824B8" w:rsidRPr="00A824B8">
        <w:rPr>
          <w:rFonts w:ascii="Verdana" w:eastAsia="Times" w:hAnsi="Verdana"/>
          <w:sz w:val="20"/>
          <w:szCs w:val="20"/>
        </w:rPr>
        <w:t xml:space="preserve">responsable al Estado por la violación de los derechos a las garantías judiciales y a la protección judicial, reconocidos en los artículos 8.1 y 25.1 de la Convención Americana, en relación con el artículo 1.1 de la misma, en perjuicio de </w:t>
      </w:r>
      <w:r w:rsidR="00A824B8" w:rsidRPr="00A824B8">
        <w:rPr>
          <w:rFonts w:ascii="Verdana" w:eastAsia="Times New Roman" w:hAnsi="Verdana"/>
          <w:sz w:val="20"/>
          <w:szCs w:val="20"/>
        </w:rPr>
        <w:t>los</w:t>
      </w:r>
      <w:r w:rsidR="00A824B8" w:rsidRPr="00A824B8">
        <w:rPr>
          <w:rFonts w:ascii="Verdana" w:eastAsia="Batang" w:hAnsi="Verdana"/>
          <w:bCs/>
          <w:sz w:val="20"/>
          <w:szCs w:val="20"/>
        </w:rPr>
        <w:t xml:space="preserve"> familiares </w:t>
      </w:r>
      <w:r w:rsidR="00A824B8" w:rsidRPr="00A824B8">
        <w:rPr>
          <w:rFonts w:ascii="Verdana" w:eastAsia="Times" w:hAnsi="Verdana"/>
          <w:sz w:val="20"/>
          <w:szCs w:val="20"/>
        </w:rPr>
        <w:t xml:space="preserve">de </w:t>
      </w:r>
      <w:r w:rsidR="00A824B8" w:rsidRPr="00A824B8">
        <w:rPr>
          <w:rFonts w:ascii="Verdana" w:eastAsia="Times New Roman" w:hAnsi="Verdana"/>
          <w:sz w:val="20"/>
          <w:szCs w:val="20"/>
        </w:rPr>
        <w:t>Eduardo Nicolás Cruz Sánchez</w:t>
      </w:r>
      <w:r w:rsidR="00A824B8" w:rsidRPr="00A824B8">
        <w:rPr>
          <w:rFonts w:ascii="Verdana" w:eastAsia="Times" w:hAnsi="Verdana"/>
          <w:sz w:val="20"/>
          <w:szCs w:val="20"/>
        </w:rPr>
        <w:t xml:space="preserve">, </w:t>
      </w:r>
      <w:r w:rsidR="00A824B8" w:rsidRPr="00A824B8">
        <w:rPr>
          <w:rFonts w:ascii="Verdana" w:eastAsia="Times New Roman" w:hAnsi="Verdana"/>
          <w:sz w:val="20"/>
          <w:szCs w:val="20"/>
        </w:rPr>
        <w:t>Herma Luz Meléndez Cueva y Víctor Salomón Peceros Pedraza,</w:t>
      </w:r>
      <w:r w:rsidR="00A824B8" w:rsidRPr="00A824B8">
        <w:rPr>
          <w:rFonts w:ascii="Verdana" w:eastAsia="Times" w:hAnsi="Verdana"/>
          <w:sz w:val="20"/>
          <w:szCs w:val="20"/>
        </w:rPr>
        <w:t xml:space="preserve"> así como por la violación del derecho a la integridad personal, reconocido en el</w:t>
      </w:r>
      <w:r w:rsidR="00A824B8" w:rsidRPr="00A824B8">
        <w:rPr>
          <w:rFonts w:ascii="Verdana" w:eastAsia="Cambria" w:hAnsi="Verdana"/>
          <w:sz w:val="20"/>
          <w:szCs w:val="20"/>
        </w:rPr>
        <w:t xml:space="preserve"> artículo 5.1 </w:t>
      </w:r>
      <w:r w:rsidR="00A824B8" w:rsidRPr="00A824B8">
        <w:rPr>
          <w:rFonts w:ascii="Verdana" w:eastAsia="Times" w:hAnsi="Verdana"/>
          <w:sz w:val="20"/>
          <w:szCs w:val="20"/>
        </w:rPr>
        <w:t>de la Convención Americana, en relación con el artículo 1.1 de la misma, en perjuicio de Edgar Odón Cruz Acuña</w:t>
      </w:r>
      <w:r w:rsidR="005E2733">
        <w:rPr>
          <w:rFonts w:ascii="Verdana" w:eastAsia="Times" w:hAnsi="Verdana"/>
          <w:sz w:val="20"/>
          <w:szCs w:val="20"/>
        </w:rPr>
        <w:t xml:space="preserve">, hermano de </w:t>
      </w:r>
      <w:r w:rsidR="005E2733" w:rsidRPr="00A824B8">
        <w:rPr>
          <w:rFonts w:ascii="Verdana" w:eastAsia="Times New Roman" w:hAnsi="Verdana"/>
          <w:sz w:val="20"/>
          <w:szCs w:val="20"/>
        </w:rPr>
        <w:t>Eduardo Nicolás Cruz Sánchez</w:t>
      </w:r>
      <w:r w:rsidRPr="00A824B8">
        <w:rPr>
          <w:rFonts w:ascii="Verdana" w:hAnsi="Verdana"/>
          <w:sz w:val="20"/>
          <w:szCs w:val="20"/>
          <w:lang w:val="es-ES"/>
        </w:rPr>
        <w:t>.</w:t>
      </w:r>
      <w:r w:rsidR="007E6BA9">
        <w:rPr>
          <w:rFonts w:ascii="Verdana" w:hAnsi="Verdana"/>
          <w:sz w:val="20"/>
          <w:szCs w:val="20"/>
          <w:lang w:val="es-ES"/>
        </w:rPr>
        <w:t xml:space="preserve"> Por otro lado, el Tribunal determinó que n</w:t>
      </w:r>
      <w:r w:rsidR="007E6BA9" w:rsidRPr="00DE5E39">
        <w:rPr>
          <w:rFonts w:ascii="Verdana" w:eastAsia="Times" w:hAnsi="Verdana"/>
          <w:sz w:val="20"/>
          <w:szCs w:val="20"/>
        </w:rPr>
        <w:t xml:space="preserve">o existen elementos suficientes para determinar la responsabilidad internacional del Estado </w:t>
      </w:r>
      <w:r w:rsidR="007E6BA9" w:rsidRPr="00DE5E39">
        <w:rPr>
          <w:rFonts w:ascii="Verdana" w:eastAsia="Batang" w:hAnsi="Verdana" w:cs="Times"/>
          <w:sz w:val="20"/>
          <w:szCs w:val="20"/>
        </w:rPr>
        <w:t xml:space="preserve">por la </w:t>
      </w:r>
      <w:r w:rsidR="007E6BA9" w:rsidRPr="00DE5E39">
        <w:rPr>
          <w:rFonts w:ascii="Verdana" w:eastAsia="Times" w:hAnsi="Verdana"/>
          <w:sz w:val="20"/>
          <w:szCs w:val="20"/>
        </w:rPr>
        <w:t>violación del derecho a la vida, reconocido en el artículo</w:t>
      </w:r>
      <w:r w:rsidR="007E6BA9" w:rsidRPr="00DE5E39">
        <w:rPr>
          <w:rFonts w:ascii="Verdana" w:eastAsia="Batang" w:hAnsi="Verdana" w:cs="Times"/>
          <w:sz w:val="20"/>
          <w:szCs w:val="20"/>
        </w:rPr>
        <w:t xml:space="preserve"> 4.1 de la </w:t>
      </w:r>
      <w:r w:rsidR="007E6BA9" w:rsidRPr="00DE5E39">
        <w:rPr>
          <w:rFonts w:ascii="Verdana" w:eastAsia="Times" w:hAnsi="Verdana"/>
          <w:sz w:val="20"/>
          <w:szCs w:val="20"/>
        </w:rPr>
        <w:t>Convención Americana, en relación con el artículo 1.1 de la misma, en perjuicio de</w:t>
      </w:r>
      <w:r w:rsidR="007E6BA9" w:rsidRPr="00DE5E39">
        <w:rPr>
          <w:rFonts w:ascii="Verdana" w:eastAsia="Batang" w:hAnsi="Verdana" w:cs="Times"/>
          <w:sz w:val="20"/>
          <w:szCs w:val="20"/>
        </w:rPr>
        <w:t xml:space="preserve"> </w:t>
      </w:r>
      <w:r w:rsidR="007E6BA9" w:rsidRPr="00DE5E39">
        <w:rPr>
          <w:rFonts w:ascii="Verdana" w:eastAsia="Times New Roman" w:hAnsi="Verdana"/>
          <w:sz w:val="20"/>
          <w:szCs w:val="20"/>
        </w:rPr>
        <w:t>Herma Luz Meléndez Cueva y Víctor Salomón Peceros Pedraza</w:t>
      </w:r>
      <w:r w:rsidR="007E6BA9">
        <w:rPr>
          <w:rFonts w:ascii="Verdana" w:eastAsia="Batang" w:hAnsi="Verdana" w:cs="Times"/>
          <w:sz w:val="20"/>
          <w:szCs w:val="20"/>
        </w:rPr>
        <w:t>.</w:t>
      </w:r>
    </w:p>
    <w:p w:rsidR="00A824B8" w:rsidRDefault="00A824B8" w:rsidP="00A824B8">
      <w:pPr>
        <w:pStyle w:val="ListParagraph"/>
        <w:spacing w:after="0" w:line="240" w:lineRule="auto"/>
        <w:ind w:left="0"/>
        <w:jc w:val="both"/>
        <w:rPr>
          <w:rFonts w:ascii="Verdana" w:eastAsia="Times" w:hAnsi="Verdana"/>
          <w:sz w:val="20"/>
          <w:szCs w:val="20"/>
        </w:rPr>
      </w:pPr>
    </w:p>
    <w:p w:rsidR="00C00C60" w:rsidRPr="00772F06" w:rsidRDefault="00455538" w:rsidP="00C00C60">
      <w:pPr>
        <w:tabs>
          <w:tab w:val="left" w:pos="720"/>
          <w:tab w:val="num" w:pos="1569"/>
          <w:tab w:val="num" w:pos="5057"/>
        </w:tabs>
        <w:spacing w:after="0" w:line="240" w:lineRule="auto"/>
        <w:ind w:right="-90"/>
        <w:jc w:val="both"/>
        <w:rPr>
          <w:rFonts w:ascii="Verdana" w:hAnsi="Verdana"/>
          <w:sz w:val="20"/>
          <w:szCs w:val="20"/>
        </w:rPr>
      </w:pPr>
      <w:r w:rsidRPr="00455538">
        <w:rPr>
          <w:rFonts w:ascii="Verdana" w:hAnsi="Verdana"/>
          <w:sz w:val="20"/>
          <w:szCs w:val="20"/>
        </w:rPr>
        <w:t xml:space="preserve">El presente caso </w:t>
      </w:r>
      <w:r w:rsidR="00A2113D" w:rsidRPr="002828FF">
        <w:rPr>
          <w:rFonts w:ascii="Verdana" w:hAnsi="Verdana"/>
          <w:sz w:val="20"/>
          <w:szCs w:val="20"/>
        </w:rPr>
        <w:t xml:space="preserve">no se refiere a la inocencia o culpabilidad de los integrantes del comando “Chavín de Huántar” o de las fuerzas de seguridad que participaron en la operación de rescate de rehenes, ni tampoco de los </w:t>
      </w:r>
      <w:r w:rsidR="00A2113D">
        <w:rPr>
          <w:rFonts w:ascii="Verdana" w:hAnsi="Verdana"/>
          <w:sz w:val="20"/>
          <w:szCs w:val="20"/>
        </w:rPr>
        <w:t>miembros</w:t>
      </w:r>
      <w:r w:rsidR="00A2113D" w:rsidRPr="002828FF">
        <w:rPr>
          <w:rFonts w:ascii="Verdana" w:hAnsi="Verdana"/>
          <w:sz w:val="20"/>
          <w:szCs w:val="20"/>
        </w:rPr>
        <w:t xml:space="preserve"> del </w:t>
      </w:r>
      <w:r w:rsidR="001F7AD3" w:rsidRPr="00DE5E39">
        <w:rPr>
          <w:rFonts w:ascii="Verdana" w:hAnsi="Verdana"/>
          <w:sz w:val="20"/>
        </w:rPr>
        <w:t>Movimiento Revolucionario Túpac Amaru (“MRTA”)</w:t>
      </w:r>
      <w:r w:rsidR="00A2113D" w:rsidRPr="00DE5E39">
        <w:rPr>
          <w:rFonts w:ascii="Verdana" w:hAnsi="Verdana"/>
          <w:sz w:val="20"/>
          <w:szCs w:val="20"/>
        </w:rPr>
        <w:t xml:space="preserve">. El presente caso versa sobre la conformidad o no de los actos estatales con la Convención Americana en cuanto a si existió o no ejecución extrajudicial en el marco de la operación de rescate de rehenes en dos momentos temporales diversos y en distintos ámbitos físicos: por un lado, respecto de Eduardo Nicolás Cruz Sánchez y, por el otro, respecto de Herma Luz Meléndez Cueva y Víctor Salomón Peceros Pedraza. En efecto, la responsabilidad internacional del Estado se funda en actos u omisiones de cualquier poder u órgano de éste, independientemente de su jerarquía, que violen la Convención Americana. Es un principio de Derecho Internacional que el Estado responde por los </w:t>
      </w:r>
      <w:r w:rsidR="00A2113D" w:rsidRPr="00DE5E39">
        <w:rPr>
          <w:rFonts w:ascii="Verdana" w:hAnsi="Verdana"/>
          <w:sz w:val="20"/>
          <w:szCs w:val="20"/>
        </w:rPr>
        <w:lastRenderedPageBreak/>
        <w:t>actos y omisiones de sus agentes realizados al amparo de su carácter oficial, aun si actúan fuera de los límites de su competencia</w:t>
      </w:r>
      <w:r w:rsidR="00C00C60" w:rsidRPr="00772F06">
        <w:rPr>
          <w:rFonts w:ascii="Verdana" w:hAnsi="Verdana"/>
          <w:sz w:val="20"/>
          <w:szCs w:val="20"/>
        </w:rPr>
        <w:t>.</w:t>
      </w:r>
    </w:p>
    <w:p w:rsidR="00C00C60" w:rsidRDefault="00C00C60" w:rsidP="00A824B8">
      <w:pPr>
        <w:pStyle w:val="ListParagraph"/>
        <w:spacing w:after="0" w:line="240" w:lineRule="auto"/>
        <w:ind w:left="0"/>
        <w:jc w:val="both"/>
        <w:rPr>
          <w:rFonts w:ascii="Verdana" w:eastAsia="Times" w:hAnsi="Verdana"/>
          <w:sz w:val="20"/>
          <w:szCs w:val="20"/>
        </w:rPr>
      </w:pPr>
    </w:p>
    <w:p w:rsidR="00A824B8" w:rsidRDefault="00A824B8" w:rsidP="00A824B8">
      <w:pPr>
        <w:pStyle w:val="ListParagraph"/>
        <w:spacing w:after="0" w:line="240" w:lineRule="auto"/>
        <w:ind w:left="708"/>
        <w:jc w:val="both"/>
        <w:rPr>
          <w:rFonts w:ascii="Verdana" w:eastAsia="Times" w:hAnsi="Verdana"/>
          <w:b/>
          <w:sz w:val="20"/>
          <w:szCs w:val="20"/>
        </w:rPr>
      </w:pPr>
      <w:r w:rsidRPr="00A824B8">
        <w:rPr>
          <w:rFonts w:ascii="Verdana" w:eastAsia="Times" w:hAnsi="Verdana"/>
          <w:b/>
          <w:sz w:val="20"/>
          <w:szCs w:val="20"/>
        </w:rPr>
        <w:t>I. Hechos</w:t>
      </w:r>
    </w:p>
    <w:p w:rsidR="00A824B8" w:rsidRPr="00C14399" w:rsidRDefault="00A824B8" w:rsidP="00C14399">
      <w:pPr>
        <w:spacing w:after="0" w:line="240" w:lineRule="auto"/>
        <w:jc w:val="both"/>
        <w:rPr>
          <w:rFonts w:ascii="Verdana" w:eastAsia="Times" w:hAnsi="Verdana"/>
          <w:sz w:val="20"/>
          <w:szCs w:val="20"/>
        </w:rPr>
      </w:pPr>
    </w:p>
    <w:p w:rsidR="00C14399" w:rsidRPr="00C14399" w:rsidRDefault="00C14399" w:rsidP="00C14399">
      <w:pPr>
        <w:spacing w:after="0" w:line="240" w:lineRule="auto"/>
        <w:jc w:val="both"/>
        <w:rPr>
          <w:rFonts w:ascii="Verdana" w:eastAsia="Times" w:hAnsi="Verdana"/>
          <w:sz w:val="20"/>
          <w:szCs w:val="20"/>
        </w:rPr>
      </w:pPr>
      <w:r w:rsidRPr="00C14399">
        <w:rPr>
          <w:rFonts w:ascii="Verdana" w:eastAsia="Times" w:hAnsi="Verdana"/>
          <w:sz w:val="20"/>
          <w:szCs w:val="20"/>
        </w:rPr>
        <w:t xml:space="preserve">Desde comienzos de la década de los ochenta hasta finales del año 2000, se vivió en el Perú un conflicto entre grupos armados y agentes de las fuerzas policiales y militares. </w:t>
      </w:r>
      <w:r>
        <w:rPr>
          <w:rFonts w:ascii="Verdana" w:eastAsia="Times" w:hAnsi="Verdana"/>
          <w:sz w:val="20"/>
          <w:szCs w:val="20"/>
        </w:rPr>
        <w:t>E</w:t>
      </w:r>
      <w:r w:rsidRPr="00C14399">
        <w:rPr>
          <w:rFonts w:ascii="Verdana" w:eastAsia="Times" w:hAnsi="Verdana"/>
          <w:sz w:val="20"/>
          <w:szCs w:val="20"/>
        </w:rPr>
        <w:t>ntre los grupos armados del conflicto se encontraba el Partido Comunista del Perú-Sendero Luminoso y el Movimiento Revolucionario Túpac Amaru (“MRTA”).</w:t>
      </w:r>
    </w:p>
    <w:p w:rsidR="00C14399" w:rsidRDefault="00C14399" w:rsidP="00C14399">
      <w:pPr>
        <w:spacing w:after="0" w:line="240" w:lineRule="auto"/>
        <w:jc w:val="both"/>
        <w:rPr>
          <w:rFonts w:ascii="Verdana" w:eastAsia="Times" w:hAnsi="Verdana"/>
          <w:sz w:val="20"/>
          <w:szCs w:val="20"/>
        </w:rPr>
      </w:pPr>
    </w:p>
    <w:p w:rsidR="00C14399" w:rsidRDefault="00C14399" w:rsidP="00C14399">
      <w:pPr>
        <w:spacing w:after="0" w:line="240" w:lineRule="auto"/>
        <w:jc w:val="both"/>
        <w:rPr>
          <w:rFonts w:ascii="Verdana" w:eastAsia="Times" w:hAnsi="Verdana"/>
          <w:sz w:val="20"/>
          <w:szCs w:val="20"/>
        </w:rPr>
      </w:pPr>
      <w:r w:rsidRPr="00C14399">
        <w:rPr>
          <w:rFonts w:ascii="Verdana" w:eastAsia="Times" w:hAnsi="Verdana"/>
          <w:sz w:val="20"/>
          <w:szCs w:val="20"/>
        </w:rPr>
        <w:t xml:space="preserve">En la noche del 17 de diciembre de 1996 se conmemoraba el aniversario del natalicio del Emperador japonés Akihito con una </w:t>
      </w:r>
      <w:r w:rsidR="005C3D69">
        <w:rPr>
          <w:rFonts w:ascii="Verdana" w:eastAsia="Times" w:hAnsi="Verdana"/>
          <w:sz w:val="20"/>
          <w:szCs w:val="20"/>
        </w:rPr>
        <w:t>recepción</w:t>
      </w:r>
      <w:r w:rsidRPr="00C14399">
        <w:rPr>
          <w:rFonts w:ascii="Verdana" w:eastAsia="Times" w:hAnsi="Verdana"/>
          <w:sz w:val="20"/>
          <w:szCs w:val="20"/>
        </w:rPr>
        <w:t xml:space="preserve"> en la residencia del Embajador de Japón en </w:t>
      </w:r>
      <w:r w:rsidR="000D5539">
        <w:rPr>
          <w:rFonts w:ascii="Verdana" w:eastAsia="Times" w:hAnsi="Verdana"/>
          <w:sz w:val="20"/>
          <w:szCs w:val="20"/>
        </w:rPr>
        <w:t xml:space="preserve">el </w:t>
      </w:r>
      <w:r w:rsidRPr="00C14399">
        <w:rPr>
          <w:rFonts w:ascii="Verdana" w:eastAsia="Times" w:hAnsi="Verdana"/>
          <w:sz w:val="20"/>
          <w:szCs w:val="20"/>
        </w:rPr>
        <w:t>Perú, situada en el distrito limeño de San Isidro. Asistían aproximadamente seiscientas personas.</w:t>
      </w:r>
      <w:r>
        <w:rPr>
          <w:rFonts w:ascii="Verdana" w:eastAsia="Times" w:hAnsi="Verdana"/>
          <w:sz w:val="20"/>
          <w:szCs w:val="20"/>
        </w:rPr>
        <w:t xml:space="preserve"> </w:t>
      </w:r>
      <w:r w:rsidRPr="00C14399">
        <w:rPr>
          <w:rFonts w:ascii="Verdana" w:eastAsia="Times" w:hAnsi="Verdana"/>
          <w:sz w:val="20"/>
          <w:szCs w:val="20"/>
        </w:rPr>
        <w:t xml:space="preserve">Mientras transcurría la reunión, catorce miembros del MRTA descendieron de una ambulancia con los distintivos de “Alerta Médica”, estacionada frente a un </w:t>
      </w:r>
      <w:r w:rsidR="00B83524">
        <w:rPr>
          <w:rFonts w:ascii="Verdana" w:eastAsia="Times" w:hAnsi="Verdana"/>
          <w:sz w:val="20"/>
          <w:szCs w:val="20"/>
        </w:rPr>
        <w:t>inmueble</w:t>
      </w:r>
      <w:r w:rsidRPr="00C14399">
        <w:rPr>
          <w:rFonts w:ascii="Verdana" w:eastAsia="Times" w:hAnsi="Verdana"/>
          <w:sz w:val="20"/>
          <w:szCs w:val="20"/>
        </w:rPr>
        <w:t xml:space="preserve"> colindante con la residencia </w:t>
      </w:r>
      <w:r w:rsidR="00B83524" w:rsidRPr="00C14399">
        <w:rPr>
          <w:rFonts w:ascii="Verdana" w:eastAsia="Times" w:hAnsi="Verdana"/>
          <w:sz w:val="20"/>
          <w:szCs w:val="20"/>
        </w:rPr>
        <w:t>del Embajador de Japón</w:t>
      </w:r>
      <w:r>
        <w:rPr>
          <w:rFonts w:ascii="Verdana" w:eastAsia="Times" w:hAnsi="Verdana"/>
          <w:sz w:val="20"/>
          <w:szCs w:val="20"/>
        </w:rPr>
        <w:t xml:space="preserve">, </w:t>
      </w:r>
      <w:r w:rsidRPr="00772F06">
        <w:rPr>
          <w:rFonts w:ascii="Verdana" w:hAnsi="Verdana"/>
          <w:sz w:val="20"/>
          <w:szCs w:val="20"/>
        </w:rPr>
        <w:t>ingresaron a</w:t>
      </w:r>
      <w:r w:rsidR="005C3D69">
        <w:rPr>
          <w:rFonts w:ascii="Verdana" w:hAnsi="Verdana"/>
          <w:sz w:val="20"/>
          <w:szCs w:val="20"/>
        </w:rPr>
        <w:t>l mismo</w:t>
      </w:r>
      <w:r w:rsidRPr="00772F06">
        <w:rPr>
          <w:rFonts w:ascii="Verdana" w:hAnsi="Verdana"/>
          <w:sz w:val="20"/>
          <w:szCs w:val="20"/>
        </w:rPr>
        <w:t xml:space="preserve"> y, a través de un hueco que abrieron en la pared mediante cargas explosivas, entraron en la residencia, redujeron al personal de seguridad y tomaron como rehenes a todos los invitados</w:t>
      </w:r>
      <w:r w:rsidRPr="00C14399">
        <w:rPr>
          <w:rFonts w:ascii="Verdana" w:eastAsia="Times" w:hAnsi="Verdana"/>
          <w:sz w:val="20"/>
          <w:szCs w:val="20"/>
        </w:rPr>
        <w:t>.</w:t>
      </w:r>
    </w:p>
    <w:p w:rsidR="00C14399" w:rsidRDefault="00C14399" w:rsidP="00C14399">
      <w:pPr>
        <w:spacing w:after="0" w:line="240" w:lineRule="auto"/>
        <w:jc w:val="both"/>
        <w:rPr>
          <w:rFonts w:ascii="Verdana" w:eastAsia="Times" w:hAnsi="Verdana"/>
          <w:sz w:val="20"/>
          <w:szCs w:val="20"/>
        </w:rPr>
      </w:pPr>
    </w:p>
    <w:p w:rsidR="00E13273" w:rsidRDefault="00E13273" w:rsidP="00C14399">
      <w:pPr>
        <w:spacing w:after="0" w:line="240" w:lineRule="auto"/>
        <w:jc w:val="both"/>
        <w:rPr>
          <w:rFonts w:ascii="Verdana" w:eastAsia="Times" w:hAnsi="Verdana"/>
          <w:sz w:val="20"/>
          <w:szCs w:val="20"/>
        </w:rPr>
      </w:pPr>
      <w:r w:rsidRPr="00E13273">
        <w:rPr>
          <w:rFonts w:ascii="Verdana" w:eastAsia="Times" w:hAnsi="Verdana"/>
          <w:sz w:val="20"/>
          <w:szCs w:val="20"/>
        </w:rPr>
        <w:t>Entre el 17 de diciembre de 1996 y enero de 1997 los emerretistas liberaron a la mayoría de los rehenes, quedando en la residencia 72 personas. Durante el período comprendido entre dicha última fecha hasta la ejecución de la operación de rescate el 22 de abril de 1997 hubo diversas negociaciones entre el gobierno y los emerretistas</w:t>
      </w:r>
      <w:r>
        <w:rPr>
          <w:rFonts w:ascii="Verdana" w:eastAsia="Times" w:hAnsi="Verdana"/>
          <w:sz w:val="20"/>
          <w:szCs w:val="20"/>
        </w:rPr>
        <w:t>.</w:t>
      </w:r>
    </w:p>
    <w:p w:rsidR="00E13273" w:rsidRDefault="00E13273" w:rsidP="00C14399">
      <w:pPr>
        <w:spacing w:after="0" w:line="240" w:lineRule="auto"/>
        <w:jc w:val="both"/>
        <w:rPr>
          <w:rFonts w:ascii="Verdana" w:eastAsia="Times" w:hAnsi="Verdana"/>
          <w:sz w:val="20"/>
          <w:szCs w:val="20"/>
        </w:rPr>
      </w:pPr>
    </w:p>
    <w:p w:rsidR="00E13273" w:rsidRDefault="00E13273" w:rsidP="00C14399">
      <w:pPr>
        <w:spacing w:after="0" w:line="240" w:lineRule="auto"/>
        <w:jc w:val="both"/>
        <w:rPr>
          <w:rFonts w:ascii="Verdana" w:eastAsia="Times" w:hAnsi="Verdana"/>
          <w:sz w:val="20"/>
          <w:szCs w:val="20"/>
        </w:rPr>
      </w:pPr>
      <w:r w:rsidRPr="00772F06">
        <w:rPr>
          <w:rFonts w:ascii="Verdana" w:hAnsi="Verdana"/>
          <w:sz w:val="20"/>
          <w:szCs w:val="20"/>
        </w:rPr>
        <w:t>Paralelamente al proceso de negociaciones, el Presidente Fujimori Fujimori ordenó la elaboración de un plan de rescate de los rehenes que integrara a las Fuerzas Armadas y al Servicio de Inteligencia Nacional</w:t>
      </w:r>
      <w:r>
        <w:rPr>
          <w:rFonts w:ascii="Verdana" w:hAnsi="Verdana"/>
          <w:sz w:val="20"/>
          <w:szCs w:val="20"/>
        </w:rPr>
        <w:t xml:space="preserve">. </w:t>
      </w:r>
      <w:r w:rsidR="007761FE" w:rsidRPr="00772F06">
        <w:rPr>
          <w:rFonts w:ascii="Verdana" w:hAnsi="Verdana"/>
          <w:sz w:val="20"/>
          <w:szCs w:val="20"/>
        </w:rPr>
        <w:t>El Plan de Operaciones, redactado en enero de 1997, recibió el nombre de “Nipón 96”. Esta operación de rescate sería conocida más tarde como “Chavín de Huántar”.</w:t>
      </w:r>
      <w:r w:rsidR="007761FE">
        <w:rPr>
          <w:rFonts w:ascii="Verdana" w:hAnsi="Verdana"/>
          <w:sz w:val="20"/>
          <w:szCs w:val="20"/>
        </w:rPr>
        <w:t xml:space="preserve"> </w:t>
      </w:r>
      <w:r w:rsidRPr="00E13273">
        <w:rPr>
          <w:rFonts w:ascii="Verdana" w:hAnsi="Verdana"/>
          <w:sz w:val="20"/>
          <w:szCs w:val="20"/>
        </w:rPr>
        <w:t>El objetivo del “Plan de Operaciones Nipón 96” era dominar el inmueble para “capturar o eliminar a los terroristas del MRTA y rescatar a los rehenes, a fin de establecer el estado de derecho y contribuir a la consolidación de la pacificación nacional”. Para ello, según el Plan, se debían disponer “medidas y acciones destinadas a prevenir o neutralizar acciones terroristas […] y no deber[ía] cometerse ningún tipo de excesos, manteniendo un irrestricto respeto a los [derechos humanos], sin que esto signifi[cara] dejar de actuar con energía”.</w:t>
      </w:r>
    </w:p>
    <w:p w:rsidR="00E13273" w:rsidRDefault="00E13273" w:rsidP="00C14399">
      <w:pPr>
        <w:spacing w:after="0" w:line="240" w:lineRule="auto"/>
        <w:jc w:val="both"/>
        <w:rPr>
          <w:rFonts w:ascii="Verdana" w:eastAsia="Times" w:hAnsi="Verdana"/>
          <w:sz w:val="20"/>
          <w:szCs w:val="20"/>
        </w:rPr>
      </w:pPr>
    </w:p>
    <w:p w:rsidR="00A2113D" w:rsidRDefault="00E13273" w:rsidP="00C14399">
      <w:pPr>
        <w:spacing w:after="0" w:line="240" w:lineRule="auto"/>
        <w:jc w:val="both"/>
        <w:rPr>
          <w:rFonts w:ascii="Verdana" w:hAnsi="Verdana"/>
          <w:sz w:val="20"/>
          <w:szCs w:val="20"/>
        </w:rPr>
      </w:pPr>
      <w:r w:rsidRPr="00E13273">
        <w:rPr>
          <w:rFonts w:ascii="Verdana" w:eastAsia="Times" w:hAnsi="Verdana"/>
          <w:sz w:val="20"/>
          <w:szCs w:val="20"/>
        </w:rPr>
        <w:t>El 22 de abril de 1997 el Presidente de la República ordenó dar inicio a la operación</w:t>
      </w:r>
      <w:r>
        <w:rPr>
          <w:rFonts w:ascii="Verdana" w:eastAsia="Times" w:hAnsi="Verdana"/>
          <w:sz w:val="20"/>
          <w:szCs w:val="20"/>
        </w:rPr>
        <w:t xml:space="preserve"> de rescate “Chavín de Huántar”</w:t>
      </w:r>
      <w:r w:rsidRPr="00E13273">
        <w:rPr>
          <w:rFonts w:ascii="Verdana" w:eastAsia="Times" w:hAnsi="Verdana"/>
          <w:sz w:val="20"/>
          <w:szCs w:val="20"/>
        </w:rPr>
        <w:t>, la cual se inició a las 15:23 horas de dicho día</w:t>
      </w:r>
      <w:r w:rsidR="00007652">
        <w:rPr>
          <w:rFonts w:ascii="Verdana" w:eastAsia="Times" w:hAnsi="Verdana"/>
          <w:sz w:val="20"/>
          <w:szCs w:val="20"/>
        </w:rPr>
        <w:t>,</w:t>
      </w:r>
      <w:r>
        <w:rPr>
          <w:rFonts w:ascii="Verdana" w:eastAsia="Times" w:hAnsi="Verdana"/>
          <w:sz w:val="20"/>
          <w:szCs w:val="20"/>
        </w:rPr>
        <w:t xml:space="preserve"> </w:t>
      </w:r>
      <w:r w:rsidRPr="00772F06">
        <w:rPr>
          <w:rFonts w:ascii="Verdana" w:hAnsi="Verdana"/>
          <w:sz w:val="20"/>
          <w:szCs w:val="20"/>
        </w:rPr>
        <w:t xml:space="preserve">con </w:t>
      </w:r>
      <w:r w:rsidRPr="00FE6EA5">
        <w:rPr>
          <w:rFonts w:ascii="Verdana" w:hAnsi="Verdana"/>
          <w:sz w:val="20"/>
          <w:szCs w:val="20"/>
        </w:rPr>
        <w:t>varias explosiones subterráneas, tras las cuales alrededor de 80 comandos integrados en los diferen</w:t>
      </w:r>
      <w:r w:rsidRPr="00772F06">
        <w:rPr>
          <w:rFonts w:ascii="Verdana" w:hAnsi="Verdana"/>
          <w:sz w:val="20"/>
          <w:szCs w:val="20"/>
        </w:rPr>
        <w:t>tes grupos</w:t>
      </w:r>
      <w:r>
        <w:rPr>
          <w:rFonts w:ascii="Verdana" w:hAnsi="Verdana"/>
          <w:sz w:val="20"/>
          <w:szCs w:val="20"/>
        </w:rPr>
        <w:t xml:space="preserve"> de asalto</w:t>
      </w:r>
      <w:r w:rsidRPr="00772F06">
        <w:rPr>
          <w:rFonts w:ascii="Verdana" w:hAnsi="Verdana"/>
          <w:sz w:val="20"/>
          <w:szCs w:val="20"/>
        </w:rPr>
        <w:t xml:space="preserve"> ingresaron a la residencia del Embajador por los accesos previstos en las puertas y paredes</w:t>
      </w:r>
      <w:r>
        <w:rPr>
          <w:rFonts w:ascii="Verdana" w:hAnsi="Verdana"/>
          <w:sz w:val="20"/>
          <w:szCs w:val="20"/>
        </w:rPr>
        <w:t>.</w:t>
      </w:r>
      <w:r w:rsidR="00D61BEF">
        <w:rPr>
          <w:rFonts w:ascii="Verdana" w:hAnsi="Verdana"/>
          <w:sz w:val="20"/>
          <w:szCs w:val="20"/>
        </w:rPr>
        <w:t xml:space="preserve"> </w:t>
      </w:r>
      <w:r w:rsidR="00A2113D" w:rsidRPr="00DE5E39">
        <w:rPr>
          <w:rFonts w:ascii="Verdana" w:hAnsi="Verdana"/>
          <w:sz w:val="20"/>
          <w:szCs w:val="20"/>
        </w:rPr>
        <w:t>La técnica utilizada por los comandos fue la de dominación de inmuebles y rescate de rehenes consistente en el ingreso por parejas en un recinto cerrado y registro progresivo de los ambientes hasta obtener el control del mismo, utilizando el “tiro instintivo selectivo” (TIS)</w:t>
      </w:r>
      <w:r w:rsidR="00A2113D">
        <w:rPr>
          <w:rFonts w:ascii="Verdana" w:hAnsi="Verdana"/>
          <w:sz w:val="20"/>
          <w:szCs w:val="20"/>
        </w:rPr>
        <w:t>.</w:t>
      </w:r>
    </w:p>
    <w:p w:rsidR="00E13273" w:rsidRDefault="00E13273" w:rsidP="00C14399">
      <w:pPr>
        <w:spacing w:after="0" w:line="240" w:lineRule="auto"/>
        <w:jc w:val="both"/>
        <w:rPr>
          <w:rFonts w:ascii="Verdana" w:hAnsi="Verdana"/>
          <w:sz w:val="20"/>
          <w:szCs w:val="20"/>
        </w:rPr>
      </w:pPr>
    </w:p>
    <w:p w:rsidR="00E13273" w:rsidRPr="00E13273" w:rsidRDefault="00E13273" w:rsidP="00E13273">
      <w:pPr>
        <w:spacing w:after="0" w:line="240" w:lineRule="auto"/>
        <w:jc w:val="both"/>
        <w:rPr>
          <w:rFonts w:ascii="Verdana" w:eastAsia="Times" w:hAnsi="Verdana"/>
          <w:sz w:val="20"/>
          <w:szCs w:val="20"/>
        </w:rPr>
      </w:pPr>
      <w:r w:rsidRPr="00E13273">
        <w:rPr>
          <w:rFonts w:ascii="Verdana" w:eastAsia="Times" w:hAnsi="Verdana"/>
          <w:sz w:val="20"/>
          <w:szCs w:val="20"/>
        </w:rPr>
        <w:t xml:space="preserve">La operación de rescate logró la liberación de </w:t>
      </w:r>
      <w:r w:rsidR="000D5539">
        <w:rPr>
          <w:rFonts w:ascii="Verdana" w:eastAsia="Times" w:hAnsi="Verdana"/>
          <w:sz w:val="20"/>
          <w:szCs w:val="20"/>
        </w:rPr>
        <w:t>los</w:t>
      </w:r>
      <w:r w:rsidRPr="00E13273">
        <w:rPr>
          <w:rFonts w:ascii="Verdana" w:eastAsia="Times" w:hAnsi="Verdana"/>
          <w:sz w:val="20"/>
          <w:szCs w:val="20"/>
        </w:rPr>
        <w:t xml:space="preserve"> rehenes. Perdió la vida el rehén y entonces magistrado Carlos Ernesto Giusti Acuña. También perdieron la vida los comandos Teniente EP Raúl Gustavo Jiménez Chávez y Teniente Coronel EP Juan Alfonso Valer Sandoval, </w:t>
      </w:r>
      <w:r w:rsidR="00CD4EEA">
        <w:rPr>
          <w:rFonts w:ascii="Verdana" w:eastAsia="Times" w:hAnsi="Verdana"/>
          <w:sz w:val="20"/>
          <w:szCs w:val="20"/>
        </w:rPr>
        <w:t>y los catorce miembros del MRTA</w:t>
      </w:r>
      <w:r w:rsidRPr="00E13273">
        <w:rPr>
          <w:rFonts w:ascii="Verdana" w:eastAsia="Times" w:hAnsi="Verdana"/>
          <w:sz w:val="20"/>
          <w:szCs w:val="20"/>
        </w:rPr>
        <w:t>. Además, resultaron varios heridos entre rehenes y funcionarios estatales.</w:t>
      </w:r>
    </w:p>
    <w:p w:rsidR="00E13273" w:rsidRDefault="00E13273" w:rsidP="00E13273">
      <w:pPr>
        <w:spacing w:after="0" w:line="240" w:lineRule="auto"/>
        <w:jc w:val="both"/>
        <w:rPr>
          <w:rFonts w:ascii="Verdana" w:eastAsia="Times" w:hAnsi="Verdana"/>
          <w:sz w:val="20"/>
          <w:szCs w:val="20"/>
        </w:rPr>
      </w:pPr>
    </w:p>
    <w:p w:rsidR="00E13273" w:rsidRDefault="00E13273" w:rsidP="00E13273">
      <w:pPr>
        <w:spacing w:after="0" w:line="240" w:lineRule="auto"/>
        <w:jc w:val="both"/>
        <w:rPr>
          <w:rFonts w:ascii="Verdana" w:hAnsi="Verdana"/>
          <w:sz w:val="20"/>
          <w:szCs w:val="20"/>
        </w:rPr>
      </w:pPr>
      <w:r w:rsidRPr="00772F06">
        <w:rPr>
          <w:rFonts w:ascii="Verdana" w:hAnsi="Verdana"/>
          <w:sz w:val="20"/>
          <w:szCs w:val="20"/>
        </w:rPr>
        <w:t>Concluida la operación de rescate, se hizo presente en el lugar el Presidente Fujimori Fujimori. Asimismo, las autoridades militares, los miembros del S</w:t>
      </w:r>
      <w:r>
        <w:rPr>
          <w:rFonts w:ascii="Verdana" w:hAnsi="Verdana"/>
          <w:sz w:val="20"/>
          <w:szCs w:val="20"/>
        </w:rPr>
        <w:t xml:space="preserve">ervicio de </w:t>
      </w:r>
      <w:r w:rsidRPr="00772F06">
        <w:rPr>
          <w:rFonts w:ascii="Verdana" w:hAnsi="Verdana"/>
          <w:sz w:val="20"/>
          <w:szCs w:val="20"/>
        </w:rPr>
        <w:t>I</w:t>
      </w:r>
      <w:r>
        <w:rPr>
          <w:rFonts w:ascii="Verdana" w:hAnsi="Verdana"/>
          <w:sz w:val="20"/>
          <w:szCs w:val="20"/>
        </w:rPr>
        <w:t xml:space="preserve">nteligencia </w:t>
      </w:r>
      <w:r w:rsidRPr="00772F06">
        <w:rPr>
          <w:rFonts w:ascii="Verdana" w:hAnsi="Verdana"/>
          <w:sz w:val="20"/>
          <w:szCs w:val="20"/>
        </w:rPr>
        <w:t>N</w:t>
      </w:r>
      <w:r>
        <w:rPr>
          <w:rFonts w:ascii="Verdana" w:hAnsi="Verdana"/>
          <w:sz w:val="20"/>
          <w:szCs w:val="20"/>
        </w:rPr>
        <w:t>acional</w:t>
      </w:r>
      <w:r w:rsidRPr="00772F06">
        <w:rPr>
          <w:rFonts w:ascii="Verdana" w:hAnsi="Verdana"/>
          <w:sz w:val="20"/>
          <w:szCs w:val="20"/>
        </w:rPr>
        <w:t xml:space="preserve"> y los funcionarios nombrados por el Consejo Sup</w:t>
      </w:r>
      <w:r w:rsidR="002759D1">
        <w:rPr>
          <w:rFonts w:ascii="Verdana" w:hAnsi="Verdana"/>
          <w:sz w:val="20"/>
          <w:szCs w:val="20"/>
        </w:rPr>
        <w:t>remo</w:t>
      </w:r>
      <w:r w:rsidRPr="00772F06">
        <w:rPr>
          <w:rFonts w:ascii="Verdana" w:hAnsi="Verdana"/>
          <w:sz w:val="20"/>
          <w:szCs w:val="20"/>
        </w:rPr>
        <w:t xml:space="preserve"> de Justicia Militar se encargaron de efectuar las acciones subsiguientes al operativo</w:t>
      </w:r>
      <w:r>
        <w:rPr>
          <w:rFonts w:ascii="Verdana" w:hAnsi="Verdana"/>
          <w:sz w:val="20"/>
          <w:szCs w:val="20"/>
        </w:rPr>
        <w:t>.</w:t>
      </w:r>
    </w:p>
    <w:p w:rsidR="00E13273" w:rsidRPr="00E13273" w:rsidRDefault="00E13273" w:rsidP="00E13273">
      <w:pPr>
        <w:spacing w:after="0" w:line="240" w:lineRule="auto"/>
        <w:jc w:val="both"/>
        <w:rPr>
          <w:rFonts w:ascii="Verdana" w:eastAsia="Times" w:hAnsi="Verdana"/>
          <w:sz w:val="20"/>
          <w:szCs w:val="20"/>
        </w:rPr>
      </w:pPr>
    </w:p>
    <w:p w:rsidR="00E13273" w:rsidRPr="00C14399" w:rsidRDefault="002363B0" w:rsidP="00E13273">
      <w:pPr>
        <w:spacing w:after="0" w:line="240" w:lineRule="auto"/>
        <w:jc w:val="both"/>
        <w:rPr>
          <w:rFonts w:ascii="Verdana" w:eastAsia="Times" w:hAnsi="Verdana"/>
          <w:sz w:val="20"/>
          <w:szCs w:val="20"/>
        </w:rPr>
      </w:pPr>
      <w:r w:rsidRPr="00DE5E39">
        <w:rPr>
          <w:rFonts w:ascii="Verdana" w:hAnsi="Verdana"/>
          <w:sz w:val="20"/>
          <w:szCs w:val="20"/>
        </w:rPr>
        <w:lastRenderedPageBreak/>
        <w:t xml:space="preserve">Según el informe que confeccionó </w:t>
      </w:r>
      <w:r w:rsidR="00D023FD">
        <w:rPr>
          <w:rFonts w:ascii="Verdana" w:hAnsi="Verdana"/>
          <w:sz w:val="20"/>
          <w:szCs w:val="20"/>
        </w:rPr>
        <w:t xml:space="preserve">el </w:t>
      </w:r>
      <w:r w:rsidR="00D023FD" w:rsidRPr="00D023FD">
        <w:rPr>
          <w:rFonts w:ascii="Verdana" w:hAnsi="Verdana"/>
          <w:sz w:val="20"/>
          <w:szCs w:val="20"/>
        </w:rPr>
        <w:t xml:space="preserve">Comandante General de la </w:t>
      </w:r>
      <w:r w:rsidR="009632C6" w:rsidRPr="00DE5E39">
        <w:rPr>
          <w:rFonts w:ascii="Verdana" w:hAnsi="Verdana"/>
          <w:sz w:val="20"/>
          <w:szCs w:val="20"/>
        </w:rPr>
        <w:t>Primera</w:t>
      </w:r>
      <w:r w:rsidR="00D023FD" w:rsidRPr="00D023FD">
        <w:rPr>
          <w:rFonts w:ascii="Verdana" w:hAnsi="Verdana"/>
          <w:sz w:val="20"/>
          <w:szCs w:val="20"/>
        </w:rPr>
        <w:t xml:space="preserve"> División de las Fuerzas Especiales </w:t>
      </w:r>
      <w:r w:rsidRPr="00DE5E39">
        <w:rPr>
          <w:rFonts w:ascii="Verdana" w:hAnsi="Verdana"/>
          <w:sz w:val="20"/>
          <w:szCs w:val="20"/>
        </w:rPr>
        <w:t>luego de finalizado el operativo, los catorce emerretistas habrían muerto durante el enfrentamiento con los efectivos militares</w:t>
      </w:r>
      <w:r>
        <w:rPr>
          <w:rFonts w:ascii="Verdana" w:hAnsi="Verdana"/>
          <w:sz w:val="20"/>
          <w:szCs w:val="20"/>
        </w:rPr>
        <w:t>.</w:t>
      </w:r>
      <w:r w:rsidRPr="00DE5E39">
        <w:rPr>
          <w:rFonts w:ascii="Verdana" w:hAnsi="Verdana"/>
          <w:sz w:val="20"/>
          <w:szCs w:val="20"/>
        </w:rPr>
        <w:t xml:space="preserve"> Sin embargo, a partir de unas declaraciones a la prensa en diciembre de 2000 y una carta remitida posteriormente al Poder Judicial en el año 2001 por el </w:t>
      </w:r>
      <w:r>
        <w:rPr>
          <w:rFonts w:ascii="Verdana" w:hAnsi="Verdana"/>
          <w:sz w:val="20"/>
          <w:szCs w:val="20"/>
        </w:rPr>
        <w:t>ex rehén</w:t>
      </w:r>
      <w:r w:rsidRPr="00DE5E39">
        <w:rPr>
          <w:rFonts w:ascii="Verdana" w:hAnsi="Verdana"/>
          <w:sz w:val="20"/>
          <w:szCs w:val="20"/>
        </w:rPr>
        <w:t xml:space="preserve"> Hidetaka Ogura, quien al momento de la toma de la residencia del Embajador de Japón por el MRTA fungía como Primer Secretario de la Embajada de Japón en el Perú, se presentaron dudas sobre las circunstancias en que murieron los emerretistas Eduardo Nicolás Cruz Sánchez, Herma Luz Meléndez Cueva y Víctor Salomón Peceros Pedraza, y si éstos fueron objeto de ejecuciones extrajudiciales, lo que </w:t>
      </w:r>
      <w:r>
        <w:rPr>
          <w:rFonts w:ascii="Verdana" w:hAnsi="Verdana"/>
          <w:sz w:val="20"/>
          <w:szCs w:val="20"/>
        </w:rPr>
        <w:t>se examinó</w:t>
      </w:r>
      <w:r w:rsidRPr="00DE5E39">
        <w:rPr>
          <w:rFonts w:ascii="Verdana" w:hAnsi="Verdana"/>
          <w:sz w:val="20"/>
          <w:szCs w:val="20"/>
        </w:rPr>
        <w:t xml:space="preserve"> en el fondo de esta sentencia</w:t>
      </w:r>
      <w:r>
        <w:rPr>
          <w:rFonts w:ascii="Verdana" w:hAnsi="Verdana"/>
          <w:sz w:val="20"/>
          <w:szCs w:val="20"/>
        </w:rPr>
        <w:t>.</w:t>
      </w:r>
    </w:p>
    <w:p w:rsidR="00C14399" w:rsidRDefault="00C14399" w:rsidP="00C14399">
      <w:pPr>
        <w:spacing w:after="0" w:line="240" w:lineRule="auto"/>
        <w:jc w:val="both"/>
        <w:rPr>
          <w:rFonts w:ascii="Verdana" w:eastAsia="Times" w:hAnsi="Verdana"/>
          <w:sz w:val="20"/>
          <w:szCs w:val="20"/>
        </w:rPr>
      </w:pPr>
    </w:p>
    <w:p w:rsidR="00E13273" w:rsidRDefault="00E13273" w:rsidP="00C14399">
      <w:pPr>
        <w:spacing w:after="0" w:line="240" w:lineRule="auto"/>
        <w:jc w:val="both"/>
        <w:rPr>
          <w:rFonts w:ascii="Verdana" w:eastAsia="MS Mincho" w:hAnsi="Verdana"/>
          <w:sz w:val="20"/>
          <w:szCs w:val="20"/>
        </w:rPr>
      </w:pPr>
      <w:r>
        <w:rPr>
          <w:rFonts w:ascii="Verdana" w:eastAsia="MS Mincho" w:hAnsi="Verdana"/>
          <w:sz w:val="20"/>
          <w:szCs w:val="20"/>
        </w:rPr>
        <w:t xml:space="preserve">En relación con los hechos del presente caso: </w:t>
      </w:r>
      <w:r w:rsidR="00A2113D" w:rsidRPr="00DE5E39">
        <w:rPr>
          <w:rFonts w:ascii="Verdana" w:eastAsia="MS Mincho" w:hAnsi="Verdana"/>
          <w:sz w:val="20"/>
          <w:szCs w:val="20"/>
        </w:rPr>
        <w:t xml:space="preserve">(1) se abrió en el año 2001 una investigación, a raíz de las denuncias presentadas, que derivó en la apertura de un proceso penal ante el fuero </w:t>
      </w:r>
      <w:r w:rsidR="00A2113D" w:rsidRPr="00DE5E39">
        <w:rPr>
          <w:rFonts w:ascii="Verdana" w:hAnsi="Verdana"/>
          <w:sz w:val="20"/>
          <w:szCs w:val="20"/>
        </w:rPr>
        <w:t>común</w:t>
      </w:r>
      <w:r w:rsidR="00A2113D" w:rsidRPr="00DE5E39">
        <w:rPr>
          <w:rFonts w:ascii="Verdana" w:eastAsia="MS Mincho" w:hAnsi="Verdana"/>
          <w:sz w:val="20"/>
          <w:szCs w:val="20"/>
        </w:rPr>
        <w:t xml:space="preserve">; (2) se trabó una contienda de competencia que fue dirimida por la Corte Suprema de Justicia de la República a favor del fuero militar respecto de los comandos imputados; (3) el fuero militar resolvió sobreseer la causa en el año 2003, la cual fue posteriormente archivada definitivamente; (4) el fuero </w:t>
      </w:r>
      <w:r w:rsidR="00A2113D" w:rsidRPr="00DE5E39">
        <w:rPr>
          <w:rFonts w:ascii="Verdana" w:hAnsi="Verdana"/>
          <w:sz w:val="20"/>
          <w:szCs w:val="20"/>
        </w:rPr>
        <w:t>común</w:t>
      </w:r>
      <w:r w:rsidR="00A2113D" w:rsidRPr="00DE5E39">
        <w:rPr>
          <w:rFonts w:ascii="Verdana" w:eastAsia="MS Mincho" w:hAnsi="Verdana"/>
          <w:sz w:val="20"/>
          <w:szCs w:val="20"/>
        </w:rPr>
        <w:t xml:space="preserve"> continuó con el conocimiento de la causa respecto a las autoridades implicadas, la cual fue acumulada luego con un proceso por encubrimiento real; (5) al momento de que el caso fuera sometido a conocimiento de esta Corte no existía sentencia definitiva en el proceso llevado a cabo ante el fuero </w:t>
      </w:r>
      <w:r w:rsidR="00A2113D">
        <w:rPr>
          <w:rFonts w:ascii="Verdana" w:eastAsia="MS Mincho" w:hAnsi="Verdana"/>
          <w:sz w:val="20"/>
          <w:szCs w:val="20"/>
        </w:rPr>
        <w:t>común</w:t>
      </w:r>
      <w:r w:rsidR="00A2113D" w:rsidRPr="00DE5E39">
        <w:rPr>
          <w:rFonts w:ascii="Verdana" w:eastAsia="MS Mincho" w:hAnsi="Verdana"/>
          <w:sz w:val="20"/>
          <w:szCs w:val="20"/>
        </w:rPr>
        <w:t xml:space="preserve">; (6) como hecho superviniente </w:t>
      </w:r>
      <w:r w:rsidR="00A2113D" w:rsidRPr="00DE5E39">
        <w:rPr>
          <w:rFonts w:ascii="Verdana" w:eastAsia="Times New Roman" w:hAnsi="Verdana"/>
          <w:sz w:val="20"/>
          <w:szCs w:val="20"/>
          <w:lang w:eastAsia="es-ES"/>
        </w:rPr>
        <w:t xml:space="preserve">la Tercera Sala Penal Especial Liquidadora de la Corte Superior de Justicia de Lima </w:t>
      </w:r>
      <w:r w:rsidR="00A2113D" w:rsidRPr="00DE5E39">
        <w:rPr>
          <w:rFonts w:ascii="Verdana" w:eastAsia="MS Mincho" w:hAnsi="Verdana"/>
          <w:sz w:val="20"/>
          <w:szCs w:val="20"/>
        </w:rPr>
        <w:t>dictó sentencia el 15 de octubre de 2012, mediante la cual se absolvió a todos los acusados, con excepción de un procesado contumaz; (7) el 24 de julio de 2013 la Sala Penal Transitoria de la Corte Suprema de Justicia de la República declaró no haber nulidad de la sentencia dictada; (8) en el año 2007 se inició un proceso penal contra el ex Presidente Fujimori Fujimori y otra persona</w:t>
      </w:r>
      <w:r w:rsidR="00A2113D">
        <w:rPr>
          <w:rFonts w:ascii="Verdana" w:eastAsia="MS Mincho" w:hAnsi="Verdana"/>
          <w:sz w:val="20"/>
          <w:szCs w:val="20"/>
        </w:rPr>
        <w:t>,</w:t>
      </w:r>
      <w:r w:rsidR="00A2113D" w:rsidRPr="00DE5E39">
        <w:rPr>
          <w:rFonts w:ascii="Verdana" w:eastAsia="MS Mincho" w:hAnsi="Verdana"/>
          <w:sz w:val="20"/>
          <w:szCs w:val="20"/>
        </w:rPr>
        <w:t xml:space="preserve"> y (9) actualmente se encuentra pendiente una nueva investigación por los hechos relacionados con Eduardo Nicolás Cruz Sánchez</w:t>
      </w:r>
      <w:r w:rsidR="0052568A">
        <w:rPr>
          <w:rFonts w:ascii="Verdana" w:eastAsia="MS Mincho" w:hAnsi="Verdana"/>
          <w:sz w:val="20"/>
          <w:szCs w:val="20"/>
        </w:rPr>
        <w:t>.</w:t>
      </w:r>
    </w:p>
    <w:p w:rsidR="00E13273" w:rsidRPr="00C14399" w:rsidRDefault="00E13273" w:rsidP="00C14399">
      <w:pPr>
        <w:spacing w:after="0" w:line="240" w:lineRule="auto"/>
        <w:jc w:val="both"/>
        <w:rPr>
          <w:rFonts w:ascii="Verdana" w:eastAsia="Times" w:hAnsi="Verdana"/>
          <w:sz w:val="20"/>
          <w:szCs w:val="20"/>
        </w:rPr>
      </w:pPr>
    </w:p>
    <w:p w:rsidR="00A824B8" w:rsidRDefault="00A824B8" w:rsidP="00A824B8">
      <w:pPr>
        <w:pStyle w:val="ListParagraph"/>
        <w:spacing w:after="0" w:line="240" w:lineRule="auto"/>
        <w:ind w:left="708"/>
        <w:jc w:val="both"/>
        <w:rPr>
          <w:rFonts w:ascii="Verdana" w:eastAsia="Times" w:hAnsi="Verdana"/>
          <w:b/>
          <w:sz w:val="20"/>
          <w:szCs w:val="20"/>
        </w:rPr>
      </w:pPr>
      <w:r>
        <w:rPr>
          <w:rFonts w:ascii="Verdana" w:eastAsia="Times" w:hAnsi="Verdana"/>
          <w:b/>
          <w:sz w:val="20"/>
          <w:szCs w:val="20"/>
        </w:rPr>
        <w:t>II. Reconocimiento parcial de responsabilidad, excepciones preliminares y consideraciones previas</w:t>
      </w:r>
    </w:p>
    <w:p w:rsidR="006330F4" w:rsidRDefault="006330F4" w:rsidP="006330F4">
      <w:pPr>
        <w:tabs>
          <w:tab w:val="left" w:pos="720"/>
        </w:tabs>
        <w:spacing w:after="0" w:line="240" w:lineRule="auto"/>
        <w:ind w:right="-90"/>
        <w:jc w:val="both"/>
        <w:rPr>
          <w:rFonts w:ascii="Verdana" w:eastAsia="Times" w:hAnsi="Verdana"/>
          <w:sz w:val="20"/>
          <w:szCs w:val="20"/>
        </w:rPr>
      </w:pPr>
    </w:p>
    <w:p w:rsidR="006330F4" w:rsidRPr="00772F06" w:rsidRDefault="006330F4" w:rsidP="006330F4">
      <w:pPr>
        <w:tabs>
          <w:tab w:val="left" w:pos="720"/>
        </w:tabs>
        <w:spacing w:after="0" w:line="240" w:lineRule="auto"/>
        <w:ind w:right="-90"/>
        <w:jc w:val="both"/>
        <w:rPr>
          <w:rFonts w:ascii="Verdana" w:hAnsi="Verdana"/>
          <w:sz w:val="20"/>
          <w:szCs w:val="20"/>
        </w:rPr>
      </w:pPr>
      <w:r w:rsidRPr="00772F06">
        <w:rPr>
          <w:rFonts w:ascii="Verdana" w:hAnsi="Verdana"/>
          <w:sz w:val="20"/>
          <w:szCs w:val="20"/>
        </w:rPr>
        <w:t>En el transcurso del procedimiento del presente caso ante la Comisión, el Estado presentó, en su Informe N° 535-2011-JUS/PPES de 6 de diciembre de 2011, los avances alcanzados respecto a las recomendaciones contenidas en el Informe de Fondo No. 66/11 que fuera emitido el 31 de marzo de 2011</w:t>
      </w:r>
      <w:r>
        <w:rPr>
          <w:rFonts w:ascii="Verdana" w:hAnsi="Verdana"/>
          <w:sz w:val="20"/>
          <w:szCs w:val="20"/>
        </w:rPr>
        <w:t xml:space="preserve"> por la Comisión Interamericana</w:t>
      </w:r>
      <w:r w:rsidRPr="00772F06">
        <w:rPr>
          <w:rFonts w:ascii="Verdana" w:hAnsi="Verdana"/>
          <w:sz w:val="20"/>
          <w:szCs w:val="20"/>
        </w:rPr>
        <w:t xml:space="preserve">. En dicho escrito, el Estado sostuvo bajo el título “Reconocimiento de responsabilidad por exceso del plazo en tramitación de proceso penal”, lo siguiente: </w:t>
      </w:r>
    </w:p>
    <w:p w:rsidR="006330F4" w:rsidRPr="00772F06" w:rsidRDefault="006330F4" w:rsidP="006330F4">
      <w:pPr>
        <w:spacing w:after="0" w:line="240" w:lineRule="auto"/>
        <w:jc w:val="both"/>
        <w:rPr>
          <w:rFonts w:ascii="Verdana" w:hAnsi="Verdana"/>
          <w:sz w:val="20"/>
          <w:szCs w:val="20"/>
        </w:rPr>
      </w:pPr>
    </w:p>
    <w:p w:rsidR="006330F4" w:rsidRPr="00A129E9" w:rsidRDefault="006330F4" w:rsidP="006330F4">
      <w:pPr>
        <w:spacing w:after="0" w:line="240" w:lineRule="auto"/>
        <w:ind w:left="708" w:right="582"/>
        <w:jc w:val="both"/>
        <w:rPr>
          <w:rFonts w:ascii="Verdana" w:hAnsi="Verdana"/>
          <w:sz w:val="18"/>
          <w:szCs w:val="18"/>
        </w:rPr>
      </w:pPr>
      <w:r w:rsidRPr="00A129E9">
        <w:rPr>
          <w:rFonts w:ascii="Verdana" w:hAnsi="Verdana"/>
          <w:sz w:val="18"/>
          <w:szCs w:val="18"/>
        </w:rPr>
        <w:t xml:space="preserve">[…] tal como ha señalado el Estado peruano en Informes anteriores, la legislación procesal penal peruana no contempla un plazo para la tramitación del Juicio Oral, sin embargo, los principios de Proporcionalidad y Razonabilidad son de aplicación a todo el ordenamiento jurídico peruano. En tal sentido, </w:t>
      </w:r>
      <w:r w:rsidRPr="00A129E9">
        <w:rPr>
          <w:rFonts w:ascii="Verdana" w:hAnsi="Verdana"/>
          <w:b/>
          <w:sz w:val="18"/>
          <w:szCs w:val="18"/>
        </w:rPr>
        <w:t>el Estado peruano reconoce demora en el procesamiento judicial de los hechos.</w:t>
      </w:r>
      <w:r w:rsidRPr="00A129E9">
        <w:rPr>
          <w:rFonts w:ascii="Verdana" w:hAnsi="Verdana"/>
          <w:sz w:val="18"/>
          <w:szCs w:val="18"/>
        </w:rPr>
        <w:t xml:space="preserve"> Mas consideramos importante que la […] Comisión tenga en cuenta que este exceso en la tramitación del Juicio Oral no se debe a un ánimo de denegación de justicia en lo absoluto, sino, lamentablemente, a situaciones de organización del Poder Judicial y actuación del Consejo Nacional de la Magistratura, entre otros factores […]”. [resaltado en el original]</w:t>
      </w:r>
    </w:p>
    <w:p w:rsidR="006330F4" w:rsidRDefault="006330F4" w:rsidP="006330F4">
      <w:pPr>
        <w:spacing w:after="0" w:line="240" w:lineRule="auto"/>
        <w:jc w:val="both"/>
        <w:rPr>
          <w:rFonts w:ascii="Verdana" w:hAnsi="Verdana"/>
          <w:sz w:val="20"/>
          <w:szCs w:val="20"/>
        </w:rPr>
      </w:pPr>
    </w:p>
    <w:p w:rsidR="006330F4" w:rsidRPr="00772F06" w:rsidRDefault="006330F4" w:rsidP="006330F4">
      <w:pPr>
        <w:tabs>
          <w:tab w:val="left" w:pos="567"/>
          <w:tab w:val="num" w:pos="1569"/>
        </w:tabs>
        <w:spacing w:after="0" w:line="240" w:lineRule="auto"/>
        <w:ind w:right="-90"/>
        <w:jc w:val="both"/>
        <w:rPr>
          <w:rFonts w:ascii="Verdana" w:hAnsi="Verdana"/>
          <w:strike/>
          <w:sz w:val="20"/>
          <w:szCs w:val="20"/>
        </w:rPr>
      </w:pPr>
      <w:r>
        <w:rPr>
          <w:rFonts w:ascii="Verdana" w:hAnsi="Verdana"/>
          <w:color w:val="000000"/>
          <w:sz w:val="20"/>
          <w:szCs w:val="20"/>
        </w:rPr>
        <w:t>C</w:t>
      </w:r>
      <w:r w:rsidRPr="00772F06">
        <w:rPr>
          <w:rFonts w:ascii="Verdana" w:hAnsi="Verdana"/>
          <w:color w:val="000000"/>
          <w:sz w:val="20"/>
          <w:szCs w:val="20"/>
        </w:rPr>
        <w:t>onforme a su jurisprudencia, la Corte admit</w:t>
      </w:r>
      <w:r>
        <w:rPr>
          <w:rFonts w:ascii="Verdana" w:hAnsi="Verdana"/>
          <w:color w:val="000000"/>
          <w:sz w:val="20"/>
          <w:szCs w:val="20"/>
        </w:rPr>
        <w:t>ió</w:t>
      </w:r>
      <w:r w:rsidRPr="00772F06">
        <w:rPr>
          <w:rFonts w:ascii="Verdana" w:hAnsi="Verdana"/>
          <w:color w:val="000000"/>
          <w:sz w:val="20"/>
          <w:szCs w:val="20"/>
        </w:rPr>
        <w:t xml:space="preserve"> y otorg</w:t>
      </w:r>
      <w:r>
        <w:rPr>
          <w:rFonts w:ascii="Verdana" w:hAnsi="Verdana"/>
          <w:color w:val="000000"/>
          <w:sz w:val="20"/>
          <w:szCs w:val="20"/>
        </w:rPr>
        <w:t>ó</w:t>
      </w:r>
      <w:r w:rsidRPr="00772F06">
        <w:rPr>
          <w:rFonts w:ascii="Verdana" w:hAnsi="Verdana"/>
          <w:color w:val="000000"/>
          <w:sz w:val="20"/>
          <w:szCs w:val="20"/>
        </w:rPr>
        <w:t xml:space="preserve"> plenos efectos al reconocimiento de responsabilidad realizado ante la Comisión en este caso.</w:t>
      </w:r>
      <w:r w:rsidRPr="00772F06">
        <w:rPr>
          <w:rFonts w:ascii="Verdana" w:hAnsi="Verdana"/>
          <w:sz w:val="20"/>
          <w:szCs w:val="20"/>
        </w:rPr>
        <w:t xml:space="preserve"> En esta oportunidad, el reconocimiento de responsabilidad efectuado por el Estado es parcial</w:t>
      </w:r>
      <w:r w:rsidR="004456C6">
        <w:rPr>
          <w:rFonts w:ascii="Verdana" w:hAnsi="Verdana"/>
          <w:sz w:val="20"/>
          <w:szCs w:val="20"/>
        </w:rPr>
        <w:t xml:space="preserve"> pues</w:t>
      </w:r>
      <w:r w:rsidRPr="00772F06">
        <w:rPr>
          <w:rFonts w:ascii="Verdana" w:hAnsi="Verdana"/>
          <w:sz w:val="20"/>
          <w:szCs w:val="20"/>
        </w:rPr>
        <w:t xml:space="preserve"> se refir</w:t>
      </w:r>
      <w:r w:rsidR="004456C6">
        <w:rPr>
          <w:rFonts w:ascii="Verdana" w:hAnsi="Verdana"/>
          <w:sz w:val="20"/>
          <w:szCs w:val="20"/>
        </w:rPr>
        <w:t>ió</w:t>
      </w:r>
      <w:r w:rsidRPr="00772F06">
        <w:rPr>
          <w:rFonts w:ascii="Verdana" w:hAnsi="Verdana"/>
          <w:sz w:val="20"/>
          <w:szCs w:val="20"/>
        </w:rPr>
        <w:t xml:space="preserve"> únicamente a la vulneración del plazo razonable en el proceso judicial llevado a cabo en el fuero penal.</w:t>
      </w:r>
    </w:p>
    <w:p w:rsidR="006330F4" w:rsidRPr="00772F06" w:rsidRDefault="006330F4" w:rsidP="006330F4">
      <w:pPr>
        <w:spacing w:after="0" w:line="240" w:lineRule="auto"/>
        <w:jc w:val="both"/>
        <w:rPr>
          <w:rFonts w:ascii="Verdana" w:hAnsi="Verdana"/>
          <w:sz w:val="20"/>
          <w:szCs w:val="20"/>
        </w:rPr>
      </w:pPr>
    </w:p>
    <w:p w:rsidR="00FA0FA0" w:rsidRDefault="002A1893" w:rsidP="002A1893">
      <w:pPr>
        <w:spacing w:after="0" w:line="240" w:lineRule="auto"/>
        <w:jc w:val="both"/>
        <w:rPr>
          <w:rFonts w:ascii="Verdana" w:eastAsia="Times" w:hAnsi="Verdana"/>
          <w:sz w:val="20"/>
          <w:szCs w:val="20"/>
        </w:rPr>
      </w:pPr>
      <w:r w:rsidRPr="002A1893">
        <w:rPr>
          <w:rFonts w:ascii="Verdana" w:eastAsia="Times" w:hAnsi="Verdana"/>
          <w:sz w:val="20"/>
          <w:szCs w:val="20"/>
        </w:rPr>
        <w:t xml:space="preserve">En su escrito de contestación, el Perú presentó seis excepciones preliminares, que denominó de la siguiente forma: (i) Excepción de control de legalidad del Informe de Admisibilidad No. 13/04 respecto a la Petición N° 136/03 en relación con la falta de agotamiento de recursos de jurisdicción interna; (ii) Excepción de falta de agotamiento de recursos de jurisdicción interna; (iii) Excepción </w:t>
      </w:r>
      <w:r w:rsidRPr="002A1893">
        <w:rPr>
          <w:rFonts w:ascii="Verdana" w:eastAsia="Times" w:hAnsi="Verdana"/>
          <w:sz w:val="20"/>
          <w:szCs w:val="20"/>
        </w:rPr>
        <w:lastRenderedPageBreak/>
        <w:t>de control de legalidad del Informe de Fondo No. 66/11 respecto a la determinación de presuntas víctimas y derechos humanos no considerados en el Informe de Admisibilidad No. 13/04; (iv) Excepción de inadmisibilidad de incorporación de nuevos hechos por los representantes de las presuntas víctimas al proceso ante la Corte Interamericana; (v) Excepción de violación del derecho de defensa del Estado peruano por la Comisión Interamericana de Derechos Humanos, y (vi) Excepción de sustracción de la materia.</w:t>
      </w:r>
    </w:p>
    <w:p w:rsidR="00FA0FA0" w:rsidRDefault="00FA0FA0" w:rsidP="002A1893">
      <w:pPr>
        <w:spacing w:after="0" w:line="240" w:lineRule="auto"/>
        <w:jc w:val="both"/>
        <w:rPr>
          <w:rFonts w:ascii="Verdana" w:eastAsia="Times" w:hAnsi="Verdana"/>
          <w:sz w:val="20"/>
          <w:szCs w:val="20"/>
        </w:rPr>
      </w:pPr>
    </w:p>
    <w:p w:rsidR="00FA0FA0" w:rsidRDefault="006330F4" w:rsidP="002A1893">
      <w:pPr>
        <w:spacing w:after="0" w:line="240" w:lineRule="auto"/>
        <w:jc w:val="both"/>
        <w:rPr>
          <w:rFonts w:ascii="Verdana" w:eastAsia="Times New Roman" w:hAnsi="Verdana"/>
          <w:sz w:val="20"/>
          <w:szCs w:val="20"/>
          <w:lang w:eastAsia="es-ES"/>
        </w:rPr>
      </w:pPr>
      <w:r>
        <w:rPr>
          <w:rFonts w:ascii="Verdana" w:eastAsia="Times" w:hAnsi="Verdana"/>
          <w:sz w:val="20"/>
          <w:szCs w:val="20"/>
        </w:rPr>
        <w:t>L</w:t>
      </w:r>
      <w:r w:rsidR="002A1893">
        <w:rPr>
          <w:rFonts w:ascii="Verdana" w:eastAsia="Times" w:hAnsi="Verdana"/>
          <w:sz w:val="20"/>
          <w:szCs w:val="20"/>
        </w:rPr>
        <w:t xml:space="preserve">a Corte analizó </w:t>
      </w:r>
      <w:r w:rsidR="002A1893" w:rsidRPr="002A1893">
        <w:rPr>
          <w:rFonts w:ascii="Verdana" w:eastAsia="Times" w:hAnsi="Verdana"/>
          <w:sz w:val="20"/>
          <w:szCs w:val="20"/>
        </w:rPr>
        <w:t>los planteamientos en el orden presentado por el Estado</w:t>
      </w:r>
      <w:r>
        <w:rPr>
          <w:rFonts w:ascii="Verdana" w:eastAsia="Times" w:hAnsi="Verdana"/>
          <w:sz w:val="20"/>
          <w:szCs w:val="20"/>
        </w:rPr>
        <w:t xml:space="preserve"> y desestimó las excepciones preliminares</w:t>
      </w:r>
      <w:r w:rsidR="002A1893" w:rsidRPr="002A1893">
        <w:rPr>
          <w:rFonts w:ascii="Verdana" w:eastAsia="Times" w:hAnsi="Verdana"/>
          <w:sz w:val="20"/>
          <w:szCs w:val="20"/>
        </w:rPr>
        <w:t>.</w:t>
      </w:r>
      <w:r w:rsidR="00FA0FA0">
        <w:rPr>
          <w:rFonts w:ascii="Verdana" w:eastAsia="Times" w:hAnsi="Verdana"/>
          <w:sz w:val="20"/>
          <w:szCs w:val="20"/>
        </w:rPr>
        <w:t xml:space="preserve"> Respecto a la primera excepción, </w:t>
      </w:r>
      <w:r w:rsidR="00FA0FA0" w:rsidRPr="00772F06">
        <w:rPr>
          <w:rFonts w:ascii="Verdana" w:hAnsi="Verdana"/>
          <w:sz w:val="20"/>
          <w:szCs w:val="20"/>
        </w:rPr>
        <w:t xml:space="preserve">la Corte </w:t>
      </w:r>
      <w:r w:rsidR="00FA0FA0" w:rsidRPr="00772F06">
        <w:rPr>
          <w:rFonts w:ascii="Verdana" w:eastAsia="Times New Roman" w:hAnsi="Verdana"/>
          <w:sz w:val="20"/>
          <w:szCs w:val="16"/>
          <w:lang w:eastAsia="es-ES"/>
        </w:rPr>
        <w:t>consider</w:t>
      </w:r>
      <w:r w:rsidR="00FA0FA0">
        <w:rPr>
          <w:rFonts w:ascii="Verdana" w:eastAsia="Times New Roman" w:hAnsi="Verdana"/>
          <w:sz w:val="20"/>
          <w:szCs w:val="16"/>
          <w:lang w:eastAsia="es-ES"/>
        </w:rPr>
        <w:t>ó</w:t>
      </w:r>
      <w:r w:rsidR="00FA0FA0" w:rsidRPr="00772F06">
        <w:rPr>
          <w:rFonts w:ascii="Verdana" w:eastAsia="Times New Roman" w:hAnsi="Verdana"/>
          <w:sz w:val="20"/>
          <w:szCs w:val="16"/>
          <w:lang w:eastAsia="es-ES"/>
        </w:rPr>
        <w:t xml:space="preserve"> que no se ha</w:t>
      </w:r>
      <w:r w:rsidR="00FA0FA0">
        <w:rPr>
          <w:rFonts w:ascii="Verdana" w:eastAsia="Times New Roman" w:hAnsi="Verdana"/>
          <w:sz w:val="20"/>
          <w:szCs w:val="16"/>
          <w:lang w:eastAsia="es-ES"/>
        </w:rPr>
        <w:t>bía</w:t>
      </w:r>
      <w:r w:rsidR="00FA0FA0" w:rsidRPr="00772F06">
        <w:rPr>
          <w:rFonts w:ascii="Verdana" w:eastAsia="Times New Roman" w:hAnsi="Verdana"/>
          <w:sz w:val="20"/>
          <w:szCs w:val="16"/>
          <w:lang w:eastAsia="es-ES"/>
        </w:rPr>
        <w:t xml:space="preserve"> alegado fundadamente la ocurrencia de u</w:t>
      </w:r>
      <w:r w:rsidR="00FA0FA0" w:rsidRPr="00772F06">
        <w:rPr>
          <w:rFonts w:ascii="Verdana" w:eastAsia="Times New Roman" w:hAnsi="Verdana"/>
          <w:sz w:val="20"/>
          <w:szCs w:val="19"/>
          <w:lang w:eastAsia="es-ES"/>
        </w:rPr>
        <w:t>n error grave que vulnere el derecho de defensa de las partes</w:t>
      </w:r>
      <w:r w:rsidR="00CA3B49">
        <w:rPr>
          <w:rFonts w:ascii="Verdana" w:eastAsia="Times New Roman" w:hAnsi="Verdana"/>
          <w:sz w:val="20"/>
          <w:szCs w:val="19"/>
          <w:lang w:eastAsia="es-ES"/>
        </w:rPr>
        <w:t>. En cuanto</w:t>
      </w:r>
      <w:r w:rsidR="00FA0FA0">
        <w:rPr>
          <w:rFonts w:ascii="Verdana" w:eastAsia="Times" w:hAnsi="Verdana"/>
          <w:sz w:val="20"/>
          <w:szCs w:val="20"/>
        </w:rPr>
        <w:t xml:space="preserve"> a la segunda </w:t>
      </w:r>
      <w:r w:rsidR="00FA0FA0" w:rsidRPr="00772F06">
        <w:rPr>
          <w:rFonts w:ascii="Verdana" w:hAnsi="Verdana"/>
          <w:sz w:val="20"/>
          <w:szCs w:val="20"/>
        </w:rPr>
        <w:t>excepción interpuesta por el Estado, cuestionando que la Comisión encontrara un retardo injustificado en la tramitación del proceso ante la jurisdicción ordinaria, y los alegatos presentados por éste en torno a las posibles justificaciones para la demora en la tramitación del proceso interno</w:t>
      </w:r>
      <w:r w:rsidR="00FA0FA0">
        <w:rPr>
          <w:rFonts w:ascii="Verdana" w:hAnsi="Verdana"/>
          <w:sz w:val="20"/>
          <w:szCs w:val="20"/>
        </w:rPr>
        <w:t>, la Corte consideró que los mismos</w:t>
      </w:r>
      <w:r w:rsidR="00FA0FA0" w:rsidRPr="00772F06">
        <w:rPr>
          <w:rFonts w:ascii="Verdana" w:hAnsi="Verdana"/>
          <w:sz w:val="20"/>
          <w:szCs w:val="20"/>
        </w:rPr>
        <w:t xml:space="preserve"> configuran un cambio en la posición previamente asumida</w:t>
      </w:r>
      <w:r w:rsidR="00FA0FA0">
        <w:rPr>
          <w:rFonts w:ascii="Verdana" w:hAnsi="Verdana"/>
          <w:sz w:val="20"/>
          <w:szCs w:val="20"/>
        </w:rPr>
        <w:t xml:space="preserve">, en tanto había reconocido responsabilidad por </w:t>
      </w:r>
      <w:r w:rsidR="00FA0FA0" w:rsidRPr="00772F06">
        <w:rPr>
          <w:rFonts w:ascii="Verdana" w:hAnsi="Verdana"/>
          <w:sz w:val="20"/>
          <w:szCs w:val="20"/>
        </w:rPr>
        <w:t>la vulneración del plazo razonable en el proceso judicial llevado a cabo en el fuero penal</w:t>
      </w:r>
      <w:r w:rsidR="00FA0FA0">
        <w:rPr>
          <w:rFonts w:ascii="Verdana" w:hAnsi="Verdana"/>
          <w:sz w:val="20"/>
          <w:szCs w:val="20"/>
        </w:rPr>
        <w:t>,</w:t>
      </w:r>
      <w:r w:rsidR="008749A0">
        <w:rPr>
          <w:rFonts w:ascii="Verdana" w:hAnsi="Verdana"/>
          <w:sz w:val="20"/>
          <w:szCs w:val="20"/>
        </w:rPr>
        <w:t xml:space="preserve"> lo</w:t>
      </w:r>
      <w:r w:rsidR="00FA0FA0" w:rsidRPr="00772F06">
        <w:rPr>
          <w:rFonts w:ascii="Verdana" w:hAnsi="Verdana"/>
          <w:sz w:val="20"/>
          <w:szCs w:val="20"/>
        </w:rPr>
        <w:t xml:space="preserve"> que no es admisible en virtud del principio de </w:t>
      </w:r>
      <w:r w:rsidR="00FA0FA0" w:rsidRPr="00772F06">
        <w:rPr>
          <w:rFonts w:ascii="Verdana" w:hAnsi="Verdana"/>
          <w:i/>
          <w:sz w:val="20"/>
          <w:szCs w:val="20"/>
        </w:rPr>
        <w:t>estoppel.</w:t>
      </w:r>
      <w:r w:rsidR="00CA3B49">
        <w:rPr>
          <w:rFonts w:ascii="Verdana" w:hAnsi="Verdana"/>
          <w:i/>
          <w:sz w:val="20"/>
          <w:szCs w:val="20"/>
        </w:rPr>
        <w:t xml:space="preserve"> </w:t>
      </w:r>
      <w:r w:rsidR="00CA3B49">
        <w:rPr>
          <w:rFonts w:ascii="Verdana" w:eastAsia="Times New Roman" w:hAnsi="Verdana"/>
          <w:sz w:val="20"/>
          <w:szCs w:val="19"/>
          <w:lang w:eastAsia="es-ES"/>
        </w:rPr>
        <w:t xml:space="preserve">Respecto a la tercera excepción, la Corte determinó que </w:t>
      </w:r>
      <w:r w:rsidR="00CA3B49" w:rsidRPr="00772F06">
        <w:rPr>
          <w:rFonts w:ascii="Verdana" w:eastAsia="Times New Roman" w:hAnsi="Verdana"/>
          <w:sz w:val="20"/>
          <w:szCs w:val="20"/>
          <w:lang w:eastAsia="es-ES"/>
        </w:rPr>
        <w:t>la actuación de la Comisión</w:t>
      </w:r>
      <w:r w:rsidR="00CA3B49">
        <w:rPr>
          <w:rFonts w:ascii="Verdana" w:eastAsia="Times New Roman" w:hAnsi="Verdana"/>
          <w:sz w:val="20"/>
          <w:szCs w:val="20"/>
          <w:lang w:eastAsia="es-ES"/>
        </w:rPr>
        <w:t xml:space="preserve"> no</w:t>
      </w:r>
      <w:r w:rsidR="00CA3B49" w:rsidRPr="00772F06">
        <w:rPr>
          <w:rFonts w:ascii="Verdana" w:eastAsia="Times New Roman" w:hAnsi="Verdana"/>
          <w:sz w:val="20"/>
          <w:szCs w:val="20"/>
          <w:lang w:eastAsia="es-ES"/>
        </w:rPr>
        <w:t xml:space="preserve"> habría generado un perjuicio al Estado en su derecho de defensa</w:t>
      </w:r>
      <w:r w:rsidR="00CA3B49">
        <w:rPr>
          <w:rFonts w:ascii="Verdana" w:eastAsia="Times New Roman" w:hAnsi="Verdana"/>
          <w:sz w:val="20"/>
          <w:szCs w:val="20"/>
          <w:lang w:eastAsia="es-ES"/>
        </w:rPr>
        <w:t xml:space="preserve"> en tanto </w:t>
      </w:r>
      <w:r w:rsidR="00CA3B49" w:rsidRPr="00DE5E39">
        <w:rPr>
          <w:rFonts w:ascii="Verdana" w:eastAsia="Times New Roman" w:hAnsi="Verdana"/>
          <w:sz w:val="20"/>
          <w:szCs w:val="20"/>
          <w:lang w:eastAsia="es-ES"/>
        </w:rPr>
        <w:t xml:space="preserve">la Comisión identificó a los familiares como presuntas víctimas en el Informe de Fondo </w:t>
      </w:r>
      <w:r w:rsidR="00CA3B49" w:rsidRPr="00DE5E39">
        <w:rPr>
          <w:rFonts w:ascii="Verdana" w:hAnsi="Verdana"/>
          <w:sz w:val="20"/>
          <w:szCs w:val="20"/>
        </w:rPr>
        <w:t xml:space="preserve">No. 66/11 </w:t>
      </w:r>
      <w:r w:rsidR="00CA3B49" w:rsidRPr="00DE5E39">
        <w:rPr>
          <w:rFonts w:ascii="Verdana" w:eastAsia="Times New Roman" w:hAnsi="Verdana"/>
          <w:sz w:val="20"/>
          <w:szCs w:val="20"/>
          <w:lang w:eastAsia="es-ES"/>
        </w:rPr>
        <w:t xml:space="preserve">y con ello cumplió con </w:t>
      </w:r>
      <w:r w:rsidR="00802CE5">
        <w:rPr>
          <w:rFonts w:ascii="Verdana" w:eastAsia="Times New Roman" w:hAnsi="Verdana"/>
          <w:sz w:val="20"/>
          <w:szCs w:val="20"/>
          <w:lang w:eastAsia="es-ES"/>
        </w:rPr>
        <w:t>el artículo 35 del Reglamento de la Corte</w:t>
      </w:r>
      <w:r w:rsidR="00DC7C7F">
        <w:rPr>
          <w:rFonts w:ascii="Verdana" w:eastAsia="Times New Roman" w:hAnsi="Verdana"/>
          <w:sz w:val="20"/>
          <w:szCs w:val="20"/>
          <w:lang w:eastAsia="es-ES"/>
        </w:rPr>
        <w:t>,</w:t>
      </w:r>
      <w:r w:rsidR="00CA3B49">
        <w:rPr>
          <w:rFonts w:ascii="Verdana" w:eastAsia="Times New Roman" w:hAnsi="Verdana"/>
          <w:sz w:val="20"/>
          <w:szCs w:val="20"/>
          <w:lang w:eastAsia="es-ES"/>
        </w:rPr>
        <w:t xml:space="preserve"> y el Estado </w:t>
      </w:r>
      <w:r w:rsidR="00CA3B49" w:rsidRPr="00DE5E39">
        <w:rPr>
          <w:rFonts w:ascii="Verdana" w:eastAsia="Times New Roman" w:hAnsi="Verdana"/>
          <w:sz w:val="20"/>
          <w:szCs w:val="16"/>
          <w:lang w:eastAsia="es-ES"/>
        </w:rPr>
        <w:t>contó con oportunidades procesales para ejercitar su derecho de defensa durante el trámite ante la Comisión</w:t>
      </w:r>
      <w:r w:rsidR="00CA3B49">
        <w:rPr>
          <w:rFonts w:ascii="Verdana" w:eastAsia="Times New Roman" w:hAnsi="Verdana"/>
          <w:sz w:val="20"/>
          <w:szCs w:val="16"/>
          <w:lang w:eastAsia="es-ES"/>
        </w:rPr>
        <w:t xml:space="preserve"> respecto </w:t>
      </w:r>
      <w:r w:rsidR="00CA3B49" w:rsidRPr="00DE5E39">
        <w:rPr>
          <w:rFonts w:ascii="Verdana" w:eastAsia="Times New Roman" w:hAnsi="Verdana"/>
          <w:sz w:val="20"/>
          <w:szCs w:val="16"/>
          <w:lang w:eastAsia="es-ES"/>
        </w:rPr>
        <w:t>a los alegatos incorporados por los peticionarios sobre la supuesta violación del artículo 5 de la Convención</w:t>
      </w:r>
      <w:r w:rsidR="00CA3B49" w:rsidRPr="00772F06">
        <w:rPr>
          <w:rFonts w:ascii="Verdana" w:eastAsia="Times New Roman" w:hAnsi="Verdana"/>
          <w:sz w:val="20"/>
          <w:szCs w:val="19"/>
          <w:lang w:eastAsia="es-ES"/>
        </w:rPr>
        <w:t>.</w:t>
      </w:r>
      <w:r w:rsidR="00CA3B49">
        <w:rPr>
          <w:rFonts w:ascii="Verdana" w:eastAsia="Times" w:hAnsi="Verdana"/>
          <w:sz w:val="20"/>
          <w:szCs w:val="20"/>
        </w:rPr>
        <w:t xml:space="preserve"> </w:t>
      </w:r>
      <w:r w:rsidR="00FA0FA0">
        <w:rPr>
          <w:rFonts w:ascii="Verdana" w:eastAsia="Times" w:hAnsi="Verdana"/>
          <w:sz w:val="20"/>
          <w:szCs w:val="20"/>
        </w:rPr>
        <w:t xml:space="preserve">En cuanto a la cuarta excepción, </w:t>
      </w:r>
      <w:r w:rsidR="00FA0FA0" w:rsidRPr="00772F06">
        <w:rPr>
          <w:rFonts w:ascii="Verdana" w:eastAsia="Times New Roman" w:hAnsi="Verdana"/>
          <w:sz w:val="20"/>
          <w:szCs w:val="20"/>
          <w:lang w:eastAsia="es-ES"/>
        </w:rPr>
        <w:t xml:space="preserve">la Corte </w:t>
      </w:r>
      <w:r w:rsidR="00FA0FA0">
        <w:rPr>
          <w:rFonts w:ascii="Verdana" w:eastAsia="Times New Roman" w:hAnsi="Verdana"/>
          <w:sz w:val="20"/>
          <w:szCs w:val="20"/>
          <w:lang w:eastAsia="es-ES"/>
        </w:rPr>
        <w:t>estimó</w:t>
      </w:r>
      <w:r w:rsidR="00FA0FA0" w:rsidRPr="00772F06">
        <w:rPr>
          <w:rFonts w:ascii="Verdana" w:eastAsia="Times New Roman" w:hAnsi="Verdana"/>
          <w:sz w:val="20"/>
          <w:szCs w:val="20"/>
          <w:lang w:eastAsia="es-ES"/>
        </w:rPr>
        <w:t xml:space="preserve"> que, en la medida </w:t>
      </w:r>
      <w:r w:rsidR="004E2329">
        <w:rPr>
          <w:rFonts w:ascii="Verdana" w:eastAsia="Times New Roman" w:hAnsi="Verdana"/>
          <w:sz w:val="20"/>
          <w:szCs w:val="20"/>
          <w:lang w:eastAsia="es-ES"/>
        </w:rPr>
        <w:t xml:space="preserve">en </w:t>
      </w:r>
      <w:r w:rsidR="00FA0FA0" w:rsidRPr="00772F06">
        <w:rPr>
          <w:rFonts w:ascii="Verdana" w:eastAsia="Times New Roman" w:hAnsi="Verdana"/>
          <w:sz w:val="20"/>
          <w:szCs w:val="20"/>
          <w:lang w:eastAsia="es-ES"/>
        </w:rPr>
        <w:t>que la Comisión dio cumplimiento al</w:t>
      </w:r>
      <w:r w:rsidR="00FA0FA0">
        <w:rPr>
          <w:rFonts w:ascii="Verdana" w:eastAsia="Times New Roman" w:hAnsi="Verdana"/>
          <w:sz w:val="20"/>
          <w:szCs w:val="20"/>
          <w:lang w:eastAsia="es-ES"/>
        </w:rPr>
        <w:t xml:space="preserve"> artículo 30 de su Reglamento</w:t>
      </w:r>
      <w:r w:rsidR="00551328">
        <w:rPr>
          <w:rFonts w:ascii="Verdana" w:eastAsia="Times New Roman" w:hAnsi="Verdana"/>
          <w:sz w:val="20"/>
          <w:szCs w:val="20"/>
          <w:lang w:eastAsia="es-ES"/>
        </w:rPr>
        <w:t xml:space="preserve"> y transmitió las partes pertinentes de la petición para que el Estado presentara su respuesta</w:t>
      </w:r>
      <w:r w:rsidR="00FA0FA0" w:rsidRPr="00772F06">
        <w:rPr>
          <w:rFonts w:ascii="Verdana" w:eastAsia="Times New Roman" w:hAnsi="Verdana"/>
          <w:sz w:val="20"/>
          <w:szCs w:val="20"/>
          <w:lang w:eastAsia="es-ES"/>
        </w:rPr>
        <w:t>, no exist</w:t>
      </w:r>
      <w:r w:rsidR="00FA0FA0">
        <w:rPr>
          <w:rFonts w:ascii="Verdana" w:eastAsia="Times New Roman" w:hAnsi="Verdana"/>
          <w:sz w:val="20"/>
          <w:szCs w:val="20"/>
          <w:lang w:eastAsia="es-ES"/>
        </w:rPr>
        <w:t>ía</w:t>
      </w:r>
      <w:r w:rsidR="00FA0FA0" w:rsidRPr="00772F06">
        <w:rPr>
          <w:rFonts w:ascii="Verdana" w:eastAsia="Times New Roman" w:hAnsi="Verdana"/>
          <w:sz w:val="20"/>
          <w:szCs w:val="20"/>
          <w:lang w:eastAsia="es-ES"/>
        </w:rPr>
        <w:t>n motivos para considerar que hubiera podido provocar una violación al derecho de defensa del Estado.</w:t>
      </w:r>
      <w:r w:rsidR="00CA3B49">
        <w:rPr>
          <w:rFonts w:ascii="Verdana" w:eastAsia="Times New Roman" w:hAnsi="Verdana"/>
          <w:sz w:val="20"/>
          <w:szCs w:val="20"/>
          <w:lang w:eastAsia="es-ES"/>
        </w:rPr>
        <w:t xml:space="preserve"> </w:t>
      </w:r>
      <w:r w:rsidR="00FA0FA0" w:rsidRPr="00772F06">
        <w:rPr>
          <w:rFonts w:ascii="Verdana" w:hAnsi="Verdana"/>
          <w:sz w:val="20"/>
          <w:szCs w:val="20"/>
        </w:rPr>
        <w:t>La Corte consider</w:t>
      </w:r>
      <w:r w:rsidR="00FA0FA0">
        <w:rPr>
          <w:rFonts w:ascii="Verdana" w:hAnsi="Verdana"/>
          <w:sz w:val="20"/>
          <w:szCs w:val="20"/>
        </w:rPr>
        <w:t>ó</w:t>
      </w:r>
      <w:r w:rsidR="00FA0FA0" w:rsidRPr="00772F06">
        <w:rPr>
          <w:rFonts w:ascii="Verdana" w:hAnsi="Verdana"/>
          <w:sz w:val="20"/>
          <w:szCs w:val="20"/>
        </w:rPr>
        <w:t xml:space="preserve"> que los argumentos presentados por el Estado relativos a la eventual subsanación de las deficiencias en las investigaciones iniciales, tales como el trabajo realizado de acuerdo a lo que </w:t>
      </w:r>
      <w:r w:rsidR="004E2329">
        <w:rPr>
          <w:rFonts w:ascii="Verdana" w:hAnsi="Verdana"/>
          <w:sz w:val="20"/>
          <w:szCs w:val="20"/>
        </w:rPr>
        <w:t>denominó como</w:t>
      </w:r>
      <w:r w:rsidR="00FA0FA0" w:rsidRPr="00772F06">
        <w:rPr>
          <w:rFonts w:ascii="Verdana" w:hAnsi="Verdana"/>
          <w:sz w:val="20"/>
          <w:szCs w:val="20"/>
        </w:rPr>
        <w:t xml:space="preserve"> </w:t>
      </w:r>
      <w:r w:rsidR="004E2329">
        <w:rPr>
          <w:rFonts w:ascii="Verdana" w:hAnsi="Verdana"/>
          <w:sz w:val="20"/>
          <w:szCs w:val="20"/>
        </w:rPr>
        <w:t>“</w:t>
      </w:r>
      <w:r w:rsidR="00FA0FA0" w:rsidRPr="00772F06">
        <w:rPr>
          <w:rFonts w:ascii="Verdana" w:hAnsi="Verdana"/>
          <w:sz w:val="20"/>
          <w:szCs w:val="20"/>
        </w:rPr>
        <w:t>los actuales estándares internacionales</w:t>
      </w:r>
      <w:r w:rsidR="004E2329">
        <w:rPr>
          <w:rFonts w:ascii="Verdana" w:hAnsi="Verdana"/>
          <w:sz w:val="20"/>
          <w:szCs w:val="20"/>
        </w:rPr>
        <w:t>”</w:t>
      </w:r>
      <w:r w:rsidR="00551328">
        <w:rPr>
          <w:rFonts w:ascii="Verdana" w:hAnsi="Verdana"/>
          <w:sz w:val="20"/>
          <w:szCs w:val="20"/>
        </w:rPr>
        <w:t>, pertenecían</w:t>
      </w:r>
      <w:r w:rsidR="00FA0FA0" w:rsidRPr="00772F06">
        <w:rPr>
          <w:rFonts w:ascii="Verdana" w:hAnsi="Verdana"/>
          <w:sz w:val="20"/>
          <w:szCs w:val="20"/>
        </w:rPr>
        <w:t xml:space="preserve"> al análisis del fondo del caso y que, por lo tanto, no correspond</w:t>
      </w:r>
      <w:r w:rsidR="00FA0FA0">
        <w:rPr>
          <w:rFonts w:ascii="Verdana" w:hAnsi="Verdana"/>
          <w:sz w:val="20"/>
          <w:szCs w:val="20"/>
        </w:rPr>
        <w:t>ía</w:t>
      </w:r>
      <w:r w:rsidR="00FA0FA0" w:rsidRPr="00772F06">
        <w:rPr>
          <w:rFonts w:ascii="Verdana" w:hAnsi="Verdana"/>
          <w:sz w:val="20"/>
          <w:szCs w:val="20"/>
        </w:rPr>
        <w:t xml:space="preserve"> pronunciarse sobre ellos como excepción preliminar.</w:t>
      </w:r>
    </w:p>
    <w:p w:rsidR="00FA0FA0" w:rsidRDefault="00FA0FA0" w:rsidP="002A1893">
      <w:pPr>
        <w:spacing w:after="0" w:line="240" w:lineRule="auto"/>
        <w:jc w:val="both"/>
        <w:rPr>
          <w:rFonts w:ascii="Verdana" w:eastAsia="Times New Roman" w:hAnsi="Verdana"/>
          <w:sz w:val="20"/>
          <w:szCs w:val="20"/>
          <w:lang w:eastAsia="es-ES"/>
        </w:rPr>
      </w:pPr>
    </w:p>
    <w:p w:rsidR="00F971A8" w:rsidRDefault="00F971A8" w:rsidP="00F971A8">
      <w:pPr>
        <w:tabs>
          <w:tab w:val="left" w:pos="567"/>
          <w:tab w:val="num" w:pos="1569"/>
        </w:tabs>
        <w:spacing w:after="0" w:line="240" w:lineRule="auto"/>
        <w:ind w:right="-90"/>
        <w:jc w:val="both"/>
        <w:rPr>
          <w:rFonts w:ascii="Verdana" w:hAnsi="Verdana"/>
          <w:sz w:val="20"/>
          <w:szCs w:val="20"/>
        </w:rPr>
      </w:pPr>
      <w:r w:rsidRPr="00772F06">
        <w:rPr>
          <w:rFonts w:ascii="Verdana" w:hAnsi="Verdana"/>
          <w:sz w:val="20"/>
          <w:szCs w:val="20"/>
        </w:rPr>
        <w:t>A</w:t>
      </w:r>
      <w:r w:rsidR="00CA3B49">
        <w:rPr>
          <w:rFonts w:ascii="Verdana" w:hAnsi="Verdana"/>
          <w:sz w:val="20"/>
          <w:szCs w:val="20"/>
        </w:rPr>
        <w:t>demás, a</w:t>
      </w:r>
      <w:r w:rsidRPr="00772F06">
        <w:rPr>
          <w:rFonts w:ascii="Verdana" w:hAnsi="Verdana"/>
          <w:sz w:val="20"/>
          <w:szCs w:val="20"/>
        </w:rPr>
        <w:t xml:space="preserve">tendiendo a la naturaleza diversa de los argumentos formulados por el Estado bajo la denominación de excepciones preliminares, la Corte </w:t>
      </w:r>
      <w:r>
        <w:rPr>
          <w:rFonts w:ascii="Verdana" w:hAnsi="Verdana"/>
          <w:sz w:val="20"/>
          <w:szCs w:val="20"/>
        </w:rPr>
        <w:t xml:space="preserve">consideró que </w:t>
      </w:r>
      <w:r w:rsidRPr="00772F06">
        <w:rPr>
          <w:rFonts w:ascii="Verdana" w:hAnsi="Verdana"/>
          <w:sz w:val="20"/>
          <w:szCs w:val="20"/>
        </w:rPr>
        <w:t>el punto (iv)</w:t>
      </w:r>
      <w:r>
        <w:rPr>
          <w:rFonts w:ascii="Verdana" w:hAnsi="Verdana"/>
          <w:sz w:val="20"/>
          <w:szCs w:val="20"/>
        </w:rPr>
        <w:t xml:space="preserve"> debía ser </w:t>
      </w:r>
      <w:r w:rsidRPr="00772F06">
        <w:rPr>
          <w:rFonts w:ascii="Verdana" w:hAnsi="Verdana"/>
          <w:sz w:val="20"/>
          <w:szCs w:val="20"/>
        </w:rPr>
        <w:t>analizado en el capítulo relativo a las consideraciones previas al referirse más propiamente al marco fáctico del caso</w:t>
      </w:r>
      <w:r>
        <w:rPr>
          <w:rFonts w:ascii="Verdana" w:hAnsi="Verdana"/>
          <w:sz w:val="20"/>
          <w:szCs w:val="20"/>
        </w:rPr>
        <w:t xml:space="preserve">. Al respecto, </w:t>
      </w:r>
      <w:r w:rsidR="00810293">
        <w:rPr>
          <w:rFonts w:ascii="Verdana" w:hAnsi="Verdana"/>
          <w:sz w:val="20"/>
          <w:szCs w:val="20"/>
        </w:rPr>
        <w:t>la Corte notó que l</w:t>
      </w:r>
      <w:r w:rsidR="00810293" w:rsidRPr="00DE5E39">
        <w:rPr>
          <w:rFonts w:ascii="Verdana" w:eastAsia="Batang" w:hAnsi="Verdana"/>
          <w:sz w:val="20"/>
          <w:szCs w:val="24"/>
        </w:rPr>
        <w:t xml:space="preserve">os alegatos del Estado </w:t>
      </w:r>
      <w:r w:rsidR="00810293">
        <w:rPr>
          <w:rFonts w:ascii="Verdana" w:eastAsia="Batang" w:hAnsi="Verdana"/>
          <w:sz w:val="20"/>
          <w:szCs w:val="24"/>
        </w:rPr>
        <w:t>pretendía</w:t>
      </w:r>
      <w:r w:rsidR="00810293" w:rsidRPr="00DE5E39">
        <w:rPr>
          <w:rFonts w:ascii="Verdana" w:eastAsia="Batang" w:hAnsi="Verdana"/>
          <w:sz w:val="20"/>
          <w:szCs w:val="24"/>
        </w:rPr>
        <w:t xml:space="preserve">n excluir determinados hechos presentados por los representantes, los cuales apuntarían a probar la supuesta violación al derecho a la integridad personal de los familiares de las presuntas víctimas, y </w:t>
      </w:r>
      <w:r w:rsidRPr="00772F06">
        <w:rPr>
          <w:rFonts w:ascii="Verdana" w:eastAsia="Times New Roman" w:hAnsi="Verdana"/>
          <w:sz w:val="20"/>
          <w:szCs w:val="16"/>
          <w:lang w:eastAsia="es-ES"/>
        </w:rPr>
        <w:t>estim</w:t>
      </w:r>
      <w:r>
        <w:rPr>
          <w:rFonts w:ascii="Verdana" w:eastAsia="Times New Roman" w:hAnsi="Verdana"/>
          <w:sz w:val="20"/>
          <w:szCs w:val="16"/>
          <w:lang w:eastAsia="es-ES"/>
        </w:rPr>
        <w:t>ó</w:t>
      </w:r>
      <w:r w:rsidRPr="00772F06">
        <w:rPr>
          <w:rFonts w:ascii="Verdana" w:eastAsia="Times New Roman" w:hAnsi="Verdana"/>
          <w:sz w:val="20"/>
          <w:szCs w:val="16"/>
          <w:lang w:eastAsia="es-ES"/>
        </w:rPr>
        <w:t xml:space="preserve"> que </w:t>
      </w:r>
      <w:r w:rsidR="00810293">
        <w:rPr>
          <w:rFonts w:ascii="Verdana" w:eastAsia="Times New Roman" w:hAnsi="Verdana"/>
          <w:sz w:val="20"/>
          <w:szCs w:val="16"/>
          <w:lang w:eastAsia="es-ES"/>
        </w:rPr>
        <w:t>los mismos</w:t>
      </w:r>
      <w:r w:rsidRPr="00772F06">
        <w:rPr>
          <w:rFonts w:ascii="Verdana" w:eastAsia="Times New Roman" w:hAnsi="Verdana"/>
          <w:sz w:val="20"/>
          <w:szCs w:val="16"/>
          <w:lang w:eastAsia="es-ES"/>
        </w:rPr>
        <w:t xml:space="preserve"> constituyen hechos explicativos o aclaratorios de los hechos contenidos en el marco fáctico fijado por el </w:t>
      </w:r>
      <w:r w:rsidRPr="00772F06">
        <w:rPr>
          <w:rFonts w:ascii="Verdana" w:hAnsi="Verdana"/>
          <w:sz w:val="20"/>
          <w:szCs w:val="20"/>
        </w:rPr>
        <w:t>Informe de Fondo No. 66/11</w:t>
      </w:r>
      <w:r w:rsidRPr="00772F06">
        <w:rPr>
          <w:rFonts w:ascii="Verdana" w:eastAsia="Times New Roman" w:hAnsi="Verdana"/>
          <w:sz w:val="20"/>
          <w:szCs w:val="16"/>
          <w:lang w:eastAsia="es-ES"/>
        </w:rPr>
        <w:t xml:space="preserve">. Por lo tanto, los argumentos del Estado </w:t>
      </w:r>
      <w:r>
        <w:rPr>
          <w:rFonts w:ascii="Verdana" w:eastAsia="Times New Roman" w:hAnsi="Verdana"/>
          <w:sz w:val="20"/>
          <w:szCs w:val="16"/>
          <w:lang w:eastAsia="es-ES"/>
        </w:rPr>
        <w:t>fueron</w:t>
      </w:r>
      <w:r w:rsidRPr="00772F06">
        <w:rPr>
          <w:rFonts w:ascii="Verdana" w:eastAsia="Times New Roman" w:hAnsi="Verdana"/>
          <w:sz w:val="20"/>
          <w:szCs w:val="16"/>
          <w:lang w:eastAsia="es-ES"/>
        </w:rPr>
        <w:t xml:space="preserve"> desestima</w:t>
      </w:r>
      <w:r>
        <w:rPr>
          <w:rFonts w:ascii="Verdana" w:eastAsia="Times New Roman" w:hAnsi="Verdana"/>
          <w:sz w:val="20"/>
          <w:szCs w:val="16"/>
          <w:lang w:eastAsia="es-ES"/>
        </w:rPr>
        <w:t>dos</w:t>
      </w:r>
      <w:r w:rsidRPr="00772F06">
        <w:rPr>
          <w:rFonts w:ascii="Verdana" w:eastAsia="Times New Roman" w:hAnsi="Verdana"/>
          <w:sz w:val="20"/>
          <w:szCs w:val="16"/>
          <w:lang w:eastAsia="es-ES"/>
        </w:rPr>
        <w:t xml:space="preserve"> como asuntos preliminares</w:t>
      </w:r>
      <w:r>
        <w:rPr>
          <w:rFonts w:ascii="Verdana" w:eastAsia="Times New Roman" w:hAnsi="Verdana"/>
          <w:sz w:val="20"/>
          <w:szCs w:val="16"/>
          <w:lang w:eastAsia="es-ES"/>
        </w:rPr>
        <w:t>.</w:t>
      </w:r>
    </w:p>
    <w:p w:rsidR="00F971A8" w:rsidRDefault="00F971A8" w:rsidP="00F971A8">
      <w:pPr>
        <w:spacing w:after="0" w:line="240" w:lineRule="auto"/>
        <w:jc w:val="both"/>
        <w:rPr>
          <w:rFonts w:ascii="Verdana" w:eastAsia="Times New Roman" w:hAnsi="Verdana"/>
          <w:sz w:val="20"/>
          <w:szCs w:val="20"/>
          <w:lang w:eastAsia="es-ES"/>
        </w:rPr>
      </w:pPr>
    </w:p>
    <w:p w:rsidR="006330F4" w:rsidRPr="002A1893" w:rsidRDefault="006330F4" w:rsidP="002A1893">
      <w:pPr>
        <w:spacing w:after="0" w:line="240" w:lineRule="auto"/>
        <w:jc w:val="both"/>
        <w:rPr>
          <w:rFonts w:ascii="Verdana" w:eastAsia="Times" w:hAnsi="Verdana"/>
          <w:sz w:val="20"/>
          <w:szCs w:val="20"/>
        </w:rPr>
      </w:pPr>
      <w:r>
        <w:rPr>
          <w:rFonts w:ascii="Verdana" w:eastAsia="Times" w:hAnsi="Verdana"/>
          <w:sz w:val="20"/>
          <w:szCs w:val="20"/>
        </w:rPr>
        <w:t xml:space="preserve">Además, </w:t>
      </w:r>
      <w:r w:rsidRPr="00772F06">
        <w:rPr>
          <w:rFonts w:ascii="Verdana" w:hAnsi="Verdana"/>
          <w:sz w:val="20"/>
          <w:szCs w:val="20"/>
        </w:rPr>
        <w:t>la Corte realiz</w:t>
      </w:r>
      <w:r>
        <w:rPr>
          <w:rFonts w:ascii="Verdana" w:hAnsi="Verdana"/>
          <w:sz w:val="20"/>
          <w:szCs w:val="20"/>
        </w:rPr>
        <w:t>ó</w:t>
      </w:r>
      <w:r w:rsidRPr="00772F06">
        <w:rPr>
          <w:rFonts w:ascii="Verdana" w:hAnsi="Verdana"/>
          <w:sz w:val="20"/>
          <w:szCs w:val="20"/>
        </w:rPr>
        <w:t xml:space="preserve"> las determinaciones correspondientes respecto a la calidad de presunta víctima de Lucinda Rojas Landa</w:t>
      </w:r>
      <w:r w:rsidR="00F971A8">
        <w:rPr>
          <w:rFonts w:ascii="Verdana" w:hAnsi="Verdana"/>
          <w:sz w:val="20"/>
          <w:szCs w:val="20"/>
        </w:rPr>
        <w:t>. Al respecto, la Corte consideró</w:t>
      </w:r>
      <w:r w:rsidR="00F971A8" w:rsidRPr="00772F06">
        <w:rPr>
          <w:rFonts w:ascii="Verdana" w:hAnsi="Verdana"/>
          <w:sz w:val="20"/>
          <w:szCs w:val="20"/>
        </w:rPr>
        <w:t xml:space="preserve"> que asist</w:t>
      </w:r>
      <w:r w:rsidR="004E2329">
        <w:rPr>
          <w:rFonts w:ascii="Verdana" w:hAnsi="Verdana"/>
          <w:sz w:val="20"/>
          <w:szCs w:val="20"/>
        </w:rPr>
        <w:t>ía</w:t>
      </w:r>
      <w:r w:rsidR="00AE633D">
        <w:rPr>
          <w:rFonts w:ascii="Verdana" w:hAnsi="Verdana"/>
          <w:sz w:val="20"/>
          <w:szCs w:val="20"/>
        </w:rPr>
        <w:t xml:space="preserve"> razón al Estado en que no estaba</w:t>
      </w:r>
      <w:r w:rsidR="00F971A8" w:rsidRPr="00772F06">
        <w:rPr>
          <w:rFonts w:ascii="Verdana" w:hAnsi="Verdana"/>
          <w:sz w:val="20"/>
          <w:szCs w:val="20"/>
        </w:rPr>
        <w:t xml:space="preserve"> acreditado el vínculo familiar al momento de los hechos de Lucinda Rojas Landa con Eduardo Nicolás Cruz Sánchez, por lo que no </w:t>
      </w:r>
      <w:r w:rsidR="00AE633D">
        <w:rPr>
          <w:rFonts w:ascii="Verdana" w:hAnsi="Verdana"/>
          <w:sz w:val="20"/>
          <w:szCs w:val="20"/>
        </w:rPr>
        <w:t>fue</w:t>
      </w:r>
      <w:r w:rsidR="00F971A8" w:rsidRPr="00772F06">
        <w:rPr>
          <w:rFonts w:ascii="Verdana" w:hAnsi="Verdana"/>
          <w:sz w:val="20"/>
          <w:szCs w:val="20"/>
        </w:rPr>
        <w:t xml:space="preserve"> considerada como presunta víctima en el presente caso.</w:t>
      </w:r>
    </w:p>
    <w:p w:rsidR="006330F4" w:rsidRPr="002A1893" w:rsidRDefault="006330F4" w:rsidP="002A1893">
      <w:pPr>
        <w:spacing w:after="0" w:line="240" w:lineRule="auto"/>
        <w:jc w:val="both"/>
        <w:rPr>
          <w:rFonts w:ascii="Verdana" w:eastAsia="Times" w:hAnsi="Verdana"/>
          <w:b/>
          <w:sz w:val="20"/>
          <w:szCs w:val="20"/>
        </w:rPr>
      </w:pPr>
    </w:p>
    <w:p w:rsidR="00A824B8" w:rsidRDefault="00A824B8" w:rsidP="00A824B8">
      <w:pPr>
        <w:pStyle w:val="ListParagraph"/>
        <w:spacing w:after="0" w:line="240" w:lineRule="auto"/>
        <w:ind w:left="708"/>
        <w:jc w:val="both"/>
        <w:rPr>
          <w:rFonts w:ascii="Verdana" w:eastAsia="Times" w:hAnsi="Verdana"/>
          <w:b/>
          <w:sz w:val="20"/>
          <w:szCs w:val="20"/>
        </w:rPr>
      </w:pPr>
      <w:r>
        <w:rPr>
          <w:rFonts w:ascii="Verdana" w:eastAsia="Times" w:hAnsi="Verdana"/>
          <w:b/>
          <w:sz w:val="20"/>
          <w:szCs w:val="20"/>
        </w:rPr>
        <w:t>III. Fondo</w:t>
      </w:r>
    </w:p>
    <w:p w:rsidR="00A824B8" w:rsidRDefault="00A824B8" w:rsidP="006330F4">
      <w:pPr>
        <w:spacing w:after="0" w:line="240" w:lineRule="auto"/>
        <w:jc w:val="both"/>
        <w:rPr>
          <w:rFonts w:ascii="Verdana" w:eastAsia="Times" w:hAnsi="Verdana"/>
          <w:sz w:val="20"/>
          <w:szCs w:val="20"/>
        </w:rPr>
      </w:pPr>
    </w:p>
    <w:p w:rsidR="00C00C60" w:rsidRPr="00772F06" w:rsidRDefault="00C00C60" w:rsidP="00C00C60">
      <w:pPr>
        <w:tabs>
          <w:tab w:val="left" w:pos="720"/>
          <w:tab w:val="num" w:pos="1569"/>
          <w:tab w:val="num" w:pos="5057"/>
        </w:tabs>
        <w:spacing w:after="0" w:line="240" w:lineRule="auto"/>
        <w:ind w:right="-90"/>
        <w:jc w:val="both"/>
        <w:rPr>
          <w:rFonts w:ascii="Verdana" w:eastAsia="Batang" w:hAnsi="Verdana" w:cs="Times"/>
          <w:sz w:val="20"/>
          <w:szCs w:val="20"/>
        </w:rPr>
      </w:pPr>
      <w:r>
        <w:rPr>
          <w:rFonts w:ascii="Verdana" w:eastAsia="Times" w:hAnsi="Verdana"/>
          <w:sz w:val="20"/>
          <w:szCs w:val="20"/>
        </w:rPr>
        <w:t xml:space="preserve">La Corte reiteró </w:t>
      </w:r>
      <w:r w:rsidRPr="00772F06">
        <w:rPr>
          <w:rFonts w:ascii="Verdana" w:hAnsi="Verdana" w:cs="Verdana"/>
          <w:sz w:val="20"/>
          <w:szCs w:val="20"/>
        </w:rPr>
        <w:t xml:space="preserve">que </w:t>
      </w:r>
      <w:r w:rsidR="004E2329" w:rsidRPr="00DE5E39">
        <w:rPr>
          <w:rFonts w:ascii="Verdana" w:hAnsi="Verdana" w:cs="Verdana"/>
          <w:sz w:val="20"/>
          <w:szCs w:val="20"/>
        </w:rPr>
        <w:t xml:space="preserve">la evaluación sobre el uso de la fuerza debe hacerse sobre todas las circunstancias y el contexto de los hechos. </w:t>
      </w:r>
      <w:r w:rsidR="004E2329" w:rsidRPr="00DE5E39">
        <w:rPr>
          <w:rFonts w:ascii="Verdana" w:eastAsia="Batang" w:hAnsi="Verdana" w:cs="Times"/>
          <w:sz w:val="20"/>
          <w:szCs w:val="20"/>
        </w:rPr>
        <w:t>En el caso bajo examen</w:t>
      </w:r>
      <w:r w:rsidR="004E2329">
        <w:rPr>
          <w:rFonts w:ascii="Verdana" w:eastAsia="Batang" w:hAnsi="Verdana" w:cs="Times"/>
          <w:sz w:val="20"/>
          <w:szCs w:val="20"/>
        </w:rPr>
        <w:t>, la Corte notó</w:t>
      </w:r>
      <w:r w:rsidR="004E2329" w:rsidRPr="00DE5E39">
        <w:rPr>
          <w:rFonts w:ascii="Verdana" w:eastAsia="Batang" w:hAnsi="Verdana" w:cs="Times"/>
          <w:sz w:val="20"/>
          <w:szCs w:val="20"/>
        </w:rPr>
        <w:t xml:space="preserve"> que exist</w:t>
      </w:r>
      <w:r w:rsidR="004E2329">
        <w:rPr>
          <w:rFonts w:ascii="Verdana" w:eastAsia="Batang" w:hAnsi="Verdana" w:cs="Times"/>
          <w:sz w:val="20"/>
          <w:szCs w:val="20"/>
        </w:rPr>
        <w:t>ía</w:t>
      </w:r>
      <w:r w:rsidR="004E2329" w:rsidRPr="00DE5E39">
        <w:rPr>
          <w:rFonts w:ascii="Verdana" w:eastAsia="Batang" w:hAnsi="Verdana" w:cs="Times"/>
          <w:sz w:val="20"/>
          <w:szCs w:val="20"/>
        </w:rPr>
        <w:t>n tres particularidades que e</w:t>
      </w:r>
      <w:r w:rsidR="00826FDC">
        <w:rPr>
          <w:rFonts w:ascii="Verdana" w:eastAsia="Batang" w:hAnsi="Verdana" w:cs="Times"/>
          <w:sz w:val="20"/>
          <w:szCs w:val="20"/>
        </w:rPr>
        <w:t>ra</w:t>
      </w:r>
      <w:r w:rsidR="004E2329" w:rsidRPr="00DE5E39">
        <w:rPr>
          <w:rFonts w:ascii="Verdana" w:eastAsia="Batang" w:hAnsi="Verdana" w:cs="Times"/>
          <w:sz w:val="20"/>
          <w:szCs w:val="20"/>
        </w:rPr>
        <w:t xml:space="preserve"> necesario tener en debida cuenta para definir los criterios aplicables para realizar el análisis de las obligaciones del Estado respecto al uso de la fuerza letal en la operación </w:t>
      </w:r>
      <w:r w:rsidR="004E2329" w:rsidRPr="00DE5E39">
        <w:rPr>
          <w:rFonts w:ascii="Verdana" w:eastAsia="Batang" w:hAnsi="Verdana" w:cs="Times"/>
          <w:sz w:val="20"/>
          <w:szCs w:val="20"/>
        </w:rPr>
        <w:lastRenderedPageBreak/>
        <w:t>Chavín de Huántar a la luz del artículo 4 de la Convención Americana: primero, la existencia de un conflicto armado de carácter no internacional; en segundo término, el contexto en el cual se dio el uso de la fuerza contra los miembros del MRTA, esto es, en el marco de una operación de rescate de rehenes, y tercero que, a diferencia de otros casos, las presuntas víctimas en este caso no eran civiles sino integrantes del MRTA, quienes participaron en forma activa en las hostilidades.</w:t>
      </w:r>
    </w:p>
    <w:p w:rsidR="00C00C60" w:rsidRPr="00C00C60" w:rsidRDefault="00C00C60" w:rsidP="006330F4">
      <w:pPr>
        <w:spacing w:after="0" w:line="240" w:lineRule="auto"/>
        <w:jc w:val="both"/>
        <w:rPr>
          <w:rFonts w:ascii="Verdana" w:eastAsia="Times" w:hAnsi="Verdana"/>
          <w:sz w:val="20"/>
          <w:szCs w:val="20"/>
        </w:rPr>
      </w:pPr>
    </w:p>
    <w:p w:rsidR="00C00C60" w:rsidRPr="00A779E4" w:rsidRDefault="00C00C60" w:rsidP="00DD663E">
      <w:pPr>
        <w:spacing w:after="0" w:line="240" w:lineRule="auto"/>
        <w:jc w:val="both"/>
        <w:rPr>
          <w:rFonts w:ascii="Verdana" w:eastAsia="Batang" w:hAnsi="Verdana" w:cs="Times"/>
          <w:sz w:val="20"/>
          <w:szCs w:val="20"/>
        </w:rPr>
      </w:pPr>
      <w:r w:rsidRPr="00C00C60">
        <w:rPr>
          <w:rFonts w:ascii="Verdana" w:eastAsia="Times" w:hAnsi="Verdana"/>
          <w:sz w:val="20"/>
          <w:szCs w:val="20"/>
        </w:rPr>
        <w:t xml:space="preserve">La Corte consideró que </w:t>
      </w:r>
      <w:r w:rsidRPr="00D6121F">
        <w:rPr>
          <w:rFonts w:ascii="Verdana" w:eastAsia="Batang" w:hAnsi="Verdana" w:cs="Times"/>
          <w:sz w:val="20"/>
          <w:szCs w:val="20"/>
        </w:rPr>
        <w:t>l</w:t>
      </w:r>
      <w:r w:rsidRPr="00D6121F">
        <w:rPr>
          <w:rFonts w:ascii="Verdana" w:hAnsi="Verdana"/>
          <w:sz w:val="20"/>
          <w:szCs w:val="20"/>
        </w:rPr>
        <w:t xml:space="preserve">as acciones del MRTA </w:t>
      </w:r>
      <w:r w:rsidRPr="004E2329">
        <w:rPr>
          <w:rFonts w:ascii="Verdana" w:hAnsi="Verdana"/>
          <w:sz w:val="20"/>
          <w:szCs w:val="20"/>
        </w:rPr>
        <w:t xml:space="preserve">correspondían a una toma de rehenes, al </w:t>
      </w:r>
      <w:r w:rsidRPr="004E2329">
        <w:rPr>
          <w:rFonts w:ascii="Verdana" w:eastAsia="Batang" w:hAnsi="Verdana" w:cs="Times"/>
          <w:sz w:val="20"/>
          <w:szCs w:val="20"/>
        </w:rPr>
        <w:t>hacer un uso indebido de una ambulancia para esquivar el control policial, lograr el ingreso</w:t>
      </w:r>
      <w:r w:rsidRPr="00D6121F">
        <w:rPr>
          <w:rFonts w:ascii="Verdana" w:eastAsia="Batang" w:hAnsi="Verdana" w:cs="Times"/>
          <w:sz w:val="20"/>
          <w:szCs w:val="20"/>
        </w:rPr>
        <w:t xml:space="preserve"> a la </w:t>
      </w:r>
      <w:r w:rsidRPr="009A6BAF">
        <w:rPr>
          <w:rFonts w:ascii="Verdana" w:eastAsia="Batang" w:hAnsi="Verdana" w:cs="Times"/>
          <w:sz w:val="20"/>
          <w:szCs w:val="20"/>
        </w:rPr>
        <w:t>residencia del Embajador de Japón</w:t>
      </w:r>
      <w:r w:rsidRPr="009A6BAF">
        <w:rPr>
          <w:rFonts w:ascii="Verdana" w:hAnsi="Verdana"/>
          <w:sz w:val="20"/>
          <w:szCs w:val="20"/>
        </w:rPr>
        <w:t xml:space="preserve"> y retener a los invitados, algunos de los cuales permanecieron secuestrados durante un período de cuatro meses, a cambio de</w:t>
      </w:r>
      <w:r>
        <w:rPr>
          <w:rFonts w:ascii="Verdana" w:hAnsi="Verdana"/>
          <w:sz w:val="20"/>
          <w:szCs w:val="20"/>
        </w:rPr>
        <w:t xml:space="preserve"> la exigencia de</w:t>
      </w:r>
      <w:r w:rsidRPr="009A6BAF">
        <w:rPr>
          <w:rFonts w:ascii="Verdana" w:hAnsi="Verdana"/>
          <w:sz w:val="20"/>
          <w:szCs w:val="20"/>
        </w:rPr>
        <w:t xml:space="preserve"> unas contrapartidas por parte del Estado</w:t>
      </w:r>
      <w:r w:rsidRPr="00A779E4">
        <w:rPr>
          <w:rFonts w:ascii="Verdana" w:hAnsi="Verdana"/>
          <w:sz w:val="20"/>
          <w:szCs w:val="20"/>
        </w:rPr>
        <w:t>.</w:t>
      </w:r>
      <w:r w:rsidRPr="00A779E4">
        <w:rPr>
          <w:rFonts w:ascii="Verdana" w:eastAsia="Batang" w:hAnsi="Verdana" w:cs="Times"/>
          <w:sz w:val="20"/>
          <w:szCs w:val="20"/>
        </w:rPr>
        <w:t xml:space="preserve"> Al respecto, </w:t>
      </w:r>
      <w:r w:rsidR="00826FDC">
        <w:rPr>
          <w:rFonts w:ascii="Verdana" w:eastAsia="Batang" w:hAnsi="Verdana" w:cs="Times"/>
          <w:sz w:val="20"/>
          <w:szCs w:val="20"/>
        </w:rPr>
        <w:t>la Corte</w:t>
      </w:r>
      <w:r w:rsidRPr="00A779E4">
        <w:rPr>
          <w:rFonts w:ascii="Verdana" w:eastAsia="Batang" w:hAnsi="Verdana" w:cs="Times"/>
          <w:sz w:val="20"/>
          <w:szCs w:val="20"/>
        </w:rPr>
        <w:t xml:space="preserve"> record</w:t>
      </w:r>
      <w:r w:rsidR="00826FDC">
        <w:rPr>
          <w:rFonts w:ascii="Verdana" w:eastAsia="Batang" w:hAnsi="Verdana" w:cs="Times"/>
          <w:sz w:val="20"/>
          <w:szCs w:val="20"/>
        </w:rPr>
        <w:t>ó</w:t>
      </w:r>
      <w:r w:rsidRPr="00A779E4">
        <w:rPr>
          <w:rFonts w:ascii="Verdana" w:eastAsia="Batang" w:hAnsi="Verdana" w:cs="Times"/>
          <w:sz w:val="20"/>
          <w:szCs w:val="20"/>
        </w:rPr>
        <w:t xml:space="preserve"> que tales actos se encuentran prohibidos “en cualquier tiempo y lugar”.</w:t>
      </w:r>
    </w:p>
    <w:p w:rsidR="00C00C60" w:rsidRPr="00772F06" w:rsidRDefault="00C00C60" w:rsidP="00C00C60">
      <w:pPr>
        <w:autoSpaceDE w:val="0"/>
        <w:autoSpaceDN w:val="0"/>
        <w:adjustRightInd w:val="0"/>
        <w:spacing w:after="0" w:line="240" w:lineRule="auto"/>
        <w:jc w:val="both"/>
        <w:rPr>
          <w:rFonts w:ascii="Verdana" w:hAnsi="Verdana"/>
          <w:sz w:val="20"/>
          <w:szCs w:val="20"/>
        </w:rPr>
      </w:pPr>
    </w:p>
    <w:p w:rsidR="00C00C60" w:rsidRPr="008734E0" w:rsidRDefault="00DD663E" w:rsidP="00DD663E">
      <w:pPr>
        <w:tabs>
          <w:tab w:val="left" w:pos="720"/>
          <w:tab w:val="num" w:pos="5057"/>
          <w:tab w:val="num" w:pos="5625"/>
        </w:tabs>
        <w:spacing w:after="0" w:line="240" w:lineRule="auto"/>
        <w:ind w:right="-90"/>
        <w:jc w:val="both"/>
        <w:rPr>
          <w:rFonts w:ascii="Verdana" w:hAnsi="Verdana"/>
          <w:sz w:val="20"/>
          <w:szCs w:val="20"/>
        </w:rPr>
      </w:pPr>
      <w:r>
        <w:rPr>
          <w:rFonts w:ascii="Verdana" w:hAnsi="Verdana"/>
          <w:sz w:val="20"/>
          <w:szCs w:val="20"/>
        </w:rPr>
        <w:t>L</w:t>
      </w:r>
      <w:r w:rsidR="00C00C60" w:rsidRPr="008734E0">
        <w:rPr>
          <w:rFonts w:ascii="Verdana" w:hAnsi="Verdana"/>
          <w:sz w:val="20"/>
          <w:szCs w:val="20"/>
        </w:rPr>
        <w:t>a Corte</w:t>
      </w:r>
      <w:r w:rsidR="00C00C60">
        <w:rPr>
          <w:rFonts w:ascii="Verdana" w:hAnsi="Verdana"/>
          <w:sz w:val="20"/>
          <w:szCs w:val="20"/>
        </w:rPr>
        <w:t xml:space="preserve"> </w:t>
      </w:r>
      <w:r w:rsidR="00C00C60" w:rsidRPr="008734E0">
        <w:rPr>
          <w:rFonts w:ascii="Verdana" w:hAnsi="Verdana"/>
          <w:sz w:val="20"/>
          <w:szCs w:val="20"/>
        </w:rPr>
        <w:t>coincid</w:t>
      </w:r>
      <w:r>
        <w:rPr>
          <w:rFonts w:ascii="Verdana" w:hAnsi="Verdana"/>
          <w:sz w:val="20"/>
          <w:szCs w:val="20"/>
        </w:rPr>
        <w:t>ió</w:t>
      </w:r>
      <w:r w:rsidR="00C00C60" w:rsidRPr="008734E0">
        <w:rPr>
          <w:rFonts w:ascii="Verdana" w:hAnsi="Verdana"/>
          <w:sz w:val="20"/>
          <w:szCs w:val="20"/>
        </w:rPr>
        <w:t xml:space="preserve"> con las </w:t>
      </w:r>
      <w:r w:rsidR="005D123E">
        <w:rPr>
          <w:rFonts w:ascii="Verdana" w:hAnsi="Verdana"/>
          <w:sz w:val="20"/>
          <w:szCs w:val="20"/>
        </w:rPr>
        <w:t>partes y la Comisión y consideró</w:t>
      </w:r>
      <w:r w:rsidR="00C00C60" w:rsidRPr="008734E0">
        <w:rPr>
          <w:rFonts w:ascii="Verdana" w:hAnsi="Verdana"/>
          <w:sz w:val="20"/>
          <w:szCs w:val="20"/>
        </w:rPr>
        <w:t xml:space="preserve"> que, dado que la toma de rehenes se produjo con ocasión y en desarrollo de un conflicto armado interno, tal como lo ha hecho en otras oportunidades resulta</w:t>
      </w:r>
      <w:r>
        <w:rPr>
          <w:rFonts w:ascii="Verdana" w:hAnsi="Verdana"/>
          <w:sz w:val="20"/>
          <w:szCs w:val="20"/>
        </w:rPr>
        <w:t>ba</w:t>
      </w:r>
      <w:r w:rsidR="00C00C60" w:rsidRPr="008734E0">
        <w:rPr>
          <w:rFonts w:ascii="Verdana" w:hAnsi="Verdana"/>
          <w:sz w:val="20"/>
          <w:szCs w:val="20"/>
        </w:rPr>
        <w:t xml:space="preserve"> útil y apropiado, habida consideración de su especificidad en la materia, tener en cuenta el artículo 3 común a los cuatro Convenios de Ginebra y el derecho internacional humanitario consuetudinario.</w:t>
      </w:r>
    </w:p>
    <w:p w:rsidR="00C00C60" w:rsidRPr="008734E0" w:rsidRDefault="00C00C60" w:rsidP="00C00C60">
      <w:pPr>
        <w:autoSpaceDE w:val="0"/>
        <w:autoSpaceDN w:val="0"/>
        <w:adjustRightInd w:val="0"/>
        <w:spacing w:after="0" w:line="240" w:lineRule="auto"/>
        <w:jc w:val="both"/>
        <w:rPr>
          <w:rFonts w:ascii="Verdana" w:hAnsi="Verdana"/>
          <w:sz w:val="20"/>
          <w:szCs w:val="20"/>
        </w:rPr>
      </w:pPr>
    </w:p>
    <w:p w:rsidR="004E2329" w:rsidRDefault="00C00C60" w:rsidP="00DD663E">
      <w:pPr>
        <w:spacing w:after="0" w:line="240" w:lineRule="auto"/>
        <w:jc w:val="both"/>
        <w:rPr>
          <w:rFonts w:ascii="Verdana" w:eastAsia="Batang" w:hAnsi="Verdana" w:cs="Times"/>
          <w:sz w:val="20"/>
          <w:szCs w:val="20"/>
        </w:rPr>
      </w:pPr>
      <w:r w:rsidRPr="00772F06">
        <w:rPr>
          <w:rFonts w:ascii="Verdana" w:eastAsia="Batang" w:hAnsi="Verdana" w:cs="Times"/>
          <w:sz w:val="20"/>
          <w:szCs w:val="20"/>
        </w:rPr>
        <w:t>En consecuencia y a los efectos del presente caso, la Corte not</w:t>
      </w:r>
      <w:r w:rsidR="00DD663E">
        <w:rPr>
          <w:rFonts w:ascii="Verdana" w:eastAsia="Batang" w:hAnsi="Verdana" w:cs="Times"/>
          <w:sz w:val="20"/>
          <w:szCs w:val="20"/>
        </w:rPr>
        <w:t>ó</w:t>
      </w:r>
      <w:r w:rsidRPr="00772F06">
        <w:rPr>
          <w:rFonts w:ascii="Verdana" w:eastAsia="Batang" w:hAnsi="Verdana" w:cs="Times"/>
          <w:sz w:val="20"/>
          <w:szCs w:val="20"/>
        </w:rPr>
        <w:t xml:space="preserve"> que el derecho internacional humanitario no desplaza la aplicabilidad del artículo 4 </w:t>
      </w:r>
      <w:r w:rsidR="00DD663E">
        <w:rPr>
          <w:rFonts w:ascii="Verdana" w:eastAsia="Batang" w:hAnsi="Verdana" w:cs="Times"/>
          <w:sz w:val="20"/>
          <w:szCs w:val="20"/>
        </w:rPr>
        <w:t>de la Convención, sino que nutr</w:t>
      </w:r>
      <w:r w:rsidR="005D123E">
        <w:rPr>
          <w:rFonts w:ascii="Verdana" w:eastAsia="Batang" w:hAnsi="Verdana" w:cs="Times"/>
          <w:sz w:val="20"/>
          <w:szCs w:val="20"/>
        </w:rPr>
        <w:t>e</w:t>
      </w:r>
      <w:r w:rsidRPr="00772F06">
        <w:rPr>
          <w:rFonts w:ascii="Verdana" w:eastAsia="Batang" w:hAnsi="Verdana" w:cs="Times"/>
          <w:sz w:val="20"/>
          <w:szCs w:val="20"/>
        </w:rPr>
        <w:t xml:space="preserve"> la interpretación de la cláusula convencional que prohíbe la privación arbitraria de la vida en razón de que los hechos sucedieron en el marco de un conflicto armado</w:t>
      </w:r>
      <w:r>
        <w:rPr>
          <w:rFonts w:ascii="Verdana" w:eastAsia="Batang" w:hAnsi="Verdana" w:cs="Times"/>
          <w:sz w:val="20"/>
          <w:szCs w:val="20"/>
        </w:rPr>
        <w:t xml:space="preserve"> y con ocasión del mismo</w:t>
      </w:r>
      <w:r w:rsidRPr="00772F06">
        <w:rPr>
          <w:rFonts w:ascii="Verdana" w:eastAsia="Batang" w:hAnsi="Verdana" w:cs="Times"/>
          <w:sz w:val="20"/>
          <w:szCs w:val="20"/>
        </w:rPr>
        <w:t>.</w:t>
      </w:r>
    </w:p>
    <w:p w:rsidR="004E2329" w:rsidRDefault="004E2329" w:rsidP="00DD663E">
      <w:pPr>
        <w:spacing w:after="0" w:line="240" w:lineRule="auto"/>
        <w:jc w:val="both"/>
        <w:rPr>
          <w:rFonts w:ascii="Verdana" w:eastAsia="Batang" w:hAnsi="Verdana" w:cs="Times"/>
          <w:sz w:val="20"/>
          <w:szCs w:val="20"/>
        </w:rPr>
      </w:pPr>
    </w:p>
    <w:p w:rsidR="00C00C60" w:rsidRPr="00772F06" w:rsidRDefault="00C00C60" w:rsidP="00DD663E">
      <w:pPr>
        <w:spacing w:after="0" w:line="240" w:lineRule="auto"/>
        <w:jc w:val="both"/>
        <w:rPr>
          <w:rFonts w:ascii="Verdana" w:eastAsia="Batang" w:hAnsi="Verdana" w:cs="Times"/>
          <w:sz w:val="20"/>
          <w:szCs w:val="20"/>
        </w:rPr>
      </w:pPr>
      <w:r w:rsidRPr="00772F06">
        <w:rPr>
          <w:rFonts w:ascii="Verdana" w:eastAsia="Batang" w:hAnsi="Verdana" w:cs="Times"/>
          <w:sz w:val="20"/>
          <w:szCs w:val="20"/>
        </w:rPr>
        <w:t>Por lo tanto, dado que la Convención Americana no define en forma expresa el alcance que debe otorgarle la Corte al concepto de arbitrariedad que cualifica una privación de la vida como contraria a dicho tratado en situaciones de conflicto armado, e</w:t>
      </w:r>
      <w:r w:rsidR="00DD663E">
        <w:rPr>
          <w:rFonts w:ascii="Verdana" w:eastAsia="Batang" w:hAnsi="Verdana" w:cs="Times"/>
          <w:sz w:val="20"/>
          <w:szCs w:val="20"/>
        </w:rPr>
        <w:t>ra</w:t>
      </w:r>
      <w:r w:rsidRPr="00772F06">
        <w:rPr>
          <w:rFonts w:ascii="Verdana" w:eastAsia="Batang" w:hAnsi="Verdana" w:cs="Times"/>
          <w:sz w:val="20"/>
          <w:szCs w:val="20"/>
        </w:rPr>
        <w:t xml:space="preserve"> pertinente recurrir al </w:t>
      </w:r>
      <w:r w:rsidRPr="00772F06">
        <w:rPr>
          <w:rFonts w:ascii="Verdana" w:eastAsia="Batang" w:hAnsi="Verdana" w:cs="Times"/>
          <w:i/>
          <w:sz w:val="20"/>
          <w:szCs w:val="20"/>
        </w:rPr>
        <w:t>corpus iuris</w:t>
      </w:r>
      <w:r w:rsidRPr="00772F06">
        <w:rPr>
          <w:rFonts w:ascii="Verdana" w:eastAsia="Batang" w:hAnsi="Verdana" w:cs="Times"/>
          <w:sz w:val="20"/>
          <w:szCs w:val="20"/>
        </w:rPr>
        <w:t xml:space="preserve"> de derecho internacional humanitario</w:t>
      </w:r>
      <w:r>
        <w:rPr>
          <w:rFonts w:ascii="Verdana" w:eastAsia="Batang" w:hAnsi="Verdana" w:cs="Times"/>
          <w:sz w:val="20"/>
          <w:szCs w:val="20"/>
        </w:rPr>
        <w:t xml:space="preserve"> aplicable </w:t>
      </w:r>
      <w:r w:rsidRPr="00772F06">
        <w:rPr>
          <w:rFonts w:ascii="Verdana" w:eastAsia="Batang" w:hAnsi="Verdana" w:cs="Times"/>
          <w:sz w:val="20"/>
          <w:szCs w:val="20"/>
        </w:rPr>
        <w:t xml:space="preserve">a fin de determinar el alcance de las obligaciones estatales en lo que </w:t>
      </w:r>
      <w:r>
        <w:rPr>
          <w:rFonts w:ascii="Verdana" w:eastAsia="Batang" w:hAnsi="Verdana" w:cs="Times"/>
          <w:sz w:val="20"/>
          <w:szCs w:val="20"/>
        </w:rPr>
        <w:t>concierne</w:t>
      </w:r>
      <w:r w:rsidRPr="00772F06">
        <w:rPr>
          <w:rFonts w:ascii="Verdana" w:eastAsia="Batang" w:hAnsi="Verdana" w:cs="Times"/>
          <w:sz w:val="20"/>
          <w:szCs w:val="20"/>
        </w:rPr>
        <w:t xml:space="preserve"> al respeto y garantía del derecho a la vida</w:t>
      </w:r>
      <w:r>
        <w:rPr>
          <w:rFonts w:ascii="Verdana" w:eastAsia="Batang" w:hAnsi="Verdana" w:cs="Times"/>
          <w:sz w:val="20"/>
          <w:szCs w:val="20"/>
        </w:rPr>
        <w:t xml:space="preserve"> en esas situaciones</w:t>
      </w:r>
      <w:r w:rsidRPr="00772F06">
        <w:rPr>
          <w:rFonts w:ascii="Verdana" w:eastAsia="Batang" w:hAnsi="Verdana" w:cs="Times"/>
          <w:sz w:val="20"/>
          <w:szCs w:val="20"/>
        </w:rPr>
        <w:t>. El análisis de la posible violación del artículo 4</w:t>
      </w:r>
      <w:r w:rsidRPr="00772F06">
        <w:rPr>
          <w:rFonts w:ascii="Verdana" w:hAnsi="Verdana"/>
          <w:sz w:val="20"/>
          <w:szCs w:val="20"/>
        </w:rPr>
        <w:t xml:space="preserve"> de la Convención Americana </w:t>
      </w:r>
      <w:r w:rsidRPr="00772F06">
        <w:rPr>
          <w:rFonts w:ascii="Verdana" w:eastAsia="Batang" w:hAnsi="Verdana" w:cs="Times"/>
          <w:sz w:val="20"/>
          <w:szCs w:val="20"/>
        </w:rPr>
        <w:t>deb</w:t>
      </w:r>
      <w:r w:rsidR="00DD663E">
        <w:rPr>
          <w:rFonts w:ascii="Verdana" w:eastAsia="Batang" w:hAnsi="Verdana" w:cs="Times"/>
          <w:sz w:val="20"/>
          <w:szCs w:val="20"/>
        </w:rPr>
        <w:t>ía</w:t>
      </w:r>
      <w:r w:rsidRPr="00772F06">
        <w:rPr>
          <w:rFonts w:ascii="Verdana" w:eastAsia="Batang" w:hAnsi="Verdana" w:cs="Times"/>
          <w:sz w:val="20"/>
          <w:szCs w:val="20"/>
        </w:rPr>
        <w:t xml:space="preserve">, por ende, considerar entre otros </w:t>
      </w:r>
      <w:r w:rsidRPr="00772F06">
        <w:rPr>
          <w:rFonts w:ascii="Verdana" w:hAnsi="Verdana"/>
          <w:sz w:val="20"/>
          <w:szCs w:val="20"/>
        </w:rPr>
        <w:t>el principio de distinción, el principio de proporcionalidad y el principio de precaución.</w:t>
      </w:r>
    </w:p>
    <w:p w:rsidR="00C00C60" w:rsidRDefault="00C00C60" w:rsidP="006330F4">
      <w:pPr>
        <w:spacing w:after="0" w:line="240" w:lineRule="auto"/>
        <w:jc w:val="both"/>
        <w:rPr>
          <w:rFonts w:ascii="Verdana" w:eastAsia="Times" w:hAnsi="Verdana"/>
          <w:sz w:val="20"/>
          <w:szCs w:val="20"/>
        </w:rPr>
      </w:pPr>
    </w:p>
    <w:p w:rsidR="00C00C60" w:rsidRPr="00DA421C" w:rsidRDefault="00C00C60" w:rsidP="00C00C60">
      <w:pPr>
        <w:tabs>
          <w:tab w:val="left" w:pos="720"/>
          <w:tab w:val="num" w:pos="1569"/>
          <w:tab w:val="num" w:pos="5057"/>
        </w:tabs>
        <w:spacing w:after="0" w:line="240" w:lineRule="auto"/>
        <w:ind w:right="-90"/>
        <w:jc w:val="both"/>
        <w:rPr>
          <w:rFonts w:ascii="Verdana" w:eastAsia="Batang" w:hAnsi="Verdana" w:cs="Times"/>
          <w:sz w:val="20"/>
          <w:szCs w:val="20"/>
        </w:rPr>
      </w:pPr>
      <w:r w:rsidRPr="00772F06">
        <w:rPr>
          <w:rFonts w:ascii="Verdana" w:eastAsia="Batang" w:hAnsi="Verdana" w:cs="Times"/>
          <w:sz w:val="20"/>
          <w:szCs w:val="20"/>
        </w:rPr>
        <w:t>En esta línea, la Corte reconoc</w:t>
      </w:r>
      <w:r w:rsidR="00DD663E">
        <w:rPr>
          <w:rFonts w:ascii="Verdana" w:eastAsia="Batang" w:hAnsi="Verdana" w:cs="Times"/>
          <w:sz w:val="20"/>
          <w:szCs w:val="20"/>
        </w:rPr>
        <w:t>ió</w:t>
      </w:r>
      <w:r w:rsidRPr="00772F06">
        <w:rPr>
          <w:rFonts w:ascii="Verdana" w:eastAsia="Batang" w:hAnsi="Verdana" w:cs="Times"/>
          <w:sz w:val="20"/>
          <w:szCs w:val="20"/>
        </w:rPr>
        <w:t xml:space="preserve"> que </w:t>
      </w:r>
      <w:r w:rsidR="003F69BE" w:rsidRPr="003F69BE">
        <w:rPr>
          <w:rFonts w:ascii="Verdana" w:eastAsia="Batang" w:hAnsi="Verdana" w:cs="Times"/>
          <w:sz w:val="20"/>
          <w:szCs w:val="20"/>
        </w:rPr>
        <w:t>el recurso a la fuerza por parte del Estado se produjo en el marco de una operación de las fuerzas de seguridad con un objetivo preciso: lograr la liberación de los rehenes que habían permanecido retenidos por los miembros del MRTA en la residencia del Embajador de Japón en el Perú desde el 17 de diciembre de 1996. Por ende, resultaba legítimo para el Estado recurrir al uso de la fuerza en las circunstancias del caso concreto y, en efecto, ni la Comisión Interamericana ni los representantes disputa</w:t>
      </w:r>
      <w:r w:rsidR="003F69BE">
        <w:rPr>
          <w:rFonts w:ascii="Verdana" w:eastAsia="Batang" w:hAnsi="Verdana" w:cs="Times"/>
          <w:sz w:val="20"/>
          <w:szCs w:val="20"/>
        </w:rPr>
        <w:t>ro</w:t>
      </w:r>
      <w:r w:rsidR="003F69BE" w:rsidRPr="003F69BE">
        <w:rPr>
          <w:rFonts w:ascii="Verdana" w:eastAsia="Batang" w:hAnsi="Verdana" w:cs="Times"/>
          <w:sz w:val="20"/>
          <w:szCs w:val="20"/>
        </w:rPr>
        <w:t>n en el presente caso la legitimidad del operativo, en tanto respondía a la necesidad de liberar a los rehenes con vida</w:t>
      </w:r>
      <w:r w:rsidR="004E2329">
        <w:rPr>
          <w:rFonts w:ascii="Verdana" w:eastAsia="Batang" w:hAnsi="Verdana" w:cs="Times"/>
          <w:sz w:val="20"/>
          <w:szCs w:val="20"/>
        </w:rPr>
        <w:t>.</w:t>
      </w:r>
      <w:r w:rsidR="004E2329" w:rsidRPr="00DE5E39">
        <w:rPr>
          <w:rFonts w:ascii="Verdana" w:eastAsia="Batang" w:hAnsi="Verdana" w:cs="Times"/>
          <w:sz w:val="20"/>
          <w:szCs w:val="20"/>
        </w:rPr>
        <w:t xml:space="preserve"> </w:t>
      </w:r>
      <w:r w:rsidRPr="00DA421C">
        <w:rPr>
          <w:rFonts w:ascii="Verdana" w:eastAsia="Batang" w:hAnsi="Verdana" w:cs="Times"/>
          <w:sz w:val="20"/>
          <w:szCs w:val="20"/>
        </w:rPr>
        <w:t xml:space="preserve">Por consiguiente, correspondía al Estado adoptar todas las medidas </w:t>
      </w:r>
      <w:r w:rsidRPr="00DA421C">
        <w:rPr>
          <w:rFonts w:ascii="Verdana" w:hAnsi="Verdana"/>
          <w:bCs/>
          <w:sz w:val="20"/>
          <w:szCs w:val="20"/>
        </w:rPr>
        <w:t>adecuadas</w:t>
      </w:r>
      <w:r w:rsidRPr="00DA421C">
        <w:rPr>
          <w:rFonts w:ascii="Verdana" w:eastAsia="Batang" w:hAnsi="Verdana" w:cs="Times"/>
          <w:sz w:val="20"/>
          <w:szCs w:val="20"/>
        </w:rPr>
        <w:t xml:space="preserve"> para aliviar la situación de los rehenes y, en particular, para asegurar su liberación</w:t>
      </w:r>
      <w:r w:rsidRPr="00DA421C">
        <w:rPr>
          <w:rFonts w:ascii="Verdana" w:hAnsi="Verdana"/>
          <w:bCs/>
          <w:sz w:val="20"/>
          <w:szCs w:val="20"/>
        </w:rPr>
        <w:t>, siempre que se respetasen las disposiciones pertinentes del derecho internacional humanitario y de los derechos humanos.</w:t>
      </w:r>
    </w:p>
    <w:p w:rsidR="00C00C60" w:rsidRDefault="00C00C60" w:rsidP="006330F4">
      <w:pPr>
        <w:spacing w:after="0" w:line="240" w:lineRule="auto"/>
        <w:jc w:val="both"/>
        <w:rPr>
          <w:rFonts w:ascii="Verdana" w:eastAsia="Times" w:hAnsi="Verdana"/>
          <w:sz w:val="20"/>
          <w:szCs w:val="20"/>
        </w:rPr>
      </w:pPr>
    </w:p>
    <w:p w:rsidR="00C00C60" w:rsidRDefault="00C00C60" w:rsidP="006330F4">
      <w:pPr>
        <w:spacing w:after="0" w:line="240" w:lineRule="auto"/>
        <w:jc w:val="both"/>
        <w:rPr>
          <w:rFonts w:ascii="Verdana" w:eastAsia="Batang" w:hAnsi="Verdana" w:cs="Times"/>
          <w:sz w:val="20"/>
          <w:szCs w:val="20"/>
        </w:rPr>
      </w:pPr>
      <w:r w:rsidRPr="00772F06">
        <w:rPr>
          <w:rFonts w:ascii="Verdana" w:eastAsia="Batang" w:hAnsi="Verdana" w:cs="Times"/>
          <w:sz w:val="20"/>
          <w:szCs w:val="20"/>
        </w:rPr>
        <w:t xml:space="preserve">Las presuntas víctimas del presente caso no eran civiles, sino que eran </w:t>
      </w:r>
      <w:r>
        <w:rPr>
          <w:rFonts w:ascii="Verdana" w:eastAsia="Batang" w:hAnsi="Verdana" w:cs="Times"/>
          <w:sz w:val="20"/>
          <w:szCs w:val="20"/>
        </w:rPr>
        <w:t>integrantes</w:t>
      </w:r>
      <w:r w:rsidRPr="00772F06">
        <w:rPr>
          <w:rFonts w:ascii="Verdana" w:eastAsia="Batang" w:hAnsi="Verdana" w:cs="Times"/>
          <w:sz w:val="20"/>
          <w:szCs w:val="20"/>
        </w:rPr>
        <w:t xml:space="preserve"> del MRTA, </w:t>
      </w:r>
      <w:r>
        <w:rPr>
          <w:rFonts w:ascii="Verdana" w:eastAsia="Batang" w:hAnsi="Verdana" w:cs="Times"/>
          <w:sz w:val="20"/>
          <w:szCs w:val="20"/>
        </w:rPr>
        <w:t>quienes</w:t>
      </w:r>
      <w:r w:rsidRPr="00772F06">
        <w:rPr>
          <w:rFonts w:ascii="Verdana" w:eastAsia="Batang" w:hAnsi="Verdana" w:cs="Times"/>
          <w:sz w:val="20"/>
          <w:szCs w:val="20"/>
        </w:rPr>
        <w:t xml:space="preserve"> particip</w:t>
      </w:r>
      <w:r>
        <w:rPr>
          <w:rFonts w:ascii="Verdana" w:eastAsia="Batang" w:hAnsi="Verdana" w:cs="Times"/>
          <w:sz w:val="20"/>
          <w:szCs w:val="20"/>
        </w:rPr>
        <w:t>aron</w:t>
      </w:r>
      <w:r w:rsidRPr="00772F06">
        <w:rPr>
          <w:rFonts w:ascii="Verdana" w:eastAsia="Batang" w:hAnsi="Verdana" w:cs="Times"/>
          <w:sz w:val="20"/>
          <w:szCs w:val="20"/>
        </w:rPr>
        <w:t xml:space="preserve"> en forma activa en las hostilidades. No obstante, podían potencialmente ser beneficiarios de las salvaguardas </w:t>
      </w:r>
      <w:r>
        <w:rPr>
          <w:rFonts w:ascii="Verdana" w:eastAsia="Batang" w:hAnsi="Verdana" w:cs="Times"/>
          <w:sz w:val="20"/>
          <w:szCs w:val="20"/>
        </w:rPr>
        <w:t>contenidas en el</w:t>
      </w:r>
      <w:r w:rsidRPr="00772F06">
        <w:rPr>
          <w:rFonts w:ascii="Verdana" w:eastAsia="Batang" w:hAnsi="Verdana" w:cs="Times"/>
          <w:sz w:val="20"/>
          <w:szCs w:val="20"/>
        </w:rPr>
        <w:t xml:space="preserve"> artículo 3 común </w:t>
      </w:r>
      <w:r w:rsidRPr="00772F06">
        <w:rPr>
          <w:rFonts w:ascii="Verdana" w:hAnsi="Verdana"/>
          <w:sz w:val="20"/>
          <w:szCs w:val="20"/>
        </w:rPr>
        <w:t>a los cuatro Convenios de Ginebra</w:t>
      </w:r>
      <w:r w:rsidRPr="00772F06">
        <w:rPr>
          <w:rFonts w:ascii="Verdana" w:eastAsia="Batang" w:hAnsi="Verdana" w:cs="Times"/>
          <w:sz w:val="20"/>
          <w:szCs w:val="20"/>
        </w:rPr>
        <w:t xml:space="preserve">, siempre y cuando hubieran dejado de participar en las hostilidades y pudieran identificarse como </w:t>
      </w:r>
      <w:r w:rsidRPr="00772F06">
        <w:rPr>
          <w:rFonts w:ascii="Verdana" w:eastAsia="Batang" w:hAnsi="Verdana" w:cs="Times"/>
          <w:i/>
          <w:sz w:val="20"/>
          <w:szCs w:val="20"/>
        </w:rPr>
        <w:t>hors de combat</w:t>
      </w:r>
      <w:r w:rsidRPr="00772F06">
        <w:rPr>
          <w:rFonts w:ascii="Verdana" w:eastAsia="Batang" w:hAnsi="Verdana" w:cs="Times"/>
          <w:sz w:val="20"/>
          <w:szCs w:val="20"/>
        </w:rPr>
        <w:t>.</w:t>
      </w:r>
      <w:r w:rsidR="00DD663E">
        <w:rPr>
          <w:rFonts w:ascii="Verdana" w:eastAsia="Batang" w:hAnsi="Verdana" w:cs="Times"/>
          <w:sz w:val="20"/>
          <w:szCs w:val="20"/>
        </w:rPr>
        <w:t xml:space="preserve"> </w:t>
      </w:r>
      <w:r w:rsidRPr="006A7853">
        <w:rPr>
          <w:rFonts w:ascii="Verdana" w:eastAsia="Batang" w:hAnsi="Verdana" w:cs="Times"/>
          <w:sz w:val="20"/>
          <w:szCs w:val="20"/>
        </w:rPr>
        <w:t xml:space="preserve">Así, y según lo establece el artículo 3 común </w:t>
      </w:r>
      <w:r w:rsidRPr="006A7853">
        <w:rPr>
          <w:rFonts w:ascii="Verdana" w:hAnsi="Verdana"/>
          <w:sz w:val="20"/>
          <w:szCs w:val="20"/>
        </w:rPr>
        <w:t>a los cuatro Convenios de Ginebra</w:t>
      </w:r>
      <w:r w:rsidRPr="006A7853">
        <w:rPr>
          <w:rFonts w:ascii="Verdana" w:eastAsia="Batang" w:hAnsi="Verdana" w:cs="Times"/>
          <w:sz w:val="20"/>
          <w:szCs w:val="20"/>
        </w:rPr>
        <w:t>, el Estado debía brindar a las personas que no participa</w:t>
      </w:r>
      <w:r>
        <w:rPr>
          <w:rFonts w:ascii="Verdana" w:eastAsia="Batang" w:hAnsi="Verdana" w:cs="Times"/>
          <w:sz w:val="20"/>
          <w:szCs w:val="20"/>
        </w:rPr>
        <w:t>r</w:t>
      </w:r>
      <w:r w:rsidRPr="006A7853">
        <w:rPr>
          <w:rFonts w:ascii="Verdana" w:eastAsia="Batang" w:hAnsi="Verdana" w:cs="Times"/>
          <w:sz w:val="20"/>
          <w:szCs w:val="20"/>
        </w:rPr>
        <w:t xml:space="preserve">en directamente en las hostilidades o que hubieren quedado fuera de combate por cualquier razón, un trato humano y sin distinción alguna de índole desfavorable. En particular, el derecho internacional humanitario </w:t>
      </w:r>
      <w:r w:rsidRPr="006A7853">
        <w:rPr>
          <w:rFonts w:ascii="Verdana" w:eastAsia="Batang" w:hAnsi="Verdana" w:cs="Times"/>
          <w:sz w:val="20"/>
          <w:szCs w:val="20"/>
        </w:rPr>
        <w:lastRenderedPageBreak/>
        <w:t>prohíbe en cualquier tiempo y lugar los atentados a la vida y a la integridad personal de las personas mencionadas anteriormente.</w:t>
      </w:r>
    </w:p>
    <w:p w:rsidR="00C00C60" w:rsidRDefault="00C00C60" w:rsidP="006330F4">
      <w:pPr>
        <w:spacing w:after="0" w:line="240" w:lineRule="auto"/>
        <w:jc w:val="both"/>
        <w:rPr>
          <w:rFonts w:ascii="Verdana" w:eastAsia="Batang" w:hAnsi="Verdana" w:cs="Times"/>
          <w:sz w:val="20"/>
          <w:szCs w:val="20"/>
        </w:rPr>
      </w:pPr>
    </w:p>
    <w:p w:rsidR="00C00C60" w:rsidRDefault="00C00C60" w:rsidP="006330F4">
      <w:pPr>
        <w:spacing w:after="0" w:line="240" w:lineRule="auto"/>
        <w:jc w:val="both"/>
        <w:rPr>
          <w:rFonts w:ascii="Verdana" w:eastAsia="Batang" w:hAnsi="Verdana" w:cs="Times"/>
          <w:sz w:val="20"/>
          <w:szCs w:val="20"/>
        </w:rPr>
      </w:pPr>
      <w:r w:rsidRPr="00772F06">
        <w:rPr>
          <w:rFonts w:ascii="Verdana" w:eastAsia="Batang" w:hAnsi="Verdana" w:cs="Times"/>
          <w:sz w:val="20"/>
          <w:szCs w:val="20"/>
        </w:rPr>
        <w:t>La</w:t>
      </w:r>
      <w:r w:rsidR="00DD663E">
        <w:rPr>
          <w:rFonts w:ascii="Verdana" w:hAnsi="Verdana"/>
          <w:sz w:val="20"/>
          <w:szCs w:val="20"/>
        </w:rPr>
        <w:t xml:space="preserve"> Corte consideró</w:t>
      </w:r>
      <w:r w:rsidRPr="00772F06">
        <w:rPr>
          <w:rFonts w:ascii="Verdana" w:hAnsi="Verdana"/>
          <w:sz w:val="20"/>
          <w:szCs w:val="20"/>
        </w:rPr>
        <w:t xml:space="preserve"> significativo subrayar a efectos del análisis del caso que, aún bajo circunstancias apremiantes, el Estado</w:t>
      </w:r>
      <w:r>
        <w:rPr>
          <w:rFonts w:ascii="Verdana" w:hAnsi="Verdana"/>
          <w:sz w:val="20"/>
          <w:szCs w:val="20"/>
        </w:rPr>
        <w:t>:</w:t>
      </w:r>
      <w:r w:rsidR="00923C53">
        <w:rPr>
          <w:rFonts w:ascii="Verdana" w:hAnsi="Verdana"/>
          <w:sz w:val="20"/>
          <w:szCs w:val="20"/>
        </w:rPr>
        <w:t xml:space="preserve"> </w:t>
      </w:r>
      <w:r w:rsidR="00923C53" w:rsidRPr="00DE5E39">
        <w:rPr>
          <w:rFonts w:ascii="Verdana" w:hAnsi="Verdana"/>
          <w:sz w:val="20"/>
          <w:szCs w:val="20"/>
        </w:rPr>
        <w:t>(i) diseñó un</w:t>
      </w:r>
      <w:r w:rsidR="00923C53">
        <w:rPr>
          <w:rFonts w:ascii="Verdana" w:hAnsi="Verdana"/>
          <w:sz w:val="20"/>
          <w:szCs w:val="20"/>
        </w:rPr>
        <w:t>a</w:t>
      </w:r>
      <w:r w:rsidR="00923C53" w:rsidRPr="00DE5E39">
        <w:rPr>
          <w:rFonts w:ascii="Verdana" w:hAnsi="Verdana"/>
          <w:sz w:val="20"/>
          <w:szCs w:val="20"/>
        </w:rPr>
        <w:t xml:space="preserve"> opera</w:t>
      </w:r>
      <w:r w:rsidR="00923C53">
        <w:rPr>
          <w:rFonts w:ascii="Verdana" w:hAnsi="Verdana"/>
          <w:sz w:val="20"/>
          <w:szCs w:val="20"/>
        </w:rPr>
        <w:t>ción</w:t>
      </w:r>
      <w:r w:rsidR="00923C53" w:rsidRPr="00DE5E39">
        <w:rPr>
          <w:rFonts w:ascii="Verdana" w:hAnsi="Verdana"/>
          <w:sz w:val="20"/>
          <w:szCs w:val="20"/>
        </w:rPr>
        <w:t xml:space="preserve"> de rescate, (ii) escogió a personal cal</w:t>
      </w:r>
      <w:r w:rsidR="00923C53">
        <w:rPr>
          <w:rFonts w:ascii="Verdana" w:hAnsi="Verdana"/>
          <w:sz w:val="20"/>
          <w:szCs w:val="20"/>
        </w:rPr>
        <w:t>ificado para llevarla</w:t>
      </w:r>
      <w:r w:rsidR="00923C53" w:rsidRPr="00DE5E39">
        <w:rPr>
          <w:rFonts w:ascii="Verdana" w:hAnsi="Verdana"/>
          <w:sz w:val="20"/>
          <w:szCs w:val="20"/>
        </w:rPr>
        <w:t xml:space="preserve"> a cabo, (iii) procedió a construir una réplica del lugar donde se desarrollaba la toma de rehenes, (iv) los agentes seleccionados realizaron un entrenamiento intensivo con miras a la eficaz ejecución de</w:t>
      </w:r>
      <w:r w:rsidR="00923C53">
        <w:rPr>
          <w:rFonts w:ascii="Verdana" w:hAnsi="Verdana"/>
          <w:sz w:val="20"/>
          <w:szCs w:val="20"/>
        </w:rPr>
        <w:t xml:space="preserve"> </w:t>
      </w:r>
      <w:r w:rsidR="00923C53" w:rsidRPr="00DE5E39">
        <w:rPr>
          <w:rFonts w:ascii="Verdana" w:hAnsi="Verdana"/>
          <w:sz w:val="20"/>
          <w:szCs w:val="20"/>
        </w:rPr>
        <w:t>l</w:t>
      </w:r>
      <w:r w:rsidR="00923C53">
        <w:rPr>
          <w:rFonts w:ascii="Verdana" w:hAnsi="Verdana"/>
          <w:sz w:val="20"/>
          <w:szCs w:val="20"/>
        </w:rPr>
        <w:t>a</w:t>
      </w:r>
      <w:r w:rsidR="00923C53" w:rsidRPr="00DE5E39">
        <w:rPr>
          <w:rFonts w:ascii="Verdana" w:hAnsi="Verdana"/>
          <w:sz w:val="20"/>
          <w:szCs w:val="20"/>
        </w:rPr>
        <w:t xml:space="preserve"> opera</w:t>
      </w:r>
      <w:r w:rsidR="00923C53">
        <w:rPr>
          <w:rFonts w:ascii="Verdana" w:hAnsi="Verdana"/>
          <w:sz w:val="20"/>
          <w:szCs w:val="20"/>
        </w:rPr>
        <w:t>ción</w:t>
      </w:r>
      <w:r w:rsidR="00923C53" w:rsidRPr="00DE5E39">
        <w:rPr>
          <w:rFonts w:ascii="Verdana" w:hAnsi="Verdana"/>
          <w:sz w:val="20"/>
          <w:szCs w:val="20"/>
        </w:rPr>
        <w:t xml:space="preserve">, y (v) el </w:t>
      </w:r>
      <w:r w:rsidR="00923C53">
        <w:rPr>
          <w:rFonts w:ascii="Verdana" w:hAnsi="Verdana"/>
          <w:sz w:val="20"/>
          <w:szCs w:val="20"/>
        </w:rPr>
        <w:t>“Plan de Operaciones</w:t>
      </w:r>
      <w:r w:rsidR="00923C53" w:rsidRPr="00DE5E39">
        <w:rPr>
          <w:rFonts w:ascii="Verdana" w:hAnsi="Verdana"/>
          <w:sz w:val="20"/>
          <w:szCs w:val="20"/>
        </w:rPr>
        <w:t xml:space="preserve"> Nipón 96</w:t>
      </w:r>
      <w:r w:rsidR="00923C53">
        <w:rPr>
          <w:rFonts w:ascii="Verdana" w:hAnsi="Verdana"/>
          <w:sz w:val="20"/>
          <w:szCs w:val="20"/>
        </w:rPr>
        <w:t xml:space="preserve">” </w:t>
      </w:r>
      <w:r w:rsidR="00923C53" w:rsidRPr="00DE5E39">
        <w:rPr>
          <w:rFonts w:ascii="Verdana" w:hAnsi="Verdana"/>
          <w:sz w:val="20"/>
          <w:szCs w:val="20"/>
        </w:rPr>
        <w:t>se planificó con base en la información disponible sobre las circunstancias en que se desarrollaba “la vida diaria” dentro de la residencia del Embajador</w:t>
      </w:r>
      <w:r w:rsidRPr="00772F06">
        <w:rPr>
          <w:rFonts w:ascii="Verdana" w:hAnsi="Verdana"/>
          <w:sz w:val="20"/>
          <w:szCs w:val="20"/>
        </w:rPr>
        <w:t>. En definitiva, la Corte recalc</w:t>
      </w:r>
      <w:r w:rsidR="00DD663E">
        <w:rPr>
          <w:rFonts w:ascii="Verdana" w:hAnsi="Verdana"/>
          <w:sz w:val="20"/>
          <w:szCs w:val="20"/>
        </w:rPr>
        <w:t>ó</w:t>
      </w:r>
      <w:r w:rsidRPr="00772F06">
        <w:rPr>
          <w:rFonts w:ascii="Verdana" w:hAnsi="Verdana"/>
          <w:sz w:val="20"/>
          <w:szCs w:val="20"/>
        </w:rPr>
        <w:t xml:space="preserve"> que el objetivo primario de la operación era proteger la vida de los rehenes.</w:t>
      </w:r>
      <w:r w:rsidR="00DD663E">
        <w:rPr>
          <w:rFonts w:ascii="Verdana" w:hAnsi="Verdana"/>
          <w:sz w:val="20"/>
          <w:szCs w:val="20"/>
        </w:rPr>
        <w:t xml:space="preserve"> Asimismo, la Corte notó que, </w:t>
      </w:r>
      <w:r w:rsidR="00DD663E" w:rsidRPr="00772F06">
        <w:rPr>
          <w:rFonts w:ascii="Verdana" w:hAnsi="Verdana"/>
          <w:sz w:val="20"/>
          <w:szCs w:val="20"/>
        </w:rPr>
        <w:t>al menos a nivel operacional</w:t>
      </w:r>
      <w:r w:rsidR="00DD663E">
        <w:rPr>
          <w:rFonts w:ascii="Verdana" w:hAnsi="Verdana"/>
          <w:sz w:val="20"/>
          <w:szCs w:val="20"/>
        </w:rPr>
        <w:t>,</w:t>
      </w:r>
      <w:r w:rsidR="00DD663E" w:rsidRPr="00772F06">
        <w:rPr>
          <w:rFonts w:ascii="Verdana" w:hAnsi="Verdana"/>
          <w:sz w:val="20"/>
          <w:szCs w:val="20"/>
        </w:rPr>
        <w:t xml:space="preserve"> existió una planificación que contemplaba la captura de los emerretistas</w:t>
      </w:r>
      <w:r w:rsidR="00DD663E">
        <w:rPr>
          <w:rFonts w:ascii="Verdana" w:hAnsi="Verdana"/>
          <w:sz w:val="20"/>
          <w:szCs w:val="20"/>
        </w:rPr>
        <w:t>.</w:t>
      </w:r>
    </w:p>
    <w:p w:rsidR="00C00C60" w:rsidRDefault="00C00C60" w:rsidP="006330F4">
      <w:pPr>
        <w:spacing w:after="0" w:line="240" w:lineRule="auto"/>
        <w:jc w:val="both"/>
        <w:rPr>
          <w:rFonts w:ascii="Verdana" w:eastAsia="Times" w:hAnsi="Verdana"/>
          <w:sz w:val="20"/>
          <w:szCs w:val="20"/>
        </w:rPr>
      </w:pPr>
    </w:p>
    <w:p w:rsidR="00C00C60" w:rsidRDefault="00DD663E" w:rsidP="006330F4">
      <w:pPr>
        <w:spacing w:after="0" w:line="240" w:lineRule="auto"/>
        <w:jc w:val="both"/>
        <w:rPr>
          <w:rFonts w:ascii="Verdana" w:hAnsi="Verdana"/>
          <w:bCs/>
          <w:sz w:val="20"/>
        </w:rPr>
      </w:pPr>
      <w:r w:rsidRPr="00BA66F3">
        <w:rPr>
          <w:rFonts w:ascii="Verdana" w:eastAsia="Batang" w:hAnsi="Verdana" w:cs="Times"/>
          <w:sz w:val="20"/>
          <w:szCs w:val="24"/>
        </w:rPr>
        <w:t>La Corte estimó, por tanto, que la controversia no gira</w:t>
      </w:r>
      <w:r w:rsidR="005D123E" w:rsidRPr="00BA66F3">
        <w:rPr>
          <w:rFonts w:ascii="Verdana" w:eastAsia="Batang" w:hAnsi="Verdana" w:cs="Times"/>
          <w:sz w:val="20"/>
          <w:szCs w:val="24"/>
        </w:rPr>
        <w:t>ba</w:t>
      </w:r>
      <w:r w:rsidRPr="00BA66F3">
        <w:rPr>
          <w:rFonts w:ascii="Verdana" w:eastAsia="Batang" w:hAnsi="Verdana" w:cs="Times"/>
          <w:sz w:val="20"/>
          <w:szCs w:val="24"/>
        </w:rPr>
        <w:t xml:space="preserve"> en torno a la necesidad, proporcionalidad y precaución en el uso de la fuerza.</w:t>
      </w:r>
      <w:r w:rsidRPr="00772F06">
        <w:rPr>
          <w:rFonts w:ascii="Verdana" w:eastAsia="Batang" w:hAnsi="Verdana" w:cs="Times"/>
          <w:sz w:val="20"/>
          <w:szCs w:val="24"/>
        </w:rPr>
        <w:t xml:space="preserve"> </w:t>
      </w:r>
      <w:r w:rsidR="00C00C60" w:rsidRPr="00772F06">
        <w:rPr>
          <w:rFonts w:ascii="Verdana" w:eastAsia="Batang" w:hAnsi="Verdana" w:cs="Times"/>
          <w:sz w:val="20"/>
          <w:szCs w:val="24"/>
        </w:rPr>
        <w:t>En el presente caso ante la Corte, la controversia fáctica relevante</w:t>
      </w:r>
      <w:r>
        <w:rPr>
          <w:rFonts w:ascii="Verdana" w:eastAsia="Batang" w:hAnsi="Verdana" w:cs="Times"/>
          <w:sz w:val="20"/>
          <w:szCs w:val="24"/>
        </w:rPr>
        <w:t xml:space="preserve"> </w:t>
      </w:r>
      <w:r w:rsidR="00C00C60" w:rsidRPr="00772F06">
        <w:rPr>
          <w:rFonts w:ascii="Verdana" w:eastAsia="Batang" w:hAnsi="Verdana" w:cs="Times"/>
          <w:sz w:val="20"/>
          <w:szCs w:val="24"/>
        </w:rPr>
        <w:t>se centra</w:t>
      </w:r>
      <w:r>
        <w:rPr>
          <w:rFonts w:ascii="Verdana" w:eastAsia="Batang" w:hAnsi="Verdana" w:cs="Times"/>
          <w:sz w:val="20"/>
          <w:szCs w:val="24"/>
        </w:rPr>
        <w:t>ba</w:t>
      </w:r>
      <w:r w:rsidR="00C00C60" w:rsidRPr="00772F06">
        <w:rPr>
          <w:rFonts w:ascii="Verdana" w:eastAsia="Batang" w:hAnsi="Verdana" w:cs="Times"/>
          <w:sz w:val="20"/>
          <w:szCs w:val="24"/>
        </w:rPr>
        <w:t xml:space="preserve"> en determinar si Eduardo Nicolás Cruz Sánchez, Herma Luz Meléndez Cueva y Víctor </w:t>
      </w:r>
      <w:r w:rsidR="00C00C60">
        <w:rPr>
          <w:rFonts w:ascii="Verdana" w:eastAsia="Batang" w:hAnsi="Verdana" w:cs="Times"/>
          <w:sz w:val="20"/>
          <w:szCs w:val="24"/>
        </w:rPr>
        <w:t xml:space="preserve">Salomón </w:t>
      </w:r>
      <w:r w:rsidR="00C00C60" w:rsidRPr="00772F06">
        <w:rPr>
          <w:rFonts w:ascii="Verdana" w:eastAsia="Batang" w:hAnsi="Verdana" w:cs="Times"/>
          <w:sz w:val="20"/>
          <w:szCs w:val="24"/>
        </w:rPr>
        <w:t xml:space="preserve">Peceros Pedraza </w:t>
      </w:r>
      <w:r w:rsidR="00C00C60" w:rsidRPr="00772F06">
        <w:rPr>
          <w:rFonts w:ascii="Verdana" w:hAnsi="Verdana"/>
          <w:bCs/>
          <w:sz w:val="20"/>
        </w:rPr>
        <w:t xml:space="preserve">habían dejado de tomar parte en las hostilidades al momento de darles muerte y eran, por ende, acreedores de la protección que asegura el artículo 3 común </w:t>
      </w:r>
      <w:r w:rsidR="00C00C60" w:rsidRPr="00772F06">
        <w:rPr>
          <w:rFonts w:ascii="Verdana" w:hAnsi="Verdana"/>
          <w:sz w:val="20"/>
          <w:szCs w:val="20"/>
        </w:rPr>
        <w:t>a los cuatro Convenios de Ginebra</w:t>
      </w:r>
      <w:r w:rsidR="00C00C60" w:rsidRPr="00772F06">
        <w:rPr>
          <w:rFonts w:ascii="Verdana" w:hAnsi="Verdana"/>
          <w:bCs/>
          <w:sz w:val="20"/>
        </w:rPr>
        <w:t xml:space="preserve">. A tal fin, </w:t>
      </w:r>
      <w:r>
        <w:rPr>
          <w:rFonts w:ascii="Verdana" w:hAnsi="Verdana"/>
          <w:bCs/>
          <w:sz w:val="20"/>
        </w:rPr>
        <w:t>la Corte</w:t>
      </w:r>
      <w:r w:rsidR="00C00C60" w:rsidRPr="00772F06">
        <w:rPr>
          <w:rFonts w:ascii="Verdana" w:hAnsi="Verdana"/>
          <w:bCs/>
          <w:sz w:val="20"/>
        </w:rPr>
        <w:t xml:space="preserve"> examin</w:t>
      </w:r>
      <w:r>
        <w:rPr>
          <w:rFonts w:ascii="Verdana" w:hAnsi="Verdana"/>
          <w:bCs/>
          <w:sz w:val="20"/>
        </w:rPr>
        <w:t>ó</w:t>
      </w:r>
      <w:r w:rsidR="00C00C60" w:rsidRPr="00772F06">
        <w:rPr>
          <w:rFonts w:ascii="Verdana" w:hAnsi="Verdana"/>
          <w:bCs/>
          <w:sz w:val="20"/>
        </w:rPr>
        <w:t xml:space="preserve"> los hechos relevantes respecto de cada presunta víctima y determin</w:t>
      </w:r>
      <w:r>
        <w:rPr>
          <w:rFonts w:ascii="Verdana" w:hAnsi="Verdana"/>
          <w:bCs/>
          <w:sz w:val="20"/>
        </w:rPr>
        <w:t>ó</w:t>
      </w:r>
      <w:r w:rsidR="00C00C60" w:rsidRPr="00772F06">
        <w:rPr>
          <w:rFonts w:ascii="Verdana" w:hAnsi="Verdana"/>
          <w:bCs/>
          <w:sz w:val="20"/>
        </w:rPr>
        <w:t>, en cada circunstancia particular, si la persona se encontraba involucrada activamente en las hostilidades o no al momento de los hechos.</w:t>
      </w:r>
      <w:r w:rsidR="000F0C88">
        <w:rPr>
          <w:rFonts w:ascii="Verdana" w:hAnsi="Verdana"/>
          <w:bCs/>
          <w:sz w:val="20"/>
        </w:rPr>
        <w:t xml:space="preserve"> Además, </w:t>
      </w:r>
      <w:r w:rsidR="000F0C88" w:rsidRPr="00772F06">
        <w:rPr>
          <w:rFonts w:ascii="Verdana" w:hAnsi="Verdana"/>
          <w:sz w:val="20"/>
          <w:szCs w:val="20"/>
        </w:rPr>
        <w:t>la Corte analiz</w:t>
      </w:r>
      <w:r w:rsidR="000F0C88">
        <w:rPr>
          <w:rFonts w:ascii="Verdana" w:hAnsi="Verdana"/>
          <w:sz w:val="20"/>
          <w:szCs w:val="20"/>
        </w:rPr>
        <w:t>ó</w:t>
      </w:r>
      <w:r w:rsidR="000F0C88" w:rsidRPr="00772F06">
        <w:rPr>
          <w:rFonts w:ascii="Verdana" w:hAnsi="Verdana"/>
          <w:sz w:val="20"/>
          <w:szCs w:val="20"/>
        </w:rPr>
        <w:t xml:space="preserve"> la verosimilitud de las hipótesis presentadas por la Comisión y la representación de las presuntas víctimas, por un lado, y por el Estado, por el otro, a la luz de las pruebas obrantes en el expediente, teniendo presente a tal fin la diferente función que le incumbe al no ser un tribunal penal ni tener un estándar probatorio similar al del proceso penal.</w:t>
      </w:r>
    </w:p>
    <w:p w:rsidR="00DD663E" w:rsidRPr="00772F06" w:rsidRDefault="00DD663E" w:rsidP="00DD663E">
      <w:pPr>
        <w:autoSpaceDE w:val="0"/>
        <w:autoSpaceDN w:val="0"/>
        <w:adjustRightInd w:val="0"/>
        <w:spacing w:after="0" w:line="240" w:lineRule="auto"/>
        <w:jc w:val="both"/>
        <w:rPr>
          <w:rFonts w:ascii="Verdana" w:hAnsi="Verdana"/>
          <w:sz w:val="20"/>
          <w:szCs w:val="20"/>
        </w:rPr>
      </w:pPr>
    </w:p>
    <w:p w:rsidR="005C634E" w:rsidRDefault="00DD663E" w:rsidP="005C634E">
      <w:pPr>
        <w:tabs>
          <w:tab w:val="left" w:pos="720"/>
          <w:tab w:val="num" w:pos="1569"/>
          <w:tab w:val="num" w:pos="5057"/>
        </w:tabs>
        <w:spacing w:after="0" w:line="240" w:lineRule="auto"/>
        <w:ind w:right="-90"/>
        <w:jc w:val="both"/>
        <w:rPr>
          <w:rFonts w:ascii="Verdana" w:hAnsi="Verdana" w:cs="Arial"/>
          <w:sz w:val="20"/>
          <w:szCs w:val="20"/>
        </w:rPr>
      </w:pPr>
      <w:r w:rsidRPr="00772F06">
        <w:rPr>
          <w:rFonts w:ascii="Verdana" w:hAnsi="Verdana"/>
          <w:sz w:val="20"/>
          <w:szCs w:val="20"/>
        </w:rPr>
        <w:t xml:space="preserve">De la prueba obrante en el expediente </w:t>
      </w:r>
      <w:r w:rsidR="000F0C88">
        <w:rPr>
          <w:rFonts w:ascii="Verdana" w:hAnsi="Verdana"/>
          <w:sz w:val="20"/>
          <w:szCs w:val="20"/>
        </w:rPr>
        <w:t>la Corte determinó</w:t>
      </w:r>
      <w:r w:rsidRPr="00772F06">
        <w:rPr>
          <w:rFonts w:ascii="Verdana" w:hAnsi="Verdana"/>
          <w:sz w:val="20"/>
          <w:szCs w:val="20"/>
        </w:rPr>
        <w:t xml:space="preserve"> que Eduardo Nicolás Cruz Sánchez, alias “Tito”, fue hallado muerto </w:t>
      </w:r>
      <w:r w:rsidR="00BA66F3" w:rsidRPr="00DE5E39">
        <w:rPr>
          <w:rFonts w:ascii="Verdana" w:hAnsi="Verdana"/>
          <w:sz w:val="20"/>
          <w:szCs w:val="20"/>
        </w:rPr>
        <w:t xml:space="preserve">sobre una plataforma de concreto </w:t>
      </w:r>
      <w:r w:rsidRPr="00772F06">
        <w:rPr>
          <w:rFonts w:ascii="Verdana" w:hAnsi="Verdana"/>
          <w:sz w:val="20"/>
          <w:szCs w:val="20"/>
        </w:rPr>
        <w:t>en el pasadizo exterior de la residencia del Embajador japonés, colindante con la casa de la ONG y la denominada “</w:t>
      </w:r>
      <w:r>
        <w:rPr>
          <w:rFonts w:ascii="Verdana" w:hAnsi="Verdana"/>
          <w:sz w:val="20"/>
          <w:szCs w:val="20"/>
        </w:rPr>
        <w:t>c</w:t>
      </w:r>
      <w:r w:rsidRPr="00772F06">
        <w:rPr>
          <w:rFonts w:ascii="Verdana" w:hAnsi="Verdana"/>
          <w:sz w:val="20"/>
          <w:szCs w:val="20"/>
        </w:rPr>
        <w:t>asa</w:t>
      </w:r>
      <w:r>
        <w:rPr>
          <w:rFonts w:ascii="Verdana" w:hAnsi="Verdana"/>
          <w:sz w:val="20"/>
          <w:szCs w:val="20"/>
        </w:rPr>
        <w:t xml:space="preserve"> Nro.</w:t>
      </w:r>
      <w:r w:rsidRPr="00772F06">
        <w:rPr>
          <w:rFonts w:ascii="Verdana" w:hAnsi="Verdana"/>
          <w:sz w:val="20"/>
          <w:szCs w:val="20"/>
        </w:rPr>
        <w:t xml:space="preserve"> 1”. El cadáver presentaba una lesión </w:t>
      </w:r>
      <w:r w:rsidRPr="002A7E41">
        <w:rPr>
          <w:rFonts w:ascii="Verdana" w:hAnsi="Verdana"/>
          <w:sz w:val="20"/>
          <w:szCs w:val="20"/>
        </w:rPr>
        <w:t>ocasionada por un proyectil de arma de fuego con orificio de entrada en la región posterior izquierda del cuello y salida</w:t>
      </w:r>
      <w:r w:rsidRPr="00772F06">
        <w:rPr>
          <w:rFonts w:ascii="Verdana" w:hAnsi="Verdana"/>
          <w:sz w:val="20"/>
          <w:szCs w:val="20"/>
        </w:rPr>
        <w:t xml:space="preserve"> en la región lateral derecha de la cabeza; una lesión en la zona del abdomen–pelvis, y otra lesión preexistente en </w:t>
      </w:r>
      <w:r w:rsidRPr="00A97402">
        <w:rPr>
          <w:rFonts w:ascii="Verdana" w:hAnsi="Verdana"/>
          <w:sz w:val="20"/>
          <w:szCs w:val="20"/>
        </w:rPr>
        <w:t>la pierna</w:t>
      </w:r>
      <w:r w:rsidRPr="00772F06">
        <w:rPr>
          <w:rFonts w:ascii="Verdana" w:hAnsi="Verdana"/>
          <w:sz w:val="20"/>
          <w:szCs w:val="20"/>
        </w:rPr>
        <w:t>.</w:t>
      </w:r>
      <w:r w:rsidR="00056BB8">
        <w:rPr>
          <w:rFonts w:ascii="Verdana" w:hAnsi="Verdana"/>
          <w:sz w:val="20"/>
          <w:szCs w:val="20"/>
        </w:rPr>
        <w:t xml:space="preserve"> </w:t>
      </w:r>
      <w:r w:rsidR="005C634E" w:rsidRPr="00056BB8">
        <w:rPr>
          <w:rFonts w:ascii="Verdana" w:hAnsi="Verdana" w:cs="Arial"/>
          <w:sz w:val="20"/>
          <w:szCs w:val="20"/>
        </w:rPr>
        <w:t xml:space="preserve">Los informes periciales indican que la muerte de Eduardo Nicolás Cruz Sánchez se produjo a causa de un disparo en la cabeza y que, además, el victimario se habría ubicado atrás y a la izquierda de la víctima. </w:t>
      </w:r>
      <w:r w:rsidR="00056BB8" w:rsidRPr="00056BB8">
        <w:rPr>
          <w:rFonts w:ascii="Verdana" w:hAnsi="Verdana" w:cs="Arial"/>
          <w:sz w:val="20"/>
          <w:szCs w:val="20"/>
        </w:rPr>
        <w:t>La Corte observó que este patrón de lesión es manifiestamente diferente al que presentaban los otros emerretistas. Así, mientras la mayoría de los emerretistas presentaba cinco o más lesiones por proyectil de arma de fuego, el cuerpo de Eduardo Nicolás Cruz Sánchez presentaba</w:t>
      </w:r>
      <w:r w:rsidR="00056BB8" w:rsidRPr="00DE5E39">
        <w:rPr>
          <w:rFonts w:ascii="Verdana" w:hAnsi="Verdana" w:cs="Arial"/>
          <w:sz w:val="20"/>
          <w:szCs w:val="20"/>
        </w:rPr>
        <w:t xml:space="preserve"> sólo </w:t>
      </w:r>
      <w:r w:rsidR="00056BB8">
        <w:rPr>
          <w:rFonts w:ascii="Verdana" w:hAnsi="Verdana" w:cs="Arial"/>
          <w:sz w:val="20"/>
          <w:szCs w:val="20"/>
        </w:rPr>
        <w:t>una</w:t>
      </w:r>
      <w:r w:rsidR="00056BB8" w:rsidRPr="00DE5E39">
        <w:rPr>
          <w:rFonts w:ascii="Verdana" w:hAnsi="Verdana" w:cs="Arial"/>
          <w:sz w:val="20"/>
          <w:szCs w:val="20"/>
        </w:rPr>
        <w:t xml:space="preserve"> </w:t>
      </w:r>
      <w:r w:rsidR="00056BB8">
        <w:rPr>
          <w:rFonts w:ascii="Verdana" w:hAnsi="Verdana" w:cs="Arial"/>
          <w:sz w:val="20"/>
          <w:szCs w:val="20"/>
        </w:rPr>
        <w:t>lesión ocasionada por proyectil de arma de fuego</w:t>
      </w:r>
      <w:r w:rsidR="00056BB8" w:rsidRPr="00DE5E39">
        <w:rPr>
          <w:rFonts w:ascii="Verdana" w:hAnsi="Verdana" w:cs="Arial"/>
          <w:sz w:val="20"/>
          <w:szCs w:val="20"/>
        </w:rPr>
        <w:t>. Esto podría indicar que la muerte de Cruz Sánchez se produjo en circunstancias distintas a las de los otros emerretistas.</w:t>
      </w:r>
    </w:p>
    <w:p w:rsidR="005C634E" w:rsidRPr="00772F06" w:rsidRDefault="005C634E" w:rsidP="005C634E">
      <w:pPr>
        <w:autoSpaceDE w:val="0"/>
        <w:autoSpaceDN w:val="0"/>
        <w:adjustRightInd w:val="0"/>
        <w:spacing w:after="0" w:line="240" w:lineRule="auto"/>
        <w:jc w:val="both"/>
        <w:rPr>
          <w:rFonts w:ascii="Verdana" w:eastAsia="Times New Roman" w:hAnsi="Verdana" w:cs="Univers"/>
          <w:b/>
          <w:color w:val="000000"/>
          <w:sz w:val="20"/>
          <w:szCs w:val="20"/>
        </w:rPr>
      </w:pPr>
    </w:p>
    <w:p w:rsidR="00DD663E" w:rsidRPr="00772F06"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 xml:space="preserve">Al evaluar las pruebas obrantes en el expediente y las circunstancias particulares en que sucedieron los hechos relativos a la muerte de Eduardo Nicolás </w:t>
      </w:r>
      <w:r w:rsidR="000F0C88">
        <w:rPr>
          <w:rFonts w:ascii="Verdana" w:hAnsi="Verdana"/>
          <w:sz w:val="20"/>
          <w:szCs w:val="20"/>
        </w:rPr>
        <w:t>Cruz Sánchez, la Corte consideró</w:t>
      </w:r>
      <w:r w:rsidRPr="00772F06">
        <w:rPr>
          <w:rFonts w:ascii="Verdana" w:hAnsi="Verdana"/>
          <w:sz w:val="20"/>
          <w:szCs w:val="20"/>
        </w:rPr>
        <w:t xml:space="preserve"> que </w:t>
      </w:r>
      <w:r>
        <w:rPr>
          <w:rFonts w:ascii="Verdana" w:hAnsi="Verdana"/>
          <w:sz w:val="20"/>
          <w:szCs w:val="20"/>
        </w:rPr>
        <w:t>su</w:t>
      </w:r>
      <w:r w:rsidRPr="00772F06">
        <w:rPr>
          <w:rFonts w:ascii="Verdana" w:hAnsi="Verdana"/>
          <w:sz w:val="20"/>
          <w:szCs w:val="20"/>
        </w:rPr>
        <w:t xml:space="preserve"> muerte se produjo una vez que se encontraba bajo la custodia </w:t>
      </w:r>
      <w:r>
        <w:rPr>
          <w:rFonts w:ascii="Verdana" w:hAnsi="Verdana"/>
          <w:sz w:val="20"/>
          <w:szCs w:val="20"/>
        </w:rPr>
        <w:t>del Estado.</w:t>
      </w:r>
    </w:p>
    <w:p w:rsidR="00DD663E" w:rsidRPr="00772F06" w:rsidRDefault="00DD663E" w:rsidP="00DD663E">
      <w:pPr>
        <w:autoSpaceDE w:val="0"/>
        <w:autoSpaceDN w:val="0"/>
        <w:adjustRightInd w:val="0"/>
        <w:spacing w:after="0" w:line="240" w:lineRule="auto"/>
        <w:jc w:val="both"/>
        <w:rPr>
          <w:rFonts w:ascii="Verdana" w:hAnsi="Verdana"/>
          <w:sz w:val="20"/>
          <w:szCs w:val="20"/>
        </w:rPr>
      </w:pPr>
    </w:p>
    <w:p w:rsidR="00DD663E" w:rsidRPr="00576CF3"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 xml:space="preserve">La versión de los hechos que emana de las declaraciones de los miembros de las fuerzas de seguridad del Estado, </w:t>
      </w:r>
      <w:r w:rsidR="003F69BE">
        <w:rPr>
          <w:rFonts w:ascii="Verdana" w:hAnsi="Verdana"/>
          <w:sz w:val="20"/>
          <w:szCs w:val="20"/>
        </w:rPr>
        <w:t>l</w:t>
      </w:r>
      <w:r w:rsidR="003F69BE" w:rsidRPr="00DE5E39">
        <w:rPr>
          <w:rFonts w:ascii="Verdana" w:hAnsi="Verdana"/>
          <w:sz w:val="20"/>
          <w:szCs w:val="20"/>
        </w:rPr>
        <w:t>os suboficiales de la Policía Nacional del Perú</w:t>
      </w:r>
      <w:r w:rsidR="003F69BE">
        <w:rPr>
          <w:rFonts w:ascii="Verdana" w:hAnsi="Verdana"/>
          <w:sz w:val="20"/>
          <w:szCs w:val="20"/>
        </w:rPr>
        <w:t xml:space="preserve"> </w:t>
      </w:r>
      <w:r>
        <w:rPr>
          <w:rFonts w:ascii="Verdana" w:hAnsi="Verdana"/>
          <w:sz w:val="20"/>
          <w:szCs w:val="20"/>
        </w:rPr>
        <w:t>Robles Rey</w:t>
      </w:r>
      <w:r w:rsidRPr="00772F06">
        <w:rPr>
          <w:rFonts w:ascii="Verdana" w:hAnsi="Verdana"/>
          <w:sz w:val="20"/>
          <w:szCs w:val="20"/>
        </w:rPr>
        <w:t>noso y Torres Arteaga, corroboradas por la versió</w:t>
      </w:r>
      <w:r w:rsidRPr="00772F06">
        <w:rPr>
          <w:rFonts w:ascii="Verdana" w:hAnsi="Verdana" w:cs="Arial"/>
          <w:sz w:val="20"/>
          <w:szCs w:val="20"/>
        </w:rPr>
        <w:t xml:space="preserve">n del </w:t>
      </w:r>
      <w:r w:rsidR="00BA66F3">
        <w:rPr>
          <w:rFonts w:ascii="Verdana" w:hAnsi="Verdana" w:cs="Arial"/>
          <w:sz w:val="20"/>
          <w:szCs w:val="20"/>
        </w:rPr>
        <w:t xml:space="preserve">ex </w:t>
      </w:r>
      <w:r w:rsidRPr="00772F06">
        <w:rPr>
          <w:rFonts w:ascii="Verdana" w:hAnsi="Verdana" w:cs="Arial"/>
          <w:sz w:val="20"/>
          <w:szCs w:val="20"/>
        </w:rPr>
        <w:t>rehén</w:t>
      </w:r>
      <w:r w:rsidRPr="00772F06">
        <w:rPr>
          <w:rFonts w:ascii="Verdana" w:hAnsi="Verdana"/>
          <w:sz w:val="20"/>
          <w:szCs w:val="20"/>
        </w:rPr>
        <w:t xml:space="preserve"> Ogura, genera</w:t>
      </w:r>
      <w:r w:rsidR="005D123E">
        <w:rPr>
          <w:rFonts w:ascii="Verdana" w:hAnsi="Verdana"/>
          <w:sz w:val="20"/>
          <w:szCs w:val="20"/>
        </w:rPr>
        <w:t>ro</w:t>
      </w:r>
      <w:r w:rsidRPr="00772F06">
        <w:rPr>
          <w:rFonts w:ascii="Verdana" w:hAnsi="Verdana"/>
          <w:sz w:val="20"/>
          <w:szCs w:val="20"/>
        </w:rPr>
        <w:t xml:space="preserve">n la convicción en </w:t>
      </w:r>
      <w:r w:rsidR="003F69BE">
        <w:rPr>
          <w:rFonts w:ascii="Verdana" w:hAnsi="Verdana"/>
          <w:sz w:val="20"/>
          <w:szCs w:val="20"/>
        </w:rPr>
        <w:t>la</w:t>
      </w:r>
      <w:r w:rsidRPr="00772F06">
        <w:rPr>
          <w:rFonts w:ascii="Verdana" w:hAnsi="Verdana"/>
          <w:sz w:val="20"/>
          <w:szCs w:val="20"/>
        </w:rPr>
        <w:t xml:space="preserve"> Corte </w:t>
      </w:r>
      <w:r w:rsidR="003F69BE" w:rsidRPr="00DE5E39">
        <w:rPr>
          <w:rFonts w:ascii="Verdana" w:hAnsi="Verdana"/>
          <w:sz w:val="20"/>
          <w:szCs w:val="20"/>
        </w:rPr>
        <w:t>de que Cruz Sánchez fue capturado con vida en el jardín de la casa Nro. 1, que fue amarrado e incapacitado, que no portaba armamento, y que fue entregado a un militar quien volvió a ingresarlo hacia la residencia. Eduardo Nicolás Cruz Sánchez fue posteriormente hallado muerto. Según</w:t>
      </w:r>
      <w:r w:rsidR="003F69BE">
        <w:rPr>
          <w:rFonts w:ascii="Verdana" w:hAnsi="Verdana"/>
          <w:sz w:val="20"/>
          <w:szCs w:val="20"/>
        </w:rPr>
        <w:t xml:space="preserve"> el</w:t>
      </w:r>
      <w:r w:rsidR="003F69BE" w:rsidRPr="00DE5E39">
        <w:rPr>
          <w:rFonts w:ascii="Verdana" w:hAnsi="Verdana"/>
          <w:sz w:val="20"/>
          <w:szCs w:val="20"/>
        </w:rPr>
        <w:t xml:space="preserve"> informe de los antropólogos forenses, dicha muerte se produjo estando inmovilizado. Ningún comando que declaró en el fuero militar reconoció haberle disparado o dado muerte. Qué sucedió en </w:t>
      </w:r>
      <w:r w:rsidR="003F69BE" w:rsidRPr="00DE5E39">
        <w:rPr>
          <w:rFonts w:ascii="Verdana" w:hAnsi="Verdana"/>
          <w:sz w:val="20"/>
          <w:szCs w:val="20"/>
        </w:rPr>
        <w:lastRenderedPageBreak/>
        <w:t>el período entre que fue detenido y que su muerte se produjo aún no ha sido completamente dilucidado por las autoridades internas.</w:t>
      </w:r>
    </w:p>
    <w:p w:rsidR="00DD663E" w:rsidRPr="00576CF3" w:rsidRDefault="00DD663E" w:rsidP="00DD663E">
      <w:pPr>
        <w:autoSpaceDE w:val="0"/>
        <w:autoSpaceDN w:val="0"/>
        <w:adjustRightInd w:val="0"/>
        <w:spacing w:after="0" w:line="240" w:lineRule="auto"/>
        <w:jc w:val="both"/>
        <w:rPr>
          <w:rFonts w:ascii="Verdana" w:hAnsi="Verdana"/>
          <w:sz w:val="20"/>
          <w:szCs w:val="20"/>
        </w:rPr>
      </w:pPr>
    </w:p>
    <w:p w:rsidR="00DD663E" w:rsidRPr="00576CF3" w:rsidRDefault="00DD663E" w:rsidP="000F0C88">
      <w:pPr>
        <w:tabs>
          <w:tab w:val="left" w:pos="720"/>
          <w:tab w:val="num" w:pos="5057"/>
          <w:tab w:val="num" w:pos="5625"/>
        </w:tabs>
        <w:spacing w:after="0" w:line="240" w:lineRule="auto"/>
        <w:ind w:right="-90"/>
        <w:jc w:val="both"/>
        <w:rPr>
          <w:rFonts w:ascii="Verdana" w:hAnsi="Verdana"/>
          <w:sz w:val="20"/>
          <w:szCs w:val="20"/>
        </w:rPr>
      </w:pPr>
      <w:r w:rsidRPr="00576CF3">
        <w:rPr>
          <w:rFonts w:ascii="Verdana" w:hAnsi="Verdana"/>
          <w:sz w:val="20"/>
          <w:szCs w:val="20"/>
        </w:rPr>
        <w:t xml:space="preserve">El Estado argumentó ante </w:t>
      </w:r>
      <w:r w:rsidR="003F69BE">
        <w:rPr>
          <w:rFonts w:ascii="Verdana" w:hAnsi="Verdana"/>
          <w:sz w:val="20"/>
          <w:szCs w:val="20"/>
        </w:rPr>
        <w:t>la</w:t>
      </w:r>
      <w:r w:rsidRPr="00576CF3">
        <w:rPr>
          <w:rFonts w:ascii="Verdana" w:hAnsi="Verdana"/>
          <w:sz w:val="20"/>
          <w:szCs w:val="20"/>
        </w:rPr>
        <w:t xml:space="preserve"> Corte que Eduardo Nicolás Cruz Sánchez portaba una granada en el momento en el que se le dio muerte. Sin embargo, las propias autoridades judiciales peruanas descartaron esta hipótesis, al considerar la Tercera Sala Penal Especial Liquidadora de la Corte Superior de Justicia de Lima que existían “duda[s] respecto a que el emerretista apodado ‘Tito’ se encontra[ra] en posesión de una granada pues había sido detenido y tenía las manos amarradas hacia atrás, además que la lógica de la experiencia </w:t>
      </w:r>
      <w:r w:rsidR="00DC7C7F">
        <w:rPr>
          <w:rFonts w:ascii="Verdana" w:hAnsi="Verdana"/>
          <w:sz w:val="20"/>
          <w:szCs w:val="20"/>
        </w:rPr>
        <w:t>[…]</w:t>
      </w:r>
      <w:r w:rsidRPr="00576CF3">
        <w:rPr>
          <w:rFonts w:ascii="Verdana" w:hAnsi="Verdana"/>
          <w:sz w:val="20"/>
          <w:szCs w:val="20"/>
        </w:rPr>
        <w:t xml:space="preserve"> lleva a colegir que dada la fuerza del impacto de bala de haberla tenido en su poder ésta no hubiera permanecido sobre su mano”. La Corte no enc</w:t>
      </w:r>
      <w:r w:rsidR="00BA66F3">
        <w:rPr>
          <w:rFonts w:ascii="Verdana" w:hAnsi="Verdana"/>
          <w:sz w:val="20"/>
          <w:szCs w:val="20"/>
        </w:rPr>
        <w:t>o</w:t>
      </w:r>
      <w:r w:rsidRPr="00576CF3">
        <w:rPr>
          <w:rFonts w:ascii="Verdana" w:hAnsi="Verdana"/>
          <w:sz w:val="20"/>
          <w:szCs w:val="20"/>
        </w:rPr>
        <w:t>ntr</w:t>
      </w:r>
      <w:r w:rsidR="00BA66F3">
        <w:rPr>
          <w:rFonts w:ascii="Verdana" w:hAnsi="Verdana"/>
          <w:sz w:val="20"/>
          <w:szCs w:val="20"/>
        </w:rPr>
        <w:t>ó</w:t>
      </w:r>
      <w:r w:rsidRPr="00576CF3">
        <w:rPr>
          <w:rFonts w:ascii="Verdana" w:hAnsi="Verdana"/>
          <w:sz w:val="20"/>
          <w:szCs w:val="20"/>
        </w:rPr>
        <w:t xml:space="preserve"> </w:t>
      </w:r>
      <w:r w:rsidRPr="00BA66F3">
        <w:rPr>
          <w:rFonts w:ascii="Verdana" w:hAnsi="Verdana"/>
          <w:sz w:val="20"/>
          <w:szCs w:val="20"/>
        </w:rPr>
        <w:t>posible que, una vez capturado y siendo trasladado con sus manos atadas, Eduardo Nicolás Cruz Sánchez hubiera tenido oportunidad de sostener una granada. Es decir, no resulta</w:t>
      </w:r>
      <w:r w:rsidR="00BA66F3" w:rsidRPr="00BA66F3">
        <w:rPr>
          <w:rFonts w:ascii="Verdana" w:hAnsi="Verdana"/>
          <w:sz w:val="20"/>
          <w:szCs w:val="20"/>
        </w:rPr>
        <w:t>ba</w:t>
      </w:r>
      <w:r w:rsidRPr="00BA66F3">
        <w:rPr>
          <w:rFonts w:ascii="Verdana" w:hAnsi="Verdana"/>
          <w:sz w:val="20"/>
          <w:szCs w:val="20"/>
        </w:rPr>
        <w:t xml:space="preserve"> creíble que sostuviera una granada en su mano y la mantuviera en dicha posición, incluso tras su muerte. Asimismo, </w:t>
      </w:r>
      <w:r w:rsidR="003F69BE">
        <w:rPr>
          <w:rFonts w:ascii="Verdana" w:hAnsi="Verdana"/>
          <w:sz w:val="20"/>
          <w:szCs w:val="20"/>
        </w:rPr>
        <w:t>para la Corte</w:t>
      </w:r>
      <w:r w:rsidRPr="00BA66F3">
        <w:rPr>
          <w:rFonts w:ascii="Verdana" w:hAnsi="Verdana"/>
          <w:sz w:val="20"/>
          <w:szCs w:val="20"/>
        </w:rPr>
        <w:t xml:space="preserve"> no puede descartarse por completo que la escena de los hechos haya sido alterada.</w:t>
      </w:r>
    </w:p>
    <w:p w:rsidR="00DD663E" w:rsidRPr="00576CF3" w:rsidRDefault="00DD663E" w:rsidP="00DD663E">
      <w:pPr>
        <w:autoSpaceDE w:val="0"/>
        <w:autoSpaceDN w:val="0"/>
        <w:adjustRightInd w:val="0"/>
        <w:spacing w:after="0" w:line="240" w:lineRule="auto"/>
        <w:jc w:val="both"/>
        <w:rPr>
          <w:rFonts w:ascii="Verdana" w:hAnsi="Verdana"/>
          <w:sz w:val="20"/>
          <w:szCs w:val="20"/>
        </w:rPr>
      </w:pPr>
    </w:p>
    <w:p w:rsidR="00DD663E" w:rsidRPr="00772F06" w:rsidRDefault="005D123E" w:rsidP="000F0C88">
      <w:pPr>
        <w:tabs>
          <w:tab w:val="left" w:pos="720"/>
          <w:tab w:val="num" w:pos="5057"/>
          <w:tab w:val="num" w:pos="5625"/>
        </w:tabs>
        <w:spacing w:after="0" w:line="240" w:lineRule="auto"/>
        <w:ind w:right="-90"/>
        <w:jc w:val="both"/>
        <w:rPr>
          <w:rFonts w:ascii="Verdana" w:hAnsi="Verdana"/>
          <w:sz w:val="20"/>
          <w:szCs w:val="20"/>
        </w:rPr>
      </w:pPr>
      <w:r>
        <w:rPr>
          <w:rFonts w:ascii="Verdana" w:hAnsi="Verdana"/>
          <w:sz w:val="20"/>
          <w:szCs w:val="20"/>
        </w:rPr>
        <w:t>Lo anterior permitió</w:t>
      </w:r>
      <w:r w:rsidR="00DD663E" w:rsidRPr="00576CF3">
        <w:rPr>
          <w:rFonts w:ascii="Verdana" w:hAnsi="Verdana"/>
          <w:sz w:val="20"/>
          <w:szCs w:val="20"/>
        </w:rPr>
        <w:t xml:space="preserve"> colegir a esta Corte que la última vez que fue visto con vida, el mismo se encontraba en una situación de </w:t>
      </w:r>
      <w:r w:rsidR="00DD663E" w:rsidRPr="00576CF3">
        <w:rPr>
          <w:rFonts w:ascii="Verdana" w:hAnsi="Verdana"/>
          <w:i/>
          <w:sz w:val="20"/>
          <w:szCs w:val="20"/>
        </w:rPr>
        <w:t xml:space="preserve">hors de combat </w:t>
      </w:r>
      <w:r w:rsidR="00DD663E" w:rsidRPr="00576CF3">
        <w:rPr>
          <w:rFonts w:ascii="Verdana" w:hAnsi="Verdana"/>
          <w:sz w:val="20"/>
          <w:szCs w:val="20"/>
        </w:rPr>
        <w:t>y que</w:t>
      </w:r>
      <w:r w:rsidR="00DD663E" w:rsidRPr="00772F06">
        <w:rPr>
          <w:rFonts w:ascii="Verdana" w:hAnsi="Verdana"/>
          <w:sz w:val="20"/>
          <w:szCs w:val="20"/>
        </w:rPr>
        <w:t xml:space="preserve"> gozaba por tanto de la protección que otorgan las normas de derecho internacional humanitario </w:t>
      </w:r>
      <w:r w:rsidR="00DD663E">
        <w:rPr>
          <w:rFonts w:ascii="Verdana" w:hAnsi="Verdana"/>
          <w:sz w:val="20"/>
          <w:szCs w:val="20"/>
        </w:rPr>
        <w:t>aplicables</w:t>
      </w:r>
      <w:r w:rsidR="00DD663E" w:rsidRPr="00C87002">
        <w:rPr>
          <w:rFonts w:ascii="Verdana" w:hAnsi="Verdana"/>
          <w:sz w:val="20"/>
          <w:szCs w:val="20"/>
        </w:rPr>
        <w:t>.</w:t>
      </w:r>
      <w:r w:rsidR="00DD663E" w:rsidRPr="00772F06">
        <w:rPr>
          <w:rFonts w:ascii="Verdana" w:hAnsi="Verdana"/>
          <w:sz w:val="20"/>
          <w:szCs w:val="20"/>
        </w:rPr>
        <w:t xml:space="preserve"> Es decir, </w:t>
      </w:r>
      <w:r w:rsidR="00DD663E" w:rsidRPr="00772F06">
        <w:rPr>
          <w:rFonts w:ascii="Verdana" w:hAnsi="Verdana" w:cs="Verdana"/>
          <w:sz w:val="20"/>
          <w:szCs w:val="20"/>
        </w:rPr>
        <w:t xml:space="preserve">una vez que Eduardo Nicolás Cruz Sánchez fue capturado con vida, el Estado tenía la obligación de otorgarle un trato humano y respetar y garantizar sus derechos, todo ello de conformidad con el artículo 4 de la Convención Americana, interpretado a la luz del artículo 3 común </w:t>
      </w:r>
      <w:r w:rsidR="00DD663E" w:rsidRPr="00772F06">
        <w:rPr>
          <w:rFonts w:ascii="Verdana" w:hAnsi="Verdana"/>
          <w:sz w:val="20"/>
          <w:szCs w:val="20"/>
        </w:rPr>
        <w:t>a los cuatro Convenios de Ginebra</w:t>
      </w:r>
      <w:r w:rsidR="00DD663E">
        <w:rPr>
          <w:rFonts w:ascii="Verdana" w:hAnsi="Verdana" w:cs="Verdana"/>
          <w:sz w:val="20"/>
          <w:szCs w:val="20"/>
        </w:rPr>
        <w:t>.</w:t>
      </w:r>
    </w:p>
    <w:p w:rsidR="00DD663E" w:rsidRPr="00772F06" w:rsidRDefault="00DD663E" w:rsidP="00DD663E">
      <w:pPr>
        <w:autoSpaceDE w:val="0"/>
        <w:autoSpaceDN w:val="0"/>
        <w:adjustRightInd w:val="0"/>
        <w:spacing w:after="0" w:line="240" w:lineRule="auto"/>
        <w:jc w:val="both"/>
        <w:rPr>
          <w:rFonts w:ascii="Verdana" w:hAnsi="Verdana"/>
          <w:sz w:val="20"/>
          <w:szCs w:val="20"/>
        </w:rPr>
      </w:pPr>
    </w:p>
    <w:p w:rsidR="00DD663E" w:rsidRPr="00772F06"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 xml:space="preserve">Es así que </w:t>
      </w:r>
      <w:r w:rsidR="00A27EF7">
        <w:rPr>
          <w:rFonts w:ascii="Verdana" w:hAnsi="Verdana"/>
          <w:sz w:val="20"/>
          <w:szCs w:val="20"/>
        </w:rPr>
        <w:t xml:space="preserve">la Corte consideró que </w:t>
      </w:r>
      <w:r w:rsidRPr="00772F06">
        <w:rPr>
          <w:rFonts w:ascii="Verdana" w:hAnsi="Verdana"/>
          <w:sz w:val="20"/>
          <w:szCs w:val="20"/>
        </w:rPr>
        <w:t>se invierte la carga de la prueba</w:t>
      </w:r>
      <w:r w:rsidRPr="00772F06">
        <w:rPr>
          <w:rFonts w:ascii="Verdana" w:hAnsi="Verdana" w:cs="Verdana"/>
          <w:sz w:val="20"/>
          <w:szCs w:val="20"/>
        </w:rPr>
        <w:t xml:space="preserve"> y correspondía al Estado la obligación de proveer una explicación satisfactoria y convincente de lo sucedido y desvirtuar las alegaciones sobre su responsabilidad, mediante elementos probatorios adecuados, que dem</w:t>
      </w:r>
      <w:r w:rsidR="00E07D29">
        <w:rPr>
          <w:rFonts w:ascii="Verdana" w:hAnsi="Verdana" w:cs="Verdana"/>
          <w:sz w:val="20"/>
          <w:szCs w:val="20"/>
        </w:rPr>
        <w:t>ostraran</w:t>
      </w:r>
      <w:r w:rsidRPr="00772F06">
        <w:rPr>
          <w:rFonts w:ascii="Verdana" w:hAnsi="Verdana" w:cs="Verdana"/>
          <w:sz w:val="20"/>
          <w:szCs w:val="20"/>
        </w:rPr>
        <w:t xml:space="preserve"> en este caso que existió alguna necesidad de utilizar la fuerza por parte de los oficiales que custodiaban a </w:t>
      </w:r>
      <w:r w:rsidRPr="00772F06">
        <w:rPr>
          <w:rFonts w:ascii="Verdana" w:hAnsi="Verdana"/>
          <w:sz w:val="20"/>
          <w:szCs w:val="20"/>
        </w:rPr>
        <w:t>Eduardo Nicolás Cruz Sánchez</w:t>
      </w:r>
      <w:r w:rsidRPr="00772F06">
        <w:rPr>
          <w:rFonts w:ascii="Verdana" w:hAnsi="Verdana" w:cs="Verdana"/>
          <w:sz w:val="20"/>
          <w:szCs w:val="20"/>
        </w:rPr>
        <w:t xml:space="preserve">. </w:t>
      </w:r>
      <w:r w:rsidRPr="00772F06">
        <w:rPr>
          <w:rFonts w:ascii="Verdana" w:hAnsi="Verdana"/>
          <w:sz w:val="20"/>
          <w:szCs w:val="20"/>
        </w:rPr>
        <w:t>Sin embargo, en el presente caso el Estado no proporcionó ante esta Corte una explicación alternativa que sea verosímil</w:t>
      </w:r>
      <w:r w:rsidRPr="009F3673">
        <w:rPr>
          <w:rFonts w:ascii="Verdana" w:hAnsi="Verdana"/>
          <w:sz w:val="20"/>
          <w:szCs w:val="20"/>
        </w:rPr>
        <w:t xml:space="preserve"> </w:t>
      </w:r>
      <w:r w:rsidRPr="00772F06">
        <w:rPr>
          <w:rFonts w:ascii="Verdana" w:hAnsi="Verdana"/>
          <w:sz w:val="20"/>
          <w:szCs w:val="20"/>
        </w:rPr>
        <w:t xml:space="preserve">y satisfactoria sobre la forma en la que </w:t>
      </w:r>
      <w:r w:rsidR="00A27EF7" w:rsidRPr="00772F06">
        <w:rPr>
          <w:rFonts w:ascii="Verdana" w:hAnsi="Verdana"/>
          <w:sz w:val="20"/>
          <w:szCs w:val="20"/>
        </w:rPr>
        <w:t xml:space="preserve">Eduardo Nicolás Cruz Sánchez </w:t>
      </w:r>
      <w:r w:rsidRPr="00772F06">
        <w:rPr>
          <w:rFonts w:ascii="Verdana" w:hAnsi="Verdana"/>
          <w:sz w:val="20"/>
          <w:szCs w:val="20"/>
        </w:rPr>
        <w:t xml:space="preserve">falleció en las zonas bajo el control exclusivo del Estado. Los elementos indicados por el Estado en cuanto a que Cruz Sánchez habría estado en posesión de una granada en la mano no </w:t>
      </w:r>
      <w:r w:rsidRPr="00A27EF7">
        <w:rPr>
          <w:rFonts w:ascii="Verdana" w:hAnsi="Verdana"/>
          <w:sz w:val="20"/>
          <w:szCs w:val="20"/>
        </w:rPr>
        <w:t>logran desacreditar la convicción generada por la evidencia suficiente y variada que indica que l</w:t>
      </w:r>
      <w:r w:rsidRPr="00A27EF7">
        <w:rPr>
          <w:rFonts w:ascii="Verdana" w:hAnsi="Verdana" w:cs="Verdana"/>
          <w:sz w:val="20"/>
          <w:szCs w:val="20"/>
        </w:rPr>
        <w:t xml:space="preserve">a muerte de </w:t>
      </w:r>
      <w:r w:rsidRPr="00A27EF7">
        <w:rPr>
          <w:rFonts w:ascii="Verdana" w:hAnsi="Verdana"/>
          <w:sz w:val="20"/>
          <w:szCs w:val="20"/>
        </w:rPr>
        <w:t xml:space="preserve">Eduardo Nicolás Cruz Sánchez se produjo cuando se encontraba en manos del Estado en calidad de </w:t>
      </w:r>
      <w:r w:rsidRPr="00A27EF7">
        <w:rPr>
          <w:rFonts w:ascii="Verdana" w:hAnsi="Verdana"/>
          <w:i/>
          <w:sz w:val="20"/>
          <w:szCs w:val="20"/>
        </w:rPr>
        <w:t xml:space="preserve">hors de combat </w:t>
      </w:r>
      <w:r w:rsidRPr="00A27EF7">
        <w:rPr>
          <w:rFonts w:ascii="Verdana" w:hAnsi="Verdana"/>
          <w:sz w:val="20"/>
          <w:szCs w:val="20"/>
        </w:rPr>
        <w:t xml:space="preserve">y como consecuencia de un disparo realizado </w:t>
      </w:r>
      <w:r w:rsidRPr="00A27EF7">
        <w:rPr>
          <w:rFonts w:ascii="Verdana" w:hAnsi="Verdana" w:cs="Arial"/>
          <w:sz w:val="20"/>
          <w:szCs w:val="20"/>
        </w:rPr>
        <w:t xml:space="preserve">cuando el cuerpo </w:t>
      </w:r>
      <w:r w:rsidRPr="00A27EF7">
        <w:rPr>
          <w:rFonts w:ascii="Verdana" w:hAnsi="Verdana"/>
          <w:sz w:val="20"/>
          <w:szCs w:val="20"/>
        </w:rPr>
        <w:t>permanecía</w:t>
      </w:r>
      <w:r w:rsidRPr="00A27EF7">
        <w:rPr>
          <w:rFonts w:ascii="Verdana" w:hAnsi="Verdana" w:cs="Arial"/>
          <w:sz w:val="20"/>
          <w:szCs w:val="20"/>
        </w:rPr>
        <w:t xml:space="preserve"> casi inmóvil, en contradicción con los principios del derecho internacional humanitario</w:t>
      </w:r>
      <w:r w:rsidR="000F0C88" w:rsidRPr="00A27EF7">
        <w:rPr>
          <w:rFonts w:ascii="Verdana" w:hAnsi="Verdana" w:cs="Arial"/>
          <w:sz w:val="20"/>
          <w:szCs w:val="20"/>
        </w:rPr>
        <w:t xml:space="preserve"> aplicables</w:t>
      </w:r>
      <w:r w:rsidRPr="00A27EF7">
        <w:rPr>
          <w:rFonts w:ascii="Verdana" w:hAnsi="Verdana" w:cs="Arial"/>
          <w:sz w:val="20"/>
          <w:szCs w:val="20"/>
        </w:rPr>
        <w:t>.</w:t>
      </w:r>
    </w:p>
    <w:p w:rsidR="00DD663E" w:rsidRPr="00772F06" w:rsidRDefault="00DD663E" w:rsidP="00DD663E">
      <w:pPr>
        <w:tabs>
          <w:tab w:val="left" w:pos="720"/>
          <w:tab w:val="num" w:pos="5057"/>
          <w:tab w:val="num" w:pos="5625"/>
        </w:tabs>
        <w:spacing w:after="0" w:line="240" w:lineRule="auto"/>
        <w:ind w:right="-90"/>
        <w:jc w:val="both"/>
        <w:rPr>
          <w:rFonts w:ascii="Verdana" w:hAnsi="Verdana"/>
          <w:sz w:val="20"/>
          <w:szCs w:val="20"/>
        </w:rPr>
      </w:pPr>
    </w:p>
    <w:p w:rsidR="00DE0D50"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 xml:space="preserve">Las autoridades judiciales peruanas llegaron a </w:t>
      </w:r>
      <w:r>
        <w:rPr>
          <w:rFonts w:ascii="Verdana" w:hAnsi="Verdana"/>
          <w:sz w:val="20"/>
          <w:szCs w:val="20"/>
        </w:rPr>
        <w:t>igual</w:t>
      </w:r>
      <w:r w:rsidRPr="00772F06">
        <w:rPr>
          <w:rFonts w:ascii="Verdana" w:hAnsi="Verdana"/>
          <w:sz w:val="20"/>
          <w:szCs w:val="20"/>
        </w:rPr>
        <w:t xml:space="preserve"> </w:t>
      </w:r>
      <w:r w:rsidRPr="00C87002">
        <w:rPr>
          <w:rFonts w:ascii="Verdana" w:hAnsi="Verdana"/>
          <w:sz w:val="20"/>
          <w:szCs w:val="20"/>
        </w:rPr>
        <w:t>conclusión,</w:t>
      </w:r>
      <w:r w:rsidRPr="00772F06">
        <w:rPr>
          <w:rFonts w:ascii="Verdana" w:hAnsi="Verdana"/>
          <w:sz w:val="20"/>
          <w:szCs w:val="20"/>
        </w:rPr>
        <w:t xml:space="preserve"> al determinar que “fue muerto luego de ser detenido” una vez que los ambientes de la residencia ya habían sido dominados y los rehenes habían sido evacuados</w:t>
      </w:r>
      <w:r>
        <w:rPr>
          <w:rFonts w:ascii="Verdana" w:hAnsi="Verdana"/>
          <w:sz w:val="20"/>
          <w:szCs w:val="20"/>
        </w:rPr>
        <w:t>.</w:t>
      </w:r>
      <w:r w:rsidR="00A27EF7">
        <w:rPr>
          <w:rFonts w:ascii="Verdana" w:hAnsi="Verdana"/>
          <w:sz w:val="20"/>
          <w:szCs w:val="20"/>
        </w:rPr>
        <w:t xml:space="preserve"> </w:t>
      </w:r>
    </w:p>
    <w:p w:rsidR="00DE0D50" w:rsidRDefault="00DE0D50" w:rsidP="000F0C88">
      <w:pPr>
        <w:tabs>
          <w:tab w:val="left" w:pos="720"/>
          <w:tab w:val="num" w:pos="5057"/>
          <w:tab w:val="num" w:pos="5625"/>
        </w:tabs>
        <w:spacing w:after="0" w:line="240" w:lineRule="auto"/>
        <w:ind w:right="-90"/>
        <w:jc w:val="both"/>
        <w:rPr>
          <w:rFonts w:ascii="Verdana" w:hAnsi="Verdana"/>
          <w:sz w:val="20"/>
          <w:szCs w:val="20"/>
        </w:rPr>
      </w:pPr>
    </w:p>
    <w:p w:rsidR="00DE0D50" w:rsidRPr="00DE5E39" w:rsidRDefault="00DE0D50" w:rsidP="00DE0D50">
      <w:pPr>
        <w:tabs>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sentencia de la Tercera Sala Penal Especial Liquidadora de la Corte Superior de Justicia</w:t>
      </w:r>
      <w:r>
        <w:rPr>
          <w:rFonts w:ascii="Verdana" w:hAnsi="Verdana"/>
          <w:sz w:val="20"/>
          <w:szCs w:val="20"/>
        </w:rPr>
        <w:t xml:space="preserve"> de Lima</w:t>
      </w:r>
      <w:r w:rsidRPr="00DE5E39">
        <w:rPr>
          <w:rFonts w:ascii="Verdana" w:hAnsi="Verdana"/>
          <w:sz w:val="20"/>
          <w:szCs w:val="20"/>
        </w:rPr>
        <w:t xml:space="preserve"> de 15 de octubre de 2012, dictada luego de que </w:t>
      </w:r>
      <w:r w:rsidRPr="00DE5E39">
        <w:rPr>
          <w:rFonts w:ascii="Verdana" w:hAnsi="Verdana" w:cs="Arial"/>
          <w:sz w:val="20"/>
          <w:szCs w:val="20"/>
        </w:rPr>
        <w:t xml:space="preserve">numerosa prueba testimonial, documental y pericial fuera recibida, </w:t>
      </w:r>
      <w:r w:rsidRPr="00DE5E39">
        <w:rPr>
          <w:rFonts w:ascii="Verdana" w:hAnsi="Verdana"/>
          <w:sz w:val="20"/>
          <w:szCs w:val="20"/>
        </w:rPr>
        <w:t>concluyó que:</w:t>
      </w:r>
    </w:p>
    <w:p w:rsidR="00DE0D50" w:rsidRPr="00DE5E39" w:rsidRDefault="00DE0D50" w:rsidP="00DE0D50">
      <w:pPr>
        <w:autoSpaceDE w:val="0"/>
        <w:autoSpaceDN w:val="0"/>
        <w:adjustRightInd w:val="0"/>
        <w:spacing w:after="0" w:line="240" w:lineRule="auto"/>
        <w:rPr>
          <w:rFonts w:ascii="Verdana" w:hAnsi="Verdana" w:cs="Arial"/>
          <w:sz w:val="20"/>
          <w:szCs w:val="20"/>
          <w:highlight w:val="yellow"/>
        </w:rPr>
      </w:pP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 Nicolás Cruz Sánchez se encontraba en el exterior de la residencia cuando fue detenido[, al respecto,] este Colegiado considera obvio que dada la formación policial de los sub-oficiales [Robles Reynoso y Torres Arteaga] quienes además venían laborando desde el Servicio de Inteligencia Nacional bajo las órdenes de Jesús Zamudio Aliaga, lo reconocían como jefe superior inmediato y por ende lo lógico era poner en su conocimiento cualquier eventualidad como es en este caso una detención, por lo que es de colegir liminarmente que este hecho también se produjo si bien no contamos con la declaración en juicio oral del procesado contumaz. […] Todo lo reseñado genera duda respecto a que el emerretista apodado ‘Tito’ se </w:t>
      </w:r>
      <w:r w:rsidRPr="00DE5E39">
        <w:rPr>
          <w:rFonts w:ascii="Verdana" w:hAnsi="Verdana"/>
          <w:sz w:val="18"/>
          <w:szCs w:val="18"/>
        </w:rPr>
        <w:lastRenderedPageBreak/>
        <w:t xml:space="preserve">encontraba en posesión de una granada pues había sido detenido y tenía las manos amarradas hacia atrás, además que la lógica de la experiencia </w:t>
      </w:r>
      <w:r w:rsidR="00EB0052">
        <w:rPr>
          <w:rFonts w:ascii="Verdana" w:hAnsi="Verdana"/>
          <w:sz w:val="18"/>
          <w:szCs w:val="18"/>
        </w:rPr>
        <w:t>[…]</w:t>
      </w:r>
      <w:r w:rsidRPr="00DE5E39">
        <w:rPr>
          <w:rFonts w:ascii="Verdana" w:hAnsi="Verdana"/>
          <w:sz w:val="18"/>
          <w:szCs w:val="18"/>
        </w:rPr>
        <w:t xml:space="preserve"> lleva a colegir que dada la fuerza del impacto de bala[,] de haberla tenido en su poder ésta no hubiera permanecido sobre su mano.</w:t>
      </w: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De lo actuado en este proceso penal queda probad[a] la muerte de Eduardo Nicolás Cruz Sánchez quien fue detenido o aprehendido por dos efectivos policiales pertenecientes al Servicio de Inteligencia Nacional […], luego aparece yaciente en una zona comprendida entre la Casa 01 y la residencia propiamente dicha con sólo un impacto de proyectil de bala con ingreso en el lado izquierdo del cuello de necesidad mortal y es visto en esta zona custodiado por personal del Servicio de Inteligencia Nacional, a lo que además debemos tener en cuenta las opiniones sobre la distancia desde la que se produce el disparo, la posición del cuerpo de Cruz Sánchez al momento de ser impactado con la bala y el calibre del proyectil que puede ocasionar ese tipo de herida; empero no se ha podido establecer que esto haya ocurrido por mandato o disposición de alguno de los procesados presentes dentro de lo que se ha venido llamando ‘cadena de mando paralela’ es decir la producción de la comisión del delito como devenir de una política de Estado.</w:t>
      </w: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Lo que </w:t>
      </w:r>
      <w:r w:rsidR="00EB0052">
        <w:rPr>
          <w:rFonts w:ascii="Verdana" w:hAnsi="Verdana"/>
          <w:sz w:val="18"/>
          <w:szCs w:val="18"/>
        </w:rPr>
        <w:t>[…]</w:t>
      </w:r>
      <w:r w:rsidRPr="00DE5E39">
        <w:rPr>
          <w:rFonts w:ascii="Verdana" w:hAnsi="Verdana"/>
          <w:sz w:val="18"/>
          <w:szCs w:val="18"/>
        </w:rPr>
        <w:t xml:space="preserve"> lleva a concluir en principio, por mayoría, que este subversivo [Cruz Sánchez] fue muerto luego de ser detenido y que como último hecho comprobado es que estuvo en poder de los efectivos policiales del servicio de inteligencia nacional bajo el mando de Zamudio Aliaga.</w:t>
      </w:r>
    </w:p>
    <w:p w:rsidR="00DE0D50" w:rsidRPr="00DE5E39" w:rsidRDefault="00DE0D50" w:rsidP="00DE0D50">
      <w:pPr>
        <w:autoSpaceDE w:val="0"/>
        <w:autoSpaceDN w:val="0"/>
        <w:adjustRightInd w:val="0"/>
        <w:spacing w:after="0" w:line="240" w:lineRule="auto"/>
        <w:rPr>
          <w:rFonts w:ascii="Verdana" w:hAnsi="Verdana" w:cs="Arial"/>
          <w:sz w:val="20"/>
          <w:szCs w:val="20"/>
          <w:highlight w:val="yellow"/>
        </w:rPr>
      </w:pPr>
    </w:p>
    <w:p w:rsidR="00DE0D50" w:rsidRPr="00DE5E39" w:rsidRDefault="00DE0D50" w:rsidP="00DE0D50">
      <w:pPr>
        <w:tabs>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sz w:val="20"/>
          <w:szCs w:val="20"/>
        </w:rPr>
        <w:t>Esta</w:t>
      </w:r>
      <w:r w:rsidRPr="00DE5E39">
        <w:rPr>
          <w:rFonts w:ascii="Verdana" w:eastAsia="Batang" w:hAnsi="Verdana" w:cs="Times"/>
          <w:sz w:val="20"/>
          <w:szCs w:val="20"/>
        </w:rPr>
        <w:t xml:space="preserve"> </w:t>
      </w:r>
      <w:r w:rsidRPr="00DE5E39">
        <w:rPr>
          <w:rFonts w:ascii="Verdana" w:hAnsi="Verdana"/>
          <w:sz w:val="20"/>
          <w:szCs w:val="20"/>
        </w:rPr>
        <w:t>versión</w:t>
      </w:r>
      <w:r w:rsidRPr="00DE5E39">
        <w:rPr>
          <w:rFonts w:ascii="Verdana" w:eastAsia="Batang" w:hAnsi="Verdana" w:cs="Times"/>
          <w:sz w:val="20"/>
          <w:szCs w:val="20"/>
        </w:rPr>
        <w:t xml:space="preserve"> de los hechos es también la que se desprende de la última decisión adoptada a nivel interno en el marco de las investigaciones. Esta es la decisión de la Sala Penal Transitoria de la Corte Suprema de Justicia de la República que resolvió los recursos de nulidad interpuestos contra la sentencia de la </w:t>
      </w:r>
      <w:r w:rsidRPr="00DE5E39">
        <w:rPr>
          <w:rFonts w:ascii="Verdana" w:hAnsi="Verdana"/>
          <w:sz w:val="20"/>
          <w:szCs w:val="20"/>
        </w:rPr>
        <w:t>Tercera Sala Penal Especial Liquidadora</w:t>
      </w:r>
      <w:r w:rsidRPr="00DE5E39">
        <w:rPr>
          <w:rFonts w:ascii="Verdana" w:eastAsia="Batang" w:hAnsi="Verdana" w:cs="Times"/>
          <w:sz w:val="20"/>
          <w:szCs w:val="20"/>
        </w:rPr>
        <w:t>, en la cual se estableció, respecto de la muerte de Cruz Sánchez, que:</w:t>
      </w:r>
    </w:p>
    <w:p w:rsidR="00DE0D50" w:rsidRPr="00DE5E39" w:rsidRDefault="00DE0D50" w:rsidP="00DE0D50">
      <w:pPr>
        <w:pStyle w:val="Default"/>
        <w:jc w:val="both"/>
        <w:rPr>
          <w:rFonts w:ascii="Verdana" w:hAnsi="Verdana"/>
          <w:sz w:val="20"/>
          <w:szCs w:val="20"/>
          <w:lang w:val="es-CR"/>
        </w:rPr>
      </w:pP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La operación militar duró muy poco tiempo, fue precisa y efectiva, y se contó, conforme se ha dejado sentado, con unas directivas en caso de heridos y capturados del MRTA. […]</w:t>
      </w:r>
    </w:p>
    <w:p w:rsidR="00DE0D50" w:rsidRPr="00DE5E39" w:rsidRDefault="00DE0D50" w:rsidP="00DE0D50">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bCs/>
          <w:iCs/>
          <w:sz w:val="18"/>
          <w:szCs w:val="18"/>
        </w:rPr>
        <w:t>[… E]</w:t>
      </w:r>
      <w:r w:rsidRPr="00DE5E39">
        <w:rPr>
          <w:rFonts w:ascii="Verdana" w:hAnsi="Verdana"/>
          <w:sz w:val="18"/>
          <w:szCs w:val="18"/>
        </w:rPr>
        <w:t>n consecuencia, sólo puede afirmarse que esa ejecución extrajudicial –así considerada por la Sala Sentenciadora, lo que no ha sido materia de impugnación– fue un crimen aislado, que no formó parte de la operación y de los planes elaborados en las instancias superiores.</w:t>
      </w:r>
    </w:p>
    <w:p w:rsidR="00DE0D50" w:rsidRPr="00DE5E39" w:rsidRDefault="00DE0D50" w:rsidP="00DE0D50">
      <w:pPr>
        <w:autoSpaceDE w:val="0"/>
        <w:autoSpaceDN w:val="0"/>
        <w:adjustRightInd w:val="0"/>
        <w:spacing w:after="0" w:line="240" w:lineRule="auto"/>
        <w:rPr>
          <w:rFonts w:ascii="Verdana" w:hAnsi="Verdana" w:cs="Arial"/>
          <w:sz w:val="20"/>
          <w:szCs w:val="20"/>
          <w:highlight w:val="yellow"/>
        </w:rPr>
      </w:pPr>
    </w:p>
    <w:p w:rsidR="00DD663E" w:rsidRPr="00772F06" w:rsidRDefault="00DD663E" w:rsidP="000F0C88">
      <w:pPr>
        <w:tabs>
          <w:tab w:val="left" w:pos="720"/>
          <w:tab w:val="num" w:pos="5057"/>
          <w:tab w:val="num" w:pos="5625"/>
        </w:tabs>
        <w:spacing w:after="0" w:line="240" w:lineRule="auto"/>
        <w:ind w:right="-90"/>
        <w:jc w:val="both"/>
        <w:rPr>
          <w:rFonts w:ascii="Verdana" w:hAnsi="Verdana" w:cs="Verdana"/>
          <w:sz w:val="20"/>
          <w:szCs w:val="20"/>
        </w:rPr>
      </w:pPr>
      <w:r w:rsidRPr="00A27EF7">
        <w:rPr>
          <w:rFonts w:ascii="Verdana" w:hAnsi="Verdana"/>
          <w:sz w:val="20"/>
          <w:szCs w:val="20"/>
        </w:rPr>
        <w:t>Todo lo anterior permit</w:t>
      </w:r>
      <w:r w:rsidR="000F0C88" w:rsidRPr="00A27EF7">
        <w:rPr>
          <w:rFonts w:ascii="Verdana" w:hAnsi="Verdana"/>
          <w:sz w:val="20"/>
          <w:szCs w:val="20"/>
        </w:rPr>
        <w:t>ió</w:t>
      </w:r>
      <w:r w:rsidRPr="00A27EF7">
        <w:rPr>
          <w:rFonts w:ascii="Verdana" w:hAnsi="Verdana"/>
          <w:sz w:val="20"/>
          <w:szCs w:val="20"/>
        </w:rPr>
        <w:t xml:space="preserve"> a esta Corte concluir que</w:t>
      </w:r>
      <w:r w:rsidRPr="00A27EF7">
        <w:rPr>
          <w:rFonts w:ascii="Verdana" w:hAnsi="Verdana" w:cs="Verdana"/>
          <w:sz w:val="20"/>
          <w:szCs w:val="20"/>
        </w:rPr>
        <w:t xml:space="preserve"> </w:t>
      </w:r>
      <w:r w:rsidR="00DE0D50" w:rsidRPr="00DE5E39">
        <w:rPr>
          <w:rFonts w:ascii="Verdana" w:hAnsi="Verdana"/>
          <w:sz w:val="20"/>
          <w:szCs w:val="20"/>
        </w:rPr>
        <w:t>se trató de una ejecución extrajudicial</w:t>
      </w:r>
      <w:r w:rsidR="00DE0D50">
        <w:rPr>
          <w:rFonts w:ascii="Verdana" w:hAnsi="Verdana"/>
          <w:sz w:val="20"/>
          <w:szCs w:val="20"/>
        </w:rPr>
        <w:t>.</w:t>
      </w:r>
      <w:r w:rsidR="00DE0D50" w:rsidRPr="00A27EF7">
        <w:rPr>
          <w:rFonts w:ascii="Verdana" w:hAnsi="Verdana" w:cs="Verdana"/>
          <w:sz w:val="20"/>
          <w:szCs w:val="20"/>
        </w:rPr>
        <w:t xml:space="preserve"> </w:t>
      </w:r>
      <w:r w:rsidR="00DE0D50">
        <w:rPr>
          <w:rFonts w:ascii="Verdana" w:hAnsi="Verdana" w:cs="Verdana"/>
          <w:sz w:val="20"/>
          <w:szCs w:val="20"/>
        </w:rPr>
        <w:t xml:space="preserve">De este modo, la Corte concluyó que </w:t>
      </w:r>
      <w:r w:rsidRPr="00A27EF7">
        <w:rPr>
          <w:rFonts w:ascii="Verdana" w:hAnsi="Verdana" w:cs="Verdana"/>
          <w:sz w:val="20"/>
          <w:szCs w:val="20"/>
        </w:rPr>
        <w:t>el Estado incurrió en responsabilidad internacional por la privación arbitraria de la vida de Eduardo Nicolás Cruz Sánchez, en violación del artículo 4.1 de la Convención Americana, en relación con el artículo 1.1 de la misma.</w:t>
      </w:r>
    </w:p>
    <w:p w:rsidR="00DD663E" w:rsidRDefault="00DD663E" w:rsidP="006330F4">
      <w:pPr>
        <w:spacing w:after="0" w:line="240" w:lineRule="auto"/>
        <w:jc w:val="both"/>
        <w:rPr>
          <w:rFonts w:ascii="Verdana" w:eastAsia="Times" w:hAnsi="Verdana"/>
          <w:sz w:val="20"/>
          <w:szCs w:val="20"/>
        </w:rPr>
      </w:pPr>
    </w:p>
    <w:p w:rsidR="00DD663E" w:rsidRPr="00772F06" w:rsidRDefault="000F0C88" w:rsidP="000F0C88">
      <w:pPr>
        <w:tabs>
          <w:tab w:val="left" w:pos="720"/>
          <w:tab w:val="num" w:pos="5057"/>
          <w:tab w:val="num" w:pos="5625"/>
        </w:tabs>
        <w:spacing w:after="0" w:line="240" w:lineRule="auto"/>
        <w:ind w:right="-90"/>
        <w:jc w:val="both"/>
        <w:rPr>
          <w:rFonts w:ascii="Verdana" w:hAnsi="Verdana"/>
          <w:sz w:val="20"/>
          <w:szCs w:val="20"/>
        </w:rPr>
      </w:pPr>
      <w:r>
        <w:rPr>
          <w:rFonts w:ascii="Verdana" w:hAnsi="Verdana"/>
          <w:sz w:val="20"/>
          <w:szCs w:val="20"/>
        </w:rPr>
        <w:t>A su vez, d</w:t>
      </w:r>
      <w:r w:rsidR="00DD663E" w:rsidRPr="00520099">
        <w:rPr>
          <w:rFonts w:ascii="Verdana" w:hAnsi="Verdana"/>
          <w:sz w:val="20"/>
          <w:szCs w:val="20"/>
        </w:rPr>
        <w:t>e la prueba obrante en el expediente</w:t>
      </w:r>
      <w:r>
        <w:rPr>
          <w:rFonts w:ascii="Verdana" w:hAnsi="Verdana"/>
          <w:sz w:val="20"/>
          <w:szCs w:val="20"/>
        </w:rPr>
        <w:t>, resultó</w:t>
      </w:r>
      <w:r w:rsidR="00DD663E" w:rsidRPr="00520099">
        <w:rPr>
          <w:rFonts w:ascii="Verdana" w:hAnsi="Verdana"/>
          <w:sz w:val="20"/>
          <w:szCs w:val="20"/>
        </w:rPr>
        <w:t xml:space="preserve"> que Herma Luz Meléndez Cueva y Víctor Salomón Peceros Pedraza aparecieron muertos en el segundo piso de la residencia, específicamente en el cuarto denominado “I”, con múltiples heridas de proyectil</w:t>
      </w:r>
      <w:r w:rsidR="00DD663E">
        <w:rPr>
          <w:rFonts w:ascii="Verdana" w:hAnsi="Verdana"/>
          <w:sz w:val="20"/>
          <w:szCs w:val="20"/>
        </w:rPr>
        <w:t xml:space="preserve">. </w:t>
      </w:r>
      <w:r w:rsidR="00DD663E" w:rsidRPr="00E07CAF">
        <w:rPr>
          <w:rFonts w:ascii="Verdana" w:hAnsi="Verdana"/>
          <w:sz w:val="20"/>
          <w:szCs w:val="20"/>
        </w:rPr>
        <w:t xml:space="preserve">Durante el operativo, el Equipo </w:t>
      </w:r>
      <w:r w:rsidR="00DD663E">
        <w:rPr>
          <w:rFonts w:ascii="Verdana" w:hAnsi="Verdana"/>
          <w:sz w:val="20"/>
          <w:szCs w:val="20"/>
        </w:rPr>
        <w:t>ocho</w:t>
      </w:r>
      <w:r w:rsidR="00DD663E" w:rsidRPr="00E07CAF">
        <w:rPr>
          <w:rFonts w:ascii="Verdana" w:hAnsi="Verdana"/>
          <w:sz w:val="20"/>
          <w:szCs w:val="20"/>
        </w:rPr>
        <w:t xml:space="preserve"> del </w:t>
      </w:r>
      <w:r w:rsidR="00DD663E">
        <w:rPr>
          <w:rFonts w:ascii="Verdana" w:hAnsi="Verdana"/>
          <w:sz w:val="20"/>
          <w:szCs w:val="20"/>
        </w:rPr>
        <w:t>“</w:t>
      </w:r>
      <w:r w:rsidR="00DD663E" w:rsidRPr="00E07CAF">
        <w:rPr>
          <w:rFonts w:ascii="Verdana" w:hAnsi="Verdana"/>
          <w:sz w:val="20"/>
          <w:szCs w:val="20"/>
        </w:rPr>
        <w:t>Grupo de Asalto Delta” tenía bajo su responsabilidad rescatar a los rehenes que se encontraban en dicha habitación.</w:t>
      </w:r>
    </w:p>
    <w:p w:rsidR="00DD663E" w:rsidRDefault="00DD663E" w:rsidP="006330F4">
      <w:pPr>
        <w:spacing w:after="0" w:line="240" w:lineRule="auto"/>
        <w:jc w:val="both"/>
        <w:rPr>
          <w:rFonts w:ascii="Verdana" w:eastAsia="Times" w:hAnsi="Verdana"/>
          <w:sz w:val="20"/>
          <w:szCs w:val="20"/>
        </w:rPr>
      </w:pPr>
    </w:p>
    <w:p w:rsidR="00DD663E"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La Corte advirt</w:t>
      </w:r>
      <w:r w:rsidR="000F0C88">
        <w:rPr>
          <w:rFonts w:ascii="Verdana" w:hAnsi="Verdana"/>
          <w:sz w:val="20"/>
          <w:szCs w:val="20"/>
        </w:rPr>
        <w:t>ió</w:t>
      </w:r>
      <w:r w:rsidRPr="00772F06">
        <w:rPr>
          <w:rFonts w:ascii="Verdana" w:hAnsi="Verdana"/>
          <w:sz w:val="20"/>
          <w:szCs w:val="20"/>
        </w:rPr>
        <w:t xml:space="preserve"> que, a diferencia de la situación verificada en el caso de Eduardo Nicolás Cruz Sánchez, la secuencia de hechos relativa a la muerte de Herma Luz Meléndez Cueva y Víctor </w:t>
      </w:r>
      <w:r>
        <w:rPr>
          <w:rFonts w:ascii="Verdana" w:hAnsi="Verdana"/>
          <w:sz w:val="20"/>
          <w:szCs w:val="20"/>
        </w:rPr>
        <w:t xml:space="preserve">Salomón </w:t>
      </w:r>
      <w:r w:rsidRPr="00772F06">
        <w:rPr>
          <w:rFonts w:ascii="Verdana" w:hAnsi="Verdana"/>
          <w:sz w:val="20"/>
          <w:szCs w:val="20"/>
        </w:rPr>
        <w:t>Peceros Pedraza se desarrolló en el mismo momento en que se estaba llevando a cabo el operativo, cuando aún no había finalizado y se encontraba en curso la evacuación de rehenes.</w:t>
      </w:r>
    </w:p>
    <w:p w:rsidR="00DD663E" w:rsidRDefault="00DD663E" w:rsidP="00DD663E">
      <w:pPr>
        <w:tabs>
          <w:tab w:val="left" w:pos="720"/>
          <w:tab w:val="num" w:pos="5057"/>
          <w:tab w:val="num" w:pos="5625"/>
        </w:tabs>
        <w:spacing w:after="0" w:line="240" w:lineRule="auto"/>
        <w:ind w:right="-90"/>
        <w:jc w:val="both"/>
        <w:rPr>
          <w:rFonts w:ascii="Verdana" w:hAnsi="Verdana"/>
          <w:sz w:val="20"/>
          <w:szCs w:val="20"/>
        </w:rPr>
      </w:pPr>
    </w:p>
    <w:p w:rsidR="00DD663E" w:rsidRPr="005D123E" w:rsidRDefault="00DD663E" w:rsidP="005D123E">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 xml:space="preserve">La Corte </w:t>
      </w:r>
      <w:r w:rsidR="000F0C88">
        <w:rPr>
          <w:rFonts w:ascii="Verdana" w:hAnsi="Verdana"/>
          <w:sz w:val="20"/>
          <w:szCs w:val="20"/>
        </w:rPr>
        <w:t xml:space="preserve">sostuvo que </w:t>
      </w:r>
      <w:r w:rsidRPr="00772F06">
        <w:rPr>
          <w:rFonts w:ascii="Verdana" w:hAnsi="Verdana"/>
          <w:sz w:val="20"/>
          <w:szCs w:val="20"/>
        </w:rPr>
        <w:t>no c</w:t>
      </w:r>
      <w:r w:rsidR="000F0C88">
        <w:rPr>
          <w:rFonts w:ascii="Verdana" w:hAnsi="Verdana"/>
          <w:sz w:val="20"/>
          <w:szCs w:val="20"/>
        </w:rPr>
        <w:t>ontaba</w:t>
      </w:r>
      <w:r w:rsidRPr="00772F06">
        <w:rPr>
          <w:rFonts w:ascii="Verdana" w:hAnsi="Verdana"/>
          <w:sz w:val="20"/>
          <w:szCs w:val="20"/>
        </w:rPr>
        <w:t xml:space="preserve"> con prueba variada y suficiente que acredit</w:t>
      </w:r>
      <w:r w:rsidR="00097FA7">
        <w:rPr>
          <w:rFonts w:ascii="Verdana" w:hAnsi="Verdana"/>
          <w:sz w:val="20"/>
          <w:szCs w:val="20"/>
        </w:rPr>
        <w:t>ara</w:t>
      </w:r>
      <w:r w:rsidRPr="00772F06">
        <w:rPr>
          <w:rFonts w:ascii="Verdana" w:hAnsi="Verdana"/>
          <w:sz w:val="20"/>
          <w:szCs w:val="20"/>
        </w:rPr>
        <w:t xml:space="preserve"> en forma concordante que Herma Luz Meléndez Cueva y Víctor </w:t>
      </w:r>
      <w:r>
        <w:rPr>
          <w:rFonts w:ascii="Verdana" w:hAnsi="Verdana"/>
          <w:sz w:val="20"/>
          <w:szCs w:val="20"/>
        </w:rPr>
        <w:t xml:space="preserve">Salomón </w:t>
      </w:r>
      <w:r w:rsidRPr="00772F06">
        <w:rPr>
          <w:rFonts w:ascii="Verdana" w:hAnsi="Verdana"/>
          <w:sz w:val="20"/>
          <w:szCs w:val="20"/>
        </w:rPr>
        <w:t xml:space="preserve">Peceros Pedraza habían dejado de participar en las hostilidades al momento de su muerte y, por lo tanto, se les </w:t>
      </w:r>
      <w:r w:rsidR="00097FA7">
        <w:rPr>
          <w:rFonts w:ascii="Verdana" w:hAnsi="Verdana"/>
          <w:sz w:val="20"/>
          <w:szCs w:val="20"/>
        </w:rPr>
        <w:t>pudiera</w:t>
      </w:r>
      <w:r w:rsidRPr="00772F06">
        <w:rPr>
          <w:rFonts w:ascii="Verdana" w:hAnsi="Verdana"/>
          <w:sz w:val="20"/>
          <w:szCs w:val="20"/>
        </w:rPr>
        <w:t xml:space="preserve"> calificar como </w:t>
      </w:r>
      <w:r w:rsidRPr="00772F06">
        <w:rPr>
          <w:rFonts w:ascii="Verdana" w:hAnsi="Verdana"/>
          <w:i/>
          <w:sz w:val="20"/>
          <w:szCs w:val="20"/>
        </w:rPr>
        <w:t>hors de combat</w:t>
      </w:r>
      <w:r w:rsidRPr="00772F06">
        <w:rPr>
          <w:rFonts w:ascii="Verdana" w:hAnsi="Verdana"/>
          <w:sz w:val="20"/>
          <w:szCs w:val="20"/>
        </w:rPr>
        <w:t xml:space="preserve">. Así, únicamente </w:t>
      </w:r>
      <w:r w:rsidR="00E07D29">
        <w:rPr>
          <w:rFonts w:ascii="Verdana" w:hAnsi="Verdana"/>
          <w:sz w:val="20"/>
          <w:szCs w:val="20"/>
        </w:rPr>
        <w:t>fue</w:t>
      </w:r>
      <w:r w:rsidRPr="00772F06">
        <w:rPr>
          <w:rFonts w:ascii="Verdana" w:hAnsi="Verdana"/>
          <w:sz w:val="20"/>
          <w:szCs w:val="20"/>
        </w:rPr>
        <w:t xml:space="preserve"> señalado el testimonio del ex</w:t>
      </w:r>
      <w:r>
        <w:rPr>
          <w:rFonts w:ascii="Verdana" w:hAnsi="Verdana"/>
          <w:sz w:val="20"/>
          <w:szCs w:val="20"/>
        </w:rPr>
        <w:t xml:space="preserve"> rehé</w:t>
      </w:r>
      <w:r w:rsidRPr="00772F06">
        <w:rPr>
          <w:rFonts w:ascii="Verdana" w:hAnsi="Verdana"/>
          <w:sz w:val="20"/>
          <w:szCs w:val="20"/>
        </w:rPr>
        <w:t xml:space="preserve">n Hidetaka Ogura, quien </w:t>
      </w:r>
      <w:r w:rsidRPr="00772F06">
        <w:rPr>
          <w:rFonts w:ascii="Verdana" w:hAnsi="Verdana"/>
          <w:sz w:val="20"/>
          <w:szCs w:val="20"/>
        </w:rPr>
        <w:lastRenderedPageBreak/>
        <w:t xml:space="preserve">manifestó que dichas personas habían </w:t>
      </w:r>
      <w:r>
        <w:rPr>
          <w:rFonts w:ascii="Verdana" w:hAnsi="Verdana"/>
          <w:sz w:val="20"/>
          <w:szCs w:val="20"/>
        </w:rPr>
        <w:t>sido reducidas previamente.</w:t>
      </w:r>
      <w:r w:rsidRPr="006060DB">
        <w:rPr>
          <w:rFonts w:ascii="Verdana" w:hAnsi="Verdana"/>
          <w:sz w:val="20"/>
          <w:szCs w:val="20"/>
        </w:rPr>
        <w:t xml:space="preserve"> </w:t>
      </w:r>
      <w:r w:rsidRPr="00772F06">
        <w:rPr>
          <w:rFonts w:ascii="Verdana" w:hAnsi="Verdana"/>
          <w:sz w:val="20"/>
          <w:szCs w:val="20"/>
        </w:rPr>
        <w:t xml:space="preserve">Por lo tanto, en este caso en particular, </w:t>
      </w:r>
      <w:r w:rsidR="005D123E">
        <w:rPr>
          <w:rFonts w:ascii="Verdana" w:hAnsi="Verdana"/>
          <w:sz w:val="20"/>
          <w:szCs w:val="20"/>
        </w:rPr>
        <w:t xml:space="preserve">la Corte consideró que </w:t>
      </w:r>
      <w:r w:rsidRPr="00772F06">
        <w:rPr>
          <w:rFonts w:ascii="Verdana" w:hAnsi="Verdana"/>
          <w:sz w:val="20"/>
          <w:szCs w:val="20"/>
        </w:rPr>
        <w:t>no se enc</w:t>
      </w:r>
      <w:r w:rsidR="003A3F2C">
        <w:rPr>
          <w:rFonts w:ascii="Verdana" w:hAnsi="Verdana"/>
          <w:sz w:val="20"/>
          <w:szCs w:val="20"/>
        </w:rPr>
        <w:t>o</w:t>
      </w:r>
      <w:r w:rsidRPr="00772F06">
        <w:rPr>
          <w:rFonts w:ascii="Verdana" w:hAnsi="Verdana"/>
          <w:sz w:val="20"/>
          <w:szCs w:val="20"/>
        </w:rPr>
        <w:t>ntra</w:t>
      </w:r>
      <w:r w:rsidR="003A3F2C">
        <w:rPr>
          <w:rFonts w:ascii="Verdana" w:hAnsi="Verdana"/>
          <w:sz w:val="20"/>
          <w:szCs w:val="20"/>
        </w:rPr>
        <w:t>ba</w:t>
      </w:r>
      <w:r w:rsidRPr="00772F06">
        <w:rPr>
          <w:rFonts w:ascii="Verdana" w:hAnsi="Verdana"/>
          <w:sz w:val="20"/>
          <w:szCs w:val="20"/>
        </w:rPr>
        <w:t xml:space="preserve"> acreditado que Herma Luz Meléndez Cueva y Víctor</w:t>
      </w:r>
      <w:r>
        <w:rPr>
          <w:rFonts w:ascii="Verdana" w:hAnsi="Verdana"/>
          <w:sz w:val="20"/>
          <w:szCs w:val="20"/>
        </w:rPr>
        <w:t xml:space="preserve"> Salomón </w:t>
      </w:r>
      <w:r w:rsidRPr="00772F06">
        <w:rPr>
          <w:rFonts w:ascii="Verdana" w:hAnsi="Verdana"/>
          <w:sz w:val="20"/>
          <w:szCs w:val="20"/>
        </w:rPr>
        <w:t>Peceros Pedraza hubieran muerto luego de haberse rendido o depuesto las armas.</w:t>
      </w:r>
      <w:r w:rsidRPr="006060DB">
        <w:rPr>
          <w:rFonts w:ascii="Verdana" w:hAnsi="Verdana"/>
          <w:sz w:val="20"/>
          <w:szCs w:val="20"/>
        </w:rPr>
        <w:t xml:space="preserve"> </w:t>
      </w:r>
      <w:r w:rsidRPr="00772F06">
        <w:rPr>
          <w:rFonts w:ascii="Verdana" w:hAnsi="Verdana"/>
          <w:sz w:val="20"/>
          <w:szCs w:val="20"/>
        </w:rPr>
        <w:t xml:space="preserve">Las autoridades judiciales peruanas llegaron a idéntica </w:t>
      </w:r>
      <w:r w:rsidRPr="009F5898">
        <w:rPr>
          <w:rFonts w:ascii="Verdana" w:hAnsi="Verdana"/>
          <w:sz w:val="20"/>
          <w:szCs w:val="20"/>
        </w:rPr>
        <w:t>conclusión, al</w:t>
      </w:r>
      <w:r w:rsidRPr="00772F06">
        <w:rPr>
          <w:rFonts w:ascii="Verdana" w:hAnsi="Verdana"/>
          <w:sz w:val="20"/>
          <w:szCs w:val="20"/>
        </w:rPr>
        <w:t xml:space="preserve"> afirmar q</w:t>
      </w:r>
      <w:r w:rsidR="005D123E">
        <w:rPr>
          <w:rFonts w:ascii="Verdana" w:hAnsi="Verdana"/>
          <w:sz w:val="20"/>
          <w:szCs w:val="20"/>
        </w:rPr>
        <w:t>ue “estos murieron en combate”.</w:t>
      </w:r>
    </w:p>
    <w:p w:rsidR="00DD663E" w:rsidRPr="00772F06" w:rsidRDefault="00DD663E" w:rsidP="00DD663E">
      <w:pPr>
        <w:autoSpaceDE w:val="0"/>
        <w:autoSpaceDN w:val="0"/>
        <w:adjustRightInd w:val="0"/>
        <w:spacing w:after="0" w:line="240" w:lineRule="auto"/>
        <w:jc w:val="both"/>
        <w:rPr>
          <w:rFonts w:ascii="Verdana" w:hAnsi="Verdana"/>
          <w:b/>
          <w:sz w:val="20"/>
          <w:szCs w:val="20"/>
        </w:rPr>
      </w:pPr>
    </w:p>
    <w:p w:rsidR="00DD663E" w:rsidRPr="009F5898"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En este contexto, la Corte no enc</w:t>
      </w:r>
      <w:r w:rsidR="000F0C88">
        <w:rPr>
          <w:rFonts w:ascii="Verdana" w:hAnsi="Verdana"/>
          <w:sz w:val="20"/>
          <w:szCs w:val="20"/>
        </w:rPr>
        <w:t>o</w:t>
      </w:r>
      <w:r w:rsidRPr="00772F06">
        <w:rPr>
          <w:rFonts w:ascii="Verdana" w:hAnsi="Verdana"/>
          <w:sz w:val="20"/>
          <w:szCs w:val="20"/>
        </w:rPr>
        <w:t>ntr</w:t>
      </w:r>
      <w:r w:rsidR="000F0C88">
        <w:rPr>
          <w:rFonts w:ascii="Verdana" w:hAnsi="Verdana"/>
          <w:sz w:val="20"/>
          <w:szCs w:val="20"/>
        </w:rPr>
        <w:t>ó</w:t>
      </w:r>
      <w:r w:rsidRPr="00772F06">
        <w:rPr>
          <w:rFonts w:ascii="Verdana" w:hAnsi="Verdana"/>
          <w:sz w:val="20"/>
          <w:szCs w:val="20"/>
        </w:rPr>
        <w:t xml:space="preserve"> motivos para llegar a una conclusión distinta a la arribada a nivel interno en cuanto a que la muerte de Herma Luz Meléndez Cueva y Víctor </w:t>
      </w:r>
      <w:r>
        <w:rPr>
          <w:rFonts w:ascii="Verdana" w:hAnsi="Verdana"/>
          <w:sz w:val="20"/>
          <w:szCs w:val="20"/>
        </w:rPr>
        <w:t xml:space="preserve">Salomón </w:t>
      </w:r>
      <w:r w:rsidRPr="00772F06">
        <w:rPr>
          <w:rFonts w:ascii="Verdana" w:hAnsi="Verdana"/>
          <w:sz w:val="20"/>
          <w:szCs w:val="20"/>
        </w:rPr>
        <w:t xml:space="preserve">Peceros Pedraza se produjo cuando </w:t>
      </w:r>
      <w:r>
        <w:rPr>
          <w:rFonts w:ascii="Verdana" w:hAnsi="Verdana"/>
          <w:sz w:val="20"/>
          <w:szCs w:val="20"/>
        </w:rPr>
        <w:t xml:space="preserve">éstos </w:t>
      </w:r>
      <w:r w:rsidRPr="00772F06">
        <w:rPr>
          <w:rFonts w:ascii="Verdana" w:hAnsi="Verdana"/>
          <w:sz w:val="20"/>
          <w:szCs w:val="20"/>
        </w:rPr>
        <w:t>estaban aún tomando parte de las hostilidades</w:t>
      </w:r>
      <w:r>
        <w:rPr>
          <w:rFonts w:ascii="Verdana" w:hAnsi="Verdana"/>
          <w:sz w:val="20"/>
          <w:szCs w:val="20"/>
        </w:rPr>
        <w:t>. Aunado a ello</w:t>
      </w:r>
      <w:r w:rsidRPr="00772F06">
        <w:rPr>
          <w:rFonts w:ascii="Verdana" w:hAnsi="Verdana"/>
          <w:sz w:val="20"/>
          <w:szCs w:val="20"/>
        </w:rPr>
        <w:t xml:space="preserve">, </w:t>
      </w:r>
      <w:r>
        <w:rPr>
          <w:rFonts w:ascii="Verdana" w:hAnsi="Verdana"/>
          <w:sz w:val="20"/>
          <w:szCs w:val="20"/>
        </w:rPr>
        <w:t>dado que</w:t>
      </w:r>
      <w:r w:rsidRPr="00772F06">
        <w:rPr>
          <w:rFonts w:ascii="Verdana" w:hAnsi="Verdana"/>
          <w:sz w:val="20"/>
          <w:szCs w:val="20"/>
        </w:rPr>
        <w:t xml:space="preserve"> </w:t>
      </w:r>
      <w:r>
        <w:rPr>
          <w:rFonts w:ascii="Verdana" w:hAnsi="Verdana"/>
          <w:sz w:val="20"/>
          <w:szCs w:val="20"/>
        </w:rPr>
        <w:t xml:space="preserve">todavía </w:t>
      </w:r>
      <w:r w:rsidRPr="00772F06">
        <w:rPr>
          <w:rFonts w:ascii="Verdana" w:hAnsi="Verdana"/>
          <w:sz w:val="20"/>
          <w:szCs w:val="20"/>
        </w:rPr>
        <w:t>se estaba llevando a cabo la evacuación de los rehenes de nacionalidad japonesa</w:t>
      </w:r>
      <w:r>
        <w:rPr>
          <w:rFonts w:ascii="Verdana" w:hAnsi="Verdana"/>
          <w:sz w:val="20"/>
          <w:szCs w:val="20"/>
        </w:rPr>
        <w:t xml:space="preserve">, aquellos </w:t>
      </w:r>
      <w:r w:rsidRPr="00772F06">
        <w:rPr>
          <w:rFonts w:ascii="Verdana" w:hAnsi="Verdana"/>
          <w:sz w:val="20"/>
          <w:szCs w:val="20"/>
        </w:rPr>
        <w:t xml:space="preserve">podían representar, en definitiva, una amenaza para la vida e integridad de los </w:t>
      </w:r>
      <w:r>
        <w:rPr>
          <w:rFonts w:ascii="Verdana" w:hAnsi="Verdana"/>
          <w:sz w:val="20"/>
          <w:szCs w:val="20"/>
        </w:rPr>
        <w:t>rehenes</w:t>
      </w:r>
      <w:r w:rsidRPr="00772F06">
        <w:rPr>
          <w:rFonts w:ascii="Verdana" w:hAnsi="Verdana"/>
          <w:sz w:val="20"/>
          <w:szCs w:val="20"/>
        </w:rPr>
        <w:t>.</w:t>
      </w:r>
      <w:r>
        <w:rPr>
          <w:rFonts w:ascii="Verdana" w:hAnsi="Verdana"/>
          <w:sz w:val="20"/>
          <w:szCs w:val="20"/>
        </w:rPr>
        <w:t xml:space="preserve"> Por lo tanto, d</w:t>
      </w:r>
      <w:r w:rsidRPr="00772F06">
        <w:rPr>
          <w:rFonts w:ascii="Verdana" w:hAnsi="Verdana"/>
          <w:sz w:val="20"/>
          <w:szCs w:val="20"/>
        </w:rPr>
        <w:t xml:space="preserve">el análisis global de las pruebas producidas y reseñadas </w:t>
      </w:r>
      <w:r w:rsidR="003A3F2C">
        <w:rPr>
          <w:rFonts w:ascii="Verdana" w:hAnsi="Verdana"/>
          <w:sz w:val="20"/>
          <w:szCs w:val="20"/>
        </w:rPr>
        <w:t>en la sentencia</w:t>
      </w:r>
      <w:r w:rsidRPr="00772F06">
        <w:rPr>
          <w:rFonts w:ascii="Verdana" w:hAnsi="Verdana"/>
          <w:i/>
          <w:sz w:val="20"/>
          <w:szCs w:val="20"/>
        </w:rPr>
        <w:t xml:space="preserve">, </w:t>
      </w:r>
      <w:r w:rsidRPr="00772F06">
        <w:rPr>
          <w:rFonts w:ascii="Verdana" w:hAnsi="Verdana"/>
          <w:sz w:val="20"/>
          <w:szCs w:val="20"/>
        </w:rPr>
        <w:t>la Corte consider</w:t>
      </w:r>
      <w:r w:rsidR="003A3F2C">
        <w:rPr>
          <w:rFonts w:ascii="Verdana" w:hAnsi="Verdana"/>
          <w:sz w:val="20"/>
          <w:szCs w:val="20"/>
        </w:rPr>
        <w:t>ó</w:t>
      </w:r>
      <w:r w:rsidRPr="00772F06">
        <w:rPr>
          <w:rFonts w:ascii="Verdana" w:hAnsi="Verdana"/>
          <w:sz w:val="20"/>
          <w:szCs w:val="20"/>
        </w:rPr>
        <w:t xml:space="preserve"> que, en e</w:t>
      </w:r>
      <w:r w:rsidR="003A3F2C">
        <w:rPr>
          <w:rFonts w:ascii="Verdana" w:hAnsi="Verdana"/>
          <w:sz w:val="20"/>
          <w:szCs w:val="20"/>
        </w:rPr>
        <w:t>l presente caso, no se desprendía</w:t>
      </w:r>
      <w:r w:rsidRPr="00772F06">
        <w:rPr>
          <w:rFonts w:ascii="Verdana" w:hAnsi="Verdana"/>
          <w:sz w:val="20"/>
          <w:szCs w:val="20"/>
        </w:rPr>
        <w:t xml:space="preserve">n elementos suficientes para afirmar que la actuación del Estado frente a Herma Luz Meléndez Cueva y Víctor Salomón Peceros Pedraza hubiera configurado una privación arbitraria de la vida derivada de un uso de armas letales en forma contraria a los principios del derecho internacional </w:t>
      </w:r>
      <w:r w:rsidRPr="009F5898">
        <w:rPr>
          <w:rFonts w:ascii="Verdana" w:hAnsi="Verdana"/>
          <w:sz w:val="20"/>
          <w:szCs w:val="20"/>
        </w:rPr>
        <w:t>humanitario</w:t>
      </w:r>
      <w:r w:rsidR="00FA42CF">
        <w:rPr>
          <w:rFonts w:ascii="Verdana" w:hAnsi="Verdana"/>
          <w:sz w:val="20"/>
          <w:szCs w:val="20"/>
        </w:rPr>
        <w:t xml:space="preserve"> aplicables</w:t>
      </w:r>
      <w:r w:rsidRPr="009F5898">
        <w:rPr>
          <w:rFonts w:ascii="Verdana" w:hAnsi="Verdana"/>
          <w:sz w:val="20"/>
          <w:szCs w:val="20"/>
        </w:rPr>
        <w:t>.</w:t>
      </w:r>
    </w:p>
    <w:p w:rsidR="00DD663E" w:rsidRPr="00772F06" w:rsidRDefault="00DD663E" w:rsidP="00DD663E">
      <w:pPr>
        <w:autoSpaceDE w:val="0"/>
        <w:autoSpaceDN w:val="0"/>
        <w:adjustRightInd w:val="0"/>
        <w:spacing w:after="0" w:line="240" w:lineRule="auto"/>
        <w:jc w:val="both"/>
        <w:rPr>
          <w:rFonts w:ascii="Verdana" w:hAnsi="Verdana" w:cs="TimesNewRoman"/>
          <w:sz w:val="20"/>
          <w:szCs w:val="20"/>
        </w:rPr>
      </w:pPr>
    </w:p>
    <w:p w:rsidR="00DD663E" w:rsidRPr="00772F06" w:rsidRDefault="00DD663E" w:rsidP="000F0C88">
      <w:pPr>
        <w:tabs>
          <w:tab w:val="left" w:pos="720"/>
          <w:tab w:val="num" w:pos="5057"/>
          <w:tab w:val="num" w:pos="5625"/>
        </w:tabs>
        <w:spacing w:after="0" w:line="240" w:lineRule="auto"/>
        <w:ind w:right="-90"/>
        <w:jc w:val="both"/>
        <w:rPr>
          <w:rFonts w:ascii="Verdana" w:hAnsi="Verdana"/>
          <w:sz w:val="20"/>
          <w:szCs w:val="20"/>
        </w:rPr>
      </w:pPr>
      <w:r w:rsidRPr="00772F06">
        <w:rPr>
          <w:rFonts w:ascii="Verdana" w:hAnsi="Verdana"/>
          <w:sz w:val="20"/>
          <w:szCs w:val="20"/>
        </w:rPr>
        <w:t>La Corte concluy</w:t>
      </w:r>
      <w:r w:rsidR="000F0C88">
        <w:rPr>
          <w:rFonts w:ascii="Verdana" w:hAnsi="Verdana"/>
          <w:sz w:val="20"/>
          <w:szCs w:val="20"/>
        </w:rPr>
        <w:t>ó</w:t>
      </w:r>
      <w:r w:rsidR="003A3F2C">
        <w:rPr>
          <w:rFonts w:ascii="Verdana" w:hAnsi="Verdana"/>
          <w:sz w:val="20"/>
          <w:szCs w:val="20"/>
        </w:rPr>
        <w:t>, por lo tanto, que no existía</w:t>
      </w:r>
      <w:r w:rsidRPr="00772F06">
        <w:rPr>
          <w:rFonts w:ascii="Verdana" w:hAnsi="Verdana"/>
          <w:sz w:val="20"/>
          <w:szCs w:val="20"/>
        </w:rPr>
        <w:t>n elementos suficientes en este proceso internacional para determinar la responsabilidad internacional del Estado</w:t>
      </w:r>
      <w:r w:rsidRPr="006060DB">
        <w:rPr>
          <w:rFonts w:ascii="Verdana" w:hAnsi="Verdana"/>
          <w:sz w:val="20"/>
          <w:szCs w:val="20"/>
        </w:rPr>
        <w:t xml:space="preserve"> </w:t>
      </w:r>
      <w:r>
        <w:rPr>
          <w:rFonts w:ascii="Verdana" w:hAnsi="Verdana"/>
          <w:sz w:val="20"/>
          <w:szCs w:val="20"/>
        </w:rPr>
        <w:t>por la</w:t>
      </w:r>
      <w:r w:rsidRPr="00772F06">
        <w:rPr>
          <w:rFonts w:ascii="Verdana" w:hAnsi="Verdana"/>
          <w:sz w:val="20"/>
          <w:szCs w:val="20"/>
        </w:rPr>
        <w:t xml:space="preserve"> violación del artículo 4</w:t>
      </w:r>
      <w:r w:rsidR="003A3F2C">
        <w:rPr>
          <w:rFonts w:ascii="Verdana" w:hAnsi="Verdana"/>
          <w:sz w:val="20"/>
          <w:szCs w:val="20"/>
        </w:rPr>
        <w:t>.1</w:t>
      </w:r>
      <w:r w:rsidRPr="00772F06">
        <w:rPr>
          <w:rFonts w:ascii="Verdana" w:hAnsi="Verdana"/>
          <w:sz w:val="20"/>
          <w:szCs w:val="20"/>
        </w:rPr>
        <w:t xml:space="preserve"> de la Convención Americana, en relación con el artículo 1.1 de la misma, en perjuicio de Herma Luz Meléndez Cueva y </w:t>
      </w:r>
      <w:r>
        <w:rPr>
          <w:rFonts w:ascii="Verdana" w:hAnsi="Verdana"/>
          <w:sz w:val="20"/>
          <w:szCs w:val="20"/>
        </w:rPr>
        <w:t>Víctor Salomón Peceros Pedraza.</w:t>
      </w:r>
    </w:p>
    <w:p w:rsidR="00DD663E" w:rsidRDefault="00DD663E" w:rsidP="006330F4">
      <w:pPr>
        <w:spacing w:after="0" w:line="240" w:lineRule="auto"/>
        <w:jc w:val="both"/>
        <w:rPr>
          <w:rFonts w:ascii="Verdana" w:eastAsia="Times" w:hAnsi="Verdana"/>
          <w:sz w:val="20"/>
          <w:szCs w:val="20"/>
        </w:rPr>
      </w:pPr>
    </w:p>
    <w:p w:rsidR="000F0C88" w:rsidRDefault="000C416F" w:rsidP="006330F4">
      <w:pPr>
        <w:spacing w:after="0" w:line="240" w:lineRule="auto"/>
        <w:jc w:val="both"/>
        <w:rPr>
          <w:rFonts w:ascii="Verdana" w:eastAsia="Times" w:hAnsi="Verdana"/>
          <w:sz w:val="20"/>
          <w:szCs w:val="20"/>
        </w:rPr>
      </w:pPr>
      <w:r>
        <w:rPr>
          <w:rFonts w:ascii="Verdana" w:hAnsi="Verdana"/>
          <w:sz w:val="20"/>
          <w:szCs w:val="20"/>
        </w:rPr>
        <w:t>E</w:t>
      </w:r>
      <w:r w:rsidRPr="00772F06">
        <w:rPr>
          <w:rFonts w:ascii="Verdana" w:hAnsi="Verdana"/>
          <w:sz w:val="20"/>
          <w:szCs w:val="20"/>
        </w:rPr>
        <w:t>l hecho de que las muertes se hayan producido en el marco de un conflicto armado</w:t>
      </w:r>
      <w:r>
        <w:rPr>
          <w:rFonts w:ascii="Verdana" w:hAnsi="Verdana"/>
          <w:sz w:val="20"/>
          <w:szCs w:val="20"/>
        </w:rPr>
        <w:t xml:space="preserve"> no internacional</w:t>
      </w:r>
      <w:r w:rsidRPr="00772F06">
        <w:rPr>
          <w:rFonts w:ascii="Verdana" w:hAnsi="Verdana"/>
          <w:sz w:val="20"/>
          <w:szCs w:val="20"/>
        </w:rPr>
        <w:t>, no exim</w:t>
      </w:r>
      <w:r w:rsidR="002E3D68">
        <w:rPr>
          <w:rFonts w:ascii="Verdana" w:hAnsi="Verdana"/>
          <w:sz w:val="20"/>
          <w:szCs w:val="20"/>
        </w:rPr>
        <w:t>ía</w:t>
      </w:r>
      <w:r w:rsidRPr="00772F06">
        <w:rPr>
          <w:rFonts w:ascii="Verdana" w:hAnsi="Verdana"/>
          <w:sz w:val="20"/>
          <w:szCs w:val="20"/>
        </w:rPr>
        <w:t xml:space="preserve"> al Estado de su obligación de iniciar una investigación, inicialmente sobre el uso de la fuerza que haya </w:t>
      </w:r>
      <w:r>
        <w:rPr>
          <w:rFonts w:ascii="Verdana" w:hAnsi="Verdana"/>
          <w:sz w:val="20"/>
          <w:szCs w:val="20"/>
        </w:rPr>
        <w:t>tenido consecuencias letales</w:t>
      </w:r>
      <w:r w:rsidRPr="00772F06">
        <w:rPr>
          <w:rFonts w:ascii="Verdana" w:hAnsi="Verdana"/>
          <w:sz w:val="20"/>
          <w:szCs w:val="20"/>
        </w:rPr>
        <w:t>, aunque la Corte podrá tener en cuenta circunstancias o limitaciones específicas determinadas por la propia situación de conflicto al evaluar el cumplimiento por parte del Estado de sus obligaciones estatales</w:t>
      </w:r>
      <w:r w:rsidRPr="00C47282">
        <w:rPr>
          <w:rFonts w:ascii="Verdana" w:hAnsi="Verdana"/>
          <w:sz w:val="20"/>
          <w:szCs w:val="20"/>
        </w:rPr>
        <w:t>.</w:t>
      </w:r>
      <w:r>
        <w:rPr>
          <w:rFonts w:ascii="Verdana" w:eastAsia="Cambria" w:hAnsi="Verdana" w:cs="Arial"/>
          <w:sz w:val="20"/>
          <w:szCs w:val="20"/>
        </w:rPr>
        <w:t xml:space="preserve"> En particular, la Corte advi</w:t>
      </w:r>
      <w:r w:rsidRPr="00C47282">
        <w:rPr>
          <w:rFonts w:ascii="Verdana" w:eastAsia="Cambria" w:hAnsi="Verdana" w:cs="Arial"/>
          <w:sz w:val="20"/>
          <w:szCs w:val="20"/>
        </w:rPr>
        <w:t>rt</w:t>
      </w:r>
      <w:r>
        <w:rPr>
          <w:rFonts w:ascii="Verdana" w:eastAsia="Cambria" w:hAnsi="Verdana" w:cs="Arial"/>
          <w:sz w:val="20"/>
          <w:szCs w:val="20"/>
        </w:rPr>
        <w:t>ió</w:t>
      </w:r>
      <w:r w:rsidRPr="00C47282">
        <w:rPr>
          <w:rFonts w:ascii="Verdana" w:eastAsia="Cambria" w:hAnsi="Verdana" w:cs="Arial"/>
          <w:sz w:val="20"/>
          <w:szCs w:val="20"/>
        </w:rPr>
        <w:t xml:space="preserve"> que</w:t>
      </w:r>
      <w:r>
        <w:rPr>
          <w:rFonts w:ascii="Verdana" w:eastAsia="Cambria" w:hAnsi="Verdana" w:cs="Arial"/>
          <w:sz w:val="20"/>
          <w:szCs w:val="20"/>
        </w:rPr>
        <w:t xml:space="preserve"> en el presente caso</w:t>
      </w:r>
      <w:r w:rsidRPr="00C47282">
        <w:rPr>
          <w:rFonts w:ascii="Verdana" w:eastAsia="Cambria" w:hAnsi="Verdana" w:cs="Arial"/>
          <w:sz w:val="20"/>
          <w:szCs w:val="20"/>
        </w:rPr>
        <w:t xml:space="preserve"> la hipótesis de las presuntas ejecuciones extrajudiciales salieron a la luz varios años después de ocurridos los hechos, por lo que no era posible exigir al Estado desde el inicio la obligación de investigar de acuerdo a los estándares internacionales desarrollados en casos de ejecuciones extrajudiciales.</w:t>
      </w:r>
    </w:p>
    <w:p w:rsidR="000F0C88" w:rsidRDefault="000F0C88" w:rsidP="006330F4">
      <w:pPr>
        <w:spacing w:after="0" w:line="240" w:lineRule="auto"/>
        <w:jc w:val="both"/>
        <w:rPr>
          <w:rFonts w:ascii="Verdana" w:eastAsia="Times" w:hAnsi="Verdana"/>
          <w:sz w:val="20"/>
          <w:szCs w:val="20"/>
        </w:rPr>
      </w:pPr>
    </w:p>
    <w:p w:rsidR="000F2DAA" w:rsidRDefault="007761FE" w:rsidP="006330F4">
      <w:pPr>
        <w:spacing w:after="0" w:line="240" w:lineRule="auto"/>
        <w:jc w:val="both"/>
        <w:rPr>
          <w:rFonts w:ascii="Verdana" w:hAnsi="Verdana"/>
          <w:sz w:val="20"/>
          <w:szCs w:val="20"/>
        </w:rPr>
      </w:pPr>
      <w:r>
        <w:rPr>
          <w:rFonts w:ascii="Verdana" w:hAnsi="Verdana"/>
          <w:sz w:val="20"/>
          <w:szCs w:val="20"/>
        </w:rPr>
        <w:t>E</w:t>
      </w:r>
      <w:r w:rsidR="000C416F" w:rsidRPr="00772F06">
        <w:rPr>
          <w:rFonts w:ascii="Verdana" w:hAnsi="Verdana"/>
          <w:sz w:val="20"/>
          <w:szCs w:val="20"/>
        </w:rPr>
        <w:t xml:space="preserve">l Estado reconoció su </w:t>
      </w:r>
      <w:r w:rsidR="000C416F" w:rsidRPr="009F5898">
        <w:rPr>
          <w:rFonts w:ascii="Verdana" w:hAnsi="Verdana"/>
          <w:sz w:val="20"/>
          <w:szCs w:val="20"/>
        </w:rPr>
        <w:t xml:space="preserve">responsabilidad por la vulneración del plazo </w:t>
      </w:r>
      <w:r w:rsidR="000C416F" w:rsidRPr="003E6207">
        <w:rPr>
          <w:rFonts w:ascii="Verdana" w:hAnsi="Verdana"/>
          <w:sz w:val="20"/>
          <w:szCs w:val="20"/>
        </w:rPr>
        <w:t xml:space="preserve">razonable en la tramitación del proceso penal ante el fuero común. </w:t>
      </w:r>
      <w:r w:rsidR="00B355EB" w:rsidRPr="00DE5E39">
        <w:rPr>
          <w:rFonts w:ascii="Verdana" w:hAnsi="Verdana"/>
          <w:sz w:val="20"/>
          <w:szCs w:val="20"/>
        </w:rPr>
        <w:t>Asimismo, luego de transcurridos 18 años de ocurridos los hechos no existe un pronunciamiento final y definitivo en cuanto a lo acaecido respecto de Eduardo Nicolás Cruz Sánchez, sino que se ha ordenado la realización de una nueva investigación, lo cual ha sobrepasado excesivamente el plazo que puede considerarse razonable para estos efectos.</w:t>
      </w:r>
      <w:r w:rsidR="00B355EB">
        <w:rPr>
          <w:rFonts w:ascii="Verdana" w:hAnsi="Verdana"/>
          <w:sz w:val="20"/>
          <w:szCs w:val="20"/>
        </w:rPr>
        <w:t xml:space="preserve"> </w:t>
      </w:r>
    </w:p>
    <w:p w:rsidR="000F2DAA" w:rsidRDefault="000F2DAA" w:rsidP="006330F4">
      <w:pPr>
        <w:spacing w:after="0" w:line="240" w:lineRule="auto"/>
        <w:jc w:val="both"/>
        <w:rPr>
          <w:rFonts w:ascii="Verdana" w:hAnsi="Verdana"/>
          <w:sz w:val="20"/>
          <w:szCs w:val="20"/>
        </w:rPr>
      </w:pPr>
    </w:p>
    <w:p w:rsidR="00B355EB" w:rsidRDefault="00B355EB" w:rsidP="006330F4">
      <w:pPr>
        <w:spacing w:after="0" w:line="240" w:lineRule="auto"/>
        <w:jc w:val="both"/>
        <w:rPr>
          <w:rFonts w:ascii="Verdana" w:eastAsia="MS Mincho" w:hAnsi="Verdana"/>
          <w:sz w:val="20"/>
          <w:szCs w:val="20"/>
        </w:rPr>
      </w:pPr>
      <w:r>
        <w:rPr>
          <w:rFonts w:ascii="Verdana" w:hAnsi="Verdana"/>
          <w:sz w:val="20"/>
          <w:szCs w:val="20"/>
        </w:rPr>
        <w:t>Además</w:t>
      </w:r>
      <w:r w:rsidR="007761FE" w:rsidRPr="003E6207">
        <w:rPr>
          <w:rFonts w:ascii="Verdana" w:hAnsi="Verdana"/>
          <w:sz w:val="20"/>
          <w:szCs w:val="20"/>
        </w:rPr>
        <w:t>, e</w:t>
      </w:r>
      <w:r w:rsidR="000C416F" w:rsidRPr="003E6207">
        <w:rPr>
          <w:rFonts w:ascii="Verdana" w:eastAsia="MS Mincho" w:hAnsi="Verdana"/>
          <w:sz w:val="20"/>
          <w:szCs w:val="20"/>
        </w:rPr>
        <w:t xml:space="preserve">l Tribunal consideró que </w:t>
      </w:r>
      <w:r w:rsidRPr="00DE5E39">
        <w:rPr>
          <w:rFonts w:ascii="Verdana" w:hAnsi="Verdana"/>
          <w:sz w:val="20"/>
          <w:szCs w:val="20"/>
        </w:rPr>
        <w:t>no se adoptaron medidas para preservar y resguardar adecuadamente la escena de los hechos y que el levantamiento de los cadáveres, el cual fue controlado por las autoridades militares y del Servicio de Inteligencia Nacional, no se realizó en forma fiable, técnica o profesional</w:t>
      </w:r>
      <w:r>
        <w:rPr>
          <w:rFonts w:ascii="Verdana" w:hAnsi="Verdana"/>
          <w:sz w:val="20"/>
          <w:szCs w:val="20"/>
        </w:rPr>
        <w:t xml:space="preserve">. </w:t>
      </w:r>
      <w:r w:rsidRPr="00DE5E39">
        <w:rPr>
          <w:rFonts w:ascii="Verdana" w:hAnsi="Verdana"/>
          <w:sz w:val="20"/>
          <w:szCs w:val="20"/>
        </w:rPr>
        <w:t>Las necropsias de 1997 fueron realizadas sin contar con el ambiente y recursos adecuados para llevar a cabo dicha diligencia. No se llevó a cabo la descripción externa de los cuerpos y sólo se abrieron las cavidades torácicas y abdominales, pero no las craneales, incumpliéndose la normativa interna. Tampoco se solicitaron estudios de patología por órdenes superiores. Hubo orden superior de que no se tomaran fotografías ni filmaciones de los cadáveres. Por último, mediante una decisión altamente cuestionable se inhumaron los cadáveres en diferentes cementerios de la ciudad de Lima, sin proceder a la identificación de once de ellos</w:t>
      </w:r>
      <w:r>
        <w:rPr>
          <w:rFonts w:ascii="Verdana" w:hAnsi="Verdana"/>
          <w:sz w:val="20"/>
          <w:szCs w:val="20"/>
        </w:rPr>
        <w:t>.</w:t>
      </w:r>
    </w:p>
    <w:p w:rsidR="00B355EB" w:rsidRDefault="00B355EB" w:rsidP="006330F4">
      <w:pPr>
        <w:spacing w:after="0" w:line="240" w:lineRule="auto"/>
        <w:jc w:val="both"/>
        <w:rPr>
          <w:rFonts w:ascii="Verdana" w:eastAsia="MS Mincho" w:hAnsi="Verdana"/>
          <w:sz w:val="20"/>
          <w:szCs w:val="20"/>
        </w:rPr>
      </w:pPr>
    </w:p>
    <w:p w:rsidR="00B355EB" w:rsidRDefault="00B355EB" w:rsidP="006330F4">
      <w:pPr>
        <w:spacing w:after="0" w:line="240" w:lineRule="auto"/>
        <w:jc w:val="both"/>
        <w:rPr>
          <w:rFonts w:ascii="Verdana" w:eastAsia="MS Mincho" w:hAnsi="Verdana"/>
          <w:sz w:val="20"/>
          <w:szCs w:val="20"/>
        </w:rPr>
      </w:pPr>
      <w:r w:rsidRPr="00DE5E39">
        <w:rPr>
          <w:rFonts w:ascii="Verdana" w:hAnsi="Verdana"/>
          <w:sz w:val="20"/>
          <w:szCs w:val="20"/>
        </w:rPr>
        <w:t>Dichas omisiones y deficiencias pueden condicionar o limitar las posteriores investigaciones. Por ejemplo, el informe del I</w:t>
      </w:r>
      <w:r>
        <w:rPr>
          <w:rFonts w:ascii="Verdana" w:hAnsi="Verdana"/>
          <w:sz w:val="20"/>
          <w:szCs w:val="20"/>
        </w:rPr>
        <w:t xml:space="preserve">nstituto de </w:t>
      </w:r>
      <w:r w:rsidRPr="00DE5E39">
        <w:rPr>
          <w:rFonts w:ascii="Verdana" w:hAnsi="Verdana"/>
          <w:sz w:val="20"/>
          <w:szCs w:val="20"/>
        </w:rPr>
        <w:t>M</w:t>
      </w:r>
      <w:r>
        <w:rPr>
          <w:rFonts w:ascii="Verdana" w:hAnsi="Verdana"/>
          <w:sz w:val="20"/>
          <w:szCs w:val="20"/>
        </w:rPr>
        <w:t xml:space="preserve">edicina </w:t>
      </w:r>
      <w:r w:rsidRPr="00DE5E39">
        <w:rPr>
          <w:rFonts w:ascii="Verdana" w:hAnsi="Verdana"/>
          <w:sz w:val="20"/>
          <w:szCs w:val="20"/>
        </w:rPr>
        <w:t>L</w:t>
      </w:r>
      <w:r>
        <w:rPr>
          <w:rFonts w:ascii="Verdana" w:hAnsi="Verdana"/>
          <w:sz w:val="20"/>
          <w:szCs w:val="20"/>
        </w:rPr>
        <w:t>egal</w:t>
      </w:r>
      <w:r w:rsidRPr="00DE5E39">
        <w:rPr>
          <w:rFonts w:ascii="Verdana" w:hAnsi="Verdana"/>
          <w:sz w:val="20"/>
          <w:szCs w:val="20"/>
        </w:rPr>
        <w:t xml:space="preserve"> indicó al analizar los cuerpos exhumados cuatro años después de los hechos que “[d]ebido al avanzado estado de descomposición organizada […] y </w:t>
      </w:r>
      <w:r w:rsidRPr="00DE5E39">
        <w:rPr>
          <w:rFonts w:ascii="Verdana" w:hAnsi="Verdana"/>
          <w:sz w:val="20"/>
          <w:szCs w:val="20"/>
        </w:rPr>
        <w:lastRenderedPageBreak/>
        <w:t>ausencia de partes blandas, no se p[odía] precisar plenamente las distancias en que fueron disparados los proyectiles”</w:t>
      </w:r>
      <w:r>
        <w:rPr>
          <w:rFonts w:ascii="Verdana" w:hAnsi="Verdana"/>
          <w:sz w:val="20"/>
          <w:szCs w:val="20"/>
        </w:rPr>
        <w:t>.</w:t>
      </w:r>
      <w:r w:rsidR="00E07F17">
        <w:rPr>
          <w:rFonts w:ascii="Verdana" w:hAnsi="Verdana"/>
          <w:sz w:val="20"/>
          <w:szCs w:val="20"/>
        </w:rPr>
        <w:t xml:space="preserve"> </w:t>
      </w:r>
      <w:r>
        <w:rPr>
          <w:rFonts w:ascii="Verdana" w:hAnsi="Verdana"/>
          <w:sz w:val="20"/>
          <w:szCs w:val="20"/>
        </w:rPr>
        <w:t>Por ende, l</w:t>
      </w:r>
      <w:r w:rsidRPr="00DE5E39">
        <w:rPr>
          <w:rFonts w:ascii="Verdana" w:hAnsi="Verdana"/>
          <w:sz w:val="20"/>
          <w:szCs w:val="20"/>
        </w:rPr>
        <w:t>a Corte consider</w:t>
      </w:r>
      <w:r>
        <w:rPr>
          <w:rFonts w:ascii="Verdana" w:hAnsi="Verdana"/>
          <w:sz w:val="20"/>
          <w:szCs w:val="20"/>
        </w:rPr>
        <w:t>ó</w:t>
      </w:r>
      <w:r w:rsidRPr="00DE5E39">
        <w:rPr>
          <w:rFonts w:ascii="Verdana" w:hAnsi="Verdana"/>
          <w:sz w:val="20"/>
          <w:szCs w:val="20"/>
        </w:rPr>
        <w:t xml:space="preserve"> que en el caso en concreto la actuación de las autoridades militares y policiales careció de mínima diligencia, lo que tuvo y tiene efectos concretos en la investigación de estos hechos que no se corrigen o subsanan por el simple hecho de que posteriormente se hayan realizado pruebas forenses cuando los hechos fueron investigados en el fuero común.</w:t>
      </w:r>
    </w:p>
    <w:p w:rsidR="00B355EB" w:rsidRDefault="00B355EB" w:rsidP="006330F4">
      <w:pPr>
        <w:spacing w:after="0" w:line="240" w:lineRule="auto"/>
        <w:jc w:val="both"/>
        <w:rPr>
          <w:rFonts w:ascii="Verdana" w:eastAsia="MS Mincho" w:hAnsi="Verdana"/>
          <w:sz w:val="20"/>
          <w:szCs w:val="20"/>
        </w:rPr>
      </w:pPr>
    </w:p>
    <w:p w:rsidR="00B355EB" w:rsidRPr="00DE5E39" w:rsidRDefault="00B355EB" w:rsidP="00B355EB">
      <w:pPr>
        <w:tabs>
          <w:tab w:val="left" w:pos="720"/>
          <w:tab w:val="num" w:pos="1569"/>
          <w:tab w:val="num" w:pos="5057"/>
        </w:tabs>
        <w:spacing w:after="0" w:line="240" w:lineRule="auto"/>
        <w:ind w:right="-90"/>
        <w:jc w:val="both"/>
        <w:rPr>
          <w:rFonts w:ascii="Verdana" w:hAnsi="Verdana"/>
          <w:sz w:val="20"/>
          <w:szCs w:val="20"/>
        </w:rPr>
      </w:pPr>
      <w:r>
        <w:rPr>
          <w:rFonts w:ascii="Verdana" w:hAnsi="Verdana"/>
          <w:sz w:val="20"/>
          <w:szCs w:val="20"/>
        </w:rPr>
        <w:t>E</w:t>
      </w:r>
      <w:r w:rsidRPr="00DE5E39">
        <w:rPr>
          <w:rFonts w:ascii="Verdana" w:hAnsi="Verdana"/>
          <w:sz w:val="20"/>
          <w:szCs w:val="20"/>
        </w:rPr>
        <w:t>l Estado tuvo noticia de la posible ejecución extrajudicial de estas personas a partir de la nota de prensa aparecida en el periódico “El Comercio” el 18 de diciembre de 2000 y titulada “Emerretistas fueron capturados vivos”. A su vez, en diciembre de 2000 y enero de 2001 algunos familiares interpusieron denuncias, a partir de las cuales el Estado inició la investigación de los hechos y el Ministerio Público formalizó denuncia con los resultados de dicha investigación policial.</w:t>
      </w:r>
    </w:p>
    <w:p w:rsidR="00B355EB" w:rsidRPr="00DE5E39" w:rsidRDefault="00B355EB" w:rsidP="00B355EB">
      <w:pPr>
        <w:autoSpaceDE w:val="0"/>
        <w:autoSpaceDN w:val="0"/>
        <w:adjustRightInd w:val="0"/>
        <w:spacing w:after="0" w:line="240" w:lineRule="auto"/>
        <w:jc w:val="both"/>
        <w:rPr>
          <w:rFonts w:ascii="Verdana" w:hAnsi="Verdana"/>
          <w:sz w:val="20"/>
          <w:szCs w:val="20"/>
        </w:rPr>
      </w:pPr>
    </w:p>
    <w:p w:rsidR="00B355EB" w:rsidRDefault="00B355EB" w:rsidP="00B355EB">
      <w:pPr>
        <w:spacing w:after="0" w:line="240" w:lineRule="auto"/>
        <w:jc w:val="both"/>
        <w:rPr>
          <w:rFonts w:ascii="Verdana" w:eastAsia="MS Mincho" w:hAnsi="Verdana"/>
          <w:sz w:val="20"/>
          <w:szCs w:val="20"/>
        </w:rPr>
      </w:pPr>
      <w:r w:rsidRPr="00DE5E39">
        <w:rPr>
          <w:rFonts w:ascii="Verdana" w:hAnsi="Verdana"/>
          <w:sz w:val="20"/>
          <w:szCs w:val="20"/>
        </w:rPr>
        <w:t xml:space="preserve">Por lo tanto, </w:t>
      </w:r>
      <w:r w:rsidRPr="00DE5E39">
        <w:rPr>
          <w:rFonts w:ascii="Verdana" w:eastAsia="Times New Roman" w:hAnsi="Verdana"/>
          <w:iCs/>
          <w:sz w:val="20"/>
          <w:szCs w:val="20"/>
        </w:rPr>
        <w:t>al menos a partir del 18 de diciembre de 2000, el Estado debió iniciar</w:t>
      </w:r>
      <w:r w:rsidRPr="00DE5E39">
        <w:rPr>
          <w:rFonts w:ascii="Verdana" w:eastAsia="Times New Roman" w:hAnsi="Verdana"/>
          <w:i/>
          <w:iCs/>
          <w:sz w:val="20"/>
          <w:szCs w:val="20"/>
        </w:rPr>
        <w:t xml:space="preserve"> ex officio</w:t>
      </w:r>
      <w:r w:rsidRPr="00DE5E39">
        <w:rPr>
          <w:rFonts w:ascii="Verdana" w:eastAsia="Times New Roman" w:hAnsi="Verdana"/>
          <w:iCs/>
          <w:sz w:val="20"/>
          <w:szCs w:val="20"/>
        </w:rPr>
        <w:t xml:space="preserve"> y sin dilación una investigación seria, imparcial y efectiva de las alegadas ejecuciones ext</w:t>
      </w:r>
      <w:r>
        <w:rPr>
          <w:rFonts w:ascii="Verdana" w:eastAsia="Times New Roman" w:hAnsi="Verdana"/>
          <w:iCs/>
          <w:sz w:val="20"/>
          <w:szCs w:val="20"/>
        </w:rPr>
        <w:t xml:space="preserve">rajudiciales. La Corte determinó </w:t>
      </w:r>
      <w:r w:rsidRPr="00DE5E39">
        <w:rPr>
          <w:rFonts w:ascii="Verdana" w:eastAsia="Times New Roman" w:hAnsi="Verdana"/>
          <w:iCs/>
          <w:sz w:val="20"/>
          <w:szCs w:val="20"/>
        </w:rPr>
        <w:t xml:space="preserve">que el período transcurrido entre que salió publicada la referida noticia, que el Estado recibió las denuncias de los familiares y que se inició la averiguación policial previa </w:t>
      </w:r>
      <w:r>
        <w:rPr>
          <w:rFonts w:ascii="Verdana" w:eastAsia="Times New Roman" w:hAnsi="Verdana"/>
          <w:iCs/>
          <w:sz w:val="20"/>
          <w:szCs w:val="20"/>
        </w:rPr>
        <w:t>fue</w:t>
      </w:r>
      <w:r w:rsidRPr="00DE5E39">
        <w:rPr>
          <w:rFonts w:ascii="Verdana" w:eastAsia="Times New Roman" w:hAnsi="Verdana"/>
          <w:iCs/>
          <w:sz w:val="20"/>
          <w:szCs w:val="20"/>
        </w:rPr>
        <w:t xml:space="preserve"> razonable, por lo que concluy</w:t>
      </w:r>
      <w:r>
        <w:rPr>
          <w:rFonts w:ascii="Verdana" w:eastAsia="Times New Roman" w:hAnsi="Verdana"/>
          <w:iCs/>
          <w:sz w:val="20"/>
          <w:szCs w:val="20"/>
        </w:rPr>
        <w:t>ó</w:t>
      </w:r>
      <w:r w:rsidRPr="00DE5E39">
        <w:rPr>
          <w:rFonts w:ascii="Verdana" w:eastAsia="Times New Roman" w:hAnsi="Verdana"/>
          <w:iCs/>
          <w:sz w:val="20"/>
          <w:szCs w:val="20"/>
        </w:rPr>
        <w:t xml:space="preserve"> que no existió violación del deber de iniciar</w:t>
      </w:r>
      <w:r w:rsidRPr="00DE5E39">
        <w:rPr>
          <w:rFonts w:ascii="Verdana" w:eastAsia="Times New Roman" w:hAnsi="Verdana"/>
          <w:i/>
          <w:iCs/>
          <w:sz w:val="20"/>
          <w:szCs w:val="20"/>
        </w:rPr>
        <w:t xml:space="preserve"> ex officio </w:t>
      </w:r>
      <w:r w:rsidRPr="00DE5E39">
        <w:rPr>
          <w:rFonts w:ascii="Verdana" w:eastAsia="Times New Roman" w:hAnsi="Verdana"/>
          <w:iCs/>
          <w:sz w:val="20"/>
          <w:szCs w:val="20"/>
        </w:rPr>
        <w:t>la investigación en este aspecto.</w:t>
      </w:r>
    </w:p>
    <w:p w:rsidR="00B355EB" w:rsidRDefault="00B355EB" w:rsidP="006330F4">
      <w:pPr>
        <w:spacing w:after="0" w:line="240" w:lineRule="auto"/>
        <w:jc w:val="both"/>
        <w:rPr>
          <w:rFonts w:ascii="Verdana" w:eastAsia="MS Mincho" w:hAnsi="Verdana"/>
          <w:sz w:val="20"/>
          <w:szCs w:val="20"/>
        </w:rPr>
      </w:pPr>
    </w:p>
    <w:p w:rsidR="002759D1" w:rsidRDefault="00B355EB" w:rsidP="002759D1">
      <w:pPr>
        <w:tabs>
          <w:tab w:val="left" w:pos="720"/>
          <w:tab w:val="num" w:pos="1569"/>
          <w:tab w:val="num" w:pos="5057"/>
        </w:tabs>
        <w:spacing w:after="0" w:line="240" w:lineRule="auto"/>
        <w:ind w:right="-90"/>
        <w:jc w:val="both"/>
        <w:rPr>
          <w:rFonts w:ascii="Verdana" w:eastAsia="Times New Roman" w:hAnsi="Verdana" w:cs="Verdana"/>
          <w:sz w:val="20"/>
          <w:szCs w:val="20"/>
        </w:rPr>
      </w:pPr>
      <w:r>
        <w:rPr>
          <w:rFonts w:ascii="Verdana" w:eastAsia="Times New Roman" w:hAnsi="Verdana" w:cs="Arial"/>
          <w:sz w:val="20"/>
          <w:szCs w:val="20"/>
        </w:rPr>
        <w:t>En lo que se refiere a la i</w:t>
      </w:r>
      <w:r w:rsidRPr="00B355EB">
        <w:rPr>
          <w:rFonts w:ascii="Verdana" w:eastAsia="Times New Roman" w:hAnsi="Verdana" w:cs="Arial"/>
          <w:sz w:val="20"/>
          <w:szCs w:val="20"/>
        </w:rPr>
        <w:t>ncompetencia de la jurisdicción militar para conocer de las alegadas ejecuciones extrajudiciales</w:t>
      </w:r>
      <w:r>
        <w:rPr>
          <w:rFonts w:ascii="Verdana" w:eastAsia="Times New Roman" w:hAnsi="Verdana" w:cs="Arial"/>
          <w:sz w:val="20"/>
          <w:szCs w:val="20"/>
        </w:rPr>
        <w:t>, la Corte recordó que l</w:t>
      </w:r>
      <w:r w:rsidRPr="00DE5E39">
        <w:rPr>
          <w:rFonts w:ascii="Verdana" w:eastAsia="Times New Roman" w:hAnsi="Verdana" w:cs="Arial"/>
          <w:sz w:val="20"/>
          <w:szCs w:val="20"/>
        </w:rPr>
        <w:t xml:space="preserve">a jurisdicción militar sólo conoció de las alegadas ejecuciones extrajudiciales de </w:t>
      </w:r>
      <w:r w:rsidRPr="00DE5E39">
        <w:rPr>
          <w:rFonts w:ascii="Verdana" w:eastAsia="Times New Roman" w:hAnsi="Verdana" w:cs="Verdana"/>
          <w:sz w:val="20"/>
          <w:szCs w:val="20"/>
        </w:rPr>
        <w:t>Herma Luz Meléndez Cueva y Víctor Salomón Peceros Pedraza, y no de la de Eduardo Nicolás Cruz Sánchez</w:t>
      </w:r>
      <w:r w:rsidR="002759D1">
        <w:rPr>
          <w:rFonts w:ascii="Verdana" w:eastAsia="Times New Roman" w:hAnsi="Verdana" w:cs="Verdana"/>
          <w:sz w:val="20"/>
          <w:szCs w:val="20"/>
        </w:rPr>
        <w:t xml:space="preserve">, y que </w:t>
      </w:r>
      <w:r w:rsidR="002759D1" w:rsidRPr="00DE5E39">
        <w:rPr>
          <w:rFonts w:ascii="Verdana" w:eastAsia="Times New Roman" w:hAnsi="Verdana" w:cs="Verdana"/>
          <w:sz w:val="20"/>
          <w:szCs w:val="20"/>
        </w:rPr>
        <w:t xml:space="preserve">fue tras un conflicto de competencia entablado por la Vocalía de Instrucción del </w:t>
      </w:r>
      <w:r w:rsidR="002759D1" w:rsidRPr="00772F06">
        <w:rPr>
          <w:rFonts w:ascii="Verdana" w:hAnsi="Verdana"/>
          <w:sz w:val="20"/>
          <w:szCs w:val="20"/>
        </w:rPr>
        <w:t>Consejo Supr</w:t>
      </w:r>
      <w:r w:rsidR="002759D1">
        <w:rPr>
          <w:rFonts w:ascii="Verdana" w:hAnsi="Verdana"/>
          <w:sz w:val="20"/>
          <w:szCs w:val="20"/>
        </w:rPr>
        <w:t>emo</w:t>
      </w:r>
      <w:r w:rsidR="002759D1" w:rsidRPr="00772F06">
        <w:rPr>
          <w:rFonts w:ascii="Verdana" w:hAnsi="Verdana"/>
          <w:sz w:val="20"/>
          <w:szCs w:val="20"/>
        </w:rPr>
        <w:t xml:space="preserve"> de Justicia Militar </w:t>
      </w:r>
      <w:r w:rsidR="002759D1" w:rsidRPr="00DE5E39">
        <w:rPr>
          <w:rFonts w:ascii="Verdana" w:eastAsia="Times New Roman" w:hAnsi="Verdana" w:cs="Verdana"/>
          <w:sz w:val="20"/>
          <w:szCs w:val="20"/>
        </w:rPr>
        <w:t xml:space="preserve">y resuelto por la Sala Penal Transitoria de la Corte Suprema de Justicia </w:t>
      </w:r>
      <w:r w:rsidR="002759D1" w:rsidRPr="00DE5E39">
        <w:rPr>
          <w:rFonts w:ascii="Verdana" w:hAnsi="Verdana"/>
          <w:sz w:val="20"/>
          <w:szCs w:val="20"/>
        </w:rPr>
        <w:t>de la República</w:t>
      </w:r>
      <w:r w:rsidR="002759D1" w:rsidRPr="00DE5E39">
        <w:rPr>
          <w:rFonts w:ascii="Verdana" w:eastAsia="Times New Roman" w:hAnsi="Verdana" w:cs="Verdana"/>
          <w:sz w:val="20"/>
          <w:szCs w:val="20"/>
        </w:rPr>
        <w:t xml:space="preserve"> el 16 de agosto de 2002, que la investigación y enjuiciamiento de los hechos pasaron a la jurisdicción militar en relación con los comandos militares.</w:t>
      </w:r>
      <w:r w:rsidR="002759D1">
        <w:rPr>
          <w:rFonts w:ascii="Verdana" w:eastAsia="Times New Roman" w:hAnsi="Verdana" w:cs="Verdana"/>
          <w:sz w:val="20"/>
          <w:szCs w:val="20"/>
        </w:rPr>
        <w:t xml:space="preserve"> </w:t>
      </w:r>
    </w:p>
    <w:p w:rsidR="002759D1" w:rsidRDefault="002759D1" w:rsidP="002759D1">
      <w:pPr>
        <w:tabs>
          <w:tab w:val="left" w:pos="720"/>
          <w:tab w:val="num" w:pos="1569"/>
          <w:tab w:val="num" w:pos="5057"/>
        </w:tabs>
        <w:spacing w:after="0" w:line="240" w:lineRule="auto"/>
        <w:ind w:right="-90"/>
        <w:jc w:val="both"/>
        <w:rPr>
          <w:rFonts w:ascii="Verdana" w:eastAsia="Times New Roman" w:hAnsi="Verdana" w:cs="Verdana"/>
          <w:sz w:val="20"/>
          <w:szCs w:val="20"/>
        </w:rPr>
      </w:pPr>
    </w:p>
    <w:p w:rsidR="002759D1" w:rsidRPr="00DE5E39" w:rsidRDefault="002759D1" w:rsidP="002759D1">
      <w:pPr>
        <w:tabs>
          <w:tab w:val="left" w:pos="720"/>
          <w:tab w:val="num" w:pos="1569"/>
          <w:tab w:val="num" w:pos="5057"/>
        </w:tabs>
        <w:spacing w:after="0" w:line="240" w:lineRule="auto"/>
        <w:ind w:right="-90"/>
        <w:jc w:val="both"/>
        <w:rPr>
          <w:rFonts w:ascii="Verdana" w:eastAsia="Times New Roman" w:hAnsi="Verdana" w:cs="Verdana"/>
          <w:sz w:val="20"/>
          <w:szCs w:val="20"/>
        </w:rPr>
      </w:pPr>
      <w:r>
        <w:rPr>
          <w:rFonts w:ascii="Verdana" w:eastAsia="Times New Roman" w:hAnsi="Verdana" w:cs="Verdana"/>
          <w:sz w:val="20"/>
          <w:szCs w:val="20"/>
        </w:rPr>
        <w:t>Al respecto, la Corte sostuvo que l</w:t>
      </w:r>
      <w:r w:rsidRPr="00DE5E39">
        <w:rPr>
          <w:rFonts w:ascii="Verdana" w:eastAsia="Times New Roman" w:hAnsi="Verdana" w:cs="Verdana"/>
          <w:sz w:val="20"/>
          <w:szCs w:val="20"/>
        </w:rPr>
        <w:t xml:space="preserve">as </w:t>
      </w:r>
      <w:r w:rsidRPr="00DE5E39">
        <w:rPr>
          <w:rFonts w:ascii="Verdana" w:eastAsia="Times New Roman" w:hAnsi="Verdana" w:cs="Arial"/>
          <w:sz w:val="20"/>
          <w:szCs w:val="20"/>
        </w:rPr>
        <w:t>alegaciones</w:t>
      </w:r>
      <w:r w:rsidRPr="00DE5E39">
        <w:rPr>
          <w:rFonts w:ascii="Verdana" w:eastAsia="Times New Roman" w:hAnsi="Verdana" w:cs="Verdana"/>
          <w:sz w:val="20"/>
          <w:szCs w:val="20"/>
        </w:rPr>
        <w:t xml:space="preserve"> de ejecución extrajudicial son actos que guardan relación con hechos y tipos penales que en ningún caso tienen conexión con la disciplina o la misión castrense. Por el contrario, los actos alegados contra Herma Luz Meléndez Cueva y Víctor Salomón Peceros Pedraza se relacionaban con bienes jurídicos tutelados por el derecho penal interno y la Convención Americana, como la vida e integridad personal de la víctima. </w:t>
      </w:r>
      <w:r>
        <w:rPr>
          <w:rFonts w:ascii="Verdana" w:eastAsia="Times New Roman" w:hAnsi="Verdana"/>
          <w:sz w:val="20"/>
          <w:szCs w:val="20"/>
        </w:rPr>
        <w:t>Por lo tanto, la Corte reiteró</w:t>
      </w:r>
      <w:r w:rsidRPr="00DE5E39">
        <w:rPr>
          <w:rFonts w:ascii="Verdana" w:eastAsia="Times New Roman" w:hAnsi="Verdana"/>
          <w:sz w:val="20"/>
          <w:szCs w:val="20"/>
        </w:rPr>
        <w:t xml:space="preserve"> que los criterios para investigar y juzgar violaciones de derechos humanos ante la jurisdicción </w:t>
      </w:r>
      <w:r w:rsidRPr="00DE5E39">
        <w:rPr>
          <w:rFonts w:ascii="Verdana" w:eastAsia="Times New Roman" w:hAnsi="Verdana" w:cs="Verdana"/>
          <w:sz w:val="20"/>
          <w:szCs w:val="20"/>
        </w:rPr>
        <w:t>ordinaria</w:t>
      </w:r>
      <w:r w:rsidRPr="00DE5E39">
        <w:rPr>
          <w:rFonts w:ascii="Verdana" w:eastAsia="Times New Roman" w:hAnsi="Verdana"/>
          <w:sz w:val="20"/>
          <w:szCs w:val="20"/>
        </w:rPr>
        <w:t xml:space="preserve"> residen no en la gravedad de las violaciones sino en su naturaleza misma y en la del bien jurídico protegido. </w:t>
      </w:r>
      <w:r w:rsidRPr="00DE5E39">
        <w:rPr>
          <w:rFonts w:ascii="Verdana" w:eastAsia="Times New Roman" w:hAnsi="Verdana" w:cs="Verdana"/>
          <w:sz w:val="20"/>
          <w:szCs w:val="20"/>
        </w:rPr>
        <w:t>Por consiguiente, la intervención del fuero militar para la investigación y juzgamiento de las alegadas ejecuciones extrajudiciales de Víctor Salomón Peceros Pedraza y Herma Luz Meléndez Cueva contrarió los parámetros de excepcionalidad y restricción que lo caracterizan e implicó la aplicación de un fuero personal que operó sin tomar en cuenta la naturaleza de los actos involucrados.</w:t>
      </w:r>
    </w:p>
    <w:p w:rsidR="002759D1" w:rsidRPr="00DE5E39" w:rsidRDefault="002759D1" w:rsidP="002759D1">
      <w:pPr>
        <w:spacing w:after="0" w:line="240" w:lineRule="auto"/>
        <w:rPr>
          <w:rFonts w:ascii="Verdana" w:eastAsia="Times New Roman" w:hAnsi="Verdana" w:cs="Verdana"/>
          <w:sz w:val="20"/>
          <w:szCs w:val="20"/>
        </w:rPr>
      </w:pPr>
    </w:p>
    <w:p w:rsidR="002759D1" w:rsidRPr="002759D1" w:rsidRDefault="002759D1" w:rsidP="002759D1">
      <w:pPr>
        <w:tabs>
          <w:tab w:val="left" w:pos="720"/>
          <w:tab w:val="num" w:pos="5057"/>
        </w:tabs>
        <w:spacing w:after="0" w:line="240" w:lineRule="auto"/>
        <w:ind w:right="-90"/>
        <w:jc w:val="both"/>
        <w:rPr>
          <w:rFonts w:ascii="Verdana" w:hAnsi="Verdana" w:cs="Arial"/>
          <w:sz w:val="20"/>
          <w:szCs w:val="20"/>
        </w:rPr>
      </w:pPr>
      <w:r w:rsidRPr="002759D1">
        <w:rPr>
          <w:rFonts w:ascii="Verdana" w:hAnsi="Verdana" w:cs="Arial"/>
          <w:sz w:val="20"/>
          <w:szCs w:val="20"/>
        </w:rPr>
        <w:t>La Corte notó que la Comisión no cuestionó las normas de derecho interno que regulan la posibilidad de que los delitos de función sean conocidos por la jurisdicción militar, sino que se limitó a poner en entredicho la interpretación realizada por la Corte Suprema de Justicia de la República al dirimir la contienda de competencia entre la jurisdicción penal ordinaria y la militar, y ello en virtud de la jurisprudencia de la Corte en relación con el alcance de la competencia del fuero militar. La Corte entend</w:t>
      </w:r>
      <w:r>
        <w:rPr>
          <w:rFonts w:ascii="Verdana" w:hAnsi="Verdana" w:cs="Arial"/>
          <w:sz w:val="20"/>
          <w:szCs w:val="20"/>
        </w:rPr>
        <w:t>ió</w:t>
      </w:r>
      <w:r w:rsidRPr="002759D1">
        <w:rPr>
          <w:rFonts w:ascii="Verdana" w:hAnsi="Verdana" w:cs="Arial"/>
          <w:sz w:val="20"/>
          <w:szCs w:val="20"/>
        </w:rPr>
        <w:t xml:space="preserve"> que esta fue una decisión para el caso concreto y que posteriormente, tanto el Tribunal Constitucional como la Corte Suprema de Justicia de la República modificaron dicha práctica, estableciendo criterios de carácter general y vinculante en el sentido de que el fuero militar debe restringirse a delitos de función determinables por el bien jurídico protegido y no a delitos comunes que impliquen violaciones a los derechos humanos. En consecuencia, la Corte no enc</w:t>
      </w:r>
      <w:r>
        <w:rPr>
          <w:rFonts w:ascii="Verdana" w:hAnsi="Verdana" w:cs="Arial"/>
          <w:sz w:val="20"/>
          <w:szCs w:val="20"/>
        </w:rPr>
        <w:t>o</w:t>
      </w:r>
      <w:r w:rsidRPr="002759D1">
        <w:rPr>
          <w:rFonts w:ascii="Verdana" w:hAnsi="Verdana" w:cs="Arial"/>
          <w:sz w:val="20"/>
          <w:szCs w:val="20"/>
        </w:rPr>
        <w:t>ntr</w:t>
      </w:r>
      <w:r>
        <w:rPr>
          <w:rFonts w:ascii="Verdana" w:hAnsi="Verdana" w:cs="Arial"/>
          <w:sz w:val="20"/>
          <w:szCs w:val="20"/>
        </w:rPr>
        <w:t>ó</w:t>
      </w:r>
      <w:r w:rsidRPr="002759D1">
        <w:rPr>
          <w:rFonts w:ascii="Verdana" w:hAnsi="Verdana" w:cs="Arial"/>
          <w:sz w:val="20"/>
          <w:szCs w:val="20"/>
        </w:rPr>
        <w:t xml:space="preserve"> </w:t>
      </w:r>
      <w:r w:rsidRPr="002759D1">
        <w:rPr>
          <w:rFonts w:ascii="Verdana" w:hAnsi="Verdana" w:cs="Arial"/>
          <w:sz w:val="20"/>
          <w:szCs w:val="20"/>
        </w:rPr>
        <w:lastRenderedPageBreak/>
        <w:t>violación del artículo 2 de la Convención Americana, en relación con los artículos 8 y 25 de la misma.</w:t>
      </w:r>
    </w:p>
    <w:p w:rsidR="002759D1" w:rsidRDefault="002759D1" w:rsidP="002759D1">
      <w:pPr>
        <w:tabs>
          <w:tab w:val="left" w:pos="720"/>
        </w:tabs>
        <w:spacing w:after="0" w:line="240" w:lineRule="auto"/>
        <w:ind w:right="-90"/>
        <w:jc w:val="both"/>
        <w:rPr>
          <w:rFonts w:ascii="Verdana" w:hAnsi="Verdana" w:cs="Arial"/>
          <w:sz w:val="20"/>
          <w:szCs w:val="20"/>
        </w:rPr>
      </w:pPr>
    </w:p>
    <w:p w:rsidR="002759D1" w:rsidRPr="00DE5E39" w:rsidRDefault="002759D1" w:rsidP="002759D1">
      <w:pPr>
        <w:tabs>
          <w:tab w:val="left" w:pos="720"/>
        </w:tabs>
        <w:spacing w:after="0" w:line="240" w:lineRule="auto"/>
        <w:ind w:right="-90"/>
        <w:jc w:val="both"/>
        <w:rPr>
          <w:rFonts w:ascii="Verdana" w:hAnsi="Verdana" w:cs="Arial"/>
          <w:sz w:val="20"/>
          <w:szCs w:val="20"/>
        </w:rPr>
      </w:pPr>
      <w:r>
        <w:rPr>
          <w:rFonts w:ascii="Verdana" w:hAnsi="Verdana"/>
          <w:sz w:val="20"/>
          <w:szCs w:val="20"/>
        </w:rPr>
        <w:t>L</w:t>
      </w:r>
      <w:r w:rsidRPr="00DE5E39">
        <w:rPr>
          <w:rFonts w:ascii="Verdana" w:hAnsi="Verdana"/>
          <w:sz w:val="20"/>
          <w:szCs w:val="20"/>
        </w:rPr>
        <w:t>a Corte reiter</w:t>
      </w:r>
      <w:r>
        <w:rPr>
          <w:rFonts w:ascii="Verdana" w:hAnsi="Verdana"/>
          <w:sz w:val="20"/>
          <w:szCs w:val="20"/>
        </w:rPr>
        <w:t>ó</w:t>
      </w:r>
      <w:r w:rsidRPr="00DE5E39">
        <w:rPr>
          <w:rFonts w:ascii="Verdana" w:hAnsi="Verdana"/>
          <w:sz w:val="20"/>
          <w:szCs w:val="20"/>
        </w:rPr>
        <w:t xml:space="preserve"> que toda persona, incluyendo los familiares de las víctimas de graves violaciones a derechos humanos, tiene el derecho a conocer la verdad. Respecto a</w:t>
      </w:r>
      <w:r w:rsidRPr="00DE5E39">
        <w:rPr>
          <w:rFonts w:ascii="Verdana" w:eastAsia="Times New Roman" w:hAnsi="Verdana"/>
          <w:sz w:val="20"/>
          <w:szCs w:val="24"/>
        </w:rPr>
        <w:t xml:space="preserve"> los hechos relativos a </w:t>
      </w:r>
      <w:r w:rsidRPr="00DE5E39">
        <w:rPr>
          <w:rFonts w:ascii="Verdana" w:eastAsia="Times New Roman" w:hAnsi="Verdana" w:cs="Verdana"/>
          <w:sz w:val="20"/>
          <w:szCs w:val="20"/>
        </w:rPr>
        <w:t>Herma Luz Meléndez Cueva y Víctor Salomón Peceros Pedraza, la Corte not</w:t>
      </w:r>
      <w:r w:rsidR="00200753">
        <w:rPr>
          <w:rFonts w:ascii="Verdana" w:eastAsia="Times New Roman" w:hAnsi="Verdana" w:cs="Verdana"/>
          <w:sz w:val="20"/>
          <w:szCs w:val="20"/>
        </w:rPr>
        <w:t>ó</w:t>
      </w:r>
      <w:r w:rsidRPr="00DE5E39">
        <w:rPr>
          <w:rFonts w:ascii="Verdana" w:eastAsia="Times New Roman" w:hAnsi="Verdana" w:cs="Verdana"/>
          <w:sz w:val="20"/>
          <w:szCs w:val="20"/>
        </w:rPr>
        <w:t xml:space="preserve"> que fueron posteriormente objeto de análisis por parte de la jurisdicción ordinaria por lo que se dio respuesta a lo sucedido a través de dicho proceso. En forma diferente, t</w:t>
      </w:r>
      <w:r w:rsidRPr="00DE5E39">
        <w:rPr>
          <w:rFonts w:ascii="Verdana" w:hAnsi="Verdana"/>
          <w:sz w:val="20"/>
          <w:szCs w:val="20"/>
        </w:rPr>
        <w:t>ranscurridos 18 años de los hechos, aún no se conoce toda la verdad sobre lo ocurrido respecto a la ejecución extrajudicial de Eduardo Nicolás Cruz Sánchez. Aún cuando estos hechos han sido objeto de pronunciamiento por parte de la Comisión de la Verdad y Reconciliación y de investigación judicial, la propia Corte Suprema de Justicia de la República ha indicado que “existen todavía algunos pasajes de los hechos, vinculados al agraviado Cruz Sánchez, que deben y pueden esclarecerse en una línea investigativa más intensa”.</w:t>
      </w:r>
      <w:r w:rsidR="00200753">
        <w:rPr>
          <w:rFonts w:ascii="Verdana" w:hAnsi="Verdana"/>
          <w:sz w:val="20"/>
          <w:szCs w:val="20"/>
        </w:rPr>
        <w:t xml:space="preserve"> </w:t>
      </w:r>
      <w:r w:rsidRPr="00DE5E39">
        <w:rPr>
          <w:rFonts w:ascii="Verdana" w:hAnsi="Verdana"/>
          <w:sz w:val="20"/>
          <w:szCs w:val="20"/>
        </w:rPr>
        <w:t>No obstante, la Corte consider</w:t>
      </w:r>
      <w:r w:rsidR="00200753">
        <w:rPr>
          <w:rFonts w:ascii="Verdana" w:hAnsi="Verdana"/>
          <w:sz w:val="20"/>
          <w:szCs w:val="20"/>
        </w:rPr>
        <w:t>ó</w:t>
      </w:r>
      <w:r w:rsidRPr="00DE5E39">
        <w:rPr>
          <w:rFonts w:ascii="Verdana" w:hAnsi="Verdana"/>
          <w:sz w:val="20"/>
          <w:szCs w:val="20"/>
        </w:rPr>
        <w:t xml:space="preserve"> que no </w:t>
      </w:r>
      <w:r w:rsidR="00200753">
        <w:rPr>
          <w:rFonts w:ascii="Verdana" w:hAnsi="Verdana"/>
          <w:sz w:val="20"/>
          <w:szCs w:val="20"/>
        </w:rPr>
        <w:t>era</w:t>
      </w:r>
      <w:r w:rsidRPr="00DE5E39">
        <w:rPr>
          <w:rFonts w:ascii="Verdana" w:hAnsi="Verdana"/>
          <w:sz w:val="20"/>
          <w:szCs w:val="20"/>
        </w:rPr>
        <w:t xml:space="preserve"> necesario un pronunciamiento específico sobre la violación del derecho a conocer la verdad dadas las violaciones previamente declaradas y las particularidades del presente caso.</w:t>
      </w:r>
    </w:p>
    <w:p w:rsidR="00B355EB" w:rsidRDefault="00B355EB" w:rsidP="006330F4">
      <w:pPr>
        <w:spacing w:after="0" w:line="240" w:lineRule="auto"/>
        <w:jc w:val="both"/>
        <w:rPr>
          <w:rFonts w:ascii="Verdana" w:eastAsia="Times New Roman" w:hAnsi="Verdana" w:cs="Verdana"/>
          <w:sz w:val="20"/>
          <w:szCs w:val="20"/>
        </w:rPr>
      </w:pPr>
    </w:p>
    <w:p w:rsidR="000C416F" w:rsidRDefault="00200753" w:rsidP="006330F4">
      <w:pPr>
        <w:spacing w:after="0" w:line="240" w:lineRule="auto"/>
        <w:jc w:val="both"/>
        <w:rPr>
          <w:rFonts w:ascii="Verdana" w:eastAsia="MS Mincho" w:hAnsi="Verdana"/>
          <w:sz w:val="20"/>
          <w:szCs w:val="20"/>
        </w:rPr>
      </w:pPr>
      <w:r w:rsidRPr="00DE5E39">
        <w:rPr>
          <w:rFonts w:ascii="Verdana" w:eastAsia="MS Mincho" w:hAnsi="Verdana"/>
          <w:sz w:val="20"/>
          <w:szCs w:val="20"/>
        </w:rPr>
        <w:t>En suma, el Tribunal consider</w:t>
      </w:r>
      <w:r>
        <w:rPr>
          <w:rFonts w:ascii="Verdana" w:eastAsia="MS Mincho" w:hAnsi="Verdana"/>
          <w:sz w:val="20"/>
          <w:szCs w:val="20"/>
        </w:rPr>
        <w:t>ó</w:t>
      </w:r>
      <w:r w:rsidRPr="00DE5E39">
        <w:rPr>
          <w:rFonts w:ascii="Verdana" w:eastAsia="MS Mincho" w:hAnsi="Verdana"/>
          <w:sz w:val="20"/>
          <w:szCs w:val="20"/>
        </w:rPr>
        <w:t xml:space="preserve"> que </w:t>
      </w:r>
      <w:r w:rsidRPr="00DE5E39">
        <w:rPr>
          <w:rFonts w:ascii="Verdana" w:hAnsi="Verdana"/>
          <w:sz w:val="20"/>
          <w:szCs w:val="20"/>
        </w:rPr>
        <w:t>existieron irregularidades en el manejo de la escena de los hechos y el levantamiento de cadáveres, así como una falta de rigurosidad en la realización de las necropsias</w:t>
      </w:r>
      <w:r w:rsidRPr="00DE5E39">
        <w:rPr>
          <w:rFonts w:ascii="Verdana" w:eastAsia="MS Mincho" w:hAnsi="Verdana"/>
          <w:sz w:val="20"/>
          <w:szCs w:val="20"/>
        </w:rPr>
        <w:t xml:space="preserve"> en el año 1997, por lo que las primeras diligencias y el aseguramiento inicial del material probatorio carecieron de mínima diligencia. Además, los procesos ante los tribunales </w:t>
      </w:r>
      <w:r w:rsidRPr="00DE5E39">
        <w:rPr>
          <w:rFonts w:ascii="Verdana" w:hAnsi="Verdana" w:cs="Arial"/>
          <w:sz w:val="20"/>
          <w:szCs w:val="20"/>
        </w:rPr>
        <w:t>peruanos</w:t>
      </w:r>
      <w:r w:rsidRPr="00DE5E39">
        <w:rPr>
          <w:rFonts w:ascii="Verdana" w:eastAsia="MS Mincho" w:hAnsi="Verdana"/>
          <w:sz w:val="20"/>
          <w:szCs w:val="20"/>
        </w:rPr>
        <w:t xml:space="preserve"> no han sido desarrollados en un plazo razonable y el Estado no ha demostrado haber llevado a cabo las diligencias necesarias para localizar a uno de los sindicados que se encuentra en contumacia. Con base en las consideraciones anteriores y en el reconocimiento parcial de responsabili</w:t>
      </w:r>
      <w:r w:rsidR="00DB78A0">
        <w:rPr>
          <w:rFonts w:ascii="Verdana" w:eastAsia="MS Mincho" w:hAnsi="Verdana"/>
          <w:sz w:val="20"/>
          <w:szCs w:val="20"/>
        </w:rPr>
        <w:t>dad efectuado, la Corte concluyó</w:t>
      </w:r>
      <w:r w:rsidRPr="00DE5E39">
        <w:rPr>
          <w:rFonts w:ascii="Verdana" w:eastAsia="MS Mincho" w:hAnsi="Verdana"/>
          <w:sz w:val="20"/>
          <w:szCs w:val="20"/>
        </w:rPr>
        <w:t xml:space="preserve"> que el Estado es responsable por la violación de los artículos 8.1 y 25.1 de la Convención Americana, en relación con </w:t>
      </w:r>
      <w:r>
        <w:rPr>
          <w:rFonts w:ascii="Verdana" w:eastAsia="MS Mincho" w:hAnsi="Verdana"/>
          <w:sz w:val="20"/>
          <w:szCs w:val="20"/>
        </w:rPr>
        <w:t>e</w:t>
      </w:r>
      <w:r w:rsidRPr="00DE5E39">
        <w:rPr>
          <w:rFonts w:ascii="Verdana" w:eastAsia="MS Mincho" w:hAnsi="Verdana"/>
          <w:sz w:val="20"/>
          <w:szCs w:val="20"/>
        </w:rPr>
        <w:t>l artículo 1.1 de la misma, en perjuicio de los familiares de Eduardo Nicolás Cruz Sánchez, Herma Luz Meléndez Cueva y Víctor Salomón Peceros Pedraza,</w:t>
      </w:r>
      <w:r>
        <w:rPr>
          <w:rFonts w:ascii="Verdana" w:eastAsia="MS Mincho" w:hAnsi="Verdana"/>
          <w:sz w:val="20"/>
          <w:szCs w:val="20"/>
        </w:rPr>
        <w:t xml:space="preserve"> a saber,</w:t>
      </w:r>
      <w:r w:rsidRPr="00BE49CB">
        <w:rPr>
          <w:rFonts w:ascii="Verdana" w:eastAsia="Times New Roman" w:hAnsi="Verdana"/>
          <w:sz w:val="20"/>
          <w:szCs w:val="20"/>
        </w:rPr>
        <w:t xml:space="preserve"> </w:t>
      </w:r>
      <w:r w:rsidRPr="00DE5E39">
        <w:rPr>
          <w:rFonts w:ascii="Verdana" w:eastAsia="Times New Roman" w:hAnsi="Verdana"/>
          <w:sz w:val="20"/>
          <w:szCs w:val="20"/>
        </w:rPr>
        <w:t>Edgar Odón Cruz Acuña</w:t>
      </w:r>
      <w:r>
        <w:rPr>
          <w:rFonts w:ascii="Verdana" w:eastAsia="Times New Roman" w:hAnsi="Verdana"/>
          <w:sz w:val="20"/>
          <w:szCs w:val="20"/>
        </w:rPr>
        <w:t>,</w:t>
      </w:r>
      <w:r w:rsidRPr="00DE5E39">
        <w:rPr>
          <w:rFonts w:ascii="Verdana" w:eastAsia="MS Mincho" w:hAnsi="Verdana"/>
          <w:sz w:val="20"/>
          <w:szCs w:val="20"/>
        </w:rPr>
        <w:t xml:space="preserve"> </w:t>
      </w:r>
      <w:r w:rsidRPr="00DE5E39">
        <w:rPr>
          <w:rFonts w:ascii="Verdana" w:eastAsia="Times New Roman" w:hAnsi="Verdana"/>
          <w:sz w:val="20"/>
          <w:szCs w:val="20"/>
        </w:rPr>
        <w:t>Herma Luz Cueva Torres</w:t>
      </w:r>
      <w:r>
        <w:rPr>
          <w:rFonts w:ascii="Verdana" w:eastAsia="Times New Roman" w:hAnsi="Verdana"/>
          <w:sz w:val="20"/>
          <w:szCs w:val="20"/>
        </w:rPr>
        <w:t>,</w:t>
      </w:r>
      <w:r w:rsidRPr="00DE5E39">
        <w:rPr>
          <w:rFonts w:ascii="Verdana" w:eastAsia="Times New Roman" w:hAnsi="Verdana"/>
          <w:sz w:val="20"/>
          <w:szCs w:val="20"/>
        </w:rPr>
        <w:t xml:space="preserve"> Florentín Peceros Far</w:t>
      </w:r>
      <w:r>
        <w:rPr>
          <w:rFonts w:ascii="Verdana" w:eastAsia="Times New Roman" w:hAnsi="Verdana"/>
          <w:sz w:val="20"/>
          <w:szCs w:val="20"/>
        </w:rPr>
        <w:t>fán, Nemecia Pedraza de Peceros y</w:t>
      </w:r>
      <w:r w:rsidRPr="00DE5E39">
        <w:rPr>
          <w:rFonts w:ascii="Verdana" w:eastAsia="Times New Roman" w:hAnsi="Verdana"/>
          <w:sz w:val="20"/>
          <w:szCs w:val="20"/>
        </w:rPr>
        <w:t xml:space="preserve"> Jhenifer Solanch Peceros Quispe, </w:t>
      </w:r>
      <w:r w:rsidRPr="00DE5E39">
        <w:rPr>
          <w:rFonts w:ascii="Verdana" w:eastAsia="MS Mincho" w:hAnsi="Verdana"/>
          <w:sz w:val="20"/>
          <w:szCs w:val="20"/>
        </w:rPr>
        <w:t>en los términos de los párrafos precedentes.</w:t>
      </w:r>
    </w:p>
    <w:p w:rsidR="00DB78A0" w:rsidRDefault="00DB78A0" w:rsidP="006330F4">
      <w:pPr>
        <w:spacing w:after="0" w:line="240" w:lineRule="auto"/>
        <w:jc w:val="both"/>
        <w:rPr>
          <w:rFonts w:ascii="Verdana" w:eastAsia="Times" w:hAnsi="Verdana"/>
          <w:sz w:val="20"/>
          <w:szCs w:val="20"/>
        </w:rPr>
      </w:pPr>
    </w:p>
    <w:p w:rsidR="000C416F" w:rsidRDefault="000C416F" w:rsidP="006330F4">
      <w:pPr>
        <w:spacing w:after="0" w:line="240" w:lineRule="auto"/>
        <w:jc w:val="both"/>
        <w:rPr>
          <w:rFonts w:ascii="Verdana" w:eastAsia="Arial" w:hAnsi="Verdana" w:cs="Arial"/>
          <w:sz w:val="20"/>
          <w:szCs w:val="20"/>
        </w:rPr>
      </w:pPr>
      <w:r>
        <w:rPr>
          <w:rFonts w:ascii="Verdana" w:eastAsia="Times" w:hAnsi="Verdana"/>
          <w:sz w:val="20"/>
          <w:szCs w:val="20"/>
        </w:rPr>
        <w:t xml:space="preserve">Finalmente, </w:t>
      </w:r>
      <w:r>
        <w:rPr>
          <w:rFonts w:ascii="Verdana" w:hAnsi="Verdana"/>
          <w:sz w:val="20"/>
          <w:szCs w:val="20"/>
        </w:rPr>
        <w:t>l</w:t>
      </w:r>
      <w:r w:rsidRPr="00772F06">
        <w:rPr>
          <w:rFonts w:ascii="Verdana" w:hAnsi="Verdana"/>
          <w:sz w:val="20"/>
          <w:szCs w:val="20"/>
        </w:rPr>
        <w:t>a Corte concluy</w:t>
      </w:r>
      <w:r>
        <w:rPr>
          <w:rFonts w:ascii="Verdana" w:hAnsi="Verdana"/>
          <w:sz w:val="20"/>
          <w:szCs w:val="20"/>
        </w:rPr>
        <w:t>ó</w:t>
      </w:r>
      <w:r w:rsidRPr="00772F06">
        <w:rPr>
          <w:rFonts w:ascii="Verdana" w:hAnsi="Verdana"/>
          <w:sz w:val="20"/>
          <w:szCs w:val="20"/>
        </w:rPr>
        <w:t xml:space="preserve"> que el Estado violó el derecho a la integridad personal reconocido en el artículo 5</w:t>
      </w:r>
      <w:r w:rsidR="0028281B">
        <w:rPr>
          <w:rFonts w:ascii="Verdana" w:hAnsi="Verdana"/>
          <w:sz w:val="20"/>
          <w:szCs w:val="20"/>
        </w:rPr>
        <w:t>.1</w:t>
      </w:r>
      <w:r w:rsidRPr="00772F06">
        <w:rPr>
          <w:rFonts w:ascii="Verdana" w:hAnsi="Verdana"/>
          <w:sz w:val="20"/>
          <w:szCs w:val="20"/>
        </w:rPr>
        <w:t xml:space="preserve"> de la Convención, en perjuicio de </w:t>
      </w:r>
      <w:r w:rsidRPr="00772F06">
        <w:rPr>
          <w:rFonts w:ascii="Verdana" w:eastAsia="Arial" w:hAnsi="Verdana" w:cs="Arial"/>
          <w:sz w:val="20"/>
          <w:szCs w:val="20"/>
        </w:rPr>
        <w:t>Edgar Odón Cruz Acuña, hermano de Eduardo Nicolás Cruz Sánchez, por los sufrimientos padecidos en relación con la ejecución extrajudicial de su familiar</w:t>
      </w:r>
      <w:r w:rsidRPr="00772F06">
        <w:rPr>
          <w:rFonts w:ascii="Verdana" w:hAnsi="Verdana"/>
          <w:sz w:val="20"/>
          <w:szCs w:val="20"/>
        </w:rPr>
        <w:t xml:space="preserve"> y </w:t>
      </w:r>
      <w:r w:rsidRPr="00772F06">
        <w:rPr>
          <w:rFonts w:ascii="Verdana" w:eastAsia="Arial" w:hAnsi="Verdana" w:cs="Arial"/>
          <w:sz w:val="20"/>
          <w:szCs w:val="20"/>
        </w:rPr>
        <w:t>la ausencia de investigaciones efectivas.</w:t>
      </w:r>
    </w:p>
    <w:p w:rsidR="000C416F" w:rsidRPr="00C00C60" w:rsidRDefault="000C416F" w:rsidP="006330F4">
      <w:pPr>
        <w:spacing w:after="0" w:line="240" w:lineRule="auto"/>
        <w:jc w:val="both"/>
        <w:rPr>
          <w:rFonts w:ascii="Verdana" w:eastAsia="Times" w:hAnsi="Verdana"/>
          <w:sz w:val="20"/>
          <w:szCs w:val="20"/>
        </w:rPr>
      </w:pPr>
    </w:p>
    <w:p w:rsidR="00A824B8" w:rsidRDefault="00A824B8" w:rsidP="00A824B8">
      <w:pPr>
        <w:pStyle w:val="ListParagraph"/>
        <w:spacing w:after="0" w:line="240" w:lineRule="auto"/>
        <w:ind w:left="708"/>
        <w:jc w:val="both"/>
        <w:rPr>
          <w:rFonts w:ascii="Verdana" w:eastAsia="Times" w:hAnsi="Verdana"/>
          <w:b/>
          <w:sz w:val="20"/>
          <w:szCs w:val="20"/>
        </w:rPr>
      </w:pPr>
      <w:r>
        <w:rPr>
          <w:rFonts w:ascii="Verdana" w:eastAsia="Times" w:hAnsi="Verdana"/>
          <w:b/>
          <w:sz w:val="20"/>
          <w:szCs w:val="20"/>
        </w:rPr>
        <w:t>IV. Reparaciones</w:t>
      </w:r>
    </w:p>
    <w:p w:rsidR="006330F4" w:rsidRPr="006330F4" w:rsidRDefault="006330F4" w:rsidP="006330F4">
      <w:pPr>
        <w:spacing w:after="0" w:line="240" w:lineRule="auto"/>
        <w:jc w:val="both"/>
        <w:rPr>
          <w:rFonts w:ascii="Verdana" w:eastAsia="Times" w:hAnsi="Verdana"/>
          <w:sz w:val="20"/>
          <w:szCs w:val="20"/>
        </w:rPr>
      </w:pPr>
    </w:p>
    <w:p w:rsidR="006330F4" w:rsidRPr="00772F06" w:rsidRDefault="006330F4" w:rsidP="006330F4">
      <w:pPr>
        <w:widowControl w:val="0"/>
        <w:autoSpaceDE w:val="0"/>
        <w:autoSpaceDN w:val="0"/>
        <w:adjustRightInd w:val="0"/>
        <w:spacing w:after="0" w:line="240" w:lineRule="auto"/>
        <w:ind w:right="99"/>
        <w:jc w:val="both"/>
        <w:rPr>
          <w:rFonts w:ascii="Verdana" w:eastAsia="Times" w:hAnsi="Verdana"/>
          <w:sz w:val="20"/>
          <w:szCs w:val="20"/>
        </w:rPr>
      </w:pPr>
      <w:r w:rsidRPr="006330F4">
        <w:rPr>
          <w:rFonts w:ascii="Verdana" w:eastAsia="Times" w:hAnsi="Verdana"/>
          <w:sz w:val="20"/>
          <w:szCs w:val="20"/>
        </w:rPr>
        <w:t xml:space="preserve">La Corte estableció que su sentencia constituye </w:t>
      </w:r>
      <w:r w:rsidRPr="00C32660">
        <w:rPr>
          <w:rFonts w:ascii="Verdana" w:eastAsia="Times" w:hAnsi="Verdana"/>
          <w:i/>
          <w:sz w:val="20"/>
          <w:szCs w:val="20"/>
        </w:rPr>
        <w:t>per se</w:t>
      </w:r>
      <w:r w:rsidRPr="006330F4">
        <w:rPr>
          <w:rFonts w:ascii="Verdana" w:eastAsia="Times" w:hAnsi="Verdana"/>
          <w:sz w:val="20"/>
          <w:szCs w:val="20"/>
        </w:rPr>
        <w:t xml:space="preserve"> una forma de reparación.</w:t>
      </w:r>
      <w:r w:rsidR="00D55B05">
        <w:rPr>
          <w:rFonts w:ascii="Verdana" w:eastAsia="Times" w:hAnsi="Verdana"/>
          <w:sz w:val="20"/>
          <w:szCs w:val="20"/>
        </w:rPr>
        <w:t xml:space="preserve"> </w:t>
      </w:r>
      <w:r w:rsidR="00D55B05" w:rsidRPr="00D55B05">
        <w:rPr>
          <w:rFonts w:ascii="Verdana" w:eastAsia="Times" w:hAnsi="Verdana"/>
          <w:sz w:val="20"/>
          <w:szCs w:val="20"/>
        </w:rPr>
        <w:t xml:space="preserve">Asimismo, no ordenó el pago de una compensación económica por los hechos del presente caso ya que las otras formas de reparación ordenadas eran suficientes. </w:t>
      </w:r>
      <w:r w:rsidR="00D55B05">
        <w:rPr>
          <w:rFonts w:ascii="Verdana" w:eastAsia="Times" w:hAnsi="Verdana"/>
          <w:sz w:val="20"/>
          <w:szCs w:val="20"/>
        </w:rPr>
        <w:t>En esta línea</w:t>
      </w:r>
      <w:r w:rsidRPr="006330F4">
        <w:rPr>
          <w:rFonts w:ascii="Verdana" w:eastAsia="Times" w:hAnsi="Verdana"/>
          <w:sz w:val="20"/>
          <w:szCs w:val="20"/>
        </w:rPr>
        <w:t>, ordenó al Estado:</w:t>
      </w:r>
      <w:r>
        <w:rPr>
          <w:rFonts w:ascii="Verdana" w:eastAsia="Times" w:hAnsi="Verdana"/>
          <w:sz w:val="20"/>
          <w:szCs w:val="20"/>
        </w:rPr>
        <w:t xml:space="preserve"> i) </w:t>
      </w:r>
      <w:r w:rsidRPr="00772F06">
        <w:rPr>
          <w:rFonts w:ascii="Verdana" w:eastAsia="Times New Roman" w:hAnsi="Verdana" w:cs="Arial"/>
          <w:sz w:val="20"/>
          <w:szCs w:val="20"/>
          <w:lang w:eastAsia="es-CR"/>
        </w:rPr>
        <w:t xml:space="preserve">conducir eficazmente la investigación y/o el proceso penal en curso para identificar, procesar </w:t>
      </w:r>
      <w:r w:rsidRPr="00772F06">
        <w:rPr>
          <w:rFonts w:ascii="Verdana" w:hAnsi="Verdana"/>
          <w:sz w:val="20"/>
        </w:rPr>
        <w:t xml:space="preserve">y, en su caso, sancionar a los responsables </w:t>
      </w:r>
      <w:r w:rsidRPr="00CF76DA">
        <w:rPr>
          <w:rFonts w:ascii="Verdana" w:hAnsi="Verdana"/>
          <w:sz w:val="20"/>
        </w:rPr>
        <w:t xml:space="preserve">de los hechos relacionados con la </w:t>
      </w:r>
      <w:r w:rsidRPr="00CF76DA">
        <w:rPr>
          <w:rFonts w:ascii="Verdana" w:hAnsi="Verdana" w:cs="Verdana"/>
          <w:sz w:val="20"/>
          <w:szCs w:val="20"/>
        </w:rPr>
        <w:t>ejecución extrajudicial de Eduardo Nicolás Cruz Sánchez</w:t>
      </w:r>
      <w:r w:rsidRPr="00CF76DA">
        <w:rPr>
          <w:rFonts w:ascii="Verdana" w:eastAsia="Times" w:hAnsi="Verdana"/>
          <w:sz w:val="20"/>
          <w:szCs w:val="20"/>
          <w:lang w:eastAsia="es-MX"/>
        </w:rPr>
        <w:t xml:space="preserve">; ii) </w:t>
      </w:r>
      <w:r w:rsidRPr="00CF76DA">
        <w:rPr>
          <w:rFonts w:ascii="Verdana" w:eastAsia="Times" w:hAnsi="Verdana"/>
          <w:sz w:val="20"/>
          <w:szCs w:val="20"/>
        </w:rPr>
        <w:t>brindar gratuitamente, a través de sus instituciones de salud especializadas, y de forma inmediata, adecuada y efectiva, el tratamiento psicológico y/o psiquiátrico a favor de</w:t>
      </w:r>
      <w:r w:rsidR="006F4B21" w:rsidRPr="00CF76DA">
        <w:rPr>
          <w:rFonts w:ascii="Verdana" w:eastAsia="Times" w:hAnsi="Verdana"/>
          <w:sz w:val="20"/>
          <w:szCs w:val="20"/>
        </w:rPr>
        <w:t>l hermano de</w:t>
      </w:r>
      <w:r w:rsidRPr="00CF76DA">
        <w:rPr>
          <w:rFonts w:ascii="Verdana" w:eastAsia="Times" w:hAnsi="Verdana"/>
          <w:sz w:val="20"/>
          <w:szCs w:val="20"/>
        </w:rPr>
        <w:t xml:space="preserve"> la víctima si así lo solicita; iii) realizar las publicaciones dispuestas; iv) pagar las cantidades fijadas por concepto</w:t>
      </w:r>
      <w:r w:rsidRPr="00772F06">
        <w:rPr>
          <w:rFonts w:ascii="Verdana" w:eastAsia="Times" w:hAnsi="Verdana"/>
          <w:sz w:val="20"/>
          <w:szCs w:val="20"/>
        </w:rPr>
        <w:t xml:space="preserve"> de reintegro de costas y gastos</w:t>
      </w:r>
      <w:r>
        <w:rPr>
          <w:rFonts w:ascii="Verdana" w:eastAsia="Times" w:hAnsi="Verdana"/>
          <w:sz w:val="20"/>
          <w:szCs w:val="20"/>
        </w:rPr>
        <w:t xml:space="preserve">, y v) </w:t>
      </w:r>
      <w:r w:rsidRPr="00772F06">
        <w:rPr>
          <w:rFonts w:ascii="Verdana" w:eastAsia="Times" w:hAnsi="Verdana"/>
          <w:sz w:val="20"/>
          <w:szCs w:val="20"/>
        </w:rPr>
        <w:t>reintegrar al Fondo de Asistencia Legal de Víctimas de la Corte Interamericana de Derechos Humanos la suma erogada durante la tramitación del presente caso.</w:t>
      </w:r>
    </w:p>
    <w:p w:rsidR="006330F4" w:rsidRPr="006330F4" w:rsidRDefault="006330F4" w:rsidP="006330F4">
      <w:pPr>
        <w:spacing w:after="0" w:line="240" w:lineRule="auto"/>
        <w:jc w:val="both"/>
        <w:rPr>
          <w:rFonts w:ascii="Verdana" w:eastAsia="Times" w:hAnsi="Verdana"/>
          <w:sz w:val="20"/>
          <w:szCs w:val="20"/>
        </w:rPr>
      </w:pPr>
    </w:p>
    <w:p w:rsidR="00166F1C" w:rsidRPr="006330F4" w:rsidRDefault="00166F1C" w:rsidP="00166F1C">
      <w:pPr>
        <w:tabs>
          <w:tab w:val="left" w:pos="720"/>
        </w:tabs>
        <w:spacing w:after="0" w:line="240" w:lineRule="auto"/>
        <w:ind w:right="-90"/>
        <w:contextualSpacing/>
        <w:jc w:val="center"/>
        <w:rPr>
          <w:rFonts w:ascii="Verdana" w:eastAsia="Times New Roman" w:hAnsi="Verdana"/>
          <w:sz w:val="20"/>
          <w:szCs w:val="20"/>
          <w:lang w:val="es-ES"/>
        </w:rPr>
      </w:pPr>
      <w:r w:rsidRPr="006330F4">
        <w:rPr>
          <w:rFonts w:ascii="Verdana" w:eastAsia="Times New Roman" w:hAnsi="Verdana"/>
          <w:sz w:val="20"/>
          <w:szCs w:val="20"/>
          <w:lang w:val="es-ES"/>
        </w:rPr>
        <w:t>--------</w:t>
      </w:r>
    </w:p>
    <w:p w:rsidR="00166F1C" w:rsidRPr="007D0383" w:rsidRDefault="00166F1C" w:rsidP="00166F1C">
      <w:pPr>
        <w:tabs>
          <w:tab w:val="left" w:pos="720"/>
        </w:tabs>
        <w:spacing w:after="0" w:line="240" w:lineRule="auto"/>
        <w:ind w:right="-90"/>
        <w:contextualSpacing/>
        <w:jc w:val="center"/>
        <w:rPr>
          <w:rFonts w:ascii="Verdana" w:eastAsia="Times New Roman" w:hAnsi="Verdana"/>
          <w:sz w:val="20"/>
          <w:szCs w:val="20"/>
          <w:lang w:val="es-ES"/>
        </w:rPr>
      </w:pPr>
    </w:p>
    <w:p w:rsidR="00166F1C" w:rsidRPr="00F24C1F" w:rsidRDefault="00166F1C" w:rsidP="00166F1C">
      <w:pPr>
        <w:tabs>
          <w:tab w:val="left" w:pos="720"/>
        </w:tabs>
        <w:spacing w:after="0" w:line="240" w:lineRule="auto"/>
        <w:ind w:right="-90"/>
        <w:contextualSpacing/>
        <w:jc w:val="both"/>
        <w:rPr>
          <w:rFonts w:ascii="Verdana" w:eastAsia="Times New Roman" w:hAnsi="Verdana"/>
          <w:sz w:val="20"/>
          <w:szCs w:val="20"/>
          <w:lang w:val="es-ES"/>
        </w:rPr>
      </w:pPr>
      <w:r w:rsidRPr="00F24C1F">
        <w:rPr>
          <w:rFonts w:ascii="Verdana" w:eastAsia="Times New Roman" w:hAnsi="Verdana"/>
          <w:sz w:val="20"/>
          <w:szCs w:val="20"/>
          <w:lang w:val="es-ES"/>
        </w:rPr>
        <w:lastRenderedPageBreak/>
        <w:t>La Corte supervisará el cumplimiento íntegro de la Sentencia, en ejercicio de sus atribuciones y en cumplimiento de sus deberes conforme a la Convención Americana sobre Derechos Humanos, y dará por concluido el presente caso una vez que el Estado haya dado cabal cumplimiento a lo dispuesto en la misma.</w:t>
      </w:r>
    </w:p>
    <w:p w:rsidR="00166F1C" w:rsidRPr="00F24C1F" w:rsidRDefault="00166F1C" w:rsidP="00166F1C">
      <w:pPr>
        <w:spacing w:after="0" w:line="240" w:lineRule="auto"/>
        <w:jc w:val="both"/>
        <w:rPr>
          <w:rFonts w:ascii="Verdana" w:eastAsia="Times New Roman" w:hAnsi="Verdana"/>
          <w:sz w:val="20"/>
          <w:szCs w:val="20"/>
          <w:lang w:val="es-ES"/>
        </w:rPr>
      </w:pPr>
    </w:p>
    <w:p w:rsidR="00166F1C" w:rsidRPr="00F24C1F" w:rsidRDefault="00166F1C" w:rsidP="00166F1C">
      <w:pPr>
        <w:spacing w:after="0" w:line="240" w:lineRule="auto"/>
        <w:jc w:val="both"/>
        <w:rPr>
          <w:rFonts w:ascii="Verdana" w:eastAsia="Times New Roman" w:hAnsi="Verdana"/>
          <w:sz w:val="20"/>
          <w:szCs w:val="20"/>
        </w:rPr>
      </w:pPr>
      <w:r w:rsidRPr="00F24C1F">
        <w:rPr>
          <w:rFonts w:ascii="Verdana" w:eastAsia="Times New Roman" w:hAnsi="Verdana"/>
          <w:sz w:val="20"/>
          <w:szCs w:val="20"/>
        </w:rPr>
        <w:t>El texto íntegro de la Sentencia puede consultarse en el siguiente enlace:</w:t>
      </w:r>
      <w:r w:rsidRPr="00F24C1F">
        <w:rPr>
          <w:rFonts w:ascii="Verdana" w:eastAsia="Times New Roman" w:hAnsi="Verdana"/>
          <w:sz w:val="20"/>
          <w:szCs w:val="20"/>
          <w:lang w:val="es-ES"/>
        </w:rPr>
        <w:t xml:space="preserve"> </w:t>
      </w:r>
      <w:hyperlink r:id="rId8" w:history="1">
        <w:r w:rsidRPr="00F24C1F">
          <w:rPr>
            <w:rFonts w:ascii="Verdana" w:eastAsia="Times New Roman" w:hAnsi="Verdana"/>
            <w:color w:val="0000FF"/>
            <w:sz w:val="20"/>
            <w:u w:val="single"/>
            <w:lang w:val="es-MX"/>
          </w:rPr>
          <w:t>http://www.corteidh.or.cr/casos.cfm</w:t>
        </w:r>
      </w:hyperlink>
    </w:p>
    <w:p w:rsidR="00166F1C" w:rsidRPr="00166F1C" w:rsidRDefault="00166F1C"/>
    <w:sectPr w:rsidR="00166F1C" w:rsidRPr="00166F1C" w:rsidSect="000C416F">
      <w:footerReference w:type="default" r:id="rId9"/>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8F" w:rsidRDefault="00F7258F" w:rsidP="00166F1C">
      <w:pPr>
        <w:spacing w:after="0" w:line="240" w:lineRule="auto"/>
      </w:pPr>
      <w:r>
        <w:separator/>
      </w:r>
    </w:p>
  </w:endnote>
  <w:endnote w:type="continuationSeparator" w:id="0">
    <w:p w:rsidR="00F7258F" w:rsidRDefault="00F7258F" w:rsidP="0016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7788"/>
      <w:docPartObj>
        <w:docPartGallery w:val="Page Numbers (Bottom of Page)"/>
        <w:docPartUnique/>
      </w:docPartObj>
    </w:sdtPr>
    <w:sdtContent>
      <w:p w:rsidR="002759D1" w:rsidRDefault="002759D1">
        <w:pPr>
          <w:pStyle w:val="Footer"/>
          <w:jc w:val="center"/>
        </w:pPr>
        <w:r>
          <w:t>-</w:t>
        </w:r>
        <w:r w:rsidR="00736E24">
          <w:fldChar w:fldCharType="begin"/>
        </w:r>
        <w:r w:rsidR="006200D0">
          <w:instrText xml:space="preserve"> PAGE   \* MERGEFORMAT </w:instrText>
        </w:r>
        <w:r w:rsidR="00736E24">
          <w:fldChar w:fldCharType="separate"/>
        </w:r>
        <w:r w:rsidR="0002287B">
          <w:rPr>
            <w:noProof/>
          </w:rPr>
          <w:t>12</w:t>
        </w:r>
        <w:r w:rsidR="00736E24">
          <w:rPr>
            <w:noProof/>
          </w:rPr>
          <w:fldChar w:fldCharType="end"/>
        </w:r>
        <w:r>
          <w:t>-</w:t>
        </w:r>
      </w:p>
    </w:sdtContent>
  </w:sdt>
  <w:p w:rsidR="002759D1" w:rsidRDefault="0027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8F" w:rsidRDefault="00F7258F" w:rsidP="00166F1C">
      <w:pPr>
        <w:spacing w:after="0" w:line="240" w:lineRule="auto"/>
      </w:pPr>
      <w:r>
        <w:separator/>
      </w:r>
    </w:p>
  </w:footnote>
  <w:footnote w:type="continuationSeparator" w:id="0">
    <w:p w:rsidR="00F7258F" w:rsidRDefault="00F7258F" w:rsidP="00166F1C">
      <w:pPr>
        <w:spacing w:after="0" w:line="240" w:lineRule="auto"/>
      </w:pPr>
      <w:r>
        <w:continuationSeparator/>
      </w:r>
    </w:p>
  </w:footnote>
  <w:footnote w:id="1">
    <w:p w:rsidR="002759D1" w:rsidRPr="00C10CD3" w:rsidRDefault="002759D1" w:rsidP="00166F1C">
      <w:pPr>
        <w:pStyle w:val="FootnoteText"/>
        <w:spacing w:after="120" w:line="240" w:lineRule="auto"/>
        <w:jc w:val="both"/>
        <w:rPr>
          <w:rFonts w:ascii="Verdana" w:hAnsi="Verdana"/>
          <w:sz w:val="16"/>
          <w:szCs w:val="16"/>
        </w:rPr>
      </w:pPr>
      <w:r w:rsidRPr="00C10CD3">
        <w:rPr>
          <w:rStyle w:val="FootnoteReference"/>
          <w:rFonts w:ascii="Verdana" w:hAnsi="Verdana"/>
          <w:sz w:val="16"/>
          <w:szCs w:val="16"/>
        </w:rPr>
        <w:sym w:font="Symbol" w:char="F02A"/>
      </w:r>
      <w:r w:rsidRPr="00C10CD3">
        <w:rPr>
          <w:rFonts w:ascii="Verdana" w:hAnsi="Verdana"/>
          <w:sz w:val="16"/>
          <w:szCs w:val="16"/>
        </w:rPr>
        <w:t xml:space="preserve"> </w:t>
      </w:r>
      <w:r w:rsidRPr="00C10CD3">
        <w:rPr>
          <w:rFonts w:ascii="Verdana" w:hAnsi="Verdana"/>
          <w:sz w:val="16"/>
          <w:szCs w:val="16"/>
        </w:rPr>
        <w:tab/>
      </w:r>
      <w:r>
        <w:rPr>
          <w:rFonts w:ascii="Verdana" w:hAnsi="Verdana"/>
          <w:sz w:val="16"/>
          <w:szCs w:val="16"/>
        </w:rPr>
        <w:t>I</w:t>
      </w:r>
      <w:r w:rsidRPr="00265349">
        <w:rPr>
          <w:rFonts w:ascii="Verdana" w:hAnsi="Verdana"/>
          <w:sz w:val="16"/>
          <w:szCs w:val="16"/>
        </w:rPr>
        <w:t>ntegrada por los siguientes Jueces:</w:t>
      </w:r>
      <w:r>
        <w:rPr>
          <w:rFonts w:ascii="Verdana" w:hAnsi="Verdana"/>
          <w:sz w:val="16"/>
          <w:szCs w:val="16"/>
        </w:rPr>
        <w:t xml:space="preserve"> </w:t>
      </w:r>
      <w:r w:rsidRPr="00166F1C">
        <w:rPr>
          <w:rFonts w:ascii="Verdana" w:hAnsi="Verdana"/>
          <w:sz w:val="16"/>
          <w:szCs w:val="16"/>
        </w:rPr>
        <w:t>Humberto Antonio Sierra Porto, Presidente;</w:t>
      </w:r>
      <w:r>
        <w:rPr>
          <w:rFonts w:ascii="Verdana" w:hAnsi="Verdana"/>
          <w:sz w:val="16"/>
          <w:szCs w:val="16"/>
        </w:rPr>
        <w:t xml:space="preserve"> </w:t>
      </w:r>
      <w:r w:rsidRPr="00166F1C">
        <w:rPr>
          <w:rFonts w:ascii="Verdana" w:hAnsi="Verdana"/>
          <w:sz w:val="16"/>
          <w:szCs w:val="16"/>
        </w:rPr>
        <w:t>Roberto F. Caldas, Vicepresidente;</w:t>
      </w:r>
      <w:r>
        <w:rPr>
          <w:rFonts w:ascii="Verdana" w:hAnsi="Verdana"/>
          <w:sz w:val="16"/>
          <w:szCs w:val="16"/>
        </w:rPr>
        <w:t xml:space="preserve"> </w:t>
      </w:r>
      <w:r w:rsidRPr="00166F1C">
        <w:rPr>
          <w:rFonts w:ascii="Verdana" w:hAnsi="Verdana"/>
          <w:sz w:val="16"/>
          <w:szCs w:val="16"/>
        </w:rPr>
        <w:t>Manuel E. Ventura Robles, Juez;</w:t>
      </w:r>
      <w:r>
        <w:rPr>
          <w:rFonts w:ascii="Verdana" w:hAnsi="Verdana"/>
          <w:sz w:val="16"/>
          <w:szCs w:val="16"/>
        </w:rPr>
        <w:t xml:space="preserve"> </w:t>
      </w:r>
      <w:r w:rsidRPr="00166F1C">
        <w:rPr>
          <w:rFonts w:ascii="Verdana" w:hAnsi="Verdana"/>
          <w:sz w:val="16"/>
          <w:szCs w:val="16"/>
        </w:rPr>
        <w:t>Alberto Pérez Pérez, Juez;</w:t>
      </w:r>
      <w:r>
        <w:rPr>
          <w:rFonts w:ascii="Verdana" w:hAnsi="Verdana"/>
          <w:sz w:val="16"/>
          <w:szCs w:val="16"/>
        </w:rPr>
        <w:t xml:space="preserve"> </w:t>
      </w:r>
      <w:r w:rsidRPr="00166F1C">
        <w:rPr>
          <w:rFonts w:ascii="Verdana" w:hAnsi="Verdana"/>
          <w:sz w:val="16"/>
          <w:szCs w:val="16"/>
        </w:rPr>
        <w:t>Eduardo Vio Grossi, Juez, y</w:t>
      </w:r>
      <w:r>
        <w:rPr>
          <w:rFonts w:ascii="Verdana" w:hAnsi="Verdana"/>
          <w:sz w:val="16"/>
          <w:szCs w:val="16"/>
        </w:rPr>
        <w:t xml:space="preserve"> </w:t>
      </w:r>
      <w:r w:rsidRPr="00166F1C">
        <w:rPr>
          <w:rFonts w:ascii="Verdana" w:hAnsi="Verdana"/>
          <w:sz w:val="16"/>
          <w:szCs w:val="16"/>
          <w:lang w:val="pt-BR"/>
        </w:rPr>
        <w:t xml:space="preserve">Eduardo Ferrer Mac-Gregor Poisot, Juez. </w:t>
      </w:r>
      <w:r>
        <w:rPr>
          <w:rFonts w:ascii="Verdana" w:hAnsi="Verdana"/>
          <w:sz w:val="16"/>
          <w:szCs w:val="16"/>
        </w:rPr>
        <w:t>P</w:t>
      </w:r>
      <w:r w:rsidRPr="00265349">
        <w:rPr>
          <w:rFonts w:ascii="Verdana" w:hAnsi="Verdana"/>
          <w:sz w:val="16"/>
          <w:szCs w:val="16"/>
        </w:rPr>
        <w:t>resentes, además,</w:t>
      </w:r>
      <w:r>
        <w:rPr>
          <w:rFonts w:ascii="Verdana" w:hAnsi="Verdana"/>
          <w:sz w:val="16"/>
          <w:szCs w:val="16"/>
        </w:rPr>
        <w:t xml:space="preserve"> </w:t>
      </w:r>
      <w:r w:rsidRPr="00265349">
        <w:rPr>
          <w:rFonts w:ascii="Verdana" w:hAnsi="Verdana"/>
          <w:sz w:val="16"/>
          <w:szCs w:val="16"/>
        </w:rPr>
        <w:t>Pablo Saavedra Alessandri, Secretario, y</w:t>
      </w:r>
      <w:r>
        <w:rPr>
          <w:rFonts w:ascii="Verdana" w:hAnsi="Verdana"/>
          <w:sz w:val="16"/>
          <w:szCs w:val="16"/>
        </w:rPr>
        <w:t xml:space="preserve"> </w:t>
      </w:r>
      <w:r w:rsidRPr="00265349">
        <w:rPr>
          <w:rFonts w:ascii="Verdana" w:hAnsi="Verdana"/>
          <w:sz w:val="16"/>
          <w:szCs w:val="16"/>
        </w:rPr>
        <w:t>Emilia Segares Rodríguez, Secretaria Adjunta</w:t>
      </w:r>
      <w:r>
        <w:rPr>
          <w:rFonts w:ascii="Verdana" w:hAnsi="Verdana"/>
          <w:sz w:val="16"/>
          <w:szCs w:val="16"/>
        </w:rPr>
        <w:t xml:space="preserve">. </w:t>
      </w:r>
      <w:r w:rsidRPr="00C10CD3">
        <w:rPr>
          <w:rFonts w:ascii="Verdana" w:hAnsi="Verdana"/>
          <w:sz w:val="16"/>
          <w:szCs w:val="16"/>
        </w:rPr>
        <w:t xml:space="preserve">El Juez Diego García-Sayán, de nacionalidad peruana, </w:t>
      </w:r>
      <w:r w:rsidRPr="00E723E2">
        <w:rPr>
          <w:rFonts w:ascii="Verdana" w:hAnsi="Verdana"/>
          <w:sz w:val="16"/>
          <w:szCs w:val="16"/>
        </w:rPr>
        <w:t xml:space="preserve">no participó en la tramitación del presente caso ni en la deliberación y firma de </w:t>
      </w:r>
      <w:r>
        <w:rPr>
          <w:rFonts w:ascii="Verdana" w:hAnsi="Verdana"/>
          <w:sz w:val="16"/>
          <w:szCs w:val="16"/>
        </w:rPr>
        <w:t>la</w:t>
      </w:r>
      <w:r w:rsidRPr="00E723E2">
        <w:rPr>
          <w:rFonts w:ascii="Verdana" w:hAnsi="Verdana"/>
          <w:sz w:val="16"/>
          <w:szCs w:val="16"/>
        </w:rPr>
        <w:t xml:space="preserve"> Sentencia</w:t>
      </w:r>
      <w:r w:rsidRPr="00C10CD3">
        <w:rPr>
          <w:rFonts w:ascii="Verdana" w:hAnsi="Verdana"/>
          <w:sz w:val="16"/>
          <w:szCs w:val="16"/>
        </w:rPr>
        <w:t xml:space="preserve">, de conformidad con lo dispuesto en </w:t>
      </w:r>
      <w:r>
        <w:rPr>
          <w:rFonts w:ascii="Verdana" w:hAnsi="Verdana"/>
          <w:sz w:val="16"/>
          <w:szCs w:val="16"/>
        </w:rPr>
        <w:t>e</w:t>
      </w:r>
      <w:r w:rsidRPr="00C10CD3">
        <w:rPr>
          <w:rFonts w:ascii="Verdana" w:hAnsi="Verdana"/>
          <w:sz w:val="16"/>
          <w:szCs w:val="16"/>
        </w:rPr>
        <w:t>l artículo 19.1 del Reglamento de la Cort</w:t>
      </w:r>
      <w:r>
        <w:rPr>
          <w:rFonts w:ascii="Verdana" w:hAnsi="Verdana"/>
          <w:sz w:val="16"/>
          <w:szCs w:val="16"/>
        </w:rPr>
        <w: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454BD"/>
    <w:multiLevelType w:val="hybridMultilevel"/>
    <w:tmpl w:val="A69E74C8"/>
    <w:lvl w:ilvl="0" w:tplc="77F804F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7CE64D32"/>
    <w:multiLevelType w:val="hybridMultilevel"/>
    <w:tmpl w:val="126063DC"/>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6F1C"/>
    <w:rsid w:val="00007652"/>
    <w:rsid w:val="0002287B"/>
    <w:rsid w:val="00056BB8"/>
    <w:rsid w:val="0008786C"/>
    <w:rsid w:val="00097FA7"/>
    <w:rsid w:val="000C416F"/>
    <w:rsid w:val="000D5539"/>
    <w:rsid w:val="000F0C88"/>
    <w:rsid w:val="000F2DAA"/>
    <w:rsid w:val="00125270"/>
    <w:rsid w:val="00166F1C"/>
    <w:rsid w:val="001A1917"/>
    <w:rsid w:val="001B6A1D"/>
    <w:rsid w:val="001D2D0C"/>
    <w:rsid w:val="001F7AD3"/>
    <w:rsid w:val="00200753"/>
    <w:rsid w:val="002363B0"/>
    <w:rsid w:val="002759D1"/>
    <w:rsid w:val="0028281B"/>
    <w:rsid w:val="00287F75"/>
    <w:rsid w:val="002A0CE6"/>
    <w:rsid w:val="002A1893"/>
    <w:rsid w:val="002C6970"/>
    <w:rsid w:val="002E3D68"/>
    <w:rsid w:val="003A3F2C"/>
    <w:rsid w:val="003B2363"/>
    <w:rsid w:val="003C038D"/>
    <w:rsid w:val="003E6207"/>
    <w:rsid w:val="003F69BE"/>
    <w:rsid w:val="004456C6"/>
    <w:rsid w:val="00451D3A"/>
    <w:rsid w:val="00455538"/>
    <w:rsid w:val="00474374"/>
    <w:rsid w:val="004E2329"/>
    <w:rsid w:val="0051563A"/>
    <w:rsid w:val="0052568A"/>
    <w:rsid w:val="00551328"/>
    <w:rsid w:val="005524AE"/>
    <w:rsid w:val="005C3D69"/>
    <w:rsid w:val="005C634E"/>
    <w:rsid w:val="005D123E"/>
    <w:rsid w:val="005E2733"/>
    <w:rsid w:val="006200D0"/>
    <w:rsid w:val="006330F4"/>
    <w:rsid w:val="006B7EB7"/>
    <w:rsid w:val="006F4B21"/>
    <w:rsid w:val="00736E24"/>
    <w:rsid w:val="00745125"/>
    <w:rsid w:val="007761FE"/>
    <w:rsid w:val="0078592B"/>
    <w:rsid w:val="00792CA5"/>
    <w:rsid w:val="007E6BA9"/>
    <w:rsid w:val="00802CE5"/>
    <w:rsid w:val="00810293"/>
    <w:rsid w:val="00810E60"/>
    <w:rsid w:val="00826FDC"/>
    <w:rsid w:val="00857A3F"/>
    <w:rsid w:val="008749A0"/>
    <w:rsid w:val="008B4887"/>
    <w:rsid w:val="008B7BE6"/>
    <w:rsid w:val="008E11DC"/>
    <w:rsid w:val="008E55BE"/>
    <w:rsid w:val="008F3F7A"/>
    <w:rsid w:val="00923C53"/>
    <w:rsid w:val="009632C6"/>
    <w:rsid w:val="00A2113D"/>
    <w:rsid w:val="00A27EF7"/>
    <w:rsid w:val="00A824B8"/>
    <w:rsid w:val="00A912A2"/>
    <w:rsid w:val="00AE633D"/>
    <w:rsid w:val="00AF7458"/>
    <w:rsid w:val="00B355EB"/>
    <w:rsid w:val="00B42FBC"/>
    <w:rsid w:val="00B53CE0"/>
    <w:rsid w:val="00B54E9C"/>
    <w:rsid w:val="00B83524"/>
    <w:rsid w:val="00BA39BD"/>
    <w:rsid w:val="00BA66F3"/>
    <w:rsid w:val="00BD45D6"/>
    <w:rsid w:val="00C00C60"/>
    <w:rsid w:val="00C14399"/>
    <w:rsid w:val="00C32660"/>
    <w:rsid w:val="00C610F4"/>
    <w:rsid w:val="00CA3B49"/>
    <w:rsid w:val="00CD4EEA"/>
    <w:rsid w:val="00CF76DA"/>
    <w:rsid w:val="00D023FD"/>
    <w:rsid w:val="00D42558"/>
    <w:rsid w:val="00D50B22"/>
    <w:rsid w:val="00D55B05"/>
    <w:rsid w:val="00D57299"/>
    <w:rsid w:val="00D61BEF"/>
    <w:rsid w:val="00D97B4A"/>
    <w:rsid w:val="00DB1485"/>
    <w:rsid w:val="00DB487D"/>
    <w:rsid w:val="00DB78A0"/>
    <w:rsid w:val="00DC7C7F"/>
    <w:rsid w:val="00DD663E"/>
    <w:rsid w:val="00DE0D50"/>
    <w:rsid w:val="00DE2F70"/>
    <w:rsid w:val="00E07D29"/>
    <w:rsid w:val="00E07F17"/>
    <w:rsid w:val="00E13273"/>
    <w:rsid w:val="00E13D58"/>
    <w:rsid w:val="00E73539"/>
    <w:rsid w:val="00EB0052"/>
    <w:rsid w:val="00F23340"/>
    <w:rsid w:val="00F7258F"/>
    <w:rsid w:val="00F971A8"/>
    <w:rsid w:val="00FA0FA0"/>
    <w:rsid w:val="00FA42CF"/>
    <w:rsid w:val="00FD5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1C"/>
    <w:rPr>
      <w:rFonts w:ascii="Calibri" w:eastAsia="Calibri" w:hAnsi="Calibri" w:cs="Times New Roman"/>
    </w:rPr>
  </w:style>
  <w:style w:type="paragraph" w:styleId="Heading2">
    <w:name w:val="heading 2"/>
    <w:basedOn w:val="Normal"/>
    <w:next w:val="Normal"/>
    <w:link w:val="Heading2Char1"/>
    <w:uiPriority w:val="9"/>
    <w:semiHidden/>
    <w:unhideWhenUsed/>
    <w:qFormat/>
    <w:rsid w:val="00DD6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166F1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66F1C"/>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qFormat/>
    <w:rsid w:val="00166F1C"/>
    <w:rPr>
      <w:vertAlign w:val="superscript"/>
    </w:rPr>
  </w:style>
  <w:style w:type="paragraph" w:styleId="ListParagraph">
    <w:name w:val="List Paragraph"/>
    <w:aliases w:val="Colorful List - Accent 11,Párrafo de lista1"/>
    <w:basedOn w:val="Normal"/>
    <w:link w:val="ListParagraphChar"/>
    <w:uiPriority w:val="99"/>
    <w:qFormat/>
    <w:rsid w:val="00A824B8"/>
    <w:pPr>
      <w:ind w:left="720"/>
      <w:contextualSpacing/>
    </w:pPr>
  </w:style>
  <w:style w:type="character" w:customStyle="1" w:styleId="ListParagraphChar">
    <w:name w:val="List Paragraph Char"/>
    <w:aliases w:val="Colorful List - Accent 11 Char,Párrafo de lista1 Char"/>
    <w:basedOn w:val="DefaultParagraphFont"/>
    <w:link w:val="ListParagraph"/>
    <w:uiPriority w:val="99"/>
    <w:rsid w:val="00A824B8"/>
    <w:rPr>
      <w:rFonts w:ascii="Calibri" w:eastAsia="Calibri" w:hAnsi="Calibri" w:cs="Times New Roman"/>
    </w:rPr>
  </w:style>
  <w:style w:type="paragraph" w:customStyle="1" w:styleId="Prrafodelista2">
    <w:name w:val="Párrafo de lista2"/>
    <w:basedOn w:val="Normal"/>
    <w:uiPriority w:val="99"/>
    <w:rsid w:val="006330F4"/>
    <w:pPr>
      <w:spacing w:after="0" w:line="240" w:lineRule="auto"/>
      <w:ind w:left="720"/>
    </w:pPr>
    <w:rPr>
      <w:rFonts w:ascii="Verdana" w:eastAsia="MS Mincho" w:hAnsi="Verdana"/>
      <w:sz w:val="20"/>
      <w:szCs w:val="20"/>
      <w:lang w:val="es-ES_tradnl"/>
    </w:rPr>
  </w:style>
  <w:style w:type="character" w:customStyle="1" w:styleId="Heading2Char">
    <w:name w:val="Heading 2 Char"/>
    <w:basedOn w:val="DefaultParagraphFont"/>
    <w:uiPriority w:val="9"/>
    <w:semiHidden/>
    <w:rsid w:val="00DD663E"/>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semiHidden/>
    <w:rsid w:val="00DD66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C416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0C416F"/>
    <w:rPr>
      <w:rFonts w:ascii="Calibri" w:eastAsia="Calibri" w:hAnsi="Calibri" w:cs="Times New Roman"/>
    </w:rPr>
  </w:style>
  <w:style w:type="paragraph" w:styleId="Footer">
    <w:name w:val="footer"/>
    <w:basedOn w:val="Normal"/>
    <w:link w:val="FooterChar"/>
    <w:uiPriority w:val="99"/>
    <w:unhideWhenUsed/>
    <w:rsid w:val="000C41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416F"/>
    <w:rPr>
      <w:rFonts w:ascii="Calibri" w:eastAsia="Calibri" w:hAnsi="Calibri" w:cs="Times New Roman"/>
    </w:rPr>
  </w:style>
  <w:style w:type="paragraph" w:customStyle="1" w:styleId="Default">
    <w:name w:val="Default"/>
    <w:rsid w:val="00DE0D50"/>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styleId="BalloonText">
    <w:name w:val="Balloon Text"/>
    <w:basedOn w:val="Normal"/>
    <w:link w:val="BalloonTextChar"/>
    <w:uiPriority w:val="99"/>
    <w:semiHidden/>
    <w:unhideWhenUsed/>
    <w:rsid w:val="00AF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35120-96BE-4E6D-80BA-462E6832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6874</Words>
  <Characters>37807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2015-06-29T16:52:00Z</cp:lastPrinted>
  <dcterms:created xsi:type="dcterms:W3CDTF">2015-06-29T19:10:00Z</dcterms:created>
  <dcterms:modified xsi:type="dcterms:W3CDTF">2015-06-29T19:10:00Z</dcterms:modified>
</cp:coreProperties>
</file>