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60DA" w14:textId="11DC4DDF" w:rsidR="007A4320" w:rsidRDefault="007A4320" w:rsidP="007A4320">
      <w:pPr>
        <w:rPr>
          <w:rFonts w:ascii="Verdana" w:eastAsia="Helvetica" w:hAnsi="Verdana"/>
          <w:b/>
          <w:color w:val="000000"/>
          <w:sz w:val="20"/>
          <w:szCs w:val="20"/>
        </w:rPr>
      </w:pPr>
    </w:p>
    <w:p w14:paraId="4BA42EDD" w14:textId="74A6BFBB" w:rsidR="00E921C1" w:rsidRDefault="00E921C1" w:rsidP="007A4320">
      <w:pPr>
        <w:rPr>
          <w:rFonts w:ascii="Verdana" w:eastAsia="Helvetica" w:hAnsi="Verdana"/>
          <w:b/>
          <w:color w:val="000000"/>
          <w:sz w:val="20"/>
          <w:szCs w:val="20"/>
        </w:rPr>
      </w:pPr>
    </w:p>
    <w:p w14:paraId="3C1654E8" w14:textId="3FC41861" w:rsidR="00E921C1" w:rsidRDefault="00E921C1" w:rsidP="007A4320">
      <w:pPr>
        <w:rPr>
          <w:rFonts w:ascii="Verdana" w:eastAsia="Helvetica" w:hAnsi="Verdana"/>
          <w:b/>
          <w:color w:val="000000"/>
          <w:sz w:val="20"/>
          <w:szCs w:val="20"/>
        </w:rPr>
      </w:pPr>
    </w:p>
    <w:p w14:paraId="60E821BF" w14:textId="4463746D" w:rsidR="00E921C1" w:rsidRDefault="00E921C1" w:rsidP="007A4320">
      <w:pPr>
        <w:rPr>
          <w:rFonts w:ascii="Verdana" w:eastAsia="Helvetica" w:hAnsi="Verdana"/>
          <w:b/>
          <w:color w:val="000000"/>
          <w:sz w:val="20"/>
          <w:szCs w:val="20"/>
        </w:rPr>
      </w:pPr>
    </w:p>
    <w:p w14:paraId="367663D9" w14:textId="43C8B034" w:rsidR="00E921C1" w:rsidRDefault="00E921C1" w:rsidP="007A4320"/>
    <w:p w14:paraId="051C9003" w14:textId="33CD83C1" w:rsidR="00440418" w:rsidRDefault="00440418" w:rsidP="007A4320"/>
    <w:p w14:paraId="6E445395" w14:textId="77777777" w:rsidR="00440418" w:rsidRPr="00440418" w:rsidRDefault="00440418" w:rsidP="007A4320">
      <w:pPr>
        <w:rPr>
          <w:u w:val="single"/>
        </w:rPr>
      </w:pPr>
      <w:bookmarkStart w:id="0" w:name="_GoBack"/>
      <w:bookmarkEnd w:id="0"/>
    </w:p>
    <w:p w14:paraId="57A08747" w14:textId="77777777" w:rsidR="007A4320" w:rsidRPr="00387D3A" w:rsidRDefault="007A4320" w:rsidP="007A4320">
      <w:pPr>
        <w:jc w:val="center"/>
        <w:rPr>
          <w:rFonts w:ascii="Verdana" w:hAnsi="Verdana" w:cs="Verdana"/>
          <w:b/>
          <w:bCs/>
          <w:caps/>
          <w:snapToGrid w:val="0"/>
          <w:sz w:val="20"/>
          <w:szCs w:val="20"/>
          <w:lang w:eastAsia="es-ES"/>
        </w:rPr>
      </w:pPr>
      <w:r w:rsidRPr="00387D3A">
        <w:rPr>
          <w:rFonts w:ascii="Verdana" w:hAnsi="Verdana" w:cs="Verdana"/>
          <w:b/>
          <w:bCs/>
          <w:snapToGrid w:val="0"/>
          <w:sz w:val="20"/>
          <w:szCs w:val="20"/>
          <w:lang w:eastAsia="es-ES"/>
        </w:rPr>
        <w:t>CORTE INTERAMERICANA DE DERECHOS HUMANOS</w:t>
      </w:r>
      <w:r w:rsidRPr="00387D3A">
        <w:rPr>
          <w:rStyle w:val="Refdenotaalpie"/>
          <w:b/>
          <w:snapToGrid w:val="0"/>
        </w:rPr>
        <w:footnoteReference w:customMarkFollows="1" w:id="2"/>
        <w:sym w:font="Symbol" w:char="F02A"/>
      </w:r>
    </w:p>
    <w:p w14:paraId="447280D7" w14:textId="77777777" w:rsidR="007A4320" w:rsidRPr="00387D3A" w:rsidRDefault="007A4320" w:rsidP="007A4320">
      <w:pPr>
        <w:pStyle w:val="Body1"/>
        <w:rPr>
          <w:rFonts w:ascii="Verdana" w:hAnsi="Verdana"/>
          <w:lang w:val="es-CR"/>
        </w:rPr>
      </w:pPr>
    </w:p>
    <w:p w14:paraId="77C58DF8" w14:textId="77777777" w:rsidR="007A4320" w:rsidRPr="002964A7" w:rsidRDefault="007A4320" w:rsidP="007A4320">
      <w:pPr>
        <w:autoSpaceDE w:val="0"/>
        <w:autoSpaceDN w:val="0"/>
        <w:adjustRightInd w:val="0"/>
        <w:jc w:val="center"/>
        <w:outlineLvl w:val="0"/>
        <w:rPr>
          <w:rFonts w:ascii="Verdana" w:hAnsi="Verdana" w:cs="Verdana"/>
          <w:b/>
          <w:bCs/>
          <w:sz w:val="20"/>
          <w:szCs w:val="20"/>
        </w:rPr>
      </w:pPr>
      <w:bookmarkStart w:id="1" w:name="_Toc421548990"/>
      <w:bookmarkStart w:id="2" w:name="_Toc421549279"/>
      <w:bookmarkStart w:id="3" w:name="_Toc421864916"/>
      <w:bookmarkStart w:id="4" w:name="_Toc423102497"/>
      <w:r w:rsidRPr="002964A7">
        <w:rPr>
          <w:rFonts w:ascii="Verdana" w:hAnsi="Verdana" w:cs="Verdana"/>
          <w:b/>
          <w:bCs/>
          <w:sz w:val="20"/>
          <w:szCs w:val="20"/>
        </w:rPr>
        <w:t>CASO COMUNIDAD CAMPESINA DE SANTA B</w:t>
      </w:r>
      <w:r w:rsidRPr="002964A7">
        <w:rPr>
          <w:rFonts w:ascii="Verdana" w:hAnsi="Verdana" w:cs="Verdana"/>
          <w:b/>
          <w:bCs/>
          <w:sz w:val="20"/>
          <w:szCs w:val="20"/>
          <w:lang w:val="pt-BR"/>
        </w:rPr>
        <w:t xml:space="preserve">ÁRBARA </w:t>
      </w:r>
      <w:r w:rsidRPr="002964A7">
        <w:rPr>
          <w:rFonts w:ascii="Verdana" w:hAnsi="Verdana" w:cs="Verdana"/>
          <w:b/>
          <w:bCs/>
          <w:i/>
          <w:iCs/>
          <w:sz w:val="20"/>
          <w:szCs w:val="20"/>
        </w:rPr>
        <w:t xml:space="preserve">VS. </w:t>
      </w:r>
      <w:r w:rsidRPr="002964A7">
        <w:rPr>
          <w:rFonts w:ascii="Verdana" w:hAnsi="Verdana" w:cs="Verdana"/>
          <w:b/>
          <w:bCs/>
          <w:sz w:val="20"/>
          <w:szCs w:val="20"/>
        </w:rPr>
        <w:t>PERÚ</w:t>
      </w:r>
      <w:bookmarkEnd w:id="1"/>
      <w:bookmarkEnd w:id="2"/>
      <w:bookmarkEnd w:id="3"/>
      <w:bookmarkEnd w:id="4"/>
    </w:p>
    <w:p w14:paraId="70E46970" w14:textId="77777777" w:rsidR="007A4320" w:rsidRPr="002964A7" w:rsidRDefault="007A4320" w:rsidP="007A4320">
      <w:pPr>
        <w:ind w:right="-799"/>
        <w:outlineLvl w:val="0"/>
        <w:rPr>
          <w:rFonts w:ascii="Verdana" w:hAnsi="Verdana"/>
          <w:b/>
          <w:spacing w:val="-2"/>
          <w:sz w:val="20"/>
          <w:szCs w:val="20"/>
        </w:rPr>
      </w:pPr>
    </w:p>
    <w:p w14:paraId="05ADE1C1" w14:textId="77777777" w:rsidR="007A4320" w:rsidRPr="002964A7" w:rsidRDefault="007A4320" w:rsidP="007A4320">
      <w:pPr>
        <w:ind w:left="-142" w:right="-799"/>
        <w:jc w:val="center"/>
        <w:rPr>
          <w:rFonts w:ascii="Verdana" w:hAnsi="Verdana"/>
          <w:b/>
          <w:spacing w:val="-2"/>
          <w:sz w:val="20"/>
          <w:szCs w:val="20"/>
        </w:rPr>
      </w:pPr>
      <w:r w:rsidRPr="002964A7">
        <w:rPr>
          <w:rFonts w:ascii="Verdana" w:hAnsi="Verdana"/>
          <w:b/>
          <w:spacing w:val="-2"/>
          <w:sz w:val="20"/>
          <w:szCs w:val="20"/>
        </w:rPr>
        <w:t xml:space="preserve">SENTENCIA DE </w:t>
      </w:r>
      <w:r>
        <w:rPr>
          <w:rFonts w:ascii="Verdana" w:hAnsi="Verdana"/>
          <w:b/>
          <w:spacing w:val="-2"/>
          <w:sz w:val="20"/>
          <w:szCs w:val="20"/>
        </w:rPr>
        <w:t>1 DE SEPTIEMBRE DE</w:t>
      </w:r>
      <w:r w:rsidRPr="002964A7">
        <w:rPr>
          <w:rFonts w:ascii="Verdana" w:hAnsi="Verdana"/>
          <w:b/>
          <w:spacing w:val="-2"/>
          <w:sz w:val="20"/>
          <w:szCs w:val="20"/>
        </w:rPr>
        <w:t xml:space="preserve"> 2015</w:t>
      </w:r>
    </w:p>
    <w:p w14:paraId="7ABA6A86" w14:textId="77777777" w:rsidR="007A4320" w:rsidRPr="002964A7" w:rsidRDefault="007A4320" w:rsidP="007A4320">
      <w:pPr>
        <w:ind w:left="-142" w:right="-799"/>
        <w:jc w:val="center"/>
        <w:rPr>
          <w:rFonts w:ascii="Verdana" w:hAnsi="Verdana"/>
          <w:b/>
          <w:spacing w:val="-2"/>
          <w:sz w:val="20"/>
          <w:szCs w:val="20"/>
        </w:rPr>
      </w:pPr>
      <w:r w:rsidRPr="002964A7">
        <w:rPr>
          <w:rFonts w:ascii="Verdana" w:hAnsi="Verdana"/>
          <w:b/>
          <w:i/>
          <w:spacing w:val="-2"/>
          <w:sz w:val="20"/>
          <w:szCs w:val="20"/>
        </w:rPr>
        <w:t>(Excepciones Preliminares, Fondo, Reparaciones y Costas</w:t>
      </w:r>
      <w:r w:rsidRPr="002964A7">
        <w:rPr>
          <w:rFonts w:ascii="Verdana" w:hAnsi="Verdana"/>
          <w:b/>
          <w:spacing w:val="-2"/>
          <w:sz w:val="20"/>
          <w:szCs w:val="20"/>
        </w:rPr>
        <w:t>)</w:t>
      </w:r>
    </w:p>
    <w:p w14:paraId="5C958679" w14:textId="77777777" w:rsidR="007A4320" w:rsidRPr="00387D3A" w:rsidRDefault="007A4320" w:rsidP="007A4320">
      <w:pPr>
        <w:jc w:val="center"/>
        <w:rPr>
          <w:rFonts w:ascii="Verdana" w:hAnsi="Verdana" w:cs="Verdana"/>
          <w:b/>
          <w:bCs/>
          <w:snapToGrid w:val="0"/>
          <w:sz w:val="20"/>
          <w:szCs w:val="20"/>
          <w:lang w:eastAsia="es-ES"/>
        </w:rPr>
      </w:pPr>
    </w:p>
    <w:p w14:paraId="6F54AA18" w14:textId="77777777" w:rsidR="007A4320" w:rsidRPr="00387D3A" w:rsidRDefault="007A4320" w:rsidP="007A4320">
      <w:pPr>
        <w:jc w:val="center"/>
        <w:rPr>
          <w:rFonts w:ascii="Verdana" w:hAnsi="Verdana" w:cs="Verdana"/>
          <w:b/>
          <w:bCs/>
          <w:caps/>
          <w:snapToGrid w:val="0"/>
          <w:sz w:val="20"/>
          <w:szCs w:val="20"/>
          <w:lang w:eastAsia="es-ES"/>
        </w:rPr>
      </w:pPr>
      <w:r w:rsidRPr="00387D3A">
        <w:rPr>
          <w:rFonts w:ascii="Verdana" w:hAnsi="Verdana" w:cs="Verdana"/>
          <w:b/>
          <w:bCs/>
          <w:snapToGrid w:val="0"/>
          <w:sz w:val="20"/>
          <w:szCs w:val="20"/>
          <w:lang w:eastAsia="es-ES"/>
        </w:rPr>
        <w:t>RESUMEN OFICIAL EMITIDO POR LA CORTE INTERAMERICANA</w:t>
      </w:r>
    </w:p>
    <w:p w14:paraId="1E0E4844" w14:textId="77777777" w:rsidR="00840B67" w:rsidRDefault="00840B67"/>
    <w:p w14:paraId="24F721C3" w14:textId="77777777" w:rsidR="00781C3A" w:rsidRDefault="007A4320" w:rsidP="007A4320">
      <w:pPr>
        <w:pStyle w:val="PrrafodeSentencia"/>
        <w:spacing w:before="0" w:after="0"/>
        <w:rPr>
          <w:color w:val="000000" w:themeColor="text1"/>
          <w:spacing w:val="-2"/>
          <w:lang w:val="es-CR" w:eastAsia="es-CR"/>
        </w:rPr>
      </w:pPr>
      <w:r w:rsidRPr="002F6F31">
        <w:rPr>
          <w:lang w:val="es-CR"/>
        </w:rPr>
        <w:t xml:space="preserve">El </w:t>
      </w:r>
      <w:r>
        <w:rPr>
          <w:lang w:val="es-CR"/>
        </w:rPr>
        <w:t>1</w:t>
      </w:r>
      <w:r w:rsidRPr="002F6F31">
        <w:rPr>
          <w:lang w:val="es-CR"/>
        </w:rPr>
        <w:t xml:space="preserve"> de </w:t>
      </w:r>
      <w:r>
        <w:rPr>
          <w:lang w:val="es-CR"/>
        </w:rPr>
        <w:t>septiem</w:t>
      </w:r>
      <w:r w:rsidRPr="002F6F31">
        <w:rPr>
          <w:lang w:val="es-CR"/>
        </w:rPr>
        <w:t>bre de 201</w:t>
      </w:r>
      <w:r>
        <w:rPr>
          <w:lang w:val="es-CR"/>
        </w:rPr>
        <w:t>5</w:t>
      </w:r>
      <w:r w:rsidRPr="002F6F31">
        <w:rPr>
          <w:lang w:val="es-CR"/>
        </w:rPr>
        <w:t xml:space="preserve"> la Corte Interamericana de Derechos Humanos dictó Sentencia, mediante la cual declaró responsable internacionalmente al Estado del Perú </w:t>
      </w:r>
      <w:r w:rsidR="00A9379A" w:rsidRPr="00A9379A">
        <w:rPr>
          <w:rFonts w:eastAsiaTheme="minorHAnsi" w:cs="Verdana"/>
          <w:color w:val="000000"/>
          <w:lang w:val="es-EC" w:eastAsia="en-US"/>
        </w:rPr>
        <w:t xml:space="preserve">por las desapariciones forzadas de </w:t>
      </w:r>
      <w:r w:rsidR="00886797" w:rsidRPr="0034255F">
        <w:rPr>
          <w:lang w:val="es-GT"/>
        </w:rPr>
        <w:t xml:space="preserve">Yesenia </w:t>
      </w:r>
      <w:r w:rsidR="00886797" w:rsidRPr="0034255F">
        <w:rPr>
          <w:rFonts w:cs="Arial"/>
          <w:lang w:val="es-GT"/>
        </w:rPr>
        <w:t>Osnayo Hilario</w:t>
      </w:r>
      <w:r w:rsidR="00886797" w:rsidRPr="0034255F">
        <w:rPr>
          <w:lang w:val="es-GT"/>
        </w:rPr>
        <w:t xml:space="preserve">, Miriam </w:t>
      </w:r>
      <w:r w:rsidR="00886797" w:rsidRPr="0034255F">
        <w:rPr>
          <w:rFonts w:cs="Arial"/>
          <w:lang w:val="es-GT"/>
        </w:rPr>
        <w:t>Osnayo Hilario,</w:t>
      </w:r>
      <w:r w:rsidR="00886797" w:rsidRPr="0034255F">
        <w:rPr>
          <w:lang w:val="es-GT"/>
        </w:rPr>
        <w:t xml:space="preserve"> </w:t>
      </w:r>
      <w:r w:rsidR="00886797" w:rsidRPr="0034255F">
        <w:rPr>
          <w:rFonts w:cs="Arial"/>
          <w:lang w:val="es-GT"/>
        </w:rPr>
        <w:t>Edith Osnayo Hilario</w:t>
      </w:r>
      <w:r w:rsidR="00886797" w:rsidRPr="0034255F">
        <w:rPr>
          <w:lang w:val="es-GT"/>
        </w:rPr>
        <w:t>, Wilmer Hilario Carhuapoma, Alex Jorge Hilario, Raúl Hilario Guillén, Héctor Hilario Guillén, Francisco Hilario Torres</w:t>
      </w:r>
      <w:r w:rsidR="00886797" w:rsidRPr="0034255F">
        <w:t xml:space="preserve">, </w:t>
      </w:r>
      <w:r w:rsidR="00886797" w:rsidRPr="0034255F">
        <w:rPr>
          <w:lang w:val="es-GT"/>
        </w:rPr>
        <w:t>Mercedes Carhuapoma de la Cruz</w:t>
      </w:r>
      <w:r w:rsidR="00886797" w:rsidRPr="0034255F">
        <w:rPr>
          <w:rFonts w:cs="Arial"/>
          <w:lang w:val="es-GT"/>
        </w:rPr>
        <w:t>,</w:t>
      </w:r>
      <w:r w:rsidR="00886797" w:rsidRPr="0034255F">
        <w:rPr>
          <w:lang w:val="es-GT"/>
        </w:rPr>
        <w:t xml:space="preserve"> Dionicia Quispe Ma</w:t>
      </w:r>
      <w:r w:rsidR="00886797">
        <w:rPr>
          <w:lang w:val="es-GT"/>
        </w:rPr>
        <w:t>ll</w:t>
      </w:r>
      <w:r w:rsidR="00886797" w:rsidRPr="0034255F">
        <w:rPr>
          <w:lang w:val="es-GT"/>
        </w:rPr>
        <w:t xml:space="preserve">qui, Antonia Hilario Quispe, Magdalena Hilario Quispe, </w:t>
      </w:r>
      <w:r w:rsidR="00886797" w:rsidRPr="0034255F">
        <w:rPr>
          <w:rFonts w:cs="Arial"/>
          <w:lang w:val="es-GT"/>
        </w:rPr>
        <w:t>Dionicia Guillén Riveros</w:t>
      </w:r>
      <w:r w:rsidR="00E56386">
        <w:rPr>
          <w:lang w:val="es-GT"/>
        </w:rPr>
        <w:t xml:space="preserve"> y</w:t>
      </w:r>
      <w:r w:rsidR="00886797" w:rsidRPr="0034255F">
        <w:rPr>
          <w:lang w:val="es-GT"/>
        </w:rPr>
        <w:t xml:space="preserve"> Ramón Hilario Morán</w:t>
      </w:r>
      <w:r w:rsidR="00EE7FFC">
        <w:rPr>
          <w:lang w:val="es-GT"/>
        </w:rPr>
        <w:t xml:space="preserve">, </w:t>
      </w:r>
      <w:r w:rsidR="006B529B">
        <w:rPr>
          <w:lang w:val="es-GT"/>
        </w:rPr>
        <w:t xml:space="preserve">todos ellos </w:t>
      </w:r>
      <w:r w:rsidR="00EE7FFC">
        <w:rPr>
          <w:lang w:val="es-GT"/>
        </w:rPr>
        <w:t>miembros de dos grupos familiares,</w:t>
      </w:r>
      <w:r w:rsidR="00886797" w:rsidRPr="0034255F">
        <w:rPr>
          <w:lang w:val="es-GT"/>
        </w:rPr>
        <w:t xml:space="preserve"> y </w:t>
      </w:r>
      <w:r w:rsidR="00E56386">
        <w:rPr>
          <w:lang w:val="es-GT"/>
        </w:rPr>
        <w:t xml:space="preserve">de </w:t>
      </w:r>
      <w:r w:rsidR="00886797" w:rsidRPr="0034255F">
        <w:rPr>
          <w:lang w:val="es-GT"/>
        </w:rPr>
        <w:t>Elihoref Huamaní Vergara</w:t>
      </w:r>
      <w:r w:rsidR="00886797">
        <w:rPr>
          <w:lang w:val="es-GT"/>
        </w:rPr>
        <w:t xml:space="preserve">. </w:t>
      </w:r>
      <w:r w:rsidR="00781C3A">
        <w:rPr>
          <w:rFonts w:eastAsiaTheme="minorHAnsi" w:cs="Verdana"/>
          <w:color w:val="000000"/>
          <w:lang w:val="es-EC" w:eastAsia="en-US"/>
        </w:rPr>
        <w:t>Al respecto</w:t>
      </w:r>
      <w:r w:rsidR="00A9379A" w:rsidRPr="00A9379A">
        <w:rPr>
          <w:rFonts w:eastAsiaTheme="minorHAnsi" w:cs="Verdana"/>
          <w:color w:val="000000"/>
          <w:lang w:val="es-EC" w:eastAsia="en-US"/>
        </w:rPr>
        <w:t>, el Estado fue declarado internacionalmente responsable por</w:t>
      </w:r>
      <w:r w:rsidR="00A9379A">
        <w:rPr>
          <w:lang w:val="es-CR"/>
        </w:rPr>
        <w:t xml:space="preserve"> </w:t>
      </w:r>
      <w:r w:rsidRPr="002F6F31">
        <w:rPr>
          <w:lang w:val="es-CR"/>
        </w:rPr>
        <w:t xml:space="preserve">la </w:t>
      </w:r>
      <w:r w:rsidRPr="002F6F31">
        <w:rPr>
          <w:rFonts w:cs="Times"/>
          <w:color w:val="000000" w:themeColor="text1"/>
          <w:spacing w:val="-2"/>
          <w:lang w:val="es-CR"/>
        </w:rPr>
        <w:t xml:space="preserve">violación de los </w:t>
      </w:r>
      <w:r w:rsidRPr="002F6F31">
        <w:rPr>
          <w:spacing w:val="-2"/>
          <w:lang w:val="es-CR"/>
        </w:rPr>
        <w:t>derechos</w:t>
      </w:r>
      <w:r w:rsidRPr="002F6F31">
        <w:rPr>
          <w:rFonts w:cs="Times"/>
          <w:color w:val="000000" w:themeColor="text1"/>
          <w:spacing w:val="-2"/>
          <w:lang w:val="es-CR"/>
        </w:rPr>
        <w:t xml:space="preserve"> </w:t>
      </w:r>
      <w:r w:rsidRPr="001962DD">
        <w:rPr>
          <w:rFonts w:cs="Times"/>
          <w:color w:val="000000" w:themeColor="text1"/>
          <w:spacing w:val="-2"/>
          <w:lang w:val="es-CR"/>
        </w:rPr>
        <w:t>a la</w:t>
      </w:r>
      <w:r w:rsidRPr="001962DD">
        <w:rPr>
          <w:color w:val="000000" w:themeColor="text1"/>
          <w:spacing w:val="-2"/>
          <w:lang w:val="es-CR" w:eastAsia="es-CR"/>
        </w:rPr>
        <w:t xml:space="preserve"> libertad personal, </w:t>
      </w:r>
      <w:r w:rsidRPr="001962DD">
        <w:rPr>
          <w:color w:val="000000" w:themeColor="text1"/>
          <w:spacing w:val="-2"/>
          <w:lang w:val="es-CR"/>
        </w:rPr>
        <w:t xml:space="preserve">integridad personal, </w:t>
      </w:r>
      <w:r w:rsidR="001962DD" w:rsidRPr="001962DD">
        <w:rPr>
          <w:color w:val="000000" w:themeColor="text1"/>
          <w:spacing w:val="-2"/>
          <w:lang w:val="es-CR" w:eastAsia="es-ES"/>
        </w:rPr>
        <w:t>vida</w:t>
      </w:r>
      <w:r w:rsidRPr="001962DD">
        <w:rPr>
          <w:color w:val="000000" w:themeColor="text1"/>
          <w:spacing w:val="-2"/>
          <w:lang w:val="es-CR" w:eastAsia="es-ES"/>
        </w:rPr>
        <w:t>,</w:t>
      </w:r>
      <w:r w:rsidR="001962DD">
        <w:rPr>
          <w:color w:val="000000" w:themeColor="text1"/>
          <w:spacing w:val="-2"/>
          <w:lang w:val="es-CR" w:eastAsia="es-ES"/>
        </w:rPr>
        <w:t xml:space="preserve"> reconocimiento de la personalidad jurídica,</w:t>
      </w:r>
      <w:r w:rsidR="001962DD" w:rsidRPr="001962DD">
        <w:rPr>
          <w:color w:val="000000" w:themeColor="text1"/>
          <w:spacing w:val="-2"/>
          <w:lang w:val="es-CR" w:eastAsia="es-ES"/>
        </w:rPr>
        <w:t xml:space="preserve"> </w:t>
      </w:r>
      <w:r w:rsidR="001962DD" w:rsidRPr="001962DD">
        <w:rPr>
          <w:color w:val="000000" w:themeColor="text1"/>
          <w:spacing w:val="-2"/>
          <w:lang w:val="es-CR"/>
        </w:rPr>
        <w:t>garantías judiciales</w:t>
      </w:r>
      <w:r w:rsidR="006C1920">
        <w:rPr>
          <w:color w:val="000000" w:themeColor="text1"/>
          <w:spacing w:val="-2"/>
          <w:lang w:val="es-CR"/>
        </w:rPr>
        <w:t xml:space="preserve"> y</w:t>
      </w:r>
      <w:r w:rsidRPr="001962DD">
        <w:rPr>
          <w:color w:val="000000" w:themeColor="text1"/>
          <w:spacing w:val="-2"/>
          <w:lang w:val="es-CR"/>
        </w:rPr>
        <w:t xml:space="preserve"> protección judicial</w:t>
      </w:r>
      <w:r w:rsidRPr="001962DD">
        <w:rPr>
          <w:rFonts w:cs="Consolas"/>
          <w:spacing w:val="-2"/>
          <w:lang w:val="es-CR"/>
        </w:rPr>
        <w:t>, todos</w:t>
      </w:r>
      <w:r w:rsidRPr="001962DD">
        <w:rPr>
          <w:color w:val="000000" w:themeColor="text1"/>
          <w:spacing w:val="-2"/>
          <w:lang w:val="es-CR" w:eastAsia="es-CR"/>
        </w:rPr>
        <w:t xml:space="preserve"> en perjuicio de</w:t>
      </w:r>
      <w:r w:rsidR="001962DD" w:rsidRPr="001962DD">
        <w:rPr>
          <w:color w:val="000000" w:themeColor="text1"/>
          <w:spacing w:val="-2"/>
          <w:lang w:val="es-CR" w:eastAsia="es-CR"/>
        </w:rPr>
        <w:t xml:space="preserve"> las 15 víctimas de desaparición forzada</w:t>
      </w:r>
      <w:r w:rsidR="00886797">
        <w:rPr>
          <w:color w:val="000000" w:themeColor="text1"/>
          <w:spacing w:val="-2"/>
          <w:lang w:val="es-CR" w:eastAsia="es-CR"/>
        </w:rPr>
        <w:t xml:space="preserve"> mencionadas</w:t>
      </w:r>
      <w:r w:rsidR="001962DD" w:rsidRPr="001962DD">
        <w:rPr>
          <w:color w:val="000000" w:themeColor="text1"/>
          <w:spacing w:val="-2"/>
          <w:lang w:val="es-CR" w:eastAsia="es-CR"/>
        </w:rPr>
        <w:t>.</w:t>
      </w:r>
      <w:r w:rsidRPr="001962DD">
        <w:rPr>
          <w:color w:val="000000" w:themeColor="text1"/>
          <w:spacing w:val="-2"/>
          <w:lang w:val="es-CR" w:eastAsia="es-CR"/>
        </w:rPr>
        <w:t xml:space="preserve"> Además,</w:t>
      </w:r>
      <w:r w:rsidR="00E82F2E">
        <w:rPr>
          <w:color w:val="000000" w:themeColor="text1"/>
          <w:spacing w:val="-2"/>
          <w:lang w:val="es-CR" w:eastAsia="es-CR"/>
        </w:rPr>
        <w:t xml:space="preserve"> declaró</w:t>
      </w:r>
      <w:r w:rsidR="002C4DA1">
        <w:rPr>
          <w:color w:val="000000" w:themeColor="text1"/>
          <w:spacing w:val="-2"/>
          <w:lang w:val="es-CR" w:eastAsia="es-CR"/>
        </w:rPr>
        <w:t xml:space="preserve"> </w:t>
      </w:r>
      <w:r w:rsidR="008F05AE">
        <w:rPr>
          <w:color w:val="000000" w:themeColor="text1"/>
          <w:spacing w:val="-2"/>
          <w:lang w:val="es-CR" w:eastAsia="es-CR"/>
        </w:rPr>
        <w:t xml:space="preserve">que dichas </w:t>
      </w:r>
      <w:r w:rsidR="00E82F2E">
        <w:rPr>
          <w:color w:val="000000" w:themeColor="text1"/>
          <w:spacing w:val="-2"/>
          <w:lang w:val="es-CR" w:eastAsia="es-CR"/>
        </w:rPr>
        <w:t>violaci</w:t>
      </w:r>
      <w:r w:rsidR="008F05AE">
        <w:rPr>
          <w:color w:val="000000" w:themeColor="text1"/>
          <w:spacing w:val="-2"/>
          <w:lang w:val="es-CR" w:eastAsia="es-CR"/>
        </w:rPr>
        <w:t xml:space="preserve">ones ocurren también en relación con </w:t>
      </w:r>
      <w:r w:rsidR="005E7C96">
        <w:rPr>
          <w:color w:val="000000" w:themeColor="text1"/>
          <w:spacing w:val="-2"/>
          <w:lang w:val="es-CR" w:eastAsia="es-CR"/>
        </w:rPr>
        <w:t>el derecho a la especial protección de niñas y niños</w:t>
      </w:r>
      <w:r w:rsidR="00E82F2E">
        <w:rPr>
          <w:color w:val="000000" w:themeColor="text1"/>
          <w:spacing w:val="-2"/>
          <w:lang w:val="es-CR" w:eastAsia="es-CR"/>
        </w:rPr>
        <w:t xml:space="preserve"> en perjuicio </w:t>
      </w:r>
      <w:r w:rsidR="00886797">
        <w:rPr>
          <w:color w:val="000000" w:themeColor="text1"/>
          <w:spacing w:val="-2"/>
          <w:lang w:val="es-CR" w:eastAsia="es-CR"/>
        </w:rPr>
        <w:t xml:space="preserve">de </w:t>
      </w:r>
      <w:r w:rsidR="00886797" w:rsidRPr="0034255F">
        <w:rPr>
          <w:lang w:val="es-GT"/>
        </w:rPr>
        <w:t xml:space="preserve">Yesenia, Miriam </w:t>
      </w:r>
      <w:r w:rsidR="00886797" w:rsidRPr="0034255F">
        <w:rPr>
          <w:rFonts w:cs="Arial"/>
          <w:lang w:val="es-GT"/>
        </w:rPr>
        <w:t>y</w:t>
      </w:r>
      <w:r w:rsidR="00886797" w:rsidRPr="0034255F">
        <w:rPr>
          <w:lang w:val="es-GT"/>
        </w:rPr>
        <w:t xml:space="preserve"> </w:t>
      </w:r>
      <w:r w:rsidR="00886797" w:rsidRPr="0034255F">
        <w:rPr>
          <w:rFonts w:cs="Arial"/>
          <w:lang w:val="es-GT"/>
        </w:rPr>
        <w:t>Edith Osnayo Hilario</w:t>
      </w:r>
      <w:r w:rsidR="00886797" w:rsidRPr="0034255F">
        <w:rPr>
          <w:lang w:val="es-GT"/>
        </w:rPr>
        <w:t>, Wilmer Hilario Carhuapoma,</w:t>
      </w:r>
      <w:r w:rsidR="00886797" w:rsidRPr="00244BCF">
        <w:rPr>
          <w:lang w:val="es-GT"/>
        </w:rPr>
        <w:t xml:space="preserve"> Alex Jorge Hilario</w:t>
      </w:r>
      <w:r w:rsidR="00FD6661">
        <w:rPr>
          <w:lang w:val="es-GT"/>
        </w:rPr>
        <w:t xml:space="preserve"> y</w:t>
      </w:r>
      <w:r w:rsidR="00886797" w:rsidRPr="00244BCF">
        <w:rPr>
          <w:lang w:val="es-GT"/>
        </w:rPr>
        <w:t xml:space="preserve"> Raúl y Héctor Hilario Guillén</w:t>
      </w:r>
      <w:r w:rsidR="00886797">
        <w:rPr>
          <w:lang w:val="es-GT"/>
        </w:rPr>
        <w:t>, quienes</w:t>
      </w:r>
      <w:r w:rsidR="00886797" w:rsidRPr="00244BCF">
        <w:rPr>
          <w:lang w:val="es-GT"/>
        </w:rPr>
        <w:t xml:space="preserve"> </w:t>
      </w:r>
      <w:r w:rsidR="00886797" w:rsidRPr="00244BCF">
        <w:rPr>
          <w:spacing w:val="-2"/>
          <w:lang w:val="es-GT"/>
        </w:rPr>
        <w:t xml:space="preserve">eran </w:t>
      </w:r>
      <w:r w:rsidR="00886797" w:rsidRPr="002964A7">
        <w:rPr>
          <w:lang w:val="es-ES"/>
        </w:rPr>
        <w:t>niñ</w:t>
      </w:r>
      <w:r w:rsidR="00886797">
        <w:rPr>
          <w:lang w:val="es-ES"/>
        </w:rPr>
        <w:t>a</w:t>
      </w:r>
      <w:r w:rsidR="00886797" w:rsidRPr="002964A7">
        <w:rPr>
          <w:lang w:val="es-ES"/>
        </w:rPr>
        <w:t>s y niñ</w:t>
      </w:r>
      <w:r w:rsidR="00886797">
        <w:rPr>
          <w:lang w:val="es-ES"/>
        </w:rPr>
        <w:t>o</w:t>
      </w:r>
      <w:r w:rsidR="00886797" w:rsidRPr="002964A7">
        <w:rPr>
          <w:lang w:val="es-ES"/>
        </w:rPr>
        <w:t>s</w:t>
      </w:r>
      <w:r w:rsidR="00886797" w:rsidRPr="00244BCF" w:rsidDel="00F425DF">
        <w:rPr>
          <w:spacing w:val="-2"/>
          <w:lang w:val="es-GT"/>
        </w:rPr>
        <w:t xml:space="preserve"> </w:t>
      </w:r>
      <w:r w:rsidR="00886797" w:rsidRPr="00244BCF">
        <w:rPr>
          <w:spacing w:val="-2"/>
          <w:lang w:val="es-GT"/>
        </w:rPr>
        <w:t>al momento</w:t>
      </w:r>
      <w:r w:rsidR="00886797">
        <w:rPr>
          <w:spacing w:val="-2"/>
          <w:lang w:val="es-GT"/>
        </w:rPr>
        <w:t xml:space="preserve"> de que inició su desaparición forzada</w:t>
      </w:r>
      <w:r w:rsidR="00840B67">
        <w:rPr>
          <w:color w:val="000000" w:themeColor="text1"/>
          <w:spacing w:val="-2"/>
          <w:lang w:val="es-CR" w:eastAsia="es-CR"/>
        </w:rPr>
        <w:t xml:space="preserve">. </w:t>
      </w:r>
    </w:p>
    <w:p w14:paraId="37D6ED23" w14:textId="77777777" w:rsidR="00781C3A" w:rsidRDefault="00781C3A" w:rsidP="007A4320">
      <w:pPr>
        <w:pStyle w:val="PrrafodeSentencia"/>
        <w:spacing w:before="0" w:after="0"/>
        <w:rPr>
          <w:color w:val="000000" w:themeColor="text1"/>
          <w:spacing w:val="-2"/>
          <w:lang w:val="es-CR" w:eastAsia="es-CR"/>
        </w:rPr>
      </w:pPr>
    </w:p>
    <w:p w14:paraId="4B543380" w14:textId="77777777" w:rsidR="007A4320" w:rsidRPr="00654F17" w:rsidRDefault="00840B67" w:rsidP="007A4320">
      <w:pPr>
        <w:pStyle w:val="PrrafodeSentencia"/>
        <w:spacing w:before="0" w:after="0"/>
        <w:rPr>
          <w:spacing w:val="-2"/>
        </w:rPr>
      </w:pPr>
      <w:r>
        <w:rPr>
          <w:color w:val="000000" w:themeColor="text1"/>
          <w:spacing w:val="-2"/>
          <w:lang w:val="es-CR" w:eastAsia="es-CR"/>
        </w:rPr>
        <w:t>Por otro lado</w:t>
      </w:r>
      <w:r w:rsidR="00E82F2E">
        <w:rPr>
          <w:color w:val="000000" w:themeColor="text1"/>
          <w:spacing w:val="-2"/>
          <w:lang w:val="es-CR" w:eastAsia="es-CR"/>
        </w:rPr>
        <w:t>,</w:t>
      </w:r>
      <w:r w:rsidR="007A4320" w:rsidRPr="001962DD">
        <w:rPr>
          <w:color w:val="000000" w:themeColor="text1"/>
          <w:spacing w:val="-2"/>
          <w:lang w:val="es-CR" w:eastAsia="es-CR"/>
        </w:rPr>
        <w:t xml:space="preserve"> </w:t>
      </w:r>
      <w:r w:rsidR="00781C3A">
        <w:rPr>
          <w:color w:val="000000" w:themeColor="text1"/>
          <w:spacing w:val="-2"/>
          <w:lang w:val="es-CR" w:eastAsia="es-CR"/>
        </w:rPr>
        <w:t>la Corte</w:t>
      </w:r>
      <w:r w:rsidR="007A4320" w:rsidRPr="001962DD">
        <w:rPr>
          <w:color w:val="000000" w:themeColor="text1"/>
          <w:spacing w:val="-2"/>
          <w:lang w:val="es-CR" w:eastAsia="es-CR"/>
        </w:rPr>
        <w:t xml:space="preserve"> declaró la responsabilidad </w:t>
      </w:r>
      <w:r>
        <w:rPr>
          <w:color w:val="000000" w:themeColor="text1"/>
          <w:spacing w:val="-2"/>
          <w:lang w:val="es-CR" w:eastAsia="es-CR"/>
        </w:rPr>
        <w:t xml:space="preserve">internacional </w:t>
      </w:r>
      <w:r w:rsidR="007A4320" w:rsidRPr="001962DD">
        <w:rPr>
          <w:color w:val="000000" w:themeColor="text1"/>
          <w:spacing w:val="-2"/>
          <w:lang w:val="es-CR" w:eastAsia="es-CR"/>
        </w:rPr>
        <w:t>del Perú por la violación de</w:t>
      </w:r>
      <w:r w:rsidR="001962DD" w:rsidRPr="001962DD">
        <w:rPr>
          <w:color w:val="000000" w:themeColor="text1"/>
          <w:spacing w:val="-2"/>
          <w:lang w:val="es-CR" w:eastAsia="es-CR"/>
        </w:rPr>
        <w:t xml:space="preserve"> </w:t>
      </w:r>
      <w:r w:rsidR="007A4320" w:rsidRPr="001962DD">
        <w:rPr>
          <w:color w:val="000000" w:themeColor="text1"/>
          <w:spacing w:val="-2"/>
          <w:lang w:val="es-CR" w:eastAsia="es-CR"/>
        </w:rPr>
        <w:t>l</w:t>
      </w:r>
      <w:r w:rsidR="001962DD" w:rsidRPr="001962DD">
        <w:rPr>
          <w:color w:val="000000" w:themeColor="text1"/>
          <w:spacing w:val="-2"/>
          <w:lang w:val="es-CR" w:eastAsia="es-CR"/>
        </w:rPr>
        <w:t>os</w:t>
      </w:r>
      <w:r w:rsidR="007A4320" w:rsidRPr="001962DD">
        <w:rPr>
          <w:color w:val="000000" w:themeColor="text1"/>
          <w:spacing w:val="-2"/>
          <w:lang w:val="es-CR" w:eastAsia="es-CR"/>
        </w:rPr>
        <w:t xml:space="preserve"> derecho</w:t>
      </w:r>
      <w:r w:rsidR="001962DD" w:rsidRPr="001962DD">
        <w:rPr>
          <w:color w:val="000000" w:themeColor="text1"/>
          <w:spacing w:val="-2"/>
          <w:lang w:val="es-CR" w:eastAsia="es-CR"/>
        </w:rPr>
        <w:t>s</w:t>
      </w:r>
      <w:r w:rsidR="007A4320" w:rsidRPr="001962DD">
        <w:rPr>
          <w:color w:val="000000" w:themeColor="text1"/>
          <w:spacing w:val="-2"/>
          <w:lang w:val="es-CR" w:eastAsia="es-CR"/>
        </w:rPr>
        <w:t xml:space="preserve"> a </w:t>
      </w:r>
      <w:r w:rsidR="007A4320" w:rsidRPr="001962DD">
        <w:rPr>
          <w:color w:val="000000" w:themeColor="text1"/>
          <w:spacing w:val="-2"/>
          <w:lang w:val="es-CR"/>
        </w:rPr>
        <w:t xml:space="preserve">la </w:t>
      </w:r>
      <w:r w:rsidR="001962DD" w:rsidRPr="001962DD">
        <w:rPr>
          <w:color w:val="000000" w:themeColor="text1"/>
          <w:spacing w:val="-2"/>
          <w:lang w:val="es-CR"/>
        </w:rPr>
        <w:t xml:space="preserve">propiedad privada, vida privada y familiar, </w:t>
      </w:r>
      <w:r w:rsidR="00781C3A">
        <w:rPr>
          <w:color w:val="000000" w:themeColor="text1"/>
          <w:spacing w:val="-2"/>
          <w:lang w:val="es-CR"/>
        </w:rPr>
        <w:t xml:space="preserve">en perjuicio de </w:t>
      </w:r>
      <w:r w:rsidR="006C1920">
        <w:rPr>
          <w:color w:val="000000" w:themeColor="text1"/>
          <w:spacing w:val="-2"/>
          <w:lang w:val="es-CR"/>
        </w:rPr>
        <w:t xml:space="preserve">las </w:t>
      </w:r>
      <w:r w:rsidR="00781C3A" w:rsidRPr="001962DD">
        <w:rPr>
          <w:color w:val="000000" w:themeColor="text1"/>
          <w:spacing w:val="-2"/>
          <w:lang w:val="es-CR" w:eastAsia="es-CR"/>
        </w:rPr>
        <w:t>1</w:t>
      </w:r>
      <w:r w:rsidR="00781C3A">
        <w:rPr>
          <w:color w:val="000000" w:themeColor="text1"/>
          <w:spacing w:val="-2"/>
          <w:lang w:val="es-CR" w:eastAsia="es-CR"/>
        </w:rPr>
        <w:t>4</w:t>
      </w:r>
      <w:r w:rsidR="009A12F4">
        <w:rPr>
          <w:color w:val="000000" w:themeColor="text1"/>
          <w:spacing w:val="-2"/>
          <w:lang w:val="es-CR" w:eastAsia="es-CR"/>
        </w:rPr>
        <w:t xml:space="preserve"> </w:t>
      </w:r>
      <w:r w:rsidR="00781C3A" w:rsidRPr="001962DD">
        <w:rPr>
          <w:color w:val="000000" w:themeColor="text1"/>
          <w:spacing w:val="-2"/>
          <w:lang w:val="es-CR" w:eastAsia="es-CR"/>
        </w:rPr>
        <w:t>víctimas de desaparición forzada</w:t>
      </w:r>
      <w:r w:rsidR="00781C3A">
        <w:rPr>
          <w:color w:val="000000" w:themeColor="text1"/>
          <w:spacing w:val="-2"/>
          <w:lang w:val="es-CR" w:eastAsia="es-CR"/>
        </w:rPr>
        <w:t xml:space="preserve"> mencionadas</w:t>
      </w:r>
      <w:r w:rsidR="00EE7FFC">
        <w:rPr>
          <w:color w:val="000000" w:themeColor="text1"/>
          <w:spacing w:val="-2"/>
          <w:lang w:val="es-CR" w:eastAsia="es-CR"/>
        </w:rPr>
        <w:t xml:space="preserve"> </w:t>
      </w:r>
      <w:r w:rsidR="006B529B">
        <w:rPr>
          <w:color w:val="000000" w:themeColor="text1"/>
          <w:spacing w:val="-2"/>
          <w:lang w:val="es-CR" w:eastAsia="es-CR"/>
        </w:rPr>
        <w:t>que pertenecía</w:t>
      </w:r>
      <w:r w:rsidR="006C1920">
        <w:rPr>
          <w:color w:val="000000" w:themeColor="text1"/>
          <w:spacing w:val="-2"/>
          <w:lang w:val="es-CR" w:eastAsia="es-CR"/>
        </w:rPr>
        <w:t>n</w:t>
      </w:r>
      <w:r w:rsidR="006B529B">
        <w:rPr>
          <w:color w:val="000000" w:themeColor="text1"/>
          <w:spacing w:val="-2"/>
          <w:lang w:val="es-CR" w:eastAsia="es-CR"/>
        </w:rPr>
        <w:t xml:space="preserve"> a</w:t>
      </w:r>
      <w:r w:rsidR="006E34CE">
        <w:rPr>
          <w:color w:val="000000" w:themeColor="text1"/>
          <w:spacing w:val="-2"/>
          <w:lang w:val="es-CR" w:eastAsia="es-CR"/>
        </w:rPr>
        <w:t xml:space="preserve"> </w:t>
      </w:r>
      <w:r w:rsidR="00EE7FFC">
        <w:rPr>
          <w:lang w:val="es-GT"/>
        </w:rPr>
        <w:t>dos grupos familiares</w:t>
      </w:r>
      <w:r w:rsidR="009A12F4">
        <w:rPr>
          <w:color w:val="000000" w:themeColor="text1"/>
          <w:spacing w:val="-2"/>
          <w:lang w:val="es-CR"/>
        </w:rPr>
        <w:t>, así como</w:t>
      </w:r>
      <w:r w:rsidR="00742303">
        <w:rPr>
          <w:color w:val="000000" w:themeColor="text1"/>
          <w:spacing w:val="-2"/>
          <w:lang w:val="es-CR"/>
        </w:rPr>
        <w:t xml:space="preserve"> de</w:t>
      </w:r>
      <w:r w:rsidR="009A12F4">
        <w:rPr>
          <w:color w:val="000000" w:themeColor="text1"/>
          <w:spacing w:val="-2"/>
          <w:lang w:val="es-CR"/>
        </w:rPr>
        <w:t xml:space="preserve"> sus</w:t>
      </w:r>
      <w:r w:rsidR="00781C3A">
        <w:rPr>
          <w:color w:val="000000" w:themeColor="text1"/>
          <w:spacing w:val="-2"/>
          <w:lang w:val="es-CR"/>
        </w:rPr>
        <w:t xml:space="preserve"> familiares </w:t>
      </w:r>
      <w:r w:rsidR="00781C3A" w:rsidRPr="0090652A">
        <w:rPr>
          <w:spacing w:val="-2"/>
        </w:rPr>
        <w:t>Zenón Cirilo Osnayo Tunque</w:t>
      </w:r>
      <w:r w:rsidR="00781C3A">
        <w:rPr>
          <w:spacing w:val="-2"/>
        </w:rPr>
        <w:t xml:space="preserve"> y</w:t>
      </w:r>
      <w:r w:rsidR="00781C3A" w:rsidRPr="0090652A">
        <w:rPr>
          <w:spacing w:val="-2"/>
        </w:rPr>
        <w:t xml:space="preserve"> Marcelo Hilario Quispe</w:t>
      </w:r>
      <w:r w:rsidR="00742303">
        <w:rPr>
          <w:spacing w:val="-2"/>
        </w:rPr>
        <w:t>.</w:t>
      </w:r>
      <w:r w:rsidR="00B12786">
        <w:rPr>
          <w:spacing w:val="-2"/>
        </w:rPr>
        <w:t xml:space="preserve"> </w:t>
      </w:r>
      <w:r w:rsidR="00F238FF">
        <w:rPr>
          <w:spacing w:val="-2"/>
        </w:rPr>
        <w:t>Además</w:t>
      </w:r>
      <w:r w:rsidR="00B12786">
        <w:rPr>
          <w:spacing w:val="-2"/>
        </w:rPr>
        <w:t xml:space="preserve">, declaró </w:t>
      </w:r>
      <w:r w:rsidR="00B12786">
        <w:rPr>
          <w:color w:val="000000" w:themeColor="text1"/>
          <w:spacing w:val="-2"/>
          <w:lang w:val="es-CR" w:eastAsia="es-CR"/>
        </w:rPr>
        <w:t xml:space="preserve">la violación del derecho a la libertad personal de </w:t>
      </w:r>
      <w:r w:rsidR="00B12786" w:rsidRPr="0034255F">
        <w:rPr>
          <w:lang w:val="es-GT"/>
        </w:rPr>
        <w:t>Elihoref Huamaní Vergara</w:t>
      </w:r>
      <w:r w:rsidR="00B12786">
        <w:rPr>
          <w:color w:val="000000" w:themeColor="text1"/>
          <w:spacing w:val="-2"/>
          <w:lang w:val="es-CR" w:eastAsia="es-CR"/>
        </w:rPr>
        <w:t xml:space="preserve"> y sus familiares</w:t>
      </w:r>
      <w:r w:rsidR="00F238FF">
        <w:rPr>
          <w:color w:val="000000" w:themeColor="text1"/>
          <w:spacing w:val="-2"/>
          <w:lang w:val="es-CR" w:eastAsia="es-CR"/>
        </w:rPr>
        <w:t>.</w:t>
      </w:r>
      <w:r w:rsidR="00781C3A">
        <w:rPr>
          <w:spacing w:val="-2"/>
        </w:rPr>
        <w:t xml:space="preserve"> </w:t>
      </w:r>
      <w:r w:rsidR="00742303">
        <w:rPr>
          <w:spacing w:val="-2"/>
        </w:rPr>
        <w:t xml:space="preserve">Finalmente, </w:t>
      </w:r>
      <w:r w:rsidR="00742303" w:rsidRPr="001962DD">
        <w:rPr>
          <w:color w:val="000000" w:themeColor="text1"/>
          <w:spacing w:val="-2"/>
          <w:lang w:val="es-CR" w:eastAsia="es-CR"/>
        </w:rPr>
        <w:t xml:space="preserve">declaró la responsabilidad </w:t>
      </w:r>
      <w:r w:rsidR="00742303">
        <w:rPr>
          <w:color w:val="000000" w:themeColor="text1"/>
          <w:spacing w:val="-2"/>
          <w:lang w:val="es-CR" w:eastAsia="es-CR"/>
        </w:rPr>
        <w:t>internacional estatal por la violación de los derechos a las</w:t>
      </w:r>
      <w:r w:rsidR="00742303">
        <w:rPr>
          <w:spacing w:val="-2"/>
        </w:rPr>
        <w:t xml:space="preserve"> </w:t>
      </w:r>
      <w:r w:rsidR="001962DD" w:rsidRPr="001962DD">
        <w:rPr>
          <w:color w:val="000000" w:themeColor="text1"/>
          <w:spacing w:val="-2"/>
          <w:lang w:val="es-CR"/>
        </w:rPr>
        <w:t>garantías judiciales y protección judicial, derecho a</w:t>
      </w:r>
      <w:r w:rsidR="00A9379A">
        <w:rPr>
          <w:color w:val="000000" w:themeColor="text1"/>
          <w:spacing w:val="-2"/>
          <w:lang w:val="es-CR"/>
        </w:rPr>
        <w:t xml:space="preserve"> conocer</w:t>
      </w:r>
      <w:r w:rsidR="001962DD" w:rsidRPr="001962DD">
        <w:rPr>
          <w:color w:val="000000" w:themeColor="text1"/>
          <w:spacing w:val="-2"/>
          <w:lang w:val="es-CR"/>
        </w:rPr>
        <w:t xml:space="preserve"> la verdad</w:t>
      </w:r>
      <w:r w:rsidR="00A9379A">
        <w:rPr>
          <w:color w:val="000000" w:themeColor="text1"/>
          <w:spacing w:val="-2"/>
          <w:lang w:val="es-CR"/>
        </w:rPr>
        <w:t xml:space="preserve"> y el derecho a la</w:t>
      </w:r>
      <w:r w:rsidR="001962DD" w:rsidRPr="001962DD">
        <w:rPr>
          <w:color w:val="000000" w:themeColor="text1"/>
          <w:spacing w:val="-2"/>
          <w:lang w:val="es-CR"/>
        </w:rPr>
        <w:t xml:space="preserve"> integridad personal de los familiares de las víctimas de desaparición forzada</w:t>
      </w:r>
      <w:r w:rsidR="00886797">
        <w:rPr>
          <w:color w:val="000000" w:themeColor="text1"/>
          <w:spacing w:val="-2"/>
          <w:lang w:val="es-CR"/>
        </w:rPr>
        <w:t xml:space="preserve">, a saber: </w:t>
      </w:r>
      <w:r w:rsidR="00886797" w:rsidRPr="0090652A">
        <w:rPr>
          <w:spacing w:val="-2"/>
        </w:rPr>
        <w:t xml:space="preserve">Zósimo Hilario Quispe, Marcelo Hilario Quispe, Gregorio Hilario Quispe, Zenón Cirilo Osnayo Tunque, Víctor Carhuapoma de la Cruz, </w:t>
      </w:r>
      <w:r w:rsidR="00886797" w:rsidRPr="0090652A">
        <w:rPr>
          <w:rFonts w:cs="Verdana"/>
          <w:spacing w:val="-2"/>
        </w:rPr>
        <w:t>Abilio Hilario Quispe,</w:t>
      </w:r>
      <w:r w:rsidR="00886797" w:rsidRPr="0090652A">
        <w:rPr>
          <w:spacing w:val="-2"/>
        </w:rPr>
        <w:t xml:space="preserve"> Marcelina Guillen Riveros y </w:t>
      </w:r>
      <w:r w:rsidR="00886797" w:rsidRPr="0090652A">
        <w:rPr>
          <w:rFonts w:cs="Arial"/>
          <w:spacing w:val="-2"/>
        </w:rPr>
        <w:t xml:space="preserve">Marino Huamaní Vergara, así como de las personas fallecidas con posterioridad al año 2000, </w:t>
      </w:r>
      <w:r w:rsidR="00886797" w:rsidRPr="0090652A">
        <w:rPr>
          <w:spacing w:val="-2"/>
        </w:rPr>
        <w:t>Ana de la Cruz Carhuapoma</w:t>
      </w:r>
      <w:r w:rsidR="00886797" w:rsidRPr="0090652A">
        <w:rPr>
          <w:bCs/>
          <w:spacing w:val="-2"/>
          <w:lang w:val="es-VE"/>
        </w:rPr>
        <w:t>,</w:t>
      </w:r>
      <w:r w:rsidR="00886797" w:rsidRPr="0090652A">
        <w:rPr>
          <w:spacing w:val="-2"/>
        </w:rPr>
        <w:t xml:space="preserve"> Viviano Hilario Mancha, Dolores Morán Paucar, Justiniano Guillén Ccanto</w:t>
      </w:r>
      <w:r w:rsidR="00886797" w:rsidRPr="0090652A">
        <w:rPr>
          <w:rFonts w:cs="Verdana"/>
          <w:spacing w:val="-2"/>
        </w:rPr>
        <w:t>,</w:t>
      </w:r>
      <w:r w:rsidR="00886797" w:rsidRPr="0090652A">
        <w:rPr>
          <w:spacing w:val="-2"/>
        </w:rPr>
        <w:t xml:space="preserve"> Victoria Riveros Valencia y Alejandro Huamaní Robles. </w:t>
      </w:r>
      <w:r w:rsidR="00886797">
        <w:rPr>
          <w:color w:val="000000" w:themeColor="text1"/>
          <w:spacing w:val="-2"/>
          <w:lang w:val="es-CR"/>
        </w:rPr>
        <w:t xml:space="preserve"> </w:t>
      </w:r>
    </w:p>
    <w:p w14:paraId="7848A2E4" w14:textId="77777777" w:rsidR="00886797" w:rsidRPr="00886797" w:rsidRDefault="00886797" w:rsidP="00886797">
      <w:pPr>
        <w:autoSpaceDE w:val="0"/>
        <w:autoSpaceDN w:val="0"/>
        <w:adjustRightInd w:val="0"/>
        <w:rPr>
          <w:rFonts w:ascii="Verdana" w:eastAsiaTheme="minorHAnsi" w:hAnsi="Verdana" w:cs="Verdana"/>
          <w:color w:val="000000"/>
          <w:lang w:val="es-EC"/>
        </w:rPr>
      </w:pPr>
    </w:p>
    <w:p w14:paraId="159E0C87" w14:textId="77777777" w:rsidR="00886797" w:rsidRPr="00830E50" w:rsidRDefault="00886797" w:rsidP="002F4A9E">
      <w:pPr>
        <w:pStyle w:val="Prrafodelista"/>
        <w:numPr>
          <w:ilvl w:val="0"/>
          <w:numId w:val="1"/>
        </w:numPr>
        <w:autoSpaceDE w:val="0"/>
        <w:autoSpaceDN w:val="0"/>
        <w:adjustRightInd w:val="0"/>
        <w:jc w:val="both"/>
        <w:rPr>
          <w:rFonts w:ascii="Verdana" w:eastAsiaTheme="minorHAnsi" w:hAnsi="Verdana" w:cs="Verdana"/>
          <w:b/>
          <w:bCs/>
          <w:color w:val="000000"/>
          <w:sz w:val="20"/>
          <w:szCs w:val="20"/>
          <w:lang w:val="es-EC"/>
        </w:rPr>
      </w:pPr>
      <w:r w:rsidRPr="00886797">
        <w:rPr>
          <w:rFonts w:ascii="Verdana" w:eastAsiaTheme="minorHAnsi" w:hAnsi="Verdana" w:cs="Verdana"/>
          <w:b/>
          <w:bCs/>
          <w:color w:val="000000"/>
          <w:sz w:val="20"/>
          <w:szCs w:val="20"/>
          <w:lang w:val="es-EC"/>
        </w:rPr>
        <w:lastRenderedPageBreak/>
        <w:t>Reconocimiento</w:t>
      </w:r>
      <w:r w:rsidRPr="00EE7FFC">
        <w:rPr>
          <w:rFonts w:ascii="Verdana" w:eastAsiaTheme="minorHAnsi" w:hAnsi="Verdana"/>
          <w:b/>
          <w:sz w:val="20"/>
        </w:rPr>
        <w:t xml:space="preserve"> </w:t>
      </w:r>
      <w:r w:rsidR="00654F17" w:rsidRPr="00EE7FFC">
        <w:rPr>
          <w:rFonts w:ascii="Verdana" w:hAnsi="Verdana"/>
          <w:b/>
          <w:sz w:val="20"/>
          <w:szCs w:val="20"/>
        </w:rPr>
        <w:t>de vulneración</w:t>
      </w:r>
      <w:r w:rsidR="00EE7FFC" w:rsidRPr="00EE7FFC">
        <w:rPr>
          <w:rFonts w:ascii="Verdana" w:hAnsi="Verdana"/>
          <w:b/>
          <w:sz w:val="20"/>
          <w:szCs w:val="20"/>
        </w:rPr>
        <w:t xml:space="preserve"> de derechos del estado peruano</w:t>
      </w:r>
      <w:r w:rsidR="00654F17" w:rsidRPr="00EE7FFC">
        <w:rPr>
          <w:rFonts w:ascii="Verdana" w:hAnsi="Verdana"/>
          <w:b/>
          <w:sz w:val="20"/>
          <w:szCs w:val="20"/>
        </w:rPr>
        <w:t xml:space="preserve"> y la calificación jurídica de los hechos</w:t>
      </w:r>
    </w:p>
    <w:p w14:paraId="6B5348B8" w14:textId="77777777" w:rsidR="00830E50" w:rsidRDefault="00830E50" w:rsidP="00830E50">
      <w:pPr>
        <w:autoSpaceDE w:val="0"/>
        <w:autoSpaceDN w:val="0"/>
        <w:adjustRightInd w:val="0"/>
        <w:rPr>
          <w:rFonts w:ascii="Verdana" w:eastAsiaTheme="minorHAnsi" w:hAnsi="Verdana" w:cs="Verdana"/>
          <w:b/>
          <w:bCs/>
          <w:color w:val="000000"/>
          <w:sz w:val="20"/>
          <w:szCs w:val="20"/>
          <w:lang w:val="es-EC"/>
        </w:rPr>
      </w:pPr>
    </w:p>
    <w:p w14:paraId="7519A517" w14:textId="77777777" w:rsidR="005E7C96" w:rsidRPr="00866A20" w:rsidRDefault="009D2895" w:rsidP="009266DD">
      <w:pPr>
        <w:pStyle w:val="Prrafodelista"/>
        <w:spacing w:after="200"/>
        <w:ind w:left="0"/>
        <w:jc w:val="both"/>
        <w:rPr>
          <w:rFonts w:ascii="Verdana" w:hAnsi="Verdana"/>
          <w:spacing w:val="-2"/>
          <w:sz w:val="20"/>
          <w:szCs w:val="20"/>
          <w:lang w:val="es-ES_tradnl"/>
        </w:rPr>
      </w:pPr>
      <w:r w:rsidRPr="00866A20">
        <w:rPr>
          <w:rFonts w:ascii="Verdana" w:hAnsi="Verdana"/>
          <w:sz w:val="20"/>
          <w:szCs w:val="20"/>
          <w:lang w:val="es-EC"/>
        </w:rPr>
        <w:t>La Corte consideró que el</w:t>
      </w:r>
      <w:r w:rsidR="005E7C96" w:rsidRPr="00866A20">
        <w:rPr>
          <w:rFonts w:ascii="Verdana" w:hAnsi="Verdana"/>
          <w:sz w:val="20"/>
          <w:szCs w:val="20"/>
        </w:rPr>
        <w:t xml:space="preserve"> </w:t>
      </w:r>
      <w:r w:rsidR="005E7C96" w:rsidRPr="00866A20">
        <w:rPr>
          <w:rFonts w:ascii="Verdana" w:hAnsi="Verdana"/>
          <w:sz w:val="20"/>
          <w:szCs w:val="20"/>
          <w:lang w:eastAsia="es-CR"/>
        </w:rPr>
        <w:t xml:space="preserve">Estado </w:t>
      </w:r>
      <w:r w:rsidR="00FF34BA">
        <w:rPr>
          <w:rFonts w:ascii="Verdana" w:hAnsi="Verdana"/>
          <w:sz w:val="20"/>
          <w:szCs w:val="20"/>
          <w:lang w:eastAsia="es-CR"/>
        </w:rPr>
        <w:t xml:space="preserve">realizó </w:t>
      </w:r>
      <w:r w:rsidR="00FF34BA" w:rsidRPr="002964A7">
        <w:rPr>
          <w:rFonts w:ascii="Verdana" w:hAnsi="Verdana"/>
          <w:sz w:val="20"/>
          <w:szCs w:val="20"/>
          <w:lang w:eastAsia="es-CR"/>
        </w:rPr>
        <w:t>un</w:t>
      </w:r>
      <w:r w:rsidR="001B6135">
        <w:rPr>
          <w:rFonts w:ascii="Verdana" w:hAnsi="Verdana"/>
          <w:sz w:val="20"/>
          <w:szCs w:val="20"/>
          <w:lang w:eastAsia="es-CR"/>
        </w:rPr>
        <w:t xml:space="preserve"> </w:t>
      </w:r>
      <w:r w:rsidR="001B6135" w:rsidRPr="002964A7">
        <w:rPr>
          <w:rFonts w:ascii="Verdana" w:hAnsi="Verdana"/>
          <w:spacing w:val="-2"/>
          <w:sz w:val="20"/>
          <w:szCs w:val="20"/>
          <w:lang w:val="es-ES_tradnl"/>
        </w:rPr>
        <w:t xml:space="preserve">reconocimiento </w:t>
      </w:r>
      <w:r w:rsidR="001B6135">
        <w:rPr>
          <w:rFonts w:ascii="Verdana" w:hAnsi="Verdana"/>
          <w:spacing w:val="-2"/>
          <w:sz w:val="20"/>
          <w:szCs w:val="20"/>
          <w:lang w:val="es-ES_tradnl"/>
        </w:rPr>
        <w:t>parcial</w:t>
      </w:r>
      <w:r w:rsidR="00FF34BA" w:rsidRPr="002964A7">
        <w:rPr>
          <w:rFonts w:ascii="Verdana" w:hAnsi="Verdana"/>
          <w:sz w:val="20"/>
          <w:szCs w:val="20"/>
          <w:lang w:eastAsia="es-CR"/>
        </w:rPr>
        <w:t xml:space="preserve"> de </w:t>
      </w:r>
      <w:r w:rsidR="00FF34BA" w:rsidRPr="002964A7">
        <w:rPr>
          <w:rFonts w:ascii="Verdana" w:hAnsi="Verdana"/>
          <w:sz w:val="20"/>
          <w:szCs w:val="20"/>
        </w:rPr>
        <w:t>los</w:t>
      </w:r>
      <w:r w:rsidR="00FF34BA" w:rsidRPr="002964A7">
        <w:rPr>
          <w:rFonts w:ascii="Verdana" w:hAnsi="Verdana"/>
          <w:sz w:val="20"/>
          <w:szCs w:val="20"/>
          <w:lang w:eastAsia="es-CR"/>
        </w:rPr>
        <w:t xml:space="preserve"> hechos</w:t>
      </w:r>
      <w:r w:rsidR="001B6135">
        <w:rPr>
          <w:rFonts w:ascii="Verdana" w:hAnsi="Verdana"/>
          <w:sz w:val="20"/>
          <w:szCs w:val="20"/>
          <w:lang w:eastAsia="es-CR"/>
        </w:rPr>
        <w:t xml:space="preserve"> y </w:t>
      </w:r>
      <w:r w:rsidR="00FF34BA" w:rsidRPr="002964A7">
        <w:rPr>
          <w:rFonts w:ascii="Verdana" w:hAnsi="Verdana"/>
          <w:spacing w:val="-2"/>
          <w:sz w:val="20"/>
          <w:szCs w:val="20"/>
          <w:lang w:val="es-ES_tradnl"/>
        </w:rPr>
        <w:t>de responsabilidad</w:t>
      </w:r>
      <w:r w:rsidR="001B6135">
        <w:rPr>
          <w:rFonts w:ascii="Verdana" w:hAnsi="Verdana"/>
          <w:spacing w:val="-2"/>
          <w:sz w:val="20"/>
          <w:szCs w:val="20"/>
          <w:lang w:val="es-ES_tradnl"/>
        </w:rPr>
        <w:t xml:space="preserve"> internacional</w:t>
      </w:r>
      <w:r w:rsidR="00BF7BDB">
        <w:rPr>
          <w:rFonts w:ascii="Verdana" w:hAnsi="Verdana"/>
          <w:sz w:val="20"/>
          <w:szCs w:val="20"/>
          <w:lang w:eastAsia="es-CR"/>
        </w:rPr>
        <w:t>,</w:t>
      </w:r>
      <w:r w:rsidR="005E7C96" w:rsidRPr="00866A20">
        <w:rPr>
          <w:rFonts w:ascii="Verdana" w:hAnsi="Verdana"/>
          <w:sz w:val="20"/>
          <w:szCs w:val="20"/>
          <w:lang w:eastAsia="es-CR"/>
        </w:rPr>
        <w:t xml:space="preserve"> </w:t>
      </w:r>
      <w:r w:rsidR="00866A20">
        <w:rPr>
          <w:rFonts w:ascii="Verdana" w:hAnsi="Verdana"/>
          <w:sz w:val="20"/>
          <w:szCs w:val="20"/>
          <w:lang w:eastAsia="es-CR"/>
        </w:rPr>
        <w:t>y que</w:t>
      </w:r>
      <w:r w:rsidR="00866A20" w:rsidRPr="00866A20">
        <w:rPr>
          <w:rFonts w:ascii="Verdana" w:hAnsi="Verdana"/>
          <w:sz w:val="20"/>
          <w:szCs w:val="20"/>
        </w:rPr>
        <w:t xml:space="preserve"> se mantuvo la controversia con respecto a </w:t>
      </w:r>
      <w:r w:rsidR="00866A20">
        <w:rPr>
          <w:rFonts w:ascii="Verdana" w:hAnsi="Verdana"/>
          <w:sz w:val="20"/>
          <w:szCs w:val="20"/>
        </w:rPr>
        <w:t xml:space="preserve">cuestiones de </w:t>
      </w:r>
      <w:r w:rsidR="00866A20" w:rsidRPr="00866A20">
        <w:rPr>
          <w:rFonts w:ascii="Verdana" w:hAnsi="Verdana"/>
          <w:sz w:val="20"/>
          <w:szCs w:val="20"/>
        </w:rPr>
        <w:t xml:space="preserve">hecho y pretensiones de </w:t>
      </w:r>
      <w:r w:rsidR="009A0703">
        <w:rPr>
          <w:rFonts w:ascii="Verdana" w:hAnsi="Verdana"/>
          <w:sz w:val="20"/>
          <w:szCs w:val="20"/>
        </w:rPr>
        <w:t>derecho que no fueron reconocida</w:t>
      </w:r>
      <w:r w:rsidR="00866A20" w:rsidRPr="00866A20">
        <w:rPr>
          <w:rFonts w:ascii="Verdana" w:hAnsi="Verdana"/>
          <w:sz w:val="20"/>
          <w:szCs w:val="20"/>
        </w:rPr>
        <w:t>s por el Estado.</w:t>
      </w:r>
      <w:r w:rsidR="001B6135">
        <w:rPr>
          <w:rFonts w:ascii="Verdana" w:hAnsi="Verdana"/>
          <w:sz w:val="20"/>
          <w:szCs w:val="20"/>
          <w:lang w:val="es-PR" w:eastAsia="es-CR"/>
        </w:rPr>
        <w:t xml:space="preserve"> </w:t>
      </w:r>
      <w:r w:rsidR="00866A20">
        <w:rPr>
          <w:rFonts w:ascii="Verdana" w:hAnsi="Verdana"/>
          <w:sz w:val="20"/>
          <w:szCs w:val="20"/>
          <w:lang w:val="es-PR" w:eastAsia="es-CR"/>
        </w:rPr>
        <w:t xml:space="preserve">En cuanto a las cuestiones de hecho, la Corte determinó que </w:t>
      </w:r>
      <w:r w:rsidR="00866A20" w:rsidRPr="00AF3269">
        <w:rPr>
          <w:rFonts w:ascii="Verdana" w:hAnsi="Verdana"/>
          <w:iCs/>
          <w:sz w:val="20"/>
          <w:szCs w:val="20"/>
          <w:lang w:val="es-PR" w:eastAsia="es-CR"/>
        </w:rPr>
        <w:t>se mant</w:t>
      </w:r>
      <w:r w:rsidR="00866A20">
        <w:rPr>
          <w:rFonts w:ascii="Verdana" w:hAnsi="Verdana"/>
          <w:iCs/>
          <w:sz w:val="20"/>
          <w:szCs w:val="20"/>
          <w:lang w:val="es-PR" w:eastAsia="es-CR"/>
        </w:rPr>
        <w:t>uvo</w:t>
      </w:r>
      <w:r w:rsidR="00866A20" w:rsidRPr="00AF3269">
        <w:rPr>
          <w:rFonts w:ascii="Verdana" w:hAnsi="Verdana"/>
          <w:iCs/>
          <w:sz w:val="20"/>
          <w:szCs w:val="20"/>
          <w:lang w:val="es-PR" w:eastAsia="es-CR"/>
        </w:rPr>
        <w:t xml:space="preserve"> la controversia respecto de:</w:t>
      </w:r>
      <w:r w:rsidR="00866A20">
        <w:rPr>
          <w:rFonts w:ascii="Verdana" w:hAnsi="Verdana"/>
          <w:iCs/>
          <w:sz w:val="20"/>
          <w:szCs w:val="20"/>
          <w:lang w:val="es-PR" w:eastAsia="es-CR"/>
        </w:rPr>
        <w:t xml:space="preserve"> </w:t>
      </w:r>
      <w:r w:rsidR="001B6135" w:rsidRPr="00E05E8B">
        <w:rPr>
          <w:rFonts w:ascii="Verdana" w:hAnsi="Verdana"/>
          <w:iCs/>
          <w:sz w:val="20"/>
          <w:szCs w:val="20"/>
          <w:lang w:eastAsia="es-CR"/>
        </w:rPr>
        <w:t xml:space="preserve">i) los presuntos robos de bienes y quema de viviendas de las víctimas; ii) las denuncias interpuestas con </w:t>
      </w:r>
      <w:r w:rsidR="001B6135" w:rsidRPr="00E05E8B">
        <w:rPr>
          <w:rFonts w:ascii="Verdana" w:hAnsi="Verdana"/>
          <w:sz w:val="20"/>
          <w:szCs w:val="20"/>
        </w:rPr>
        <w:t>posterioridad</w:t>
      </w:r>
      <w:r w:rsidR="001B6135" w:rsidRPr="00E05E8B">
        <w:rPr>
          <w:rFonts w:ascii="Verdana" w:hAnsi="Verdana"/>
          <w:iCs/>
          <w:sz w:val="20"/>
          <w:szCs w:val="20"/>
          <w:lang w:eastAsia="es-CR"/>
        </w:rPr>
        <w:t xml:space="preserve"> a los hechos y las respuestas de las autoridades estatales frente a las mismas; iii) la forma en que se llevaron a cabo las investigaciones realizadas sobre lo sucedido, la recuperación e identificación de los restos y </w:t>
      </w:r>
      <w:r w:rsidR="001B6135" w:rsidRPr="00E05E8B">
        <w:rPr>
          <w:rFonts w:ascii="Verdana" w:hAnsi="Verdana"/>
          <w:sz w:val="20"/>
          <w:szCs w:val="20"/>
        </w:rPr>
        <w:t>los procedimientos forenses</w:t>
      </w:r>
      <w:r w:rsidR="001B6135" w:rsidRPr="00E05E8B">
        <w:rPr>
          <w:rFonts w:ascii="Verdana" w:hAnsi="Verdana"/>
          <w:iCs/>
          <w:sz w:val="20"/>
          <w:szCs w:val="20"/>
          <w:lang w:eastAsia="es-CR"/>
        </w:rPr>
        <w:t>; iv) la supuesta existencia de</w:t>
      </w:r>
      <w:r w:rsidR="001B6135" w:rsidRPr="00E05E8B">
        <w:rPr>
          <w:rFonts w:ascii="Verdana" w:hAnsi="Verdana"/>
          <w:sz w:val="20"/>
          <w:szCs w:val="20"/>
          <w:lang w:val="es-GT"/>
        </w:rPr>
        <w:t xml:space="preserve"> una serie de </w:t>
      </w:r>
      <w:r w:rsidR="001B6135" w:rsidRPr="00E05E8B">
        <w:rPr>
          <w:rFonts w:ascii="Verdana" w:hAnsi="Verdana" w:cs="Arial"/>
          <w:sz w:val="20"/>
          <w:szCs w:val="20"/>
        </w:rPr>
        <w:t>mecanismos</w:t>
      </w:r>
      <w:r w:rsidR="001B6135" w:rsidRPr="00E05E8B">
        <w:rPr>
          <w:rFonts w:ascii="Verdana" w:hAnsi="Verdana"/>
          <w:sz w:val="20"/>
          <w:szCs w:val="20"/>
          <w:lang w:val="es-GT"/>
        </w:rPr>
        <w:t xml:space="preserve"> de encubrimiento que tuvieron un claro carácter deliberado y que incluyen, por lo menos, la negación de las detenciones</w:t>
      </w:r>
      <w:r w:rsidR="001B6135">
        <w:rPr>
          <w:rFonts w:ascii="Verdana" w:hAnsi="Verdana"/>
          <w:sz w:val="20"/>
          <w:szCs w:val="20"/>
          <w:lang w:val="es-GT"/>
        </w:rPr>
        <w:t>,</w:t>
      </w:r>
      <w:r w:rsidR="001B6135" w:rsidRPr="00E05E8B">
        <w:rPr>
          <w:rFonts w:ascii="Verdana" w:hAnsi="Verdana"/>
          <w:sz w:val="20"/>
          <w:szCs w:val="20"/>
          <w:lang w:val="es-GT"/>
        </w:rPr>
        <w:t xml:space="preserve"> el uso de dinamita en múltiples oportunidades y durante los primeros diez días de ocurridos los hechos en la mina abandonada llamada “Misteriosa” o “Vallarón” como un mecanismo </w:t>
      </w:r>
      <w:r w:rsidR="001B6135" w:rsidRPr="00E05E8B">
        <w:rPr>
          <w:rFonts w:ascii="Verdana" w:hAnsi="Verdana" w:cs="Arial"/>
          <w:sz w:val="20"/>
          <w:szCs w:val="20"/>
          <w:lang w:val="es-GT"/>
        </w:rPr>
        <w:t>para destruir las evidencias de lo ocurrido</w:t>
      </w:r>
      <w:r w:rsidR="001B6135">
        <w:rPr>
          <w:rFonts w:ascii="Verdana" w:hAnsi="Verdana"/>
          <w:sz w:val="20"/>
          <w:szCs w:val="20"/>
          <w:lang w:val="es-GT"/>
        </w:rPr>
        <w:t>,</w:t>
      </w:r>
      <w:r w:rsidR="001B6135" w:rsidRPr="00E05E8B">
        <w:rPr>
          <w:rFonts w:ascii="Verdana" w:hAnsi="Verdana"/>
          <w:spacing w:val="-2"/>
          <w:sz w:val="20"/>
          <w:szCs w:val="20"/>
          <w:lang w:val="es-GT"/>
        </w:rPr>
        <w:t xml:space="preserve"> </w:t>
      </w:r>
      <w:r w:rsidR="001B6135" w:rsidRPr="00E05E8B">
        <w:rPr>
          <w:rFonts w:ascii="Verdana" w:hAnsi="Verdana"/>
          <w:sz w:val="20"/>
          <w:szCs w:val="20"/>
          <w:lang w:val="es-GT"/>
        </w:rPr>
        <w:t xml:space="preserve">hostigamientos y detenciones de comuneros que denunciaron los hechos, y amenazas a operadores judiciales, y v) </w:t>
      </w:r>
      <w:r w:rsidR="001B6135" w:rsidRPr="00E05E8B">
        <w:rPr>
          <w:rFonts w:ascii="Verdana" w:hAnsi="Verdana"/>
          <w:sz w:val="20"/>
          <w:szCs w:val="20"/>
        </w:rPr>
        <w:t>la</w:t>
      </w:r>
      <w:r w:rsidR="001B6135">
        <w:rPr>
          <w:rFonts w:ascii="Verdana" w:hAnsi="Verdana"/>
          <w:sz w:val="20"/>
          <w:szCs w:val="20"/>
        </w:rPr>
        <w:t xml:space="preserve"> presunta</w:t>
      </w:r>
      <w:r w:rsidR="001B6135" w:rsidRPr="00E05E8B">
        <w:rPr>
          <w:rFonts w:ascii="Verdana" w:hAnsi="Verdana"/>
          <w:sz w:val="20"/>
          <w:szCs w:val="20"/>
        </w:rPr>
        <w:t xml:space="preserve"> falta de debida diligencia e irregularidades en la captura de los procesados ausentes.</w:t>
      </w:r>
      <w:r w:rsidR="00BF7BDB">
        <w:rPr>
          <w:rFonts w:ascii="Verdana" w:hAnsi="Verdana"/>
          <w:sz w:val="20"/>
          <w:szCs w:val="20"/>
          <w:lang w:val="es-AR"/>
        </w:rPr>
        <w:t xml:space="preserve"> </w:t>
      </w:r>
      <w:r w:rsidR="00866A20">
        <w:rPr>
          <w:rFonts w:ascii="Verdana" w:hAnsi="Verdana"/>
          <w:sz w:val="20"/>
          <w:szCs w:val="20"/>
          <w:lang w:val="es-AR"/>
        </w:rPr>
        <w:t xml:space="preserve">En cuanto a las pretensiones de derecho, </w:t>
      </w:r>
      <w:r w:rsidR="00BF7BDB">
        <w:rPr>
          <w:rFonts w:ascii="Verdana" w:hAnsi="Verdana"/>
          <w:sz w:val="20"/>
          <w:szCs w:val="20"/>
          <w:lang w:val="es-AR"/>
        </w:rPr>
        <w:t xml:space="preserve">la Corte consideró </w:t>
      </w:r>
      <w:r w:rsidRPr="009D2895">
        <w:rPr>
          <w:rFonts w:ascii="Verdana" w:hAnsi="Verdana"/>
          <w:spacing w:val="-2"/>
          <w:sz w:val="20"/>
          <w:szCs w:val="20"/>
          <w:lang w:val="es-ES_tradnl"/>
        </w:rPr>
        <w:t xml:space="preserve">que </w:t>
      </w:r>
      <w:r w:rsidRPr="009D2895">
        <w:rPr>
          <w:rFonts w:ascii="Verdana" w:hAnsi="Verdana"/>
          <w:sz w:val="20"/>
          <w:szCs w:val="20"/>
        </w:rPr>
        <w:t xml:space="preserve">se mantuvo la controversia </w:t>
      </w:r>
      <w:r w:rsidR="005E7C96" w:rsidRPr="009D2895">
        <w:rPr>
          <w:rFonts w:ascii="Verdana" w:hAnsi="Verdana"/>
          <w:spacing w:val="-2"/>
          <w:sz w:val="20"/>
          <w:szCs w:val="20"/>
          <w:lang w:val="es-ES_tradnl"/>
        </w:rPr>
        <w:t xml:space="preserve">en cuanto a la calificación jurídica de los hechos del caso como ejecución judicial o desaparición forzada y el alcance de las violaciones </w:t>
      </w:r>
      <w:r w:rsidR="006A3DFA" w:rsidRPr="002964A7">
        <w:rPr>
          <w:rFonts w:ascii="Verdana" w:hAnsi="Verdana"/>
          <w:sz w:val="20"/>
          <w:szCs w:val="20"/>
          <w:lang w:eastAsia="es-CR"/>
        </w:rPr>
        <w:t>de los derechos a la vida, integridad personal y libertad personal</w:t>
      </w:r>
      <w:r w:rsidR="006A3DFA">
        <w:rPr>
          <w:rFonts w:ascii="Verdana" w:hAnsi="Verdana"/>
          <w:sz w:val="20"/>
          <w:szCs w:val="20"/>
          <w:lang w:eastAsia="es-CR"/>
        </w:rPr>
        <w:t xml:space="preserve">, así como </w:t>
      </w:r>
      <w:r w:rsidR="006A3DFA" w:rsidRPr="002964A7">
        <w:rPr>
          <w:rFonts w:ascii="Verdana" w:hAnsi="Verdana"/>
          <w:sz w:val="20"/>
          <w:szCs w:val="20"/>
          <w:lang w:val="es-GT" w:eastAsia="es-CR"/>
        </w:rPr>
        <w:t>a la especial protección de los niños y las niña</w:t>
      </w:r>
      <w:r w:rsidR="006A3DFA">
        <w:rPr>
          <w:rFonts w:ascii="Verdana" w:hAnsi="Verdana"/>
          <w:sz w:val="20"/>
          <w:szCs w:val="20"/>
          <w:lang w:val="es-GT" w:eastAsia="es-CR"/>
        </w:rPr>
        <w:t>s</w:t>
      </w:r>
      <w:r w:rsidR="00C3693F">
        <w:rPr>
          <w:rFonts w:ascii="Verdana" w:hAnsi="Verdana"/>
          <w:sz w:val="20"/>
          <w:szCs w:val="20"/>
          <w:lang w:val="es-GT" w:eastAsia="es-CR"/>
        </w:rPr>
        <w:t xml:space="preserve"> reconocidas por el Estado</w:t>
      </w:r>
      <w:r w:rsidR="005E7C96" w:rsidRPr="009D2895">
        <w:rPr>
          <w:rFonts w:ascii="Verdana" w:hAnsi="Verdana"/>
          <w:spacing w:val="-2"/>
          <w:sz w:val="20"/>
          <w:szCs w:val="20"/>
          <w:lang w:val="es-ES_tradnl"/>
        </w:rPr>
        <w:t>. T</w:t>
      </w:r>
      <w:r>
        <w:rPr>
          <w:rFonts w:ascii="Verdana" w:hAnsi="Verdana"/>
          <w:spacing w:val="-2"/>
          <w:sz w:val="20"/>
          <w:szCs w:val="20"/>
          <w:lang w:val="es-ES_tradnl"/>
        </w:rPr>
        <w:t>ambién subsistió</w:t>
      </w:r>
      <w:r w:rsidR="005E7C96" w:rsidRPr="009D2895">
        <w:rPr>
          <w:rFonts w:ascii="Verdana" w:hAnsi="Verdana"/>
          <w:spacing w:val="-2"/>
          <w:sz w:val="20"/>
          <w:szCs w:val="20"/>
          <w:lang w:val="es-ES_tradnl"/>
        </w:rPr>
        <w:t xml:space="preserve"> la controversia respecto a alegadas violaciones de los artículos 2, 3, </w:t>
      </w:r>
      <w:r w:rsidR="008746CD">
        <w:rPr>
          <w:rFonts w:ascii="Verdana" w:hAnsi="Verdana"/>
          <w:spacing w:val="-2"/>
          <w:sz w:val="20"/>
          <w:szCs w:val="20"/>
          <w:lang w:val="es-ES_tradnl"/>
        </w:rPr>
        <w:t xml:space="preserve">5, </w:t>
      </w:r>
      <w:r w:rsidR="005E7C96" w:rsidRPr="009D2895">
        <w:rPr>
          <w:rFonts w:ascii="Verdana" w:hAnsi="Verdana"/>
          <w:spacing w:val="-2"/>
          <w:sz w:val="20"/>
          <w:szCs w:val="20"/>
          <w:lang w:val="es-ES_tradnl"/>
        </w:rPr>
        <w:t>11, 13, 17, 21</w:t>
      </w:r>
      <w:r w:rsidR="008746CD">
        <w:rPr>
          <w:rFonts w:ascii="Verdana" w:hAnsi="Verdana"/>
          <w:spacing w:val="-2"/>
          <w:sz w:val="20"/>
          <w:szCs w:val="20"/>
          <w:lang w:val="es-ES_tradnl"/>
        </w:rPr>
        <w:t>,</w:t>
      </w:r>
      <w:r w:rsidR="005E7C96" w:rsidRPr="009D2895">
        <w:rPr>
          <w:rFonts w:ascii="Verdana" w:hAnsi="Verdana"/>
          <w:spacing w:val="-2"/>
          <w:sz w:val="20"/>
          <w:szCs w:val="20"/>
          <w:lang w:val="es-ES_tradnl"/>
        </w:rPr>
        <w:t xml:space="preserve"> 8 y 25 de la Convención Americana, </w:t>
      </w:r>
      <w:r w:rsidR="00C3693F">
        <w:rPr>
          <w:rFonts w:ascii="Verdana" w:hAnsi="Verdana"/>
          <w:spacing w:val="-2"/>
          <w:sz w:val="20"/>
          <w:szCs w:val="20"/>
          <w:lang w:val="es-ES_tradnl"/>
        </w:rPr>
        <w:t xml:space="preserve">y </w:t>
      </w:r>
      <w:r w:rsidR="005E7C96" w:rsidRPr="009D2895">
        <w:rPr>
          <w:rFonts w:ascii="Verdana" w:hAnsi="Verdana"/>
          <w:spacing w:val="-2"/>
          <w:sz w:val="20"/>
          <w:szCs w:val="20"/>
          <w:lang w:val="es-ES_tradnl"/>
        </w:rPr>
        <w:t xml:space="preserve">las alegadas violaciones de los artículos 1, 6 y 8 de la Convención Interamericana para Prevenir y Sancionar la Tortura y los artículos I y III de la Convención </w:t>
      </w:r>
      <w:r w:rsidR="005E7C96" w:rsidRPr="00866A20">
        <w:rPr>
          <w:rFonts w:ascii="Verdana" w:hAnsi="Verdana"/>
          <w:spacing w:val="-2"/>
          <w:sz w:val="20"/>
          <w:szCs w:val="20"/>
          <w:lang w:val="es-ES_tradnl"/>
        </w:rPr>
        <w:t xml:space="preserve">Interamericana sobre Desaparición Forzadas de Personas. </w:t>
      </w:r>
    </w:p>
    <w:p w14:paraId="73DF5312" w14:textId="77777777" w:rsidR="005E7C96" w:rsidRPr="00866A20" w:rsidRDefault="005E7C96" w:rsidP="00830E50">
      <w:pPr>
        <w:autoSpaceDE w:val="0"/>
        <w:autoSpaceDN w:val="0"/>
        <w:adjustRightInd w:val="0"/>
        <w:rPr>
          <w:rFonts w:ascii="Verdana" w:eastAsiaTheme="minorHAnsi" w:hAnsi="Verdana" w:cs="Verdana"/>
          <w:b/>
          <w:bCs/>
          <w:color w:val="000000"/>
          <w:sz w:val="20"/>
          <w:szCs w:val="20"/>
          <w:lang w:val="es-ES_tradnl"/>
        </w:rPr>
      </w:pPr>
    </w:p>
    <w:p w14:paraId="5982D325" w14:textId="77777777" w:rsidR="00886797" w:rsidRPr="00866A20" w:rsidRDefault="00886797" w:rsidP="00886797">
      <w:pPr>
        <w:pStyle w:val="Prrafodelista"/>
        <w:numPr>
          <w:ilvl w:val="0"/>
          <w:numId w:val="1"/>
        </w:numPr>
        <w:autoSpaceDE w:val="0"/>
        <w:autoSpaceDN w:val="0"/>
        <w:adjustRightInd w:val="0"/>
        <w:rPr>
          <w:rFonts w:ascii="Verdana" w:eastAsiaTheme="minorHAnsi" w:hAnsi="Verdana" w:cs="Verdana"/>
          <w:b/>
          <w:color w:val="000000"/>
          <w:sz w:val="20"/>
          <w:szCs w:val="20"/>
          <w:lang w:val="es-EC"/>
        </w:rPr>
      </w:pPr>
      <w:r w:rsidRPr="00866A20">
        <w:rPr>
          <w:rFonts w:ascii="Verdana" w:eastAsiaTheme="minorHAnsi" w:hAnsi="Verdana" w:cs="Verdana"/>
          <w:b/>
          <w:color w:val="000000"/>
          <w:sz w:val="20"/>
          <w:szCs w:val="20"/>
          <w:lang w:val="es-EC"/>
        </w:rPr>
        <w:t xml:space="preserve">Excepciones Preliminares y Cuestiones Previas </w:t>
      </w:r>
    </w:p>
    <w:p w14:paraId="0AEB2B28" w14:textId="77777777" w:rsidR="00866A20" w:rsidRPr="00866A20" w:rsidRDefault="00866A20" w:rsidP="00866A20">
      <w:pPr>
        <w:autoSpaceDE w:val="0"/>
        <w:autoSpaceDN w:val="0"/>
        <w:adjustRightInd w:val="0"/>
        <w:rPr>
          <w:rFonts w:ascii="Verdana" w:eastAsiaTheme="minorHAnsi" w:hAnsi="Verdana" w:cs="Verdana"/>
          <w:b/>
          <w:color w:val="000000"/>
          <w:sz w:val="20"/>
          <w:szCs w:val="20"/>
          <w:lang w:val="es-EC"/>
        </w:rPr>
      </w:pPr>
    </w:p>
    <w:p w14:paraId="7AE3428B" w14:textId="77777777" w:rsidR="00F9403A" w:rsidRPr="00226BAB" w:rsidRDefault="005A59B4" w:rsidP="00226BAB">
      <w:pPr>
        <w:pStyle w:val="Prrafodelista"/>
        <w:tabs>
          <w:tab w:val="left" w:pos="0"/>
        </w:tabs>
        <w:autoSpaceDE w:val="0"/>
        <w:autoSpaceDN w:val="0"/>
        <w:adjustRightInd w:val="0"/>
        <w:ind w:left="0"/>
        <w:jc w:val="both"/>
        <w:rPr>
          <w:rFonts w:ascii="Verdana" w:hAnsi="Verdana"/>
          <w:sz w:val="20"/>
          <w:szCs w:val="20"/>
          <w:lang w:val="es-PR"/>
        </w:rPr>
      </w:pPr>
      <w:r>
        <w:rPr>
          <w:rFonts w:ascii="Verdana" w:eastAsia="Calibri" w:hAnsi="Verdana"/>
          <w:spacing w:val="-2"/>
          <w:sz w:val="20"/>
          <w:szCs w:val="20"/>
        </w:rPr>
        <w:t>La</w:t>
      </w:r>
      <w:r w:rsidRPr="002F6F31">
        <w:rPr>
          <w:rFonts w:ascii="Verdana" w:eastAsia="Calibri" w:hAnsi="Verdana"/>
          <w:spacing w:val="-2"/>
          <w:sz w:val="20"/>
          <w:szCs w:val="20"/>
        </w:rPr>
        <w:t xml:space="preserve"> Corte resolvió </w:t>
      </w:r>
      <w:r w:rsidR="00C3693F">
        <w:rPr>
          <w:rFonts w:ascii="Verdana" w:hAnsi="Verdana"/>
          <w:sz w:val="20"/>
          <w:szCs w:val="20"/>
        </w:rPr>
        <w:t>dos</w:t>
      </w:r>
      <w:r w:rsidR="00866A20" w:rsidRPr="00866A20">
        <w:rPr>
          <w:rFonts w:ascii="Verdana" w:hAnsi="Verdana"/>
          <w:sz w:val="20"/>
          <w:szCs w:val="20"/>
        </w:rPr>
        <w:t xml:space="preserve"> excepciones preliminares</w:t>
      </w:r>
      <w:r w:rsidR="00396C6C">
        <w:rPr>
          <w:rFonts w:ascii="Verdana" w:hAnsi="Verdana"/>
          <w:sz w:val="20"/>
          <w:szCs w:val="20"/>
        </w:rPr>
        <w:t xml:space="preserve"> </w:t>
      </w:r>
      <w:r w:rsidR="00396C6C">
        <w:rPr>
          <w:rFonts w:ascii="Verdana" w:hAnsi="Verdana"/>
          <w:spacing w:val="-2"/>
          <w:sz w:val="20"/>
          <w:szCs w:val="20"/>
          <w:lang w:val="es-ES_tradnl"/>
        </w:rPr>
        <w:t>interpuestas por el Estado</w:t>
      </w:r>
      <w:r w:rsidR="00866A20" w:rsidRPr="00866A20">
        <w:rPr>
          <w:rFonts w:ascii="Verdana" w:hAnsi="Verdana"/>
          <w:spacing w:val="-2"/>
          <w:sz w:val="20"/>
          <w:szCs w:val="20"/>
          <w:lang w:val="es-ES_tradnl"/>
        </w:rPr>
        <w:t>.</w:t>
      </w:r>
      <w:r w:rsidR="00226BAB">
        <w:rPr>
          <w:rFonts w:ascii="Verdana" w:hAnsi="Verdana"/>
          <w:spacing w:val="-2"/>
          <w:sz w:val="20"/>
          <w:szCs w:val="20"/>
          <w:lang w:val="es-ES_tradnl"/>
        </w:rPr>
        <w:t xml:space="preserve"> </w:t>
      </w:r>
      <w:r w:rsidR="00C3693F">
        <w:rPr>
          <w:rFonts w:ascii="Verdana" w:hAnsi="Verdana"/>
          <w:spacing w:val="-2"/>
          <w:sz w:val="20"/>
          <w:szCs w:val="20"/>
          <w:lang w:val="es-ES_tradnl"/>
        </w:rPr>
        <w:t xml:space="preserve">Primeramente, </w:t>
      </w:r>
      <w:r w:rsidR="00C3693F">
        <w:rPr>
          <w:rFonts w:ascii="Verdana" w:hAnsi="Verdana"/>
          <w:sz w:val="20"/>
          <w:szCs w:val="20"/>
        </w:rPr>
        <w:t xml:space="preserve">desestimó </w:t>
      </w:r>
      <w:r w:rsidR="00866A20" w:rsidRPr="00866A20">
        <w:rPr>
          <w:rFonts w:ascii="Verdana" w:hAnsi="Verdana"/>
          <w:spacing w:val="-2"/>
          <w:sz w:val="20"/>
          <w:szCs w:val="20"/>
          <w:lang w:val="es-ES_tradnl"/>
        </w:rPr>
        <w:t xml:space="preserve">la excepción de falta de agotamiento de recursos internos, </w:t>
      </w:r>
      <w:r w:rsidR="005F6308">
        <w:rPr>
          <w:rFonts w:ascii="Verdana" w:hAnsi="Verdana"/>
          <w:sz w:val="20"/>
          <w:szCs w:val="20"/>
        </w:rPr>
        <w:t xml:space="preserve">pues </w:t>
      </w:r>
      <w:r w:rsidR="00840B67">
        <w:rPr>
          <w:rFonts w:ascii="Verdana" w:hAnsi="Verdana"/>
          <w:sz w:val="20"/>
          <w:szCs w:val="20"/>
        </w:rPr>
        <w:t>consideró</w:t>
      </w:r>
      <w:r w:rsidR="00866A20">
        <w:rPr>
          <w:rFonts w:ascii="Verdana" w:hAnsi="Verdana"/>
          <w:sz w:val="20"/>
          <w:szCs w:val="20"/>
        </w:rPr>
        <w:t xml:space="preserve"> que: i) </w:t>
      </w:r>
      <w:r w:rsidR="00C3693F">
        <w:rPr>
          <w:rFonts w:ascii="Verdana" w:hAnsi="Verdana"/>
          <w:sz w:val="20"/>
          <w:szCs w:val="20"/>
        </w:rPr>
        <w:t xml:space="preserve">esta </w:t>
      </w:r>
      <w:r w:rsidR="00226BAB">
        <w:rPr>
          <w:rFonts w:ascii="Verdana" w:hAnsi="Verdana"/>
          <w:sz w:val="20"/>
          <w:szCs w:val="20"/>
          <w:lang w:val="es-PR"/>
        </w:rPr>
        <w:t>no resulta</w:t>
      </w:r>
      <w:r w:rsidR="005F6308">
        <w:rPr>
          <w:rFonts w:ascii="Verdana" w:hAnsi="Verdana"/>
          <w:sz w:val="20"/>
          <w:szCs w:val="20"/>
          <w:lang w:val="es-PR"/>
        </w:rPr>
        <w:t>ba</w:t>
      </w:r>
      <w:r w:rsidR="00866A20" w:rsidRPr="00882F11">
        <w:rPr>
          <w:rFonts w:ascii="Verdana" w:hAnsi="Verdana"/>
          <w:sz w:val="20"/>
          <w:szCs w:val="20"/>
          <w:lang w:val="es-PR"/>
        </w:rPr>
        <w:t xml:space="preserve"> compatible con el reconocimiento parcial de responsabilidad efectuado en el presente caso, ya que, de declararse procedente, sustraería todos los hechos y violaciones admitidas por </w:t>
      </w:r>
      <w:r w:rsidR="00866A20">
        <w:rPr>
          <w:rFonts w:ascii="Verdana" w:hAnsi="Verdana"/>
          <w:sz w:val="20"/>
          <w:szCs w:val="20"/>
          <w:lang w:val="es-PR"/>
        </w:rPr>
        <w:t>el Perú</w:t>
      </w:r>
      <w:r w:rsidR="00866A20" w:rsidRPr="00882F11">
        <w:rPr>
          <w:rFonts w:ascii="Verdana" w:hAnsi="Verdana"/>
          <w:sz w:val="20"/>
          <w:szCs w:val="20"/>
          <w:lang w:val="es-PR"/>
        </w:rPr>
        <w:t xml:space="preserve"> </w:t>
      </w:r>
      <w:r w:rsidR="00866A20">
        <w:rPr>
          <w:rFonts w:ascii="Verdana" w:hAnsi="Verdana"/>
          <w:sz w:val="20"/>
          <w:szCs w:val="20"/>
          <w:lang w:val="es-PR"/>
        </w:rPr>
        <w:t>de la jurisdicción del Tribunal y,</w:t>
      </w:r>
      <w:r w:rsidR="00866A20">
        <w:rPr>
          <w:rFonts w:ascii="Verdana" w:hAnsi="Verdana"/>
          <w:sz w:val="20"/>
          <w:szCs w:val="20"/>
        </w:rPr>
        <w:t xml:space="preserve"> ii) e</w:t>
      </w:r>
      <w:r w:rsidR="00866A20" w:rsidRPr="00872E5D">
        <w:rPr>
          <w:rFonts w:ascii="Verdana" w:hAnsi="Verdana"/>
          <w:sz w:val="20"/>
          <w:szCs w:val="20"/>
        </w:rPr>
        <w:t xml:space="preserve">l Perú no especificó por qué los recursos </w:t>
      </w:r>
      <w:r w:rsidR="005F6308">
        <w:rPr>
          <w:rFonts w:ascii="Verdana" w:hAnsi="Verdana"/>
          <w:sz w:val="20"/>
          <w:szCs w:val="20"/>
        </w:rPr>
        <w:t xml:space="preserve">y procesos </w:t>
      </w:r>
      <w:r w:rsidR="00866A20" w:rsidRPr="00872E5D">
        <w:rPr>
          <w:rFonts w:ascii="Verdana" w:hAnsi="Verdana"/>
          <w:sz w:val="20"/>
          <w:szCs w:val="20"/>
        </w:rPr>
        <w:t xml:space="preserve">mencionados en sus escritos </w:t>
      </w:r>
      <w:r w:rsidR="00866A20">
        <w:rPr>
          <w:rFonts w:ascii="Verdana" w:hAnsi="Verdana"/>
          <w:sz w:val="20"/>
          <w:szCs w:val="20"/>
        </w:rPr>
        <w:t xml:space="preserve">ante la Comisión </w:t>
      </w:r>
      <w:r w:rsidR="00866A20" w:rsidRPr="00872E5D">
        <w:rPr>
          <w:rFonts w:ascii="Verdana" w:hAnsi="Verdana"/>
          <w:sz w:val="20"/>
          <w:szCs w:val="20"/>
        </w:rPr>
        <w:t>serían, a su juicio, adecuados, idóneos y efectivos</w:t>
      </w:r>
      <w:r w:rsidR="005F6308">
        <w:rPr>
          <w:rFonts w:ascii="Verdana" w:hAnsi="Verdana"/>
          <w:sz w:val="20"/>
          <w:szCs w:val="20"/>
        </w:rPr>
        <w:t>, por tanto,</w:t>
      </w:r>
      <w:r w:rsidR="00866A20" w:rsidRPr="00872E5D">
        <w:rPr>
          <w:rFonts w:ascii="Verdana" w:hAnsi="Verdana"/>
          <w:sz w:val="20"/>
          <w:szCs w:val="20"/>
        </w:rPr>
        <w:t xml:space="preserve"> no </w:t>
      </w:r>
      <w:r w:rsidR="005F6308">
        <w:rPr>
          <w:rFonts w:ascii="Verdana" w:hAnsi="Verdana"/>
          <w:sz w:val="20"/>
          <w:szCs w:val="20"/>
        </w:rPr>
        <w:t>se</w:t>
      </w:r>
      <w:r w:rsidR="00866A20" w:rsidRPr="00872E5D">
        <w:rPr>
          <w:rFonts w:ascii="Verdana" w:hAnsi="Verdana"/>
          <w:sz w:val="20"/>
          <w:szCs w:val="20"/>
        </w:rPr>
        <w:t xml:space="preserve"> cumplió con los requisitos materiales para la presentación de esta excepción</w:t>
      </w:r>
      <w:r w:rsidR="00705739" w:rsidRPr="002964A7">
        <w:rPr>
          <w:rFonts w:ascii="Verdana" w:hAnsi="Verdana"/>
          <w:sz w:val="20"/>
          <w:szCs w:val="20"/>
          <w:lang w:val="es-ES_tradnl" w:eastAsia="es-ES"/>
        </w:rPr>
        <w:t>.</w:t>
      </w:r>
      <w:r w:rsidR="00705739" w:rsidRPr="002964A7">
        <w:rPr>
          <w:rFonts w:ascii="Verdana" w:hAnsi="Verdana"/>
          <w:sz w:val="20"/>
          <w:szCs w:val="20"/>
          <w:lang w:val="es-PR"/>
        </w:rPr>
        <w:t xml:space="preserve"> </w:t>
      </w:r>
      <w:r w:rsidR="00F9403A">
        <w:rPr>
          <w:rFonts w:ascii="Verdana" w:hAnsi="Verdana"/>
          <w:sz w:val="20"/>
          <w:szCs w:val="20"/>
          <w:lang w:val="es-PR"/>
        </w:rPr>
        <w:t xml:space="preserve">En </w:t>
      </w:r>
      <w:r w:rsidR="00C3693F">
        <w:rPr>
          <w:rFonts w:ascii="Verdana" w:hAnsi="Verdana"/>
          <w:sz w:val="20"/>
          <w:szCs w:val="20"/>
          <w:lang w:val="es-PR"/>
        </w:rPr>
        <w:t xml:space="preserve">segundo lugar, la Corte desestimó </w:t>
      </w:r>
      <w:r w:rsidR="00F9403A">
        <w:rPr>
          <w:rFonts w:ascii="Verdana" w:hAnsi="Verdana"/>
          <w:sz w:val="20"/>
          <w:szCs w:val="20"/>
          <w:lang w:val="es-PR"/>
        </w:rPr>
        <w:t>la</w:t>
      </w:r>
      <w:r w:rsidR="00F9403A" w:rsidRPr="00F9403A">
        <w:rPr>
          <w:rFonts w:ascii="Verdana" w:hAnsi="Verdana"/>
          <w:spacing w:val="-2"/>
          <w:sz w:val="20"/>
          <w:szCs w:val="20"/>
          <w:lang w:val="es-ES_tradnl"/>
        </w:rPr>
        <w:t xml:space="preserve"> </w:t>
      </w:r>
      <w:r w:rsidR="00F9403A" w:rsidRPr="00866A20">
        <w:rPr>
          <w:rFonts w:ascii="Verdana" w:hAnsi="Verdana"/>
          <w:spacing w:val="-2"/>
          <w:sz w:val="20"/>
          <w:szCs w:val="20"/>
          <w:lang w:val="es-ES_tradnl"/>
        </w:rPr>
        <w:t>excepción</w:t>
      </w:r>
      <w:r w:rsidR="00226BAB">
        <w:rPr>
          <w:rFonts w:ascii="Verdana" w:hAnsi="Verdana"/>
          <w:spacing w:val="-2"/>
          <w:sz w:val="20"/>
          <w:szCs w:val="20"/>
          <w:lang w:val="es-ES_tradnl"/>
        </w:rPr>
        <w:t xml:space="preserve"> de incompetencia</w:t>
      </w:r>
      <w:r w:rsidR="00F9403A" w:rsidRPr="00866A20">
        <w:rPr>
          <w:rFonts w:ascii="Verdana" w:hAnsi="Verdana"/>
          <w:spacing w:val="-2"/>
          <w:sz w:val="20"/>
          <w:szCs w:val="20"/>
          <w:lang w:val="es-ES_tradnl"/>
        </w:rPr>
        <w:t xml:space="preserve"> </w:t>
      </w:r>
      <w:r w:rsidR="00F9403A" w:rsidRPr="00866A20">
        <w:rPr>
          <w:rFonts w:ascii="Verdana" w:hAnsi="Verdana"/>
          <w:i/>
          <w:spacing w:val="-2"/>
          <w:sz w:val="20"/>
          <w:szCs w:val="20"/>
          <w:lang w:val="es-ES_tradnl"/>
        </w:rPr>
        <w:t>ratione materiae</w:t>
      </w:r>
      <w:r w:rsidR="00F9403A" w:rsidRPr="00866A20">
        <w:rPr>
          <w:rFonts w:ascii="Verdana" w:hAnsi="Verdana"/>
          <w:spacing w:val="-2"/>
          <w:sz w:val="20"/>
          <w:szCs w:val="20"/>
          <w:lang w:val="es-ES_tradnl"/>
        </w:rPr>
        <w:t xml:space="preserve"> respecto a la Convención Interamericana sobre Desaparición Forzada</w:t>
      </w:r>
      <w:r w:rsidR="00C3693F">
        <w:rPr>
          <w:rFonts w:ascii="Verdana" w:hAnsi="Verdana"/>
          <w:spacing w:val="-2"/>
          <w:sz w:val="20"/>
          <w:szCs w:val="20"/>
          <w:lang w:val="es-ES_tradnl"/>
        </w:rPr>
        <w:t xml:space="preserve"> de Personas</w:t>
      </w:r>
      <w:r w:rsidR="00F9403A">
        <w:rPr>
          <w:rFonts w:ascii="Verdana" w:hAnsi="Verdana"/>
          <w:spacing w:val="-2"/>
          <w:sz w:val="20"/>
          <w:szCs w:val="20"/>
          <w:lang w:val="es-ES_tradnl"/>
        </w:rPr>
        <w:t xml:space="preserve">, </w:t>
      </w:r>
      <w:r w:rsidR="00226BAB">
        <w:rPr>
          <w:rFonts w:ascii="Verdana" w:hAnsi="Verdana"/>
          <w:sz w:val="20"/>
          <w:szCs w:val="20"/>
        </w:rPr>
        <w:t>pues</w:t>
      </w:r>
      <w:r w:rsidR="00F9403A" w:rsidRPr="00F9403A">
        <w:rPr>
          <w:rFonts w:ascii="Verdana" w:hAnsi="Verdana"/>
          <w:sz w:val="20"/>
          <w:szCs w:val="20"/>
        </w:rPr>
        <w:t xml:space="preserve"> consideró que</w:t>
      </w:r>
      <w:r w:rsidR="00F9403A" w:rsidRPr="0046201A">
        <w:rPr>
          <w:rFonts w:ascii="Verdana" w:hAnsi="Verdana"/>
          <w:b/>
          <w:sz w:val="20"/>
          <w:szCs w:val="20"/>
        </w:rPr>
        <w:t xml:space="preserve"> </w:t>
      </w:r>
      <w:r w:rsidR="00F9403A">
        <w:rPr>
          <w:rFonts w:ascii="Verdana" w:hAnsi="Verdana"/>
          <w:sz w:val="20"/>
          <w:szCs w:val="20"/>
        </w:rPr>
        <w:t>e</w:t>
      </w:r>
      <w:r w:rsidR="00F9403A" w:rsidRPr="004B1607">
        <w:rPr>
          <w:rFonts w:ascii="Verdana" w:hAnsi="Verdana" w:cs="Arial"/>
          <w:sz w:val="20"/>
          <w:szCs w:val="20"/>
          <w:lang w:val="es-GT"/>
        </w:rPr>
        <w:t xml:space="preserve">l alegato de que lo ocurrido en el presente caso pudiere constituir una desaparición forzada </w:t>
      </w:r>
      <w:r w:rsidR="004722B4">
        <w:rPr>
          <w:rFonts w:ascii="Verdana" w:hAnsi="Verdana" w:cs="Arial"/>
          <w:sz w:val="20"/>
          <w:szCs w:val="20"/>
          <w:lang w:val="es-GT"/>
        </w:rPr>
        <w:t>sería</w:t>
      </w:r>
      <w:r w:rsidR="004722B4" w:rsidRPr="004B1607">
        <w:rPr>
          <w:rFonts w:ascii="Verdana" w:hAnsi="Verdana" w:cs="Arial"/>
          <w:sz w:val="20"/>
          <w:szCs w:val="20"/>
          <w:lang w:val="es-GT"/>
        </w:rPr>
        <w:t xml:space="preserve"> </w:t>
      </w:r>
      <w:r w:rsidR="00F9403A" w:rsidRPr="004B1607">
        <w:rPr>
          <w:rFonts w:ascii="Verdana" w:hAnsi="Verdana" w:cs="Arial"/>
          <w:sz w:val="20"/>
          <w:szCs w:val="20"/>
          <w:lang w:val="es-GT"/>
        </w:rPr>
        <w:t xml:space="preserve">suficiente para que la Corte ejerza su competencia para conocer de una posible violación de </w:t>
      </w:r>
      <w:r w:rsidR="00A82185">
        <w:rPr>
          <w:rFonts w:ascii="Verdana" w:hAnsi="Verdana" w:cs="Arial"/>
          <w:sz w:val="20"/>
          <w:szCs w:val="20"/>
          <w:lang w:val="es-GT"/>
        </w:rPr>
        <w:t>dich</w:t>
      </w:r>
      <w:r w:rsidR="00B84A41">
        <w:rPr>
          <w:rFonts w:ascii="Verdana" w:hAnsi="Verdana" w:cs="Arial"/>
          <w:sz w:val="20"/>
          <w:szCs w:val="20"/>
          <w:lang w:val="es-GT"/>
        </w:rPr>
        <w:t>a</w:t>
      </w:r>
      <w:r w:rsidR="00A82185">
        <w:rPr>
          <w:rFonts w:ascii="Verdana" w:hAnsi="Verdana" w:cs="Arial"/>
          <w:sz w:val="20"/>
          <w:szCs w:val="20"/>
          <w:lang w:val="es-GT"/>
        </w:rPr>
        <w:t xml:space="preserve"> </w:t>
      </w:r>
      <w:r w:rsidR="00B84A41">
        <w:rPr>
          <w:rFonts w:ascii="Verdana" w:hAnsi="Verdana" w:cs="Arial"/>
          <w:sz w:val="20"/>
          <w:szCs w:val="20"/>
          <w:lang w:val="es-GT"/>
        </w:rPr>
        <w:t>Convención</w:t>
      </w:r>
      <w:r w:rsidR="00F9403A" w:rsidRPr="004B1607">
        <w:rPr>
          <w:rFonts w:ascii="Verdana" w:hAnsi="Verdana" w:cs="Arial"/>
          <w:sz w:val="20"/>
          <w:szCs w:val="20"/>
          <w:lang w:val="es-GT"/>
        </w:rPr>
        <w:t xml:space="preserve">. </w:t>
      </w:r>
      <w:r w:rsidR="00B84A41">
        <w:rPr>
          <w:rFonts w:ascii="Verdana" w:hAnsi="Verdana" w:cs="Arial"/>
          <w:sz w:val="20"/>
          <w:szCs w:val="20"/>
          <w:lang w:val="es-GT"/>
        </w:rPr>
        <w:t>Ello en tanto que</w:t>
      </w:r>
      <w:r w:rsidR="00B84A41" w:rsidRPr="002964A7">
        <w:rPr>
          <w:rFonts w:ascii="Verdana" w:eastAsia="Calibri" w:hAnsi="Verdana" w:cs="Arial"/>
          <w:sz w:val="20"/>
          <w:szCs w:val="20"/>
          <w:lang w:val="es-GT"/>
        </w:rPr>
        <w:t xml:space="preserve"> la calificación de los hechos como desapariciones forzadas o ejecuciones extrajudiciales</w:t>
      </w:r>
      <w:r w:rsidR="00B84A41">
        <w:rPr>
          <w:rFonts w:ascii="Verdana" w:eastAsia="Calibri" w:hAnsi="Verdana" w:cs="Arial"/>
          <w:sz w:val="20"/>
          <w:szCs w:val="20"/>
          <w:lang w:val="es-GT"/>
        </w:rPr>
        <w:t xml:space="preserve"> y</w:t>
      </w:r>
      <w:r w:rsidR="00B84A41" w:rsidRPr="002964A7">
        <w:rPr>
          <w:rFonts w:ascii="Verdana" w:eastAsia="Calibri" w:hAnsi="Verdana" w:cs="Arial"/>
          <w:sz w:val="20"/>
          <w:szCs w:val="20"/>
          <w:lang w:val="es-GT"/>
        </w:rPr>
        <w:t xml:space="preserve"> la efectividad de la investigación desarrollada al respecto, </w:t>
      </w:r>
      <w:r w:rsidR="004722B4">
        <w:rPr>
          <w:rFonts w:ascii="Verdana" w:eastAsia="Calibri" w:hAnsi="Verdana" w:cs="Arial"/>
          <w:sz w:val="20"/>
          <w:szCs w:val="20"/>
          <w:lang w:val="es-GT"/>
        </w:rPr>
        <w:t>eran</w:t>
      </w:r>
      <w:r w:rsidR="00B84A41" w:rsidRPr="002964A7">
        <w:rPr>
          <w:rFonts w:ascii="Verdana" w:eastAsia="Calibri" w:hAnsi="Verdana" w:cs="Arial"/>
          <w:sz w:val="20"/>
          <w:szCs w:val="20"/>
          <w:lang w:val="es-GT"/>
        </w:rPr>
        <w:t xml:space="preserve"> cuestiones que forma</w:t>
      </w:r>
      <w:r w:rsidR="004722B4">
        <w:rPr>
          <w:rFonts w:ascii="Verdana" w:eastAsia="Calibri" w:hAnsi="Verdana" w:cs="Arial"/>
          <w:sz w:val="20"/>
          <w:szCs w:val="20"/>
          <w:lang w:val="es-GT"/>
        </w:rPr>
        <w:t>ban</w:t>
      </w:r>
      <w:r w:rsidR="00B84A41" w:rsidRPr="002964A7">
        <w:rPr>
          <w:rFonts w:ascii="Verdana" w:eastAsia="Calibri" w:hAnsi="Verdana" w:cs="Arial"/>
          <w:sz w:val="20"/>
          <w:szCs w:val="20"/>
          <w:lang w:val="es-GT"/>
        </w:rPr>
        <w:t xml:space="preserve"> parte de la controversia del caso</w:t>
      </w:r>
      <w:r w:rsidR="00B84A41">
        <w:rPr>
          <w:rFonts w:ascii="Verdana" w:eastAsia="Calibri" w:hAnsi="Verdana" w:cs="Arial"/>
          <w:sz w:val="20"/>
          <w:szCs w:val="20"/>
          <w:lang w:val="es-GT"/>
        </w:rPr>
        <w:t>, por lo que la eventual</w:t>
      </w:r>
      <w:r w:rsidR="00F9403A" w:rsidRPr="004B1607">
        <w:rPr>
          <w:rFonts w:ascii="Verdana" w:hAnsi="Verdana"/>
          <w:sz w:val="20"/>
          <w:szCs w:val="20"/>
          <w:lang w:val="es-AR"/>
        </w:rPr>
        <w:t xml:space="preserve"> aplicabilidad </w:t>
      </w:r>
      <w:r w:rsidR="00B84A41">
        <w:rPr>
          <w:rFonts w:ascii="Verdana" w:hAnsi="Verdana"/>
          <w:sz w:val="20"/>
          <w:szCs w:val="20"/>
          <w:lang w:val="es-AR"/>
        </w:rPr>
        <w:t xml:space="preserve">de dicho instrumento debía realizarse al analizar el fondo del </w:t>
      </w:r>
      <w:r w:rsidR="007A78C2">
        <w:rPr>
          <w:rFonts w:ascii="Verdana" w:hAnsi="Verdana"/>
          <w:sz w:val="20"/>
          <w:szCs w:val="20"/>
          <w:lang w:val="es-AR"/>
        </w:rPr>
        <w:t>asunto</w:t>
      </w:r>
      <w:r w:rsidR="00F9403A">
        <w:rPr>
          <w:rFonts w:ascii="Verdana" w:hAnsi="Verdana"/>
          <w:sz w:val="20"/>
          <w:szCs w:val="20"/>
          <w:lang w:val="es-AR"/>
        </w:rPr>
        <w:t>.</w:t>
      </w:r>
    </w:p>
    <w:p w14:paraId="7B7CC45B" w14:textId="77777777" w:rsidR="00F9403A" w:rsidRDefault="00F9403A" w:rsidP="00866A20">
      <w:pPr>
        <w:autoSpaceDE w:val="0"/>
        <w:autoSpaceDN w:val="0"/>
        <w:adjustRightInd w:val="0"/>
        <w:rPr>
          <w:rFonts w:ascii="Verdana" w:eastAsiaTheme="minorHAnsi" w:hAnsi="Verdana" w:cs="Verdana"/>
          <w:b/>
          <w:color w:val="000000"/>
          <w:sz w:val="20"/>
          <w:szCs w:val="20"/>
          <w:lang w:val="es-PR"/>
        </w:rPr>
      </w:pPr>
    </w:p>
    <w:p w14:paraId="7C85CC9E" w14:textId="77777777" w:rsidR="00F9403A" w:rsidRDefault="00226BAB" w:rsidP="002F4A9E">
      <w:pPr>
        <w:autoSpaceDE w:val="0"/>
        <w:autoSpaceDN w:val="0"/>
        <w:adjustRightInd w:val="0"/>
        <w:jc w:val="both"/>
        <w:rPr>
          <w:rFonts w:ascii="Verdana" w:eastAsiaTheme="minorHAnsi" w:hAnsi="Verdana" w:cs="Verdana"/>
          <w:b/>
          <w:color w:val="000000"/>
          <w:sz w:val="20"/>
          <w:szCs w:val="20"/>
          <w:lang w:val="es-PR"/>
        </w:rPr>
      </w:pPr>
      <w:r w:rsidRPr="002F6F31">
        <w:rPr>
          <w:rFonts w:ascii="Verdana" w:eastAsia="Calibri" w:hAnsi="Verdana"/>
          <w:spacing w:val="-2"/>
          <w:sz w:val="20"/>
          <w:szCs w:val="20"/>
        </w:rPr>
        <w:t>Además, la Corte resolvió</w:t>
      </w:r>
      <w:r w:rsidR="00C3693F">
        <w:rPr>
          <w:rFonts w:ascii="Verdana" w:eastAsia="Calibri" w:hAnsi="Verdana"/>
          <w:spacing w:val="-2"/>
          <w:sz w:val="20"/>
          <w:szCs w:val="20"/>
        </w:rPr>
        <w:t>,</w:t>
      </w:r>
      <w:r w:rsidRPr="002F6F31">
        <w:rPr>
          <w:rFonts w:ascii="Verdana" w:eastAsia="Calibri" w:hAnsi="Verdana"/>
          <w:spacing w:val="-2"/>
          <w:sz w:val="20"/>
          <w:szCs w:val="20"/>
        </w:rPr>
        <w:t xml:space="preserve"> </w:t>
      </w:r>
      <w:r w:rsidR="00ED5C9A">
        <w:rPr>
          <w:rFonts w:ascii="Verdana" w:eastAsia="Calibri" w:hAnsi="Verdana"/>
          <w:spacing w:val="-2"/>
          <w:sz w:val="20"/>
          <w:szCs w:val="20"/>
        </w:rPr>
        <w:t xml:space="preserve">en </w:t>
      </w:r>
      <w:r>
        <w:rPr>
          <w:rFonts w:ascii="Verdana" w:eastAsia="Calibri" w:hAnsi="Verdana"/>
          <w:spacing w:val="-2"/>
          <w:sz w:val="20"/>
          <w:szCs w:val="20"/>
        </w:rPr>
        <w:t>cuatro</w:t>
      </w:r>
      <w:r w:rsidRPr="002F6F31">
        <w:rPr>
          <w:rFonts w:ascii="Verdana" w:eastAsia="Calibri" w:hAnsi="Verdana"/>
          <w:spacing w:val="-2"/>
          <w:sz w:val="20"/>
          <w:szCs w:val="20"/>
        </w:rPr>
        <w:t xml:space="preserve"> </w:t>
      </w:r>
      <w:r w:rsidR="00BA67C7">
        <w:rPr>
          <w:rFonts w:ascii="Verdana" w:eastAsia="Calibri" w:hAnsi="Verdana"/>
          <w:spacing w:val="-2"/>
          <w:sz w:val="20"/>
          <w:szCs w:val="20"/>
        </w:rPr>
        <w:t>cuestiones</w:t>
      </w:r>
      <w:r w:rsidRPr="002F6F31">
        <w:rPr>
          <w:rFonts w:ascii="Verdana" w:eastAsia="Calibri" w:hAnsi="Verdana"/>
          <w:spacing w:val="-2"/>
          <w:sz w:val="20"/>
          <w:szCs w:val="20"/>
        </w:rPr>
        <w:t xml:space="preserve"> previas</w:t>
      </w:r>
      <w:r w:rsidR="00C31161">
        <w:rPr>
          <w:rFonts w:ascii="Verdana" w:eastAsia="Calibri" w:hAnsi="Verdana"/>
          <w:spacing w:val="-2"/>
          <w:sz w:val="20"/>
          <w:szCs w:val="20"/>
        </w:rPr>
        <w:t xml:space="preserve">: </w:t>
      </w:r>
      <w:r w:rsidR="00B26CA8">
        <w:rPr>
          <w:rFonts w:ascii="Verdana" w:eastAsia="Calibri" w:hAnsi="Verdana"/>
          <w:spacing w:val="-2"/>
          <w:sz w:val="20"/>
          <w:szCs w:val="20"/>
        </w:rPr>
        <w:t>i)</w:t>
      </w:r>
      <w:r w:rsidR="00BE1A56" w:rsidRPr="00BA67C7">
        <w:rPr>
          <w:rFonts w:ascii="Verdana" w:hAnsi="Verdana"/>
          <w:sz w:val="20"/>
          <w:szCs w:val="20"/>
        </w:rPr>
        <w:t xml:space="preserve"> </w:t>
      </w:r>
      <w:r w:rsidR="00252970">
        <w:rPr>
          <w:rFonts w:ascii="Verdana" w:hAnsi="Verdana"/>
          <w:sz w:val="20"/>
          <w:szCs w:val="20"/>
        </w:rPr>
        <w:t xml:space="preserve">incluir a </w:t>
      </w:r>
      <w:r w:rsidR="00C31161">
        <w:rPr>
          <w:rFonts w:ascii="Verdana" w:hAnsi="Verdana"/>
          <w:sz w:val="20"/>
          <w:szCs w:val="20"/>
        </w:rPr>
        <w:t>una persona que no figuró en el Informe de Admisibilidad y Fondo</w:t>
      </w:r>
      <w:r w:rsidR="00252970" w:rsidRPr="00BA67C7">
        <w:rPr>
          <w:rFonts w:ascii="Verdana" w:hAnsi="Verdana"/>
          <w:sz w:val="20"/>
          <w:szCs w:val="20"/>
        </w:rPr>
        <w:t xml:space="preserve"> como presunta víctima</w:t>
      </w:r>
      <w:r w:rsidR="00252970">
        <w:rPr>
          <w:rFonts w:ascii="Verdana" w:hAnsi="Verdana"/>
          <w:sz w:val="20"/>
          <w:szCs w:val="20"/>
        </w:rPr>
        <w:t xml:space="preserve"> </w:t>
      </w:r>
      <w:r w:rsidR="00C31161">
        <w:rPr>
          <w:rFonts w:ascii="Verdana" w:hAnsi="Verdana"/>
          <w:sz w:val="20"/>
          <w:szCs w:val="20"/>
        </w:rPr>
        <w:t>en el caso</w:t>
      </w:r>
      <w:r w:rsidR="00071FD8">
        <w:rPr>
          <w:rFonts w:ascii="Verdana" w:hAnsi="Verdana" w:cs="Arial"/>
          <w:sz w:val="20"/>
          <w:szCs w:val="20"/>
          <w:lang w:val="es-ES"/>
        </w:rPr>
        <w:t>,</w:t>
      </w:r>
      <w:r w:rsidR="00A61E31">
        <w:rPr>
          <w:rFonts w:ascii="Verdana" w:hAnsi="Verdana"/>
          <w:sz w:val="20"/>
          <w:szCs w:val="20"/>
        </w:rPr>
        <w:t xml:space="preserve"> </w:t>
      </w:r>
      <w:r w:rsidR="00252970">
        <w:rPr>
          <w:rFonts w:ascii="Verdana" w:hAnsi="Verdana"/>
          <w:sz w:val="20"/>
          <w:szCs w:val="20"/>
        </w:rPr>
        <w:t>ya que</w:t>
      </w:r>
      <w:r w:rsidR="00F412BC">
        <w:rPr>
          <w:rFonts w:ascii="Verdana" w:hAnsi="Verdana"/>
          <w:sz w:val="20"/>
          <w:szCs w:val="20"/>
        </w:rPr>
        <w:t xml:space="preserve"> </w:t>
      </w:r>
      <w:r w:rsidR="00BA67C7" w:rsidRPr="00BA67C7">
        <w:rPr>
          <w:rFonts w:ascii="Verdana" w:hAnsi="Verdana" w:cs="Arial"/>
          <w:sz w:val="20"/>
          <w:szCs w:val="20"/>
          <w:lang w:val="es-ES"/>
        </w:rPr>
        <w:t>estimó razonable que hubiese sido complejo identificarla inicialmente como presunta víctima</w:t>
      </w:r>
      <w:r w:rsidR="00B26CA8">
        <w:rPr>
          <w:rFonts w:ascii="Verdana" w:hAnsi="Verdana" w:cs="Arial"/>
          <w:sz w:val="20"/>
          <w:szCs w:val="20"/>
          <w:lang w:val="es-ES"/>
        </w:rPr>
        <w:t>; ii)</w:t>
      </w:r>
      <w:r w:rsidR="00113145" w:rsidRPr="00BA67C7">
        <w:rPr>
          <w:rFonts w:ascii="Verdana" w:hAnsi="Verdana"/>
          <w:sz w:val="20"/>
          <w:szCs w:val="20"/>
          <w:lang w:val="es-ES"/>
        </w:rPr>
        <w:t xml:space="preserve"> consider</w:t>
      </w:r>
      <w:r w:rsidR="00C31161">
        <w:rPr>
          <w:rFonts w:ascii="Verdana" w:hAnsi="Verdana"/>
          <w:sz w:val="20"/>
          <w:szCs w:val="20"/>
          <w:lang w:val="es-ES"/>
        </w:rPr>
        <w:t>ar</w:t>
      </w:r>
      <w:r w:rsidR="00F9403A" w:rsidRPr="00BA67C7">
        <w:rPr>
          <w:rFonts w:ascii="Verdana" w:hAnsi="Verdana"/>
          <w:sz w:val="20"/>
          <w:szCs w:val="20"/>
          <w:lang w:val="es-ES"/>
        </w:rPr>
        <w:t xml:space="preserve"> </w:t>
      </w:r>
      <w:r w:rsidR="00071FD8">
        <w:rPr>
          <w:rFonts w:ascii="Verdana" w:hAnsi="Verdana"/>
          <w:sz w:val="20"/>
          <w:szCs w:val="20"/>
          <w:lang w:val="es-ES"/>
        </w:rPr>
        <w:t xml:space="preserve">como presunta víctima </w:t>
      </w:r>
      <w:r w:rsidR="00C31161">
        <w:rPr>
          <w:rFonts w:ascii="Verdana" w:hAnsi="Verdana" w:cs="Arial"/>
          <w:sz w:val="20"/>
          <w:szCs w:val="20"/>
          <w:lang w:val="es-GT"/>
        </w:rPr>
        <w:t>a una persona</w:t>
      </w:r>
      <w:r w:rsidR="00864ACD">
        <w:rPr>
          <w:rFonts w:ascii="Verdana" w:hAnsi="Verdana"/>
          <w:sz w:val="20"/>
          <w:szCs w:val="20"/>
          <w:lang w:val="es-ES"/>
        </w:rPr>
        <w:t xml:space="preserve"> quien expresó su voluntad de </w:t>
      </w:r>
      <w:r w:rsidR="00864ACD" w:rsidRPr="002964A7">
        <w:rPr>
          <w:rFonts w:ascii="Verdana" w:hAnsi="Verdana"/>
          <w:sz w:val="20"/>
          <w:szCs w:val="20"/>
          <w:lang w:val="es-ES"/>
        </w:rPr>
        <w:t xml:space="preserve">continuar como </w:t>
      </w:r>
      <w:r w:rsidR="00B86CB2">
        <w:rPr>
          <w:rFonts w:ascii="Verdana" w:hAnsi="Verdana"/>
          <w:sz w:val="20"/>
          <w:szCs w:val="20"/>
          <w:lang w:val="es-ES"/>
        </w:rPr>
        <w:t xml:space="preserve">tal en </w:t>
      </w:r>
      <w:r w:rsidR="00864ACD" w:rsidRPr="002964A7">
        <w:rPr>
          <w:rFonts w:ascii="Verdana" w:hAnsi="Verdana"/>
          <w:sz w:val="20"/>
          <w:szCs w:val="20"/>
          <w:lang w:val="es-ES"/>
        </w:rPr>
        <w:t>el caso</w:t>
      </w:r>
      <w:r w:rsidR="00864ACD">
        <w:rPr>
          <w:rFonts w:ascii="Verdana" w:hAnsi="Verdana"/>
          <w:sz w:val="20"/>
          <w:szCs w:val="20"/>
          <w:lang w:val="es-ES"/>
        </w:rPr>
        <w:t xml:space="preserve"> pero no participar en el litigio por temor</w:t>
      </w:r>
      <w:r w:rsidR="00B26CA8">
        <w:rPr>
          <w:rFonts w:ascii="Verdana" w:hAnsi="Verdana"/>
          <w:sz w:val="20"/>
          <w:szCs w:val="20"/>
          <w:lang w:val="es-ES"/>
        </w:rPr>
        <w:t>; iii)</w:t>
      </w:r>
      <w:r w:rsidRPr="00BA67C7">
        <w:rPr>
          <w:rFonts w:ascii="Verdana" w:hAnsi="Verdana"/>
          <w:sz w:val="20"/>
          <w:szCs w:val="20"/>
        </w:rPr>
        <w:t xml:space="preserve"> determin</w:t>
      </w:r>
      <w:r w:rsidR="0058247C">
        <w:rPr>
          <w:rFonts w:ascii="Verdana" w:hAnsi="Verdana"/>
          <w:sz w:val="20"/>
          <w:szCs w:val="20"/>
        </w:rPr>
        <w:t>ar</w:t>
      </w:r>
      <w:r w:rsidR="00113145" w:rsidRPr="00BA67C7">
        <w:rPr>
          <w:rFonts w:ascii="Verdana" w:hAnsi="Verdana"/>
          <w:sz w:val="20"/>
          <w:szCs w:val="20"/>
        </w:rPr>
        <w:t xml:space="preserve"> que </w:t>
      </w:r>
      <w:r w:rsidR="00113145" w:rsidRPr="00BA67C7">
        <w:rPr>
          <w:rFonts w:ascii="Verdana" w:hAnsi="Verdana"/>
          <w:sz w:val="20"/>
          <w:szCs w:val="20"/>
          <w:lang w:val="es-PR" w:eastAsia="es-CR"/>
        </w:rPr>
        <w:t>l</w:t>
      </w:r>
      <w:r w:rsidR="00F9403A" w:rsidRPr="00BA67C7">
        <w:rPr>
          <w:rFonts w:ascii="Verdana" w:hAnsi="Verdana"/>
          <w:sz w:val="20"/>
          <w:szCs w:val="20"/>
          <w:lang w:val="es-PR" w:eastAsia="es-CR"/>
        </w:rPr>
        <w:t xml:space="preserve">os hechos alegados por los representantes </w:t>
      </w:r>
      <w:r w:rsidR="005A2F72" w:rsidRPr="002964A7">
        <w:rPr>
          <w:rFonts w:ascii="Verdana" w:hAnsi="Verdana"/>
          <w:sz w:val="20"/>
          <w:szCs w:val="20"/>
          <w:lang w:eastAsia="es-CR"/>
        </w:rPr>
        <w:t xml:space="preserve">en cuanto al presunto robo y destrucción de bienes y quema </w:t>
      </w:r>
      <w:r w:rsidR="005A2F72" w:rsidRPr="002964A7">
        <w:rPr>
          <w:rFonts w:ascii="Verdana" w:hAnsi="Verdana"/>
          <w:sz w:val="20"/>
          <w:szCs w:val="20"/>
          <w:lang w:eastAsia="es-CR"/>
        </w:rPr>
        <w:lastRenderedPageBreak/>
        <w:t xml:space="preserve">de viviendas </w:t>
      </w:r>
      <w:r w:rsidR="005A2F72">
        <w:rPr>
          <w:rFonts w:ascii="Verdana" w:hAnsi="Verdana"/>
          <w:sz w:val="20"/>
          <w:szCs w:val="20"/>
          <w:lang w:eastAsia="es-CR"/>
        </w:rPr>
        <w:t>eran</w:t>
      </w:r>
      <w:r w:rsidR="005A2F72" w:rsidRPr="002964A7">
        <w:rPr>
          <w:rFonts w:ascii="Verdana" w:hAnsi="Verdana"/>
          <w:sz w:val="20"/>
          <w:szCs w:val="20"/>
          <w:lang w:eastAsia="es-CR"/>
        </w:rPr>
        <w:t xml:space="preserve"> parte del marco fáctico</w:t>
      </w:r>
      <w:r w:rsidR="005A2F72">
        <w:rPr>
          <w:rFonts w:ascii="Verdana" w:hAnsi="Verdana"/>
          <w:sz w:val="20"/>
          <w:szCs w:val="20"/>
          <w:lang w:eastAsia="es-CR"/>
        </w:rPr>
        <w:t xml:space="preserve"> del caso</w:t>
      </w:r>
      <w:r w:rsidR="002F4A9E">
        <w:rPr>
          <w:rFonts w:ascii="Verdana" w:hAnsi="Verdana"/>
          <w:sz w:val="20"/>
          <w:szCs w:val="20"/>
          <w:lang w:eastAsia="es-CR"/>
        </w:rPr>
        <w:t>,</w:t>
      </w:r>
      <w:r w:rsidR="00B26CA8">
        <w:rPr>
          <w:rFonts w:ascii="Verdana" w:hAnsi="Verdana"/>
          <w:sz w:val="20"/>
          <w:szCs w:val="20"/>
          <w:lang w:val="es-PR" w:eastAsia="es-CR"/>
        </w:rPr>
        <w:t xml:space="preserve"> y iv)</w:t>
      </w:r>
      <w:r w:rsidR="00CC738F">
        <w:rPr>
          <w:rFonts w:ascii="Verdana" w:hAnsi="Verdana"/>
          <w:sz w:val="20"/>
          <w:szCs w:val="20"/>
        </w:rPr>
        <w:t xml:space="preserve"> consider</w:t>
      </w:r>
      <w:r w:rsidR="002F4A9E">
        <w:rPr>
          <w:rFonts w:ascii="Verdana" w:hAnsi="Verdana"/>
          <w:sz w:val="20"/>
          <w:szCs w:val="20"/>
        </w:rPr>
        <w:t>ar</w:t>
      </w:r>
      <w:r w:rsidR="00CC738F">
        <w:rPr>
          <w:rFonts w:ascii="Verdana" w:hAnsi="Verdana"/>
          <w:sz w:val="20"/>
          <w:szCs w:val="20"/>
        </w:rPr>
        <w:t xml:space="preserve"> </w:t>
      </w:r>
      <w:r w:rsidR="009A0703" w:rsidRPr="009A0703">
        <w:rPr>
          <w:rFonts w:ascii="Verdana" w:hAnsi="Verdana"/>
          <w:sz w:val="20"/>
          <w:szCs w:val="20"/>
          <w:lang w:eastAsia="es-CR"/>
        </w:rPr>
        <w:t>que</w:t>
      </w:r>
      <w:r w:rsidR="00CC738F">
        <w:rPr>
          <w:rFonts w:ascii="Verdana" w:hAnsi="Verdana"/>
          <w:sz w:val="20"/>
          <w:szCs w:val="20"/>
          <w:lang w:eastAsia="es-CR"/>
        </w:rPr>
        <w:t xml:space="preserve"> </w:t>
      </w:r>
      <w:r w:rsidR="006B77A2" w:rsidRPr="002964A7">
        <w:rPr>
          <w:rFonts w:ascii="Verdana" w:hAnsi="Verdana"/>
          <w:sz w:val="20"/>
          <w:szCs w:val="20"/>
          <w:lang w:eastAsia="es-CR"/>
        </w:rPr>
        <w:t xml:space="preserve">la alegada omisión del Estado de entregar los resultados de las </w:t>
      </w:r>
      <w:r w:rsidR="006B77A2" w:rsidRPr="002964A7">
        <w:rPr>
          <w:rFonts w:ascii="Verdana" w:hAnsi="Verdana" w:cs="Univers"/>
          <w:sz w:val="20"/>
          <w:szCs w:val="20"/>
          <w:lang w:val="es-ES_tradnl" w:eastAsia="es-CR"/>
        </w:rPr>
        <w:t>pruebas</w:t>
      </w:r>
      <w:r w:rsidR="006B77A2" w:rsidRPr="002964A7">
        <w:rPr>
          <w:rFonts w:ascii="Verdana" w:hAnsi="Verdana"/>
          <w:sz w:val="20"/>
          <w:szCs w:val="20"/>
          <w:lang w:eastAsia="es-CR"/>
        </w:rPr>
        <w:t xml:space="preserve"> de ADN y las acciones forenses realizadas a partir del año 2009 </w:t>
      </w:r>
      <w:r w:rsidR="00ED5C9A">
        <w:rPr>
          <w:rFonts w:ascii="Verdana" w:hAnsi="Verdana"/>
          <w:sz w:val="20"/>
          <w:szCs w:val="20"/>
          <w:lang w:eastAsia="es-CR"/>
        </w:rPr>
        <w:t>formaba</w:t>
      </w:r>
      <w:r w:rsidR="00152A56">
        <w:rPr>
          <w:rFonts w:ascii="Verdana" w:hAnsi="Verdana"/>
          <w:sz w:val="20"/>
          <w:szCs w:val="20"/>
          <w:lang w:eastAsia="es-CR"/>
        </w:rPr>
        <w:t xml:space="preserve"> </w:t>
      </w:r>
      <w:r w:rsidR="006B77A2" w:rsidRPr="002964A7">
        <w:rPr>
          <w:rFonts w:ascii="Verdana" w:hAnsi="Verdana"/>
          <w:spacing w:val="-2"/>
          <w:sz w:val="20"/>
          <w:szCs w:val="20"/>
          <w:lang w:eastAsia="es-CR"/>
        </w:rPr>
        <w:t>parte del marco fáctico del caso</w:t>
      </w:r>
      <w:r w:rsidR="002F4A9E">
        <w:rPr>
          <w:rFonts w:ascii="Verdana" w:hAnsi="Verdana"/>
          <w:sz w:val="20"/>
          <w:szCs w:val="20"/>
          <w:lang w:eastAsia="es-CR"/>
        </w:rPr>
        <w:t>.</w:t>
      </w:r>
      <w:r w:rsidR="00152A56" w:rsidRPr="009A0703" w:rsidDel="00152A56">
        <w:rPr>
          <w:rFonts w:ascii="Verdana" w:hAnsi="Verdana"/>
          <w:sz w:val="20"/>
          <w:szCs w:val="20"/>
          <w:lang w:eastAsia="es-CR"/>
        </w:rPr>
        <w:t xml:space="preserve"> </w:t>
      </w:r>
    </w:p>
    <w:p w14:paraId="3407C974" w14:textId="77777777" w:rsidR="00886797" w:rsidRPr="0073621C" w:rsidRDefault="00886797" w:rsidP="0073621C">
      <w:pPr>
        <w:rPr>
          <w:rFonts w:ascii="Verdana" w:eastAsiaTheme="minorHAnsi" w:hAnsi="Verdana" w:cs="Verdana"/>
          <w:b/>
          <w:color w:val="000000"/>
          <w:sz w:val="20"/>
          <w:szCs w:val="20"/>
          <w:lang w:val="es-EC"/>
        </w:rPr>
      </w:pPr>
    </w:p>
    <w:p w14:paraId="29C82AF4" w14:textId="77777777" w:rsidR="00886797" w:rsidRDefault="00886797" w:rsidP="00886797">
      <w:pPr>
        <w:pStyle w:val="Prrafodelista"/>
        <w:numPr>
          <w:ilvl w:val="0"/>
          <w:numId w:val="1"/>
        </w:numPr>
        <w:autoSpaceDE w:val="0"/>
        <w:autoSpaceDN w:val="0"/>
        <w:adjustRightInd w:val="0"/>
        <w:rPr>
          <w:rFonts w:ascii="Verdana" w:eastAsiaTheme="minorHAnsi" w:hAnsi="Verdana" w:cs="Verdana"/>
          <w:b/>
          <w:color w:val="000000"/>
          <w:sz w:val="20"/>
          <w:szCs w:val="20"/>
          <w:lang w:val="es-EC"/>
        </w:rPr>
      </w:pPr>
      <w:r>
        <w:rPr>
          <w:rFonts w:ascii="Verdana" w:eastAsiaTheme="minorHAnsi" w:hAnsi="Verdana" w:cs="Verdana"/>
          <w:b/>
          <w:color w:val="000000"/>
          <w:sz w:val="20"/>
          <w:szCs w:val="20"/>
          <w:lang w:val="es-EC"/>
        </w:rPr>
        <w:t>Hechos</w:t>
      </w:r>
    </w:p>
    <w:p w14:paraId="7F2494E0" w14:textId="77777777" w:rsidR="00886797" w:rsidRDefault="00886797" w:rsidP="00886797">
      <w:pPr>
        <w:pStyle w:val="Prrafodelista"/>
        <w:rPr>
          <w:rFonts w:ascii="Verdana" w:eastAsiaTheme="minorHAnsi" w:hAnsi="Verdana" w:cs="Verdana"/>
          <w:b/>
          <w:color w:val="000000"/>
          <w:sz w:val="20"/>
          <w:szCs w:val="20"/>
          <w:lang w:val="es-EC"/>
        </w:rPr>
      </w:pPr>
    </w:p>
    <w:p w14:paraId="39704518" w14:textId="77777777" w:rsidR="00F44903" w:rsidRDefault="005D48B5" w:rsidP="002F4A9E">
      <w:pPr>
        <w:pStyle w:val="Prrafodelista"/>
        <w:autoSpaceDE w:val="0"/>
        <w:autoSpaceDN w:val="0"/>
        <w:adjustRightInd w:val="0"/>
        <w:ind w:left="0"/>
        <w:jc w:val="both"/>
        <w:rPr>
          <w:rFonts w:ascii="Verdana" w:hAnsi="Verdana"/>
          <w:sz w:val="20"/>
          <w:szCs w:val="20"/>
          <w:lang w:val="es-GT"/>
        </w:rPr>
      </w:pPr>
      <w:r>
        <w:rPr>
          <w:rFonts w:ascii="Verdana" w:hAnsi="Verdana" w:cs="Arial"/>
          <w:spacing w:val="-2"/>
          <w:sz w:val="20"/>
          <w:szCs w:val="20"/>
          <w:lang w:val="es-EC"/>
        </w:rPr>
        <w:t xml:space="preserve">Los hechos del caso </w:t>
      </w:r>
      <w:r>
        <w:rPr>
          <w:rFonts w:ascii="Verdana" w:hAnsi="Verdana" w:cs="Arial"/>
          <w:spacing w:val="-2"/>
          <w:sz w:val="20"/>
          <w:szCs w:val="20"/>
          <w:lang w:val="es-GT"/>
        </w:rPr>
        <w:t>se enmarcan en el contexto del</w:t>
      </w:r>
      <w:r w:rsidRPr="002964A7">
        <w:rPr>
          <w:rFonts w:ascii="Verdana" w:hAnsi="Verdana" w:cs="Arial"/>
          <w:spacing w:val="-2"/>
          <w:sz w:val="20"/>
          <w:szCs w:val="20"/>
          <w:lang w:val="es-GT"/>
        </w:rPr>
        <w:t xml:space="preserve"> conflicto</w:t>
      </w:r>
      <w:r>
        <w:rPr>
          <w:rFonts w:ascii="Verdana" w:hAnsi="Verdana" w:cs="Arial"/>
          <w:spacing w:val="-2"/>
          <w:sz w:val="20"/>
          <w:szCs w:val="20"/>
          <w:lang w:val="es-GT"/>
        </w:rPr>
        <w:t xml:space="preserve"> armado peruano</w:t>
      </w:r>
      <w:r w:rsidRPr="002964A7">
        <w:rPr>
          <w:rFonts w:ascii="Verdana" w:hAnsi="Verdana" w:cs="Arial"/>
          <w:spacing w:val="-2"/>
          <w:sz w:val="20"/>
          <w:szCs w:val="20"/>
          <w:lang w:val="es-GT"/>
        </w:rPr>
        <w:t xml:space="preserve"> </w:t>
      </w:r>
      <w:r w:rsidR="00F44903">
        <w:rPr>
          <w:rFonts w:ascii="Verdana" w:hAnsi="Verdana" w:cs="Arial"/>
          <w:spacing w:val="-2"/>
          <w:sz w:val="20"/>
          <w:szCs w:val="20"/>
          <w:lang w:val="es-GT"/>
        </w:rPr>
        <w:t>y la</w:t>
      </w:r>
      <w:r w:rsidRPr="002964A7">
        <w:rPr>
          <w:rFonts w:ascii="Verdana" w:hAnsi="Verdana" w:cs="Arial"/>
          <w:spacing w:val="-2"/>
          <w:sz w:val="20"/>
          <w:szCs w:val="20"/>
          <w:lang w:val="es-GT"/>
        </w:rPr>
        <w:t xml:space="preserve"> práctica sistemática de violaciones de los derechos humanos, entre ellas</w:t>
      </w:r>
      <w:r>
        <w:rPr>
          <w:rFonts w:ascii="Verdana" w:hAnsi="Verdana" w:cs="Arial"/>
          <w:spacing w:val="-2"/>
          <w:sz w:val="20"/>
          <w:szCs w:val="20"/>
          <w:lang w:val="es-GT"/>
        </w:rPr>
        <w:t>,</w:t>
      </w:r>
      <w:r w:rsidRPr="002964A7">
        <w:rPr>
          <w:rFonts w:ascii="Verdana" w:hAnsi="Verdana" w:cs="Arial"/>
          <w:spacing w:val="-2"/>
          <w:sz w:val="20"/>
          <w:szCs w:val="20"/>
          <w:lang w:val="es-GT"/>
        </w:rPr>
        <w:t xml:space="preserve"> ejecuciones extrajudiciales y desapariciones forzadas de personas sospechosas de pertenecer a grupos armados al margen de la ley.</w:t>
      </w:r>
      <w:r w:rsidR="00F44903">
        <w:rPr>
          <w:rFonts w:ascii="Verdana" w:hAnsi="Verdana" w:cs="Arial"/>
          <w:spacing w:val="-2"/>
          <w:sz w:val="20"/>
          <w:szCs w:val="20"/>
          <w:lang w:val="es-GT"/>
        </w:rPr>
        <w:t xml:space="preserve"> En este marco, e</w:t>
      </w:r>
      <w:r w:rsidR="00F44903" w:rsidRPr="002964A7">
        <w:rPr>
          <w:rFonts w:ascii="Verdana" w:hAnsi="Verdana" w:cs="Arial"/>
          <w:spacing w:val="-2"/>
          <w:sz w:val="20"/>
          <w:szCs w:val="20"/>
          <w:lang w:val="es-GT"/>
        </w:rPr>
        <w:t xml:space="preserve">l 14 de </w:t>
      </w:r>
      <w:r w:rsidR="00F44903" w:rsidRPr="002964A7">
        <w:rPr>
          <w:rFonts w:ascii="Verdana" w:hAnsi="Verdana" w:cs="Arial"/>
          <w:sz w:val="20"/>
          <w:szCs w:val="20"/>
          <w:lang w:val="es-GT"/>
        </w:rPr>
        <w:t>junio de 1991 se decretó la prórroga del Estado de Emergencia en el Departamento de Huancavelica</w:t>
      </w:r>
      <w:r w:rsidR="00F44903">
        <w:rPr>
          <w:rFonts w:ascii="Verdana" w:hAnsi="Verdana" w:cs="Arial"/>
          <w:sz w:val="20"/>
          <w:szCs w:val="20"/>
          <w:lang w:val="es-GT"/>
        </w:rPr>
        <w:t xml:space="preserve"> y</w:t>
      </w:r>
      <w:r w:rsidR="00F44903" w:rsidRPr="002964A7">
        <w:rPr>
          <w:rFonts w:ascii="Verdana" w:hAnsi="Verdana" w:cs="Arial"/>
          <w:sz w:val="20"/>
          <w:szCs w:val="20"/>
          <w:lang w:val="es-GT"/>
        </w:rPr>
        <w:t xml:space="preserve"> las Fuerzas Armadas asumieron el control del orden interno en dicho Departamento</w:t>
      </w:r>
      <w:r w:rsidR="00F44903">
        <w:rPr>
          <w:rFonts w:ascii="Verdana" w:hAnsi="Verdana" w:cs="Arial"/>
          <w:sz w:val="20"/>
          <w:szCs w:val="20"/>
          <w:lang w:val="es-GT"/>
        </w:rPr>
        <w:t>.</w:t>
      </w:r>
      <w:r w:rsidR="000C4756">
        <w:rPr>
          <w:rFonts w:ascii="Verdana" w:hAnsi="Verdana" w:cs="Arial"/>
          <w:sz w:val="20"/>
          <w:szCs w:val="20"/>
          <w:lang w:val="es-GT"/>
        </w:rPr>
        <w:t xml:space="preserve"> </w:t>
      </w:r>
    </w:p>
    <w:p w14:paraId="23177CF7" w14:textId="77777777" w:rsidR="005D48B5" w:rsidRDefault="005D48B5" w:rsidP="002F4A9E">
      <w:pPr>
        <w:pStyle w:val="Prrafodelista"/>
        <w:autoSpaceDE w:val="0"/>
        <w:autoSpaceDN w:val="0"/>
        <w:adjustRightInd w:val="0"/>
        <w:ind w:left="0"/>
        <w:jc w:val="both"/>
        <w:rPr>
          <w:rFonts w:ascii="Verdana" w:hAnsi="Verdana"/>
          <w:sz w:val="20"/>
          <w:szCs w:val="20"/>
          <w:lang w:val="es-GT"/>
        </w:rPr>
      </w:pPr>
    </w:p>
    <w:p w14:paraId="5721E200" w14:textId="77777777" w:rsidR="00F32861" w:rsidRDefault="00F32861" w:rsidP="002F4A9E">
      <w:pPr>
        <w:pStyle w:val="Prrafodelista"/>
        <w:autoSpaceDE w:val="0"/>
        <w:autoSpaceDN w:val="0"/>
        <w:adjustRightInd w:val="0"/>
        <w:ind w:left="0"/>
        <w:jc w:val="both"/>
        <w:rPr>
          <w:rFonts w:ascii="Verdana" w:hAnsi="Verdana"/>
          <w:iCs/>
          <w:sz w:val="20"/>
          <w:szCs w:val="20"/>
          <w:lang w:val="es-GT"/>
        </w:rPr>
      </w:pPr>
      <w:r w:rsidRPr="002964A7">
        <w:rPr>
          <w:rFonts w:ascii="Verdana" w:hAnsi="Verdana"/>
          <w:sz w:val="20"/>
          <w:szCs w:val="20"/>
          <w:lang w:val="es-GT"/>
        </w:rPr>
        <w:t>El 2 de julio de 1991</w:t>
      </w:r>
      <w:r>
        <w:rPr>
          <w:rFonts w:ascii="Verdana" w:hAnsi="Verdana"/>
          <w:sz w:val="20"/>
          <w:szCs w:val="20"/>
          <w:lang w:val="es-GT"/>
        </w:rPr>
        <w:t>,</w:t>
      </w:r>
      <w:r w:rsidRPr="002964A7">
        <w:rPr>
          <w:rFonts w:ascii="Verdana" w:hAnsi="Verdana"/>
          <w:sz w:val="20"/>
          <w:szCs w:val="20"/>
          <w:lang w:val="es-GT"/>
        </w:rPr>
        <w:t xml:space="preserve"> en ejecución del “Plan Op</w:t>
      </w:r>
      <w:r w:rsidR="001360CC">
        <w:rPr>
          <w:rFonts w:ascii="Verdana" w:hAnsi="Verdana"/>
          <w:sz w:val="20"/>
          <w:szCs w:val="20"/>
          <w:lang w:val="es-GT"/>
        </w:rPr>
        <w:t xml:space="preserve">erativo Apolonia”, </w:t>
      </w:r>
      <w:r w:rsidR="001360CC" w:rsidRPr="002964A7">
        <w:rPr>
          <w:rFonts w:ascii="Verdana" w:hAnsi="Verdana"/>
          <w:sz w:val="20"/>
          <w:szCs w:val="20"/>
          <w:lang w:val="es-GT"/>
        </w:rPr>
        <w:t>operativo militar diseñado como parte de la política estatal de combatir la subversión en la Provincia y Departamento de Huancavelica</w:t>
      </w:r>
      <w:r w:rsidR="001360CC">
        <w:rPr>
          <w:rFonts w:ascii="Verdana" w:hAnsi="Verdana"/>
          <w:sz w:val="20"/>
          <w:szCs w:val="20"/>
          <w:lang w:val="es-GT"/>
        </w:rPr>
        <w:t xml:space="preserve">, salieron de </w:t>
      </w:r>
      <w:r w:rsidRPr="002964A7">
        <w:rPr>
          <w:rFonts w:ascii="Verdana" w:hAnsi="Verdana"/>
          <w:sz w:val="20"/>
          <w:szCs w:val="20"/>
          <w:lang w:val="es-GT"/>
        </w:rPr>
        <w:t>Bases Militares</w:t>
      </w:r>
      <w:r w:rsidR="001360CC">
        <w:rPr>
          <w:rFonts w:ascii="Verdana" w:hAnsi="Verdana"/>
          <w:sz w:val="20"/>
          <w:szCs w:val="20"/>
          <w:lang w:val="es-GT"/>
        </w:rPr>
        <w:t xml:space="preserve"> </w:t>
      </w:r>
      <w:r w:rsidRPr="002964A7">
        <w:rPr>
          <w:rFonts w:ascii="Verdana" w:hAnsi="Verdana"/>
          <w:sz w:val="20"/>
          <w:szCs w:val="20"/>
          <w:lang w:val="es-GT"/>
        </w:rPr>
        <w:t>la patrulla “Escorpio” y la patrulla “Ángel” con el fin específico de incursionar en la localidad de Rodeopampa, comunidad de Santa Bárbara</w:t>
      </w:r>
      <w:r w:rsidR="001360CC">
        <w:rPr>
          <w:rFonts w:ascii="Verdana" w:hAnsi="Verdana"/>
          <w:sz w:val="20"/>
          <w:szCs w:val="20"/>
          <w:lang w:val="es-GT"/>
        </w:rPr>
        <w:t xml:space="preserve"> y</w:t>
      </w:r>
      <w:r w:rsidRPr="002964A7">
        <w:rPr>
          <w:rFonts w:ascii="Verdana" w:hAnsi="Verdana"/>
          <w:sz w:val="20"/>
          <w:szCs w:val="20"/>
          <w:lang w:val="es-GT"/>
        </w:rPr>
        <w:t xml:space="preserve"> “capturar y/o destruir” elementos terroristas que operaban en dicha zona. El 4 de julio de 1991 la patrulla del Ejército “Escorpio”, acompañada de algunos elementos civiles, llegó al caserío de Rodeopampa en la comunidad campesina de Santa Bárbara, en donde los efectivos militares ingresaron a las viviendas</w:t>
      </w:r>
      <w:r>
        <w:rPr>
          <w:rFonts w:ascii="Verdana" w:hAnsi="Verdana"/>
          <w:sz w:val="20"/>
          <w:szCs w:val="20"/>
          <w:lang w:val="es-GT"/>
        </w:rPr>
        <w:t xml:space="preserve"> de las presuntas víctimas</w:t>
      </w:r>
      <w:r w:rsidRPr="002964A7">
        <w:rPr>
          <w:rFonts w:ascii="Verdana" w:hAnsi="Verdana"/>
          <w:sz w:val="20"/>
          <w:szCs w:val="20"/>
          <w:lang w:val="es-GT"/>
        </w:rPr>
        <w:t>, sacaron a quienes estaban allí y prendieron fuego a dichas viviendas para horas más tarde apoderarse de una gran cantidad de ganado, animales menores y pertenencias de los detenidos. Los efectivos militares detuvieron a 14 pobladores, entre los que se encontraban tres niñas</w:t>
      </w:r>
      <w:r w:rsidR="005A125C">
        <w:rPr>
          <w:rFonts w:ascii="Verdana" w:hAnsi="Verdana"/>
          <w:sz w:val="20"/>
          <w:szCs w:val="20"/>
          <w:lang w:val="es-GT"/>
        </w:rPr>
        <w:t xml:space="preserve"> y</w:t>
      </w:r>
      <w:r w:rsidRPr="002964A7">
        <w:rPr>
          <w:rFonts w:ascii="Verdana" w:hAnsi="Verdana"/>
          <w:sz w:val="20"/>
          <w:szCs w:val="20"/>
          <w:lang w:val="es-GT"/>
        </w:rPr>
        <w:t xml:space="preserve"> cuatro niños</w:t>
      </w:r>
      <w:r w:rsidR="005A125C">
        <w:rPr>
          <w:rFonts w:ascii="Verdana" w:hAnsi="Verdana"/>
          <w:sz w:val="20"/>
          <w:szCs w:val="20"/>
          <w:lang w:val="es-GT"/>
        </w:rPr>
        <w:t xml:space="preserve"> </w:t>
      </w:r>
      <w:r w:rsidR="005A125C" w:rsidRPr="00A956BE">
        <w:rPr>
          <w:rFonts w:ascii="Verdana" w:hAnsi="Verdana" w:cs="Arial"/>
          <w:sz w:val="20"/>
          <w:szCs w:val="20"/>
          <w:lang w:eastAsia="es-CR"/>
        </w:rPr>
        <w:t>entre las edades de</w:t>
      </w:r>
      <w:r w:rsidR="005A125C" w:rsidRPr="00A956BE">
        <w:rPr>
          <w:rFonts w:ascii="Verdana" w:hAnsi="Verdana"/>
          <w:sz w:val="20"/>
          <w:szCs w:val="20"/>
          <w:lang w:val="es-GT"/>
        </w:rPr>
        <w:t xml:space="preserve"> 8 meses y 6 años de edad</w:t>
      </w:r>
      <w:r w:rsidRPr="002964A7">
        <w:rPr>
          <w:rFonts w:ascii="Verdana" w:hAnsi="Verdana"/>
          <w:sz w:val="20"/>
          <w:szCs w:val="20"/>
          <w:lang w:val="es-GT"/>
        </w:rPr>
        <w:t>, un hombre adulto mayor, cinco mujeres adultas, una de ellas en el sexto mes de embarazo y un hombre adulto. A dichos pobladores se les infligieron diversos maltratos, conduciéndolos hacia una mina abandonada llamada “Misteriosa” o “Vallarón”</w:t>
      </w:r>
      <w:r w:rsidR="00A76C55">
        <w:rPr>
          <w:rFonts w:ascii="Verdana" w:hAnsi="Verdana"/>
          <w:sz w:val="20"/>
          <w:szCs w:val="20"/>
          <w:lang w:val="es-GT"/>
        </w:rPr>
        <w:t xml:space="preserve">. </w:t>
      </w:r>
      <w:r w:rsidRPr="002964A7">
        <w:rPr>
          <w:rFonts w:ascii="Verdana" w:hAnsi="Verdana"/>
          <w:sz w:val="20"/>
          <w:szCs w:val="20"/>
          <w:lang w:val="es-GT"/>
        </w:rPr>
        <w:t>Ese mismo día Elihoref Huamaní Vergara</w:t>
      </w:r>
      <w:r w:rsidR="00B738CD">
        <w:rPr>
          <w:rFonts w:ascii="Verdana" w:hAnsi="Verdana"/>
          <w:sz w:val="20"/>
          <w:szCs w:val="20"/>
          <w:lang w:val="es-GT"/>
        </w:rPr>
        <w:t xml:space="preserve"> </w:t>
      </w:r>
      <w:r w:rsidRPr="002964A7">
        <w:rPr>
          <w:rFonts w:ascii="Verdana" w:hAnsi="Verdana"/>
          <w:sz w:val="20"/>
          <w:szCs w:val="20"/>
          <w:lang w:val="es-GT"/>
        </w:rPr>
        <w:t>fue interceptado por efectivos militares en el camino hacia Rodeopampa</w:t>
      </w:r>
      <w:r w:rsidR="00E113E6">
        <w:rPr>
          <w:rFonts w:ascii="Verdana" w:hAnsi="Verdana"/>
          <w:sz w:val="20"/>
          <w:szCs w:val="20"/>
          <w:lang w:val="es-GT"/>
        </w:rPr>
        <w:t>, quienes</w:t>
      </w:r>
      <w:r w:rsidRPr="002964A7">
        <w:rPr>
          <w:rFonts w:ascii="Verdana" w:hAnsi="Verdana"/>
          <w:sz w:val="20"/>
          <w:szCs w:val="20"/>
          <w:lang w:val="es-GT"/>
        </w:rPr>
        <w:t xml:space="preserve"> lo sumaron al grupo de los 14 pobladores que trasladaban. Durante el trayecto, los detenidos fueron golpeados y obligados a caminar varias horas amarrados y sin alimentos ni agua. </w:t>
      </w:r>
      <w:r w:rsidRPr="002964A7">
        <w:rPr>
          <w:rFonts w:ascii="Verdana" w:hAnsi="Verdana"/>
          <w:iCs/>
          <w:sz w:val="20"/>
          <w:szCs w:val="20"/>
          <w:lang w:val="es-GT"/>
        </w:rPr>
        <w:t xml:space="preserve">Cuando llegaron a la </w:t>
      </w:r>
      <w:r w:rsidRPr="002964A7">
        <w:rPr>
          <w:rFonts w:ascii="Verdana" w:hAnsi="Verdana"/>
          <w:sz w:val="20"/>
          <w:szCs w:val="20"/>
          <w:lang w:val="es-GT"/>
        </w:rPr>
        <w:t>mina abandonada llamada “Misteriosa” o “Vallarón”,</w:t>
      </w:r>
      <w:r w:rsidRPr="002964A7">
        <w:rPr>
          <w:rFonts w:ascii="Verdana" w:hAnsi="Verdana"/>
          <w:iCs/>
          <w:sz w:val="20"/>
          <w:szCs w:val="20"/>
          <w:lang w:val="es-GT"/>
        </w:rPr>
        <w:t xml:space="preserve"> los efectivos militares introdujeron a los 15 detenidos al interior del socavón, acribillándolos con Fusiles Ametralladoras Ligeras (FAL). Posteriormente, se hizo detonar en la mina cargas de dinamita, provocando el fraccionamiento de los cuerpos. </w:t>
      </w:r>
    </w:p>
    <w:p w14:paraId="49E804C6" w14:textId="77777777" w:rsidR="000C6601" w:rsidRDefault="000C6601" w:rsidP="002F4A9E">
      <w:pPr>
        <w:pStyle w:val="Prrafodelista"/>
        <w:autoSpaceDE w:val="0"/>
        <w:autoSpaceDN w:val="0"/>
        <w:adjustRightInd w:val="0"/>
        <w:ind w:left="0"/>
        <w:jc w:val="both"/>
        <w:rPr>
          <w:rFonts w:ascii="Verdana" w:hAnsi="Verdana"/>
          <w:iCs/>
          <w:sz w:val="20"/>
          <w:szCs w:val="20"/>
          <w:lang w:val="es-GT"/>
        </w:rPr>
      </w:pPr>
    </w:p>
    <w:p w14:paraId="650BF38C" w14:textId="77777777" w:rsidR="000C4756" w:rsidRDefault="000C6601" w:rsidP="002F4A9E">
      <w:pPr>
        <w:pStyle w:val="Prrafodelista"/>
        <w:autoSpaceDE w:val="0"/>
        <w:autoSpaceDN w:val="0"/>
        <w:adjustRightInd w:val="0"/>
        <w:ind w:left="0"/>
        <w:jc w:val="both"/>
        <w:rPr>
          <w:rFonts w:ascii="Verdana" w:hAnsi="Verdana"/>
          <w:sz w:val="20"/>
          <w:szCs w:val="20"/>
          <w:lang w:val="es-GT"/>
        </w:rPr>
      </w:pPr>
      <w:r w:rsidRPr="002964A7">
        <w:rPr>
          <w:rFonts w:ascii="Verdana" w:hAnsi="Verdana"/>
          <w:sz w:val="20"/>
          <w:szCs w:val="20"/>
          <w:lang w:val="es-GT"/>
        </w:rPr>
        <w:t xml:space="preserve">El 8 de julio de 1991, en la búsqueda de sus familiares y con la información proporcionada por vecinos de los alrededores, Zenón Cirilo Osnayo Tunque, </w:t>
      </w:r>
      <w:r w:rsidRPr="002964A7">
        <w:rPr>
          <w:rFonts w:ascii="Verdana" w:hAnsi="Verdana" w:cs="Arial"/>
          <w:sz w:val="20"/>
          <w:szCs w:val="20"/>
          <w:lang w:val="es-GT"/>
        </w:rPr>
        <w:t xml:space="preserve">Marcelo Hilario Quispe y </w:t>
      </w:r>
      <w:r w:rsidRPr="002964A7" w:rsidDel="008B17C5">
        <w:rPr>
          <w:rFonts w:ascii="Verdana" w:hAnsi="Verdana" w:cs="Helvetica"/>
          <w:bCs/>
          <w:sz w:val="20"/>
          <w:szCs w:val="20"/>
          <w:lang w:val="es-GT"/>
        </w:rPr>
        <w:t>Gregorio Hilario Quispe</w:t>
      </w:r>
      <w:r w:rsidRPr="002964A7">
        <w:rPr>
          <w:rFonts w:ascii="Verdana" w:hAnsi="Verdana"/>
          <w:sz w:val="20"/>
          <w:szCs w:val="20"/>
          <w:lang w:val="es-GT"/>
        </w:rPr>
        <w:t xml:space="preserve"> se dirigieron a la entrada de la mina llamada “Misteriosa” o “Vallarón”, en donde observaron restos de cuerpos humanos e identificaron las pertenencias de algunos de sus familiares. </w:t>
      </w:r>
      <w:r w:rsidR="00E113E6">
        <w:rPr>
          <w:rFonts w:ascii="Verdana" w:hAnsi="Verdana"/>
          <w:sz w:val="20"/>
          <w:szCs w:val="20"/>
          <w:lang w:val="es-GT"/>
        </w:rPr>
        <w:t>L</w:t>
      </w:r>
      <w:r w:rsidRPr="002964A7">
        <w:rPr>
          <w:rFonts w:ascii="Verdana" w:hAnsi="Verdana"/>
          <w:sz w:val="20"/>
          <w:szCs w:val="20"/>
          <w:lang w:val="es-GT"/>
        </w:rPr>
        <w:t xml:space="preserve">ograron reconocer, dentro de dichos restos, los cuerpos de </w:t>
      </w:r>
      <w:r>
        <w:rPr>
          <w:rFonts w:ascii="Verdana" w:hAnsi="Verdana"/>
          <w:sz w:val="20"/>
          <w:szCs w:val="20"/>
          <w:lang w:val="es-GT"/>
        </w:rPr>
        <w:t xml:space="preserve">al menos </w:t>
      </w:r>
      <w:r w:rsidR="00BA4651">
        <w:rPr>
          <w:rFonts w:ascii="Verdana" w:hAnsi="Verdana" w:cs="Arial"/>
          <w:sz w:val="20"/>
          <w:szCs w:val="20"/>
          <w:lang w:val="es-GT"/>
        </w:rPr>
        <w:t>cinco</w:t>
      </w:r>
      <w:r>
        <w:rPr>
          <w:rFonts w:ascii="Verdana" w:hAnsi="Verdana" w:cs="Arial"/>
          <w:sz w:val="20"/>
          <w:szCs w:val="20"/>
          <w:lang w:val="es-GT"/>
        </w:rPr>
        <w:t xml:space="preserve"> personas</w:t>
      </w:r>
      <w:r w:rsidRPr="002964A7">
        <w:rPr>
          <w:rFonts w:ascii="Verdana" w:hAnsi="Verdana" w:cs="Arial"/>
          <w:sz w:val="20"/>
          <w:szCs w:val="20"/>
          <w:lang w:val="es-GT"/>
        </w:rPr>
        <w:t>.</w:t>
      </w:r>
      <w:r>
        <w:rPr>
          <w:rFonts w:ascii="Verdana" w:hAnsi="Verdana"/>
          <w:sz w:val="20"/>
          <w:szCs w:val="20"/>
          <w:lang w:val="es-GT"/>
        </w:rPr>
        <w:t xml:space="preserve"> E</w:t>
      </w:r>
      <w:r w:rsidRPr="002964A7">
        <w:rPr>
          <w:rFonts w:ascii="Verdana" w:hAnsi="Verdana"/>
          <w:sz w:val="20"/>
          <w:szCs w:val="20"/>
          <w:lang w:val="es-GT"/>
        </w:rPr>
        <w:t>l 11 de julio de 1991 y en la búsqueda de sus familiares, el señor Viviano Hilario Mancha encontró la entrada de la mina llamada “Misteriosa” o “Vallarón”</w:t>
      </w:r>
      <w:r w:rsidR="00BA4651">
        <w:rPr>
          <w:rFonts w:ascii="Verdana" w:hAnsi="Verdana"/>
          <w:sz w:val="20"/>
          <w:szCs w:val="20"/>
          <w:lang w:val="es-GT"/>
        </w:rPr>
        <w:t xml:space="preserve"> y a</w:t>
      </w:r>
      <w:r w:rsidRPr="002964A7">
        <w:rPr>
          <w:rFonts w:ascii="Verdana" w:hAnsi="Verdana"/>
          <w:sz w:val="20"/>
          <w:szCs w:val="20"/>
          <w:lang w:val="es-GT"/>
        </w:rPr>
        <w:t xml:space="preserve"> diferencia de lo ocurrido el 8 de julio</w:t>
      </w:r>
      <w:r>
        <w:rPr>
          <w:rFonts w:ascii="Verdana" w:hAnsi="Verdana"/>
          <w:sz w:val="20"/>
          <w:szCs w:val="20"/>
          <w:lang w:val="es-GT"/>
        </w:rPr>
        <w:t xml:space="preserve">, </w:t>
      </w:r>
      <w:r w:rsidRPr="002964A7">
        <w:rPr>
          <w:rFonts w:ascii="Verdana" w:hAnsi="Verdana"/>
          <w:sz w:val="20"/>
          <w:szCs w:val="20"/>
          <w:lang w:val="es-GT"/>
        </w:rPr>
        <w:t xml:space="preserve">únicamente observó restos de cuerpos humanos semienterrados que no pudo reconocer y, </w:t>
      </w:r>
      <w:r w:rsidRPr="00401B06">
        <w:rPr>
          <w:rFonts w:ascii="Verdana" w:hAnsi="Verdana"/>
          <w:sz w:val="20"/>
          <w:szCs w:val="20"/>
          <w:lang w:val="es-GT"/>
        </w:rPr>
        <w:t xml:space="preserve">entre ellos, el cadáver semienterrado de su nieto Héctor Hilario Guillén. </w:t>
      </w:r>
      <w:r w:rsidR="00F003C5">
        <w:rPr>
          <w:rFonts w:ascii="Verdana" w:hAnsi="Verdana"/>
          <w:sz w:val="20"/>
          <w:szCs w:val="20"/>
          <w:lang w:val="es-GT"/>
        </w:rPr>
        <w:t>En ambas oportunidades, los familiares observaron en la</w:t>
      </w:r>
      <w:r w:rsidRPr="00401B06">
        <w:rPr>
          <w:rFonts w:ascii="Verdana" w:hAnsi="Verdana"/>
          <w:sz w:val="20"/>
          <w:szCs w:val="20"/>
          <w:lang w:val="es-GT"/>
        </w:rPr>
        <w:t xml:space="preserve"> entrada de la mina paquetes de dinamita.</w:t>
      </w:r>
    </w:p>
    <w:p w14:paraId="168B36FA" w14:textId="77777777" w:rsidR="000C4756" w:rsidRDefault="000C4756" w:rsidP="002F4A9E">
      <w:pPr>
        <w:pStyle w:val="Prrafodelista"/>
        <w:autoSpaceDE w:val="0"/>
        <w:autoSpaceDN w:val="0"/>
        <w:adjustRightInd w:val="0"/>
        <w:ind w:left="0"/>
        <w:jc w:val="both"/>
        <w:rPr>
          <w:rFonts w:ascii="Verdana" w:hAnsi="Verdana"/>
          <w:sz w:val="20"/>
          <w:szCs w:val="20"/>
          <w:lang w:val="es-GT"/>
        </w:rPr>
      </w:pPr>
    </w:p>
    <w:p w14:paraId="75C8C49F" w14:textId="77777777" w:rsidR="00EE12A2" w:rsidRPr="00EE12A2" w:rsidRDefault="00274691" w:rsidP="00EE12A2">
      <w:pPr>
        <w:pStyle w:val="Prrafodelista"/>
        <w:ind w:left="0"/>
        <w:jc w:val="both"/>
        <w:rPr>
          <w:rFonts w:ascii="Verdana" w:hAnsi="Verdana" w:cs="Arial"/>
          <w:sz w:val="20"/>
          <w:szCs w:val="20"/>
          <w:lang w:val="es-GT"/>
        </w:rPr>
      </w:pPr>
      <w:r w:rsidRPr="00401B06">
        <w:rPr>
          <w:rFonts w:ascii="Verdana" w:hAnsi="Verdana"/>
          <w:sz w:val="20"/>
          <w:szCs w:val="20"/>
          <w:lang w:val="es-GT"/>
        </w:rPr>
        <w:t>Durante</w:t>
      </w:r>
      <w:r w:rsidR="00ED1A31" w:rsidRPr="00401B06">
        <w:rPr>
          <w:rFonts w:ascii="Verdana" w:hAnsi="Verdana"/>
          <w:sz w:val="20"/>
          <w:szCs w:val="20"/>
          <w:lang w:val="es-GT"/>
        </w:rPr>
        <w:t xml:space="preserve"> el período de</w:t>
      </w:r>
      <w:r>
        <w:rPr>
          <w:rFonts w:ascii="Verdana" w:hAnsi="Verdana"/>
          <w:sz w:val="20"/>
          <w:szCs w:val="20"/>
          <w:lang w:val="es-GT"/>
        </w:rPr>
        <w:t>l</w:t>
      </w:r>
      <w:r w:rsidR="00ED1A31" w:rsidRPr="00401B06">
        <w:rPr>
          <w:rFonts w:ascii="Verdana" w:hAnsi="Verdana"/>
          <w:sz w:val="20"/>
          <w:szCs w:val="20"/>
          <w:lang w:val="es-GT"/>
        </w:rPr>
        <w:t xml:space="preserve"> 8</w:t>
      </w:r>
      <w:r>
        <w:rPr>
          <w:rFonts w:ascii="Verdana" w:hAnsi="Verdana"/>
          <w:sz w:val="20"/>
          <w:szCs w:val="20"/>
          <w:lang w:val="es-GT"/>
        </w:rPr>
        <w:t xml:space="preserve"> </w:t>
      </w:r>
      <w:r w:rsidR="00ED1A31" w:rsidRPr="00401B06">
        <w:rPr>
          <w:rFonts w:ascii="Verdana" w:hAnsi="Verdana"/>
          <w:sz w:val="20"/>
          <w:szCs w:val="20"/>
          <w:lang w:val="es-GT"/>
        </w:rPr>
        <w:t>de julio</w:t>
      </w:r>
      <w:r w:rsidR="003E6D47">
        <w:rPr>
          <w:rFonts w:ascii="Verdana" w:hAnsi="Verdana"/>
          <w:sz w:val="20"/>
          <w:szCs w:val="20"/>
          <w:lang w:val="es-GT"/>
        </w:rPr>
        <w:t xml:space="preserve"> al 5 de agosto</w:t>
      </w:r>
      <w:r w:rsidR="00ED1A31" w:rsidRPr="00401B06">
        <w:rPr>
          <w:rFonts w:ascii="Verdana" w:hAnsi="Verdana"/>
          <w:sz w:val="20"/>
          <w:szCs w:val="20"/>
          <w:lang w:val="es-GT"/>
        </w:rPr>
        <w:t xml:space="preserve"> de 1991 </w:t>
      </w:r>
      <w:r>
        <w:rPr>
          <w:rFonts w:ascii="Verdana" w:hAnsi="Verdana"/>
          <w:sz w:val="20"/>
          <w:szCs w:val="20"/>
          <w:lang w:val="es-GT"/>
        </w:rPr>
        <w:t xml:space="preserve">fueron </w:t>
      </w:r>
      <w:r w:rsidR="00ED1A31" w:rsidRPr="00401B06">
        <w:rPr>
          <w:rFonts w:ascii="Verdana" w:hAnsi="Verdana"/>
          <w:sz w:val="20"/>
          <w:szCs w:val="20"/>
          <w:lang w:val="es-GT"/>
        </w:rPr>
        <w:t>interpu</w:t>
      </w:r>
      <w:r>
        <w:rPr>
          <w:rFonts w:ascii="Verdana" w:hAnsi="Verdana"/>
          <w:sz w:val="20"/>
          <w:szCs w:val="20"/>
          <w:lang w:val="es-GT"/>
        </w:rPr>
        <w:t>estas diversas</w:t>
      </w:r>
      <w:r w:rsidR="00ED1A31" w:rsidRPr="00401B06">
        <w:rPr>
          <w:rFonts w:ascii="Verdana" w:hAnsi="Verdana"/>
          <w:sz w:val="20"/>
          <w:szCs w:val="20"/>
          <w:lang w:val="es-GT"/>
        </w:rPr>
        <w:t xml:space="preserve"> </w:t>
      </w:r>
      <w:r w:rsidR="00ED1A31" w:rsidRPr="002F4A9E">
        <w:rPr>
          <w:rFonts w:ascii="Verdana" w:hAnsi="Verdana"/>
          <w:iCs/>
          <w:sz w:val="20"/>
          <w:szCs w:val="20"/>
          <w:lang w:val="es-GT"/>
        </w:rPr>
        <w:t>denuncias</w:t>
      </w:r>
      <w:r>
        <w:rPr>
          <w:rFonts w:ascii="Verdana" w:hAnsi="Verdana"/>
          <w:iCs/>
          <w:sz w:val="20"/>
          <w:szCs w:val="20"/>
          <w:lang w:val="es-GT"/>
        </w:rPr>
        <w:t xml:space="preserve"> ante autoridades estatales</w:t>
      </w:r>
      <w:r w:rsidR="00ED1A31" w:rsidRPr="002F4A9E">
        <w:rPr>
          <w:rFonts w:ascii="Verdana" w:hAnsi="Verdana"/>
          <w:sz w:val="20"/>
          <w:szCs w:val="20"/>
          <w:lang w:val="es-GT"/>
        </w:rPr>
        <w:t xml:space="preserve"> </w:t>
      </w:r>
      <w:r>
        <w:rPr>
          <w:rFonts w:ascii="Verdana" w:hAnsi="Verdana"/>
          <w:sz w:val="20"/>
          <w:szCs w:val="20"/>
          <w:lang w:val="es-GT"/>
        </w:rPr>
        <w:t xml:space="preserve">por los hechos ocurridos. El </w:t>
      </w:r>
      <w:r w:rsidRPr="002964A7">
        <w:rPr>
          <w:rFonts w:ascii="Verdana" w:hAnsi="Verdana" w:cs="Arial"/>
          <w:sz w:val="20"/>
          <w:szCs w:val="20"/>
          <w:lang w:val="es-GT"/>
        </w:rPr>
        <w:t xml:space="preserve">18 de julio de 1991 </w:t>
      </w:r>
      <w:r>
        <w:rPr>
          <w:rFonts w:ascii="Verdana" w:hAnsi="Verdana"/>
          <w:sz w:val="20"/>
          <w:szCs w:val="20"/>
          <w:lang w:val="es-GT"/>
        </w:rPr>
        <w:t>se realizó una</w:t>
      </w:r>
      <w:r w:rsidR="00ED1A31" w:rsidRPr="002F4A9E">
        <w:rPr>
          <w:rFonts w:ascii="Verdana" w:hAnsi="Verdana"/>
          <w:sz w:val="20"/>
          <w:szCs w:val="20"/>
          <w:lang w:val="es-GT"/>
        </w:rPr>
        <w:t xml:space="preserve"> diligencia de levantamiento de restos humanos y evidencias encontradas</w:t>
      </w:r>
      <w:r w:rsidR="003E6D47">
        <w:rPr>
          <w:rFonts w:ascii="Verdana" w:hAnsi="Verdana"/>
          <w:sz w:val="20"/>
          <w:szCs w:val="20"/>
          <w:lang w:val="es-GT"/>
        </w:rPr>
        <w:t xml:space="preserve"> en </w:t>
      </w:r>
      <w:r w:rsidR="003E6D47" w:rsidRPr="002964A7">
        <w:rPr>
          <w:rFonts w:ascii="Verdana" w:hAnsi="Verdana"/>
          <w:iCs/>
          <w:sz w:val="20"/>
          <w:szCs w:val="20"/>
          <w:lang w:val="es-GT"/>
        </w:rPr>
        <w:t xml:space="preserve">la </w:t>
      </w:r>
      <w:r w:rsidR="003E6D47" w:rsidRPr="002964A7">
        <w:rPr>
          <w:rFonts w:ascii="Verdana" w:hAnsi="Verdana"/>
          <w:sz w:val="20"/>
          <w:szCs w:val="20"/>
          <w:lang w:val="es-GT"/>
        </w:rPr>
        <w:t>mina</w:t>
      </w:r>
      <w:r w:rsidR="003E6D47">
        <w:rPr>
          <w:rFonts w:ascii="Verdana" w:hAnsi="Verdana"/>
          <w:sz w:val="20"/>
          <w:szCs w:val="20"/>
          <w:lang w:val="es-GT"/>
        </w:rPr>
        <w:t xml:space="preserve"> “Misteriosa” o “Vallarón”. </w:t>
      </w:r>
      <w:r w:rsidR="003E6D47">
        <w:rPr>
          <w:rFonts w:ascii="Verdana" w:hAnsi="Verdana" w:cs="Arial"/>
          <w:sz w:val="20"/>
          <w:szCs w:val="20"/>
          <w:lang w:val="es-GT"/>
        </w:rPr>
        <w:t>N</w:t>
      </w:r>
      <w:r w:rsidR="003E6D47" w:rsidRPr="002964A7">
        <w:rPr>
          <w:rFonts w:ascii="Verdana" w:hAnsi="Verdana" w:cs="Arial"/>
          <w:sz w:val="20"/>
          <w:szCs w:val="20"/>
          <w:lang w:val="es-GT"/>
        </w:rPr>
        <w:t xml:space="preserve">o </w:t>
      </w:r>
      <w:r w:rsidR="003E6D47">
        <w:rPr>
          <w:rFonts w:ascii="Verdana" w:hAnsi="Verdana" w:cs="Arial"/>
          <w:sz w:val="20"/>
          <w:szCs w:val="20"/>
          <w:lang w:val="es-GT"/>
        </w:rPr>
        <w:t xml:space="preserve">se realizó </w:t>
      </w:r>
      <w:r w:rsidR="003E6D47" w:rsidRPr="002964A7">
        <w:rPr>
          <w:rFonts w:ascii="Verdana" w:hAnsi="Verdana" w:cs="Arial"/>
          <w:sz w:val="20"/>
          <w:szCs w:val="20"/>
          <w:lang w:val="es-GT"/>
        </w:rPr>
        <w:t xml:space="preserve">diligencia posterior relacionada con las piezas y restos encontrados </w:t>
      </w:r>
      <w:r w:rsidR="00200CD8">
        <w:rPr>
          <w:rFonts w:ascii="Verdana" w:hAnsi="Verdana" w:cs="Arial"/>
          <w:sz w:val="20"/>
          <w:szCs w:val="20"/>
          <w:lang w:val="es-GT"/>
        </w:rPr>
        <w:t xml:space="preserve">y </w:t>
      </w:r>
      <w:r w:rsidR="00264AA5">
        <w:rPr>
          <w:rFonts w:ascii="Verdana" w:hAnsi="Verdana" w:cs="Arial"/>
          <w:sz w:val="20"/>
          <w:szCs w:val="20"/>
          <w:lang w:val="es-GT"/>
        </w:rPr>
        <w:t xml:space="preserve">al día de hoy </w:t>
      </w:r>
      <w:r w:rsidR="00200CD8">
        <w:rPr>
          <w:rFonts w:ascii="Verdana" w:hAnsi="Verdana" w:cs="Arial"/>
          <w:sz w:val="20"/>
          <w:szCs w:val="20"/>
          <w:lang w:val="es-GT"/>
        </w:rPr>
        <w:t>se desconoce el paradero de los mismos</w:t>
      </w:r>
      <w:r w:rsidR="003E6D47" w:rsidRPr="002964A7">
        <w:rPr>
          <w:rFonts w:ascii="Verdana" w:hAnsi="Verdana"/>
          <w:sz w:val="20"/>
          <w:szCs w:val="20"/>
          <w:lang w:val="es-GT"/>
        </w:rPr>
        <w:t>.</w:t>
      </w:r>
      <w:r w:rsidR="00371717">
        <w:rPr>
          <w:rFonts w:ascii="Verdana" w:hAnsi="Verdana"/>
          <w:sz w:val="20"/>
          <w:szCs w:val="20"/>
          <w:lang w:val="es-GT"/>
        </w:rPr>
        <w:t xml:space="preserve"> </w:t>
      </w:r>
      <w:r w:rsidR="00B6775E" w:rsidRPr="004112D8">
        <w:rPr>
          <w:rFonts w:ascii="Verdana" w:hAnsi="Verdana"/>
          <w:spacing w:val="-2"/>
          <w:sz w:val="20"/>
          <w:szCs w:val="20"/>
          <w:lang w:val="es-ES_tradnl"/>
        </w:rPr>
        <w:t xml:space="preserve">Se iniciaron </w:t>
      </w:r>
      <w:r w:rsidR="00B6775E" w:rsidRPr="004112D8">
        <w:rPr>
          <w:rFonts w:ascii="Verdana" w:hAnsi="Verdana"/>
          <w:spacing w:val="-2"/>
          <w:sz w:val="20"/>
          <w:szCs w:val="20"/>
          <w:lang w:val="es-ES_tradnl"/>
        </w:rPr>
        <w:lastRenderedPageBreak/>
        <w:t xml:space="preserve">procesos tanto en </w:t>
      </w:r>
      <w:r w:rsidR="00371717">
        <w:rPr>
          <w:rFonts w:ascii="Verdana" w:hAnsi="Verdana"/>
          <w:spacing w:val="-2"/>
          <w:sz w:val="20"/>
          <w:szCs w:val="20"/>
          <w:lang w:val="es-ES_tradnl"/>
        </w:rPr>
        <w:t>la jurisdicción</w:t>
      </w:r>
      <w:r w:rsidR="00B6775E" w:rsidRPr="004112D8">
        <w:rPr>
          <w:rFonts w:ascii="Verdana" w:hAnsi="Verdana"/>
          <w:spacing w:val="-2"/>
          <w:sz w:val="20"/>
          <w:szCs w:val="20"/>
          <w:lang w:val="es-ES_tradnl"/>
        </w:rPr>
        <w:t xml:space="preserve"> militar como ordinari</w:t>
      </w:r>
      <w:r w:rsidR="00371717">
        <w:rPr>
          <w:rFonts w:ascii="Verdana" w:hAnsi="Verdana"/>
          <w:spacing w:val="-2"/>
          <w:sz w:val="20"/>
          <w:szCs w:val="20"/>
          <w:lang w:val="es-ES_tradnl"/>
        </w:rPr>
        <w:t>a</w:t>
      </w:r>
      <w:r w:rsidR="00B6775E" w:rsidRPr="004112D8">
        <w:rPr>
          <w:rFonts w:ascii="Verdana" w:hAnsi="Verdana"/>
          <w:spacing w:val="-2"/>
          <w:sz w:val="20"/>
          <w:szCs w:val="20"/>
          <w:lang w:val="es-ES_tradnl"/>
        </w:rPr>
        <w:t xml:space="preserve">, así como un incidente de competencia entre ambos que fue resuelto por la Sala Penal de la Corte Suprema de Justicia </w:t>
      </w:r>
      <w:r w:rsidR="00371717" w:rsidRPr="002964A7">
        <w:rPr>
          <w:rFonts w:ascii="Verdana" w:hAnsi="Verdana" w:cs="Arial"/>
          <w:sz w:val="20"/>
          <w:szCs w:val="20"/>
          <w:lang w:val="es-GT"/>
        </w:rPr>
        <w:t xml:space="preserve">de la República </w:t>
      </w:r>
      <w:r w:rsidR="00371717">
        <w:rPr>
          <w:rFonts w:ascii="Verdana" w:hAnsi="Verdana"/>
          <w:spacing w:val="-2"/>
          <w:sz w:val="20"/>
          <w:szCs w:val="20"/>
          <w:lang w:val="es-ES_tradnl"/>
        </w:rPr>
        <w:t>en</w:t>
      </w:r>
      <w:r w:rsidR="00371717" w:rsidRPr="004112D8">
        <w:rPr>
          <w:rFonts w:ascii="Verdana" w:hAnsi="Verdana"/>
          <w:spacing w:val="-2"/>
          <w:sz w:val="20"/>
          <w:szCs w:val="20"/>
          <w:lang w:val="es-ES_tradnl"/>
        </w:rPr>
        <w:t xml:space="preserve"> </w:t>
      </w:r>
      <w:r w:rsidR="00B6775E" w:rsidRPr="004112D8">
        <w:rPr>
          <w:rFonts w:ascii="Verdana" w:hAnsi="Verdana"/>
          <w:spacing w:val="-2"/>
          <w:sz w:val="20"/>
          <w:szCs w:val="20"/>
          <w:lang w:val="es-ES_tradnl"/>
        </w:rPr>
        <w:t xml:space="preserve">favor de </w:t>
      </w:r>
      <w:r w:rsidR="00371717">
        <w:rPr>
          <w:rFonts w:ascii="Verdana" w:hAnsi="Verdana"/>
          <w:spacing w:val="-2"/>
          <w:sz w:val="20"/>
          <w:szCs w:val="20"/>
          <w:lang w:val="es-ES_tradnl"/>
        </w:rPr>
        <w:t>la jurisdicción</w:t>
      </w:r>
      <w:r w:rsidR="00B6775E" w:rsidRPr="004112D8">
        <w:rPr>
          <w:rFonts w:ascii="Verdana" w:hAnsi="Verdana"/>
          <w:spacing w:val="-2"/>
          <w:sz w:val="20"/>
          <w:szCs w:val="20"/>
          <w:lang w:val="es-ES_tradnl"/>
        </w:rPr>
        <w:t xml:space="preserve"> </w:t>
      </w:r>
      <w:r w:rsidR="00371717" w:rsidRPr="004112D8">
        <w:rPr>
          <w:rFonts w:ascii="Verdana" w:hAnsi="Verdana"/>
          <w:spacing w:val="-2"/>
          <w:sz w:val="20"/>
          <w:szCs w:val="20"/>
          <w:lang w:val="es-ES_tradnl"/>
        </w:rPr>
        <w:t>ordinari</w:t>
      </w:r>
      <w:r w:rsidR="00371717">
        <w:rPr>
          <w:rFonts w:ascii="Verdana" w:hAnsi="Verdana"/>
          <w:spacing w:val="-2"/>
          <w:sz w:val="20"/>
          <w:szCs w:val="20"/>
          <w:lang w:val="es-ES_tradnl"/>
        </w:rPr>
        <w:t xml:space="preserve">a el </w:t>
      </w:r>
      <w:r w:rsidR="00371717" w:rsidRPr="002964A7">
        <w:rPr>
          <w:rFonts w:ascii="Verdana" w:hAnsi="Verdana" w:cs="Arial"/>
          <w:sz w:val="20"/>
          <w:szCs w:val="20"/>
          <w:lang w:val="es-GT"/>
        </w:rPr>
        <w:t xml:space="preserve">17 de </w:t>
      </w:r>
      <w:r w:rsidR="00371717" w:rsidRPr="002964A7">
        <w:rPr>
          <w:rFonts w:ascii="Verdana" w:hAnsi="Verdana" w:cs="Arial"/>
          <w:spacing w:val="-2"/>
          <w:sz w:val="20"/>
          <w:szCs w:val="20"/>
          <w:lang w:val="es-GT"/>
        </w:rPr>
        <w:t>junio</w:t>
      </w:r>
      <w:r w:rsidR="00371717" w:rsidRPr="002964A7">
        <w:rPr>
          <w:rFonts w:ascii="Verdana" w:hAnsi="Verdana" w:cs="Arial"/>
          <w:sz w:val="20"/>
          <w:szCs w:val="20"/>
          <w:lang w:val="es-GT"/>
        </w:rPr>
        <w:t xml:space="preserve"> de 1993</w:t>
      </w:r>
      <w:r w:rsidR="00B6775E" w:rsidRPr="004112D8">
        <w:rPr>
          <w:rFonts w:ascii="Verdana" w:hAnsi="Verdana"/>
          <w:spacing w:val="-2"/>
          <w:sz w:val="20"/>
          <w:szCs w:val="20"/>
          <w:lang w:val="es-ES_tradnl"/>
        </w:rPr>
        <w:t xml:space="preserve">. En el año 1995 se aplicó la Ley de Amnistía en </w:t>
      </w:r>
      <w:r w:rsidR="00371717">
        <w:rPr>
          <w:rFonts w:ascii="Verdana" w:hAnsi="Verdana"/>
          <w:spacing w:val="-2"/>
          <w:sz w:val="20"/>
          <w:szCs w:val="20"/>
          <w:lang w:val="es-ES_tradnl"/>
        </w:rPr>
        <w:t>ambas jurisdicciones. T</w:t>
      </w:r>
      <w:r w:rsidR="00B6775E" w:rsidRPr="004112D8">
        <w:rPr>
          <w:rFonts w:ascii="Verdana" w:hAnsi="Verdana"/>
          <w:spacing w:val="-2"/>
          <w:sz w:val="20"/>
          <w:szCs w:val="20"/>
          <w:lang w:val="es-ES_tradnl"/>
        </w:rPr>
        <w:t xml:space="preserve">ras la emisión </w:t>
      </w:r>
      <w:r w:rsidR="00371717">
        <w:rPr>
          <w:rFonts w:ascii="Verdana" w:hAnsi="Verdana"/>
          <w:spacing w:val="-2"/>
          <w:sz w:val="20"/>
          <w:szCs w:val="20"/>
          <w:lang w:val="es-ES_tradnl"/>
        </w:rPr>
        <w:t xml:space="preserve">en el año 2001 </w:t>
      </w:r>
      <w:r w:rsidR="00B6775E" w:rsidRPr="004112D8">
        <w:rPr>
          <w:rFonts w:ascii="Verdana" w:hAnsi="Verdana"/>
          <w:spacing w:val="-2"/>
          <w:sz w:val="20"/>
          <w:szCs w:val="20"/>
          <w:lang w:val="es-ES_tradnl"/>
        </w:rPr>
        <w:t>de la</w:t>
      </w:r>
      <w:r w:rsidR="00371717">
        <w:rPr>
          <w:rFonts w:ascii="Verdana" w:hAnsi="Verdana"/>
          <w:spacing w:val="-2"/>
          <w:sz w:val="20"/>
          <w:szCs w:val="20"/>
          <w:lang w:val="es-ES_tradnl"/>
        </w:rPr>
        <w:t>s</w:t>
      </w:r>
      <w:r w:rsidR="00B6775E" w:rsidRPr="004112D8">
        <w:rPr>
          <w:rFonts w:ascii="Verdana" w:hAnsi="Verdana"/>
          <w:spacing w:val="-2"/>
          <w:sz w:val="20"/>
          <w:szCs w:val="20"/>
          <w:lang w:val="es-ES_tradnl"/>
        </w:rPr>
        <w:t xml:space="preserve"> Sentencia</w:t>
      </w:r>
      <w:r w:rsidR="00371717">
        <w:rPr>
          <w:rFonts w:ascii="Verdana" w:hAnsi="Verdana"/>
          <w:spacing w:val="-2"/>
          <w:sz w:val="20"/>
          <w:szCs w:val="20"/>
          <w:lang w:val="es-ES_tradnl"/>
        </w:rPr>
        <w:t>s</w:t>
      </w:r>
      <w:r w:rsidR="00B6775E" w:rsidRPr="004112D8">
        <w:rPr>
          <w:rFonts w:ascii="Verdana" w:hAnsi="Verdana"/>
          <w:spacing w:val="-2"/>
          <w:sz w:val="20"/>
          <w:szCs w:val="20"/>
          <w:lang w:val="es-ES_tradnl"/>
        </w:rPr>
        <w:t xml:space="preserve"> de la Corte Interamericana en el </w:t>
      </w:r>
      <w:r w:rsidR="00371717" w:rsidRPr="002F4A9E">
        <w:rPr>
          <w:rFonts w:ascii="Verdana" w:hAnsi="Verdana"/>
          <w:i/>
          <w:spacing w:val="-2"/>
          <w:sz w:val="20"/>
          <w:szCs w:val="20"/>
          <w:lang w:val="es-ES_tradnl"/>
        </w:rPr>
        <w:t xml:space="preserve">Caso </w:t>
      </w:r>
      <w:r w:rsidR="00B6775E" w:rsidRPr="004112D8">
        <w:rPr>
          <w:rFonts w:ascii="Verdana" w:hAnsi="Verdana"/>
          <w:i/>
          <w:spacing w:val="-2"/>
          <w:sz w:val="20"/>
          <w:szCs w:val="20"/>
          <w:lang w:val="es-ES_tradnl"/>
        </w:rPr>
        <w:t>Barrios Altos</w:t>
      </w:r>
      <w:r w:rsidR="00371717">
        <w:rPr>
          <w:rFonts w:ascii="Verdana" w:hAnsi="Verdana"/>
          <w:i/>
          <w:spacing w:val="-2"/>
          <w:sz w:val="20"/>
          <w:szCs w:val="20"/>
          <w:lang w:val="es-ES_tradnl"/>
        </w:rPr>
        <w:t xml:space="preserve"> Vs. Perú</w:t>
      </w:r>
      <w:r w:rsidR="00B6775E" w:rsidRPr="004112D8">
        <w:rPr>
          <w:rFonts w:ascii="Verdana" w:hAnsi="Verdana"/>
          <w:i/>
          <w:spacing w:val="-2"/>
          <w:sz w:val="20"/>
          <w:szCs w:val="20"/>
          <w:lang w:val="es-ES_tradnl"/>
        </w:rPr>
        <w:t xml:space="preserve">, </w:t>
      </w:r>
      <w:r w:rsidR="00B6775E" w:rsidRPr="004112D8">
        <w:rPr>
          <w:rFonts w:ascii="Verdana" w:hAnsi="Verdana"/>
          <w:spacing w:val="-2"/>
          <w:sz w:val="20"/>
          <w:szCs w:val="20"/>
          <w:lang w:val="es-ES_tradnl"/>
        </w:rPr>
        <w:t xml:space="preserve">en el año 2002 se reabrió el proceso en la jurisdicción militar y en el año 2005 en </w:t>
      </w:r>
      <w:r w:rsidR="00371717">
        <w:rPr>
          <w:rFonts w:ascii="Verdana" w:hAnsi="Verdana"/>
          <w:spacing w:val="-2"/>
          <w:sz w:val="20"/>
          <w:szCs w:val="20"/>
          <w:lang w:val="es-ES_tradnl"/>
        </w:rPr>
        <w:t>la jurisdicción ordinaria</w:t>
      </w:r>
      <w:r w:rsidR="00B6775E" w:rsidRPr="004112D8">
        <w:rPr>
          <w:rFonts w:ascii="Verdana" w:hAnsi="Verdana"/>
          <w:spacing w:val="-2"/>
          <w:sz w:val="20"/>
          <w:szCs w:val="20"/>
          <w:lang w:val="es-ES_tradnl"/>
        </w:rPr>
        <w:t>. No consta</w:t>
      </w:r>
      <w:r w:rsidR="00FD33D3">
        <w:rPr>
          <w:rFonts w:ascii="Verdana" w:hAnsi="Verdana"/>
          <w:spacing w:val="-2"/>
          <w:sz w:val="20"/>
          <w:szCs w:val="20"/>
          <w:lang w:val="es-ES_tradnl"/>
        </w:rPr>
        <w:t>n</w:t>
      </w:r>
      <w:r w:rsidR="00B6775E" w:rsidRPr="004112D8">
        <w:rPr>
          <w:rFonts w:ascii="Verdana" w:hAnsi="Verdana"/>
          <w:spacing w:val="-2"/>
          <w:sz w:val="20"/>
          <w:szCs w:val="20"/>
          <w:lang w:val="es-ES_tradnl"/>
        </w:rPr>
        <w:t xml:space="preserve"> actuaciones posteriores en </w:t>
      </w:r>
      <w:r w:rsidR="00FD33D3">
        <w:rPr>
          <w:rFonts w:ascii="Verdana" w:hAnsi="Verdana"/>
          <w:spacing w:val="-2"/>
          <w:sz w:val="20"/>
          <w:szCs w:val="20"/>
          <w:lang w:val="es-ES_tradnl"/>
        </w:rPr>
        <w:t xml:space="preserve">el fuero </w:t>
      </w:r>
      <w:r w:rsidR="00B6775E" w:rsidRPr="004112D8">
        <w:rPr>
          <w:rFonts w:ascii="Verdana" w:hAnsi="Verdana"/>
          <w:spacing w:val="-2"/>
          <w:sz w:val="20"/>
          <w:szCs w:val="20"/>
          <w:lang w:val="es-ES_tradnl"/>
        </w:rPr>
        <w:t>militar</w:t>
      </w:r>
      <w:r w:rsidR="00FD33D3">
        <w:rPr>
          <w:rFonts w:ascii="Verdana" w:hAnsi="Verdana"/>
          <w:spacing w:val="-2"/>
          <w:sz w:val="20"/>
          <w:szCs w:val="20"/>
          <w:lang w:val="es-ES_tradnl"/>
        </w:rPr>
        <w:t xml:space="preserve">, y en la </w:t>
      </w:r>
      <w:r w:rsidR="00FD33D3" w:rsidRPr="004112D8">
        <w:rPr>
          <w:rFonts w:ascii="Verdana" w:hAnsi="Verdana"/>
          <w:spacing w:val="-2"/>
          <w:sz w:val="20"/>
          <w:szCs w:val="20"/>
          <w:lang w:val="es-ES_tradnl"/>
        </w:rPr>
        <w:t>jurisdicción</w:t>
      </w:r>
      <w:r w:rsidR="00FD33D3">
        <w:rPr>
          <w:rFonts w:ascii="Verdana" w:hAnsi="Verdana"/>
          <w:spacing w:val="-2"/>
          <w:sz w:val="20"/>
          <w:szCs w:val="20"/>
          <w:lang w:val="es-ES_tradnl"/>
        </w:rPr>
        <w:t xml:space="preserve"> ordinaria consta que</w:t>
      </w:r>
      <w:r w:rsidR="00B6775E" w:rsidRPr="004112D8">
        <w:rPr>
          <w:rFonts w:ascii="Verdana" w:hAnsi="Verdana"/>
          <w:spacing w:val="-2"/>
          <w:sz w:val="20"/>
          <w:szCs w:val="20"/>
          <w:lang w:val="es-ES_tradnl"/>
        </w:rPr>
        <w:t xml:space="preserve"> en octubre de 2006 la Sala Penal Nacional de Lima avocó conocimiento del proceso</w:t>
      </w:r>
      <w:r w:rsidR="00D5503D">
        <w:rPr>
          <w:rFonts w:ascii="Verdana" w:hAnsi="Verdana"/>
          <w:spacing w:val="-2"/>
          <w:sz w:val="20"/>
          <w:szCs w:val="20"/>
          <w:lang w:val="es-ES_tradnl"/>
        </w:rPr>
        <w:t xml:space="preserve">. </w:t>
      </w:r>
      <w:r w:rsidR="00D5503D" w:rsidRPr="002964A7">
        <w:rPr>
          <w:rFonts w:ascii="Verdana" w:hAnsi="Verdana" w:cs="Arial"/>
          <w:sz w:val="20"/>
          <w:szCs w:val="20"/>
          <w:lang w:val="es-GT"/>
        </w:rPr>
        <w:t xml:space="preserve">El 6 de diciembre de 2007 se inició el juicio seguido en contra </w:t>
      </w:r>
      <w:r w:rsidR="00D5503D">
        <w:rPr>
          <w:rFonts w:ascii="Verdana" w:hAnsi="Verdana" w:cs="Arial"/>
          <w:sz w:val="20"/>
          <w:szCs w:val="20"/>
          <w:lang w:val="es-GT"/>
        </w:rPr>
        <w:t xml:space="preserve">de </w:t>
      </w:r>
      <w:r w:rsidR="00976045">
        <w:rPr>
          <w:rFonts w:ascii="Verdana" w:hAnsi="Verdana" w:cs="Arial"/>
          <w:sz w:val="20"/>
          <w:szCs w:val="20"/>
          <w:lang w:val="es-GT"/>
        </w:rPr>
        <w:t>cinco procesados</w:t>
      </w:r>
      <w:r w:rsidR="00E113E6">
        <w:rPr>
          <w:rFonts w:ascii="Verdana" w:hAnsi="Verdana" w:cs="Arial"/>
          <w:sz w:val="20"/>
          <w:szCs w:val="20"/>
          <w:lang w:val="es-GT"/>
        </w:rPr>
        <w:t>,</w:t>
      </w:r>
      <w:r w:rsidR="00976045">
        <w:rPr>
          <w:rFonts w:ascii="Verdana" w:hAnsi="Verdana" w:cs="Arial"/>
          <w:sz w:val="20"/>
          <w:szCs w:val="20"/>
          <w:lang w:val="es-GT"/>
        </w:rPr>
        <w:t xml:space="preserve"> de los que cuatro </w:t>
      </w:r>
      <w:r w:rsidR="00976045">
        <w:rPr>
          <w:rFonts w:ascii="Verdana" w:hAnsi="Verdana"/>
          <w:spacing w:val="-2"/>
          <w:sz w:val="20"/>
          <w:szCs w:val="20"/>
          <w:lang w:val="es-ES_tradnl"/>
        </w:rPr>
        <w:t>se encontraban</w:t>
      </w:r>
      <w:r w:rsidR="00976045" w:rsidRPr="004112D8">
        <w:rPr>
          <w:rFonts w:ascii="Verdana" w:hAnsi="Verdana"/>
          <w:spacing w:val="-2"/>
          <w:sz w:val="20"/>
          <w:szCs w:val="20"/>
          <w:lang w:val="es-ES_tradnl"/>
        </w:rPr>
        <w:t xml:space="preserve"> ausentes</w:t>
      </w:r>
      <w:r w:rsidR="00D5503D" w:rsidRPr="002964A7">
        <w:rPr>
          <w:rFonts w:ascii="Verdana" w:hAnsi="Verdana" w:cs="Arial"/>
          <w:sz w:val="20"/>
          <w:szCs w:val="20"/>
          <w:lang w:val="es-GT"/>
        </w:rPr>
        <w:t>.</w:t>
      </w:r>
      <w:r w:rsidR="00AD424C" w:rsidRPr="00AD424C">
        <w:rPr>
          <w:rFonts w:ascii="Verdana" w:hAnsi="Verdana" w:cs="Arial"/>
          <w:sz w:val="20"/>
          <w:szCs w:val="20"/>
          <w:lang w:val="es-GT"/>
        </w:rPr>
        <w:t xml:space="preserve"> </w:t>
      </w:r>
      <w:r w:rsidR="00EE12A2">
        <w:rPr>
          <w:rFonts w:ascii="Verdana" w:hAnsi="Verdana"/>
          <w:sz w:val="20"/>
          <w:szCs w:val="20"/>
          <w:lang w:val="es-GT"/>
        </w:rPr>
        <w:t>Entre los años 2009 y 2011</w:t>
      </w:r>
      <w:r w:rsidR="00EE12A2" w:rsidRPr="002964A7">
        <w:rPr>
          <w:rFonts w:ascii="Verdana" w:hAnsi="Verdana"/>
          <w:sz w:val="20"/>
          <w:szCs w:val="20"/>
          <w:lang w:val="es-GT"/>
        </w:rPr>
        <w:t xml:space="preserve"> se realizaron diversas diligencias</w:t>
      </w:r>
      <w:r w:rsidR="00EE12A2" w:rsidRPr="00CE1794">
        <w:rPr>
          <w:rFonts w:ascii="Verdana" w:hAnsi="Verdana" w:cs="Arial"/>
          <w:sz w:val="20"/>
          <w:szCs w:val="20"/>
          <w:lang w:val="es-GT"/>
        </w:rPr>
        <w:t xml:space="preserve"> </w:t>
      </w:r>
      <w:r w:rsidR="00EE12A2">
        <w:rPr>
          <w:rFonts w:ascii="Verdana" w:hAnsi="Verdana" w:cs="Arial"/>
          <w:sz w:val="20"/>
          <w:szCs w:val="20"/>
          <w:lang w:val="es-GT"/>
        </w:rPr>
        <w:t xml:space="preserve">relacionadas con </w:t>
      </w:r>
      <w:r w:rsidR="00EE12A2" w:rsidRPr="002964A7">
        <w:rPr>
          <w:rFonts w:ascii="Verdana" w:hAnsi="Verdana" w:cs="Arial"/>
          <w:sz w:val="20"/>
          <w:szCs w:val="20"/>
          <w:lang w:val="es-GT"/>
        </w:rPr>
        <w:t>la búsqueda</w:t>
      </w:r>
      <w:r w:rsidR="00EE12A2">
        <w:rPr>
          <w:rFonts w:ascii="Verdana" w:hAnsi="Verdana" w:cs="Arial"/>
          <w:sz w:val="20"/>
          <w:szCs w:val="20"/>
          <w:lang w:val="es-GT"/>
        </w:rPr>
        <w:t xml:space="preserve">, </w:t>
      </w:r>
      <w:r w:rsidR="00EE12A2" w:rsidRPr="002964A7">
        <w:rPr>
          <w:rFonts w:ascii="Verdana" w:hAnsi="Verdana" w:cs="Arial"/>
          <w:sz w:val="20"/>
          <w:szCs w:val="20"/>
          <w:lang w:val="es-GT"/>
        </w:rPr>
        <w:t>recuperación</w:t>
      </w:r>
      <w:r w:rsidR="00EE12A2">
        <w:rPr>
          <w:rFonts w:ascii="Verdana" w:hAnsi="Verdana" w:cs="Arial"/>
          <w:sz w:val="20"/>
          <w:szCs w:val="20"/>
          <w:lang w:val="es-GT"/>
        </w:rPr>
        <w:t xml:space="preserve"> e identificación</w:t>
      </w:r>
      <w:r w:rsidR="00EE12A2" w:rsidRPr="002964A7">
        <w:rPr>
          <w:rFonts w:ascii="Verdana" w:hAnsi="Verdana" w:cs="Arial"/>
          <w:sz w:val="20"/>
          <w:szCs w:val="20"/>
          <w:lang w:val="es-GT"/>
        </w:rPr>
        <w:t xml:space="preserve"> de los restos óseos humanos en la </w:t>
      </w:r>
      <w:r w:rsidR="00EE12A2" w:rsidRPr="002964A7">
        <w:rPr>
          <w:rFonts w:ascii="Verdana" w:hAnsi="Verdana"/>
          <w:sz w:val="20"/>
          <w:szCs w:val="20"/>
          <w:lang w:val="es-GT"/>
        </w:rPr>
        <w:t xml:space="preserve">mina abandonada “Misteriosa” o “Vallarón”. </w:t>
      </w:r>
      <w:r w:rsidR="00EE12A2">
        <w:rPr>
          <w:rFonts w:ascii="Verdana" w:hAnsi="Verdana"/>
          <w:sz w:val="20"/>
          <w:szCs w:val="20"/>
          <w:lang w:val="es-GT"/>
        </w:rPr>
        <w:t xml:space="preserve">Sin embargo, </w:t>
      </w:r>
      <w:r w:rsidR="00EE12A2" w:rsidRPr="00802006">
        <w:rPr>
          <w:rFonts w:ascii="Verdana" w:hAnsi="Verdana"/>
          <w:bCs/>
          <w:sz w:val="20"/>
          <w:szCs w:val="20"/>
          <w:shd w:val="clear" w:color="auto" w:fill="FFFFFF"/>
          <w:lang w:eastAsia="es-CR"/>
        </w:rPr>
        <w:t xml:space="preserve">aún se mantiene </w:t>
      </w:r>
      <w:r w:rsidR="00EE12A2" w:rsidRPr="00802006">
        <w:rPr>
          <w:rFonts w:ascii="Verdana" w:hAnsi="Verdana"/>
          <w:sz w:val="20"/>
          <w:szCs w:val="20"/>
          <w:lang w:eastAsia="es-CR"/>
        </w:rPr>
        <w:t>l</w:t>
      </w:r>
      <w:r w:rsidR="00EE12A2" w:rsidRPr="00802006">
        <w:rPr>
          <w:rFonts w:ascii="Verdana" w:hAnsi="Verdana" w:cs="Univers"/>
          <w:sz w:val="20"/>
          <w:szCs w:val="20"/>
          <w:lang w:val="es-CO" w:eastAsia="es-CR"/>
        </w:rPr>
        <w:t xml:space="preserve">a incertidumbre sobre </w:t>
      </w:r>
      <w:r w:rsidR="00EE12A2">
        <w:rPr>
          <w:rFonts w:ascii="Verdana" w:hAnsi="Verdana" w:cs="Univers"/>
          <w:sz w:val="20"/>
          <w:szCs w:val="20"/>
          <w:lang w:val="es-CO" w:eastAsia="es-CR"/>
        </w:rPr>
        <w:t>su</w:t>
      </w:r>
      <w:r w:rsidR="00EE12A2" w:rsidRPr="00802006">
        <w:rPr>
          <w:rFonts w:ascii="Verdana" w:hAnsi="Verdana" w:cs="Univers"/>
          <w:sz w:val="20"/>
          <w:szCs w:val="20"/>
          <w:lang w:val="es-CO" w:eastAsia="es-CR"/>
        </w:rPr>
        <w:t xml:space="preserve"> correspondencia </w:t>
      </w:r>
      <w:r w:rsidR="00EE12A2" w:rsidRPr="00802006">
        <w:rPr>
          <w:rFonts w:ascii="Verdana" w:hAnsi="Verdana"/>
          <w:sz w:val="20"/>
          <w:szCs w:val="20"/>
          <w:lang w:eastAsia="es-CR"/>
        </w:rPr>
        <w:t>con las víctimas de este caso</w:t>
      </w:r>
      <w:r w:rsidR="00EE12A2">
        <w:rPr>
          <w:rFonts w:ascii="Verdana" w:hAnsi="Verdana"/>
          <w:sz w:val="20"/>
          <w:szCs w:val="20"/>
          <w:lang w:eastAsia="es-CR"/>
        </w:rPr>
        <w:t>, ninguna de las cuales ha sido identificada.</w:t>
      </w:r>
    </w:p>
    <w:p w14:paraId="322C039F" w14:textId="77777777" w:rsidR="00EE12A2" w:rsidRDefault="00EE12A2" w:rsidP="002F4A9E">
      <w:pPr>
        <w:pStyle w:val="Prrafodelista"/>
        <w:ind w:left="0"/>
        <w:jc w:val="both"/>
        <w:rPr>
          <w:rFonts w:ascii="Verdana" w:hAnsi="Verdana" w:cs="Arial"/>
          <w:sz w:val="20"/>
          <w:szCs w:val="20"/>
          <w:lang w:val="es-GT"/>
        </w:rPr>
      </w:pPr>
    </w:p>
    <w:p w14:paraId="5D93A7FA" w14:textId="77777777" w:rsidR="00EE12A2" w:rsidRPr="001A5B85" w:rsidRDefault="00AD424C" w:rsidP="002F4A9E">
      <w:pPr>
        <w:jc w:val="both"/>
        <w:rPr>
          <w:rFonts w:ascii="Verdana" w:hAnsi="Verdana"/>
          <w:sz w:val="20"/>
          <w:szCs w:val="20"/>
          <w:lang w:eastAsia="es-CR"/>
        </w:rPr>
      </w:pPr>
      <w:r>
        <w:rPr>
          <w:rFonts w:ascii="Verdana" w:hAnsi="Verdana" w:cs="Arial"/>
          <w:sz w:val="20"/>
          <w:szCs w:val="20"/>
          <w:lang w:val="es-GT"/>
        </w:rPr>
        <w:t>Los días</w:t>
      </w:r>
      <w:r w:rsidRPr="00C94FC4">
        <w:rPr>
          <w:rFonts w:ascii="Verdana" w:hAnsi="Verdana" w:cs="Arial"/>
          <w:sz w:val="20"/>
          <w:szCs w:val="20"/>
          <w:lang w:val="es-GT"/>
        </w:rPr>
        <w:t xml:space="preserve"> 9 de febrero de 2012 y 29 de mayo de 2013 la Sala Penal Nacional de la Corte Superior de Justica de Lima</w:t>
      </w:r>
      <w:r w:rsidRPr="00C94FC4">
        <w:rPr>
          <w:rFonts w:ascii="Verdana" w:hAnsi="Verdana" w:cs="Arial"/>
          <w:spacing w:val="-2"/>
          <w:sz w:val="20"/>
          <w:szCs w:val="20"/>
          <w:lang w:val="es-GT"/>
        </w:rPr>
        <w:t xml:space="preserve"> </w:t>
      </w:r>
      <w:r w:rsidRPr="00C94FC4">
        <w:rPr>
          <w:rFonts w:ascii="Verdana" w:hAnsi="Verdana"/>
          <w:iCs/>
          <w:sz w:val="20"/>
          <w:szCs w:val="20"/>
          <w:lang w:val="es-GT"/>
        </w:rPr>
        <w:t>y</w:t>
      </w:r>
      <w:r w:rsidRPr="00C94FC4">
        <w:rPr>
          <w:rFonts w:ascii="Verdana" w:hAnsi="Verdana" w:cs="Arial"/>
          <w:sz w:val="20"/>
          <w:szCs w:val="20"/>
          <w:lang w:val="es-GT"/>
        </w:rPr>
        <w:t xml:space="preserve"> </w:t>
      </w:r>
      <w:r w:rsidRPr="00C94FC4">
        <w:rPr>
          <w:rFonts w:ascii="Verdana" w:hAnsi="Verdana" w:cs="Arial"/>
          <w:spacing w:val="-2"/>
          <w:sz w:val="20"/>
          <w:szCs w:val="20"/>
          <w:lang w:val="es-GT"/>
        </w:rPr>
        <w:t xml:space="preserve">la </w:t>
      </w:r>
      <w:r w:rsidRPr="00C94FC4">
        <w:rPr>
          <w:rFonts w:ascii="Verdana" w:hAnsi="Verdana" w:cs="Arial"/>
          <w:sz w:val="20"/>
          <w:szCs w:val="20"/>
          <w:lang w:val="es-GT"/>
        </w:rPr>
        <w:t xml:space="preserve">Sala Penal Transitoria de la Corte Suprema de Justicia de la República del Perú dictaron sus respectivas sentencias sobre el caso. </w:t>
      </w:r>
      <w:r w:rsidR="00976045">
        <w:rPr>
          <w:rFonts w:ascii="Verdana" w:hAnsi="Verdana" w:cs="Arial"/>
          <w:sz w:val="20"/>
          <w:szCs w:val="20"/>
          <w:lang w:val="es-GT"/>
        </w:rPr>
        <w:t xml:space="preserve">Los hechos </w:t>
      </w:r>
      <w:r w:rsidR="00976045" w:rsidRPr="002964A7">
        <w:rPr>
          <w:rFonts w:ascii="Verdana" w:hAnsi="Verdana"/>
          <w:sz w:val="20"/>
          <w:szCs w:val="20"/>
          <w:lang w:val="es-GT"/>
        </w:rPr>
        <w:t xml:space="preserve">ocurridos </w:t>
      </w:r>
      <w:r w:rsidR="00976045" w:rsidRPr="002964A7">
        <w:rPr>
          <w:rFonts w:ascii="Verdana" w:hAnsi="Verdana"/>
          <w:iCs/>
          <w:sz w:val="20"/>
          <w:szCs w:val="20"/>
          <w:lang w:val="es-GT"/>
        </w:rPr>
        <w:t xml:space="preserve">en la comunidad campesina de Santa </w:t>
      </w:r>
      <w:r w:rsidR="00976045" w:rsidRPr="002964A7">
        <w:rPr>
          <w:rFonts w:ascii="Verdana" w:hAnsi="Verdana"/>
          <w:sz w:val="20"/>
          <w:szCs w:val="20"/>
          <w:lang w:eastAsia="es-CR"/>
        </w:rPr>
        <w:t>Bárbara</w:t>
      </w:r>
      <w:r w:rsidR="00976045" w:rsidRPr="002964A7">
        <w:rPr>
          <w:rFonts w:ascii="Verdana" w:hAnsi="Verdana" w:cs="Arial"/>
          <w:sz w:val="20"/>
          <w:szCs w:val="20"/>
          <w:lang w:val="es-GT"/>
        </w:rPr>
        <w:t xml:space="preserve"> el 4 de julio de 1991</w:t>
      </w:r>
      <w:r w:rsidR="00976045" w:rsidRPr="002964A7">
        <w:rPr>
          <w:rFonts w:ascii="Verdana" w:hAnsi="Verdana"/>
          <w:sz w:val="20"/>
          <w:szCs w:val="20"/>
          <w:lang w:val="es-GT"/>
        </w:rPr>
        <w:t xml:space="preserve"> </w:t>
      </w:r>
      <w:r w:rsidR="00976045">
        <w:rPr>
          <w:rFonts w:ascii="Verdana" w:hAnsi="Verdana"/>
          <w:sz w:val="20"/>
          <w:szCs w:val="20"/>
          <w:lang w:val="es-GT"/>
        </w:rPr>
        <w:t xml:space="preserve">se calificaron como </w:t>
      </w:r>
      <w:r w:rsidR="00976045" w:rsidRPr="002964A7">
        <w:rPr>
          <w:rFonts w:ascii="Verdana" w:hAnsi="Verdana"/>
          <w:sz w:val="20"/>
          <w:szCs w:val="20"/>
          <w:lang w:val="es-GT"/>
        </w:rPr>
        <w:t xml:space="preserve">delito de lesa humanidad </w:t>
      </w:r>
      <w:r w:rsidR="00976045">
        <w:rPr>
          <w:rFonts w:ascii="Verdana" w:hAnsi="Verdana"/>
          <w:sz w:val="20"/>
          <w:szCs w:val="20"/>
          <w:lang w:val="es-GT"/>
        </w:rPr>
        <w:t xml:space="preserve">y </w:t>
      </w:r>
      <w:r w:rsidR="00976045" w:rsidRPr="002964A7">
        <w:rPr>
          <w:rFonts w:ascii="Verdana" w:hAnsi="Verdana"/>
          <w:sz w:val="20"/>
          <w:szCs w:val="20"/>
          <w:lang w:val="es-GT"/>
        </w:rPr>
        <w:t>su acción penal imprescriptible</w:t>
      </w:r>
      <w:r w:rsidR="00976045">
        <w:rPr>
          <w:rFonts w:ascii="Verdana" w:hAnsi="Verdana"/>
          <w:sz w:val="20"/>
          <w:szCs w:val="20"/>
          <w:lang w:val="es-GT"/>
        </w:rPr>
        <w:t>. Al respecto,</w:t>
      </w:r>
      <w:r w:rsidR="00B62301">
        <w:rPr>
          <w:rFonts w:ascii="Verdana" w:hAnsi="Verdana"/>
          <w:sz w:val="20"/>
          <w:szCs w:val="20"/>
          <w:lang w:val="es-GT"/>
        </w:rPr>
        <w:t xml:space="preserve"> </w:t>
      </w:r>
      <w:r w:rsidR="00976045">
        <w:rPr>
          <w:rFonts w:ascii="Verdana" w:hAnsi="Verdana"/>
          <w:spacing w:val="-2"/>
          <w:sz w:val="20"/>
          <w:szCs w:val="20"/>
          <w:lang w:val="es-ES_tradnl"/>
        </w:rPr>
        <w:t>se condenó a</w:t>
      </w:r>
      <w:r w:rsidR="00B6775E" w:rsidRPr="004112D8">
        <w:rPr>
          <w:rFonts w:ascii="Verdana" w:hAnsi="Verdana"/>
          <w:spacing w:val="-2"/>
          <w:sz w:val="20"/>
          <w:szCs w:val="20"/>
          <w:lang w:val="es-ES_tradnl"/>
        </w:rPr>
        <w:t xml:space="preserve"> Oscar Alberto Carrera Gonzales </w:t>
      </w:r>
      <w:r w:rsidR="00976045">
        <w:rPr>
          <w:rFonts w:ascii="Verdana" w:hAnsi="Verdana"/>
          <w:bCs/>
          <w:sz w:val="20"/>
          <w:szCs w:val="20"/>
          <w:lang w:val="es-GT"/>
        </w:rPr>
        <w:t xml:space="preserve">por </w:t>
      </w:r>
      <w:r w:rsidR="00976045" w:rsidRPr="002964A7">
        <w:rPr>
          <w:rFonts w:ascii="Verdana" w:hAnsi="Verdana"/>
          <w:bCs/>
          <w:sz w:val="20"/>
          <w:szCs w:val="20"/>
          <w:lang w:val="es-GT"/>
        </w:rPr>
        <w:t xml:space="preserve">el </w:t>
      </w:r>
      <w:r w:rsidR="00976045" w:rsidRPr="002964A7">
        <w:rPr>
          <w:rFonts w:ascii="Verdana" w:hAnsi="Verdana"/>
          <w:sz w:val="20"/>
          <w:szCs w:val="20"/>
          <w:lang w:val="es-GT"/>
        </w:rPr>
        <w:t>delito de homicidio calificado</w:t>
      </w:r>
      <w:r w:rsidR="00976045">
        <w:rPr>
          <w:rFonts w:ascii="Verdana" w:hAnsi="Verdana"/>
          <w:spacing w:val="-2"/>
          <w:sz w:val="20"/>
          <w:szCs w:val="20"/>
          <w:lang w:val="es-ES_tradnl"/>
        </w:rPr>
        <w:t xml:space="preserve"> </w:t>
      </w:r>
      <w:r w:rsidR="00B6775E" w:rsidRPr="004112D8">
        <w:rPr>
          <w:rFonts w:ascii="Verdana" w:hAnsi="Verdana"/>
          <w:spacing w:val="-2"/>
          <w:sz w:val="20"/>
          <w:szCs w:val="20"/>
          <w:lang w:val="es-ES_tradnl"/>
        </w:rPr>
        <w:t xml:space="preserve">y se dispuso la captura de </w:t>
      </w:r>
      <w:r w:rsidR="00925BE3">
        <w:rPr>
          <w:rFonts w:ascii="Verdana" w:hAnsi="Verdana"/>
          <w:spacing w:val="-2"/>
          <w:sz w:val="20"/>
          <w:szCs w:val="20"/>
          <w:lang w:val="es-ES_tradnl"/>
        </w:rPr>
        <w:t xml:space="preserve">los </w:t>
      </w:r>
      <w:r w:rsidR="00B6775E" w:rsidRPr="004112D8">
        <w:rPr>
          <w:rFonts w:ascii="Verdana" w:hAnsi="Verdana"/>
          <w:spacing w:val="-2"/>
          <w:sz w:val="20"/>
          <w:szCs w:val="20"/>
          <w:lang w:val="es-ES_tradnl"/>
        </w:rPr>
        <w:t xml:space="preserve">procesados ausentes. Paralelamente, en agosto de 2011 el Cuarto Juzgado Penal Supraprovincial de Lima abrió instrucción </w:t>
      </w:r>
      <w:r>
        <w:rPr>
          <w:rFonts w:ascii="Verdana" w:hAnsi="Verdana"/>
          <w:spacing w:val="-2"/>
          <w:sz w:val="20"/>
          <w:szCs w:val="20"/>
          <w:lang w:val="es-ES_tradnl"/>
        </w:rPr>
        <w:t xml:space="preserve">contra </w:t>
      </w:r>
      <w:r w:rsidR="00B6775E" w:rsidRPr="004112D8">
        <w:rPr>
          <w:rFonts w:ascii="Verdana" w:hAnsi="Verdana"/>
          <w:spacing w:val="-2"/>
          <w:sz w:val="20"/>
          <w:szCs w:val="20"/>
          <w:lang w:val="es-ES_tradnl"/>
        </w:rPr>
        <w:t>Simón Fidel Breña Palante</w:t>
      </w:r>
      <w:r w:rsidR="00CF03DD">
        <w:rPr>
          <w:rFonts w:ascii="Verdana" w:hAnsi="Verdana"/>
          <w:spacing w:val="-2"/>
          <w:sz w:val="20"/>
          <w:szCs w:val="20"/>
          <w:lang w:val="es-ES_tradnl"/>
        </w:rPr>
        <w:t xml:space="preserve"> y el </w:t>
      </w:r>
      <w:r w:rsidRPr="002964A7">
        <w:rPr>
          <w:rFonts w:ascii="Verdana" w:hAnsi="Verdana" w:cs="Arial"/>
          <w:sz w:val="20"/>
          <w:szCs w:val="20"/>
          <w:lang w:val="es-GT"/>
        </w:rPr>
        <w:t xml:space="preserve">22 de febrero de 2013 la Sala Penal Nacional </w:t>
      </w:r>
      <w:r w:rsidRPr="002964A7">
        <w:rPr>
          <w:rFonts w:ascii="Verdana" w:hAnsi="Verdana"/>
          <w:sz w:val="20"/>
          <w:szCs w:val="20"/>
          <w:lang w:val="es-GT"/>
        </w:rPr>
        <w:t xml:space="preserve">de la Corte Suprema de Justicia de la República </w:t>
      </w:r>
      <w:r w:rsidRPr="002964A7">
        <w:rPr>
          <w:rFonts w:ascii="Verdana" w:hAnsi="Verdana" w:cs="Arial"/>
          <w:sz w:val="20"/>
          <w:szCs w:val="20"/>
          <w:lang w:val="es-GT"/>
        </w:rPr>
        <w:t>declaró el corte de secuela del proceso</w:t>
      </w:r>
      <w:r w:rsidR="006D5514">
        <w:rPr>
          <w:rFonts w:ascii="Verdana" w:hAnsi="Verdana" w:cs="Arial"/>
          <w:sz w:val="20"/>
          <w:szCs w:val="20"/>
          <w:lang w:val="es-GT"/>
        </w:rPr>
        <w:t xml:space="preserve"> en su contra</w:t>
      </w:r>
      <w:r w:rsidR="000C4756">
        <w:rPr>
          <w:rFonts w:ascii="Verdana" w:hAnsi="Verdana" w:cs="Arial"/>
          <w:sz w:val="20"/>
          <w:szCs w:val="20"/>
          <w:lang w:val="es-GT"/>
        </w:rPr>
        <w:t xml:space="preserve">. </w:t>
      </w:r>
      <w:r w:rsidR="00EE12A2" w:rsidRPr="00C94FC4">
        <w:rPr>
          <w:rFonts w:ascii="Verdana" w:hAnsi="Verdana" w:cs="Arial"/>
          <w:spacing w:val="-2"/>
          <w:sz w:val="20"/>
          <w:szCs w:val="20"/>
          <w:lang w:val="es-GT"/>
        </w:rPr>
        <w:t xml:space="preserve">El caso de los 15 pobladores de la comunidad campesina de Santa Bárbara fue documentado </w:t>
      </w:r>
      <w:r w:rsidR="00EE12A2" w:rsidRPr="00C94FC4">
        <w:rPr>
          <w:rFonts w:ascii="Verdana" w:hAnsi="Verdana"/>
          <w:spacing w:val="-2"/>
          <w:sz w:val="20"/>
          <w:szCs w:val="20"/>
          <w:lang w:eastAsia="es-CR"/>
        </w:rPr>
        <w:t>el 28 de agosto de 2003</w:t>
      </w:r>
      <w:r w:rsidR="00EE12A2" w:rsidRPr="00C94FC4">
        <w:rPr>
          <w:rFonts w:ascii="Verdana" w:hAnsi="Verdana" w:cs="Arial"/>
          <w:spacing w:val="-2"/>
          <w:sz w:val="20"/>
          <w:szCs w:val="20"/>
          <w:lang w:val="es-GT"/>
        </w:rPr>
        <w:t xml:space="preserve"> en el Informe Final de </w:t>
      </w:r>
      <w:r w:rsidR="00EE12A2">
        <w:rPr>
          <w:rFonts w:ascii="Verdana" w:hAnsi="Verdana" w:cs="Arial"/>
          <w:spacing w:val="-2"/>
          <w:sz w:val="20"/>
          <w:szCs w:val="20"/>
          <w:lang w:val="es-GT"/>
        </w:rPr>
        <w:t xml:space="preserve">la </w:t>
      </w:r>
      <w:r w:rsidR="00EE12A2" w:rsidRPr="00C94FC4">
        <w:rPr>
          <w:rFonts w:ascii="Verdana" w:hAnsi="Verdana" w:cs="Arial"/>
          <w:spacing w:val="-2"/>
          <w:sz w:val="20"/>
          <w:szCs w:val="20"/>
          <w:lang w:val="es-GT"/>
        </w:rPr>
        <w:t xml:space="preserve">CVR, </w:t>
      </w:r>
      <w:r w:rsidR="00EE12A2" w:rsidRPr="00912455">
        <w:rPr>
          <w:rFonts w:ascii="Verdana" w:hAnsi="Verdana" w:cs="Arial"/>
          <w:spacing w:val="-2"/>
          <w:sz w:val="20"/>
          <w:szCs w:val="20"/>
          <w:lang w:val="es-GT"/>
        </w:rPr>
        <w:t>en un capítulo que denominó como: “</w:t>
      </w:r>
      <w:hyperlink r:id="rId11" w:tgtFrame="_blank" w:history="1">
        <w:r w:rsidR="00EE12A2" w:rsidRPr="00912455">
          <w:rPr>
            <w:rFonts w:ascii="Verdana" w:hAnsi="Verdana" w:cs="Arial"/>
            <w:sz w:val="20"/>
            <w:szCs w:val="20"/>
            <w:lang w:val="es-GT"/>
          </w:rPr>
          <w:t>2.50. Las ejecuciones extrajudiciales en Santa Bárbara (1991)</w:t>
        </w:r>
      </w:hyperlink>
      <w:r w:rsidR="00EE12A2" w:rsidRPr="00912455">
        <w:rPr>
          <w:rFonts w:ascii="Verdana" w:hAnsi="Verdana" w:cs="Arial"/>
          <w:sz w:val="20"/>
          <w:szCs w:val="20"/>
          <w:lang w:val="es-GT"/>
        </w:rPr>
        <w:t>”.</w:t>
      </w:r>
    </w:p>
    <w:p w14:paraId="04A00B06" w14:textId="77777777" w:rsidR="0003502B" w:rsidRPr="002F4A9E" w:rsidRDefault="0003502B" w:rsidP="002F4A9E">
      <w:pPr>
        <w:rPr>
          <w:rFonts w:ascii="Verdana" w:eastAsiaTheme="minorHAnsi" w:hAnsi="Verdana" w:cs="Verdana"/>
          <w:b/>
          <w:color w:val="000000"/>
          <w:sz w:val="20"/>
          <w:szCs w:val="20"/>
          <w:lang w:val="es-EC"/>
        </w:rPr>
      </w:pPr>
    </w:p>
    <w:p w14:paraId="0AD3998F" w14:textId="77777777" w:rsidR="00886797" w:rsidRDefault="00886797" w:rsidP="00886797">
      <w:pPr>
        <w:pStyle w:val="Prrafodelista"/>
        <w:numPr>
          <w:ilvl w:val="0"/>
          <w:numId w:val="1"/>
        </w:numPr>
        <w:autoSpaceDE w:val="0"/>
        <w:autoSpaceDN w:val="0"/>
        <w:adjustRightInd w:val="0"/>
        <w:rPr>
          <w:rFonts w:ascii="Verdana" w:eastAsiaTheme="minorHAnsi" w:hAnsi="Verdana" w:cs="Verdana"/>
          <w:b/>
          <w:color w:val="000000"/>
          <w:sz w:val="20"/>
          <w:szCs w:val="20"/>
          <w:lang w:val="es-EC"/>
        </w:rPr>
      </w:pPr>
      <w:r>
        <w:rPr>
          <w:rFonts w:ascii="Verdana" w:eastAsiaTheme="minorHAnsi" w:hAnsi="Verdana" w:cs="Verdana"/>
          <w:b/>
          <w:color w:val="000000"/>
          <w:sz w:val="20"/>
          <w:szCs w:val="20"/>
          <w:lang w:val="es-EC"/>
        </w:rPr>
        <w:t>Fondo</w:t>
      </w:r>
    </w:p>
    <w:p w14:paraId="72B6B526" w14:textId="77777777" w:rsidR="00886797" w:rsidRDefault="00886797" w:rsidP="00886797">
      <w:pPr>
        <w:pStyle w:val="Prrafodelista"/>
        <w:rPr>
          <w:rFonts w:ascii="Verdana" w:eastAsiaTheme="minorHAnsi" w:hAnsi="Verdana" w:cs="Verdana"/>
          <w:b/>
          <w:color w:val="000000"/>
          <w:sz w:val="20"/>
          <w:szCs w:val="20"/>
          <w:lang w:val="es-EC"/>
        </w:rPr>
      </w:pPr>
    </w:p>
    <w:p w14:paraId="66506777" w14:textId="77777777" w:rsidR="004112D8" w:rsidRPr="002F4A9E" w:rsidRDefault="00DC0442" w:rsidP="00397285">
      <w:pPr>
        <w:pStyle w:val="Prrafodelista"/>
        <w:ind w:left="-90"/>
        <w:jc w:val="both"/>
        <w:rPr>
          <w:rFonts w:ascii="Verdana" w:eastAsiaTheme="minorHAnsi" w:hAnsi="Verdana"/>
          <w:b/>
          <w:color w:val="000000"/>
          <w:sz w:val="20"/>
          <w:lang w:val="es-EC"/>
        </w:rPr>
      </w:pPr>
      <w:r>
        <w:rPr>
          <w:rFonts w:ascii="Verdana" w:hAnsi="Verdana"/>
          <w:b/>
          <w:sz w:val="20"/>
        </w:rPr>
        <w:t xml:space="preserve">a. </w:t>
      </w:r>
      <w:r w:rsidR="004112D8" w:rsidRPr="002F4A9E">
        <w:rPr>
          <w:rFonts w:ascii="Verdana" w:hAnsi="Verdana"/>
          <w:b/>
          <w:sz w:val="20"/>
        </w:rPr>
        <w:t xml:space="preserve">Derechos a la libertad personal, integridad personal, vida y reconocimiento de la personalidad jurídica, </w:t>
      </w:r>
      <w:r>
        <w:rPr>
          <w:rFonts w:ascii="Verdana" w:hAnsi="Verdana"/>
          <w:b/>
          <w:sz w:val="20"/>
        </w:rPr>
        <w:t>y</w:t>
      </w:r>
      <w:r w:rsidR="00FB2CD2">
        <w:rPr>
          <w:rFonts w:ascii="Verdana" w:hAnsi="Verdana"/>
          <w:b/>
          <w:sz w:val="20"/>
          <w:szCs w:val="20"/>
        </w:rPr>
        <w:t xml:space="preserve"> el derecho a la especial protección de las niñas y los niños</w:t>
      </w:r>
    </w:p>
    <w:p w14:paraId="359E3964" w14:textId="77777777" w:rsidR="004112D8" w:rsidRPr="004112D8" w:rsidRDefault="004112D8" w:rsidP="00886797">
      <w:pPr>
        <w:pStyle w:val="Prrafodelista"/>
        <w:rPr>
          <w:rFonts w:ascii="Verdana" w:eastAsiaTheme="minorHAnsi" w:hAnsi="Verdana" w:cs="Verdana"/>
          <w:b/>
          <w:color w:val="000000"/>
          <w:sz w:val="20"/>
          <w:szCs w:val="20"/>
          <w:lang w:val="es-EC"/>
        </w:rPr>
      </w:pPr>
    </w:p>
    <w:p w14:paraId="120C8028" w14:textId="77777777" w:rsidR="000E7D3B" w:rsidRPr="000E7D3B" w:rsidRDefault="0087783C" w:rsidP="004836D1">
      <w:pPr>
        <w:pStyle w:val="Prrafodelista"/>
        <w:autoSpaceDE w:val="0"/>
        <w:autoSpaceDN w:val="0"/>
        <w:adjustRightInd w:val="0"/>
        <w:ind w:left="0"/>
        <w:jc w:val="both"/>
        <w:rPr>
          <w:rFonts w:ascii="Verdana" w:hAnsi="Verdana"/>
          <w:sz w:val="20"/>
          <w:szCs w:val="20"/>
          <w:lang w:val="es-PR"/>
        </w:rPr>
      </w:pPr>
      <w:r>
        <w:rPr>
          <w:rFonts w:ascii="Verdana" w:hAnsi="Verdana"/>
          <w:sz w:val="20"/>
          <w:szCs w:val="20"/>
          <w:lang w:eastAsia="es-CR"/>
        </w:rPr>
        <w:t>En el marco de su defensa, el Estado solicitó la aplicación del</w:t>
      </w:r>
      <w:r w:rsidR="000E7D3B" w:rsidRPr="00794E82">
        <w:rPr>
          <w:rFonts w:ascii="Verdana" w:eastAsia="Calibri" w:hAnsi="Verdana"/>
          <w:sz w:val="20"/>
          <w:szCs w:val="20"/>
        </w:rPr>
        <w:t xml:space="preserve"> principio de subsidiariedad y complementariedad en el presente caso, </w:t>
      </w:r>
      <w:r w:rsidR="00B36809">
        <w:rPr>
          <w:rFonts w:ascii="Verdana" w:eastAsia="Calibri" w:hAnsi="Verdana"/>
          <w:sz w:val="20"/>
          <w:szCs w:val="20"/>
        </w:rPr>
        <w:t>debido a la existencia de una</w:t>
      </w:r>
      <w:r w:rsidR="000E7D3B" w:rsidRPr="006C756C">
        <w:rPr>
          <w:rFonts w:ascii="Verdana" w:eastAsia="Calibri" w:hAnsi="Verdana"/>
          <w:sz w:val="20"/>
          <w:szCs w:val="20"/>
          <w:lang w:val="es-GT"/>
        </w:rPr>
        <w:t xml:space="preserve"> decisión judicial </w:t>
      </w:r>
      <w:r w:rsidR="000E7D3B">
        <w:rPr>
          <w:rFonts w:ascii="Verdana" w:eastAsia="Calibri" w:hAnsi="Verdana"/>
          <w:sz w:val="20"/>
          <w:szCs w:val="20"/>
          <w:lang w:val="es-GT"/>
        </w:rPr>
        <w:t xml:space="preserve">interna </w:t>
      </w:r>
      <w:r w:rsidR="000E7D3B" w:rsidRPr="006C756C">
        <w:rPr>
          <w:rFonts w:ascii="Verdana" w:eastAsia="Calibri" w:hAnsi="Verdana"/>
          <w:sz w:val="20"/>
          <w:szCs w:val="20"/>
          <w:lang w:val="es-GT"/>
        </w:rPr>
        <w:t>definitiva con carácter de cosa juzgada</w:t>
      </w:r>
      <w:r w:rsidR="000E7D3B">
        <w:rPr>
          <w:rFonts w:ascii="Verdana" w:hAnsi="Verdana"/>
          <w:sz w:val="20"/>
          <w:szCs w:val="20"/>
        </w:rPr>
        <w:t>.</w:t>
      </w:r>
      <w:r w:rsidR="004836D1">
        <w:rPr>
          <w:rFonts w:ascii="Verdana" w:hAnsi="Verdana"/>
          <w:sz w:val="20"/>
          <w:szCs w:val="20"/>
        </w:rPr>
        <w:t xml:space="preserve"> </w:t>
      </w:r>
      <w:r w:rsidR="00B36809">
        <w:rPr>
          <w:rFonts w:ascii="Verdana" w:hAnsi="Verdana"/>
          <w:sz w:val="20"/>
          <w:szCs w:val="20"/>
        </w:rPr>
        <w:t xml:space="preserve">Al respecto, la </w:t>
      </w:r>
      <w:r w:rsidR="004836D1">
        <w:rPr>
          <w:rFonts w:ascii="Verdana" w:hAnsi="Verdana"/>
          <w:sz w:val="20"/>
          <w:szCs w:val="20"/>
        </w:rPr>
        <w:t>Corte</w:t>
      </w:r>
      <w:r w:rsidR="00B36809">
        <w:rPr>
          <w:rFonts w:ascii="Verdana" w:hAnsi="Verdana"/>
          <w:sz w:val="20"/>
          <w:szCs w:val="20"/>
        </w:rPr>
        <w:t xml:space="preserve"> recordó que en los casos </w:t>
      </w:r>
      <w:r w:rsidR="000E7D3B" w:rsidRPr="00794E82">
        <w:rPr>
          <w:rFonts w:ascii="Verdana" w:hAnsi="Verdana" w:cs="Arial"/>
          <w:i/>
          <w:sz w:val="20"/>
          <w:szCs w:val="20"/>
          <w:lang w:val="es-GT"/>
        </w:rPr>
        <w:t>Zulema Tarazona</w:t>
      </w:r>
      <w:r w:rsidR="000E7D3B">
        <w:rPr>
          <w:rFonts w:ascii="Verdana" w:hAnsi="Verdana" w:cs="Arial"/>
          <w:i/>
          <w:sz w:val="20"/>
          <w:szCs w:val="20"/>
          <w:lang w:val="es-GT"/>
        </w:rPr>
        <w:t xml:space="preserve"> </w:t>
      </w:r>
      <w:r w:rsidR="00B36809">
        <w:rPr>
          <w:rFonts w:ascii="Verdana" w:hAnsi="Verdana" w:cs="Arial"/>
          <w:sz w:val="20"/>
          <w:szCs w:val="20"/>
          <w:lang w:val="es-GT"/>
        </w:rPr>
        <w:t>y</w:t>
      </w:r>
      <w:r w:rsidR="000E7D3B">
        <w:rPr>
          <w:rFonts w:ascii="Verdana" w:hAnsi="Verdana" w:cs="Arial"/>
          <w:i/>
          <w:sz w:val="20"/>
          <w:szCs w:val="20"/>
          <w:lang w:val="es-GT"/>
        </w:rPr>
        <w:t xml:space="preserve"> J, </w:t>
      </w:r>
      <w:r w:rsidR="00B36809">
        <w:rPr>
          <w:rFonts w:ascii="Verdana" w:hAnsi="Verdana" w:cs="Arial"/>
          <w:sz w:val="20"/>
          <w:szCs w:val="20"/>
          <w:lang w:val="es-GT"/>
        </w:rPr>
        <w:t>la aplicación de dicho</w:t>
      </w:r>
      <w:r w:rsidR="00B36809" w:rsidRPr="00794E82">
        <w:rPr>
          <w:rFonts w:ascii="Verdana" w:hAnsi="Verdana" w:cs="Arial"/>
          <w:sz w:val="20"/>
          <w:szCs w:val="20"/>
          <w:lang w:val="es-GT"/>
        </w:rPr>
        <w:t xml:space="preserve"> </w:t>
      </w:r>
      <w:r w:rsidR="000E7D3B" w:rsidRPr="00794E82">
        <w:rPr>
          <w:rFonts w:ascii="Verdana" w:hAnsi="Verdana" w:cs="Arial"/>
          <w:sz w:val="20"/>
          <w:szCs w:val="20"/>
          <w:lang w:val="es-GT"/>
        </w:rPr>
        <w:t xml:space="preserve">principio </w:t>
      </w:r>
      <w:r w:rsidR="00B36809" w:rsidRPr="00794E82">
        <w:rPr>
          <w:rFonts w:ascii="Verdana" w:eastAsia="Calibri" w:hAnsi="Verdana"/>
          <w:bCs/>
          <w:sz w:val="20"/>
          <w:szCs w:val="20"/>
          <w:lang w:val="es-GT"/>
        </w:rPr>
        <w:t>no se trató</w:t>
      </w:r>
      <w:r w:rsidR="000E7D3B" w:rsidRPr="00794E82">
        <w:rPr>
          <w:rFonts w:ascii="Verdana" w:eastAsia="Calibri" w:hAnsi="Verdana"/>
          <w:sz w:val="20"/>
          <w:lang w:val="es-GT"/>
        </w:rPr>
        <w:t xml:space="preserve"> </w:t>
      </w:r>
      <w:r w:rsidR="000E7D3B" w:rsidRPr="00794E82">
        <w:rPr>
          <w:rFonts w:ascii="Verdana" w:hAnsi="Verdana"/>
          <w:bCs/>
          <w:sz w:val="20"/>
          <w:szCs w:val="20"/>
          <w:lang w:val="es-GT"/>
        </w:rPr>
        <w:t xml:space="preserve">de un pronunciamiento </w:t>
      </w:r>
      <w:r w:rsidR="000E7D3B" w:rsidRPr="00794E82">
        <w:rPr>
          <w:rFonts w:ascii="Verdana" w:hAnsi="Verdana"/>
          <w:sz w:val="20"/>
          <w:szCs w:val="20"/>
          <w:lang w:val="es-PR"/>
        </w:rPr>
        <w:t xml:space="preserve">preliminar sobre la competencia de la Corte para conocer </w:t>
      </w:r>
      <w:r w:rsidR="00397285">
        <w:rPr>
          <w:rFonts w:ascii="Verdana" w:hAnsi="Verdana"/>
          <w:sz w:val="20"/>
          <w:szCs w:val="20"/>
          <w:lang w:val="es-PR"/>
        </w:rPr>
        <w:t>dichos</w:t>
      </w:r>
      <w:r w:rsidR="00397285" w:rsidRPr="00794E82">
        <w:rPr>
          <w:rFonts w:ascii="Verdana" w:hAnsi="Verdana"/>
          <w:sz w:val="20"/>
          <w:szCs w:val="20"/>
          <w:lang w:val="es-PR"/>
        </w:rPr>
        <w:t xml:space="preserve"> </w:t>
      </w:r>
      <w:r w:rsidR="000E7D3B" w:rsidRPr="00794E82">
        <w:rPr>
          <w:rFonts w:ascii="Verdana" w:hAnsi="Verdana"/>
          <w:sz w:val="20"/>
          <w:szCs w:val="20"/>
          <w:lang w:val="es-PR"/>
        </w:rPr>
        <w:t>caso</w:t>
      </w:r>
      <w:r w:rsidR="00397285">
        <w:rPr>
          <w:rFonts w:ascii="Verdana" w:hAnsi="Verdana"/>
          <w:sz w:val="20"/>
          <w:szCs w:val="20"/>
          <w:lang w:val="es-PR"/>
        </w:rPr>
        <w:t>s</w:t>
      </w:r>
      <w:r w:rsidR="000E7D3B" w:rsidRPr="00794E82">
        <w:rPr>
          <w:rFonts w:ascii="Verdana" w:hAnsi="Verdana"/>
          <w:sz w:val="20"/>
          <w:szCs w:val="20"/>
          <w:lang w:val="es-PR"/>
        </w:rPr>
        <w:t>, sino de una conclusión a la que llegó este Tribunal una vez que realizó un análisis sobre el fondo</w:t>
      </w:r>
      <w:r w:rsidR="002A5827">
        <w:rPr>
          <w:rFonts w:ascii="Verdana" w:hAnsi="Verdana"/>
          <w:sz w:val="20"/>
          <w:szCs w:val="20"/>
          <w:lang w:val="es-PR"/>
        </w:rPr>
        <w:t xml:space="preserve"> </w:t>
      </w:r>
      <w:r w:rsidR="00397285">
        <w:rPr>
          <w:rFonts w:ascii="Verdana" w:hAnsi="Verdana"/>
          <w:sz w:val="20"/>
          <w:szCs w:val="20"/>
          <w:lang w:val="es-PR"/>
        </w:rPr>
        <w:t>de</w:t>
      </w:r>
      <w:r w:rsidR="002A5827">
        <w:rPr>
          <w:rFonts w:ascii="Verdana" w:hAnsi="Verdana"/>
          <w:sz w:val="20"/>
          <w:szCs w:val="20"/>
          <w:lang w:val="es-PR"/>
        </w:rPr>
        <w:t xml:space="preserve"> los</w:t>
      </w:r>
      <w:r w:rsidR="00397285">
        <w:rPr>
          <w:rFonts w:ascii="Verdana" w:hAnsi="Verdana"/>
          <w:sz w:val="20"/>
          <w:szCs w:val="20"/>
          <w:lang w:val="es-PR"/>
        </w:rPr>
        <w:t xml:space="preserve"> mismos</w:t>
      </w:r>
      <w:r w:rsidR="000E7D3B">
        <w:rPr>
          <w:rFonts w:ascii="Verdana" w:hAnsi="Verdana"/>
          <w:sz w:val="20"/>
          <w:szCs w:val="20"/>
          <w:lang w:val="es-PR"/>
        </w:rPr>
        <w:t xml:space="preserve">. </w:t>
      </w:r>
      <w:r w:rsidR="000E7D3B">
        <w:rPr>
          <w:rFonts w:ascii="Verdana" w:eastAsia="Calibri" w:hAnsi="Verdana"/>
          <w:sz w:val="20"/>
          <w:szCs w:val="20"/>
          <w:lang w:val="es-PR"/>
        </w:rPr>
        <w:t>En el presente caso, la Corte no encontró</w:t>
      </w:r>
      <w:r w:rsidR="000E7D3B" w:rsidRPr="00836293">
        <w:rPr>
          <w:rFonts w:ascii="Verdana" w:eastAsia="Calibri" w:hAnsi="Verdana"/>
          <w:sz w:val="20"/>
          <w:szCs w:val="20"/>
          <w:lang w:val="es-PR"/>
        </w:rPr>
        <w:t xml:space="preserve"> elementos para apartarse de </w:t>
      </w:r>
      <w:r w:rsidR="000E7D3B">
        <w:rPr>
          <w:rFonts w:ascii="Verdana" w:eastAsia="Calibri" w:hAnsi="Verdana"/>
          <w:sz w:val="20"/>
          <w:szCs w:val="20"/>
          <w:lang w:val="es-PR"/>
        </w:rPr>
        <w:t>los</w:t>
      </w:r>
      <w:r w:rsidR="000E7D3B" w:rsidRPr="00836293">
        <w:rPr>
          <w:rFonts w:ascii="Verdana" w:eastAsia="Calibri" w:hAnsi="Verdana"/>
          <w:sz w:val="20"/>
          <w:szCs w:val="20"/>
          <w:lang w:val="es-PR"/>
        </w:rPr>
        <w:t xml:space="preserve"> precedentes</w:t>
      </w:r>
      <w:r w:rsidR="000E7D3B">
        <w:rPr>
          <w:rFonts w:ascii="Verdana" w:eastAsia="Calibri" w:hAnsi="Verdana"/>
          <w:sz w:val="20"/>
          <w:szCs w:val="20"/>
          <w:lang w:val="es-PR"/>
        </w:rPr>
        <w:t xml:space="preserve"> indicados. Por ende, realizó</w:t>
      </w:r>
      <w:r w:rsidR="000E7D3B" w:rsidRPr="00836293">
        <w:rPr>
          <w:rFonts w:ascii="Verdana" w:eastAsia="Calibri" w:hAnsi="Verdana"/>
          <w:sz w:val="20"/>
          <w:szCs w:val="20"/>
          <w:lang w:val="es-PR"/>
        </w:rPr>
        <w:t xml:space="preserve"> el análisis de fondo y, posteriormente, evalu</w:t>
      </w:r>
      <w:r w:rsidR="000E7D3B">
        <w:rPr>
          <w:rFonts w:ascii="Verdana" w:eastAsia="Calibri" w:hAnsi="Verdana"/>
          <w:sz w:val="20"/>
          <w:szCs w:val="20"/>
          <w:lang w:val="es-PR"/>
        </w:rPr>
        <w:t>ó</w:t>
      </w:r>
      <w:r w:rsidR="000E7D3B" w:rsidRPr="00836293">
        <w:rPr>
          <w:rFonts w:ascii="Verdana" w:eastAsia="Calibri" w:hAnsi="Verdana"/>
          <w:sz w:val="20"/>
          <w:szCs w:val="20"/>
          <w:lang w:val="es-PR"/>
        </w:rPr>
        <w:t xml:space="preserve"> si proced</w:t>
      </w:r>
      <w:r w:rsidR="00397285">
        <w:rPr>
          <w:rFonts w:ascii="Verdana" w:eastAsia="Calibri" w:hAnsi="Verdana"/>
          <w:sz w:val="20"/>
          <w:szCs w:val="20"/>
          <w:lang w:val="es-PR"/>
        </w:rPr>
        <w:t>ía</w:t>
      </w:r>
      <w:r w:rsidR="000E7D3B" w:rsidRPr="00836293">
        <w:rPr>
          <w:rFonts w:ascii="Verdana" w:eastAsia="Calibri" w:hAnsi="Verdana"/>
          <w:sz w:val="20"/>
          <w:szCs w:val="20"/>
          <w:lang w:val="es-PR"/>
        </w:rPr>
        <w:t xml:space="preserve"> aplicar el </w:t>
      </w:r>
      <w:r w:rsidR="000E7D3B" w:rsidRPr="00836293">
        <w:rPr>
          <w:rFonts w:ascii="Verdana" w:eastAsia="Calibri" w:hAnsi="Verdana" w:cs="Arial"/>
          <w:sz w:val="20"/>
          <w:szCs w:val="20"/>
          <w:lang w:val="es-GT"/>
        </w:rPr>
        <w:t>principio de subsidiariedad o complementariedad</w:t>
      </w:r>
      <w:r w:rsidR="000E7D3B" w:rsidRPr="00836293">
        <w:rPr>
          <w:rFonts w:ascii="Verdana" w:eastAsia="Calibri" w:hAnsi="Verdana"/>
          <w:sz w:val="20"/>
          <w:szCs w:val="20"/>
          <w:lang w:val="es-PR"/>
        </w:rPr>
        <w:t>.</w:t>
      </w:r>
    </w:p>
    <w:p w14:paraId="049D354F" w14:textId="77777777" w:rsidR="000E7D3B" w:rsidRPr="002D686E" w:rsidRDefault="000E7D3B" w:rsidP="000E7D3B">
      <w:pPr>
        <w:autoSpaceDE w:val="0"/>
        <w:autoSpaceDN w:val="0"/>
        <w:adjustRightInd w:val="0"/>
        <w:contextualSpacing/>
        <w:jc w:val="both"/>
        <w:rPr>
          <w:rFonts w:ascii="Verdana" w:eastAsia="Batang" w:hAnsi="Verdana" w:cs="Times"/>
          <w:sz w:val="20"/>
          <w:szCs w:val="20"/>
          <w:lang w:val="es-PR" w:eastAsia="es-CR"/>
        </w:rPr>
      </w:pPr>
    </w:p>
    <w:p w14:paraId="1E12C2B6" w14:textId="77777777" w:rsidR="002A5827" w:rsidRPr="002F4A9E" w:rsidRDefault="002A5827" w:rsidP="002A5827">
      <w:pPr>
        <w:pStyle w:val="Prrafodelista"/>
        <w:autoSpaceDE w:val="0"/>
        <w:autoSpaceDN w:val="0"/>
        <w:adjustRightInd w:val="0"/>
        <w:ind w:left="0"/>
        <w:jc w:val="both"/>
        <w:rPr>
          <w:rFonts w:ascii="Verdana" w:hAnsi="Verdana" w:cs="Arial"/>
          <w:sz w:val="20"/>
          <w:szCs w:val="20"/>
        </w:rPr>
      </w:pPr>
      <w:r>
        <w:rPr>
          <w:rFonts w:ascii="Verdana" w:hAnsi="Verdana"/>
          <w:bCs/>
          <w:sz w:val="20"/>
          <w:szCs w:val="20"/>
          <w:lang w:val="es-AR" w:eastAsia="es-CR"/>
        </w:rPr>
        <w:t>La Corte recordó que</w:t>
      </w:r>
      <w:r w:rsidR="00725BDE">
        <w:rPr>
          <w:rFonts w:ascii="Verdana" w:hAnsi="Verdana"/>
          <w:bCs/>
          <w:sz w:val="20"/>
          <w:szCs w:val="20"/>
          <w:lang w:val="es-AR" w:eastAsia="es-CR"/>
        </w:rPr>
        <w:t>,</w:t>
      </w:r>
      <w:r>
        <w:rPr>
          <w:rFonts w:ascii="Verdana" w:hAnsi="Verdana"/>
          <w:bCs/>
          <w:sz w:val="20"/>
          <w:szCs w:val="20"/>
          <w:lang w:val="es-AR" w:eastAsia="es-CR"/>
        </w:rPr>
        <w:t xml:space="preserve"> s</w:t>
      </w:r>
      <w:r w:rsidRPr="001808A2">
        <w:rPr>
          <w:rFonts w:ascii="Verdana" w:hAnsi="Verdana"/>
          <w:bCs/>
          <w:sz w:val="20"/>
          <w:szCs w:val="20"/>
          <w:lang w:val="es-AR" w:eastAsia="es-CR"/>
        </w:rPr>
        <w:t>egún</w:t>
      </w:r>
      <w:r w:rsidRPr="001808A2">
        <w:rPr>
          <w:rFonts w:ascii="Verdana" w:hAnsi="Verdana"/>
          <w:sz w:val="20"/>
          <w:szCs w:val="20"/>
          <w:lang w:eastAsia="es-CR"/>
        </w:rPr>
        <w:t xml:space="preserve"> la definición contenida en la Convención Interamericana sobre Desaparición Forzada de Personas y la jurisprudencia de esta Corte,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 </w:t>
      </w:r>
      <w:r w:rsidRPr="001808A2">
        <w:rPr>
          <w:rFonts w:ascii="Verdana" w:hAnsi="Verdana"/>
          <w:spacing w:val="-2"/>
          <w:sz w:val="20"/>
          <w:szCs w:val="20"/>
          <w:lang w:eastAsia="es-CR"/>
        </w:rPr>
        <w:t xml:space="preserve">Al respecto, </w:t>
      </w:r>
      <w:r w:rsidRPr="001808A2">
        <w:rPr>
          <w:rFonts w:ascii="Verdana" w:hAnsi="Verdana" w:cs="Times"/>
          <w:spacing w:val="-2"/>
          <w:sz w:val="20"/>
          <w:szCs w:val="20"/>
          <w:lang w:eastAsia="es-CR"/>
        </w:rPr>
        <w:t>la desaparición forzada</w:t>
      </w:r>
      <w:r w:rsidRPr="007C72C1">
        <w:rPr>
          <w:rFonts w:ascii="Verdana" w:hAnsi="Verdana" w:cs="Times"/>
          <w:spacing w:val="-2"/>
          <w:sz w:val="20"/>
          <w:szCs w:val="20"/>
          <w:lang w:eastAsia="es-CR"/>
        </w:rPr>
        <w:t xml:space="preserve"> ha incluido con frecuencia la ejecución de los detenidos, en secreto y sin fórmula de juicio, seguida del ocultamiento del cadáver con el objeto de borrar toda huella material del crimen y procurar la impunidad de quienes lo cometieron. </w:t>
      </w:r>
      <w:r w:rsidRPr="007C72C1">
        <w:rPr>
          <w:rFonts w:ascii="Verdana" w:hAnsi="Verdana" w:cs="Cambria"/>
          <w:sz w:val="20"/>
          <w:szCs w:val="20"/>
          <w:lang w:eastAsia="es-CR"/>
        </w:rPr>
        <w:t xml:space="preserve">En este sentido, la Corte ha conocido de casos en los cuales la existencia de mayores o menores indicios sobre la muerte de las víctimas no modificó la calificación como desaparición forzada. </w:t>
      </w:r>
      <w:r w:rsidRPr="00794E82">
        <w:rPr>
          <w:rFonts w:ascii="Verdana" w:hAnsi="Verdana" w:cs="Cambria"/>
          <w:sz w:val="20"/>
          <w:szCs w:val="20"/>
          <w:lang w:eastAsia="es-CR"/>
        </w:rPr>
        <w:t xml:space="preserve">En </w:t>
      </w:r>
      <w:r w:rsidRPr="00794E82">
        <w:rPr>
          <w:rFonts w:ascii="Verdana" w:hAnsi="Verdana"/>
          <w:sz w:val="20"/>
          <w:szCs w:val="20"/>
          <w:lang w:eastAsia="es-CR"/>
        </w:rPr>
        <w:t>específico</w:t>
      </w:r>
      <w:r w:rsidRPr="00794E82">
        <w:rPr>
          <w:rFonts w:ascii="Verdana" w:hAnsi="Verdana" w:cs="Cambria"/>
          <w:sz w:val="20"/>
          <w:szCs w:val="20"/>
          <w:lang w:eastAsia="es-CR"/>
        </w:rPr>
        <w:t>, d</w:t>
      </w:r>
      <w:r w:rsidRPr="00794E82">
        <w:rPr>
          <w:rFonts w:ascii="Verdana" w:hAnsi="Verdana"/>
          <w:sz w:val="20"/>
          <w:szCs w:val="20"/>
          <w:lang w:eastAsia="es-CR"/>
        </w:rPr>
        <w:t xml:space="preserve">el análisis de </w:t>
      </w:r>
      <w:r w:rsidRPr="00794E82">
        <w:rPr>
          <w:rFonts w:ascii="Verdana" w:hAnsi="Verdana"/>
          <w:sz w:val="20"/>
          <w:szCs w:val="20"/>
          <w:lang w:eastAsia="es-CR"/>
        </w:rPr>
        <w:lastRenderedPageBreak/>
        <w:t xml:space="preserve">los casos </w:t>
      </w:r>
      <w:r w:rsidRPr="00794E82">
        <w:rPr>
          <w:rFonts w:ascii="Verdana" w:hAnsi="Verdana"/>
          <w:bCs/>
          <w:i/>
          <w:sz w:val="20"/>
          <w:szCs w:val="20"/>
          <w:shd w:val="clear" w:color="auto" w:fill="FFFFFF"/>
          <w:lang w:eastAsia="es-CR"/>
        </w:rPr>
        <w:t>Rodríguez Vera y otros,</w:t>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Ibsen Cárdenas e Ibsen Peña</w:t>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La Cantuta</w:t>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Gómez Palomino</w:t>
      </w:r>
      <w:r w:rsidRPr="00794E82">
        <w:rPr>
          <w:rFonts w:ascii="Verdana" w:hAnsi="Verdana"/>
          <w:i/>
          <w:sz w:val="20"/>
          <w:szCs w:val="20"/>
          <w:lang w:eastAsia="es-CR"/>
        </w:rPr>
        <w:t xml:space="preserve">, </w:t>
      </w:r>
      <w:r w:rsidRPr="00794E82">
        <w:rPr>
          <w:rFonts w:ascii="Verdana" w:hAnsi="Verdana"/>
          <w:bCs/>
          <w:i/>
          <w:sz w:val="20"/>
          <w:szCs w:val="20"/>
          <w:shd w:val="clear" w:color="auto" w:fill="FFFFFF"/>
          <w:lang w:eastAsia="es-CR"/>
        </w:rPr>
        <w:t>19 C</w:t>
      </w:r>
      <w:r w:rsidRPr="00EE781C">
        <w:rPr>
          <w:rFonts w:ascii="Verdana" w:hAnsi="Verdana"/>
          <w:bCs/>
          <w:i/>
          <w:sz w:val="20"/>
          <w:szCs w:val="20"/>
          <w:shd w:val="clear" w:color="auto" w:fill="FFFFFF"/>
          <w:lang w:eastAsia="es-CR"/>
        </w:rPr>
        <w:t>omerciantes</w:t>
      </w:r>
      <w:r w:rsidRPr="00EE781C">
        <w:rPr>
          <w:rFonts w:ascii="Verdana" w:hAnsi="Verdana"/>
          <w:sz w:val="20"/>
          <w:szCs w:val="20"/>
          <w:lang w:eastAsia="es-CR"/>
        </w:rPr>
        <w:t>,</w:t>
      </w:r>
      <w:r w:rsidRPr="00EE781C">
        <w:rPr>
          <w:rFonts w:ascii="Verdana" w:hAnsi="Verdana"/>
          <w:i/>
          <w:sz w:val="20"/>
          <w:szCs w:val="20"/>
          <w:lang w:eastAsia="es-CR"/>
        </w:rPr>
        <w:t xml:space="preserve"> </w:t>
      </w:r>
      <w:r w:rsidRPr="00EE781C">
        <w:rPr>
          <w:rFonts w:ascii="Verdana" w:hAnsi="Verdana"/>
          <w:bCs/>
          <w:i/>
          <w:sz w:val="20"/>
          <w:szCs w:val="20"/>
          <w:shd w:val="clear" w:color="auto" w:fill="FFFFFF"/>
          <w:lang w:eastAsia="es-CR"/>
        </w:rPr>
        <w:t>Bámaca Velásquez</w:t>
      </w:r>
      <w:r w:rsidRPr="00EE781C">
        <w:rPr>
          <w:rFonts w:ascii="Verdana" w:hAnsi="Verdana"/>
          <w:sz w:val="20"/>
          <w:szCs w:val="20"/>
          <w:lang w:eastAsia="es-CR"/>
        </w:rPr>
        <w:t xml:space="preserve"> y </w:t>
      </w:r>
      <w:r w:rsidRPr="00EE781C">
        <w:rPr>
          <w:rFonts w:ascii="Verdana" w:hAnsi="Verdana"/>
          <w:bCs/>
          <w:i/>
          <w:sz w:val="20"/>
          <w:szCs w:val="20"/>
          <w:shd w:val="clear" w:color="auto" w:fill="FFFFFF"/>
          <w:lang w:eastAsia="es-CR"/>
        </w:rPr>
        <w:t>Castillo Páez,</w:t>
      </w:r>
      <w:r w:rsidRPr="00EE781C">
        <w:rPr>
          <w:rFonts w:ascii="Verdana" w:hAnsi="Verdana"/>
          <w:sz w:val="20"/>
          <w:szCs w:val="20"/>
          <w:lang w:eastAsia="es-CR"/>
        </w:rPr>
        <w:t xml:space="preserve"> </w:t>
      </w:r>
      <w:r w:rsidRPr="00EE781C">
        <w:rPr>
          <w:rFonts w:ascii="Verdana" w:hAnsi="Verdana" w:cs="Cambria"/>
          <w:sz w:val="20"/>
          <w:szCs w:val="20"/>
          <w:lang w:eastAsia="es-CR"/>
        </w:rPr>
        <w:t>lo que calificó el hecho como desaparición fue precisamente lo que los agentes estatales hicieron después de dar muerte a las víctimas, esto es, la adopción de medidas dirigidas a ocultar lo que realmente había ocurrido o borrar todo rastro de los cuerpos para evitar su identificación o que su destino y paradero fuera establecido.</w:t>
      </w:r>
    </w:p>
    <w:p w14:paraId="50C47DA2" w14:textId="77777777" w:rsidR="002A5827" w:rsidRPr="002F4A9E" w:rsidRDefault="002A5827" w:rsidP="000E7D3B">
      <w:pPr>
        <w:autoSpaceDE w:val="0"/>
        <w:autoSpaceDN w:val="0"/>
        <w:adjustRightInd w:val="0"/>
        <w:contextualSpacing/>
        <w:jc w:val="both"/>
        <w:rPr>
          <w:rFonts w:ascii="Verdana" w:eastAsia="Batang" w:hAnsi="Verdana" w:cs="Times"/>
          <w:sz w:val="20"/>
          <w:szCs w:val="20"/>
          <w:lang w:eastAsia="es-CR"/>
        </w:rPr>
      </w:pPr>
    </w:p>
    <w:p w14:paraId="1D148E90" w14:textId="77777777" w:rsidR="004836D1" w:rsidRDefault="00C76BD3" w:rsidP="002F4A9E">
      <w:pPr>
        <w:jc w:val="both"/>
        <w:rPr>
          <w:rFonts w:ascii="Verdana" w:eastAsia="Calibri" w:hAnsi="Verdana"/>
          <w:sz w:val="20"/>
          <w:lang w:val="es-PR"/>
        </w:rPr>
      </w:pPr>
      <w:r>
        <w:rPr>
          <w:rFonts w:ascii="Verdana" w:hAnsi="Verdana"/>
          <w:spacing w:val="-2"/>
          <w:sz w:val="20"/>
          <w:szCs w:val="20"/>
        </w:rPr>
        <w:t>E</w:t>
      </w:r>
      <w:r w:rsidR="00A71869">
        <w:rPr>
          <w:rFonts w:ascii="Verdana" w:hAnsi="Verdana"/>
          <w:spacing w:val="-2"/>
          <w:sz w:val="20"/>
          <w:szCs w:val="20"/>
        </w:rPr>
        <w:t>n el presente caso</w:t>
      </w:r>
      <w:r>
        <w:rPr>
          <w:rFonts w:ascii="Verdana" w:hAnsi="Verdana"/>
          <w:spacing w:val="-2"/>
          <w:sz w:val="20"/>
          <w:szCs w:val="20"/>
        </w:rPr>
        <w:t>,</w:t>
      </w:r>
      <w:r w:rsidR="00A71869">
        <w:rPr>
          <w:rFonts w:ascii="Verdana" w:hAnsi="Verdana"/>
          <w:spacing w:val="-2"/>
          <w:sz w:val="20"/>
          <w:szCs w:val="20"/>
        </w:rPr>
        <w:t xml:space="preserve"> la Corte concluyó la desaparición forzada de las</w:t>
      </w:r>
      <w:r>
        <w:rPr>
          <w:rFonts w:ascii="Verdana" w:hAnsi="Verdana"/>
          <w:spacing w:val="-2"/>
          <w:sz w:val="20"/>
          <w:szCs w:val="20"/>
        </w:rPr>
        <w:t xml:space="preserve"> 15 víctimas debido a los siguientes aspectos fácticos del caso:</w:t>
      </w:r>
      <w:r w:rsidR="004836D1">
        <w:rPr>
          <w:rFonts w:ascii="Verdana" w:hAnsi="Verdana"/>
          <w:spacing w:val="-2"/>
          <w:sz w:val="20"/>
          <w:szCs w:val="20"/>
          <w:lang w:val="es-PR" w:eastAsia="es-CR"/>
        </w:rPr>
        <w:t xml:space="preserve"> a) </w:t>
      </w:r>
      <w:r w:rsidRPr="002F4A9E">
        <w:rPr>
          <w:rFonts w:ascii="Verdana" w:hAnsi="Verdana"/>
          <w:spacing w:val="-2"/>
          <w:sz w:val="20"/>
          <w:szCs w:val="20"/>
          <w:lang w:eastAsia="es-CR"/>
        </w:rPr>
        <w:t>la negativa de las autoridades del Ejército de reconocer la detención de las víctimas durante los primeros días de ocurridos los hechos</w:t>
      </w:r>
      <w:r w:rsidR="004836D1">
        <w:rPr>
          <w:rFonts w:ascii="Verdana" w:hAnsi="Verdana" w:cs="Arial"/>
          <w:sz w:val="20"/>
          <w:szCs w:val="20"/>
          <w:lang w:val="es-PR" w:eastAsia="es-CR"/>
        </w:rPr>
        <w:t>; b</w:t>
      </w:r>
      <w:r w:rsidR="004836D1">
        <w:rPr>
          <w:rFonts w:ascii="Verdana" w:hAnsi="Verdana"/>
          <w:bCs/>
          <w:sz w:val="20"/>
          <w:szCs w:val="20"/>
          <w:lang w:val="es-PR" w:eastAsia="es-CR"/>
        </w:rPr>
        <w:t xml:space="preserve">) </w:t>
      </w:r>
      <w:r w:rsidR="004836D1" w:rsidRPr="00E56386">
        <w:rPr>
          <w:rFonts w:ascii="Verdana" w:hAnsi="Verdana"/>
          <w:sz w:val="20"/>
          <w:lang w:val="es-AR" w:eastAsia="es-CR"/>
        </w:rPr>
        <w:t>e</w:t>
      </w:r>
      <w:r w:rsidR="004836D1" w:rsidRPr="002F4A9E">
        <w:rPr>
          <w:rFonts w:ascii="Verdana" w:eastAsia="Calibri" w:hAnsi="Verdana"/>
          <w:sz w:val="20"/>
          <w:lang w:eastAsia="es-CR"/>
        </w:rPr>
        <w:t xml:space="preserve">l </w:t>
      </w:r>
      <w:r w:rsidR="004836D1" w:rsidRPr="002F4A9E">
        <w:rPr>
          <w:rFonts w:ascii="Verdana" w:eastAsia="Calibri" w:hAnsi="Verdana"/>
          <w:i/>
          <w:sz w:val="20"/>
          <w:lang w:eastAsia="es-CR"/>
        </w:rPr>
        <w:t>modus operandi</w:t>
      </w:r>
      <w:r w:rsidR="004836D1" w:rsidRPr="002F4A9E">
        <w:rPr>
          <w:rFonts w:ascii="Verdana" w:eastAsia="Calibri" w:hAnsi="Verdana"/>
          <w:sz w:val="20"/>
          <w:lang w:eastAsia="es-CR"/>
        </w:rPr>
        <w:t xml:space="preserve"> utilizado en la destrucción de evidencias </w:t>
      </w:r>
      <w:r w:rsidR="00E62475" w:rsidRPr="002F4A9E">
        <w:rPr>
          <w:rFonts w:ascii="Verdana" w:hAnsi="Verdana"/>
          <w:spacing w:val="-2"/>
          <w:sz w:val="20"/>
          <w:szCs w:val="20"/>
          <w:lang w:eastAsia="es-CR"/>
        </w:rPr>
        <w:t>durante los primeros días de ocurridos los hechos</w:t>
      </w:r>
      <w:r w:rsidR="004836D1">
        <w:rPr>
          <w:rFonts w:ascii="Verdana" w:hAnsi="Verdana" w:cs="Arial"/>
          <w:sz w:val="20"/>
          <w:szCs w:val="20"/>
          <w:lang w:val="es-PR" w:eastAsia="es-CR"/>
        </w:rPr>
        <w:t>; c</w:t>
      </w:r>
      <w:r w:rsidR="00BB0759" w:rsidRPr="00A85F73">
        <w:rPr>
          <w:rFonts w:ascii="Verdana" w:hAnsi="Verdana" w:cs="Arial"/>
          <w:sz w:val="20"/>
          <w:szCs w:val="20"/>
          <w:lang w:val="es-PR" w:eastAsia="es-CR"/>
        </w:rPr>
        <w:t>)</w:t>
      </w:r>
      <w:r w:rsidR="00BB0759">
        <w:rPr>
          <w:rFonts w:ascii="Verdana" w:hAnsi="Verdana" w:cs="Arial"/>
          <w:sz w:val="20"/>
          <w:szCs w:val="20"/>
          <w:lang w:val="es-PR" w:eastAsia="es-CR"/>
        </w:rPr>
        <w:t xml:space="preserve"> </w:t>
      </w:r>
      <w:r w:rsidR="00BB0759" w:rsidRPr="00BB0759">
        <w:rPr>
          <w:rFonts w:ascii="Verdana" w:hAnsi="Verdana" w:cs="Arial"/>
          <w:sz w:val="20"/>
          <w:szCs w:val="20"/>
          <w:lang w:val="es-PR" w:eastAsia="es-CR"/>
        </w:rPr>
        <w:t>l</w:t>
      </w:r>
      <w:r w:rsidR="00BB0759" w:rsidRPr="002F4A9E">
        <w:rPr>
          <w:rFonts w:ascii="Verdana" w:hAnsi="Verdana"/>
          <w:sz w:val="20"/>
          <w:szCs w:val="20"/>
          <w:lang w:eastAsia="es-CR"/>
        </w:rPr>
        <w:t>a incertidumbre sobre la evidencia recolectada el 18 de julio de 1991</w:t>
      </w:r>
      <w:r w:rsidR="004836D1">
        <w:rPr>
          <w:rFonts w:ascii="Verdana" w:hAnsi="Verdana"/>
          <w:spacing w:val="-2"/>
          <w:sz w:val="20"/>
          <w:szCs w:val="20"/>
          <w:lang w:val="es-PR" w:eastAsia="es-CR"/>
        </w:rPr>
        <w:t xml:space="preserve">; </w:t>
      </w:r>
      <w:r w:rsidR="00F945E7">
        <w:rPr>
          <w:rFonts w:ascii="Verdana" w:hAnsi="Verdana" w:cs="Arial"/>
          <w:sz w:val="20"/>
          <w:szCs w:val="20"/>
          <w:lang w:eastAsia="es-CR"/>
        </w:rPr>
        <w:t>d</w:t>
      </w:r>
      <w:r w:rsidR="004836D1">
        <w:rPr>
          <w:rFonts w:ascii="Verdana" w:hAnsi="Verdana" w:cs="Arial"/>
          <w:sz w:val="20"/>
          <w:szCs w:val="20"/>
          <w:lang w:eastAsia="es-CR"/>
        </w:rPr>
        <w:t xml:space="preserve">) </w:t>
      </w:r>
      <w:r w:rsidR="004836D1" w:rsidRPr="00E60F65">
        <w:rPr>
          <w:rFonts w:ascii="Verdana" w:hAnsi="Verdana"/>
          <w:sz w:val="20"/>
          <w:szCs w:val="20"/>
          <w:lang w:val="es-ES_tradnl" w:eastAsia="es-CR"/>
        </w:rPr>
        <w:t xml:space="preserve">la </w:t>
      </w:r>
      <w:r w:rsidR="004836D1" w:rsidRPr="00E60F65">
        <w:rPr>
          <w:rFonts w:ascii="Verdana" w:hAnsi="Verdana" w:cs="Arial"/>
          <w:sz w:val="20"/>
          <w:szCs w:val="20"/>
          <w:lang w:val="es-PR" w:eastAsia="es-CR"/>
        </w:rPr>
        <w:t xml:space="preserve">inscripción de las </w:t>
      </w:r>
      <w:r w:rsidR="004836D1" w:rsidRPr="00E60F65">
        <w:rPr>
          <w:rFonts w:ascii="Verdana" w:hAnsi="Verdana"/>
          <w:spacing w:val="-2"/>
          <w:sz w:val="20"/>
          <w:szCs w:val="20"/>
          <w:lang w:val="es-PR" w:eastAsia="es-CR"/>
        </w:rPr>
        <w:t>partidas</w:t>
      </w:r>
      <w:r w:rsidR="004836D1" w:rsidRPr="00E60F65">
        <w:rPr>
          <w:rFonts w:ascii="Verdana" w:hAnsi="Verdana" w:cs="Arial"/>
          <w:sz w:val="20"/>
          <w:szCs w:val="20"/>
          <w:lang w:val="es-PR" w:eastAsia="es-CR"/>
        </w:rPr>
        <w:t xml:space="preserve"> de defunción en los años 1991 y 1992</w:t>
      </w:r>
      <w:r w:rsidR="00510E8D">
        <w:rPr>
          <w:rFonts w:ascii="Verdana" w:hAnsi="Verdana" w:cs="Arial"/>
          <w:sz w:val="20"/>
          <w:szCs w:val="20"/>
          <w:lang w:val="es-PR" w:eastAsia="es-CR"/>
        </w:rPr>
        <w:t xml:space="preserve">, y </w:t>
      </w:r>
      <w:r w:rsidR="00F945E7" w:rsidRPr="006259BC">
        <w:rPr>
          <w:rFonts w:ascii="Verdana" w:hAnsi="Verdana" w:cs="Arial"/>
          <w:sz w:val="20"/>
          <w:szCs w:val="20"/>
          <w:lang w:val="es-PR" w:eastAsia="es-CR"/>
        </w:rPr>
        <w:t>e</w:t>
      </w:r>
      <w:r w:rsidR="004836D1" w:rsidRPr="006259BC">
        <w:rPr>
          <w:rFonts w:ascii="Verdana" w:hAnsi="Verdana" w:cs="Arial"/>
          <w:sz w:val="20"/>
          <w:szCs w:val="20"/>
          <w:lang w:eastAsia="es-CR"/>
        </w:rPr>
        <w:t xml:space="preserve">) </w:t>
      </w:r>
      <w:r w:rsidR="006259BC" w:rsidRPr="006259BC">
        <w:rPr>
          <w:rFonts w:ascii="Verdana" w:hAnsi="Verdana" w:cs="Arial"/>
          <w:sz w:val="20"/>
          <w:szCs w:val="20"/>
          <w:lang w:eastAsia="es-CR"/>
        </w:rPr>
        <w:t xml:space="preserve">las </w:t>
      </w:r>
      <w:r w:rsidR="006259BC" w:rsidRPr="002F4A9E">
        <w:rPr>
          <w:rFonts w:ascii="Verdana" w:hAnsi="Verdana"/>
          <w:spacing w:val="-2"/>
          <w:sz w:val="20"/>
          <w:szCs w:val="20"/>
          <w:lang w:eastAsia="es-CR"/>
        </w:rPr>
        <w:t xml:space="preserve">diligencias de búsqueda, </w:t>
      </w:r>
      <w:r w:rsidR="006259BC" w:rsidRPr="002F4A9E">
        <w:rPr>
          <w:rFonts w:ascii="Verdana" w:hAnsi="Verdana" w:cs="Arial"/>
          <w:sz w:val="20"/>
          <w:szCs w:val="20"/>
          <w:lang w:eastAsia="es-CR"/>
        </w:rPr>
        <w:t>recuperación y eventual identificación de los restos óseos humanos recuperados</w:t>
      </w:r>
      <w:r w:rsidR="004836D1" w:rsidRPr="00F945E7">
        <w:rPr>
          <w:rFonts w:ascii="Verdana" w:hAnsi="Verdana" w:cs="Arial"/>
          <w:sz w:val="20"/>
          <w:szCs w:val="20"/>
          <w:lang w:eastAsia="es-CR"/>
        </w:rPr>
        <w:t>.</w:t>
      </w:r>
      <w:r w:rsidR="00DB2E8A">
        <w:rPr>
          <w:rFonts w:ascii="Verdana" w:hAnsi="Verdana"/>
          <w:spacing w:val="-2"/>
          <w:sz w:val="20"/>
          <w:szCs w:val="20"/>
          <w:lang w:eastAsia="es-CR"/>
        </w:rPr>
        <w:t xml:space="preserve"> Si bien para</w:t>
      </w:r>
      <w:r w:rsidR="003B5E16">
        <w:rPr>
          <w:rFonts w:ascii="Verdana" w:hAnsi="Verdana"/>
          <w:spacing w:val="-2"/>
          <w:sz w:val="20"/>
          <w:szCs w:val="20"/>
          <w:lang w:eastAsia="es-CR"/>
        </w:rPr>
        <w:t xml:space="preserve"> la </w:t>
      </w:r>
      <w:r w:rsidR="00DB2E8A" w:rsidRPr="00B371E2">
        <w:rPr>
          <w:rFonts w:ascii="Verdana" w:hAnsi="Verdana"/>
          <w:spacing w:val="-2"/>
          <w:sz w:val="20"/>
          <w:szCs w:val="20"/>
          <w:lang w:eastAsia="es-CR"/>
        </w:rPr>
        <w:t xml:space="preserve">Corte las </w:t>
      </w:r>
      <w:r w:rsidR="00DB2E8A" w:rsidRPr="00B371E2">
        <w:rPr>
          <w:rFonts w:ascii="Verdana" w:hAnsi="Verdana" w:cs="Univers"/>
          <w:sz w:val="20"/>
          <w:szCs w:val="20"/>
          <w:lang w:val="es-CO" w:eastAsia="es-CR"/>
        </w:rPr>
        <w:t xml:space="preserve">sentencias dictadas a nivel interno </w:t>
      </w:r>
      <w:r w:rsidR="00DB2E8A">
        <w:rPr>
          <w:rFonts w:ascii="Verdana" w:hAnsi="Verdana" w:cs="Univers"/>
          <w:sz w:val="20"/>
          <w:szCs w:val="20"/>
          <w:lang w:val="es-CO" w:eastAsia="es-CR"/>
        </w:rPr>
        <w:t>los días</w:t>
      </w:r>
      <w:r w:rsidR="00DB2E8A" w:rsidRPr="00B371E2">
        <w:rPr>
          <w:rFonts w:ascii="Verdana" w:hAnsi="Verdana" w:cs="Univers"/>
          <w:sz w:val="20"/>
          <w:szCs w:val="20"/>
          <w:lang w:val="es-CO" w:eastAsia="es-CR"/>
        </w:rPr>
        <w:t xml:space="preserve"> </w:t>
      </w:r>
      <w:r w:rsidR="00DB2E8A" w:rsidRPr="00B371E2">
        <w:rPr>
          <w:rFonts w:ascii="Verdana" w:hAnsi="Verdana" w:cs="Arial"/>
          <w:sz w:val="20"/>
          <w:szCs w:val="20"/>
          <w:lang w:eastAsia="es-CR"/>
        </w:rPr>
        <w:t xml:space="preserve">9 de febrero de 2012 y </w:t>
      </w:r>
      <w:r w:rsidR="00DB2E8A" w:rsidRPr="00B371E2">
        <w:rPr>
          <w:rFonts w:ascii="Verdana" w:hAnsi="Verdana"/>
          <w:sz w:val="20"/>
          <w:szCs w:val="20"/>
          <w:lang w:eastAsia="es-CR"/>
        </w:rPr>
        <w:t>29 de mayo de 2013</w:t>
      </w:r>
      <w:r w:rsidR="00DB2E8A" w:rsidRPr="00B371E2">
        <w:rPr>
          <w:rFonts w:ascii="Verdana" w:hAnsi="Verdana" w:cs="Arial"/>
          <w:sz w:val="20"/>
          <w:szCs w:val="20"/>
          <w:lang w:eastAsia="es-CR"/>
        </w:rPr>
        <w:t xml:space="preserve"> </w:t>
      </w:r>
      <w:r w:rsidR="00DB2E8A" w:rsidRPr="00B371E2">
        <w:rPr>
          <w:rFonts w:ascii="Verdana" w:hAnsi="Verdana"/>
          <w:spacing w:val="-2"/>
          <w:sz w:val="20"/>
          <w:szCs w:val="20"/>
          <w:lang w:eastAsia="es-CR"/>
        </w:rPr>
        <w:t>son un referente importante y positivo en el actuar estatal</w:t>
      </w:r>
      <w:r w:rsidR="00DB2E8A" w:rsidRPr="00B371E2">
        <w:rPr>
          <w:rFonts w:ascii="Verdana" w:hAnsi="Verdana"/>
          <w:sz w:val="20"/>
          <w:szCs w:val="20"/>
          <w:lang w:eastAsia="es-CR"/>
        </w:rPr>
        <w:t xml:space="preserve"> de su Poder Judicial</w:t>
      </w:r>
      <w:r w:rsidR="00070231">
        <w:rPr>
          <w:rFonts w:ascii="Verdana" w:hAnsi="Verdana"/>
          <w:spacing w:val="-2"/>
          <w:sz w:val="20"/>
          <w:szCs w:val="20"/>
          <w:lang w:eastAsia="es-CR"/>
        </w:rPr>
        <w:t>,</w:t>
      </w:r>
      <w:r w:rsidR="00DB2E8A" w:rsidRPr="00B371E2">
        <w:rPr>
          <w:rFonts w:ascii="Verdana" w:hAnsi="Verdana"/>
          <w:spacing w:val="-2"/>
          <w:sz w:val="20"/>
          <w:szCs w:val="20"/>
          <w:lang w:eastAsia="es-CR"/>
        </w:rPr>
        <w:t xml:space="preserve"> </w:t>
      </w:r>
      <w:r w:rsidR="00DB2E8A" w:rsidRPr="00B371E2">
        <w:rPr>
          <w:rFonts w:ascii="Verdana" w:hAnsi="Verdana"/>
          <w:sz w:val="20"/>
          <w:szCs w:val="20"/>
          <w:lang w:val="es-PR"/>
        </w:rPr>
        <w:t>debido a que</w:t>
      </w:r>
      <w:r w:rsidR="00DB2E8A">
        <w:rPr>
          <w:rFonts w:ascii="Verdana" w:hAnsi="Verdana"/>
          <w:sz w:val="20"/>
          <w:szCs w:val="20"/>
          <w:lang w:val="es-PR"/>
        </w:rPr>
        <w:t xml:space="preserve"> </w:t>
      </w:r>
      <w:r w:rsidR="00DB2E8A" w:rsidRPr="00B371E2">
        <w:rPr>
          <w:rFonts w:ascii="Verdana" w:hAnsi="Verdana"/>
          <w:spacing w:val="-2"/>
          <w:sz w:val="20"/>
          <w:szCs w:val="20"/>
          <w:lang w:eastAsia="es-CR"/>
        </w:rPr>
        <w:t>en este caso</w:t>
      </w:r>
      <w:r w:rsidR="00DB2E8A" w:rsidRPr="00B371E2">
        <w:rPr>
          <w:rFonts w:ascii="Verdana" w:hAnsi="Verdana"/>
          <w:sz w:val="20"/>
          <w:szCs w:val="20"/>
          <w:lang w:val="es-PR"/>
        </w:rPr>
        <w:t xml:space="preserve"> la </w:t>
      </w:r>
      <w:r w:rsidR="00DB2E8A" w:rsidRPr="008D060B">
        <w:rPr>
          <w:rFonts w:ascii="Verdana" w:hAnsi="Verdana"/>
          <w:sz w:val="20"/>
          <w:szCs w:val="20"/>
        </w:rPr>
        <w:t>investigación forense en la búsqueda, recuperación, análisis y eventual identificación de restos</w:t>
      </w:r>
      <w:r w:rsidR="00DB2E8A" w:rsidRPr="008D060B">
        <w:rPr>
          <w:rFonts w:ascii="Verdana" w:hAnsi="Verdana"/>
          <w:sz w:val="20"/>
          <w:szCs w:val="20"/>
          <w:lang w:eastAsia="es-CR"/>
        </w:rPr>
        <w:t xml:space="preserve"> </w:t>
      </w:r>
      <w:r w:rsidR="00DB2E8A" w:rsidRPr="008D060B">
        <w:rPr>
          <w:rFonts w:ascii="Verdana" w:hAnsi="Verdana"/>
          <w:sz w:val="20"/>
          <w:szCs w:val="20"/>
          <w:lang w:val="es-PR"/>
        </w:rPr>
        <w:t>se caracteriz</w:t>
      </w:r>
      <w:r w:rsidR="009E5091">
        <w:rPr>
          <w:rFonts w:ascii="Verdana" w:hAnsi="Verdana"/>
          <w:sz w:val="20"/>
          <w:szCs w:val="20"/>
          <w:lang w:val="es-PR"/>
        </w:rPr>
        <w:t>ó</w:t>
      </w:r>
      <w:r w:rsidR="00DB2E8A" w:rsidRPr="008D060B">
        <w:rPr>
          <w:rFonts w:ascii="Verdana" w:hAnsi="Verdana"/>
          <w:sz w:val="20"/>
          <w:szCs w:val="20"/>
          <w:lang w:val="es-PR"/>
        </w:rPr>
        <w:t xml:space="preserve"> por una clara</w:t>
      </w:r>
      <w:r w:rsidR="00DB2E8A" w:rsidRPr="008D060B">
        <w:rPr>
          <w:rFonts w:cs="Verdana"/>
          <w:szCs w:val="20"/>
          <w:lang w:val="es-ES"/>
        </w:rPr>
        <w:t xml:space="preserve"> </w:t>
      </w:r>
      <w:r w:rsidR="00DB2E8A" w:rsidRPr="008D060B">
        <w:rPr>
          <w:rFonts w:ascii="Verdana" w:hAnsi="Verdana" w:cs="Arial"/>
          <w:sz w:val="20"/>
          <w:szCs w:val="20"/>
          <w:lang w:eastAsia="es-CR"/>
        </w:rPr>
        <w:t xml:space="preserve">falta de </w:t>
      </w:r>
      <w:r w:rsidR="00DB2E8A" w:rsidRPr="008D060B">
        <w:rPr>
          <w:rFonts w:ascii="Verdana" w:hAnsi="Verdana"/>
          <w:sz w:val="20"/>
          <w:szCs w:val="20"/>
          <w:lang w:eastAsia="es-CR"/>
        </w:rPr>
        <w:t>seriedad y debida diligencia,</w:t>
      </w:r>
      <w:r w:rsidR="00DB2E8A">
        <w:rPr>
          <w:rFonts w:ascii="Verdana" w:hAnsi="Verdana" w:cs="Arial"/>
          <w:sz w:val="20"/>
          <w:szCs w:val="20"/>
          <w:lang w:eastAsia="es-CR"/>
        </w:rPr>
        <w:t xml:space="preserve"> especialmente grave, </w:t>
      </w:r>
      <w:r w:rsidR="00DB2E8A" w:rsidRPr="00B371E2">
        <w:rPr>
          <w:rFonts w:ascii="Verdana" w:hAnsi="Verdana"/>
          <w:spacing w:val="-2"/>
          <w:sz w:val="20"/>
          <w:szCs w:val="20"/>
          <w:lang w:eastAsia="es-CR"/>
        </w:rPr>
        <w:t>la Corte consider</w:t>
      </w:r>
      <w:r w:rsidR="009E5091">
        <w:rPr>
          <w:rFonts w:ascii="Verdana" w:hAnsi="Verdana"/>
          <w:spacing w:val="-2"/>
          <w:sz w:val="20"/>
          <w:szCs w:val="20"/>
          <w:lang w:eastAsia="es-CR"/>
        </w:rPr>
        <w:t>ó</w:t>
      </w:r>
      <w:r w:rsidR="00DB2E8A" w:rsidRPr="00B371E2">
        <w:rPr>
          <w:rFonts w:ascii="Verdana" w:hAnsi="Verdana"/>
          <w:spacing w:val="-2"/>
          <w:sz w:val="20"/>
          <w:szCs w:val="20"/>
          <w:lang w:eastAsia="es-CR"/>
        </w:rPr>
        <w:t xml:space="preserve"> que no procede acoger el alegato estatal sobre la procedencia </w:t>
      </w:r>
      <w:r w:rsidR="00DB2E8A" w:rsidRPr="00B371E2">
        <w:rPr>
          <w:rFonts w:ascii="Verdana" w:eastAsia="Calibri" w:hAnsi="Verdana"/>
          <w:sz w:val="20"/>
          <w:szCs w:val="20"/>
        </w:rPr>
        <w:t>del principio de subsidiariedad y complementariedad</w:t>
      </w:r>
      <w:r w:rsidR="00DB2E8A">
        <w:rPr>
          <w:rFonts w:ascii="Verdana" w:eastAsia="Calibri" w:hAnsi="Verdana"/>
          <w:sz w:val="20"/>
          <w:szCs w:val="20"/>
        </w:rPr>
        <w:t>. Es así que</w:t>
      </w:r>
      <w:r w:rsidR="00725BDE">
        <w:rPr>
          <w:rFonts w:ascii="Verdana" w:eastAsia="Calibri" w:hAnsi="Verdana"/>
          <w:sz w:val="20"/>
          <w:szCs w:val="20"/>
        </w:rPr>
        <w:t>,</w:t>
      </w:r>
      <w:r w:rsidR="00DB2E8A">
        <w:rPr>
          <w:rFonts w:ascii="Verdana" w:eastAsia="Calibri" w:hAnsi="Verdana"/>
          <w:sz w:val="20"/>
          <w:szCs w:val="20"/>
        </w:rPr>
        <w:t xml:space="preserve"> en el presente caso</w:t>
      </w:r>
      <w:r w:rsidR="00725BDE">
        <w:rPr>
          <w:rFonts w:ascii="Verdana" w:eastAsia="Calibri" w:hAnsi="Verdana"/>
          <w:sz w:val="20"/>
          <w:szCs w:val="20"/>
        </w:rPr>
        <w:t>,</w:t>
      </w:r>
      <w:r w:rsidR="00DB2E8A">
        <w:rPr>
          <w:rFonts w:ascii="Verdana" w:eastAsia="Calibri" w:hAnsi="Verdana"/>
          <w:sz w:val="20"/>
          <w:szCs w:val="20"/>
        </w:rPr>
        <w:t xml:space="preserve"> la desaparición forzada de las víctimas permanece </w:t>
      </w:r>
      <w:r w:rsidR="00DB2E8A">
        <w:rPr>
          <w:rFonts w:ascii="Verdana" w:hAnsi="Verdana"/>
          <w:sz w:val="20"/>
          <w:szCs w:val="20"/>
          <w:lang w:eastAsia="es-CR"/>
        </w:rPr>
        <w:t>hasta el</w:t>
      </w:r>
      <w:r w:rsidR="00DB2E8A" w:rsidRPr="0058295C">
        <w:rPr>
          <w:rFonts w:ascii="Verdana" w:hAnsi="Verdana"/>
          <w:sz w:val="20"/>
          <w:szCs w:val="20"/>
          <w:lang w:eastAsia="es-CR"/>
        </w:rPr>
        <w:t xml:space="preserve"> día de hoy</w:t>
      </w:r>
      <w:r w:rsidR="00DB2E8A">
        <w:rPr>
          <w:rFonts w:ascii="Verdana" w:hAnsi="Verdana"/>
          <w:sz w:val="20"/>
          <w:szCs w:val="20"/>
          <w:lang w:val="es-PR"/>
        </w:rPr>
        <w:t>.</w:t>
      </w:r>
    </w:p>
    <w:p w14:paraId="38ADF491" w14:textId="77777777" w:rsidR="00DB2E8A" w:rsidRPr="00F945E7" w:rsidRDefault="00DB2E8A" w:rsidP="000E7D3B">
      <w:pPr>
        <w:rPr>
          <w:rFonts w:ascii="Verdana" w:eastAsia="Calibri" w:hAnsi="Verdana" w:cs="Tahoma"/>
          <w:b/>
          <w:sz w:val="20"/>
          <w:szCs w:val="20"/>
        </w:rPr>
      </w:pPr>
    </w:p>
    <w:p w14:paraId="048C38BE" w14:textId="77777777" w:rsidR="000E7D3B" w:rsidRPr="00F945E7" w:rsidRDefault="00F945E7" w:rsidP="000E7D3B">
      <w:pPr>
        <w:pStyle w:val="Prrafodelista"/>
        <w:autoSpaceDE w:val="0"/>
        <w:autoSpaceDN w:val="0"/>
        <w:adjustRightInd w:val="0"/>
        <w:ind w:left="0"/>
        <w:jc w:val="both"/>
        <w:rPr>
          <w:rFonts w:ascii="Verdana" w:hAnsi="Verdana" w:cs="Arial"/>
          <w:sz w:val="20"/>
          <w:szCs w:val="20"/>
          <w:lang w:val="es-ES_tradnl" w:eastAsia="es-CR"/>
        </w:rPr>
      </w:pPr>
      <w:r w:rsidRPr="00F945E7">
        <w:rPr>
          <w:rFonts w:ascii="Verdana" w:hAnsi="Verdana"/>
          <w:sz w:val="20"/>
          <w:szCs w:val="20"/>
        </w:rPr>
        <w:t>Seguidamente</w:t>
      </w:r>
      <w:r w:rsidR="004836D1" w:rsidRPr="00F945E7">
        <w:rPr>
          <w:rFonts w:ascii="Verdana" w:hAnsi="Verdana"/>
          <w:sz w:val="20"/>
          <w:szCs w:val="20"/>
        </w:rPr>
        <w:t xml:space="preserve">, </w:t>
      </w:r>
      <w:r w:rsidR="000E7D3B" w:rsidRPr="00F945E7">
        <w:rPr>
          <w:rFonts w:ascii="Verdana" w:hAnsi="Verdana"/>
          <w:sz w:val="20"/>
          <w:szCs w:val="20"/>
        </w:rPr>
        <w:t xml:space="preserve">la Corte consideró que </w:t>
      </w:r>
      <w:r w:rsidR="000E7D3B" w:rsidRPr="00F945E7">
        <w:rPr>
          <w:rFonts w:ascii="Verdana" w:hAnsi="Verdana"/>
          <w:sz w:val="20"/>
          <w:szCs w:val="20"/>
          <w:lang w:eastAsia="es-CR"/>
        </w:rPr>
        <w:t xml:space="preserve">el Estado violó los derechos reconocidos en los artículos 7, 5.1, 5.2, 4.1, y 3 de la Convención </w:t>
      </w:r>
      <w:r w:rsidR="00EB493D">
        <w:rPr>
          <w:rFonts w:ascii="Verdana" w:hAnsi="Verdana"/>
          <w:sz w:val="20"/>
          <w:szCs w:val="20"/>
          <w:lang w:eastAsia="es-CR"/>
        </w:rPr>
        <w:t>Americana,</w:t>
      </w:r>
      <w:r w:rsidR="000E7D3B" w:rsidRPr="00F945E7">
        <w:rPr>
          <w:rFonts w:ascii="Verdana" w:hAnsi="Verdana"/>
          <w:sz w:val="20"/>
          <w:szCs w:val="20"/>
          <w:lang w:eastAsia="es-CR"/>
        </w:rPr>
        <w:t xml:space="preserve"> </w:t>
      </w:r>
      <w:r w:rsidR="000E7D3B" w:rsidRPr="00F945E7">
        <w:rPr>
          <w:rFonts w:ascii="Verdana" w:hAnsi="Verdana"/>
          <w:sz w:val="20"/>
          <w:szCs w:val="20"/>
          <w:lang w:val="es-GT" w:eastAsia="es-CR"/>
        </w:rPr>
        <w:t xml:space="preserve">en relación con el artículo 1.1 </w:t>
      </w:r>
      <w:r w:rsidR="008946B9">
        <w:rPr>
          <w:rFonts w:ascii="Verdana" w:hAnsi="Verdana"/>
          <w:sz w:val="20"/>
          <w:szCs w:val="20"/>
          <w:lang w:val="es-GT" w:eastAsia="es-CR"/>
        </w:rPr>
        <w:t>de dicho instrumento,</w:t>
      </w:r>
      <w:r w:rsidR="000E7D3B" w:rsidRPr="00F945E7">
        <w:rPr>
          <w:rFonts w:ascii="Verdana" w:hAnsi="Verdana"/>
          <w:sz w:val="20"/>
          <w:szCs w:val="20"/>
          <w:lang w:val="es-GT" w:eastAsia="es-CR"/>
        </w:rPr>
        <w:t xml:space="preserve"> </w:t>
      </w:r>
      <w:r w:rsidR="000E7D3B" w:rsidRPr="00F945E7">
        <w:rPr>
          <w:rFonts w:ascii="Verdana" w:hAnsi="Verdana"/>
          <w:color w:val="000000" w:themeColor="text1"/>
          <w:spacing w:val="-2"/>
          <w:sz w:val="20"/>
          <w:szCs w:val="20"/>
          <w:lang w:val="es-PR" w:eastAsia="es-CR"/>
        </w:rPr>
        <w:t xml:space="preserve">en perjuicio de </w:t>
      </w:r>
      <w:r w:rsidR="005A125C" w:rsidRPr="00F945E7">
        <w:rPr>
          <w:rFonts w:ascii="Verdana" w:hAnsi="Verdana"/>
          <w:color w:val="000000" w:themeColor="text1"/>
          <w:spacing w:val="-2"/>
          <w:sz w:val="20"/>
          <w:szCs w:val="20"/>
          <w:lang w:val="es-PR" w:eastAsia="es-CR"/>
        </w:rPr>
        <w:t>l</w:t>
      </w:r>
      <w:r w:rsidR="005A125C">
        <w:rPr>
          <w:rFonts w:ascii="Verdana" w:hAnsi="Verdana"/>
          <w:color w:val="000000" w:themeColor="text1"/>
          <w:spacing w:val="-2"/>
          <w:sz w:val="20"/>
          <w:szCs w:val="20"/>
          <w:lang w:val="es-PR" w:eastAsia="es-CR"/>
        </w:rPr>
        <w:t>a</w:t>
      </w:r>
      <w:r w:rsidR="005A125C" w:rsidRPr="00F945E7">
        <w:rPr>
          <w:rFonts w:ascii="Verdana" w:hAnsi="Verdana"/>
          <w:color w:val="000000" w:themeColor="text1"/>
          <w:spacing w:val="-2"/>
          <w:sz w:val="20"/>
          <w:szCs w:val="20"/>
          <w:lang w:val="es-PR" w:eastAsia="es-CR"/>
        </w:rPr>
        <w:t xml:space="preserve">s </w:t>
      </w:r>
      <w:r w:rsidR="000E7D3B" w:rsidRPr="00F945E7">
        <w:rPr>
          <w:rFonts w:ascii="Verdana" w:hAnsi="Verdana"/>
          <w:color w:val="000000" w:themeColor="text1"/>
          <w:spacing w:val="-2"/>
          <w:sz w:val="20"/>
          <w:szCs w:val="20"/>
          <w:lang w:val="es-PR" w:eastAsia="es-CR"/>
        </w:rPr>
        <w:t xml:space="preserve">15 </w:t>
      </w:r>
      <w:r w:rsidR="005A125C">
        <w:rPr>
          <w:rFonts w:ascii="Verdana" w:hAnsi="Verdana"/>
          <w:color w:val="000000" w:themeColor="text1"/>
          <w:spacing w:val="-2"/>
          <w:sz w:val="20"/>
          <w:szCs w:val="20"/>
          <w:lang w:val="es-PR" w:eastAsia="es-CR"/>
        </w:rPr>
        <w:t>personas</w:t>
      </w:r>
      <w:r w:rsidR="000E7D3B" w:rsidRPr="00F945E7">
        <w:rPr>
          <w:rFonts w:ascii="Verdana" w:hAnsi="Verdana"/>
          <w:color w:val="000000" w:themeColor="text1"/>
          <w:spacing w:val="-2"/>
          <w:sz w:val="20"/>
          <w:szCs w:val="20"/>
          <w:lang w:val="es-PR" w:eastAsia="es-CR"/>
        </w:rPr>
        <w:t xml:space="preserve">, </w:t>
      </w:r>
      <w:r w:rsidR="008946B9" w:rsidRPr="00F945E7">
        <w:rPr>
          <w:rFonts w:ascii="Verdana" w:hAnsi="Verdana"/>
          <w:sz w:val="20"/>
          <w:szCs w:val="20"/>
          <w:lang w:val="es-GT" w:eastAsia="es-CR"/>
        </w:rPr>
        <w:t>y</w:t>
      </w:r>
      <w:r w:rsidR="008946B9">
        <w:rPr>
          <w:rFonts w:ascii="Verdana" w:hAnsi="Verdana"/>
          <w:sz w:val="20"/>
          <w:szCs w:val="20"/>
          <w:lang w:val="es-GT" w:eastAsia="es-CR"/>
        </w:rPr>
        <w:t xml:space="preserve"> en relación con el artículo</w:t>
      </w:r>
      <w:r w:rsidR="008946B9" w:rsidRPr="00F945E7">
        <w:rPr>
          <w:rFonts w:ascii="Verdana" w:hAnsi="Verdana"/>
          <w:sz w:val="20"/>
          <w:szCs w:val="20"/>
          <w:lang w:val="es-GT" w:eastAsia="es-CR"/>
        </w:rPr>
        <w:t xml:space="preserve"> 19 de</w:t>
      </w:r>
      <w:r w:rsidR="008946B9">
        <w:rPr>
          <w:rFonts w:ascii="Verdana" w:hAnsi="Verdana"/>
          <w:sz w:val="20"/>
          <w:szCs w:val="20"/>
          <w:lang w:val="es-GT" w:eastAsia="es-CR"/>
        </w:rPr>
        <w:t>l mismo en perjuicio de las siete</w:t>
      </w:r>
      <w:r w:rsidR="000E7D3B">
        <w:rPr>
          <w:rFonts w:ascii="Verdana" w:hAnsi="Verdana"/>
          <w:sz w:val="20"/>
          <w:lang w:val="es-GT" w:eastAsia="es-CR"/>
        </w:rPr>
        <w:t xml:space="preserve"> </w:t>
      </w:r>
      <w:r w:rsidR="000E7D3B" w:rsidRPr="00F945E7">
        <w:rPr>
          <w:rFonts w:ascii="Verdana" w:hAnsi="Verdana"/>
          <w:color w:val="000000" w:themeColor="text1"/>
          <w:spacing w:val="-2"/>
          <w:sz w:val="20"/>
          <w:szCs w:val="20"/>
          <w:lang w:val="es-PR" w:eastAsia="es-CR"/>
        </w:rPr>
        <w:t>niñas y niños</w:t>
      </w:r>
      <w:r w:rsidR="008946B9">
        <w:rPr>
          <w:rFonts w:ascii="Verdana" w:hAnsi="Verdana"/>
          <w:color w:val="000000" w:themeColor="text1"/>
          <w:spacing w:val="-2"/>
          <w:sz w:val="20"/>
          <w:szCs w:val="20"/>
          <w:lang w:val="es-PR" w:eastAsia="es-CR"/>
        </w:rPr>
        <w:t>, todos ellos</w:t>
      </w:r>
      <w:r w:rsidR="000E7D3B" w:rsidRPr="00F945E7">
        <w:rPr>
          <w:rFonts w:ascii="Verdana" w:hAnsi="Verdana"/>
          <w:color w:val="000000" w:themeColor="text1"/>
          <w:spacing w:val="-2"/>
          <w:sz w:val="20"/>
          <w:szCs w:val="20"/>
          <w:lang w:val="es-PR" w:eastAsia="es-CR"/>
        </w:rPr>
        <w:t xml:space="preserve"> desaparecidos forzosamente. </w:t>
      </w:r>
      <w:r w:rsidR="000E7D3B" w:rsidRPr="00F945E7">
        <w:rPr>
          <w:rFonts w:ascii="Verdana" w:hAnsi="Verdana"/>
          <w:spacing w:val="-2"/>
          <w:sz w:val="20"/>
          <w:szCs w:val="20"/>
          <w:lang w:val="es-GT"/>
        </w:rPr>
        <w:t xml:space="preserve">Asimismo, la Corte concluyó </w:t>
      </w:r>
      <w:r w:rsidR="000E7D3B" w:rsidRPr="00F945E7">
        <w:rPr>
          <w:rFonts w:ascii="Verdana" w:hAnsi="Verdana"/>
          <w:color w:val="000000" w:themeColor="text1"/>
          <w:spacing w:val="-2"/>
          <w:sz w:val="20"/>
          <w:szCs w:val="20"/>
          <w:lang w:val="es-PR" w:eastAsia="es-CR"/>
        </w:rPr>
        <w:t xml:space="preserve">que dichas violaciones </w:t>
      </w:r>
      <w:r w:rsidR="000E7D3B" w:rsidRPr="00F945E7">
        <w:rPr>
          <w:rFonts w:ascii="Verdana" w:hAnsi="Verdana"/>
          <w:spacing w:val="-2"/>
          <w:sz w:val="20"/>
          <w:szCs w:val="20"/>
          <w:lang w:val="es-GT"/>
        </w:rPr>
        <w:t xml:space="preserve">ocurrieron también en relación con el artículo </w:t>
      </w:r>
      <w:r w:rsidR="000E7D3B" w:rsidRPr="00F945E7">
        <w:rPr>
          <w:rFonts w:ascii="Verdana" w:hAnsi="Verdana"/>
          <w:sz w:val="20"/>
          <w:szCs w:val="20"/>
          <w:lang w:val="es-GT"/>
        </w:rPr>
        <w:t>I.a y II de la Convención Interamericana sobre Desaparición Forzada de Personas</w:t>
      </w:r>
      <w:r w:rsidR="000E7D3B" w:rsidRPr="00F945E7">
        <w:rPr>
          <w:rFonts w:ascii="Verdana" w:hAnsi="Verdana"/>
          <w:sz w:val="20"/>
          <w:szCs w:val="20"/>
          <w:lang w:val="es-ES_tradnl"/>
        </w:rPr>
        <w:t xml:space="preserve">, a partir del </w:t>
      </w:r>
      <w:r w:rsidR="000E7D3B" w:rsidRPr="00F945E7">
        <w:rPr>
          <w:rFonts w:ascii="Verdana" w:hAnsi="Verdana" w:cs="Arial"/>
          <w:bCs/>
          <w:sz w:val="20"/>
          <w:szCs w:val="20"/>
          <w:lang w:val="es-ES_tradnl" w:eastAsia="es-CR"/>
        </w:rPr>
        <w:t>15 de marzo</w:t>
      </w:r>
      <w:r w:rsidR="000E7D3B" w:rsidRPr="00F945E7">
        <w:rPr>
          <w:rFonts w:ascii="Verdana" w:hAnsi="Verdana" w:cs="Arial"/>
          <w:sz w:val="20"/>
          <w:szCs w:val="20"/>
          <w:lang w:val="es-ES_tradnl" w:eastAsia="es-CR"/>
        </w:rPr>
        <w:t xml:space="preserve"> </w:t>
      </w:r>
      <w:r w:rsidR="000E7D3B" w:rsidRPr="00F945E7">
        <w:rPr>
          <w:rFonts w:ascii="Verdana" w:hAnsi="Verdana" w:cs="Arial"/>
          <w:bCs/>
          <w:sz w:val="20"/>
          <w:szCs w:val="20"/>
          <w:lang w:val="es-ES_tradnl" w:eastAsia="es-CR"/>
        </w:rPr>
        <w:t>de 2002, fecha de</w:t>
      </w:r>
      <w:r w:rsidR="000E7D3B" w:rsidRPr="00F945E7">
        <w:rPr>
          <w:rFonts w:ascii="Verdana" w:hAnsi="Verdana"/>
          <w:sz w:val="20"/>
          <w:szCs w:val="20"/>
          <w:lang w:val="es-ES_tradnl"/>
        </w:rPr>
        <w:t xml:space="preserve"> su entrada en vigor para el Perú</w:t>
      </w:r>
      <w:r w:rsidR="000E7D3B" w:rsidRPr="00F945E7">
        <w:rPr>
          <w:rFonts w:ascii="Verdana" w:hAnsi="Verdana" w:cs="Arial"/>
          <w:sz w:val="20"/>
          <w:szCs w:val="20"/>
          <w:lang w:val="es-ES_tradnl" w:eastAsia="es-CR"/>
        </w:rPr>
        <w:t>.</w:t>
      </w:r>
    </w:p>
    <w:p w14:paraId="1269913D" w14:textId="77777777" w:rsidR="000E7D3B" w:rsidRPr="000E7D3B" w:rsidRDefault="000E7D3B" w:rsidP="000E7D3B">
      <w:pPr>
        <w:rPr>
          <w:rFonts w:ascii="Verdana" w:eastAsia="Calibri" w:hAnsi="Verdana" w:cs="Tahoma"/>
          <w:b/>
          <w:sz w:val="20"/>
          <w:szCs w:val="20"/>
          <w:lang w:val="es-ES_tradnl"/>
        </w:rPr>
      </w:pPr>
    </w:p>
    <w:p w14:paraId="76F59E2F" w14:textId="77777777" w:rsidR="000E7D3B" w:rsidRPr="003A46A5" w:rsidRDefault="003A46A5" w:rsidP="003A46A5">
      <w:pPr>
        <w:pStyle w:val="Prrafodelista"/>
        <w:ind w:left="0"/>
        <w:rPr>
          <w:rFonts w:ascii="Verdana" w:eastAsia="Calibri" w:hAnsi="Verdana"/>
          <w:b/>
          <w:sz w:val="20"/>
        </w:rPr>
      </w:pPr>
      <w:r w:rsidRPr="003A46A5">
        <w:rPr>
          <w:rFonts w:ascii="Verdana" w:hAnsi="Verdana"/>
          <w:b/>
          <w:sz w:val="20"/>
          <w:szCs w:val="20"/>
          <w:lang w:val="es-ES_tradnl" w:eastAsia="es-CR"/>
        </w:rPr>
        <w:t xml:space="preserve">b. </w:t>
      </w:r>
      <w:bookmarkStart w:id="5" w:name="_Toc421864971"/>
      <w:bookmarkStart w:id="6" w:name="_Toc423102547"/>
      <w:r w:rsidR="000E7D3B" w:rsidRPr="003A46A5">
        <w:rPr>
          <w:rFonts w:ascii="Verdana" w:eastAsia="Calibri" w:hAnsi="Verdana"/>
          <w:b/>
          <w:sz w:val="20"/>
        </w:rPr>
        <w:t>Derecho de propiedad y a la vida privada y familiar</w:t>
      </w:r>
      <w:bookmarkEnd w:id="5"/>
      <w:bookmarkEnd w:id="6"/>
    </w:p>
    <w:p w14:paraId="47C266C9" w14:textId="77777777" w:rsidR="000E7D3B" w:rsidRDefault="000E7D3B" w:rsidP="000E7D3B">
      <w:pPr>
        <w:rPr>
          <w:rFonts w:ascii="Verdana" w:eastAsia="Calibri" w:hAnsi="Verdana" w:cs="Tahoma"/>
          <w:b/>
          <w:sz w:val="20"/>
          <w:szCs w:val="20"/>
        </w:rPr>
      </w:pPr>
    </w:p>
    <w:p w14:paraId="07EE14A6" w14:textId="77777777" w:rsidR="00DC7C36" w:rsidRPr="00251497" w:rsidRDefault="00055D41" w:rsidP="00DC7C36">
      <w:pPr>
        <w:pStyle w:val="Sangradetextonormal"/>
        <w:tabs>
          <w:tab w:val="left" w:pos="0"/>
          <w:tab w:val="left" w:pos="810"/>
        </w:tabs>
        <w:spacing w:after="0"/>
        <w:ind w:left="0"/>
        <w:jc w:val="both"/>
        <w:rPr>
          <w:rFonts w:ascii="Verdana" w:hAnsi="Verdana"/>
          <w:sz w:val="20"/>
          <w:szCs w:val="20"/>
        </w:rPr>
      </w:pPr>
      <w:r>
        <w:rPr>
          <w:rFonts w:ascii="Verdana" w:hAnsi="Verdana"/>
          <w:sz w:val="20"/>
          <w:szCs w:val="20"/>
          <w:lang w:val="es-VE"/>
        </w:rPr>
        <w:t>La Corte con</w:t>
      </w:r>
      <w:r w:rsidR="003C236C">
        <w:rPr>
          <w:rFonts w:ascii="Verdana" w:hAnsi="Verdana"/>
          <w:sz w:val="20"/>
          <w:szCs w:val="20"/>
          <w:lang w:val="es-VE"/>
        </w:rPr>
        <w:t>c</w:t>
      </w:r>
      <w:r>
        <w:rPr>
          <w:rFonts w:ascii="Verdana" w:hAnsi="Verdana"/>
          <w:sz w:val="20"/>
          <w:szCs w:val="20"/>
          <w:lang w:val="es-VE"/>
        </w:rPr>
        <w:t>luyó</w:t>
      </w:r>
      <w:r w:rsidR="00DC7C36" w:rsidRPr="008A35EA">
        <w:rPr>
          <w:rFonts w:ascii="Verdana" w:hAnsi="Verdana"/>
          <w:sz w:val="20"/>
          <w:szCs w:val="20"/>
          <w:lang w:val="es-CR"/>
        </w:rPr>
        <w:t xml:space="preserve"> que militares quemaron las viviendas de las</w:t>
      </w:r>
      <w:r w:rsidR="00DC7C36">
        <w:rPr>
          <w:rFonts w:ascii="Verdana" w:hAnsi="Verdana"/>
          <w:sz w:val="20"/>
          <w:szCs w:val="20"/>
          <w:lang w:val="es-CR"/>
        </w:rPr>
        <w:t xml:space="preserve"> dos</w:t>
      </w:r>
      <w:r w:rsidR="00DC7C36" w:rsidRPr="008A35EA">
        <w:rPr>
          <w:rFonts w:ascii="Verdana" w:hAnsi="Verdana"/>
          <w:sz w:val="20"/>
          <w:szCs w:val="20"/>
          <w:lang w:val="es-CR"/>
        </w:rPr>
        <w:t xml:space="preserve"> familias</w:t>
      </w:r>
      <w:r w:rsidR="00DC7C36">
        <w:rPr>
          <w:rFonts w:ascii="Verdana" w:hAnsi="Verdana"/>
          <w:sz w:val="20"/>
          <w:szCs w:val="20"/>
          <w:lang w:val="es-CR"/>
        </w:rPr>
        <w:t xml:space="preserve"> mencionadas</w:t>
      </w:r>
      <w:r w:rsidR="00DC7C36" w:rsidRPr="008A35EA">
        <w:rPr>
          <w:rFonts w:ascii="Verdana" w:hAnsi="Verdana"/>
          <w:sz w:val="20"/>
          <w:szCs w:val="20"/>
          <w:lang w:val="es-CR"/>
        </w:rPr>
        <w:t xml:space="preserve"> y se llevaron ganado de </w:t>
      </w:r>
      <w:r w:rsidR="00FA2C0D" w:rsidRPr="008A35EA">
        <w:rPr>
          <w:rFonts w:ascii="Verdana" w:hAnsi="Verdana"/>
          <w:sz w:val="20"/>
          <w:szCs w:val="20"/>
          <w:lang w:val="es-CR"/>
        </w:rPr>
        <w:t>a</w:t>
      </w:r>
      <w:r w:rsidR="00FA2C0D">
        <w:rPr>
          <w:rFonts w:ascii="Verdana" w:hAnsi="Verdana"/>
          <w:sz w:val="20"/>
          <w:szCs w:val="20"/>
          <w:lang w:val="es-CR"/>
        </w:rPr>
        <w:t>ll</w:t>
      </w:r>
      <w:r w:rsidR="00FA2C0D" w:rsidRPr="008A35EA">
        <w:rPr>
          <w:rFonts w:ascii="Verdana" w:hAnsi="Verdana"/>
          <w:sz w:val="20"/>
          <w:szCs w:val="20"/>
          <w:lang w:val="es-CR"/>
        </w:rPr>
        <w:t>í</w:t>
      </w:r>
      <w:r w:rsidR="00DC7C36" w:rsidRPr="006E020F">
        <w:rPr>
          <w:rFonts w:ascii="Verdana" w:hAnsi="Verdana"/>
          <w:sz w:val="20"/>
          <w:szCs w:val="20"/>
        </w:rPr>
        <w:t xml:space="preserve">, en violación del </w:t>
      </w:r>
      <w:r w:rsidR="00251497" w:rsidRPr="002964A7">
        <w:rPr>
          <w:rFonts w:ascii="Verdana" w:hAnsi="Verdana"/>
          <w:sz w:val="20"/>
          <w:szCs w:val="20"/>
        </w:rPr>
        <w:t>artículo 21 de la Convención Americana, en relación con el artículo 1.1 de la misma, en perjuicio de</w:t>
      </w:r>
      <w:r w:rsidR="00251497" w:rsidRPr="006E020F">
        <w:rPr>
          <w:rFonts w:ascii="Verdana" w:hAnsi="Verdana"/>
          <w:sz w:val="20"/>
          <w:szCs w:val="20"/>
        </w:rPr>
        <w:t xml:space="preserve"> </w:t>
      </w:r>
      <w:r w:rsidR="00DC7C36" w:rsidRPr="006E020F">
        <w:rPr>
          <w:rFonts w:ascii="Verdana" w:hAnsi="Verdana"/>
          <w:sz w:val="20"/>
          <w:szCs w:val="20"/>
        </w:rPr>
        <w:t xml:space="preserve">las personas que vivían en la </w:t>
      </w:r>
      <w:r w:rsidR="00FA2C0D" w:rsidRPr="00DC7C36">
        <w:rPr>
          <w:rFonts w:ascii="Verdana" w:hAnsi="Verdana"/>
          <w:sz w:val="20"/>
          <w:szCs w:val="20"/>
          <w:lang w:val="es-ES_tradnl"/>
        </w:rPr>
        <w:t xml:space="preserve">Comunidad de Santa </w:t>
      </w:r>
      <w:r w:rsidR="00FA2C0D" w:rsidRPr="00DC7C36">
        <w:rPr>
          <w:rFonts w:ascii="Verdana" w:hAnsi="Verdana"/>
          <w:sz w:val="20"/>
          <w:szCs w:val="20"/>
          <w:lang w:val="es-CR"/>
        </w:rPr>
        <w:t>Bárbara</w:t>
      </w:r>
      <w:r w:rsidR="00FA2C0D" w:rsidRPr="00DC7C36">
        <w:rPr>
          <w:rFonts w:ascii="Verdana" w:hAnsi="Verdana"/>
          <w:sz w:val="20"/>
          <w:szCs w:val="20"/>
          <w:lang w:val="es-ES_tradnl"/>
        </w:rPr>
        <w:t xml:space="preserve"> </w:t>
      </w:r>
      <w:r w:rsidR="00DC7C36" w:rsidRPr="006E020F">
        <w:rPr>
          <w:rFonts w:ascii="Verdana" w:hAnsi="Verdana"/>
          <w:sz w:val="20"/>
          <w:szCs w:val="20"/>
        </w:rPr>
        <w:t xml:space="preserve">en la época de los </w:t>
      </w:r>
      <w:r w:rsidR="00DC7C36" w:rsidRPr="00DC7C36">
        <w:rPr>
          <w:rFonts w:ascii="Verdana" w:hAnsi="Verdana"/>
          <w:sz w:val="20"/>
          <w:szCs w:val="20"/>
        </w:rPr>
        <w:t>hechos</w:t>
      </w:r>
      <w:r w:rsidR="00FA2C0D">
        <w:rPr>
          <w:rFonts w:ascii="Verdana" w:hAnsi="Verdana"/>
          <w:sz w:val="20"/>
          <w:szCs w:val="20"/>
        </w:rPr>
        <w:t xml:space="preserve">, lo cual también constituyó una </w:t>
      </w:r>
      <w:r w:rsidR="00DC7C36" w:rsidRPr="00DC7C36">
        <w:rPr>
          <w:rFonts w:ascii="Verdana" w:hAnsi="Verdana"/>
          <w:sz w:val="20"/>
          <w:szCs w:val="20"/>
          <w:lang w:val="es-ES_tradnl"/>
        </w:rPr>
        <w:t>injerencia abusiva y arbitraria en su vida privada y domicilio</w:t>
      </w:r>
      <w:r w:rsidR="003A46A5">
        <w:rPr>
          <w:rFonts w:ascii="Verdana" w:hAnsi="Verdana"/>
          <w:sz w:val="20"/>
          <w:szCs w:val="20"/>
          <w:lang w:val="es-ES_tradnl"/>
        </w:rPr>
        <w:t>,</w:t>
      </w:r>
      <w:r w:rsidR="00DC7C36">
        <w:rPr>
          <w:rFonts w:ascii="Verdana" w:hAnsi="Verdana"/>
          <w:sz w:val="20"/>
          <w:lang w:val="es-ES_tradnl"/>
        </w:rPr>
        <w:t xml:space="preserve"> </w:t>
      </w:r>
      <w:r w:rsidR="00FA2C0D">
        <w:rPr>
          <w:rFonts w:ascii="Verdana" w:hAnsi="Verdana"/>
          <w:sz w:val="20"/>
          <w:szCs w:val="20"/>
          <w:lang w:val="es-ES_tradnl"/>
        </w:rPr>
        <w:t>en violación</w:t>
      </w:r>
      <w:r w:rsidR="00DC7C36" w:rsidRPr="001E4D10">
        <w:rPr>
          <w:rFonts w:ascii="Verdana" w:hAnsi="Verdana"/>
          <w:sz w:val="20"/>
          <w:szCs w:val="20"/>
          <w:lang w:val="es-CR"/>
        </w:rPr>
        <w:t xml:space="preserve"> </w:t>
      </w:r>
      <w:r w:rsidR="00FA2C0D">
        <w:rPr>
          <w:rFonts w:ascii="Verdana" w:hAnsi="Verdana"/>
          <w:sz w:val="20"/>
          <w:szCs w:val="20"/>
          <w:lang w:val="es-CR"/>
        </w:rPr>
        <w:t>d</w:t>
      </w:r>
      <w:r w:rsidR="00DC7C36" w:rsidRPr="001E4D10">
        <w:rPr>
          <w:rFonts w:ascii="Verdana" w:hAnsi="Verdana"/>
          <w:sz w:val="20"/>
          <w:szCs w:val="20"/>
          <w:lang w:val="es-CR"/>
        </w:rPr>
        <w:t>el artículo 11.2 de la Convención, en relación con el artículo 1.1 de dicho instrumento</w:t>
      </w:r>
      <w:r w:rsidR="00DC7C36">
        <w:rPr>
          <w:rFonts w:ascii="Verdana" w:hAnsi="Verdana"/>
          <w:sz w:val="20"/>
          <w:szCs w:val="20"/>
          <w:lang w:val="es-CR"/>
        </w:rPr>
        <w:t>.</w:t>
      </w:r>
    </w:p>
    <w:p w14:paraId="539ADFCC" w14:textId="77777777" w:rsidR="00DC7C36" w:rsidRPr="00DC7C36" w:rsidRDefault="00DC7C36" w:rsidP="000E7D3B">
      <w:pPr>
        <w:rPr>
          <w:rFonts w:ascii="Verdana" w:eastAsia="Calibri" w:hAnsi="Verdana" w:cs="Tahoma"/>
          <w:b/>
          <w:sz w:val="20"/>
          <w:szCs w:val="20"/>
          <w:lang w:val="es-VE"/>
        </w:rPr>
      </w:pPr>
    </w:p>
    <w:p w14:paraId="7788777D" w14:textId="77777777" w:rsidR="004112D8" w:rsidRPr="002F4A9E" w:rsidRDefault="003A46A5" w:rsidP="001A5B85">
      <w:pPr>
        <w:pStyle w:val="Ttulo1"/>
        <w:spacing w:before="0" w:after="0"/>
        <w:jc w:val="both"/>
      </w:pPr>
      <w:bookmarkStart w:id="7" w:name="_Toc421864975"/>
      <w:bookmarkStart w:id="8" w:name="_Toc423102551"/>
      <w:r>
        <w:rPr>
          <w:lang w:val="es-VE"/>
        </w:rPr>
        <w:t xml:space="preserve">c. </w:t>
      </w:r>
      <w:r w:rsidR="004112D8" w:rsidRPr="002F4A9E">
        <w:t>El derecho a las garantías y la protección judicial y a la libertad personal y el artículo I</w:t>
      </w:r>
      <w:r w:rsidR="00FA2C0D">
        <w:rPr>
          <w:szCs w:val="20"/>
        </w:rPr>
        <w:t>.b</w:t>
      </w:r>
      <w:r w:rsidR="004112D8" w:rsidRPr="002F4A9E">
        <w:t xml:space="preserve"> de la Convención Interamericana Sobre Desaparición Forzada de Personas, así como los artículos 1, 6 y 8 de la Convención Interamericana para Prevenir y Sancionar la Tortura</w:t>
      </w:r>
      <w:bookmarkEnd w:id="7"/>
      <w:bookmarkEnd w:id="8"/>
    </w:p>
    <w:p w14:paraId="495CE335" w14:textId="77777777" w:rsidR="00AE1117" w:rsidRPr="002F4A9E" w:rsidRDefault="00AE1117" w:rsidP="002F4A9E"/>
    <w:p w14:paraId="0B853835" w14:textId="77777777" w:rsidR="00671063" w:rsidRDefault="002D7324" w:rsidP="00AC31FB">
      <w:pPr>
        <w:jc w:val="both"/>
        <w:rPr>
          <w:rFonts w:ascii="Verdana" w:hAnsi="Verdana"/>
          <w:bCs/>
          <w:spacing w:val="-2"/>
          <w:sz w:val="20"/>
          <w:szCs w:val="20"/>
          <w:lang w:val="es-ES_tradnl"/>
        </w:rPr>
      </w:pPr>
      <w:r>
        <w:rPr>
          <w:rFonts w:ascii="Verdana" w:hAnsi="Verdana" w:cs="Arial"/>
          <w:sz w:val="20"/>
          <w:szCs w:val="20"/>
          <w:lang w:val="es-PR" w:eastAsia="es-MX"/>
        </w:rPr>
        <w:t xml:space="preserve">En primer lugar, la Corte determinó que existió </w:t>
      </w:r>
      <w:r w:rsidRPr="006176D5">
        <w:rPr>
          <w:rFonts w:ascii="Verdana" w:hAnsi="Verdana" w:cs="Arial"/>
          <w:sz w:val="20"/>
          <w:szCs w:val="20"/>
          <w:lang w:val="es-PR" w:eastAsia="es-MX"/>
        </w:rPr>
        <w:t>falta de debida diligencia en las primeras diligencias de la investigación</w:t>
      </w:r>
      <w:r w:rsidR="00671063">
        <w:rPr>
          <w:rFonts w:ascii="Verdana" w:hAnsi="Verdana" w:cs="Arial"/>
          <w:sz w:val="20"/>
          <w:szCs w:val="20"/>
          <w:lang w:val="es-PR" w:eastAsia="es-MX"/>
        </w:rPr>
        <w:t xml:space="preserve"> del caso</w:t>
      </w:r>
      <w:r>
        <w:rPr>
          <w:rFonts w:ascii="Verdana" w:hAnsi="Verdana" w:cs="Arial"/>
          <w:sz w:val="20"/>
          <w:szCs w:val="20"/>
          <w:lang w:val="es-PR" w:eastAsia="es-MX"/>
        </w:rPr>
        <w:t xml:space="preserve"> debido a que: </w:t>
      </w:r>
      <w:r w:rsidRPr="00CC7328">
        <w:rPr>
          <w:rFonts w:ascii="Verdana" w:hAnsi="Verdana" w:cs="Arial"/>
          <w:sz w:val="20"/>
          <w:szCs w:val="20"/>
          <w:lang w:val="es-PR" w:eastAsia="es-MX"/>
        </w:rPr>
        <w:t xml:space="preserve">i) la diligencia de levantamiento de 18 de julio de 1991 no fue llevada a cabo sino hasta 2 semanas después de los hechos, 10 días de haberse denunciado y 6 días después de informado el hallazgo de los cuerpos; ii) se desconoce lo ocurrido con la evidencia recolectada en dicha ocasión; iii) </w:t>
      </w:r>
      <w:r w:rsidRPr="00CC7328">
        <w:rPr>
          <w:rFonts w:ascii="Verdana" w:eastAsia="Batang" w:hAnsi="Verdana"/>
          <w:spacing w:val="-2"/>
          <w:sz w:val="20"/>
          <w:szCs w:val="20"/>
          <w:lang w:val="es-PR"/>
        </w:rPr>
        <w:t xml:space="preserve">no consta que, una vez que las autoridades correspondientes recibieron noticia de los hechos ocurridos, hayan adoptado, de forma inmediata, las medias de búsqueda necesarias a fin de encontrar a las personas desaparecidas; iv) </w:t>
      </w:r>
      <w:r w:rsidRPr="00CC7328">
        <w:rPr>
          <w:rFonts w:ascii="Verdana" w:hAnsi="Verdana"/>
          <w:bCs/>
          <w:spacing w:val="-2"/>
          <w:sz w:val="20"/>
          <w:szCs w:val="20"/>
          <w:lang w:val="es-ES_tradnl"/>
        </w:rPr>
        <w:t xml:space="preserve">el Estado no ha demostrado que las autoridades hayan realizado diligencias mínimas tales como la inspección del lugar donde residían dichos comuneros y fueron </w:t>
      </w:r>
      <w:r w:rsidRPr="00CC7328">
        <w:rPr>
          <w:rFonts w:ascii="Verdana" w:hAnsi="Verdana"/>
          <w:bCs/>
          <w:spacing w:val="-2"/>
          <w:sz w:val="20"/>
          <w:szCs w:val="20"/>
          <w:lang w:val="es-ES_tradnl"/>
        </w:rPr>
        <w:lastRenderedPageBreak/>
        <w:t xml:space="preserve">quemadas sus viviendas, y v) la pérdida de los restos recolectados el 18 de julio de 1991 en la mina “Misteriosa” o “Vallarón” no se ajusta a los estándares mínimos relativos al manejo de la escena del crimen y el tratamiento de los cadáveres de las víctimas. </w:t>
      </w:r>
    </w:p>
    <w:p w14:paraId="10C9F577" w14:textId="77777777" w:rsidR="00671063" w:rsidRDefault="00671063" w:rsidP="00AC31FB">
      <w:pPr>
        <w:jc w:val="both"/>
        <w:rPr>
          <w:rFonts w:ascii="Verdana" w:hAnsi="Verdana"/>
          <w:bCs/>
          <w:spacing w:val="-2"/>
          <w:sz w:val="20"/>
          <w:szCs w:val="20"/>
          <w:lang w:val="es-ES_tradnl"/>
        </w:rPr>
      </w:pPr>
    </w:p>
    <w:p w14:paraId="2EDA9027" w14:textId="77777777" w:rsidR="00A959D6" w:rsidRDefault="002D7324" w:rsidP="00AC31FB">
      <w:pPr>
        <w:jc w:val="both"/>
        <w:rPr>
          <w:rFonts w:ascii="Verdana" w:hAnsi="Verdana"/>
          <w:spacing w:val="-2"/>
          <w:sz w:val="20"/>
          <w:szCs w:val="20"/>
        </w:rPr>
      </w:pPr>
      <w:r w:rsidRPr="002D7324">
        <w:rPr>
          <w:rFonts w:ascii="Verdana" w:hAnsi="Verdana" w:cs="Arial"/>
          <w:sz w:val="20"/>
          <w:szCs w:val="20"/>
          <w:lang w:val="es-PR" w:eastAsia="es-MX"/>
        </w:rPr>
        <w:t>En segundo lugar,</w:t>
      </w:r>
      <w:r>
        <w:rPr>
          <w:rFonts w:ascii="Verdana" w:hAnsi="Verdana" w:cs="Arial"/>
          <w:sz w:val="20"/>
          <w:szCs w:val="20"/>
          <w:lang w:val="es-PR" w:eastAsia="es-MX"/>
        </w:rPr>
        <w:t xml:space="preserve"> la Corte determinó que e</w:t>
      </w:r>
      <w:r w:rsidRPr="00CC645C">
        <w:rPr>
          <w:rFonts w:ascii="Verdana" w:hAnsi="Verdana"/>
          <w:spacing w:val="-2"/>
          <w:sz w:val="20"/>
          <w:szCs w:val="20"/>
          <w:lang w:val="es-PR"/>
        </w:rPr>
        <w:t xml:space="preserve">l recurso de hábeas corpus interpuesto </w:t>
      </w:r>
      <w:r w:rsidRPr="00CC645C">
        <w:rPr>
          <w:rFonts w:ascii="Verdana" w:hAnsi="Verdana"/>
          <w:spacing w:val="-2"/>
          <w:sz w:val="20"/>
          <w:szCs w:val="20"/>
        </w:rPr>
        <w:t xml:space="preserve">por </w:t>
      </w:r>
      <w:r w:rsidRPr="00CC645C">
        <w:rPr>
          <w:rFonts w:ascii="Verdana" w:hAnsi="Verdana"/>
          <w:spacing w:val="-2"/>
          <w:sz w:val="20"/>
          <w:szCs w:val="20"/>
          <w:lang w:val="es-PR"/>
        </w:rPr>
        <w:t xml:space="preserve">el señor </w:t>
      </w:r>
      <w:r w:rsidRPr="00CC645C">
        <w:rPr>
          <w:rFonts w:ascii="Verdana" w:hAnsi="Verdana" w:cs="Verdana"/>
          <w:spacing w:val="-2"/>
          <w:sz w:val="20"/>
          <w:szCs w:val="20"/>
          <w:lang w:val="es-ES_tradnl"/>
        </w:rPr>
        <w:t>Alejandro</w:t>
      </w:r>
      <w:r w:rsidRPr="00CC645C">
        <w:rPr>
          <w:rFonts w:ascii="Verdana" w:hAnsi="Verdana"/>
          <w:spacing w:val="-2"/>
          <w:sz w:val="20"/>
          <w:szCs w:val="20"/>
          <w:lang w:val="es-PR"/>
        </w:rPr>
        <w:t xml:space="preserve"> Huamaní Robles a favor de su hijo, Eli</w:t>
      </w:r>
      <w:r w:rsidR="00A959D6">
        <w:rPr>
          <w:rFonts w:ascii="Verdana" w:hAnsi="Verdana"/>
          <w:spacing w:val="-2"/>
          <w:sz w:val="20"/>
          <w:szCs w:val="20"/>
          <w:lang w:val="es-PR"/>
        </w:rPr>
        <w:t>h</w:t>
      </w:r>
      <w:r w:rsidRPr="00CC645C">
        <w:rPr>
          <w:rFonts w:ascii="Verdana" w:hAnsi="Verdana"/>
          <w:spacing w:val="-2"/>
          <w:sz w:val="20"/>
          <w:szCs w:val="20"/>
          <w:lang w:val="es-PR"/>
        </w:rPr>
        <w:t xml:space="preserve">oref Huamaní Vergara, </w:t>
      </w:r>
      <w:r w:rsidRPr="00CC645C">
        <w:rPr>
          <w:rFonts w:ascii="Verdana" w:hAnsi="Verdana"/>
          <w:spacing w:val="-2"/>
          <w:sz w:val="20"/>
          <w:szCs w:val="20"/>
        </w:rPr>
        <w:t xml:space="preserve">ante el Juzgado de Instrucción de </w:t>
      </w:r>
      <w:r w:rsidRPr="00CC645C">
        <w:rPr>
          <w:rFonts w:ascii="Verdana" w:hAnsi="Verdana"/>
          <w:spacing w:val="-2"/>
          <w:sz w:val="20"/>
          <w:szCs w:val="20"/>
          <w:lang w:val="es-ES"/>
        </w:rPr>
        <w:t>Huancavelica</w:t>
      </w:r>
      <w:r>
        <w:rPr>
          <w:rFonts w:ascii="Verdana" w:hAnsi="Verdana"/>
          <w:spacing w:val="-2"/>
          <w:sz w:val="20"/>
          <w:szCs w:val="20"/>
          <w:lang w:val="es-ES"/>
        </w:rPr>
        <w:t xml:space="preserve"> no fue efectivo</w:t>
      </w:r>
      <w:r w:rsidRPr="009336CD">
        <w:rPr>
          <w:rFonts w:ascii="Verdana" w:hAnsi="Verdana" w:cs="Arial"/>
          <w:sz w:val="20"/>
          <w:szCs w:val="20"/>
          <w:lang w:val="es-PR" w:eastAsia="es-MX"/>
        </w:rPr>
        <w:t xml:space="preserve">, </w:t>
      </w:r>
      <w:r>
        <w:rPr>
          <w:rFonts w:ascii="Verdana" w:hAnsi="Verdana" w:cs="Arial"/>
          <w:sz w:val="20"/>
          <w:szCs w:val="20"/>
          <w:lang w:val="es-PR" w:eastAsia="es-MX"/>
        </w:rPr>
        <w:t>debido a que</w:t>
      </w:r>
      <w:r w:rsidRPr="00CC7328">
        <w:rPr>
          <w:rFonts w:ascii="Verdana" w:hAnsi="Verdana" w:cs="Arial"/>
          <w:sz w:val="20"/>
          <w:szCs w:val="20"/>
          <w:lang w:val="es-PR" w:eastAsia="es-MX"/>
        </w:rPr>
        <w:t xml:space="preserve"> la resolución que lo denegó fue emitida cuatro días después de interpuesto el recurso, y no constan en ella </w:t>
      </w:r>
      <w:r w:rsidRPr="00CC7328">
        <w:rPr>
          <w:rFonts w:ascii="Verdana" w:hAnsi="Verdana"/>
          <w:spacing w:val="-2"/>
          <w:sz w:val="20"/>
          <w:szCs w:val="20"/>
          <w:lang w:val="es-GT"/>
        </w:rPr>
        <w:t>las “constancias” que habrían sido efectuadas por parte del Juzgado, más allá de las declaraciones recibidas por parte de miembros del ejército y de la Policía, a fin de verificar la existen</w:t>
      </w:r>
      <w:r>
        <w:rPr>
          <w:rFonts w:ascii="Verdana" w:hAnsi="Verdana"/>
          <w:spacing w:val="-2"/>
          <w:sz w:val="20"/>
          <w:szCs w:val="20"/>
          <w:lang w:val="es-GT"/>
        </w:rPr>
        <w:t>cia de la detención denunciada. Asimismo,</w:t>
      </w:r>
      <w:r w:rsidRPr="00CC7328">
        <w:rPr>
          <w:rFonts w:ascii="Verdana" w:hAnsi="Verdana"/>
          <w:spacing w:val="-2"/>
          <w:sz w:val="20"/>
          <w:szCs w:val="20"/>
          <w:lang w:val="es-PR"/>
        </w:rPr>
        <w:t xml:space="preserve"> la mencionada resolución </w:t>
      </w:r>
      <w:r w:rsidRPr="00CC7328">
        <w:rPr>
          <w:rFonts w:ascii="Verdana" w:hAnsi="Verdana"/>
          <w:spacing w:val="-2"/>
          <w:sz w:val="20"/>
          <w:szCs w:val="20"/>
          <w:lang w:val="es-GT"/>
        </w:rPr>
        <w:t>fue apelada</w:t>
      </w:r>
      <w:r w:rsidR="00A959D6">
        <w:rPr>
          <w:rFonts w:ascii="Verdana" w:hAnsi="Verdana"/>
          <w:spacing w:val="-2"/>
          <w:sz w:val="20"/>
          <w:szCs w:val="20"/>
          <w:lang w:val="es-GT"/>
        </w:rPr>
        <w:t xml:space="preserve">; </w:t>
      </w:r>
      <w:r w:rsidRPr="00CC7328">
        <w:rPr>
          <w:rFonts w:ascii="Verdana" w:hAnsi="Verdana"/>
          <w:spacing w:val="-2"/>
          <w:sz w:val="20"/>
          <w:szCs w:val="20"/>
          <w:lang w:val="es-GT"/>
        </w:rPr>
        <w:t>sin embargo, no fue probado que se hubiera resuelto dicha apelación.</w:t>
      </w:r>
      <w:r>
        <w:rPr>
          <w:rFonts w:ascii="Verdana" w:hAnsi="Verdana"/>
          <w:spacing w:val="-2"/>
          <w:sz w:val="20"/>
          <w:szCs w:val="20"/>
          <w:lang w:val="es-GT"/>
        </w:rPr>
        <w:t xml:space="preserve"> </w:t>
      </w:r>
      <w:r w:rsidR="00080F6B" w:rsidRPr="00080F6B">
        <w:rPr>
          <w:rFonts w:ascii="Verdana" w:hAnsi="Verdana"/>
          <w:spacing w:val="-2"/>
          <w:sz w:val="20"/>
          <w:szCs w:val="20"/>
        </w:rPr>
        <w:t>Por consiguiente, la Corte consideró que el Estado violó el artículo 7.6 de la Convención Americana en perjuicio de Eli</w:t>
      </w:r>
      <w:r w:rsidR="00A959D6">
        <w:rPr>
          <w:rFonts w:ascii="Verdana" w:hAnsi="Verdana"/>
          <w:spacing w:val="-2"/>
          <w:sz w:val="20"/>
          <w:szCs w:val="20"/>
        </w:rPr>
        <w:t>h</w:t>
      </w:r>
      <w:r w:rsidR="00080F6B" w:rsidRPr="00080F6B">
        <w:rPr>
          <w:rFonts w:ascii="Verdana" w:hAnsi="Verdana"/>
          <w:spacing w:val="-2"/>
          <w:sz w:val="20"/>
          <w:szCs w:val="20"/>
        </w:rPr>
        <w:t xml:space="preserve">oref Huamaní y sus familiares. </w:t>
      </w:r>
    </w:p>
    <w:p w14:paraId="11D8EB4F" w14:textId="77777777" w:rsidR="00A959D6" w:rsidRDefault="00A959D6" w:rsidP="00AC31FB">
      <w:pPr>
        <w:jc w:val="both"/>
        <w:rPr>
          <w:rFonts w:ascii="Verdana" w:hAnsi="Verdana"/>
          <w:spacing w:val="-2"/>
          <w:sz w:val="20"/>
          <w:szCs w:val="20"/>
        </w:rPr>
      </w:pPr>
    </w:p>
    <w:p w14:paraId="49C7DF95" w14:textId="77777777" w:rsidR="00BC25CA" w:rsidRDefault="00A959D6" w:rsidP="00AC31FB">
      <w:pPr>
        <w:jc w:val="both"/>
        <w:rPr>
          <w:rFonts w:ascii="Verdana" w:hAnsi="Verdana" w:cs="Arial"/>
          <w:spacing w:val="-2"/>
          <w:sz w:val="20"/>
          <w:szCs w:val="20"/>
          <w:lang w:val="es-GT"/>
        </w:rPr>
      </w:pPr>
      <w:r>
        <w:rPr>
          <w:rFonts w:ascii="Verdana" w:hAnsi="Verdana" w:cs="Arial"/>
          <w:sz w:val="20"/>
          <w:szCs w:val="20"/>
          <w:lang w:val="es-PR" w:eastAsia="es-MX"/>
        </w:rPr>
        <w:t xml:space="preserve">En tercer lugar, la Corte estableció que existieron diversas obstaculizaciones de la </w:t>
      </w:r>
      <w:r w:rsidRPr="009705AA">
        <w:rPr>
          <w:rFonts w:ascii="Verdana" w:hAnsi="Verdana" w:cs="Arial"/>
          <w:sz w:val="20"/>
          <w:szCs w:val="20"/>
          <w:lang w:val="es-GT" w:eastAsia="es-MX"/>
        </w:rPr>
        <w:t>investigación</w:t>
      </w:r>
      <w:r>
        <w:rPr>
          <w:rFonts w:ascii="Verdana" w:hAnsi="Verdana" w:cs="Arial"/>
          <w:sz w:val="20"/>
          <w:szCs w:val="20"/>
          <w:lang w:val="es-PR" w:eastAsia="es-MX"/>
        </w:rPr>
        <w:t xml:space="preserve"> por parte de agentes del Estado, a saber: i) </w:t>
      </w:r>
      <w:r w:rsidRPr="002964A7">
        <w:rPr>
          <w:rFonts w:ascii="Verdana" w:hAnsi="Verdana"/>
          <w:spacing w:val="-2"/>
          <w:sz w:val="20"/>
          <w:szCs w:val="20"/>
          <w:lang w:val="es-GT"/>
        </w:rPr>
        <w:t xml:space="preserve">el </w:t>
      </w:r>
      <w:r>
        <w:rPr>
          <w:rFonts w:ascii="Verdana" w:hAnsi="Verdana"/>
          <w:spacing w:val="-2"/>
          <w:sz w:val="20"/>
          <w:szCs w:val="20"/>
          <w:lang w:val="es-GT"/>
        </w:rPr>
        <w:t>e</w:t>
      </w:r>
      <w:r w:rsidRPr="002964A7">
        <w:rPr>
          <w:rFonts w:ascii="Verdana" w:hAnsi="Verdana"/>
          <w:spacing w:val="-2"/>
          <w:sz w:val="20"/>
          <w:szCs w:val="20"/>
          <w:lang w:val="es-GT"/>
        </w:rPr>
        <w:t>jército</w:t>
      </w:r>
      <w:r>
        <w:rPr>
          <w:rFonts w:ascii="Verdana" w:hAnsi="Verdana"/>
          <w:spacing w:val="-2"/>
          <w:sz w:val="20"/>
          <w:szCs w:val="20"/>
          <w:lang w:val="es-GT"/>
        </w:rPr>
        <w:t xml:space="preserve"> </w:t>
      </w:r>
      <w:r w:rsidRPr="002964A7">
        <w:rPr>
          <w:rFonts w:ascii="Verdana" w:hAnsi="Verdana"/>
          <w:spacing w:val="-2"/>
          <w:sz w:val="20"/>
          <w:szCs w:val="20"/>
          <w:lang w:val="es-GT"/>
        </w:rPr>
        <w:t xml:space="preserve">negó la detención de </w:t>
      </w:r>
      <w:r>
        <w:rPr>
          <w:rFonts w:ascii="Verdana" w:hAnsi="Verdana" w:cs="Arial"/>
          <w:sz w:val="20"/>
          <w:szCs w:val="20"/>
          <w:lang w:val="es-GT"/>
        </w:rPr>
        <w:t>nueve de las víctimas</w:t>
      </w:r>
      <w:r w:rsidRPr="002964A7">
        <w:rPr>
          <w:rFonts w:ascii="Verdana" w:hAnsi="Verdana"/>
          <w:spacing w:val="-2"/>
          <w:sz w:val="20"/>
          <w:szCs w:val="20"/>
          <w:lang w:val="es-GT"/>
        </w:rPr>
        <w:t xml:space="preserve"> ante la solicitud de información por parte de la </w:t>
      </w:r>
      <w:r w:rsidRPr="002964A7">
        <w:rPr>
          <w:rFonts w:ascii="Verdana" w:hAnsi="Verdana" w:cs="Arial"/>
          <w:spacing w:val="-2"/>
          <w:sz w:val="20"/>
          <w:szCs w:val="20"/>
          <w:lang w:val="es-GT"/>
        </w:rPr>
        <w:t>Fiscal Provincial Especial de Prevención del Delito de Huancavelica</w:t>
      </w:r>
      <w:r>
        <w:rPr>
          <w:rFonts w:ascii="Verdana" w:hAnsi="Verdana" w:cs="Arial"/>
          <w:spacing w:val="-2"/>
          <w:sz w:val="20"/>
          <w:szCs w:val="20"/>
          <w:lang w:val="es-GT"/>
        </w:rPr>
        <w:t xml:space="preserve"> y negó que sus </w:t>
      </w:r>
      <w:r w:rsidRPr="00597FE9">
        <w:rPr>
          <w:rFonts w:ascii="Verdana" w:hAnsi="Verdana"/>
          <w:spacing w:val="-2"/>
          <w:sz w:val="20"/>
          <w:szCs w:val="20"/>
          <w:lang w:val="es-GT"/>
        </w:rPr>
        <w:t>bases militares realizaran operativos</w:t>
      </w:r>
      <w:r>
        <w:rPr>
          <w:rFonts w:ascii="Verdana" w:hAnsi="Verdana"/>
          <w:spacing w:val="-2"/>
          <w:sz w:val="20"/>
          <w:szCs w:val="20"/>
          <w:lang w:val="es-GT"/>
        </w:rPr>
        <w:t xml:space="preserve">; ii) </w:t>
      </w:r>
      <w:r w:rsidRPr="002964A7">
        <w:rPr>
          <w:rFonts w:ascii="Verdana" w:hAnsi="Verdana"/>
          <w:spacing w:val="-2"/>
          <w:sz w:val="20"/>
          <w:szCs w:val="20"/>
          <w:lang w:val="es-GT"/>
        </w:rPr>
        <w:t xml:space="preserve">en reiteradas oportunidades, agentes del Estado </w:t>
      </w:r>
      <w:r>
        <w:rPr>
          <w:rFonts w:ascii="Verdana" w:hAnsi="Verdana"/>
          <w:iCs/>
          <w:sz w:val="20"/>
          <w:szCs w:val="20"/>
          <w:lang w:eastAsia="es-CR"/>
        </w:rPr>
        <w:t>intervinieron y</w:t>
      </w:r>
      <w:r w:rsidRPr="00445E80">
        <w:rPr>
          <w:rFonts w:ascii="Verdana" w:hAnsi="Verdana"/>
          <w:sz w:val="20"/>
          <w:szCs w:val="20"/>
          <w:lang w:eastAsia="es-CR"/>
        </w:rPr>
        <w:t xml:space="preserve"> dinamita</w:t>
      </w:r>
      <w:r>
        <w:rPr>
          <w:rFonts w:ascii="Verdana" w:hAnsi="Verdana"/>
          <w:sz w:val="20"/>
          <w:szCs w:val="20"/>
          <w:lang w:eastAsia="es-CR"/>
        </w:rPr>
        <w:t>ron</w:t>
      </w:r>
      <w:r w:rsidRPr="00445E80">
        <w:rPr>
          <w:rFonts w:ascii="Verdana" w:hAnsi="Verdana"/>
          <w:sz w:val="20"/>
          <w:szCs w:val="20"/>
          <w:lang w:eastAsia="es-CR"/>
        </w:rPr>
        <w:t xml:space="preserve"> </w:t>
      </w:r>
      <w:r>
        <w:rPr>
          <w:rFonts w:ascii="Verdana" w:hAnsi="Verdana"/>
          <w:sz w:val="20"/>
          <w:szCs w:val="20"/>
          <w:lang w:eastAsia="es-CR"/>
        </w:rPr>
        <w:t>el sitio de</w:t>
      </w:r>
      <w:r w:rsidRPr="002964A7">
        <w:rPr>
          <w:rFonts w:ascii="Verdana" w:hAnsi="Verdana"/>
          <w:spacing w:val="-2"/>
          <w:sz w:val="20"/>
          <w:szCs w:val="20"/>
          <w:lang w:val="es-GT"/>
        </w:rPr>
        <w:t xml:space="preserve"> la mina “Misteriosa” o “Vallarón”</w:t>
      </w:r>
      <w:r>
        <w:rPr>
          <w:rFonts w:ascii="Verdana" w:hAnsi="Verdana"/>
          <w:spacing w:val="-2"/>
          <w:sz w:val="20"/>
          <w:szCs w:val="20"/>
          <w:lang w:val="es-GT"/>
        </w:rPr>
        <w:t>; iii)</w:t>
      </w:r>
      <w:r w:rsidRPr="00A959D6">
        <w:t xml:space="preserve"> </w:t>
      </w:r>
      <w:r w:rsidRPr="00A959D6">
        <w:rPr>
          <w:rFonts w:ascii="Verdana" w:hAnsi="Verdana"/>
          <w:spacing w:val="-2"/>
          <w:sz w:val="20"/>
          <w:szCs w:val="20"/>
          <w:lang w:val="es-GT"/>
        </w:rPr>
        <w:t>el 14 de julio de 1991 miembros del ejército  detuvieron en una casa abandonada, durante más de seis horas, alrededor de 18 comuneros que se dirigían al levantamiento de los cuerpos</w:t>
      </w:r>
      <w:r w:rsidR="00BC25CA">
        <w:rPr>
          <w:rFonts w:ascii="Verdana" w:hAnsi="Verdana"/>
          <w:spacing w:val="-2"/>
          <w:sz w:val="20"/>
          <w:szCs w:val="20"/>
          <w:lang w:val="es-GT"/>
        </w:rPr>
        <w:t xml:space="preserve">; iv) </w:t>
      </w:r>
      <w:r w:rsidR="00BC25CA" w:rsidRPr="002964A7">
        <w:rPr>
          <w:rFonts w:ascii="Verdana" w:hAnsi="Verdana"/>
          <w:bCs/>
          <w:spacing w:val="-2"/>
          <w:sz w:val="20"/>
          <w:szCs w:val="20"/>
          <w:lang w:val="es-GT"/>
        </w:rPr>
        <w:t xml:space="preserve">el fuero militar </w:t>
      </w:r>
      <w:r w:rsidR="00BC25CA" w:rsidRPr="002964A7">
        <w:rPr>
          <w:rFonts w:ascii="Verdana" w:hAnsi="Verdana"/>
          <w:spacing w:val="-2"/>
          <w:sz w:val="20"/>
          <w:szCs w:val="20"/>
          <w:lang w:val="es-GT"/>
        </w:rPr>
        <w:t xml:space="preserve">trató de encubrir las </w:t>
      </w:r>
      <w:r w:rsidR="00BC25CA" w:rsidRPr="002964A7">
        <w:rPr>
          <w:rFonts w:ascii="Verdana" w:hAnsi="Verdana"/>
          <w:spacing w:val="-2"/>
          <w:sz w:val="20"/>
          <w:szCs w:val="20"/>
        </w:rPr>
        <w:t>edades</w:t>
      </w:r>
      <w:r w:rsidR="00BC25CA" w:rsidRPr="002964A7">
        <w:rPr>
          <w:rFonts w:ascii="Verdana" w:hAnsi="Verdana"/>
          <w:spacing w:val="-2"/>
          <w:sz w:val="20"/>
          <w:szCs w:val="20"/>
          <w:lang w:val="es-GT"/>
        </w:rPr>
        <w:t xml:space="preserve"> reales de las víctimas </w:t>
      </w:r>
      <w:r w:rsidR="00BC25CA">
        <w:rPr>
          <w:rFonts w:ascii="Verdana" w:hAnsi="Verdana"/>
          <w:spacing w:val="-2"/>
          <w:sz w:val="20"/>
          <w:szCs w:val="20"/>
          <w:lang w:val="es-GT"/>
        </w:rPr>
        <w:t xml:space="preserve">menores de edad; v) el fuero militar no era el competente para investigar violaciones de derechos humanos, y vi) </w:t>
      </w:r>
      <w:r w:rsidRPr="00080F6B" w:rsidDel="00A959D6">
        <w:rPr>
          <w:rFonts w:ascii="Verdana" w:hAnsi="Verdana"/>
          <w:spacing w:val="-2"/>
          <w:sz w:val="20"/>
          <w:szCs w:val="20"/>
        </w:rPr>
        <w:t xml:space="preserve"> </w:t>
      </w:r>
      <w:r w:rsidR="00634110">
        <w:rPr>
          <w:rFonts w:ascii="Verdana" w:hAnsi="Verdana" w:cs="Arial"/>
          <w:spacing w:val="-2"/>
          <w:sz w:val="20"/>
          <w:szCs w:val="20"/>
          <w:lang w:val="es-GT"/>
        </w:rPr>
        <w:t>la</w:t>
      </w:r>
      <w:r w:rsidR="00634110" w:rsidRPr="002964A7">
        <w:rPr>
          <w:rFonts w:ascii="Verdana" w:hAnsi="Verdana" w:cs="Arial"/>
          <w:spacing w:val="-2"/>
          <w:sz w:val="20"/>
          <w:szCs w:val="20"/>
          <w:lang w:val="es-GT"/>
        </w:rPr>
        <w:t xml:space="preserve"> aplicación de la Ley de Amnistía</w:t>
      </w:r>
      <w:r w:rsidR="00BC25CA">
        <w:rPr>
          <w:rFonts w:ascii="Verdana" w:hAnsi="Verdana" w:cs="Arial"/>
          <w:spacing w:val="-2"/>
          <w:sz w:val="20"/>
          <w:szCs w:val="20"/>
          <w:lang w:val="es-GT"/>
        </w:rPr>
        <w:t xml:space="preserve"> </w:t>
      </w:r>
      <w:r w:rsidR="00BC25CA" w:rsidRPr="00C94FC4">
        <w:rPr>
          <w:rFonts w:ascii="Verdana" w:hAnsi="Verdana" w:cs="Arial"/>
          <w:spacing w:val="-2"/>
          <w:sz w:val="20"/>
          <w:szCs w:val="20"/>
          <w:lang w:val="es-GT"/>
        </w:rPr>
        <w:t>N</w:t>
      </w:r>
      <w:r w:rsidR="00BC25CA">
        <w:rPr>
          <w:rFonts w:ascii="Verdana" w:hAnsi="Verdana" w:cs="Arial"/>
          <w:spacing w:val="-2"/>
          <w:sz w:val="20"/>
          <w:szCs w:val="20"/>
          <w:lang w:val="es-GT"/>
        </w:rPr>
        <w:t xml:space="preserve">o. </w:t>
      </w:r>
      <w:r w:rsidR="00BC25CA" w:rsidRPr="00C94FC4">
        <w:rPr>
          <w:rFonts w:ascii="Verdana" w:hAnsi="Verdana" w:cs="Arial"/>
          <w:spacing w:val="-2"/>
          <w:sz w:val="20"/>
          <w:szCs w:val="20"/>
          <w:lang w:val="es-GT"/>
        </w:rPr>
        <w:t>26.479</w:t>
      </w:r>
      <w:r w:rsidR="00634110" w:rsidRPr="002964A7">
        <w:rPr>
          <w:rFonts w:ascii="Verdana" w:hAnsi="Verdana" w:cs="Arial"/>
          <w:spacing w:val="-2"/>
          <w:sz w:val="20"/>
          <w:szCs w:val="20"/>
          <w:lang w:val="es-GT"/>
        </w:rPr>
        <w:t xml:space="preserve"> derivó </w:t>
      </w:r>
      <w:r w:rsidR="00634110" w:rsidRPr="002964A7">
        <w:rPr>
          <w:rFonts w:ascii="Verdana" w:hAnsi="Verdana"/>
          <w:spacing w:val="-2"/>
          <w:sz w:val="20"/>
          <w:szCs w:val="20"/>
          <w:lang w:val="es-GT"/>
        </w:rPr>
        <w:t>en</w:t>
      </w:r>
      <w:r w:rsidR="00634110" w:rsidRPr="002964A7">
        <w:rPr>
          <w:rFonts w:ascii="Verdana" w:hAnsi="Verdana" w:cs="Arial"/>
          <w:spacing w:val="-2"/>
          <w:sz w:val="20"/>
          <w:szCs w:val="20"/>
          <w:lang w:val="es-GT"/>
        </w:rPr>
        <w:t xml:space="preserve"> el archivo de la investigación en la jurisdicción </w:t>
      </w:r>
      <w:r w:rsidR="00634110" w:rsidRPr="00A20A01">
        <w:rPr>
          <w:rFonts w:ascii="Verdana" w:hAnsi="Verdana"/>
          <w:spacing w:val="-2"/>
          <w:sz w:val="20"/>
          <w:szCs w:val="20"/>
          <w:lang w:val="es-GT"/>
        </w:rPr>
        <w:t>ordinaria</w:t>
      </w:r>
      <w:r w:rsidR="00634110" w:rsidRPr="002964A7">
        <w:rPr>
          <w:rFonts w:ascii="Verdana" w:hAnsi="Verdana" w:cs="Arial"/>
          <w:spacing w:val="-2"/>
          <w:sz w:val="20"/>
          <w:szCs w:val="20"/>
          <w:lang w:val="es-GT"/>
        </w:rPr>
        <w:t xml:space="preserve"> por 10 años</w:t>
      </w:r>
      <w:r w:rsidR="00634110">
        <w:rPr>
          <w:rFonts w:ascii="Verdana" w:hAnsi="Verdana" w:cs="Arial"/>
          <w:spacing w:val="-2"/>
          <w:sz w:val="20"/>
          <w:szCs w:val="20"/>
          <w:lang w:val="es-GT"/>
        </w:rPr>
        <w:t xml:space="preserve">. </w:t>
      </w:r>
    </w:p>
    <w:p w14:paraId="13D94594" w14:textId="77777777" w:rsidR="00BC25CA" w:rsidRDefault="00BC25CA" w:rsidP="00AC31FB">
      <w:pPr>
        <w:jc w:val="both"/>
        <w:rPr>
          <w:rFonts w:ascii="Verdana" w:hAnsi="Verdana" w:cs="Arial"/>
          <w:spacing w:val="-2"/>
          <w:sz w:val="20"/>
          <w:szCs w:val="20"/>
          <w:lang w:val="es-GT"/>
        </w:rPr>
      </w:pPr>
    </w:p>
    <w:p w14:paraId="114EE834" w14:textId="77777777" w:rsidR="0074534A" w:rsidRDefault="00080F6B" w:rsidP="00AC31FB">
      <w:pPr>
        <w:jc w:val="both"/>
        <w:rPr>
          <w:rFonts w:ascii="Verdana" w:hAnsi="Verdana" w:cs="Arial"/>
          <w:spacing w:val="-2"/>
          <w:sz w:val="20"/>
          <w:szCs w:val="20"/>
          <w:lang w:val="es-GT"/>
        </w:rPr>
      </w:pPr>
      <w:r>
        <w:rPr>
          <w:rFonts w:ascii="Verdana" w:hAnsi="Verdana" w:cs="Arial"/>
          <w:sz w:val="20"/>
          <w:szCs w:val="20"/>
          <w:lang w:val="es-PR" w:eastAsia="es-MX"/>
        </w:rPr>
        <w:t xml:space="preserve">En cuarto lugar, la Corte estableció que </w:t>
      </w:r>
      <w:r w:rsidR="00AC31FB">
        <w:rPr>
          <w:rFonts w:ascii="Verdana" w:hAnsi="Verdana" w:cs="Arial"/>
          <w:sz w:val="20"/>
          <w:szCs w:val="20"/>
          <w:lang w:val="es-PR" w:eastAsia="es-MX"/>
        </w:rPr>
        <w:t>existió</w:t>
      </w:r>
      <w:r>
        <w:rPr>
          <w:rFonts w:ascii="Verdana" w:hAnsi="Verdana" w:cs="Arial"/>
          <w:sz w:val="20"/>
          <w:szCs w:val="20"/>
          <w:lang w:val="es-PR" w:eastAsia="es-MX"/>
        </w:rPr>
        <w:t xml:space="preserve"> falta de debida diligencia en los procesos </w:t>
      </w:r>
      <w:r w:rsidR="00AC31FB">
        <w:rPr>
          <w:rFonts w:ascii="Verdana" w:hAnsi="Verdana" w:cs="Arial"/>
          <w:sz w:val="20"/>
          <w:szCs w:val="20"/>
          <w:lang w:val="es-PR" w:eastAsia="es-MX"/>
        </w:rPr>
        <w:t>re</w:t>
      </w:r>
      <w:r>
        <w:rPr>
          <w:rFonts w:ascii="Verdana" w:hAnsi="Verdana" w:cs="Arial"/>
          <w:sz w:val="20"/>
          <w:szCs w:val="20"/>
          <w:lang w:val="es-PR" w:eastAsia="es-MX"/>
        </w:rPr>
        <w:t>abiertos luego de la</w:t>
      </w:r>
      <w:r w:rsidR="008A57D0">
        <w:rPr>
          <w:rFonts w:ascii="Verdana" w:hAnsi="Verdana" w:cs="Arial"/>
          <w:sz w:val="20"/>
          <w:szCs w:val="20"/>
          <w:lang w:val="es-PR" w:eastAsia="es-MX"/>
        </w:rPr>
        <w:t>s</w:t>
      </w:r>
      <w:r>
        <w:rPr>
          <w:rFonts w:ascii="Verdana" w:hAnsi="Verdana" w:cs="Arial"/>
          <w:sz w:val="20"/>
          <w:szCs w:val="20"/>
          <w:lang w:val="es-PR" w:eastAsia="es-MX"/>
        </w:rPr>
        <w:t xml:space="preserve"> </w:t>
      </w:r>
      <w:r w:rsidR="00F30968">
        <w:rPr>
          <w:rFonts w:ascii="Verdana" w:hAnsi="Verdana" w:cs="Arial"/>
          <w:sz w:val="20"/>
          <w:szCs w:val="20"/>
          <w:lang w:val="es-PR" w:eastAsia="es-MX"/>
        </w:rPr>
        <w:t>S</w:t>
      </w:r>
      <w:r>
        <w:rPr>
          <w:rFonts w:ascii="Verdana" w:hAnsi="Verdana" w:cs="Arial"/>
          <w:sz w:val="20"/>
          <w:szCs w:val="20"/>
          <w:lang w:val="es-PR" w:eastAsia="es-MX"/>
        </w:rPr>
        <w:t>entencia</w:t>
      </w:r>
      <w:r w:rsidR="008A57D0">
        <w:rPr>
          <w:rFonts w:ascii="Verdana" w:hAnsi="Verdana" w:cs="Arial"/>
          <w:sz w:val="20"/>
          <w:szCs w:val="20"/>
          <w:lang w:val="es-PR" w:eastAsia="es-MX"/>
        </w:rPr>
        <w:t>s del Tribunal</w:t>
      </w:r>
      <w:r>
        <w:rPr>
          <w:rFonts w:ascii="Verdana" w:hAnsi="Verdana" w:cs="Arial"/>
          <w:sz w:val="20"/>
          <w:szCs w:val="20"/>
          <w:lang w:val="es-PR" w:eastAsia="es-MX"/>
        </w:rPr>
        <w:t xml:space="preserve"> en el caso </w:t>
      </w:r>
      <w:r w:rsidRPr="00080F6B">
        <w:rPr>
          <w:rFonts w:ascii="Verdana" w:hAnsi="Verdana" w:cs="Arial"/>
          <w:i/>
          <w:sz w:val="20"/>
          <w:szCs w:val="20"/>
          <w:lang w:val="es-PR" w:eastAsia="es-MX"/>
        </w:rPr>
        <w:t>Barrios Altos</w:t>
      </w:r>
      <w:r>
        <w:rPr>
          <w:rFonts w:ascii="Verdana" w:hAnsi="Verdana" w:cs="Arial"/>
          <w:i/>
          <w:sz w:val="20"/>
          <w:szCs w:val="20"/>
          <w:lang w:val="es-PR" w:eastAsia="es-MX"/>
        </w:rPr>
        <w:t xml:space="preserve">, </w:t>
      </w:r>
      <w:r>
        <w:rPr>
          <w:rFonts w:ascii="Verdana" w:hAnsi="Verdana" w:cs="Arial"/>
          <w:sz w:val="20"/>
          <w:szCs w:val="20"/>
          <w:lang w:val="es-GT" w:eastAsia="es-MX"/>
        </w:rPr>
        <w:t xml:space="preserve">por los siguientes motivos: i) </w:t>
      </w:r>
      <w:r w:rsidRPr="002964A7">
        <w:rPr>
          <w:rFonts w:ascii="Verdana" w:hAnsi="Verdana"/>
          <w:spacing w:val="-2"/>
          <w:sz w:val="20"/>
          <w:szCs w:val="20"/>
          <w:lang w:val="es-GT" w:eastAsia="es-CR"/>
        </w:rPr>
        <w:t>las deficiencias en los trabajos de excavación, exhumación y análisis de restos óseos realizados en los años 2009 a 2011</w:t>
      </w:r>
      <w:r>
        <w:rPr>
          <w:rFonts w:ascii="Verdana" w:hAnsi="Verdana"/>
          <w:spacing w:val="-2"/>
          <w:sz w:val="20"/>
          <w:szCs w:val="20"/>
          <w:lang w:val="es-GT" w:eastAsia="es-CR"/>
        </w:rPr>
        <w:t xml:space="preserve">; ii) según informó el Perú, </w:t>
      </w:r>
      <w:r w:rsidRPr="002964A7">
        <w:rPr>
          <w:rFonts w:ascii="Verdana" w:hAnsi="Verdana" w:cs="Arial"/>
          <w:spacing w:val="-2"/>
          <w:sz w:val="20"/>
          <w:szCs w:val="20"/>
          <w:lang w:val="es-ES_tradnl"/>
        </w:rPr>
        <w:t xml:space="preserve">desde </w:t>
      </w:r>
      <w:r w:rsidRPr="00191E91">
        <w:rPr>
          <w:rFonts w:ascii="Verdana" w:hAnsi="Verdana" w:cs="Arial"/>
          <w:sz w:val="20"/>
          <w:szCs w:val="20"/>
          <w:lang w:val="es-PR" w:eastAsia="es-MX"/>
        </w:rPr>
        <w:t>diciembre</w:t>
      </w:r>
      <w:r w:rsidRPr="002964A7">
        <w:rPr>
          <w:rFonts w:ascii="Verdana" w:hAnsi="Verdana" w:cs="Arial"/>
          <w:spacing w:val="-2"/>
          <w:sz w:val="20"/>
          <w:szCs w:val="20"/>
          <w:lang w:val="es-ES_tradnl"/>
        </w:rPr>
        <w:t xml:space="preserve"> de 2006 sólo había efectuado ocho </w:t>
      </w:r>
      <w:r w:rsidRPr="002964A7">
        <w:rPr>
          <w:rFonts w:ascii="Verdana" w:hAnsi="Verdana"/>
          <w:spacing w:val="-2"/>
          <w:sz w:val="20"/>
          <w:szCs w:val="20"/>
          <w:lang w:val="es-GT"/>
        </w:rPr>
        <w:t>acciones concretas</w:t>
      </w:r>
      <w:r w:rsidRPr="002964A7">
        <w:rPr>
          <w:rFonts w:ascii="Verdana" w:hAnsi="Verdana" w:cs="Arial"/>
          <w:spacing w:val="-2"/>
          <w:sz w:val="20"/>
          <w:szCs w:val="20"/>
          <w:lang w:val="es-ES_tradnl"/>
        </w:rPr>
        <w:t xml:space="preserve"> con el propósito de capturar a </w:t>
      </w:r>
      <w:r>
        <w:rPr>
          <w:rFonts w:ascii="Verdana" w:hAnsi="Verdana" w:cs="Arial"/>
          <w:spacing w:val="-2"/>
          <w:sz w:val="20"/>
          <w:szCs w:val="20"/>
          <w:lang w:val="es-ES_tradnl"/>
        </w:rPr>
        <w:t>los reos ausentes</w:t>
      </w:r>
      <w:r w:rsidRPr="002964A7">
        <w:rPr>
          <w:rFonts w:ascii="Verdana" w:hAnsi="Verdana" w:cs="Arial"/>
          <w:spacing w:val="-2"/>
          <w:sz w:val="20"/>
          <w:szCs w:val="20"/>
          <w:lang w:val="es-ES_tradnl"/>
        </w:rPr>
        <w:t>, ninguna con posterioridad al mes de julio de 2013</w:t>
      </w:r>
      <w:r>
        <w:rPr>
          <w:rFonts w:ascii="Verdana" w:hAnsi="Verdana" w:cs="Arial"/>
          <w:spacing w:val="-2"/>
          <w:sz w:val="20"/>
          <w:szCs w:val="20"/>
          <w:lang w:val="es-ES_tradnl"/>
        </w:rPr>
        <w:t xml:space="preserve">; iii) </w:t>
      </w:r>
      <w:r w:rsidRPr="002964A7">
        <w:rPr>
          <w:rFonts w:ascii="Verdana" w:hAnsi="Verdana"/>
          <w:spacing w:val="-2"/>
          <w:sz w:val="20"/>
          <w:szCs w:val="20"/>
          <w:lang w:val="es-ES"/>
        </w:rPr>
        <w:t xml:space="preserve">en su sentencia de 9 de febrero de 2012, la Sala Penal Nacional de la Corte Superior de Justicia de Lima dispuso la remisión de copias certificadas de la </w:t>
      </w:r>
      <w:r w:rsidRPr="002964A7">
        <w:rPr>
          <w:rFonts w:ascii="Verdana" w:hAnsi="Verdana" w:cs="Arial"/>
          <w:spacing w:val="-2"/>
          <w:sz w:val="20"/>
          <w:szCs w:val="20"/>
          <w:lang w:val="es-GT"/>
        </w:rPr>
        <w:t xml:space="preserve">causa al Ministerio Público para que se investigue a </w:t>
      </w:r>
      <w:r>
        <w:rPr>
          <w:rFonts w:ascii="Verdana" w:hAnsi="Verdana" w:cs="Arial"/>
          <w:spacing w:val="-2"/>
          <w:sz w:val="20"/>
          <w:szCs w:val="20"/>
          <w:lang w:val="es-GT"/>
        </w:rPr>
        <w:t>varias personas, n</w:t>
      </w:r>
      <w:r w:rsidRPr="002964A7">
        <w:rPr>
          <w:rFonts w:ascii="Verdana" w:hAnsi="Verdana" w:cs="Arial"/>
          <w:spacing w:val="-2"/>
          <w:sz w:val="20"/>
          <w:szCs w:val="20"/>
          <w:lang w:val="es-GT"/>
        </w:rPr>
        <w:t xml:space="preserve">o obstante, la Corte no cuenta con información respecto de posibles investigaciones abiertas con posterioridad </w:t>
      </w:r>
      <w:r>
        <w:rPr>
          <w:rFonts w:ascii="Verdana" w:hAnsi="Verdana" w:cs="Arial"/>
          <w:spacing w:val="-2"/>
          <w:sz w:val="20"/>
          <w:szCs w:val="20"/>
          <w:lang w:val="es-GT"/>
        </w:rPr>
        <w:t xml:space="preserve">a ello; iv) </w:t>
      </w:r>
      <w:r w:rsidRPr="002964A7">
        <w:rPr>
          <w:rFonts w:ascii="Verdana" w:hAnsi="Verdana" w:cs="Arial"/>
          <w:spacing w:val="-2"/>
          <w:sz w:val="20"/>
          <w:szCs w:val="20"/>
          <w:lang w:val="es-GT"/>
        </w:rPr>
        <w:t xml:space="preserve">han transcurrido 24 años desde que </w:t>
      </w:r>
      <w:r w:rsidRPr="002964A7">
        <w:rPr>
          <w:rFonts w:ascii="Verdana" w:hAnsi="Verdana"/>
          <w:spacing w:val="-2"/>
          <w:sz w:val="20"/>
          <w:szCs w:val="20"/>
          <w:lang w:val="es-GT"/>
        </w:rPr>
        <w:t>ocurrieron</w:t>
      </w:r>
      <w:r w:rsidRPr="002964A7">
        <w:rPr>
          <w:rFonts w:ascii="Verdana" w:hAnsi="Verdana" w:cs="Arial"/>
          <w:spacing w:val="-2"/>
          <w:sz w:val="20"/>
          <w:szCs w:val="20"/>
          <w:lang w:val="es-GT"/>
        </w:rPr>
        <w:t xml:space="preserve"> los hechos, sin que todavía se haya esclarecido completamente lo </w:t>
      </w:r>
      <w:r w:rsidRPr="002964A7">
        <w:rPr>
          <w:rFonts w:ascii="Verdana" w:hAnsi="Verdana"/>
          <w:spacing w:val="-2"/>
          <w:sz w:val="20"/>
          <w:szCs w:val="20"/>
          <w:lang w:val="es-GT"/>
        </w:rPr>
        <w:t>ocurrido</w:t>
      </w:r>
      <w:r w:rsidRPr="002964A7">
        <w:rPr>
          <w:rFonts w:ascii="Verdana" w:hAnsi="Verdana" w:cs="Arial"/>
          <w:spacing w:val="-2"/>
          <w:sz w:val="20"/>
          <w:szCs w:val="20"/>
          <w:lang w:val="es-GT"/>
        </w:rPr>
        <w:t xml:space="preserve"> ni determinado fehacientemente el paradero de las personas desaparecidas, lo cual constituye una demora prolongada</w:t>
      </w:r>
      <w:r>
        <w:rPr>
          <w:rFonts w:ascii="Verdana" w:hAnsi="Verdana" w:cs="Arial"/>
          <w:spacing w:val="-2"/>
          <w:sz w:val="20"/>
          <w:szCs w:val="20"/>
          <w:lang w:val="es-GT"/>
        </w:rPr>
        <w:t>.</w:t>
      </w:r>
      <w:r w:rsidR="00AC31FB">
        <w:rPr>
          <w:rFonts w:ascii="Verdana" w:hAnsi="Verdana" w:cs="Arial"/>
          <w:spacing w:val="-2"/>
          <w:sz w:val="20"/>
          <w:szCs w:val="20"/>
          <w:lang w:val="es-GT"/>
        </w:rPr>
        <w:t xml:space="preserve"> </w:t>
      </w:r>
    </w:p>
    <w:p w14:paraId="1B2ED787" w14:textId="77777777" w:rsidR="0074534A" w:rsidRDefault="0074534A" w:rsidP="00AC31FB">
      <w:pPr>
        <w:jc w:val="both"/>
        <w:rPr>
          <w:rFonts w:ascii="Verdana" w:hAnsi="Verdana" w:cs="Arial"/>
          <w:spacing w:val="-2"/>
          <w:sz w:val="20"/>
          <w:szCs w:val="20"/>
          <w:lang w:val="es-GT"/>
        </w:rPr>
      </w:pPr>
    </w:p>
    <w:p w14:paraId="6F0F1834" w14:textId="77777777" w:rsidR="00080F6B" w:rsidRPr="00AC31FB" w:rsidRDefault="00AC31FB" w:rsidP="00AC31FB">
      <w:pPr>
        <w:jc w:val="both"/>
        <w:rPr>
          <w:rFonts w:ascii="Verdana" w:hAnsi="Verdana" w:cs="Arial"/>
          <w:spacing w:val="-2"/>
          <w:sz w:val="20"/>
          <w:szCs w:val="20"/>
          <w:lang w:val="es-GT"/>
        </w:rPr>
      </w:pPr>
      <w:r>
        <w:rPr>
          <w:rFonts w:ascii="Verdana" w:hAnsi="Verdana" w:cs="Arial"/>
          <w:spacing w:val="-2"/>
          <w:sz w:val="20"/>
          <w:szCs w:val="20"/>
          <w:lang w:val="es-PR"/>
        </w:rPr>
        <w:t>En quinto lugar, el Tribunal consideró que e</w:t>
      </w:r>
      <w:r w:rsidR="00080F6B">
        <w:rPr>
          <w:rFonts w:ascii="Verdana" w:hAnsi="Verdana" w:cs="Arial"/>
          <w:sz w:val="20"/>
          <w:szCs w:val="20"/>
          <w:lang w:val="es-PR" w:eastAsia="es-MX"/>
        </w:rPr>
        <w:t xml:space="preserve">l </w:t>
      </w:r>
      <w:r w:rsidR="004475B4">
        <w:rPr>
          <w:rFonts w:ascii="Verdana" w:hAnsi="Verdana" w:cs="Arial"/>
          <w:sz w:val="20"/>
          <w:szCs w:val="20"/>
          <w:lang w:val="es-PR" w:eastAsia="es-MX"/>
        </w:rPr>
        <w:t xml:space="preserve">Perú </w:t>
      </w:r>
      <w:r w:rsidR="00080F6B">
        <w:rPr>
          <w:rFonts w:ascii="Verdana" w:hAnsi="Verdana" w:cs="Arial"/>
          <w:sz w:val="20"/>
          <w:szCs w:val="20"/>
          <w:lang w:val="es-PR" w:eastAsia="es-MX"/>
        </w:rPr>
        <w:t xml:space="preserve">violó el derecho a </w:t>
      </w:r>
      <w:r>
        <w:rPr>
          <w:rFonts w:ascii="Verdana" w:hAnsi="Verdana" w:cs="Arial"/>
          <w:sz w:val="20"/>
          <w:szCs w:val="20"/>
          <w:lang w:val="es-PR" w:eastAsia="es-MX"/>
        </w:rPr>
        <w:t xml:space="preserve">conocer </w:t>
      </w:r>
      <w:r w:rsidR="00080F6B">
        <w:rPr>
          <w:rFonts w:ascii="Verdana" w:hAnsi="Verdana" w:cs="Arial"/>
          <w:sz w:val="20"/>
          <w:szCs w:val="20"/>
          <w:lang w:val="es-PR" w:eastAsia="es-MX"/>
        </w:rPr>
        <w:t>la verdad de los familiares de las víctimas desaparecidas</w:t>
      </w:r>
      <w:r w:rsidR="00080F6B">
        <w:rPr>
          <w:rFonts w:ascii="Verdana" w:hAnsi="Verdana"/>
          <w:spacing w:val="-2"/>
          <w:sz w:val="20"/>
          <w:szCs w:val="20"/>
          <w:lang w:val="es-PR"/>
        </w:rPr>
        <w:t>, debido a que: i)</w:t>
      </w:r>
      <w:r w:rsidR="00080F6B" w:rsidRPr="002E08D9">
        <w:rPr>
          <w:rFonts w:ascii="Verdana" w:hAnsi="Verdana"/>
          <w:spacing w:val="-2"/>
          <w:sz w:val="20"/>
          <w:szCs w:val="20"/>
          <w:lang w:val="es-PR"/>
        </w:rPr>
        <w:t xml:space="preserve"> aún no ha esclarecido todo lo ocurrido, ni ha establecido el paradero de las víctimas a través de una identificación efectiva de sus restos</w:t>
      </w:r>
      <w:r w:rsidR="00080F6B">
        <w:rPr>
          <w:rFonts w:ascii="Verdana" w:hAnsi="Verdana"/>
          <w:spacing w:val="-2"/>
          <w:sz w:val="20"/>
          <w:szCs w:val="20"/>
          <w:lang w:val="es-PR"/>
        </w:rPr>
        <w:t xml:space="preserve">; ii) </w:t>
      </w:r>
      <w:r w:rsidR="00080F6B" w:rsidRPr="002E08D9">
        <w:rPr>
          <w:rFonts w:ascii="Verdana" w:hAnsi="Verdana"/>
          <w:spacing w:val="-2"/>
          <w:sz w:val="20"/>
          <w:szCs w:val="20"/>
          <w:lang w:val="es-PR"/>
        </w:rPr>
        <w:t>agentes del Estado intentaron borrar las huellas del crimen</w:t>
      </w:r>
      <w:r w:rsidR="00080F6B">
        <w:rPr>
          <w:rFonts w:ascii="Verdana" w:hAnsi="Verdana"/>
          <w:spacing w:val="-2"/>
          <w:sz w:val="20"/>
          <w:szCs w:val="20"/>
          <w:lang w:val="es-PR"/>
        </w:rPr>
        <w:t>, y iii) l</w:t>
      </w:r>
      <w:r w:rsidR="00080F6B" w:rsidRPr="002E08D9">
        <w:rPr>
          <w:rFonts w:ascii="Verdana" w:hAnsi="Verdana"/>
          <w:spacing w:val="-2"/>
          <w:sz w:val="20"/>
          <w:szCs w:val="20"/>
          <w:lang w:val="es-PR"/>
        </w:rPr>
        <w:t xml:space="preserve">a incertidumbre sobre lo sucedido a sus seres queridos es una de las principales fuentes de sufrimientos psíquico y moral de los familiares de las </w:t>
      </w:r>
      <w:r w:rsidR="00080F6B" w:rsidRPr="00AC31FB">
        <w:rPr>
          <w:rFonts w:ascii="Verdana" w:hAnsi="Verdana"/>
          <w:spacing w:val="-2"/>
          <w:sz w:val="20"/>
          <w:szCs w:val="20"/>
          <w:lang w:val="es-PR"/>
        </w:rPr>
        <w:t>víctimas desaparecidas. En este caso, como en otros, dicha violación se enmarca en el derecho de acceso a la justicia.</w:t>
      </w:r>
    </w:p>
    <w:p w14:paraId="31206BA4" w14:textId="77777777" w:rsidR="00AC31FB" w:rsidRPr="00AC31FB" w:rsidRDefault="00AC31FB" w:rsidP="00AC31FB">
      <w:pPr>
        <w:jc w:val="both"/>
        <w:rPr>
          <w:rFonts w:ascii="Verdana" w:hAnsi="Verdana"/>
          <w:spacing w:val="-2"/>
          <w:sz w:val="20"/>
          <w:szCs w:val="20"/>
          <w:lang w:val="es-PR"/>
        </w:rPr>
      </w:pPr>
    </w:p>
    <w:p w14:paraId="43CE4A05" w14:textId="77777777" w:rsidR="004112D8" w:rsidRPr="00AC31FB" w:rsidRDefault="00AC31FB" w:rsidP="00AC31FB">
      <w:pPr>
        <w:pStyle w:val="Default"/>
        <w:ind w:left="0"/>
        <w:rPr>
          <w:rFonts w:cstheme="minorBidi"/>
          <w:spacing w:val="-2"/>
          <w:sz w:val="20"/>
          <w:szCs w:val="20"/>
          <w:lang w:val="es-PR"/>
        </w:rPr>
      </w:pPr>
      <w:r w:rsidRPr="00AC31FB">
        <w:rPr>
          <w:spacing w:val="-2"/>
          <w:sz w:val="20"/>
          <w:szCs w:val="20"/>
          <w:lang w:val="es-PR"/>
        </w:rPr>
        <w:t>Por todo lo anterior, la Corte consideró que e</w:t>
      </w:r>
      <w:r w:rsidRPr="00AC31FB">
        <w:rPr>
          <w:spacing w:val="-2"/>
          <w:sz w:val="20"/>
          <w:szCs w:val="20"/>
          <w:lang w:val="es-ES"/>
        </w:rPr>
        <w:t xml:space="preserve">l Estado </w:t>
      </w:r>
      <w:r w:rsidRPr="00AC31FB">
        <w:rPr>
          <w:rFonts w:cs="Times-Roman"/>
          <w:spacing w:val="-2"/>
          <w:sz w:val="20"/>
          <w:szCs w:val="20"/>
          <w:lang w:val="es-GT" w:bidi="en-US"/>
        </w:rPr>
        <w:t xml:space="preserve">violó, </w:t>
      </w:r>
      <w:r w:rsidRPr="00AC31FB">
        <w:rPr>
          <w:spacing w:val="-2"/>
          <w:sz w:val="20"/>
          <w:szCs w:val="20"/>
          <w:lang w:val="es-GT"/>
        </w:rPr>
        <w:t xml:space="preserve">en perjuicio de las víctimas </w:t>
      </w:r>
      <w:r w:rsidRPr="00AC31FB">
        <w:rPr>
          <w:spacing w:val="-2"/>
          <w:sz w:val="20"/>
          <w:szCs w:val="20"/>
          <w:lang w:val="es-PR"/>
        </w:rPr>
        <w:t>desaparecidas</w:t>
      </w:r>
      <w:r w:rsidRPr="00AC31FB">
        <w:rPr>
          <w:spacing w:val="-2"/>
          <w:sz w:val="20"/>
          <w:szCs w:val="20"/>
          <w:lang w:val="es-GT"/>
        </w:rPr>
        <w:t xml:space="preserve"> </w:t>
      </w:r>
      <w:r w:rsidRPr="00AC31FB">
        <w:rPr>
          <w:spacing w:val="-2"/>
          <w:sz w:val="20"/>
          <w:szCs w:val="20"/>
          <w:lang w:val="es-PR"/>
        </w:rPr>
        <w:t xml:space="preserve">forzosamente y sus familiares, </w:t>
      </w:r>
      <w:r w:rsidRPr="00AC31FB">
        <w:rPr>
          <w:rFonts w:cs="Times-Roman"/>
          <w:spacing w:val="-2"/>
          <w:sz w:val="20"/>
          <w:szCs w:val="20"/>
          <w:lang w:val="es-GT" w:bidi="en-US"/>
        </w:rPr>
        <w:t xml:space="preserve">los derechos a las garantías judiciales y a la protección judicial </w:t>
      </w:r>
      <w:r w:rsidRPr="00AC31FB">
        <w:rPr>
          <w:spacing w:val="-2"/>
          <w:sz w:val="20"/>
          <w:szCs w:val="20"/>
          <w:lang w:val="es-GT"/>
        </w:rPr>
        <w:t xml:space="preserve">consagrados en los artículos 8.1 y 25.1 de la Convención Americana, en relación con el artículo 1.1 de la misma, así como en relación con los artículos 1, 6 y 8 de la Convención Interamericana para Prevenir y Sancionar la Tortura, y con el artículo I.b de la </w:t>
      </w:r>
      <w:r w:rsidRPr="00AC31FB">
        <w:rPr>
          <w:spacing w:val="-2"/>
          <w:sz w:val="20"/>
          <w:szCs w:val="20"/>
          <w:lang w:val="es-GT"/>
        </w:rPr>
        <w:lastRenderedPageBreak/>
        <w:t>Convención Interamericana sobre Desaparición Forzada de Personas a partir</w:t>
      </w:r>
      <w:r w:rsidR="004475B4" w:rsidRPr="004475B4">
        <w:t xml:space="preserve"> </w:t>
      </w:r>
      <w:r w:rsidR="004475B4" w:rsidRPr="004475B4">
        <w:rPr>
          <w:spacing w:val="-2"/>
          <w:sz w:val="20"/>
          <w:szCs w:val="20"/>
          <w:lang w:val="es-GT"/>
        </w:rPr>
        <w:t>del 15 de marzo de 2002, fecha de su entrada en vigor para el Perú</w:t>
      </w:r>
      <w:r w:rsidRPr="00AC31FB">
        <w:rPr>
          <w:spacing w:val="-2"/>
          <w:sz w:val="20"/>
          <w:szCs w:val="20"/>
          <w:lang w:val="es-GT"/>
        </w:rPr>
        <w:t xml:space="preserve">. </w:t>
      </w:r>
    </w:p>
    <w:p w14:paraId="5BFA7AAE" w14:textId="77777777" w:rsidR="00FA2C0D" w:rsidRPr="00DC7C36" w:rsidRDefault="00FA2C0D" w:rsidP="00FA2C0D">
      <w:pPr>
        <w:rPr>
          <w:rFonts w:ascii="Verdana" w:eastAsia="Calibri" w:hAnsi="Verdana" w:cs="Tahoma"/>
          <w:b/>
          <w:sz w:val="20"/>
          <w:szCs w:val="20"/>
          <w:lang w:val="es-VE"/>
        </w:rPr>
      </w:pPr>
    </w:p>
    <w:p w14:paraId="33414F63" w14:textId="77777777" w:rsidR="00FA2C0D" w:rsidRPr="00FA2C0D" w:rsidRDefault="00FA2C0D" w:rsidP="00671063">
      <w:pPr>
        <w:pStyle w:val="Ttulo1"/>
        <w:numPr>
          <w:ilvl w:val="0"/>
          <w:numId w:val="10"/>
        </w:numPr>
        <w:spacing w:before="0" w:after="0"/>
        <w:ind w:left="0" w:firstLine="0"/>
        <w:jc w:val="both"/>
        <w:rPr>
          <w:szCs w:val="20"/>
        </w:rPr>
      </w:pPr>
      <w:bookmarkStart w:id="9" w:name="_Toc421864987"/>
      <w:bookmarkStart w:id="10" w:name="_Toc423102563"/>
      <w:bookmarkStart w:id="11" w:name="_Toc433387514"/>
      <w:r>
        <w:t>D</w:t>
      </w:r>
      <w:r w:rsidRPr="004C6DC2">
        <w:t>erecho a la integridad personal</w:t>
      </w:r>
      <w:bookmarkStart w:id="12" w:name="_Toc421864988"/>
      <w:bookmarkStart w:id="13" w:name="_Toc423102564"/>
      <w:bookmarkStart w:id="14" w:name="_Toc433387515"/>
      <w:bookmarkEnd w:id="9"/>
      <w:bookmarkEnd w:id="10"/>
      <w:bookmarkEnd w:id="11"/>
      <w:r>
        <w:t xml:space="preserve"> </w:t>
      </w:r>
      <w:r w:rsidRPr="004C6DC2">
        <w:t>de los familiares de las personas desaparecidas</w:t>
      </w:r>
      <w:bookmarkEnd w:id="12"/>
      <w:bookmarkEnd w:id="13"/>
      <w:bookmarkEnd w:id="14"/>
    </w:p>
    <w:p w14:paraId="6B8F4B33" w14:textId="77777777" w:rsidR="004112D8" w:rsidRDefault="004112D8" w:rsidP="002F4A9E">
      <w:pPr>
        <w:rPr>
          <w:rFonts w:ascii="Verdana" w:eastAsiaTheme="minorHAnsi" w:hAnsi="Verdana"/>
          <w:b/>
          <w:color w:val="000000"/>
          <w:sz w:val="20"/>
          <w:lang w:val="es-ES_tradnl"/>
        </w:rPr>
      </w:pPr>
    </w:p>
    <w:p w14:paraId="7344D33E" w14:textId="77777777" w:rsidR="00867567" w:rsidRPr="002F4A9E" w:rsidRDefault="00867567" w:rsidP="002F4A9E">
      <w:pPr>
        <w:jc w:val="both"/>
        <w:rPr>
          <w:rFonts w:ascii="Verdana" w:hAnsi="Verdana"/>
          <w:spacing w:val="-2"/>
          <w:sz w:val="20"/>
          <w:szCs w:val="20"/>
        </w:rPr>
      </w:pPr>
      <w:r>
        <w:rPr>
          <w:rFonts w:ascii="Verdana" w:hAnsi="Verdana"/>
          <w:spacing w:val="-2"/>
          <w:sz w:val="20"/>
          <w:szCs w:val="20"/>
        </w:rPr>
        <w:t xml:space="preserve">La Corte </w:t>
      </w:r>
      <w:r w:rsidR="00506DDA">
        <w:rPr>
          <w:rFonts w:ascii="Verdana" w:hAnsi="Verdana"/>
          <w:spacing w:val="-2"/>
          <w:sz w:val="20"/>
          <w:szCs w:val="20"/>
        </w:rPr>
        <w:t xml:space="preserve">aplicó la </w:t>
      </w:r>
      <w:r w:rsidR="00506DDA" w:rsidRPr="002964A7">
        <w:rPr>
          <w:rFonts w:ascii="Verdana" w:eastAsia="Calibri" w:hAnsi="Verdana"/>
          <w:spacing w:val="-2"/>
          <w:sz w:val="20"/>
          <w:szCs w:val="20"/>
        </w:rPr>
        <w:t xml:space="preserve">presunción </w:t>
      </w:r>
      <w:r w:rsidR="00506DDA" w:rsidRPr="002964A7">
        <w:rPr>
          <w:rFonts w:ascii="Verdana" w:eastAsia="Calibri" w:hAnsi="Verdana"/>
          <w:i/>
          <w:spacing w:val="-2"/>
          <w:sz w:val="20"/>
          <w:szCs w:val="20"/>
        </w:rPr>
        <w:t xml:space="preserve">juris tantum </w:t>
      </w:r>
      <w:r w:rsidR="00506DDA">
        <w:rPr>
          <w:rFonts w:ascii="Verdana" w:eastAsia="Calibri" w:hAnsi="Verdana"/>
          <w:spacing w:val="-2"/>
          <w:sz w:val="20"/>
          <w:szCs w:val="20"/>
        </w:rPr>
        <w:t>sobre el</w:t>
      </w:r>
      <w:r w:rsidR="00506DDA" w:rsidRPr="002964A7">
        <w:rPr>
          <w:rFonts w:ascii="Verdana" w:eastAsia="Calibri" w:hAnsi="Verdana"/>
          <w:spacing w:val="-2"/>
          <w:sz w:val="20"/>
          <w:szCs w:val="20"/>
        </w:rPr>
        <w:t xml:space="preserve"> daño a la integridad psíquica y moral de los familiares en casos de desapariciones forzadas</w:t>
      </w:r>
      <w:r w:rsidR="00506DDA">
        <w:rPr>
          <w:rFonts w:ascii="Verdana" w:eastAsia="Calibri" w:hAnsi="Verdana"/>
          <w:spacing w:val="-2"/>
          <w:sz w:val="20"/>
          <w:szCs w:val="20"/>
        </w:rPr>
        <w:t xml:space="preserve">, y </w:t>
      </w:r>
      <w:r>
        <w:rPr>
          <w:rFonts w:ascii="Verdana" w:hAnsi="Verdana"/>
          <w:spacing w:val="-2"/>
          <w:sz w:val="20"/>
          <w:szCs w:val="20"/>
        </w:rPr>
        <w:t xml:space="preserve">concluyó que </w:t>
      </w:r>
      <w:r w:rsidRPr="00113154">
        <w:rPr>
          <w:rFonts w:ascii="Verdana" w:hAnsi="Verdana"/>
          <w:spacing w:val="-2"/>
          <w:sz w:val="20"/>
          <w:szCs w:val="20"/>
        </w:rPr>
        <w:t xml:space="preserve">el Estado violó el derecho a la integridad personal </w:t>
      </w:r>
      <w:r w:rsidRPr="00113154">
        <w:rPr>
          <w:rFonts w:ascii="Verdana" w:eastAsia="Calibri" w:hAnsi="Verdana"/>
          <w:spacing w:val="-2"/>
          <w:sz w:val="20"/>
          <w:szCs w:val="20"/>
        </w:rPr>
        <w:t>establecido</w:t>
      </w:r>
      <w:r w:rsidRPr="00113154">
        <w:rPr>
          <w:rFonts w:ascii="Verdana" w:hAnsi="Verdana"/>
          <w:spacing w:val="-2"/>
          <w:sz w:val="20"/>
          <w:szCs w:val="20"/>
        </w:rPr>
        <w:t xml:space="preserve"> en el artículo 5.1 de la Convención Americana, en relación con el artículo 1.1 del mismo instrumento, en </w:t>
      </w:r>
      <w:r w:rsidRPr="00961D9C">
        <w:rPr>
          <w:rFonts w:ascii="Verdana" w:hAnsi="Verdana"/>
          <w:spacing w:val="-2"/>
          <w:sz w:val="20"/>
          <w:szCs w:val="20"/>
        </w:rPr>
        <w:t>perjuicio de</w:t>
      </w:r>
      <w:r>
        <w:rPr>
          <w:rFonts w:ascii="Verdana" w:hAnsi="Verdana"/>
          <w:spacing w:val="-2"/>
          <w:sz w:val="20"/>
          <w:szCs w:val="20"/>
        </w:rPr>
        <w:t xml:space="preserve"> los familiares de las 15 víctimas </w:t>
      </w:r>
      <w:r w:rsidRPr="00113154">
        <w:rPr>
          <w:rFonts w:ascii="Verdana" w:eastAsia="Calibri" w:hAnsi="Verdana"/>
          <w:spacing w:val="-2"/>
          <w:sz w:val="20"/>
          <w:szCs w:val="20"/>
        </w:rPr>
        <w:t>de la desaparición forzada</w:t>
      </w:r>
      <w:r w:rsidR="00506DDA">
        <w:rPr>
          <w:rFonts w:ascii="Verdana" w:hAnsi="Verdana"/>
          <w:bCs/>
          <w:spacing w:val="-2"/>
          <w:sz w:val="20"/>
          <w:szCs w:val="20"/>
          <w:lang w:val="es-VE"/>
        </w:rPr>
        <w:t>.</w:t>
      </w:r>
    </w:p>
    <w:p w14:paraId="3268EB22" w14:textId="77777777" w:rsidR="00867567" w:rsidRPr="002F4A9E" w:rsidRDefault="00867567" w:rsidP="002F4A9E">
      <w:pPr>
        <w:rPr>
          <w:rFonts w:ascii="Verdana" w:eastAsiaTheme="minorHAnsi" w:hAnsi="Verdana" w:cs="Verdana"/>
          <w:b/>
          <w:color w:val="000000"/>
          <w:sz w:val="20"/>
          <w:szCs w:val="20"/>
          <w:lang w:val="es-VE"/>
        </w:rPr>
      </w:pPr>
    </w:p>
    <w:p w14:paraId="7E1149B2" w14:textId="77777777" w:rsidR="00886797" w:rsidRPr="00AC31FB" w:rsidRDefault="00886797" w:rsidP="00886797">
      <w:pPr>
        <w:pStyle w:val="Prrafodelista"/>
        <w:numPr>
          <w:ilvl w:val="0"/>
          <w:numId w:val="1"/>
        </w:numPr>
        <w:autoSpaceDE w:val="0"/>
        <w:autoSpaceDN w:val="0"/>
        <w:adjustRightInd w:val="0"/>
        <w:rPr>
          <w:rFonts w:ascii="Verdana" w:eastAsiaTheme="minorHAnsi" w:hAnsi="Verdana" w:cs="Verdana"/>
          <w:b/>
          <w:color w:val="000000"/>
          <w:sz w:val="20"/>
          <w:szCs w:val="20"/>
          <w:lang w:val="es-EC"/>
        </w:rPr>
      </w:pPr>
      <w:r w:rsidRPr="00AC31FB">
        <w:rPr>
          <w:rFonts w:ascii="Verdana" w:eastAsiaTheme="minorHAnsi" w:hAnsi="Verdana" w:cs="Verdana"/>
          <w:b/>
          <w:color w:val="000000"/>
          <w:sz w:val="20"/>
          <w:szCs w:val="20"/>
          <w:lang w:val="es-EC"/>
        </w:rPr>
        <w:t xml:space="preserve">Reparaciones </w:t>
      </w:r>
    </w:p>
    <w:p w14:paraId="78452367" w14:textId="77777777" w:rsidR="00886797" w:rsidRPr="00AC31FB" w:rsidRDefault="00886797" w:rsidP="007A4320">
      <w:pPr>
        <w:pStyle w:val="PrrafodeSentencia"/>
        <w:spacing w:before="0" w:after="0"/>
        <w:rPr>
          <w:lang w:val="es-EC"/>
        </w:rPr>
      </w:pPr>
    </w:p>
    <w:p w14:paraId="0F6C1C6F" w14:textId="77777777" w:rsidR="00AC31FB" w:rsidRPr="00AC31FB" w:rsidRDefault="003A46A5" w:rsidP="00AC31FB">
      <w:pPr>
        <w:pStyle w:val="Default"/>
        <w:ind w:left="0"/>
        <w:rPr>
          <w:rFonts w:eastAsia="Batang" w:cs="Times"/>
          <w:color w:val="000000" w:themeColor="text1"/>
          <w:spacing w:val="-2"/>
          <w:sz w:val="20"/>
          <w:szCs w:val="20"/>
          <w:lang w:val="es-CR"/>
        </w:rPr>
      </w:pPr>
      <w:r>
        <w:rPr>
          <w:sz w:val="20"/>
          <w:szCs w:val="20"/>
          <w:lang w:val="es-CR"/>
        </w:rPr>
        <w:t>L</w:t>
      </w:r>
      <w:r w:rsidR="00AC31FB" w:rsidRPr="00AC31FB">
        <w:rPr>
          <w:sz w:val="20"/>
          <w:szCs w:val="20"/>
          <w:lang w:val="es-CR"/>
        </w:rPr>
        <w:t>a Corte estableció que su Sentencia constituye per se una forma de reparación y, adicionalmente, ordenó al Estado</w:t>
      </w:r>
      <w:r w:rsidR="00C516A7">
        <w:rPr>
          <w:sz w:val="20"/>
          <w:szCs w:val="20"/>
          <w:lang w:val="es-CR"/>
        </w:rPr>
        <w:t>:</w:t>
      </w:r>
      <w:r w:rsidR="00AC31FB" w:rsidRPr="00AC31FB">
        <w:rPr>
          <w:sz w:val="20"/>
          <w:szCs w:val="20"/>
          <w:lang w:val="es-CR"/>
        </w:rPr>
        <w:t xml:space="preserve"> a) </w:t>
      </w:r>
      <w:r w:rsidR="00AC31FB" w:rsidRPr="00AC31FB">
        <w:rPr>
          <w:rFonts w:cs="Verdana-Italic"/>
          <w:spacing w:val="-2"/>
          <w:sz w:val="20"/>
          <w:szCs w:val="20"/>
          <w:lang w:val="es-CR" w:bidi="en-US"/>
        </w:rPr>
        <w:t xml:space="preserve">llevar a cabo las investigaciones </w:t>
      </w:r>
      <w:r w:rsidR="007D33BB" w:rsidRPr="009468AA">
        <w:rPr>
          <w:rFonts w:cs="Verdana-Italic"/>
          <w:spacing w:val="-2"/>
          <w:sz w:val="20"/>
          <w:szCs w:val="20"/>
          <w:lang w:val="es-CR" w:bidi="en-US"/>
        </w:rPr>
        <w:t xml:space="preserve">necesarias para determinar, juzgar y, en su caso, sancionar a los responsables de las </w:t>
      </w:r>
      <w:r w:rsidR="007D33BB" w:rsidRPr="009F4566">
        <w:rPr>
          <w:rFonts w:cs="Verdana-Italic"/>
          <w:spacing w:val="-2"/>
          <w:sz w:val="20"/>
          <w:szCs w:val="20"/>
          <w:lang w:val="es-CR" w:bidi="en-US"/>
        </w:rPr>
        <w:t>violaciones</w:t>
      </w:r>
      <w:r w:rsidR="007D33BB">
        <w:rPr>
          <w:rFonts w:cs="Verdana-Italic"/>
          <w:spacing w:val="-2"/>
          <w:sz w:val="20"/>
          <w:szCs w:val="20"/>
          <w:lang w:val="es-CR" w:bidi="en-US"/>
        </w:rPr>
        <w:t xml:space="preserve"> </w:t>
      </w:r>
      <w:r w:rsidR="007D33BB" w:rsidRPr="009468AA">
        <w:rPr>
          <w:rFonts w:cs="Verdana-Italic"/>
          <w:spacing w:val="-2"/>
          <w:sz w:val="20"/>
          <w:szCs w:val="20"/>
          <w:lang w:val="es-CR" w:bidi="en-US"/>
        </w:rPr>
        <w:t xml:space="preserve">declaradas en </w:t>
      </w:r>
      <w:r w:rsidR="007D33BB">
        <w:rPr>
          <w:rFonts w:cs="Verdana-Italic"/>
          <w:spacing w:val="-2"/>
          <w:sz w:val="20"/>
          <w:szCs w:val="20"/>
          <w:lang w:val="es-CR" w:bidi="en-US"/>
        </w:rPr>
        <w:t>la</w:t>
      </w:r>
      <w:r w:rsidR="007D33BB" w:rsidRPr="009468AA">
        <w:rPr>
          <w:rFonts w:cs="Verdana-Italic"/>
          <w:spacing w:val="-2"/>
          <w:sz w:val="20"/>
          <w:szCs w:val="20"/>
          <w:lang w:val="es-CR" w:bidi="en-US"/>
        </w:rPr>
        <w:t xml:space="preserve"> Sentencia</w:t>
      </w:r>
      <w:r w:rsidR="00AC31FB" w:rsidRPr="00AC31FB">
        <w:rPr>
          <w:rFonts w:cs="Verdana-Italic"/>
          <w:spacing w:val="-2"/>
          <w:sz w:val="20"/>
          <w:szCs w:val="20"/>
          <w:lang w:val="es-CR" w:bidi="en-US"/>
        </w:rPr>
        <w:t xml:space="preserve">; b) </w:t>
      </w:r>
      <w:r w:rsidR="00AC31FB" w:rsidRPr="00AC31FB">
        <w:rPr>
          <w:spacing w:val="-2"/>
          <w:sz w:val="20"/>
          <w:szCs w:val="20"/>
          <w:lang w:val="es-CR"/>
        </w:rPr>
        <w:t>iniciar</w:t>
      </w:r>
      <w:r w:rsidR="00C516A7">
        <w:rPr>
          <w:spacing w:val="-2"/>
          <w:sz w:val="20"/>
          <w:szCs w:val="20"/>
          <w:lang w:val="es-CR"/>
        </w:rPr>
        <w:t xml:space="preserve"> </w:t>
      </w:r>
      <w:r w:rsidR="007D33BB" w:rsidRPr="005220E6">
        <w:rPr>
          <w:rFonts w:cs="Cambria"/>
          <w:spacing w:val="-2"/>
          <w:sz w:val="20"/>
          <w:szCs w:val="20"/>
          <w:lang w:val="es-CR"/>
        </w:rPr>
        <w:t>las</w:t>
      </w:r>
      <w:r w:rsidR="007D33BB" w:rsidRPr="005220E6">
        <w:rPr>
          <w:spacing w:val="-2"/>
          <w:sz w:val="20"/>
          <w:szCs w:val="20"/>
          <w:lang w:val="es-CR"/>
        </w:rPr>
        <w:t xml:space="preserve"> acciones que resulten necesarias tanto</w:t>
      </w:r>
      <w:r w:rsidR="007D33BB" w:rsidRPr="005220E6">
        <w:rPr>
          <w:rFonts w:eastAsia="MS Mincho"/>
          <w:spacing w:val="-2"/>
          <w:sz w:val="20"/>
          <w:szCs w:val="20"/>
          <w:lang w:val="es-CR"/>
        </w:rPr>
        <w:t xml:space="preserve"> para la</w:t>
      </w:r>
      <w:r w:rsidR="007D33BB" w:rsidRPr="005220E6">
        <w:rPr>
          <w:spacing w:val="-2"/>
          <w:sz w:val="20"/>
          <w:szCs w:val="20"/>
          <w:lang w:val="es-CR"/>
        </w:rPr>
        <w:t xml:space="preserve"> exhumación como la identificación de los restos humanos localizados en la mina “Misteriosa”, o “Va</w:t>
      </w:r>
      <w:r w:rsidR="007D33BB">
        <w:rPr>
          <w:spacing w:val="-2"/>
          <w:sz w:val="20"/>
          <w:szCs w:val="20"/>
          <w:lang w:val="es-CR"/>
        </w:rPr>
        <w:t>ll</w:t>
      </w:r>
      <w:r w:rsidR="007D33BB" w:rsidRPr="005220E6">
        <w:rPr>
          <w:spacing w:val="-2"/>
          <w:sz w:val="20"/>
          <w:szCs w:val="20"/>
          <w:lang w:val="es-CR"/>
        </w:rPr>
        <w:t>a</w:t>
      </w:r>
      <w:r w:rsidR="007D33BB">
        <w:rPr>
          <w:spacing w:val="-2"/>
          <w:sz w:val="20"/>
          <w:szCs w:val="20"/>
          <w:lang w:val="es-CR"/>
        </w:rPr>
        <w:t>r</w:t>
      </w:r>
      <w:r w:rsidR="007D33BB" w:rsidRPr="005220E6">
        <w:rPr>
          <w:spacing w:val="-2"/>
          <w:sz w:val="20"/>
          <w:szCs w:val="20"/>
          <w:lang w:val="es-CR"/>
        </w:rPr>
        <w:t>ón”, sitio que deberá proteger para su preservación</w:t>
      </w:r>
      <w:r w:rsidR="00AC31FB" w:rsidRPr="00AC31FB">
        <w:rPr>
          <w:spacing w:val="-2"/>
          <w:sz w:val="20"/>
          <w:szCs w:val="20"/>
          <w:lang w:val="es-CR"/>
        </w:rPr>
        <w:t xml:space="preserve">; c) </w:t>
      </w:r>
      <w:r w:rsidR="00AC31FB" w:rsidRPr="00AC31FB">
        <w:rPr>
          <w:rFonts w:cs="Arial"/>
          <w:spacing w:val="-2"/>
          <w:sz w:val="20"/>
          <w:szCs w:val="20"/>
          <w:lang w:val="es-CR"/>
        </w:rPr>
        <w:t xml:space="preserve">entregar a los señores </w:t>
      </w:r>
      <w:r w:rsidR="00AC31FB" w:rsidRPr="00AC31FB">
        <w:rPr>
          <w:rFonts w:cs="Arial"/>
          <w:spacing w:val="-2"/>
          <w:sz w:val="20"/>
          <w:szCs w:val="20"/>
          <w:lang w:val="es-GT"/>
        </w:rPr>
        <w:t xml:space="preserve">Zenón Cirilo Osnayo Tunque y Marcelo Hilario Quispe </w:t>
      </w:r>
      <w:r w:rsidR="00AC31FB" w:rsidRPr="00AC31FB">
        <w:rPr>
          <w:rFonts w:cs="Arial"/>
          <w:spacing w:val="-2"/>
          <w:sz w:val="20"/>
          <w:szCs w:val="20"/>
          <w:lang w:val="es-CR"/>
        </w:rPr>
        <w:t xml:space="preserve">la cantidad de diez alpacas a cada uno, o su valor equivalente en el mercado. Además, </w:t>
      </w:r>
      <w:r w:rsidR="00AC31FB" w:rsidRPr="00AC31FB">
        <w:rPr>
          <w:rFonts w:cs="Arial"/>
          <w:spacing w:val="-2"/>
          <w:sz w:val="20"/>
          <w:szCs w:val="20"/>
          <w:lang w:val="es-GT"/>
        </w:rPr>
        <w:t xml:space="preserve">el Estado debe, a través de sus programas habitacionales existentes, proveer a cada uno de una vivienda adecuada; d) </w:t>
      </w:r>
      <w:r w:rsidR="00AC31FB" w:rsidRPr="00AC31FB">
        <w:rPr>
          <w:spacing w:val="-2"/>
          <w:sz w:val="20"/>
          <w:szCs w:val="20"/>
        </w:rPr>
        <w:t xml:space="preserve">brindar gratuitamente, a través de sus instituciones de salud especializadas, </w:t>
      </w:r>
      <w:r w:rsidR="007D33BB" w:rsidRPr="002964A7">
        <w:rPr>
          <w:spacing w:val="-2"/>
          <w:sz w:val="20"/>
          <w:szCs w:val="20"/>
        </w:rPr>
        <w:t>tratamiento médico y psicológico o psiquiátrico</w:t>
      </w:r>
      <w:r w:rsidR="007D33BB" w:rsidRPr="00231C45">
        <w:rPr>
          <w:spacing w:val="-2"/>
          <w:sz w:val="20"/>
          <w:szCs w:val="20"/>
          <w:lang w:val="es-CR"/>
        </w:rPr>
        <w:t xml:space="preserve"> a las víctimas que así lo soliciten</w:t>
      </w:r>
      <w:r w:rsidR="00C516A7">
        <w:rPr>
          <w:spacing w:val="-2"/>
          <w:sz w:val="20"/>
          <w:szCs w:val="20"/>
          <w:lang w:val="es-PR"/>
        </w:rPr>
        <w:t>; e) publicar la Sentencia y su resumen oficial,</w:t>
      </w:r>
      <w:r w:rsidR="00AC31FB" w:rsidRPr="00AC31FB">
        <w:rPr>
          <w:spacing w:val="-2"/>
          <w:sz w:val="20"/>
          <w:szCs w:val="20"/>
          <w:lang w:val="es-PR"/>
        </w:rPr>
        <w:t xml:space="preserve"> y </w:t>
      </w:r>
      <w:r w:rsidR="00C516A7">
        <w:rPr>
          <w:spacing w:val="-2"/>
          <w:sz w:val="20"/>
          <w:szCs w:val="20"/>
          <w:lang w:val="es-PR"/>
        </w:rPr>
        <w:t>f</w:t>
      </w:r>
      <w:r w:rsidR="00AC31FB" w:rsidRPr="00AC31FB">
        <w:rPr>
          <w:spacing w:val="-2"/>
          <w:sz w:val="20"/>
          <w:szCs w:val="20"/>
          <w:lang w:val="es-PR"/>
        </w:rPr>
        <w:t xml:space="preserve">) pagar las </w:t>
      </w:r>
      <w:r w:rsidR="007D33BB">
        <w:rPr>
          <w:spacing w:val="-2"/>
          <w:sz w:val="20"/>
          <w:szCs w:val="20"/>
          <w:lang w:val="es-PR"/>
        </w:rPr>
        <w:t>cantidades</w:t>
      </w:r>
      <w:r w:rsidR="007D33BB" w:rsidRPr="00AC31FB">
        <w:rPr>
          <w:spacing w:val="-2"/>
          <w:sz w:val="20"/>
          <w:szCs w:val="20"/>
          <w:lang w:val="es-PR"/>
        </w:rPr>
        <w:t xml:space="preserve"> </w:t>
      </w:r>
      <w:r w:rsidR="00AC31FB" w:rsidRPr="00AC31FB">
        <w:rPr>
          <w:spacing w:val="-2"/>
          <w:sz w:val="20"/>
          <w:szCs w:val="20"/>
          <w:lang w:val="es-PR"/>
        </w:rPr>
        <w:t xml:space="preserve">determinadas en la Sentencia. Asimismo, </w:t>
      </w:r>
      <w:r w:rsidR="00AC31FB" w:rsidRPr="00AC31FB">
        <w:rPr>
          <w:spacing w:val="-2"/>
          <w:sz w:val="20"/>
          <w:szCs w:val="20"/>
          <w:lang w:val="es-GT" w:eastAsia="es-ES"/>
        </w:rPr>
        <w:t>e</w:t>
      </w:r>
      <w:r w:rsidR="00AC31FB" w:rsidRPr="00AC31FB">
        <w:rPr>
          <w:color w:val="000000" w:themeColor="text1"/>
          <w:spacing w:val="-2"/>
          <w:sz w:val="20"/>
          <w:szCs w:val="20"/>
          <w:lang w:val="es-GT" w:eastAsia="es-CR"/>
        </w:rPr>
        <w:t>l Estado deberá reintegrar al Fondo de Asistencia Legal de Víctimas de la Corte Interamericana de Derechos Humanos la cantidad erogada durante la tramitación del caso.</w:t>
      </w:r>
      <w:r w:rsidR="00AC31FB" w:rsidRPr="00AC31FB">
        <w:rPr>
          <w:color w:val="000000" w:themeColor="text1"/>
          <w:spacing w:val="-2"/>
          <w:sz w:val="20"/>
          <w:szCs w:val="20"/>
          <w:lang w:val="es-ES" w:eastAsia="es-CR"/>
        </w:rPr>
        <w:t xml:space="preserve"> </w:t>
      </w:r>
    </w:p>
    <w:p w14:paraId="418B8519" w14:textId="77777777" w:rsidR="001962DD" w:rsidRPr="003A46A5" w:rsidRDefault="001962DD" w:rsidP="007A4320">
      <w:pPr>
        <w:pStyle w:val="PrrafodeSentencia"/>
        <w:spacing w:before="0" w:after="0"/>
        <w:rPr>
          <w:color w:val="000000" w:themeColor="text1"/>
          <w:spacing w:val="-2"/>
          <w:sz w:val="16"/>
          <w:lang w:val="es-CR" w:eastAsia="es-CR"/>
        </w:rPr>
      </w:pPr>
    </w:p>
    <w:p w14:paraId="207DE175" w14:textId="77777777" w:rsidR="00AC31FB" w:rsidRPr="00AC31FB" w:rsidRDefault="00AC31FB" w:rsidP="00AC31FB">
      <w:pPr>
        <w:jc w:val="center"/>
        <w:rPr>
          <w:rFonts w:ascii="Verdana" w:hAnsi="Verdana" w:cs="Verdana"/>
          <w:sz w:val="20"/>
          <w:szCs w:val="20"/>
        </w:rPr>
      </w:pPr>
      <w:r w:rsidRPr="00AC31FB">
        <w:rPr>
          <w:rFonts w:ascii="Verdana" w:hAnsi="Verdana" w:cs="Verdana"/>
          <w:sz w:val="20"/>
          <w:szCs w:val="20"/>
        </w:rPr>
        <w:t>-----</w:t>
      </w:r>
    </w:p>
    <w:p w14:paraId="183F0306" w14:textId="77777777" w:rsidR="00AC31FB" w:rsidRPr="003A46A5" w:rsidRDefault="00AC31FB" w:rsidP="00AC31FB">
      <w:pPr>
        <w:jc w:val="both"/>
        <w:rPr>
          <w:rFonts w:ascii="Verdana" w:hAnsi="Verdana" w:cs="Verdana"/>
          <w:sz w:val="16"/>
          <w:szCs w:val="20"/>
        </w:rPr>
      </w:pPr>
    </w:p>
    <w:p w14:paraId="4463B587" w14:textId="77777777" w:rsidR="00AC31FB" w:rsidRPr="00AC31FB" w:rsidRDefault="00AC31FB" w:rsidP="00AC31FB">
      <w:pPr>
        <w:jc w:val="both"/>
        <w:rPr>
          <w:rFonts w:ascii="Verdana" w:hAnsi="Verdana"/>
          <w:sz w:val="20"/>
          <w:szCs w:val="20"/>
        </w:rPr>
      </w:pPr>
      <w:r w:rsidRPr="00AC31FB">
        <w:rPr>
          <w:rFonts w:ascii="Verdana" w:hAnsi="Verdana" w:cs="Verdana"/>
          <w:sz w:val="20"/>
          <w:szCs w:val="20"/>
        </w:rPr>
        <w:t xml:space="preserve">La Corte Interamericana de Derechos Humanos supervisará el cumplimiento íntegro de la Sentencia, </w:t>
      </w:r>
      <w:r w:rsidRPr="00AC31FB">
        <w:rPr>
          <w:rFonts w:ascii="Verdana" w:hAnsi="Verdana"/>
          <w:sz w:val="20"/>
          <w:szCs w:val="20"/>
        </w:rPr>
        <w:t xml:space="preserve">en ejercicio de sus atribuciones y en cumplimiento de sus deberes conforme a la Convención Americana sobre Derechos Humanos, </w:t>
      </w:r>
      <w:r w:rsidRPr="00AC31FB">
        <w:rPr>
          <w:rFonts w:ascii="Verdana" w:hAnsi="Verdana" w:cs="Verdana"/>
          <w:sz w:val="20"/>
          <w:szCs w:val="20"/>
        </w:rPr>
        <w:t xml:space="preserve">y dará por concluido el caso una vez que el Estado haya dado cabal cumplimiento a lo dispuesto en la Sentencia. </w:t>
      </w:r>
    </w:p>
    <w:p w14:paraId="4037C64C" w14:textId="77777777" w:rsidR="00AC31FB" w:rsidRPr="00AC31FB" w:rsidRDefault="00AC31FB" w:rsidP="00AC31FB">
      <w:pPr>
        <w:jc w:val="center"/>
        <w:outlineLvl w:val="0"/>
        <w:rPr>
          <w:rFonts w:ascii="Verdana" w:eastAsia="Helvetica" w:hAnsi="Verdana"/>
          <w:color w:val="000000"/>
          <w:sz w:val="20"/>
          <w:szCs w:val="20"/>
        </w:rPr>
      </w:pPr>
    </w:p>
    <w:p w14:paraId="36BF2BAD" w14:textId="77777777" w:rsidR="00AC31FB" w:rsidRPr="00AC31FB" w:rsidRDefault="00AC31FB" w:rsidP="00AC31FB">
      <w:pPr>
        <w:jc w:val="both"/>
        <w:rPr>
          <w:rFonts w:ascii="Verdana" w:hAnsi="Verdana"/>
          <w:sz w:val="20"/>
          <w:szCs w:val="20"/>
        </w:rPr>
      </w:pPr>
      <w:r w:rsidRPr="00AC31FB">
        <w:rPr>
          <w:rFonts w:ascii="Verdana" w:hAnsi="Verdana"/>
          <w:sz w:val="20"/>
          <w:szCs w:val="20"/>
        </w:rPr>
        <w:t xml:space="preserve">El texto íntegro de la Sentencia puede consultarse en el siguiente enlace: </w:t>
      </w:r>
      <w:hyperlink r:id="rId12" w:history="1">
        <w:r w:rsidRPr="00AC31FB">
          <w:rPr>
            <w:rStyle w:val="Hipervnculo"/>
            <w:rFonts w:ascii="Verdana" w:hAnsi="Verdana"/>
            <w:sz w:val="20"/>
            <w:szCs w:val="20"/>
          </w:rPr>
          <w:t>http://www.corteidh.or.cr/casos.cfm</w:t>
        </w:r>
      </w:hyperlink>
    </w:p>
    <w:p w14:paraId="5EFB4C0F" w14:textId="77777777" w:rsidR="007A4320" w:rsidRDefault="007A4320"/>
    <w:sectPr w:rsidR="007A4320" w:rsidSect="00940E9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3075" w14:textId="77777777" w:rsidR="00BD70BA" w:rsidRDefault="00BD70BA" w:rsidP="007A4320">
      <w:r>
        <w:separator/>
      </w:r>
    </w:p>
  </w:endnote>
  <w:endnote w:type="continuationSeparator" w:id="0">
    <w:p w14:paraId="34159F72" w14:textId="77777777" w:rsidR="00BD70BA" w:rsidRDefault="00BD70BA" w:rsidP="007A4320">
      <w:r>
        <w:continuationSeparator/>
      </w:r>
    </w:p>
  </w:endnote>
  <w:endnote w:type="continuationNotice" w:id="1">
    <w:p w14:paraId="607D13ED" w14:textId="77777777" w:rsidR="00BD70BA" w:rsidRDefault="00BD7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roman"/>
    <w:notTrueType/>
    <w:pitch w:val="default"/>
    <w:sig w:usb0="03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B6AD" w14:textId="77777777" w:rsidR="00BD70BA" w:rsidRDefault="00BD70BA" w:rsidP="007A4320">
      <w:r>
        <w:separator/>
      </w:r>
    </w:p>
  </w:footnote>
  <w:footnote w:type="continuationSeparator" w:id="0">
    <w:p w14:paraId="009871A0" w14:textId="77777777" w:rsidR="00BD70BA" w:rsidRDefault="00BD70BA" w:rsidP="007A4320">
      <w:r>
        <w:continuationSeparator/>
      </w:r>
    </w:p>
  </w:footnote>
  <w:footnote w:type="continuationNotice" w:id="1">
    <w:p w14:paraId="3D3F40BA" w14:textId="77777777" w:rsidR="00BD70BA" w:rsidRDefault="00BD70BA"/>
  </w:footnote>
  <w:footnote w:id="2">
    <w:p w14:paraId="28241F79" w14:textId="77777777" w:rsidR="00103AC1" w:rsidRPr="00232B07" w:rsidRDefault="00103AC1" w:rsidP="007A4320">
      <w:pPr>
        <w:pStyle w:val="Default"/>
        <w:ind w:left="0"/>
        <w:rPr>
          <w:sz w:val="16"/>
          <w:szCs w:val="16"/>
          <w:lang w:val="es-ES"/>
        </w:rPr>
      </w:pPr>
      <w:r w:rsidRPr="00D13033">
        <w:rPr>
          <w:rStyle w:val="Refdenotaalpie"/>
          <w:color w:val="auto"/>
          <w:sz w:val="16"/>
          <w:szCs w:val="20"/>
        </w:rPr>
        <w:sym w:font="Symbol" w:char="F02A"/>
      </w:r>
      <w:r w:rsidRPr="00D7244C">
        <w:rPr>
          <w:lang w:val="es-ES"/>
        </w:rPr>
        <w:t xml:space="preserve"> </w:t>
      </w:r>
      <w:r>
        <w:rPr>
          <w:lang w:val="es-ES"/>
        </w:rPr>
        <w:tab/>
      </w:r>
      <w:r w:rsidRPr="00D7244C">
        <w:rPr>
          <w:sz w:val="16"/>
          <w:szCs w:val="16"/>
          <w:lang w:val="es-ES"/>
        </w:rPr>
        <w:t xml:space="preserve">Integrada por </w:t>
      </w:r>
      <w:r w:rsidRPr="00232B07">
        <w:rPr>
          <w:sz w:val="16"/>
          <w:szCs w:val="16"/>
          <w:lang w:val="es-ES"/>
        </w:rPr>
        <w:t>los siguientes jueces: Humberto Antonio Sierra Porto, Presidente;</w:t>
      </w:r>
      <w:r w:rsidRPr="00993972">
        <w:rPr>
          <w:sz w:val="16"/>
          <w:szCs w:val="16"/>
          <w:lang w:val="es-ES"/>
        </w:rPr>
        <w:t xml:space="preserve"> </w:t>
      </w:r>
      <w:r w:rsidRPr="00232B07">
        <w:rPr>
          <w:sz w:val="16"/>
          <w:szCs w:val="16"/>
          <w:lang w:val="es-ES"/>
        </w:rPr>
        <w:t xml:space="preserve">Roberto </w:t>
      </w:r>
      <w:r>
        <w:rPr>
          <w:sz w:val="16"/>
          <w:szCs w:val="16"/>
          <w:lang w:val="es-ES"/>
        </w:rPr>
        <w:t>F.</w:t>
      </w:r>
      <w:r w:rsidRPr="00232B07">
        <w:rPr>
          <w:sz w:val="16"/>
          <w:szCs w:val="16"/>
          <w:lang w:val="es-ES"/>
        </w:rPr>
        <w:t xml:space="preserve"> Caldas, Vicepresidente; Manuel E. Ventura Robles, Juez;</w:t>
      </w:r>
      <w:r w:rsidR="00F238FF">
        <w:rPr>
          <w:sz w:val="16"/>
          <w:szCs w:val="16"/>
          <w:lang w:val="es-ES"/>
        </w:rPr>
        <w:t xml:space="preserve"> Alberto Pérez Pérez, Juez;</w:t>
      </w:r>
      <w:r w:rsidRPr="00232B07">
        <w:rPr>
          <w:sz w:val="16"/>
          <w:szCs w:val="16"/>
          <w:lang w:val="es-ES"/>
        </w:rPr>
        <w:t xml:space="preserve"> Eduardo Vio Grossi, Juez</w:t>
      </w:r>
      <w:r>
        <w:rPr>
          <w:sz w:val="16"/>
          <w:szCs w:val="16"/>
          <w:lang w:val="es-ES"/>
        </w:rPr>
        <w:t>,</w:t>
      </w:r>
      <w:r w:rsidRPr="00232B07">
        <w:rPr>
          <w:sz w:val="16"/>
          <w:szCs w:val="16"/>
          <w:lang w:val="es-ES"/>
        </w:rPr>
        <w:t xml:space="preserve"> y Eduardo Ferrer Mac-Gregor Poisot, Juez. Presentes, además, el Secretario del Tribunal Pablo Saavedra Alessandri y la Secretaria Adjunta Emilia Segares Rodríguez.</w:t>
      </w:r>
      <w:r w:rsidRPr="007A4320">
        <w:rPr>
          <w:rFonts w:cs="Microsoft Sans Serif"/>
          <w:spacing w:val="-4"/>
          <w:sz w:val="16"/>
          <w:szCs w:val="16"/>
          <w:lang w:val="es-PR"/>
        </w:rPr>
        <w:t xml:space="preserve"> </w:t>
      </w:r>
      <w:r w:rsidRPr="00CB2948">
        <w:rPr>
          <w:rFonts w:cs="Microsoft Sans Serif"/>
          <w:spacing w:val="-4"/>
          <w:sz w:val="16"/>
          <w:szCs w:val="16"/>
          <w:lang w:val="es-PR"/>
        </w:rPr>
        <w:t xml:space="preserve">De conformidad con el artículo 19.1 del Reglamento de la Corte Interamericana aplicable al presente caso, el Juez Diego García-Sayán, de nacionalidad peruana, no participó </w:t>
      </w:r>
      <w:r>
        <w:rPr>
          <w:rFonts w:cs="Microsoft Sans Serif"/>
          <w:spacing w:val="-4"/>
          <w:sz w:val="16"/>
          <w:szCs w:val="16"/>
          <w:lang w:val="es-PR"/>
        </w:rPr>
        <w:t>en</w:t>
      </w:r>
      <w:r w:rsidRPr="00CB2948">
        <w:rPr>
          <w:rFonts w:cs="Microsoft Sans Serif"/>
          <w:spacing w:val="-4"/>
          <w:sz w:val="16"/>
          <w:szCs w:val="16"/>
          <w:lang w:val="es-PR"/>
        </w:rPr>
        <w:t xml:space="preserve"> la deliberación de esta Sentencia</w:t>
      </w:r>
      <w:r>
        <w:rPr>
          <w:rFonts w:cs="Microsoft Sans Serif"/>
          <w:spacing w:val="-4"/>
          <w:sz w:val="16"/>
          <w:szCs w:val="16"/>
          <w:lang w:val="es-P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13875"/>
      <w:docPartObj>
        <w:docPartGallery w:val="Page Numbers (Top of Page)"/>
        <w:docPartUnique/>
      </w:docPartObj>
    </w:sdtPr>
    <w:sdtEndPr/>
    <w:sdtContent>
      <w:p w14:paraId="7077F519" w14:textId="77777777" w:rsidR="00940E96" w:rsidRDefault="00940E96">
        <w:pPr>
          <w:pStyle w:val="Encabezado"/>
          <w:jc w:val="center"/>
        </w:pPr>
        <w:r>
          <w:fldChar w:fldCharType="begin"/>
        </w:r>
        <w:r>
          <w:instrText>PAGE   \* MERGEFORMAT</w:instrText>
        </w:r>
        <w:r>
          <w:fldChar w:fldCharType="separate"/>
        </w:r>
        <w:r w:rsidR="00AD2E9A" w:rsidRPr="00AD2E9A">
          <w:rPr>
            <w:noProof/>
            <w:lang w:val="es-ES"/>
          </w:rPr>
          <w:t>7</w:t>
        </w:r>
        <w:r>
          <w:fldChar w:fldCharType="end"/>
        </w:r>
      </w:p>
    </w:sdtContent>
  </w:sdt>
  <w:p w14:paraId="4502AEC0" w14:textId="77777777" w:rsidR="00940E96" w:rsidRDefault="00940E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695"/>
    <w:multiLevelType w:val="hybridMultilevel"/>
    <w:tmpl w:val="B6A4350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71B4F"/>
    <w:multiLevelType w:val="hybridMultilevel"/>
    <w:tmpl w:val="5E3ED32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50828"/>
    <w:multiLevelType w:val="hybridMultilevel"/>
    <w:tmpl w:val="276E09AA"/>
    <w:lvl w:ilvl="0" w:tplc="3AE2558E">
      <w:start w:val="1"/>
      <w:numFmt w:val="upperLetter"/>
      <w:lvlText w:val="%1)"/>
      <w:lvlJc w:val="left"/>
      <w:pPr>
        <w:ind w:left="720" w:hanging="360"/>
      </w:pPr>
      <w:rPr>
        <w:rFonts w:hint="default"/>
      </w:rPr>
    </w:lvl>
    <w:lvl w:ilvl="1" w:tplc="220C70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767F3"/>
    <w:multiLevelType w:val="hybridMultilevel"/>
    <w:tmpl w:val="BA04CB36"/>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900" w:hanging="360"/>
      </w:pPr>
      <w:rPr>
        <w:rFonts w:ascii="Verdana" w:hAnsi="Verdana" w:cs="Times New Roman" w:hint="default"/>
        <w:b w:val="0"/>
        <w:i w:val="0"/>
        <w:caps w:val="0"/>
        <w:strike w:val="0"/>
        <w:dstrike w:val="0"/>
        <w:vanish w:val="0"/>
        <w:color w:val="auto"/>
        <w:sz w:val="20"/>
        <w:vertAlign w:val="baseline"/>
      </w:rPr>
    </w:lvl>
    <w:lvl w:ilvl="2" w:tplc="AC3E3A68">
      <w:start w:val="1"/>
      <w:numFmt w:val="lowerRoman"/>
      <w:lvlText w:val="%3."/>
      <w:lvlJc w:val="right"/>
      <w:pPr>
        <w:ind w:left="2160" w:hanging="180"/>
      </w:pPr>
      <w:rPr>
        <w:rFonts w:ascii="Verdana" w:eastAsia="Times New Roman" w:hAnsi="Verdana" w:cs="Times New Roman"/>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46C8F0C2">
      <w:start w:val="1"/>
      <w:numFmt w:val="upperLetter"/>
      <w:lvlText w:val="%7)"/>
      <w:lvlJc w:val="left"/>
      <w:pPr>
        <w:ind w:left="5040" w:hanging="360"/>
      </w:pPr>
      <w:rPr>
        <w:rFonts w:hint="default"/>
      </w:rPr>
    </w:lvl>
    <w:lvl w:ilvl="7" w:tplc="63D0A284">
      <w:start w:val="1"/>
      <w:numFmt w:val="upperLetter"/>
      <w:lvlText w:val="%8."/>
      <w:lvlJc w:val="left"/>
      <w:pPr>
        <w:ind w:left="5760" w:hanging="360"/>
      </w:pPr>
      <w:rPr>
        <w:rFonts w:hint="default"/>
        <w:b/>
      </w:rPr>
    </w:lvl>
    <w:lvl w:ilvl="8" w:tplc="140A001B" w:tentative="1">
      <w:start w:val="1"/>
      <w:numFmt w:val="lowerRoman"/>
      <w:lvlText w:val="%9."/>
      <w:lvlJc w:val="right"/>
      <w:pPr>
        <w:ind w:left="6480" w:hanging="180"/>
      </w:pPr>
    </w:lvl>
  </w:abstractNum>
  <w:abstractNum w:abstractNumId="4" w15:restartNumberingAfterBreak="0">
    <w:nsid w:val="3BF73BC6"/>
    <w:multiLevelType w:val="hybridMultilevel"/>
    <w:tmpl w:val="BDAE510A"/>
    <w:lvl w:ilvl="0" w:tplc="4CA4BA34">
      <w:start w:val="1"/>
      <w:numFmt w:val="upp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F75F6"/>
    <w:multiLevelType w:val="hybridMultilevel"/>
    <w:tmpl w:val="B2643B1A"/>
    <w:lvl w:ilvl="0" w:tplc="04090019">
      <w:start w:val="1"/>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C409A"/>
    <w:multiLevelType w:val="hybridMultilevel"/>
    <w:tmpl w:val="B20AC5CA"/>
    <w:lvl w:ilvl="0" w:tplc="DDF6C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562CA"/>
    <w:multiLevelType w:val="hybridMultilevel"/>
    <w:tmpl w:val="B2643B1A"/>
    <w:lvl w:ilvl="0" w:tplc="04090019">
      <w:start w:val="1"/>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045B0"/>
    <w:multiLevelType w:val="hybridMultilevel"/>
    <w:tmpl w:val="63542876"/>
    <w:lvl w:ilvl="0" w:tplc="C24EBA3C">
      <w:start w:val="1"/>
      <w:numFmt w:val="decimal"/>
      <w:lvlText w:val="%1."/>
      <w:lvlJc w:val="left"/>
      <w:pPr>
        <w:ind w:left="720" w:hanging="360"/>
      </w:pPr>
      <w:rPr>
        <w:rFonts w:ascii="Verdana" w:hAnsi="Verdana" w:cs="Times New Roman" w:hint="default"/>
        <w:b w:val="0"/>
        <w:i w:val="0"/>
        <w:strike w:val="0"/>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AAA461F"/>
    <w:multiLevelType w:val="hybridMultilevel"/>
    <w:tmpl w:val="5526F148"/>
    <w:lvl w:ilvl="0" w:tplc="D6AE8EE4">
      <w:start w:val="1"/>
      <w:numFmt w:val="lowerRoman"/>
      <w:lvlText w:val="%1."/>
      <w:lvlJc w:val="left"/>
      <w:pPr>
        <w:ind w:left="1710" w:hanging="72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5"/>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20"/>
    <w:rsid w:val="0003502B"/>
    <w:rsid w:val="00055D41"/>
    <w:rsid w:val="00064A04"/>
    <w:rsid w:val="00070231"/>
    <w:rsid w:val="00071FD8"/>
    <w:rsid w:val="00080F6B"/>
    <w:rsid w:val="000C0A37"/>
    <w:rsid w:val="000C4756"/>
    <w:rsid w:val="000C6601"/>
    <w:rsid w:val="000E0A85"/>
    <w:rsid w:val="000E7D3B"/>
    <w:rsid w:val="00103AC1"/>
    <w:rsid w:val="00113145"/>
    <w:rsid w:val="0012318F"/>
    <w:rsid w:val="00125936"/>
    <w:rsid w:val="001277F8"/>
    <w:rsid w:val="001360CC"/>
    <w:rsid w:val="00152A56"/>
    <w:rsid w:val="00165468"/>
    <w:rsid w:val="001962DD"/>
    <w:rsid w:val="0019653E"/>
    <w:rsid w:val="001A5ABD"/>
    <w:rsid w:val="001A5B85"/>
    <w:rsid w:val="001B56C3"/>
    <w:rsid w:val="001B6135"/>
    <w:rsid w:val="001B740E"/>
    <w:rsid w:val="001C7EB1"/>
    <w:rsid w:val="001F1BDC"/>
    <w:rsid w:val="001F37B2"/>
    <w:rsid w:val="00200CD8"/>
    <w:rsid w:val="00210573"/>
    <w:rsid w:val="00226BAB"/>
    <w:rsid w:val="00251497"/>
    <w:rsid w:val="00252970"/>
    <w:rsid w:val="00264AA5"/>
    <w:rsid w:val="00271B2D"/>
    <w:rsid w:val="00274691"/>
    <w:rsid w:val="002A5827"/>
    <w:rsid w:val="002B4425"/>
    <w:rsid w:val="002C4DA1"/>
    <w:rsid w:val="002D2D71"/>
    <w:rsid w:val="002D36A9"/>
    <w:rsid w:val="002D7324"/>
    <w:rsid w:val="002F4A9E"/>
    <w:rsid w:val="00311789"/>
    <w:rsid w:val="00315782"/>
    <w:rsid w:val="00361E38"/>
    <w:rsid w:val="00370B37"/>
    <w:rsid w:val="00371717"/>
    <w:rsid w:val="00396C6C"/>
    <w:rsid w:val="00397285"/>
    <w:rsid w:val="003A46A5"/>
    <w:rsid w:val="003A6A32"/>
    <w:rsid w:val="003B5E16"/>
    <w:rsid w:val="003C236C"/>
    <w:rsid w:val="003E1B32"/>
    <w:rsid w:val="003E6D47"/>
    <w:rsid w:val="00401B06"/>
    <w:rsid w:val="004112D8"/>
    <w:rsid w:val="00440418"/>
    <w:rsid w:val="004475B4"/>
    <w:rsid w:val="00465E99"/>
    <w:rsid w:val="00467192"/>
    <w:rsid w:val="004722B4"/>
    <w:rsid w:val="004836D1"/>
    <w:rsid w:val="00493C89"/>
    <w:rsid w:val="004C3A03"/>
    <w:rsid w:val="004D1ECD"/>
    <w:rsid w:val="0050455D"/>
    <w:rsid w:val="00506DDA"/>
    <w:rsid w:val="00510E8D"/>
    <w:rsid w:val="005342AE"/>
    <w:rsid w:val="0055503C"/>
    <w:rsid w:val="0058247C"/>
    <w:rsid w:val="005A125C"/>
    <w:rsid w:val="005A2F72"/>
    <w:rsid w:val="005A59B4"/>
    <w:rsid w:val="005D48B5"/>
    <w:rsid w:val="005E7C96"/>
    <w:rsid w:val="005F6308"/>
    <w:rsid w:val="00605909"/>
    <w:rsid w:val="0061262C"/>
    <w:rsid w:val="00623235"/>
    <w:rsid w:val="006259BC"/>
    <w:rsid w:val="00634110"/>
    <w:rsid w:val="00654F17"/>
    <w:rsid w:val="00671063"/>
    <w:rsid w:val="00687A6D"/>
    <w:rsid w:val="00696602"/>
    <w:rsid w:val="006A3DFA"/>
    <w:rsid w:val="006B2816"/>
    <w:rsid w:val="006B529B"/>
    <w:rsid w:val="006B77A2"/>
    <w:rsid w:val="006C1920"/>
    <w:rsid w:val="006D5514"/>
    <w:rsid w:val="006E34CE"/>
    <w:rsid w:val="00705739"/>
    <w:rsid w:val="0070750E"/>
    <w:rsid w:val="00720CF2"/>
    <w:rsid w:val="00725BDE"/>
    <w:rsid w:val="0073621C"/>
    <w:rsid w:val="00742303"/>
    <w:rsid w:val="0074534A"/>
    <w:rsid w:val="00781C3A"/>
    <w:rsid w:val="007A4320"/>
    <w:rsid w:val="007A78C2"/>
    <w:rsid w:val="007C7F89"/>
    <w:rsid w:val="007D33BB"/>
    <w:rsid w:val="00806B6D"/>
    <w:rsid w:val="00830E50"/>
    <w:rsid w:val="00833C95"/>
    <w:rsid w:val="00840B67"/>
    <w:rsid w:val="00864ACD"/>
    <w:rsid w:val="00866A20"/>
    <w:rsid w:val="00867567"/>
    <w:rsid w:val="008746CD"/>
    <w:rsid w:val="0087783C"/>
    <w:rsid w:val="00886797"/>
    <w:rsid w:val="008946B9"/>
    <w:rsid w:val="008A57D0"/>
    <w:rsid w:val="008A6F04"/>
    <w:rsid w:val="008F05AE"/>
    <w:rsid w:val="00906DB5"/>
    <w:rsid w:val="009213DB"/>
    <w:rsid w:val="00925BE3"/>
    <w:rsid w:val="009266DD"/>
    <w:rsid w:val="0093285F"/>
    <w:rsid w:val="00940E96"/>
    <w:rsid w:val="00976045"/>
    <w:rsid w:val="009A0703"/>
    <w:rsid w:val="009A12F4"/>
    <w:rsid w:val="009C615D"/>
    <w:rsid w:val="009D2895"/>
    <w:rsid w:val="009E5091"/>
    <w:rsid w:val="009E7B5F"/>
    <w:rsid w:val="009F19F5"/>
    <w:rsid w:val="00A61E31"/>
    <w:rsid w:val="00A66CFA"/>
    <w:rsid w:val="00A71869"/>
    <w:rsid w:val="00A76C55"/>
    <w:rsid w:val="00A82185"/>
    <w:rsid w:val="00A85F73"/>
    <w:rsid w:val="00A9379A"/>
    <w:rsid w:val="00A959D6"/>
    <w:rsid w:val="00AA6043"/>
    <w:rsid w:val="00AC31FB"/>
    <w:rsid w:val="00AD2E9A"/>
    <w:rsid w:val="00AD424C"/>
    <w:rsid w:val="00AE1117"/>
    <w:rsid w:val="00AE2F02"/>
    <w:rsid w:val="00AF5D9A"/>
    <w:rsid w:val="00B12786"/>
    <w:rsid w:val="00B2192F"/>
    <w:rsid w:val="00B26CA8"/>
    <w:rsid w:val="00B30AC7"/>
    <w:rsid w:val="00B356EF"/>
    <w:rsid w:val="00B36809"/>
    <w:rsid w:val="00B610C0"/>
    <w:rsid w:val="00B62301"/>
    <w:rsid w:val="00B6651D"/>
    <w:rsid w:val="00B6775E"/>
    <w:rsid w:val="00B738CD"/>
    <w:rsid w:val="00B84A41"/>
    <w:rsid w:val="00B86CB2"/>
    <w:rsid w:val="00BA4651"/>
    <w:rsid w:val="00BA67C7"/>
    <w:rsid w:val="00BB0759"/>
    <w:rsid w:val="00BC25CA"/>
    <w:rsid w:val="00BD70BA"/>
    <w:rsid w:val="00BE1A56"/>
    <w:rsid w:val="00BF7BDB"/>
    <w:rsid w:val="00C1642E"/>
    <w:rsid w:val="00C31161"/>
    <w:rsid w:val="00C3693F"/>
    <w:rsid w:val="00C40A77"/>
    <w:rsid w:val="00C516A7"/>
    <w:rsid w:val="00C744ED"/>
    <w:rsid w:val="00C76BD3"/>
    <w:rsid w:val="00CC738F"/>
    <w:rsid w:val="00CE1794"/>
    <w:rsid w:val="00CF03DD"/>
    <w:rsid w:val="00CF6692"/>
    <w:rsid w:val="00D12BEE"/>
    <w:rsid w:val="00D3398D"/>
    <w:rsid w:val="00D36693"/>
    <w:rsid w:val="00D43377"/>
    <w:rsid w:val="00D52B7D"/>
    <w:rsid w:val="00D5503D"/>
    <w:rsid w:val="00D62B82"/>
    <w:rsid w:val="00D64251"/>
    <w:rsid w:val="00DB2E8A"/>
    <w:rsid w:val="00DC0442"/>
    <w:rsid w:val="00DC1D3E"/>
    <w:rsid w:val="00DC7C36"/>
    <w:rsid w:val="00DF0FB3"/>
    <w:rsid w:val="00E113E6"/>
    <w:rsid w:val="00E16E66"/>
    <w:rsid w:val="00E3090B"/>
    <w:rsid w:val="00E520D9"/>
    <w:rsid w:val="00E56386"/>
    <w:rsid w:val="00E62475"/>
    <w:rsid w:val="00E82F2E"/>
    <w:rsid w:val="00E921C1"/>
    <w:rsid w:val="00EA0563"/>
    <w:rsid w:val="00EB3B38"/>
    <w:rsid w:val="00EB493D"/>
    <w:rsid w:val="00ED0592"/>
    <w:rsid w:val="00ED1A31"/>
    <w:rsid w:val="00ED5C9A"/>
    <w:rsid w:val="00EE12A2"/>
    <w:rsid w:val="00EE7FFC"/>
    <w:rsid w:val="00F003C5"/>
    <w:rsid w:val="00F20463"/>
    <w:rsid w:val="00F21CCB"/>
    <w:rsid w:val="00F238FF"/>
    <w:rsid w:val="00F27B88"/>
    <w:rsid w:val="00F30968"/>
    <w:rsid w:val="00F32861"/>
    <w:rsid w:val="00F35840"/>
    <w:rsid w:val="00F412BC"/>
    <w:rsid w:val="00F44903"/>
    <w:rsid w:val="00F46906"/>
    <w:rsid w:val="00F57E49"/>
    <w:rsid w:val="00F7152E"/>
    <w:rsid w:val="00F9403A"/>
    <w:rsid w:val="00F945E7"/>
    <w:rsid w:val="00F960E1"/>
    <w:rsid w:val="00F977BE"/>
    <w:rsid w:val="00FA2C0D"/>
    <w:rsid w:val="00FA795D"/>
    <w:rsid w:val="00FB2CD2"/>
    <w:rsid w:val="00FB6DA0"/>
    <w:rsid w:val="00FC15B9"/>
    <w:rsid w:val="00FD33D3"/>
    <w:rsid w:val="00FD6661"/>
    <w:rsid w:val="00FF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AEBE22"/>
  <w15:docId w15:val="{A6308358-15C4-4588-9003-F6D645E6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20"/>
    <w:pPr>
      <w:spacing w:after="0" w:line="240" w:lineRule="auto"/>
    </w:pPr>
    <w:rPr>
      <w:rFonts w:ascii="Times New Roman" w:eastAsia="Times New Roman" w:hAnsi="Times New Roman" w:cs="Times New Roman"/>
      <w:sz w:val="24"/>
      <w:szCs w:val="24"/>
      <w:lang w:val="es-CR"/>
    </w:rPr>
  </w:style>
  <w:style w:type="paragraph" w:styleId="Ttulo1">
    <w:name w:val="heading 1"/>
    <w:basedOn w:val="Normal"/>
    <w:next w:val="Normal"/>
    <w:link w:val="Ttulo1Car"/>
    <w:uiPriority w:val="9"/>
    <w:qFormat/>
    <w:rsid w:val="004112D8"/>
    <w:pPr>
      <w:keepNext/>
      <w:spacing w:before="240" w:after="60"/>
      <w:jc w:val="center"/>
      <w:outlineLvl w:val="0"/>
    </w:pPr>
    <w:rPr>
      <w:rFonts w:ascii="Verdana" w:hAnsi="Verdana"/>
      <w:b/>
      <w:bCs/>
      <w:kern w:val="32"/>
      <w:sz w:val="20"/>
      <w:szCs w:val="32"/>
      <w:lang w:val="es-ES_tradnl"/>
    </w:rPr>
  </w:style>
  <w:style w:type="paragraph" w:styleId="Ttulo2">
    <w:name w:val="heading 2"/>
    <w:basedOn w:val="Normal"/>
    <w:next w:val="Normal"/>
    <w:link w:val="Ttulo2Car"/>
    <w:uiPriority w:val="9"/>
    <w:semiHidden/>
    <w:unhideWhenUsed/>
    <w:qFormat/>
    <w:rsid w:val="00F21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7A4320"/>
    <w:pPr>
      <w:spacing w:after="0" w:line="240" w:lineRule="auto"/>
      <w:outlineLvl w:val="0"/>
    </w:pPr>
    <w:rPr>
      <w:rFonts w:ascii="Helvetica" w:eastAsia="ヒラギノ角ゴ Pro W3" w:hAnsi="Helvetica" w:cs="Times New Roman"/>
      <w:color w:val="000000"/>
      <w:sz w:val="24"/>
      <w:szCs w:val="20"/>
      <w:lang w:eastAsia="es-MX"/>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qFormat/>
    <w:rsid w:val="007A4320"/>
    <w:rPr>
      <w:rFonts w:cs="Times New Roman"/>
      <w:vertAlign w:val="superscript"/>
    </w:rPr>
  </w:style>
  <w:style w:type="paragraph" w:customStyle="1" w:styleId="Default">
    <w:name w:val="Default"/>
    <w:rsid w:val="007A4320"/>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Ttulo">
    <w:name w:val="Title"/>
    <w:basedOn w:val="Normal"/>
    <w:link w:val="TtuloCar"/>
    <w:uiPriority w:val="99"/>
    <w:qFormat/>
    <w:rsid w:val="007A4320"/>
    <w:pPr>
      <w:jc w:val="center"/>
    </w:pPr>
    <w:rPr>
      <w:rFonts w:ascii="Verdana" w:hAnsi="Verdana"/>
      <w:b/>
      <w:sz w:val="20"/>
      <w:szCs w:val="20"/>
      <w:lang w:val="es-ES_tradnl"/>
    </w:rPr>
  </w:style>
  <w:style w:type="character" w:customStyle="1" w:styleId="TtuloCar">
    <w:name w:val="Título Car"/>
    <w:basedOn w:val="Fuentedeprrafopredeter"/>
    <w:link w:val="Ttulo"/>
    <w:uiPriority w:val="99"/>
    <w:rsid w:val="007A4320"/>
    <w:rPr>
      <w:rFonts w:ascii="Verdana" w:eastAsia="Times New Roman" w:hAnsi="Verdana" w:cs="Times New Roman"/>
      <w:b/>
      <w:sz w:val="20"/>
      <w:szCs w:val="20"/>
      <w:lang w:val="es-ES_tradnl"/>
    </w:rPr>
  </w:style>
  <w:style w:type="paragraph" w:customStyle="1" w:styleId="PrrafodeSentencia">
    <w:name w:val="*. Párrafo de Sentencia"/>
    <w:link w:val="PrrafodeSentenciaChar"/>
    <w:autoRedefine/>
    <w:qFormat/>
    <w:rsid w:val="007A4320"/>
    <w:pPr>
      <w:spacing w:before="120" w:after="120" w:line="240" w:lineRule="auto"/>
      <w:jc w:val="both"/>
    </w:pPr>
    <w:rPr>
      <w:rFonts w:ascii="Verdana" w:eastAsia="Batang" w:hAnsi="Verdana" w:cs="Times New Roman"/>
      <w:sz w:val="20"/>
      <w:szCs w:val="20"/>
      <w:lang w:val="es-CL" w:eastAsia="es-MX"/>
    </w:rPr>
  </w:style>
  <w:style w:type="character" w:customStyle="1" w:styleId="PrrafodeSentenciaChar">
    <w:name w:val="*. Párrafo de Sentencia Char"/>
    <w:link w:val="PrrafodeSentencia"/>
    <w:rsid w:val="007A4320"/>
    <w:rPr>
      <w:rFonts w:ascii="Verdana" w:eastAsia="Batang" w:hAnsi="Verdana" w:cs="Times New Roman"/>
      <w:sz w:val="20"/>
      <w:szCs w:val="20"/>
      <w:lang w:val="es-CL" w:eastAsia="es-MX"/>
    </w:rPr>
  </w:style>
  <w:style w:type="paragraph" w:styleId="Prrafodelista">
    <w:name w:val="List Paragraph"/>
    <w:aliases w:val="Párrafo de lista1,List Paragraph1,Colorful List - Accent 11,Footnote"/>
    <w:basedOn w:val="Normal"/>
    <w:link w:val="PrrafodelistaCar"/>
    <w:uiPriority w:val="99"/>
    <w:qFormat/>
    <w:rsid w:val="00886797"/>
    <w:pPr>
      <w:ind w:left="720"/>
      <w:contextualSpacing/>
    </w:pPr>
  </w:style>
  <w:style w:type="character" w:customStyle="1" w:styleId="PrrafodelistaCar">
    <w:name w:val="Párrafo de lista Car"/>
    <w:aliases w:val="Párrafo de lista1 Car,List Paragraph1 Car,Colorful List - Accent 11 Car,Footnote Car"/>
    <w:link w:val="Prrafodelista"/>
    <w:uiPriority w:val="99"/>
    <w:locked/>
    <w:rsid w:val="005E7C96"/>
    <w:rPr>
      <w:rFonts w:ascii="Times New Roman" w:eastAsia="Times New Roman" w:hAnsi="Times New Roman" w:cs="Times New Roman"/>
      <w:sz w:val="24"/>
      <w:szCs w:val="24"/>
      <w:lang w:val="es-CR"/>
    </w:rPr>
  </w:style>
  <w:style w:type="paragraph" w:customStyle="1" w:styleId="Footnotes">
    <w:name w:val="**. Footnotes"/>
    <w:basedOn w:val="Textonotapie"/>
    <w:link w:val="FootnotesChar"/>
    <w:autoRedefine/>
    <w:qFormat/>
    <w:rsid w:val="005E7C96"/>
    <w:pPr>
      <w:tabs>
        <w:tab w:val="left" w:pos="567"/>
      </w:tabs>
      <w:jc w:val="both"/>
    </w:pPr>
    <w:rPr>
      <w:rFonts w:ascii="Verdana" w:hAnsi="Verdana" w:cs="Palatino-Italic"/>
      <w:iCs/>
      <w:spacing w:val="-4"/>
      <w:sz w:val="16"/>
      <w:szCs w:val="16"/>
      <w:lang w:val="es-ES" w:bidi="en-US"/>
    </w:rPr>
  </w:style>
  <w:style w:type="character" w:customStyle="1" w:styleId="FootnotesChar">
    <w:name w:val="**. Footnotes Char"/>
    <w:basedOn w:val="Fuentedeprrafopredeter"/>
    <w:link w:val="Footnotes"/>
    <w:rsid w:val="005E7C96"/>
    <w:rPr>
      <w:rFonts w:ascii="Verdana" w:eastAsia="Times New Roman" w:hAnsi="Verdana" w:cs="Palatino-Italic"/>
      <w:iCs/>
      <w:spacing w:val="-4"/>
      <w:sz w:val="16"/>
      <w:szCs w:val="16"/>
      <w:lang w:val="es-ES" w:bidi="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TextonotapieCar"/>
    <w:unhideWhenUsed/>
    <w:qFormat/>
    <w:rsid w:val="005E7C9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rsid w:val="005E7C96"/>
    <w:rPr>
      <w:rFonts w:ascii="Times New Roman" w:eastAsia="Times New Roman" w:hAnsi="Times New Roman" w:cs="Times New Roman"/>
      <w:sz w:val="20"/>
      <w:szCs w:val="20"/>
      <w:lang w:val="es-CR"/>
    </w:rPr>
  </w:style>
  <w:style w:type="character" w:customStyle="1" w:styleId="apple-style-span">
    <w:name w:val="apple-style-span"/>
    <w:rsid w:val="009D2895"/>
    <w:rPr>
      <w:rFonts w:cs="Times New Roman"/>
    </w:rPr>
  </w:style>
  <w:style w:type="character" w:styleId="Refdecomentario">
    <w:name w:val="annotation reference"/>
    <w:basedOn w:val="Fuentedeprrafopredeter"/>
    <w:uiPriority w:val="99"/>
    <w:semiHidden/>
    <w:unhideWhenUsed/>
    <w:rsid w:val="00840B67"/>
    <w:rPr>
      <w:sz w:val="18"/>
      <w:szCs w:val="18"/>
    </w:rPr>
  </w:style>
  <w:style w:type="paragraph" w:styleId="Textocomentario">
    <w:name w:val="annotation text"/>
    <w:basedOn w:val="Normal"/>
    <w:link w:val="TextocomentarioCar"/>
    <w:uiPriority w:val="99"/>
    <w:semiHidden/>
    <w:unhideWhenUsed/>
    <w:rsid w:val="00840B67"/>
  </w:style>
  <w:style w:type="character" w:customStyle="1" w:styleId="TextocomentarioCar">
    <w:name w:val="Texto comentario Car"/>
    <w:basedOn w:val="Fuentedeprrafopredeter"/>
    <w:link w:val="Textocomentario"/>
    <w:uiPriority w:val="99"/>
    <w:semiHidden/>
    <w:rsid w:val="00840B67"/>
    <w:rPr>
      <w:rFonts w:ascii="Times New Roman" w:eastAsia="Times New Roman" w:hAnsi="Times New Roman" w:cs="Times New Roman"/>
      <w:sz w:val="24"/>
      <w:szCs w:val="24"/>
      <w:lang w:val="es-CR"/>
    </w:rPr>
  </w:style>
  <w:style w:type="paragraph" w:styleId="Asuntodelcomentario">
    <w:name w:val="annotation subject"/>
    <w:basedOn w:val="Textocomentario"/>
    <w:next w:val="Textocomentario"/>
    <w:link w:val="AsuntodelcomentarioCar"/>
    <w:uiPriority w:val="99"/>
    <w:semiHidden/>
    <w:unhideWhenUsed/>
    <w:rsid w:val="00840B67"/>
    <w:rPr>
      <w:b/>
      <w:bCs/>
      <w:sz w:val="20"/>
      <w:szCs w:val="20"/>
    </w:rPr>
  </w:style>
  <w:style w:type="character" w:customStyle="1" w:styleId="AsuntodelcomentarioCar">
    <w:name w:val="Asunto del comentario Car"/>
    <w:basedOn w:val="TextocomentarioCar"/>
    <w:link w:val="Asuntodelcomentario"/>
    <w:uiPriority w:val="99"/>
    <w:semiHidden/>
    <w:rsid w:val="00840B67"/>
    <w:rPr>
      <w:rFonts w:ascii="Times New Roman" w:eastAsia="Times New Roman" w:hAnsi="Times New Roman" w:cs="Times New Roman"/>
      <w:b/>
      <w:bCs/>
      <w:sz w:val="20"/>
      <w:szCs w:val="20"/>
      <w:lang w:val="es-CR"/>
    </w:rPr>
  </w:style>
  <w:style w:type="paragraph" w:styleId="Textodeglobo">
    <w:name w:val="Balloon Text"/>
    <w:basedOn w:val="Normal"/>
    <w:link w:val="TextodegloboCar"/>
    <w:uiPriority w:val="99"/>
    <w:semiHidden/>
    <w:unhideWhenUsed/>
    <w:rsid w:val="00840B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0B67"/>
    <w:rPr>
      <w:rFonts w:ascii="Lucida Grande" w:eastAsia="Times New Roman" w:hAnsi="Lucida Grande" w:cs="Lucida Grande"/>
      <w:sz w:val="18"/>
      <w:szCs w:val="18"/>
      <w:lang w:val="es-CR"/>
    </w:rPr>
  </w:style>
  <w:style w:type="character" w:customStyle="1" w:styleId="Ttulo1Car">
    <w:name w:val="Título 1 Car"/>
    <w:basedOn w:val="Fuentedeprrafopredeter"/>
    <w:link w:val="Ttulo1"/>
    <w:uiPriority w:val="9"/>
    <w:rsid w:val="004112D8"/>
    <w:rPr>
      <w:rFonts w:ascii="Verdana" w:eastAsia="Times New Roman" w:hAnsi="Verdana" w:cs="Times New Roman"/>
      <w:b/>
      <w:bCs/>
      <w:kern w:val="32"/>
      <w:sz w:val="20"/>
      <w:szCs w:val="32"/>
      <w:lang w:val="es-ES_tradnl"/>
    </w:rPr>
  </w:style>
  <w:style w:type="character" w:styleId="Hipervnculo">
    <w:name w:val="Hyperlink"/>
    <w:aliases w:val="Heading 3 caso"/>
    <w:uiPriority w:val="99"/>
    <w:unhideWhenUsed/>
    <w:rsid w:val="000E7D3B"/>
    <w:rPr>
      <w:color w:val="0000FF"/>
      <w:u w:val="single"/>
    </w:rPr>
  </w:style>
  <w:style w:type="paragraph" w:styleId="Sangradetextonormal">
    <w:name w:val="Body Text Indent"/>
    <w:basedOn w:val="Normal"/>
    <w:link w:val="SangradetextonormalCar"/>
    <w:uiPriority w:val="99"/>
    <w:rsid w:val="00DC7C36"/>
    <w:pPr>
      <w:spacing w:after="120"/>
      <w:ind w:left="360"/>
    </w:pPr>
    <w:rPr>
      <w:rFonts w:eastAsia="MS Mincho"/>
      <w:lang w:val="es-AR" w:eastAsia="es-MX"/>
    </w:rPr>
  </w:style>
  <w:style w:type="character" w:customStyle="1" w:styleId="SangradetextonormalCar">
    <w:name w:val="Sangría de texto normal Car"/>
    <w:basedOn w:val="Fuentedeprrafopredeter"/>
    <w:link w:val="Sangradetextonormal"/>
    <w:uiPriority w:val="99"/>
    <w:rsid w:val="00DC7C36"/>
    <w:rPr>
      <w:rFonts w:ascii="Times New Roman" w:eastAsia="MS Mincho" w:hAnsi="Times New Roman" w:cs="Times New Roman"/>
      <w:sz w:val="24"/>
      <w:szCs w:val="24"/>
      <w:lang w:val="es-AR" w:eastAsia="es-MX"/>
    </w:rPr>
  </w:style>
  <w:style w:type="paragraph" w:customStyle="1" w:styleId="Estilo3">
    <w:name w:val="Estilo3"/>
    <w:basedOn w:val="Prrafodelista"/>
    <w:rsid w:val="00AC31FB"/>
    <w:pPr>
      <w:numPr>
        <w:ilvl w:val="4"/>
        <w:numId w:val="6"/>
      </w:numPr>
      <w:spacing w:after="120" w:line="216" w:lineRule="auto"/>
      <w:ind w:right="17"/>
      <w:contextualSpacing w:val="0"/>
      <w:jc w:val="both"/>
    </w:pPr>
    <w:rPr>
      <w:rFonts w:ascii="Verdana" w:eastAsiaTheme="minorEastAsia" w:hAnsi="Verdana" w:cstheme="minorBidi"/>
      <w:spacing w:val="-2"/>
      <w:sz w:val="20"/>
      <w:szCs w:val="20"/>
    </w:rPr>
  </w:style>
  <w:style w:type="paragraph" w:customStyle="1" w:styleId="Estilo5">
    <w:name w:val="Estilo5"/>
    <w:basedOn w:val="Prrafodelista"/>
    <w:link w:val="Estilo5Car"/>
    <w:qFormat/>
    <w:rsid w:val="00AC31FB"/>
    <w:pPr>
      <w:numPr>
        <w:numId w:val="6"/>
      </w:numPr>
      <w:spacing w:after="120" w:line="216" w:lineRule="auto"/>
      <w:ind w:right="18"/>
      <w:contextualSpacing w:val="0"/>
      <w:jc w:val="both"/>
    </w:pPr>
    <w:rPr>
      <w:rFonts w:ascii="Verdana" w:eastAsiaTheme="minorEastAsia" w:hAnsi="Verdana" w:cstheme="minorBidi"/>
      <w:spacing w:val="-2"/>
      <w:sz w:val="20"/>
      <w:szCs w:val="20"/>
    </w:rPr>
  </w:style>
  <w:style w:type="character" w:customStyle="1" w:styleId="Estilo5Car">
    <w:name w:val="Estilo5 Car"/>
    <w:link w:val="Estilo5"/>
    <w:rsid w:val="00AC31FB"/>
    <w:rPr>
      <w:rFonts w:ascii="Verdana" w:eastAsiaTheme="minorEastAsia" w:hAnsi="Verdana"/>
      <w:spacing w:val="-2"/>
      <w:sz w:val="20"/>
      <w:szCs w:val="20"/>
      <w:lang w:val="es-CR"/>
    </w:rPr>
  </w:style>
  <w:style w:type="paragraph" w:customStyle="1" w:styleId="Estilo8">
    <w:name w:val="Estilo8"/>
    <w:basedOn w:val="Estilo3"/>
    <w:qFormat/>
    <w:rsid w:val="00AC31FB"/>
    <w:pPr>
      <w:numPr>
        <w:ilvl w:val="5"/>
      </w:numPr>
    </w:pPr>
    <w:rPr>
      <w:rFonts w:eastAsia="Calibri"/>
    </w:rPr>
  </w:style>
  <w:style w:type="paragraph" w:styleId="Encabezado">
    <w:name w:val="header"/>
    <w:basedOn w:val="Normal"/>
    <w:link w:val="EncabezadoCar"/>
    <w:uiPriority w:val="99"/>
    <w:unhideWhenUsed/>
    <w:rsid w:val="00F21CCB"/>
    <w:pPr>
      <w:tabs>
        <w:tab w:val="center" w:pos="4680"/>
        <w:tab w:val="right" w:pos="9360"/>
      </w:tabs>
    </w:pPr>
  </w:style>
  <w:style w:type="character" w:customStyle="1" w:styleId="EncabezadoCar">
    <w:name w:val="Encabezado Car"/>
    <w:basedOn w:val="Fuentedeprrafopredeter"/>
    <w:link w:val="Encabezado"/>
    <w:uiPriority w:val="99"/>
    <w:rsid w:val="00F21CCB"/>
    <w:rPr>
      <w:rFonts w:ascii="Times New Roman" w:eastAsia="Times New Roman" w:hAnsi="Times New Roman" w:cs="Times New Roman"/>
      <w:sz w:val="24"/>
      <w:szCs w:val="24"/>
      <w:lang w:val="es-CR"/>
    </w:rPr>
  </w:style>
  <w:style w:type="paragraph" w:styleId="Piedepgina">
    <w:name w:val="footer"/>
    <w:basedOn w:val="Normal"/>
    <w:link w:val="PiedepginaCar"/>
    <w:uiPriority w:val="99"/>
    <w:unhideWhenUsed/>
    <w:rsid w:val="00F21CCB"/>
    <w:pPr>
      <w:tabs>
        <w:tab w:val="center" w:pos="4680"/>
        <w:tab w:val="right" w:pos="9360"/>
      </w:tabs>
    </w:pPr>
  </w:style>
  <w:style w:type="character" w:customStyle="1" w:styleId="PiedepginaCar">
    <w:name w:val="Pie de página Car"/>
    <w:basedOn w:val="Fuentedeprrafopredeter"/>
    <w:link w:val="Piedepgina"/>
    <w:uiPriority w:val="99"/>
    <w:rsid w:val="00F21CCB"/>
    <w:rPr>
      <w:rFonts w:ascii="Times New Roman" w:eastAsia="Times New Roman" w:hAnsi="Times New Roman" w:cs="Times New Roman"/>
      <w:sz w:val="24"/>
      <w:szCs w:val="24"/>
      <w:lang w:val="es-CR"/>
    </w:rPr>
  </w:style>
  <w:style w:type="character" w:customStyle="1" w:styleId="Ttulo2Car">
    <w:name w:val="Título 2 Car"/>
    <w:basedOn w:val="Fuentedeprrafopredeter"/>
    <w:link w:val="Ttulo2"/>
    <w:uiPriority w:val="9"/>
    <w:semiHidden/>
    <w:rsid w:val="00F21CCB"/>
    <w:rPr>
      <w:rFonts w:asciiTheme="majorHAnsi" w:eastAsiaTheme="majorEastAsia" w:hAnsiTheme="majorHAnsi" w:cstheme="majorBidi"/>
      <w:b/>
      <w:bCs/>
      <w:color w:val="4F81BD" w:themeColor="accent1"/>
      <w:sz w:val="26"/>
      <w:szCs w:val="26"/>
      <w:lang w:val="es-CR"/>
    </w:rPr>
  </w:style>
  <w:style w:type="paragraph" w:styleId="TDC1">
    <w:name w:val="toc 1"/>
    <w:basedOn w:val="Normal"/>
    <w:next w:val="Normal"/>
    <w:autoRedefine/>
    <w:uiPriority w:val="39"/>
    <w:unhideWhenUsed/>
    <w:qFormat/>
    <w:rsid w:val="00F21CCB"/>
    <w:pPr>
      <w:tabs>
        <w:tab w:val="left" w:pos="9214"/>
      </w:tabs>
      <w:jc w:val="center"/>
    </w:pPr>
    <w:rPr>
      <w:rFonts w:ascii="Verdana" w:hAnsi="Verdana"/>
      <w:b/>
      <w:noProof/>
      <w:sz w:val="20"/>
      <w:szCs w:val="20"/>
    </w:rPr>
  </w:style>
  <w:style w:type="character" w:styleId="Textoennegrita">
    <w:name w:val="Strong"/>
    <w:basedOn w:val="Fuentedeprrafopredeter"/>
    <w:uiPriority w:val="22"/>
    <w:qFormat/>
    <w:rsid w:val="00F21CCB"/>
    <w:rPr>
      <w:b/>
      <w:bCs/>
    </w:rPr>
  </w:style>
  <w:style w:type="paragraph" w:styleId="Revisin">
    <w:name w:val="Revision"/>
    <w:hidden/>
    <w:uiPriority w:val="99"/>
    <w:semiHidden/>
    <w:rsid w:val="00E56386"/>
    <w:pPr>
      <w:spacing w:after="0" w:line="240" w:lineRule="auto"/>
    </w:pPr>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teidh.or.cr/caso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verdad.org.pe/ifinal/pdf/TOMO%20VII/Casos%20Ilustrativos-UIE/2.50.%20SANTA%20BARBARA.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ABFA-4AA3-477A-8C3A-146B3341F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B1A031-3631-43FA-A159-0F8C72A720AA}">
  <ds:schemaRefs>
    <ds:schemaRef ds:uri="http://schemas.microsoft.com/sharepoint/v3/contenttype/forms"/>
  </ds:schemaRefs>
</ds:datastoreItem>
</file>

<file path=customXml/itemProps3.xml><?xml version="1.0" encoding="utf-8"?>
<ds:datastoreItem xmlns:ds="http://schemas.openxmlformats.org/officeDocument/2006/customXml" ds:itemID="{4DC0CF4B-B1D4-46B3-B9AB-DC63E06DB2ED}">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11FCE3-7249-475C-9CE1-F4BED914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4005</Words>
  <Characters>22033</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2019-08-27T18:38:00Z</cp:lastPrinted>
  <dcterms:created xsi:type="dcterms:W3CDTF">2019-08-27T18:38:00Z</dcterms:created>
  <dcterms:modified xsi:type="dcterms:W3CDTF">2019-08-27T18:38:00Z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