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C82F3" w14:textId="77777777" w:rsidR="00BB66D8" w:rsidRDefault="00BB66D8">
      <w:bookmarkStart w:id="0" w:name="_GoBack"/>
      <w:bookmarkEnd w:id="0"/>
    </w:p>
    <w:p w14:paraId="14A86099" w14:textId="77777777" w:rsidR="008F5D36" w:rsidRDefault="008F5D36" w:rsidP="008F5D36">
      <w:pPr>
        <w:rPr>
          <w:lang w:eastAsia="es-CR"/>
        </w:rPr>
      </w:pPr>
    </w:p>
    <w:p w14:paraId="3BCFF1F0" w14:textId="77777777" w:rsidR="00555558" w:rsidRDefault="00555558" w:rsidP="008F5D36">
      <w:pPr>
        <w:jc w:val="center"/>
        <w:rPr>
          <w:b/>
          <w:lang w:val="es-CR" w:eastAsia="es-CR"/>
        </w:rPr>
      </w:pPr>
      <w:bookmarkStart w:id="1" w:name="_Toc304195580"/>
      <w:bookmarkStart w:id="2" w:name="_Toc435523338"/>
      <w:bookmarkStart w:id="3" w:name="_Toc435540837"/>
    </w:p>
    <w:p w14:paraId="3381660C" w14:textId="77777777" w:rsidR="00555558" w:rsidRDefault="00555558" w:rsidP="008F5D36">
      <w:pPr>
        <w:jc w:val="center"/>
        <w:rPr>
          <w:b/>
          <w:lang w:val="es-CR" w:eastAsia="es-CR"/>
        </w:rPr>
      </w:pPr>
    </w:p>
    <w:p w14:paraId="06349661" w14:textId="77777777" w:rsidR="00555558" w:rsidRDefault="00555558" w:rsidP="008F5D36">
      <w:pPr>
        <w:jc w:val="center"/>
        <w:rPr>
          <w:b/>
          <w:lang w:val="es-CR" w:eastAsia="es-CR"/>
        </w:rPr>
      </w:pPr>
    </w:p>
    <w:p w14:paraId="2A79CDAC" w14:textId="77777777" w:rsidR="00555558" w:rsidRDefault="00555558" w:rsidP="008F5D36">
      <w:pPr>
        <w:jc w:val="center"/>
        <w:rPr>
          <w:b/>
          <w:lang w:val="es-CR" w:eastAsia="es-CR"/>
        </w:rPr>
      </w:pPr>
    </w:p>
    <w:p w14:paraId="1A8E8987" w14:textId="77777777" w:rsidR="008F5D36" w:rsidRPr="008F5D36" w:rsidRDefault="008F5D36" w:rsidP="008F5D36">
      <w:pPr>
        <w:jc w:val="center"/>
        <w:rPr>
          <w:b/>
          <w:lang w:val="es-CR" w:eastAsia="es-CR"/>
        </w:rPr>
      </w:pPr>
      <w:r w:rsidRPr="008F5D36">
        <w:rPr>
          <w:b/>
          <w:lang w:val="es-CR" w:eastAsia="es-CR"/>
        </w:rPr>
        <w:t>CORTE INTERAMERICANA DE DERECHOS HUMANOS</w:t>
      </w:r>
      <w:bookmarkEnd w:id="1"/>
      <w:bookmarkEnd w:id="2"/>
      <w:bookmarkEnd w:id="3"/>
    </w:p>
    <w:p w14:paraId="693EBF81" w14:textId="77777777" w:rsidR="008F5D36" w:rsidRPr="008F5D36" w:rsidRDefault="008F5D36" w:rsidP="008F5D36">
      <w:pPr>
        <w:jc w:val="center"/>
        <w:rPr>
          <w:b/>
          <w:snapToGrid w:val="0"/>
          <w:lang w:val="es-CR"/>
        </w:rPr>
      </w:pPr>
    </w:p>
    <w:p w14:paraId="2745B24C" w14:textId="77777777" w:rsidR="008F5D36" w:rsidRPr="008F5D36" w:rsidRDefault="008F5D36" w:rsidP="008F5D36">
      <w:pPr>
        <w:jc w:val="center"/>
        <w:rPr>
          <w:b/>
          <w:lang w:val="es-CR" w:eastAsia="es-CR"/>
        </w:rPr>
      </w:pPr>
      <w:bookmarkStart w:id="4" w:name="_Toc304195581"/>
      <w:bookmarkStart w:id="5" w:name="_Toc435523339"/>
      <w:bookmarkStart w:id="6" w:name="_Toc435540838"/>
      <w:r w:rsidRPr="00BA7153">
        <w:rPr>
          <w:b/>
          <w:lang w:val="es-CR" w:eastAsia="es-CR"/>
        </w:rPr>
        <w:t>CASO GARCÍA IBARRA Y OTROS VS. ECUADOR</w:t>
      </w:r>
      <w:bookmarkEnd w:id="4"/>
      <w:bookmarkEnd w:id="5"/>
      <w:bookmarkEnd w:id="6"/>
    </w:p>
    <w:p w14:paraId="37D5DFCE" w14:textId="77777777" w:rsidR="008F5D36" w:rsidRPr="008F5D36" w:rsidRDefault="008F5D36" w:rsidP="008F5D36">
      <w:pPr>
        <w:jc w:val="center"/>
        <w:rPr>
          <w:b/>
          <w:snapToGrid w:val="0"/>
          <w:lang w:val="es-CR"/>
        </w:rPr>
      </w:pPr>
    </w:p>
    <w:p w14:paraId="22F7C5A4" w14:textId="77777777" w:rsidR="008F5D36" w:rsidRPr="008F5D36" w:rsidRDefault="008F5D36" w:rsidP="008F5D36">
      <w:pPr>
        <w:jc w:val="center"/>
        <w:rPr>
          <w:b/>
          <w:snapToGrid w:val="0"/>
          <w:lang w:val="es-CR"/>
        </w:rPr>
      </w:pPr>
      <w:bookmarkStart w:id="7" w:name="_Toc304195582"/>
      <w:bookmarkStart w:id="8" w:name="_Toc435523340"/>
      <w:bookmarkStart w:id="9" w:name="_Toc435540839"/>
      <w:r w:rsidRPr="008F5D36">
        <w:rPr>
          <w:b/>
          <w:snapToGrid w:val="0"/>
          <w:lang w:val="es-CR"/>
        </w:rPr>
        <w:t>SENTENCIA DE 17 DE NOVIEMBRE DE 2015</w:t>
      </w:r>
      <w:bookmarkEnd w:id="7"/>
      <w:bookmarkEnd w:id="8"/>
      <w:bookmarkEnd w:id="9"/>
    </w:p>
    <w:p w14:paraId="1665FC52" w14:textId="77777777" w:rsidR="008F5D36" w:rsidRPr="008F5D36" w:rsidRDefault="008F5D36" w:rsidP="008F5D36">
      <w:pPr>
        <w:jc w:val="center"/>
        <w:rPr>
          <w:b/>
          <w:snapToGrid w:val="0"/>
          <w:lang w:val="es-CR"/>
        </w:rPr>
      </w:pPr>
    </w:p>
    <w:p w14:paraId="618DA42A" w14:textId="77777777" w:rsidR="008F5D36" w:rsidRPr="008F5D36" w:rsidRDefault="008F5D36" w:rsidP="008F5D36">
      <w:pPr>
        <w:jc w:val="center"/>
        <w:rPr>
          <w:b/>
          <w:caps/>
          <w:snapToGrid w:val="0"/>
          <w:lang w:val="es-CR"/>
        </w:rPr>
      </w:pPr>
      <w:bookmarkStart w:id="10" w:name="_Toc304195583"/>
      <w:bookmarkStart w:id="11" w:name="_Toc435523341"/>
      <w:bookmarkStart w:id="12" w:name="_Toc435540840"/>
      <w:r w:rsidRPr="008F5D36">
        <w:rPr>
          <w:b/>
          <w:snapToGrid w:val="0"/>
          <w:lang w:val="es-CR"/>
        </w:rPr>
        <w:t>(</w:t>
      </w:r>
      <w:r w:rsidRPr="008F5D36">
        <w:rPr>
          <w:b/>
          <w:i/>
          <w:snapToGrid w:val="0"/>
          <w:lang w:val="es-CR"/>
        </w:rPr>
        <w:t>Excepciones Preliminares, Fondo, Reparaciones y Costas</w:t>
      </w:r>
      <w:r w:rsidRPr="008F5D36">
        <w:rPr>
          <w:b/>
          <w:snapToGrid w:val="0"/>
          <w:lang w:val="es-CR"/>
        </w:rPr>
        <w:t>)</w:t>
      </w:r>
      <w:bookmarkEnd w:id="10"/>
      <w:bookmarkEnd w:id="11"/>
      <w:bookmarkEnd w:id="12"/>
    </w:p>
    <w:p w14:paraId="11DFB8F3" w14:textId="77777777" w:rsidR="008F5D36" w:rsidRPr="008F5D36" w:rsidRDefault="008F5D36" w:rsidP="008F5D36">
      <w:pPr>
        <w:rPr>
          <w:lang w:val="es-CR" w:eastAsia="es-CR"/>
        </w:rPr>
      </w:pPr>
    </w:p>
    <w:p w14:paraId="4EC70603" w14:textId="77777777" w:rsidR="008F5D36" w:rsidRPr="008F5D36" w:rsidRDefault="008F5D36" w:rsidP="008F5D36">
      <w:pPr>
        <w:jc w:val="both"/>
        <w:rPr>
          <w:rFonts w:eastAsia="Calibri"/>
          <w:b/>
          <w:szCs w:val="20"/>
          <w:lang w:val="es-CR" w:eastAsia="es-ES"/>
        </w:rPr>
      </w:pPr>
    </w:p>
    <w:p w14:paraId="443E82B9" w14:textId="77777777" w:rsidR="008F5D36" w:rsidRPr="0095153D" w:rsidRDefault="008F5D36" w:rsidP="008F5D36">
      <w:pPr>
        <w:jc w:val="center"/>
        <w:rPr>
          <w:rFonts w:eastAsia="Calibri"/>
          <w:b/>
          <w:szCs w:val="20"/>
          <w:lang w:val="es-ES_tradnl" w:eastAsia="es-ES"/>
        </w:rPr>
      </w:pPr>
      <w:r w:rsidRPr="0095153D">
        <w:rPr>
          <w:rFonts w:eastAsia="Calibri"/>
          <w:b/>
          <w:szCs w:val="20"/>
          <w:lang w:val="es-ES_tradnl" w:eastAsia="es-ES"/>
        </w:rPr>
        <w:t>RESUMEN OFICIAL EMITIDO POR LA CORTE INTERAMERICANA</w:t>
      </w:r>
    </w:p>
    <w:p w14:paraId="2D29C0AF" w14:textId="77777777" w:rsidR="008F5D36" w:rsidRPr="0095153D" w:rsidRDefault="008F5D36" w:rsidP="008F5D36">
      <w:pPr>
        <w:rPr>
          <w:rFonts w:eastAsia="Calibri"/>
          <w:b/>
          <w:szCs w:val="20"/>
          <w:lang w:val="es-ES_tradnl" w:eastAsia="es-ES"/>
        </w:rPr>
      </w:pPr>
    </w:p>
    <w:p w14:paraId="35D1CC5F" w14:textId="4FE458CA" w:rsidR="008F5D36" w:rsidRDefault="008F5D36" w:rsidP="008F5D36">
      <w:pPr>
        <w:jc w:val="both"/>
        <w:rPr>
          <w:bCs/>
          <w:lang w:val="es-CR"/>
        </w:rPr>
      </w:pPr>
      <w:r w:rsidRPr="0095153D">
        <w:rPr>
          <w:szCs w:val="20"/>
          <w:lang w:val="es-CO"/>
        </w:rPr>
        <w:t xml:space="preserve">El </w:t>
      </w:r>
      <w:r>
        <w:rPr>
          <w:szCs w:val="20"/>
          <w:lang w:val="es-CO"/>
        </w:rPr>
        <w:t>17 de noviembre</w:t>
      </w:r>
      <w:r w:rsidRPr="0095153D">
        <w:rPr>
          <w:szCs w:val="20"/>
          <w:lang w:val="es-CO"/>
        </w:rPr>
        <w:t xml:space="preserve"> de 2015 la Corte Interamericana de Derechos Humanos (en adelante “la Corte Interamericana”, “la Corte” o “este Tribunal”) dictó una Sentencia mediante la cual declaró, por unanimidad, que el Estado de </w:t>
      </w:r>
      <w:r>
        <w:rPr>
          <w:szCs w:val="20"/>
          <w:lang w:val="es-CO"/>
        </w:rPr>
        <w:t>Ecuador</w:t>
      </w:r>
      <w:r w:rsidRPr="0095153D">
        <w:rPr>
          <w:szCs w:val="20"/>
          <w:lang w:val="es-CO"/>
        </w:rPr>
        <w:t xml:space="preserve"> </w:t>
      </w:r>
      <w:r>
        <w:rPr>
          <w:szCs w:val="20"/>
          <w:lang w:val="es-CO"/>
        </w:rPr>
        <w:t>es</w:t>
      </w:r>
      <w:r w:rsidRPr="0095153D">
        <w:rPr>
          <w:szCs w:val="20"/>
          <w:lang w:val="es-CO"/>
        </w:rPr>
        <w:t xml:space="preserve"> responsable por </w:t>
      </w:r>
      <w:r w:rsidRPr="008F5D36">
        <w:rPr>
          <w:rFonts w:cs="Arial"/>
          <w:lang w:val="es-CR"/>
        </w:rPr>
        <w:t xml:space="preserve">la violación del derecho a la vida, </w:t>
      </w:r>
      <w:r>
        <w:rPr>
          <w:lang w:val="es-CR"/>
        </w:rPr>
        <w:t>en perjuicio d</w:t>
      </w:r>
      <w:r w:rsidRPr="008F5D36">
        <w:rPr>
          <w:bCs/>
          <w:lang w:val="es-CR"/>
        </w:rPr>
        <w:t>el</w:t>
      </w:r>
      <w:r>
        <w:rPr>
          <w:bCs/>
          <w:lang w:val="es-CR"/>
        </w:rPr>
        <w:t xml:space="preserve"> entonces</w:t>
      </w:r>
      <w:r w:rsidRPr="008F5D36">
        <w:rPr>
          <w:bCs/>
          <w:lang w:val="es-CR"/>
        </w:rPr>
        <w:t xml:space="preserve"> adolescente </w:t>
      </w:r>
      <w:r w:rsidRPr="008F5D36">
        <w:rPr>
          <w:rFonts w:cs="Arial"/>
          <w:lang w:val="es-CR"/>
        </w:rPr>
        <w:t>José Luis García Ibarra</w:t>
      </w:r>
      <w:r>
        <w:rPr>
          <w:rFonts w:cs="Arial"/>
          <w:lang w:val="es-CR"/>
        </w:rPr>
        <w:t xml:space="preserve">, quien </w:t>
      </w:r>
      <w:r w:rsidRPr="008F5D36">
        <w:rPr>
          <w:bCs/>
          <w:lang w:val="es-CR"/>
        </w:rPr>
        <w:t xml:space="preserve">fue privado de su vida el 15 de </w:t>
      </w:r>
      <w:r w:rsidRPr="008F5D36">
        <w:rPr>
          <w:lang w:val="es-CR"/>
        </w:rPr>
        <w:t>septiembre</w:t>
      </w:r>
      <w:r w:rsidRPr="008F5D36">
        <w:rPr>
          <w:bCs/>
          <w:lang w:val="es-CR"/>
        </w:rPr>
        <w:t xml:space="preserve"> de 1992 en un barrio de la ciudad de Esmeraldas, a sus 16 años de edad, por un agente de la </w:t>
      </w:r>
      <w:r w:rsidRPr="008F5D36">
        <w:rPr>
          <w:lang w:val="es-CR"/>
        </w:rPr>
        <w:t>Policía</w:t>
      </w:r>
      <w:r>
        <w:rPr>
          <w:bCs/>
          <w:lang w:val="es-CR"/>
        </w:rPr>
        <w:t xml:space="preserve"> Nacional del Ecuador. </w:t>
      </w:r>
      <w:r w:rsidRPr="008F5D36">
        <w:rPr>
          <w:bCs/>
          <w:lang w:val="es-CR"/>
        </w:rPr>
        <w:t>La investigac</w:t>
      </w:r>
      <w:r w:rsidR="002052BE">
        <w:rPr>
          <w:bCs/>
          <w:lang w:val="es-CR"/>
        </w:rPr>
        <w:t xml:space="preserve">ión y proceso penal interno </w:t>
      </w:r>
      <w:r w:rsidRPr="008F5D36">
        <w:rPr>
          <w:bCs/>
          <w:lang w:val="es-CR"/>
        </w:rPr>
        <w:t xml:space="preserve">culminó más de 9 años después de iniciado con sentencia condenatoria contra dicho agente policial a 18 meses de prisión por el delito de homicidio </w:t>
      </w:r>
      <w:r w:rsidR="00F10AC7">
        <w:rPr>
          <w:bCs/>
          <w:lang w:val="es-CR"/>
        </w:rPr>
        <w:t>“</w:t>
      </w:r>
      <w:proofErr w:type="spellStart"/>
      <w:r w:rsidRPr="008F5D36">
        <w:rPr>
          <w:bCs/>
          <w:lang w:val="es-CR"/>
        </w:rPr>
        <w:t>inintencional</w:t>
      </w:r>
      <w:proofErr w:type="spellEnd"/>
      <w:r w:rsidRPr="008F5D36">
        <w:rPr>
          <w:bCs/>
          <w:lang w:val="es-CR"/>
        </w:rPr>
        <w:t>” (culposo).</w:t>
      </w:r>
      <w:r>
        <w:rPr>
          <w:bCs/>
          <w:lang w:val="es-CR"/>
        </w:rPr>
        <w:t xml:space="preserve"> Al respecto, l</w:t>
      </w:r>
      <w:r>
        <w:rPr>
          <w:spacing w:val="-2"/>
          <w:szCs w:val="20"/>
          <w:lang w:val="es-CR"/>
        </w:rPr>
        <w:t>a Corte consideró</w:t>
      </w:r>
      <w:r w:rsidRPr="00857BCC">
        <w:rPr>
          <w:spacing w:val="-2"/>
          <w:szCs w:val="20"/>
          <w:lang w:val="es-CR"/>
        </w:rPr>
        <w:t xml:space="preserve"> que, además de la falta de debida diligencia en la investigación de los hechos y el incumplimiento del principio de plazo razonable, la respuesta investigativa y judicial del Estado, especificada en las actuaciones de las autoridades judiciales en el marco del referido proceso penal, no constituyó una explicación </w:t>
      </w:r>
      <w:r w:rsidRPr="00D20BFC">
        <w:rPr>
          <w:spacing w:val="-2"/>
          <w:szCs w:val="20"/>
          <w:lang w:val="es-CR"/>
        </w:rPr>
        <w:t xml:space="preserve">satisfactoria, </w:t>
      </w:r>
      <w:r w:rsidRPr="00857BCC">
        <w:rPr>
          <w:spacing w:val="-2"/>
          <w:szCs w:val="20"/>
          <w:lang w:val="es-CR"/>
        </w:rPr>
        <w:t>suficiente y efectiva para establecer la verdad sobre las circunstancias de la privación de la vida de José Luis García Ibarra. En este sentido, tales actuaciones tampoco satisfacen las obligaciones del Estado de garantizar los derechos de sus familiares de acceso a la justicia y a conocer la verdad sobre los hechos</w:t>
      </w:r>
      <w:r w:rsidR="009F5067">
        <w:rPr>
          <w:spacing w:val="-2"/>
          <w:szCs w:val="20"/>
          <w:lang w:val="es-CR"/>
        </w:rPr>
        <w:t>,</w:t>
      </w:r>
      <w:r w:rsidR="009F5067" w:rsidRPr="009F5067">
        <w:rPr>
          <w:spacing w:val="-2"/>
          <w:szCs w:val="20"/>
          <w:lang w:val="es-CR"/>
        </w:rPr>
        <w:t xml:space="preserve"> </w:t>
      </w:r>
      <w:r w:rsidR="009F5067" w:rsidRPr="00857BCC">
        <w:rPr>
          <w:spacing w:val="-2"/>
          <w:szCs w:val="20"/>
          <w:lang w:val="es-CR"/>
        </w:rPr>
        <w:t>contenidos en los derechos a las garantías judiciales y protección judicial,</w:t>
      </w:r>
      <w:r w:rsidR="009F5067">
        <w:rPr>
          <w:spacing w:val="-2"/>
          <w:szCs w:val="20"/>
          <w:lang w:val="es-CR"/>
        </w:rPr>
        <w:t xml:space="preserve"> que no fueron garantizados por</w:t>
      </w:r>
      <w:r w:rsidRPr="00857BCC">
        <w:rPr>
          <w:spacing w:val="-2"/>
          <w:szCs w:val="20"/>
          <w:lang w:val="es-CR"/>
        </w:rPr>
        <w:t xml:space="preserve"> el Estado</w:t>
      </w:r>
      <w:r w:rsidR="009F5067">
        <w:rPr>
          <w:spacing w:val="-2"/>
          <w:szCs w:val="20"/>
          <w:lang w:val="es-CR"/>
        </w:rPr>
        <w:t xml:space="preserve">, </w:t>
      </w:r>
      <w:r w:rsidRPr="00857BCC">
        <w:rPr>
          <w:spacing w:val="-2"/>
          <w:szCs w:val="20"/>
          <w:lang w:val="es-CR"/>
        </w:rPr>
        <w:t>en perjuicio de</w:t>
      </w:r>
      <w:r w:rsidR="00F10AC7">
        <w:rPr>
          <w:spacing w:val="-2"/>
          <w:szCs w:val="20"/>
          <w:lang w:val="es-CR"/>
        </w:rPr>
        <w:t xml:space="preserve"> su madre</w:t>
      </w:r>
      <w:r w:rsidRPr="00857BCC">
        <w:rPr>
          <w:spacing w:val="-2"/>
          <w:szCs w:val="20"/>
          <w:lang w:val="es-CR"/>
        </w:rPr>
        <w:t xml:space="preserve"> Pura Vicenta Ibarra Ponce, </w:t>
      </w:r>
      <w:r w:rsidR="00F10AC7">
        <w:rPr>
          <w:spacing w:val="-2"/>
          <w:szCs w:val="20"/>
          <w:lang w:val="es-CR"/>
        </w:rPr>
        <w:t xml:space="preserve">su padre </w:t>
      </w:r>
      <w:r w:rsidRPr="00857BCC">
        <w:rPr>
          <w:spacing w:val="-2"/>
          <w:szCs w:val="20"/>
          <w:lang w:val="es-CR"/>
        </w:rPr>
        <w:t xml:space="preserve">Alfonso Alfredo García Macías y </w:t>
      </w:r>
      <w:r w:rsidR="00F10AC7">
        <w:rPr>
          <w:spacing w:val="-2"/>
          <w:szCs w:val="20"/>
          <w:lang w:val="es-CR"/>
        </w:rPr>
        <w:t xml:space="preserve">sus hermanos </w:t>
      </w:r>
      <w:r w:rsidRPr="00857BCC">
        <w:rPr>
          <w:spacing w:val="-2"/>
          <w:szCs w:val="20"/>
          <w:lang w:val="es-CR"/>
        </w:rPr>
        <w:t>Ana Lucía, Lorena Monserrate, Luis Alfonso, Santo Gonzalo, Juan Carlos y Alfredo Vicente, todos García Ibarra</w:t>
      </w:r>
      <w:r w:rsidR="00820CB7">
        <w:rPr>
          <w:spacing w:val="-2"/>
          <w:szCs w:val="20"/>
          <w:lang w:val="es-CR"/>
        </w:rPr>
        <w:t>.</w:t>
      </w:r>
    </w:p>
    <w:p w14:paraId="4C9A2756" w14:textId="77777777" w:rsidR="008F5D36" w:rsidRPr="008F5D36" w:rsidRDefault="008F5D36" w:rsidP="008F5D36">
      <w:pPr>
        <w:jc w:val="both"/>
        <w:rPr>
          <w:szCs w:val="20"/>
          <w:lang w:val="es-CR"/>
        </w:rPr>
      </w:pPr>
    </w:p>
    <w:p w14:paraId="50E3EB61" w14:textId="77777777" w:rsidR="008F5D36" w:rsidRPr="0095153D" w:rsidRDefault="008F5D36" w:rsidP="008F5D36">
      <w:pPr>
        <w:jc w:val="both"/>
        <w:rPr>
          <w:szCs w:val="20"/>
          <w:lang w:val="es-CO"/>
        </w:rPr>
      </w:pPr>
    </w:p>
    <w:p w14:paraId="52C9B99C" w14:textId="77777777" w:rsidR="008F5D36" w:rsidRPr="0095153D" w:rsidRDefault="008F5D36" w:rsidP="008F5D36">
      <w:pPr>
        <w:keepNext/>
        <w:keepLines/>
        <w:numPr>
          <w:ilvl w:val="0"/>
          <w:numId w:val="1"/>
        </w:numPr>
        <w:jc w:val="both"/>
        <w:outlineLvl w:val="0"/>
        <w:rPr>
          <w:rFonts w:eastAsia="MS Gothic"/>
          <w:b/>
          <w:bCs/>
          <w:szCs w:val="20"/>
          <w:lang w:val="es-MX" w:eastAsia="es-ES"/>
        </w:rPr>
      </w:pPr>
      <w:r>
        <w:rPr>
          <w:rFonts w:eastAsia="MS Gothic"/>
          <w:b/>
          <w:bCs/>
          <w:szCs w:val="20"/>
          <w:lang w:val="es-MX" w:eastAsia="es-ES"/>
        </w:rPr>
        <w:t>Excepcio</w:t>
      </w:r>
      <w:r w:rsidRPr="0095153D">
        <w:rPr>
          <w:rFonts w:eastAsia="MS Gothic"/>
          <w:b/>
          <w:bCs/>
          <w:szCs w:val="20"/>
          <w:lang w:val="es-MX" w:eastAsia="es-ES"/>
        </w:rPr>
        <w:t>n</w:t>
      </w:r>
      <w:r>
        <w:rPr>
          <w:rFonts w:eastAsia="MS Gothic"/>
          <w:b/>
          <w:bCs/>
          <w:szCs w:val="20"/>
          <w:lang w:val="es-MX" w:eastAsia="es-ES"/>
        </w:rPr>
        <w:t>es</w:t>
      </w:r>
      <w:r w:rsidRPr="0095153D">
        <w:rPr>
          <w:rFonts w:eastAsia="MS Gothic"/>
          <w:b/>
          <w:bCs/>
          <w:szCs w:val="20"/>
          <w:lang w:val="es-MX" w:eastAsia="es-ES"/>
        </w:rPr>
        <w:t xml:space="preserve"> Preliminar</w:t>
      </w:r>
      <w:r>
        <w:rPr>
          <w:rFonts w:eastAsia="MS Gothic"/>
          <w:b/>
          <w:bCs/>
          <w:szCs w:val="20"/>
          <w:lang w:val="es-MX" w:eastAsia="es-ES"/>
        </w:rPr>
        <w:t>es</w:t>
      </w:r>
    </w:p>
    <w:p w14:paraId="1FE2798E" w14:textId="77777777" w:rsidR="008F5D36" w:rsidRPr="0095153D" w:rsidRDefault="008F5D36" w:rsidP="008F5D36">
      <w:pPr>
        <w:jc w:val="both"/>
        <w:rPr>
          <w:szCs w:val="20"/>
          <w:lang w:val="es-CO"/>
        </w:rPr>
      </w:pPr>
    </w:p>
    <w:p w14:paraId="4E5DF4EE" w14:textId="2EFA45D3" w:rsidR="008F5D36" w:rsidRDefault="008F5D36" w:rsidP="008F5D36">
      <w:pPr>
        <w:jc w:val="both"/>
        <w:rPr>
          <w:lang w:val="es-CR"/>
        </w:rPr>
      </w:pPr>
      <w:r w:rsidRPr="0095153D">
        <w:rPr>
          <w:szCs w:val="20"/>
          <w:lang w:val="es-CO"/>
        </w:rPr>
        <w:t xml:space="preserve">El Estado interpuso </w:t>
      </w:r>
      <w:r>
        <w:rPr>
          <w:szCs w:val="20"/>
          <w:lang w:val="es-CO"/>
        </w:rPr>
        <w:t>tres excepciones</w:t>
      </w:r>
      <w:r w:rsidRPr="0095153D">
        <w:rPr>
          <w:szCs w:val="20"/>
          <w:lang w:val="es-CO"/>
        </w:rPr>
        <w:t xml:space="preserve"> preliminar</w:t>
      </w:r>
      <w:r>
        <w:rPr>
          <w:szCs w:val="20"/>
          <w:lang w:val="es-CO"/>
        </w:rPr>
        <w:t>es</w:t>
      </w:r>
      <w:r w:rsidR="009F5067">
        <w:rPr>
          <w:szCs w:val="20"/>
          <w:lang w:val="es-CO"/>
        </w:rPr>
        <w:t xml:space="preserve">. </w:t>
      </w:r>
      <w:r w:rsidR="009F5067">
        <w:rPr>
          <w:szCs w:val="20"/>
          <w:lang w:val="es-CL"/>
        </w:rPr>
        <w:t>En la primera,</w:t>
      </w:r>
      <w:r w:rsidR="00A17936">
        <w:rPr>
          <w:szCs w:val="20"/>
          <w:lang w:val="es-CL"/>
        </w:rPr>
        <w:t xml:space="preserve"> </w:t>
      </w:r>
      <w:r w:rsidR="009F5067">
        <w:rPr>
          <w:szCs w:val="20"/>
          <w:lang w:val="es-CL"/>
        </w:rPr>
        <w:t xml:space="preserve">el Estado alegó que </w:t>
      </w:r>
      <w:r w:rsidR="009F5067" w:rsidRPr="00E8224A">
        <w:rPr>
          <w:szCs w:val="20"/>
          <w:lang w:val="es-CL"/>
        </w:rPr>
        <w:t>la</w:t>
      </w:r>
      <w:r w:rsidR="009F5067">
        <w:rPr>
          <w:szCs w:val="20"/>
          <w:lang w:val="es-CL"/>
        </w:rPr>
        <w:t xml:space="preserve"> jurisdicción interna procesó al </w:t>
      </w:r>
      <w:r w:rsidR="009F5067" w:rsidRPr="00E8224A">
        <w:rPr>
          <w:szCs w:val="20"/>
          <w:lang w:val="es-CL"/>
        </w:rPr>
        <w:t xml:space="preserve">autor material del </w:t>
      </w:r>
      <w:r w:rsidR="009F5067">
        <w:rPr>
          <w:szCs w:val="20"/>
          <w:lang w:val="es-CL"/>
        </w:rPr>
        <w:t xml:space="preserve">homicidio </w:t>
      </w:r>
      <w:r w:rsidR="009F5067" w:rsidRPr="00E8224A">
        <w:rPr>
          <w:szCs w:val="20"/>
          <w:lang w:val="es-CL"/>
        </w:rPr>
        <w:t>del adolecente Jos</w:t>
      </w:r>
      <w:r w:rsidR="009F5067">
        <w:rPr>
          <w:szCs w:val="20"/>
          <w:lang w:val="es-CL"/>
        </w:rPr>
        <w:t>é Luis García Ibarra</w:t>
      </w:r>
      <w:r w:rsidR="00F86D09">
        <w:rPr>
          <w:szCs w:val="20"/>
          <w:lang w:val="es-CL"/>
        </w:rPr>
        <w:t xml:space="preserve"> y lo condenó</w:t>
      </w:r>
      <w:r w:rsidR="00F86D09" w:rsidRPr="00F86D09">
        <w:rPr>
          <w:szCs w:val="20"/>
          <w:lang w:val="es-CL"/>
        </w:rPr>
        <w:t xml:space="preserve"> </w:t>
      </w:r>
      <w:r w:rsidR="00F86D09">
        <w:rPr>
          <w:szCs w:val="20"/>
          <w:lang w:val="es-CL"/>
        </w:rPr>
        <w:t>a una</w:t>
      </w:r>
      <w:r w:rsidR="00F86D09" w:rsidRPr="00E8224A">
        <w:rPr>
          <w:szCs w:val="20"/>
          <w:lang w:val="es-CL"/>
        </w:rPr>
        <w:t xml:space="preserve"> pena de 18 me</w:t>
      </w:r>
      <w:r w:rsidR="00F86D09">
        <w:rPr>
          <w:szCs w:val="20"/>
          <w:lang w:val="es-CL"/>
        </w:rPr>
        <w:t>ses de privación de la libertad, que culminó con</w:t>
      </w:r>
      <w:r w:rsidR="009F5067" w:rsidRPr="00E8224A">
        <w:rPr>
          <w:szCs w:val="20"/>
          <w:lang w:val="es-CL"/>
        </w:rPr>
        <w:t xml:space="preserve"> sentencia de última instancia dictada p</w:t>
      </w:r>
      <w:r w:rsidR="00F86D09">
        <w:rPr>
          <w:szCs w:val="20"/>
          <w:lang w:val="es-CL"/>
        </w:rPr>
        <w:t>or la Corte Suprema de Justicia</w:t>
      </w:r>
      <w:r w:rsidR="009F5067">
        <w:rPr>
          <w:szCs w:val="20"/>
          <w:lang w:val="es-CL"/>
        </w:rPr>
        <w:t xml:space="preserve"> </w:t>
      </w:r>
      <w:r w:rsidR="00F86D09">
        <w:rPr>
          <w:szCs w:val="20"/>
          <w:lang w:val="es-CL"/>
        </w:rPr>
        <w:t xml:space="preserve">y </w:t>
      </w:r>
      <w:r w:rsidR="009F5067">
        <w:rPr>
          <w:szCs w:val="20"/>
          <w:lang w:val="es-CL"/>
        </w:rPr>
        <w:t xml:space="preserve">que </w:t>
      </w:r>
      <w:r w:rsidR="009F5067" w:rsidRPr="00E8224A">
        <w:rPr>
          <w:szCs w:val="20"/>
          <w:lang w:val="es-CL"/>
        </w:rPr>
        <w:t>los familiares del adolecent</w:t>
      </w:r>
      <w:r w:rsidR="00622E3F">
        <w:rPr>
          <w:szCs w:val="20"/>
          <w:lang w:val="es-CL"/>
        </w:rPr>
        <w:t>e desestimaron el proceso penal</w:t>
      </w:r>
      <w:r w:rsidR="009F5067" w:rsidRPr="00E8224A">
        <w:rPr>
          <w:szCs w:val="20"/>
          <w:lang w:val="es-CL"/>
        </w:rPr>
        <w:t xml:space="preserve"> en calidad de acusadores particulares</w:t>
      </w:r>
      <w:r w:rsidR="00F86D09">
        <w:rPr>
          <w:szCs w:val="20"/>
          <w:lang w:val="es-CL"/>
        </w:rPr>
        <w:t>. Por ello, el Estado alegó que</w:t>
      </w:r>
      <w:r w:rsidR="009F5067">
        <w:rPr>
          <w:szCs w:val="20"/>
          <w:lang w:val="es-CL"/>
        </w:rPr>
        <w:t xml:space="preserve"> si la Corte se pronunciara al</w:t>
      </w:r>
      <w:r w:rsidR="009F5067" w:rsidRPr="00E8224A">
        <w:rPr>
          <w:szCs w:val="20"/>
          <w:lang w:val="es-CL"/>
        </w:rPr>
        <w:t xml:space="preserve"> respecto, violaría el principio de subsidiaridad y</w:t>
      </w:r>
      <w:r w:rsidR="00A17936">
        <w:rPr>
          <w:szCs w:val="20"/>
          <w:lang w:val="es-CL"/>
        </w:rPr>
        <w:t xml:space="preserve"> actuaría como una “cuarta instancia”</w:t>
      </w:r>
      <w:r w:rsidR="009F5067">
        <w:rPr>
          <w:szCs w:val="20"/>
          <w:lang w:val="es-CL"/>
        </w:rPr>
        <w:t xml:space="preserve">. La Corte </w:t>
      </w:r>
      <w:r w:rsidR="009F5067">
        <w:rPr>
          <w:lang w:val="es-CL"/>
        </w:rPr>
        <w:t>consideró</w:t>
      </w:r>
      <w:r w:rsidR="009F5067">
        <w:rPr>
          <w:lang w:val="es-CR"/>
        </w:rPr>
        <w:t xml:space="preserve"> </w:t>
      </w:r>
      <w:r w:rsidR="009F5067" w:rsidRPr="009F5067">
        <w:rPr>
          <w:lang w:val="es-CR"/>
        </w:rPr>
        <w:t xml:space="preserve">que los argumentos presentados por el Estado guardan relación con las alegadas violaciones de los derechos establecidos en los artículos 4.1, 8.1 y 25 de la </w:t>
      </w:r>
      <w:r w:rsidR="009F5067" w:rsidRPr="009F5067">
        <w:rPr>
          <w:rFonts w:cs="Verdana"/>
          <w:spacing w:val="-2"/>
          <w:lang w:val="es-CR" w:eastAsia="es-MX"/>
        </w:rPr>
        <w:t>Convención</w:t>
      </w:r>
      <w:r w:rsidR="009F5067" w:rsidRPr="009F5067">
        <w:rPr>
          <w:lang w:val="es-CR"/>
        </w:rPr>
        <w:t>, en cuanto a la obligación de investigar los hechos y de procesar y, en su caso, sancionar al responsable, así como de reparar las consecuencias de los mismos. Es decir, el planteamiento del Estado no constituye una excepción preliminar</w:t>
      </w:r>
      <w:r w:rsidR="00622E3F">
        <w:rPr>
          <w:lang w:val="es-CR"/>
        </w:rPr>
        <w:t xml:space="preserve"> y </w:t>
      </w:r>
      <w:r w:rsidR="009F5067">
        <w:rPr>
          <w:lang w:val="es-CR"/>
        </w:rPr>
        <w:t>l</w:t>
      </w:r>
      <w:r w:rsidR="009F5067" w:rsidRPr="009F5067">
        <w:rPr>
          <w:lang w:val="es-CR"/>
        </w:rPr>
        <w:t xml:space="preserve">a </w:t>
      </w:r>
      <w:r w:rsidR="009F5067" w:rsidRPr="009F5067">
        <w:rPr>
          <w:rFonts w:cs="Verdana"/>
          <w:spacing w:val="-2"/>
          <w:lang w:val="es-CR" w:eastAsia="es-MX"/>
        </w:rPr>
        <w:t>determinación</w:t>
      </w:r>
      <w:r w:rsidR="009F5067" w:rsidRPr="009F5067">
        <w:rPr>
          <w:lang w:val="es-CR"/>
        </w:rPr>
        <w:t xml:space="preserve"> de si </w:t>
      </w:r>
      <w:r w:rsidR="009F5067">
        <w:rPr>
          <w:lang w:val="es-CR"/>
        </w:rPr>
        <w:t xml:space="preserve">los hechos </w:t>
      </w:r>
      <w:r w:rsidR="009F5067" w:rsidRPr="009F5067">
        <w:rPr>
          <w:lang w:val="es-CR"/>
        </w:rPr>
        <w:t>constituyeron o no violaciones de las obligaciones intern</w:t>
      </w:r>
      <w:r w:rsidR="009F5067">
        <w:rPr>
          <w:lang w:val="es-CR"/>
        </w:rPr>
        <w:t>acionales del Estado correspondía</w:t>
      </w:r>
      <w:r w:rsidR="009F5067" w:rsidRPr="009F5067">
        <w:rPr>
          <w:lang w:val="es-CR"/>
        </w:rPr>
        <w:t xml:space="preserve">, naturalmente, al fondo del asunto. En consecuencia, </w:t>
      </w:r>
      <w:r w:rsidR="00F7063F">
        <w:rPr>
          <w:lang w:val="es-CR"/>
        </w:rPr>
        <w:t>la Corte consideró que el planteamiento del Estado era</w:t>
      </w:r>
      <w:r w:rsidR="009F5067" w:rsidRPr="009F5067">
        <w:rPr>
          <w:lang w:val="es-CR"/>
        </w:rPr>
        <w:t xml:space="preserve"> improcedente</w:t>
      </w:r>
      <w:r w:rsidR="009F5067">
        <w:rPr>
          <w:lang w:val="es-CR"/>
        </w:rPr>
        <w:t>.</w:t>
      </w:r>
    </w:p>
    <w:p w14:paraId="058A3F15" w14:textId="77777777" w:rsidR="009F5067" w:rsidRDefault="009F5067" w:rsidP="008F5D36">
      <w:pPr>
        <w:jc w:val="both"/>
        <w:rPr>
          <w:lang w:val="es-CR"/>
        </w:rPr>
      </w:pPr>
    </w:p>
    <w:p w14:paraId="23A2BC55" w14:textId="18821D1E" w:rsidR="00213112" w:rsidRDefault="00F7063F" w:rsidP="00213112">
      <w:pPr>
        <w:tabs>
          <w:tab w:val="left" w:pos="720"/>
        </w:tabs>
        <w:ind w:right="-90"/>
        <w:jc w:val="both"/>
        <w:rPr>
          <w:szCs w:val="20"/>
          <w:lang w:val="es-CR"/>
        </w:rPr>
      </w:pPr>
      <w:r w:rsidRPr="00F7063F">
        <w:rPr>
          <w:lang w:val="es-CR"/>
        </w:rPr>
        <w:lastRenderedPageBreak/>
        <w:t>En su segunda y tercer excepciones preliminares, el Estado alegó una nulidad del Informe de la Comisión y una violación del principio de legalidad en las actuaciones de ésta.</w:t>
      </w:r>
      <w:r>
        <w:rPr>
          <w:i/>
          <w:lang w:val="es-CR"/>
        </w:rPr>
        <w:t xml:space="preserve"> </w:t>
      </w:r>
      <w:r w:rsidR="00213112" w:rsidRPr="00213112">
        <w:rPr>
          <w:lang w:val="es-CR"/>
        </w:rPr>
        <w:t>En particular,</w:t>
      </w:r>
      <w:r w:rsidR="00213112">
        <w:rPr>
          <w:i/>
          <w:lang w:val="es-CR"/>
        </w:rPr>
        <w:t xml:space="preserve"> </w:t>
      </w:r>
      <w:r w:rsidR="00213112">
        <w:rPr>
          <w:szCs w:val="20"/>
          <w:lang w:val="es-CR"/>
        </w:rPr>
        <w:t xml:space="preserve">el Estado alegó </w:t>
      </w:r>
      <w:r w:rsidR="00213112" w:rsidRPr="009F5067">
        <w:rPr>
          <w:szCs w:val="20"/>
          <w:lang w:val="es-CR"/>
        </w:rPr>
        <w:t xml:space="preserve">insuficiente motivación por parte de la Comisión acerca de las violaciones declaradas </w:t>
      </w:r>
      <w:r w:rsidR="00213112">
        <w:rPr>
          <w:szCs w:val="20"/>
          <w:lang w:val="es-CR"/>
        </w:rPr>
        <w:t>en su Informe</w:t>
      </w:r>
      <w:r w:rsidR="00F86D09">
        <w:rPr>
          <w:szCs w:val="20"/>
          <w:lang w:val="es-CR"/>
        </w:rPr>
        <w:t>,</w:t>
      </w:r>
      <w:r w:rsidR="00213112">
        <w:rPr>
          <w:szCs w:val="20"/>
          <w:lang w:val="es-CR"/>
        </w:rPr>
        <w:t xml:space="preserve"> respecto</w:t>
      </w:r>
      <w:r w:rsidR="00F86D09">
        <w:rPr>
          <w:szCs w:val="20"/>
          <w:lang w:val="es-CR"/>
        </w:rPr>
        <w:t xml:space="preserve"> de lo cual</w:t>
      </w:r>
      <w:r w:rsidR="00213112" w:rsidRPr="00213112">
        <w:rPr>
          <w:szCs w:val="20"/>
          <w:lang w:val="es-CR"/>
        </w:rPr>
        <w:t xml:space="preserve"> </w:t>
      </w:r>
      <w:r w:rsidR="00213112">
        <w:rPr>
          <w:szCs w:val="20"/>
          <w:lang w:val="es-CR"/>
        </w:rPr>
        <w:t xml:space="preserve">la Corte hizo </w:t>
      </w:r>
      <w:r w:rsidR="00213112" w:rsidRPr="00213112">
        <w:rPr>
          <w:szCs w:val="20"/>
          <w:lang w:val="es-CR"/>
        </w:rPr>
        <w:t xml:space="preserve">notar que </w:t>
      </w:r>
      <w:r>
        <w:rPr>
          <w:szCs w:val="20"/>
          <w:lang w:val="es-CR"/>
        </w:rPr>
        <w:t>tal</w:t>
      </w:r>
      <w:r w:rsidR="00F86D09">
        <w:rPr>
          <w:szCs w:val="20"/>
          <w:lang w:val="es-CR"/>
        </w:rPr>
        <w:t xml:space="preserve"> Informe estaba</w:t>
      </w:r>
      <w:r w:rsidR="00213112" w:rsidRPr="00213112">
        <w:rPr>
          <w:szCs w:val="20"/>
          <w:lang w:val="es-CR"/>
        </w:rPr>
        <w:t xml:space="preserve"> motivado, por lo cual</w:t>
      </w:r>
      <w:r w:rsidR="00213112">
        <w:rPr>
          <w:szCs w:val="20"/>
          <w:lang w:val="es-CR"/>
        </w:rPr>
        <w:t xml:space="preserve"> </w:t>
      </w:r>
      <w:r w:rsidR="00213112" w:rsidRPr="00213112">
        <w:rPr>
          <w:szCs w:val="20"/>
          <w:lang w:val="es-CR"/>
        </w:rPr>
        <w:t>lo plan</w:t>
      </w:r>
      <w:r w:rsidR="00213112">
        <w:rPr>
          <w:szCs w:val="20"/>
          <w:lang w:val="es-CR"/>
        </w:rPr>
        <w:t>teado se restringía</w:t>
      </w:r>
      <w:r w:rsidR="00213112" w:rsidRPr="00213112">
        <w:rPr>
          <w:szCs w:val="20"/>
          <w:lang w:val="es-CR"/>
        </w:rPr>
        <w:t xml:space="preserve"> a una discrepancia de criterios </w:t>
      </w:r>
      <w:r w:rsidR="00622E3F">
        <w:rPr>
          <w:szCs w:val="20"/>
          <w:lang w:val="es-CR"/>
        </w:rPr>
        <w:t>respecto de</w:t>
      </w:r>
      <w:r w:rsidR="00213112" w:rsidRPr="00213112">
        <w:rPr>
          <w:szCs w:val="20"/>
          <w:lang w:val="es-CR"/>
        </w:rPr>
        <w:t xml:space="preserve"> lo </w:t>
      </w:r>
      <w:r w:rsidR="00213112">
        <w:rPr>
          <w:szCs w:val="20"/>
          <w:lang w:val="es-CR"/>
        </w:rPr>
        <w:t>decidido por la Comisión</w:t>
      </w:r>
      <w:r w:rsidR="00213112" w:rsidRPr="00213112">
        <w:rPr>
          <w:szCs w:val="20"/>
          <w:lang w:val="es-CR"/>
        </w:rPr>
        <w:t xml:space="preserve">. </w:t>
      </w:r>
      <w:r w:rsidR="00213112">
        <w:rPr>
          <w:rFonts w:ascii="Times New Roman" w:hAnsi="Times New Roman"/>
          <w:sz w:val="24"/>
          <w:lang w:val="es-CR" w:eastAsia="es-CR"/>
        </w:rPr>
        <w:t xml:space="preserve"> </w:t>
      </w:r>
      <w:r w:rsidR="00213112" w:rsidRPr="00213112">
        <w:rPr>
          <w:szCs w:val="20"/>
          <w:lang w:val="es-CR"/>
        </w:rPr>
        <w:t xml:space="preserve">En segundo lugar, </w:t>
      </w:r>
      <w:r w:rsidR="00213112">
        <w:rPr>
          <w:szCs w:val="20"/>
          <w:lang w:val="es-CR"/>
        </w:rPr>
        <w:t xml:space="preserve">el Estado alegó su </w:t>
      </w:r>
      <w:r w:rsidR="00213112" w:rsidRPr="009F5067">
        <w:rPr>
          <w:szCs w:val="20"/>
          <w:lang w:val="es-CR"/>
        </w:rPr>
        <w:t>indefensión al no haber sido notificado del voto disi</w:t>
      </w:r>
      <w:r w:rsidR="00213112">
        <w:rPr>
          <w:szCs w:val="20"/>
          <w:lang w:val="es-CR"/>
        </w:rPr>
        <w:t>dente de tres Comisionados a</w:t>
      </w:r>
      <w:r>
        <w:rPr>
          <w:szCs w:val="20"/>
          <w:lang w:val="es-CR"/>
        </w:rPr>
        <w:t xml:space="preserve"> dicho</w:t>
      </w:r>
      <w:r w:rsidR="00213112">
        <w:rPr>
          <w:szCs w:val="20"/>
          <w:lang w:val="es-CR"/>
        </w:rPr>
        <w:t xml:space="preserve"> Informe</w:t>
      </w:r>
      <w:r>
        <w:rPr>
          <w:szCs w:val="20"/>
          <w:lang w:val="es-CR"/>
        </w:rPr>
        <w:t xml:space="preserve">. Además de notar que la Comisión </w:t>
      </w:r>
      <w:r w:rsidR="00213112" w:rsidRPr="00213112">
        <w:rPr>
          <w:szCs w:val="20"/>
          <w:lang w:val="es-CR"/>
        </w:rPr>
        <w:t>verificó que</w:t>
      </w:r>
      <w:r w:rsidR="00213112">
        <w:rPr>
          <w:szCs w:val="20"/>
          <w:lang w:val="es-CR"/>
        </w:rPr>
        <w:t xml:space="preserve"> </w:t>
      </w:r>
      <w:r w:rsidR="00622E3F">
        <w:rPr>
          <w:szCs w:val="20"/>
          <w:lang w:val="es-CR"/>
        </w:rPr>
        <w:t>sí notificó</w:t>
      </w:r>
      <w:r w:rsidR="00213112" w:rsidRPr="00213112">
        <w:rPr>
          <w:szCs w:val="20"/>
          <w:lang w:val="es-CR"/>
        </w:rPr>
        <w:t xml:space="preserve"> el Informe</w:t>
      </w:r>
      <w:r w:rsidR="00622E3F">
        <w:rPr>
          <w:szCs w:val="20"/>
          <w:lang w:val="es-CR"/>
        </w:rPr>
        <w:t xml:space="preserve"> junto con dicho voto</w:t>
      </w:r>
      <w:r>
        <w:rPr>
          <w:szCs w:val="20"/>
          <w:lang w:val="es-CR"/>
        </w:rPr>
        <w:t>,</w:t>
      </w:r>
      <w:r w:rsidR="00213112">
        <w:rPr>
          <w:szCs w:val="20"/>
          <w:lang w:val="es-CR"/>
        </w:rPr>
        <w:t xml:space="preserve"> el Tribunal consideró que </w:t>
      </w:r>
      <w:r w:rsidR="00213112" w:rsidRPr="00213112">
        <w:rPr>
          <w:szCs w:val="20"/>
          <w:lang w:val="es-CR"/>
        </w:rPr>
        <w:t>el Estado no argumentó en qué consistió el supuesto error grave en el procedimiento</w:t>
      </w:r>
      <w:r w:rsidR="00213112">
        <w:rPr>
          <w:szCs w:val="20"/>
          <w:lang w:val="es-CR"/>
        </w:rPr>
        <w:t>.</w:t>
      </w:r>
      <w:r w:rsidR="00213112" w:rsidRPr="00213112">
        <w:rPr>
          <w:szCs w:val="20"/>
          <w:lang w:val="es-CR"/>
        </w:rPr>
        <w:t xml:space="preserve"> En tercer lugar, el Estado alegó que la Comisión no justificó las razones que la llevaron a acumular la admisibilidad con el fondo en su Informe.</w:t>
      </w:r>
      <w:r w:rsidR="00213112" w:rsidRPr="00213112">
        <w:rPr>
          <w:lang w:val="es-CR"/>
        </w:rPr>
        <w:t xml:space="preserve"> </w:t>
      </w:r>
      <w:r w:rsidR="00213112" w:rsidRPr="00213112">
        <w:rPr>
          <w:szCs w:val="20"/>
          <w:lang w:val="es-CR"/>
        </w:rPr>
        <w:t>La</w:t>
      </w:r>
      <w:r w:rsidR="00213112">
        <w:rPr>
          <w:szCs w:val="20"/>
          <w:lang w:val="es-CR"/>
        </w:rPr>
        <w:t xml:space="preserve"> Corte estimó</w:t>
      </w:r>
      <w:r w:rsidR="00213112" w:rsidRPr="00213112">
        <w:rPr>
          <w:szCs w:val="20"/>
          <w:lang w:val="es-CR"/>
        </w:rPr>
        <w:t xml:space="preserve"> que lo que el Estado identific</w:t>
      </w:r>
      <w:r w:rsidR="00213112">
        <w:rPr>
          <w:szCs w:val="20"/>
          <w:lang w:val="es-CR"/>
        </w:rPr>
        <w:t>ó</w:t>
      </w:r>
      <w:r w:rsidR="00213112" w:rsidRPr="00213112">
        <w:rPr>
          <w:szCs w:val="20"/>
          <w:lang w:val="es-CR"/>
        </w:rPr>
        <w:t xml:space="preserve"> como un </w:t>
      </w:r>
      <w:r>
        <w:rPr>
          <w:szCs w:val="20"/>
          <w:lang w:val="es-CR"/>
        </w:rPr>
        <w:t xml:space="preserve">error en su perjuicio constituía </w:t>
      </w:r>
      <w:r w:rsidR="00213112" w:rsidRPr="00213112">
        <w:rPr>
          <w:szCs w:val="20"/>
          <w:lang w:val="es-CR"/>
        </w:rPr>
        <w:t xml:space="preserve">una actuación procesal de la Comisión en aplicación de una </w:t>
      </w:r>
      <w:r w:rsidR="00213112" w:rsidRPr="00213112">
        <w:rPr>
          <w:lang w:val="es-CR"/>
        </w:rPr>
        <w:t xml:space="preserve">norma reglamentaria entonces vigente, sin que haya demostrado en qué sentido la misma </w:t>
      </w:r>
      <w:r w:rsidR="00622E3F">
        <w:rPr>
          <w:lang w:val="es-CR"/>
        </w:rPr>
        <w:t xml:space="preserve">le </w:t>
      </w:r>
      <w:r w:rsidR="00213112" w:rsidRPr="00213112">
        <w:rPr>
          <w:szCs w:val="20"/>
          <w:lang w:val="es-CR"/>
        </w:rPr>
        <w:t xml:space="preserve">habría </w:t>
      </w:r>
      <w:r w:rsidR="00213112">
        <w:rPr>
          <w:szCs w:val="20"/>
          <w:lang w:val="es-CR"/>
        </w:rPr>
        <w:t xml:space="preserve">generado un perjuicio. </w:t>
      </w:r>
      <w:r w:rsidR="00213112" w:rsidRPr="00213112">
        <w:rPr>
          <w:lang w:val="es-CR"/>
        </w:rPr>
        <w:t xml:space="preserve">Por último, el Estado </w:t>
      </w:r>
      <w:r w:rsidR="00213112">
        <w:rPr>
          <w:lang w:val="es-CR"/>
        </w:rPr>
        <w:t xml:space="preserve">alegó que </w:t>
      </w:r>
      <w:r w:rsidR="00213112" w:rsidRPr="00213112">
        <w:rPr>
          <w:lang w:val="es-CR"/>
        </w:rPr>
        <w:t>la Comisión</w:t>
      </w:r>
      <w:r w:rsidR="00213112">
        <w:rPr>
          <w:lang w:val="es-CR"/>
        </w:rPr>
        <w:t xml:space="preserve"> realizó</w:t>
      </w:r>
      <w:r w:rsidR="00213112" w:rsidRPr="00213112">
        <w:rPr>
          <w:lang w:val="es-CR"/>
        </w:rPr>
        <w:t xml:space="preserve"> consideraciones que corresponden a los tribunales internos.</w:t>
      </w:r>
      <w:r w:rsidR="00213112">
        <w:rPr>
          <w:lang w:val="es-CR"/>
        </w:rPr>
        <w:t xml:space="preserve"> La Corte consideró que,</w:t>
      </w:r>
      <w:r>
        <w:rPr>
          <w:lang w:val="es-CR"/>
        </w:rPr>
        <w:t xml:space="preserve"> aún</w:t>
      </w:r>
      <w:r w:rsidR="00213112">
        <w:rPr>
          <w:lang w:val="es-CR"/>
        </w:rPr>
        <w:t xml:space="preserve"> e</w:t>
      </w:r>
      <w:r w:rsidR="00213112" w:rsidRPr="00213112">
        <w:rPr>
          <w:lang w:val="es-CR"/>
        </w:rPr>
        <w:t xml:space="preserve">n el supuesto de que tal argumentación fuera pertinente, ello no supondría obstáculo alguno </w:t>
      </w:r>
      <w:r w:rsidR="00213112" w:rsidRPr="00213112">
        <w:rPr>
          <w:szCs w:val="20"/>
          <w:lang w:val="es-CR"/>
        </w:rPr>
        <w:t xml:space="preserve">para el ejercicio de </w:t>
      </w:r>
      <w:r w:rsidR="002211E9">
        <w:rPr>
          <w:szCs w:val="20"/>
          <w:lang w:val="es-CR"/>
        </w:rPr>
        <w:t>su</w:t>
      </w:r>
      <w:r w:rsidR="00213112" w:rsidRPr="00213112">
        <w:rPr>
          <w:szCs w:val="20"/>
          <w:lang w:val="es-CR"/>
        </w:rPr>
        <w:t xml:space="preserve"> competencia</w:t>
      </w:r>
      <w:r w:rsidR="00213112" w:rsidRPr="00213112">
        <w:rPr>
          <w:lang w:val="es-CR"/>
        </w:rPr>
        <w:t>.</w:t>
      </w:r>
      <w:r w:rsidR="00F86D09">
        <w:rPr>
          <w:lang w:val="es-CR"/>
        </w:rPr>
        <w:t xml:space="preserve"> E</w:t>
      </w:r>
      <w:r w:rsidR="002211E9">
        <w:rPr>
          <w:szCs w:val="20"/>
          <w:lang w:val="es-CR"/>
        </w:rPr>
        <w:t xml:space="preserve">l Tribunal consideró que </w:t>
      </w:r>
      <w:r w:rsidR="00213112" w:rsidRPr="00213112">
        <w:rPr>
          <w:szCs w:val="20"/>
          <w:lang w:val="es-CR"/>
        </w:rPr>
        <w:t xml:space="preserve">no </w:t>
      </w:r>
      <w:r w:rsidR="002211E9">
        <w:rPr>
          <w:szCs w:val="20"/>
          <w:lang w:val="es-CR"/>
        </w:rPr>
        <w:t>l</w:t>
      </w:r>
      <w:r>
        <w:rPr>
          <w:szCs w:val="20"/>
          <w:lang w:val="es-CR"/>
        </w:rPr>
        <w:t>e</w:t>
      </w:r>
      <w:r w:rsidR="002211E9">
        <w:rPr>
          <w:szCs w:val="20"/>
          <w:lang w:val="es-CR"/>
        </w:rPr>
        <w:t xml:space="preserve"> correspondía </w:t>
      </w:r>
      <w:r w:rsidR="00213112" w:rsidRPr="00213112">
        <w:rPr>
          <w:szCs w:val="20"/>
          <w:lang w:val="es-CR"/>
        </w:rPr>
        <w:t xml:space="preserve">analizar lo precedentemente actuado por </w:t>
      </w:r>
      <w:r w:rsidR="002211E9">
        <w:rPr>
          <w:szCs w:val="20"/>
          <w:lang w:val="es-CR"/>
        </w:rPr>
        <w:t xml:space="preserve">la Comisión, por lo cual </w:t>
      </w:r>
      <w:r w:rsidR="002211E9">
        <w:rPr>
          <w:szCs w:val="16"/>
          <w:lang w:val="es-CR"/>
        </w:rPr>
        <w:t>declaró</w:t>
      </w:r>
      <w:r w:rsidR="002211E9" w:rsidRPr="00213112">
        <w:rPr>
          <w:szCs w:val="16"/>
          <w:lang w:val="es-CR"/>
        </w:rPr>
        <w:t xml:space="preserve"> improcedentes la segunda y tercera excepciones preliminares</w:t>
      </w:r>
      <w:r w:rsidR="002211E9">
        <w:rPr>
          <w:szCs w:val="16"/>
          <w:lang w:val="es-CR"/>
        </w:rPr>
        <w:t>.</w:t>
      </w:r>
    </w:p>
    <w:p w14:paraId="351FC918" w14:textId="77777777" w:rsidR="00213112" w:rsidRDefault="00213112" w:rsidP="00213112">
      <w:pPr>
        <w:tabs>
          <w:tab w:val="left" w:pos="720"/>
        </w:tabs>
        <w:ind w:right="-90"/>
        <w:jc w:val="both"/>
        <w:rPr>
          <w:szCs w:val="20"/>
          <w:lang w:val="es-CR"/>
        </w:rPr>
      </w:pPr>
    </w:p>
    <w:p w14:paraId="1F726ABF" w14:textId="77777777" w:rsidR="008F5D36" w:rsidRPr="0095153D" w:rsidRDefault="008F5D36" w:rsidP="008F5D36">
      <w:pPr>
        <w:jc w:val="both"/>
        <w:rPr>
          <w:szCs w:val="20"/>
          <w:lang w:val="es-CO"/>
        </w:rPr>
      </w:pPr>
    </w:p>
    <w:p w14:paraId="0375F0BD" w14:textId="77777777" w:rsidR="008F5D36" w:rsidRPr="0095153D" w:rsidRDefault="008F5D36" w:rsidP="008F5D36">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t>Hechos</w:t>
      </w:r>
    </w:p>
    <w:p w14:paraId="5EA143D9" w14:textId="77777777" w:rsidR="00F7063F" w:rsidRDefault="00F7063F" w:rsidP="00F7063F">
      <w:pPr>
        <w:rPr>
          <w:szCs w:val="20"/>
          <w:lang w:val="es-CR"/>
        </w:rPr>
      </w:pPr>
    </w:p>
    <w:p w14:paraId="6BB4B6B8" w14:textId="77777777" w:rsidR="00F7063F" w:rsidRPr="00F7063F" w:rsidRDefault="00F7063F" w:rsidP="00F7063F">
      <w:pPr>
        <w:pStyle w:val="Heading2"/>
        <w:keepNext w:val="0"/>
        <w:numPr>
          <w:ilvl w:val="0"/>
          <w:numId w:val="10"/>
        </w:numPr>
        <w:jc w:val="both"/>
        <w:rPr>
          <w:rFonts w:ascii="Verdana" w:hAnsi="Verdana"/>
        </w:rPr>
      </w:pPr>
      <w:bookmarkStart w:id="13" w:name="_Toc304195601"/>
      <w:bookmarkStart w:id="14" w:name="_Toc437435501"/>
      <w:r w:rsidRPr="00F7063F">
        <w:rPr>
          <w:rFonts w:ascii="Verdana" w:hAnsi="Verdana"/>
        </w:rPr>
        <w:t>La muerte de José Luis García Ibarra</w:t>
      </w:r>
      <w:bookmarkEnd w:id="13"/>
      <w:bookmarkEnd w:id="14"/>
      <w:r w:rsidRPr="00F7063F">
        <w:rPr>
          <w:rFonts w:ascii="Verdana" w:hAnsi="Verdana"/>
        </w:rPr>
        <w:t xml:space="preserve"> </w:t>
      </w:r>
    </w:p>
    <w:p w14:paraId="0ED29759" w14:textId="77777777" w:rsidR="00F7063F" w:rsidRPr="00F7063F" w:rsidRDefault="00F7063F" w:rsidP="00F7063F">
      <w:pPr>
        <w:rPr>
          <w:lang w:val="es-CR"/>
        </w:rPr>
      </w:pPr>
    </w:p>
    <w:p w14:paraId="4004F764" w14:textId="44A7B44E" w:rsidR="00B532EC" w:rsidRPr="002E36E7" w:rsidRDefault="00F7063F" w:rsidP="00B532EC">
      <w:pPr>
        <w:tabs>
          <w:tab w:val="left" w:pos="0"/>
          <w:tab w:val="left" w:pos="567"/>
        </w:tabs>
        <w:autoSpaceDE w:val="0"/>
        <w:autoSpaceDN w:val="0"/>
        <w:contextualSpacing/>
        <w:jc w:val="both"/>
        <w:rPr>
          <w:szCs w:val="20"/>
          <w:lang w:val="es-MX"/>
        </w:rPr>
      </w:pPr>
      <w:r w:rsidRPr="00DC51A7">
        <w:rPr>
          <w:lang w:val="es-MX"/>
        </w:rPr>
        <w:t xml:space="preserve">El 15 de septiembre de 1992, entre las 20:00 y 20:30 horas, José Luis García Ibarra se encontraba </w:t>
      </w:r>
      <w:r>
        <w:rPr>
          <w:lang w:val="es-MX"/>
        </w:rPr>
        <w:t>en una</w:t>
      </w:r>
      <w:r w:rsidRPr="00DC51A7">
        <w:rPr>
          <w:lang w:val="es-MX"/>
        </w:rPr>
        <w:t xml:space="preserve"> esquina </w:t>
      </w:r>
      <w:r>
        <w:rPr>
          <w:lang w:val="es-MX"/>
        </w:rPr>
        <w:t xml:space="preserve">en </w:t>
      </w:r>
      <w:r w:rsidRPr="00DC51A7">
        <w:rPr>
          <w:lang w:val="es-MX"/>
        </w:rPr>
        <w:t xml:space="preserve">el barrio de </w:t>
      </w:r>
      <w:proofErr w:type="spellStart"/>
      <w:r w:rsidRPr="00DC51A7">
        <w:rPr>
          <w:lang w:val="es-MX"/>
        </w:rPr>
        <w:t>Codesa</w:t>
      </w:r>
      <w:proofErr w:type="spellEnd"/>
      <w:r w:rsidRPr="00DC51A7">
        <w:rPr>
          <w:lang w:val="es-MX"/>
        </w:rPr>
        <w:t>, perteneciente a la Parroquia Vuelta Larga de la ciudad de Esmeraldas</w:t>
      </w:r>
      <w:r>
        <w:rPr>
          <w:lang w:val="es-MX"/>
        </w:rPr>
        <w:t>,</w:t>
      </w:r>
      <w:r w:rsidRPr="00DC51A7">
        <w:rPr>
          <w:lang w:val="es-MX"/>
        </w:rPr>
        <w:t xml:space="preserve"> </w:t>
      </w:r>
      <w:r>
        <w:rPr>
          <w:lang w:val="es-MX"/>
        </w:rPr>
        <w:t xml:space="preserve">Ecuador, </w:t>
      </w:r>
      <w:r w:rsidRPr="00DC51A7">
        <w:rPr>
          <w:lang w:val="es-MX"/>
        </w:rPr>
        <w:t xml:space="preserve">junto con </w:t>
      </w:r>
      <w:r>
        <w:rPr>
          <w:lang w:val="es-MX"/>
        </w:rPr>
        <w:t xml:space="preserve">otras personas. Al lugar </w:t>
      </w:r>
      <w:r w:rsidRPr="00DC51A7">
        <w:rPr>
          <w:lang w:val="es-MX"/>
        </w:rPr>
        <w:t xml:space="preserve">llegó </w:t>
      </w:r>
      <w:r w:rsidR="00307435" w:rsidRPr="00DC51A7">
        <w:rPr>
          <w:lang w:val="es-MX"/>
        </w:rPr>
        <w:t>Guillermo Segundo Cortez Escobedo</w:t>
      </w:r>
      <w:r w:rsidR="00307435">
        <w:rPr>
          <w:lang w:val="es-MX"/>
        </w:rPr>
        <w:t>,</w:t>
      </w:r>
      <w:r w:rsidRPr="00DC51A7">
        <w:rPr>
          <w:lang w:val="es-MX"/>
        </w:rPr>
        <w:t xml:space="preserve"> </w:t>
      </w:r>
      <w:r>
        <w:rPr>
          <w:lang w:val="es-MX"/>
        </w:rPr>
        <w:t xml:space="preserve">entonces agente de la </w:t>
      </w:r>
      <w:r w:rsidRPr="00DC51A7">
        <w:rPr>
          <w:lang w:val="es-MX"/>
        </w:rPr>
        <w:t>Policía Nacional</w:t>
      </w:r>
      <w:r w:rsidR="00307435">
        <w:rPr>
          <w:lang w:val="es-MX"/>
        </w:rPr>
        <w:t>, quien</w:t>
      </w:r>
      <w:r>
        <w:rPr>
          <w:lang w:val="es-MX"/>
        </w:rPr>
        <w:t>,</w:t>
      </w:r>
      <w:r w:rsidRPr="00DC51A7">
        <w:rPr>
          <w:lang w:val="es-MX"/>
        </w:rPr>
        <w:t xml:space="preserve"> tras </w:t>
      </w:r>
      <w:r>
        <w:rPr>
          <w:lang w:val="es-MX"/>
        </w:rPr>
        <w:t>una discusión</w:t>
      </w:r>
      <w:r w:rsidRPr="00DC51A7">
        <w:rPr>
          <w:lang w:val="es-MX"/>
        </w:rPr>
        <w:t xml:space="preserve"> </w:t>
      </w:r>
      <w:r w:rsidR="00307435">
        <w:rPr>
          <w:lang w:val="es-MX"/>
        </w:rPr>
        <w:t xml:space="preserve">o forcejeo </w:t>
      </w:r>
      <w:r w:rsidRPr="00DC51A7">
        <w:rPr>
          <w:lang w:val="es-MX"/>
        </w:rPr>
        <w:t xml:space="preserve">con </w:t>
      </w:r>
      <w:r>
        <w:rPr>
          <w:lang w:val="es-MX"/>
        </w:rPr>
        <w:t>una tercera persona y propinarle</w:t>
      </w:r>
      <w:r w:rsidRPr="00DC51A7">
        <w:rPr>
          <w:lang w:val="es-MX"/>
        </w:rPr>
        <w:t xml:space="preserve"> </w:t>
      </w:r>
      <w:r>
        <w:rPr>
          <w:lang w:val="es-MX"/>
        </w:rPr>
        <w:t>golpes y “cachazos”</w:t>
      </w:r>
      <w:r w:rsidR="00307435">
        <w:rPr>
          <w:lang w:val="es-MX"/>
        </w:rPr>
        <w:t>,</w:t>
      </w:r>
      <w:r>
        <w:rPr>
          <w:lang w:val="es-MX"/>
        </w:rPr>
        <w:t xml:space="preserve"> </w:t>
      </w:r>
      <w:r w:rsidR="00307435">
        <w:rPr>
          <w:lang w:val="es-MX"/>
        </w:rPr>
        <w:t>disparó su</w:t>
      </w:r>
      <w:r w:rsidR="00307435" w:rsidRPr="00DC51A7">
        <w:rPr>
          <w:lang w:val="es-MX"/>
        </w:rPr>
        <w:t xml:space="preserve"> arma</w:t>
      </w:r>
      <w:r w:rsidR="00307435">
        <w:rPr>
          <w:lang w:val="es-MX"/>
        </w:rPr>
        <w:t xml:space="preserve"> de dotación oficial, </w:t>
      </w:r>
      <w:r>
        <w:rPr>
          <w:lang w:val="es-MX"/>
        </w:rPr>
        <w:t>causando</w:t>
      </w:r>
      <w:r w:rsidRPr="00DC51A7">
        <w:rPr>
          <w:lang w:val="es-MX"/>
        </w:rPr>
        <w:t xml:space="preserve"> la muerte </w:t>
      </w:r>
      <w:r>
        <w:rPr>
          <w:lang w:val="es-MX"/>
        </w:rPr>
        <w:t xml:space="preserve">de </w:t>
      </w:r>
      <w:r w:rsidRPr="00DC51A7">
        <w:rPr>
          <w:lang w:val="es-MX"/>
        </w:rPr>
        <w:t>José Luis García Ibarra</w:t>
      </w:r>
      <w:r>
        <w:rPr>
          <w:lang w:val="es-MX"/>
        </w:rPr>
        <w:t>.</w:t>
      </w:r>
      <w:r w:rsidRPr="00DC51A7">
        <w:rPr>
          <w:lang w:val="es-MX"/>
        </w:rPr>
        <w:t xml:space="preserve"> </w:t>
      </w:r>
      <w:r>
        <w:rPr>
          <w:lang w:val="es-MX"/>
        </w:rPr>
        <w:t>A</w:t>
      </w:r>
      <w:r>
        <w:rPr>
          <w:szCs w:val="20"/>
          <w:lang w:val="es-MX"/>
        </w:rPr>
        <w:t>l momento de los hechos, d</w:t>
      </w:r>
      <w:r>
        <w:rPr>
          <w:lang w:val="es-MX"/>
        </w:rPr>
        <w:t xml:space="preserve">icho policía </w:t>
      </w:r>
      <w:r w:rsidRPr="002748E9">
        <w:rPr>
          <w:szCs w:val="20"/>
          <w:lang w:val="es-MX"/>
        </w:rPr>
        <w:t xml:space="preserve">se encontraba </w:t>
      </w:r>
      <w:r>
        <w:rPr>
          <w:szCs w:val="20"/>
          <w:lang w:val="es-MX"/>
        </w:rPr>
        <w:t xml:space="preserve">asignado </w:t>
      </w:r>
      <w:r w:rsidR="00B532EC">
        <w:rPr>
          <w:szCs w:val="20"/>
          <w:lang w:val="es-MX"/>
        </w:rPr>
        <w:t xml:space="preserve">provisionalmente al llamado “grupo antipandillas” </w:t>
      </w:r>
      <w:r w:rsidRPr="002748E9">
        <w:rPr>
          <w:szCs w:val="20"/>
          <w:lang w:val="es-MX"/>
        </w:rPr>
        <w:t xml:space="preserve">del Comando </w:t>
      </w:r>
      <w:r>
        <w:rPr>
          <w:szCs w:val="20"/>
          <w:lang w:val="es-MX"/>
        </w:rPr>
        <w:t xml:space="preserve">Provincial de Policía </w:t>
      </w:r>
      <w:r w:rsidRPr="002748E9">
        <w:rPr>
          <w:szCs w:val="20"/>
          <w:lang w:val="es-MX"/>
        </w:rPr>
        <w:t xml:space="preserve">de Esmeraldas </w:t>
      </w:r>
      <w:r>
        <w:rPr>
          <w:szCs w:val="20"/>
          <w:lang w:val="es-MX"/>
        </w:rPr>
        <w:t xml:space="preserve">No. 14 </w:t>
      </w:r>
      <w:r w:rsidR="00B532EC">
        <w:rPr>
          <w:szCs w:val="20"/>
          <w:lang w:val="es-MX"/>
        </w:rPr>
        <w:t xml:space="preserve">y se encontraba en servicio activo. </w:t>
      </w:r>
      <w:r>
        <w:rPr>
          <w:szCs w:val="20"/>
          <w:lang w:val="es-MX"/>
        </w:rPr>
        <w:t xml:space="preserve">Si bien no existe controversia alguna en cuanto a que el autor del disparo que causó la muerte del adolescente fue el referido agente policial, </w:t>
      </w:r>
      <w:r w:rsidR="00B532EC">
        <w:rPr>
          <w:szCs w:val="20"/>
          <w:lang w:val="es-MX"/>
        </w:rPr>
        <w:t xml:space="preserve">en el </w:t>
      </w:r>
      <w:r>
        <w:rPr>
          <w:szCs w:val="20"/>
          <w:lang w:val="es-MX"/>
        </w:rPr>
        <w:t>proceso penal fueron consideradas dos versiones de lo ocurrido:</w:t>
      </w:r>
      <w:r w:rsidR="00B532EC">
        <w:rPr>
          <w:szCs w:val="20"/>
          <w:lang w:val="es-MX"/>
        </w:rPr>
        <w:t xml:space="preserve"> por un lado, </w:t>
      </w:r>
      <w:r w:rsidR="00B532EC" w:rsidRPr="002E36E7">
        <w:rPr>
          <w:szCs w:val="20"/>
          <w:lang w:val="es-MX"/>
        </w:rPr>
        <w:t xml:space="preserve">que el policía </w:t>
      </w:r>
      <w:r w:rsidR="00B532EC">
        <w:rPr>
          <w:szCs w:val="20"/>
          <w:lang w:val="es-MX"/>
        </w:rPr>
        <w:t xml:space="preserve">le </w:t>
      </w:r>
      <w:r w:rsidR="00B532EC" w:rsidRPr="002E36E7">
        <w:rPr>
          <w:szCs w:val="20"/>
          <w:lang w:val="es-MX"/>
        </w:rPr>
        <w:t>disparó intencionalmente</w:t>
      </w:r>
      <w:r w:rsidR="00B532EC">
        <w:rPr>
          <w:szCs w:val="20"/>
          <w:lang w:val="es-MX"/>
        </w:rPr>
        <w:t>; p</w:t>
      </w:r>
      <w:r w:rsidR="00B532EC" w:rsidRPr="002E36E7">
        <w:rPr>
          <w:lang w:val="es-MX"/>
        </w:rPr>
        <w:t xml:space="preserve">or otro lado, </w:t>
      </w:r>
      <w:r w:rsidR="00B532EC">
        <w:rPr>
          <w:lang w:val="es-MX"/>
        </w:rPr>
        <w:t xml:space="preserve">el propio policía </w:t>
      </w:r>
      <w:r w:rsidR="00B532EC" w:rsidRPr="002E36E7">
        <w:rPr>
          <w:lang w:val="es-MX"/>
        </w:rPr>
        <w:t xml:space="preserve">afirmó que </w:t>
      </w:r>
      <w:r w:rsidR="00B532EC">
        <w:rPr>
          <w:lang w:val="es-MX"/>
        </w:rPr>
        <w:t xml:space="preserve">su </w:t>
      </w:r>
      <w:r w:rsidR="00B532EC" w:rsidRPr="002E36E7">
        <w:rPr>
          <w:lang w:val="es-MX"/>
        </w:rPr>
        <w:t>muerte fue accidental</w:t>
      </w:r>
      <w:r w:rsidR="00B532EC">
        <w:rPr>
          <w:lang w:val="es-MX"/>
        </w:rPr>
        <w:t xml:space="preserve"> producto de </w:t>
      </w:r>
      <w:r w:rsidR="00A17936">
        <w:rPr>
          <w:lang w:val="es-MX"/>
        </w:rPr>
        <w:t>dicho</w:t>
      </w:r>
      <w:r w:rsidR="00B532EC">
        <w:rPr>
          <w:lang w:val="es-MX"/>
        </w:rPr>
        <w:t xml:space="preserve"> forcejeo</w:t>
      </w:r>
      <w:r w:rsidR="00B532EC" w:rsidRPr="002E36E7">
        <w:rPr>
          <w:lang w:val="es-MX"/>
        </w:rPr>
        <w:t xml:space="preserve">. </w:t>
      </w:r>
    </w:p>
    <w:p w14:paraId="19938ACD" w14:textId="77777777" w:rsidR="00F7063F" w:rsidRPr="00A62C61" w:rsidRDefault="00F7063F" w:rsidP="00B532EC">
      <w:pPr>
        <w:tabs>
          <w:tab w:val="left" w:pos="0"/>
          <w:tab w:val="left" w:pos="567"/>
        </w:tabs>
        <w:autoSpaceDE w:val="0"/>
        <w:autoSpaceDN w:val="0"/>
        <w:contextualSpacing/>
        <w:jc w:val="both"/>
        <w:rPr>
          <w:szCs w:val="20"/>
          <w:lang w:val="es-MX"/>
        </w:rPr>
      </w:pPr>
      <w:r>
        <w:rPr>
          <w:szCs w:val="20"/>
          <w:lang w:val="es-MX"/>
        </w:rPr>
        <w:t xml:space="preserve"> </w:t>
      </w:r>
    </w:p>
    <w:p w14:paraId="4C409B49" w14:textId="77777777" w:rsidR="00F7063F" w:rsidRPr="00B532EC" w:rsidRDefault="00F7063F" w:rsidP="00F7063F">
      <w:pPr>
        <w:pStyle w:val="Heading2"/>
        <w:keepNext w:val="0"/>
        <w:numPr>
          <w:ilvl w:val="0"/>
          <w:numId w:val="10"/>
        </w:numPr>
        <w:jc w:val="both"/>
        <w:rPr>
          <w:rFonts w:ascii="Verdana" w:hAnsi="Verdana"/>
        </w:rPr>
      </w:pPr>
      <w:bookmarkStart w:id="15" w:name="_Toc304195602"/>
      <w:bookmarkStart w:id="16" w:name="_Toc437435502"/>
      <w:r w:rsidRPr="00B532EC">
        <w:rPr>
          <w:rFonts w:ascii="Verdana" w:hAnsi="Verdana"/>
        </w:rPr>
        <w:t>Investigaciones y procesos judiciales iniciados en relación con el homicidio de José Luis García Ibarra</w:t>
      </w:r>
      <w:bookmarkEnd w:id="15"/>
      <w:bookmarkEnd w:id="16"/>
      <w:r w:rsidRPr="00B532EC">
        <w:rPr>
          <w:rFonts w:ascii="Verdana" w:hAnsi="Verdana"/>
        </w:rPr>
        <w:t xml:space="preserve"> </w:t>
      </w:r>
    </w:p>
    <w:p w14:paraId="65921DED" w14:textId="77777777" w:rsidR="00F7063F" w:rsidRDefault="00F7063F" w:rsidP="00F7063F">
      <w:pPr>
        <w:pStyle w:val="Heading2"/>
        <w:ind w:left="720"/>
      </w:pPr>
    </w:p>
    <w:p w14:paraId="31930835" w14:textId="5A3EEF7A" w:rsidR="00F7063F" w:rsidRPr="00C1044D" w:rsidRDefault="00F7063F" w:rsidP="00537278">
      <w:pPr>
        <w:pStyle w:val="Heading2"/>
        <w:ind w:left="708"/>
        <w:jc w:val="both"/>
        <w:rPr>
          <w:rFonts w:ascii="Verdana" w:hAnsi="Verdana"/>
          <w:b w:val="0"/>
          <w:i/>
          <w:sz w:val="18"/>
        </w:rPr>
      </w:pPr>
      <w:bookmarkStart w:id="17" w:name="_Toc304195603"/>
      <w:bookmarkStart w:id="18" w:name="_Toc437435503"/>
      <w:r w:rsidRPr="00C1044D">
        <w:rPr>
          <w:rFonts w:ascii="Verdana" w:hAnsi="Verdana"/>
          <w:b w:val="0"/>
          <w:i/>
          <w:sz w:val="18"/>
        </w:rPr>
        <w:t>Actuaciones de la Comisaria Primera de Policía Nacional de Esmeraldas</w:t>
      </w:r>
      <w:bookmarkEnd w:id="17"/>
      <w:bookmarkEnd w:id="18"/>
      <w:r w:rsidR="00537278">
        <w:rPr>
          <w:rFonts w:ascii="Verdana" w:hAnsi="Verdana"/>
          <w:b w:val="0"/>
          <w:i/>
          <w:sz w:val="18"/>
        </w:rPr>
        <w:t>, del</w:t>
      </w:r>
      <w:r w:rsidRPr="00C1044D">
        <w:rPr>
          <w:rFonts w:ascii="Verdana" w:hAnsi="Verdana"/>
          <w:b w:val="0"/>
          <w:i/>
          <w:sz w:val="18"/>
        </w:rPr>
        <w:t xml:space="preserve"> </w:t>
      </w:r>
      <w:r w:rsidR="00537278" w:rsidRPr="00C1044D">
        <w:rPr>
          <w:rFonts w:ascii="Verdana" w:hAnsi="Verdana"/>
          <w:b w:val="0"/>
          <w:i/>
          <w:sz w:val="18"/>
        </w:rPr>
        <w:t>Juzgado Tercero de lo Penal de Esmeraldas</w:t>
      </w:r>
      <w:r w:rsidR="00537278" w:rsidRPr="00537278">
        <w:rPr>
          <w:rFonts w:ascii="Verdana" w:hAnsi="Verdana"/>
          <w:b w:val="0"/>
          <w:i/>
          <w:sz w:val="18"/>
        </w:rPr>
        <w:t xml:space="preserve"> </w:t>
      </w:r>
      <w:r w:rsidR="00537278">
        <w:rPr>
          <w:rFonts w:ascii="Verdana" w:hAnsi="Verdana"/>
          <w:b w:val="0"/>
          <w:i/>
          <w:sz w:val="18"/>
        </w:rPr>
        <w:t>y c</w:t>
      </w:r>
      <w:r w:rsidR="00537278" w:rsidRPr="00C1044D">
        <w:rPr>
          <w:rFonts w:ascii="Verdana" w:hAnsi="Verdana"/>
          <w:b w:val="0"/>
          <w:i/>
          <w:sz w:val="18"/>
        </w:rPr>
        <w:t>onflicto de competencias entre el fuero</w:t>
      </w:r>
      <w:r w:rsidR="00537278">
        <w:rPr>
          <w:rFonts w:ascii="Verdana" w:hAnsi="Verdana"/>
          <w:b w:val="0"/>
          <w:i/>
          <w:sz w:val="18"/>
        </w:rPr>
        <w:t xml:space="preserve"> penal</w:t>
      </w:r>
      <w:r w:rsidR="00537278" w:rsidRPr="00C1044D">
        <w:rPr>
          <w:rFonts w:ascii="Verdana" w:hAnsi="Verdana"/>
          <w:b w:val="0"/>
          <w:i/>
          <w:sz w:val="18"/>
        </w:rPr>
        <w:t xml:space="preserve"> policial y ordinario</w:t>
      </w:r>
    </w:p>
    <w:p w14:paraId="70AE9D70" w14:textId="77777777" w:rsidR="00F7063F" w:rsidRPr="00777AC3" w:rsidRDefault="00F7063F" w:rsidP="00F7063F">
      <w:pPr>
        <w:rPr>
          <w:lang w:val="es-CR"/>
        </w:rPr>
      </w:pPr>
    </w:p>
    <w:p w14:paraId="030E945C" w14:textId="448F687B" w:rsidR="00F7063F" w:rsidRPr="003E3C67" w:rsidRDefault="00B532EC" w:rsidP="00C1044D">
      <w:pPr>
        <w:tabs>
          <w:tab w:val="left" w:pos="0"/>
        </w:tabs>
        <w:autoSpaceDE w:val="0"/>
        <w:autoSpaceDN w:val="0"/>
        <w:contextualSpacing/>
        <w:jc w:val="both"/>
        <w:rPr>
          <w:szCs w:val="20"/>
          <w:lang w:val="es-MX"/>
        </w:rPr>
      </w:pPr>
      <w:r>
        <w:rPr>
          <w:lang w:val="es-MX"/>
        </w:rPr>
        <w:t>L</w:t>
      </w:r>
      <w:r w:rsidR="00F7063F" w:rsidRPr="00965AB2">
        <w:rPr>
          <w:lang w:val="es-MX"/>
        </w:rPr>
        <w:t>a Comisaria Primera de Policía Nacional</w:t>
      </w:r>
      <w:r w:rsidR="00F7063F">
        <w:rPr>
          <w:lang w:val="es-MX"/>
        </w:rPr>
        <w:t xml:space="preserve"> de Esmeraldas</w:t>
      </w:r>
      <w:r w:rsidR="00F7063F" w:rsidRPr="00965AB2">
        <w:rPr>
          <w:lang w:val="es-MX"/>
        </w:rPr>
        <w:t xml:space="preserve"> realizó un reconoc</w:t>
      </w:r>
      <w:r w:rsidR="00C1044D">
        <w:rPr>
          <w:lang w:val="es-MX"/>
        </w:rPr>
        <w:t xml:space="preserve">imiento </w:t>
      </w:r>
      <w:r w:rsidR="00EF360B">
        <w:rPr>
          <w:lang w:val="es-MX"/>
        </w:rPr>
        <w:t>del lugar de los hechos, así como</w:t>
      </w:r>
      <w:r w:rsidR="00F7063F" w:rsidRPr="00C9035D">
        <w:rPr>
          <w:szCs w:val="20"/>
          <w:lang w:val="es-MX"/>
        </w:rPr>
        <w:t xml:space="preserve"> reconocimiento, identificación y autopsia del cadáver</w:t>
      </w:r>
      <w:r w:rsidR="00EF360B">
        <w:rPr>
          <w:szCs w:val="20"/>
          <w:lang w:val="es-MX"/>
        </w:rPr>
        <w:t>, entre otras diligencias</w:t>
      </w:r>
      <w:r w:rsidR="00C1044D">
        <w:rPr>
          <w:szCs w:val="20"/>
          <w:lang w:val="es-MX"/>
        </w:rPr>
        <w:t>.</w:t>
      </w:r>
      <w:r w:rsidR="00EF360B">
        <w:rPr>
          <w:szCs w:val="20"/>
          <w:lang w:val="es-MX"/>
        </w:rPr>
        <w:t xml:space="preserve"> </w:t>
      </w:r>
      <w:r w:rsidR="00EF360B">
        <w:rPr>
          <w:lang w:val="es-MX"/>
        </w:rPr>
        <w:t xml:space="preserve">La señora </w:t>
      </w:r>
      <w:r w:rsidR="00EF360B" w:rsidRPr="00965AB2">
        <w:rPr>
          <w:lang w:val="es-MX"/>
        </w:rPr>
        <w:t>Vicenta Ibarra Ponce, madre de</w:t>
      </w:r>
      <w:r w:rsidR="00EF360B">
        <w:rPr>
          <w:lang w:val="es-MX"/>
        </w:rPr>
        <w:t>l adolescente</w:t>
      </w:r>
      <w:r w:rsidR="00EF360B" w:rsidRPr="00965AB2">
        <w:rPr>
          <w:lang w:val="es-MX"/>
        </w:rPr>
        <w:t xml:space="preserve">, </w:t>
      </w:r>
      <w:r w:rsidR="00EF360B">
        <w:rPr>
          <w:lang w:val="es-MX"/>
        </w:rPr>
        <w:t xml:space="preserve">presentó una denuncia contra el policía </w:t>
      </w:r>
      <w:r w:rsidR="00EF360B" w:rsidRPr="00965AB2">
        <w:rPr>
          <w:lang w:val="es-MX"/>
        </w:rPr>
        <w:t>ante dicha comisaría.</w:t>
      </w:r>
      <w:r w:rsidR="00EF360B">
        <w:rPr>
          <w:rFonts w:ascii="Cambria" w:hAnsi="Cambria"/>
          <w:color w:val="FF0000"/>
          <w:lang w:val="es-MX"/>
        </w:rPr>
        <w:t xml:space="preserve"> </w:t>
      </w:r>
      <w:r w:rsidR="00C1044D">
        <w:rPr>
          <w:szCs w:val="20"/>
          <w:lang w:val="es-MX"/>
        </w:rPr>
        <w:t xml:space="preserve">En </w:t>
      </w:r>
      <w:r w:rsidR="002052BE">
        <w:rPr>
          <w:szCs w:val="20"/>
          <w:lang w:val="es-MX"/>
        </w:rPr>
        <w:t>septiembre de 1992 la Comisarí</w:t>
      </w:r>
      <w:r w:rsidR="00F7063F" w:rsidRPr="00C9035D">
        <w:rPr>
          <w:szCs w:val="20"/>
          <w:lang w:val="es-MX"/>
        </w:rPr>
        <w:t xml:space="preserve">a ordenó </w:t>
      </w:r>
      <w:r w:rsidR="00EF360B">
        <w:rPr>
          <w:szCs w:val="20"/>
          <w:lang w:val="es-MX"/>
        </w:rPr>
        <w:t xml:space="preserve">que </w:t>
      </w:r>
      <w:r w:rsidR="00F7063F" w:rsidRPr="00C9035D">
        <w:rPr>
          <w:szCs w:val="20"/>
          <w:lang w:val="es-MX"/>
        </w:rPr>
        <w:t xml:space="preserve">se instruyera el sumario de ley contra Guillermo </w:t>
      </w:r>
      <w:proofErr w:type="spellStart"/>
      <w:r w:rsidR="00F7063F" w:rsidRPr="00C9035D">
        <w:rPr>
          <w:szCs w:val="20"/>
          <w:lang w:val="es-MX"/>
        </w:rPr>
        <w:t>Cortéz</w:t>
      </w:r>
      <w:proofErr w:type="spellEnd"/>
      <w:r w:rsidR="00F7063F" w:rsidRPr="00C9035D">
        <w:rPr>
          <w:szCs w:val="20"/>
          <w:lang w:val="es-MX"/>
        </w:rPr>
        <w:t xml:space="preserve"> Escobedo</w:t>
      </w:r>
      <w:r w:rsidR="00F7063F">
        <w:rPr>
          <w:szCs w:val="20"/>
          <w:lang w:val="es-MX"/>
        </w:rPr>
        <w:t>,</w:t>
      </w:r>
      <w:r w:rsidR="00F7063F" w:rsidRPr="00C9035D">
        <w:rPr>
          <w:szCs w:val="20"/>
          <w:lang w:val="es-MX"/>
        </w:rPr>
        <w:t xml:space="preserve"> “como presunto autor por el delito de asesinato del meno</w:t>
      </w:r>
      <w:r w:rsidR="00C1044D">
        <w:rPr>
          <w:szCs w:val="20"/>
          <w:lang w:val="es-MX"/>
        </w:rPr>
        <w:t xml:space="preserve">r”; </w:t>
      </w:r>
      <w:r w:rsidR="00F7063F" w:rsidRPr="00170C26">
        <w:rPr>
          <w:szCs w:val="20"/>
          <w:lang w:val="es-MX"/>
        </w:rPr>
        <w:t xml:space="preserve">ordenó </w:t>
      </w:r>
      <w:r w:rsidR="00C1044D">
        <w:rPr>
          <w:szCs w:val="20"/>
          <w:lang w:val="es-MX"/>
        </w:rPr>
        <w:t xml:space="preserve">su </w:t>
      </w:r>
      <w:r w:rsidR="00F7063F" w:rsidRPr="00170C26">
        <w:rPr>
          <w:szCs w:val="20"/>
          <w:lang w:val="es-MX"/>
        </w:rPr>
        <w:t xml:space="preserve">prisión preventiva en </w:t>
      </w:r>
      <w:r w:rsidR="00EF360B">
        <w:rPr>
          <w:szCs w:val="20"/>
          <w:lang w:val="es-MX"/>
        </w:rPr>
        <w:t>cuartel</w:t>
      </w:r>
      <w:r w:rsidR="002052BE">
        <w:rPr>
          <w:szCs w:val="20"/>
          <w:lang w:val="es-MX"/>
        </w:rPr>
        <w:t>es</w:t>
      </w:r>
      <w:r w:rsidR="00EF360B">
        <w:rPr>
          <w:szCs w:val="20"/>
          <w:lang w:val="es-MX"/>
        </w:rPr>
        <w:t xml:space="preserve"> de la Policía Nacional</w:t>
      </w:r>
      <w:r w:rsidR="00C1044D">
        <w:rPr>
          <w:szCs w:val="20"/>
          <w:lang w:val="es-MX"/>
        </w:rPr>
        <w:t xml:space="preserve"> y</w:t>
      </w:r>
      <w:r w:rsidR="00F7063F" w:rsidRPr="00C9035D">
        <w:rPr>
          <w:szCs w:val="20"/>
          <w:lang w:val="es-MX"/>
        </w:rPr>
        <w:t xml:space="preserve"> ordenó </w:t>
      </w:r>
      <w:r w:rsidR="00622E3F">
        <w:rPr>
          <w:szCs w:val="20"/>
          <w:lang w:val="es-MX"/>
        </w:rPr>
        <w:t>otras</w:t>
      </w:r>
      <w:r w:rsidR="00F7063F" w:rsidRPr="00C9035D">
        <w:rPr>
          <w:szCs w:val="20"/>
          <w:lang w:val="es-MX"/>
        </w:rPr>
        <w:t xml:space="preserve"> diligencias</w:t>
      </w:r>
      <w:r w:rsidR="00C1044D">
        <w:rPr>
          <w:szCs w:val="20"/>
          <w:lang w:val="es-MX"/>
        </w:rPr>
        <w:t xml:space="preserve">. </w:t>
      </w:r>
      <w:r w:rsidR="00EF360B">
        <w:rPr>
          <w:szCs w:val="20"/>
          <w:lang w:val="es-MX"/>
        </w:rPr>
        <w:t>L</w:t>
      </w:r>
      <w:r w:rsidR="00F7063F">
        <w:rPr>
          <w:szCs w:val="20"/>
          <w:lang w:val="es-MX"/>
        </w:rPr>
        <w:t>a señora</w:t>
      </w:r>
      <w:r w:rsidR="00C1044D">
        <w:rPr>
          <w:szCs w:val="20"/>
          <w:lang w:val="es-MX"/>
        </w:rPr>
        <w:t xml:space="preserve"> Ibarra Ponce </w:t>
      </w:r>
      <w:r w:rsidR="00F7063F" w:rsidRPr="00A67346">
        <w:rPr>
          <w:szCs w:val="20"/>
          <w:lang w:val="es-MX"/>
        </w:rPr>
        <w:t xml:space="preserve">alegó que el procesado </w:t>
      </w:r>
      <w:r w:rsidR="00C1044D">
        <w:rPr>
          <w:szCs w:val="20"/>
          <w:lang w:val="es-MX"/>
        </w:rPr>
        <w:t>no debía gozar</w:t>
      </w:r>
      <w:r w:rsidR="00F7063F" w:rsidRPr="00A67346">
        <w:rPr>
          <w:szCs w:val="20"/>
          <w:lang w:val="es-MX"/>
        </w:rPr>
        <w:t xml:space="preserve"> de fuero policial alguno</w:t>
      </w:r>
      <w:r w:rsidR="00C1044D">
        <w:rPr>
          <w:szCs w:val="20"/>
          <w:lang w:val="es-MX"/>
        </w:rPr>
        <w:t xml:space="preserve"> y</w:t>
      </w:r>
      <w:r w:rsidR="00F7063F" w:rsidRPr="00A67346">
        <w:rPr>
          <w:szCs w:val="20"/>
          <w:lang w:val="es-MX"/>
        </w:rPr>
        <w:t xml:space="preserve"> que debía seguir </w:t>
      </w:r>
      <w:r w:rsidR="00C1044D">
        <w:rPr>
          <w:szCs w:val="20"/>
          <w:lang w:val="es-MX"/>
        </w:rPr>
        <w:t>conociendo el</w:t>
      </w:r>
      <w:r w:rsidR="00F7063F" w:rsidRPr="00A67346">
        <w:rPr>
          <w:szCs w:val="20"/>
          <w:lang w:val="es-MX"/>
        </w:rPr>
        <w:t xml:space="preserve"> fuero civil</w:t>
      </w:r>
      <w:r w:rsidR="00C1044D">
        <w:rPr>
          <w:szCs w:val="20"/>
          <w:lang w:val="es-MX"/>
        </w:rPr>
        <w:t>. L</w:t>
      </w:r>
      <w:r w:rsidR="00F7063F">
        <w:rPr>
          <w:szCs w:val="20"/>
          <w:lang w:val="es-MX"/>
        </w:rPr>
        <w:t>a Comisaría</w:t>
      </w:r>
      <w:r w:rsidR="00F7063F" w:rsidRPr="00C9035D">
        <w:rPr>
          <w:szCs w:val="20"/>
          <w:lang w:val="es-MX"/>
        </w:rPr>
        <w:t xml:space="preserve"> remitió el proceso </w:t>
      </w:r>
      <w:r w:rsidR="002052BE">
        <w:rPr>
          <w:szCs w:val="20"/>
          <w:lang w:val="es-MX"/>
        </w:rPr>
        <w:t>a</w:t>
      </w:r>
      <w:r w:rsidR="00F7063F" w:rsidRPr="00C9035D">
        <w:rPr>
          <w:szCs w:val="20"/>
          <w:lang w:val="es-MX"/>
        </w:rPr>
        <w:t xml:space="preserve"> la Corte Superior de Justicia de Esmeraldas, </w:t>
      </w:r>
      <w:r w:rsidR="00C1044D">
        <w:rPr>
          <w:szCs w:val="20"/>
          <w:lang w:val="es-MX"/>
        </w:rPr>
        <w:t>luego de lo cual c</w:t>
      </w:r>
      <w:r w:rsidR="00F7063F">
        <w:rPr>
          <w:szCs w:val="20"/>
          <w:lang w:val="es-MX"/>
        </w:rPr>
        <w:t>orrespondió</w:t>
      </w:r>
      <w:r w:rsidR="00F7063F" w:rsidRPr="00C9035D">
        <w:rPr>
          <w:szCs w:val="20"/>
          <w:lang w:val="es-MX"/>
        </w:rPr>
        <w:t xml:space="preserve"> </w:t>
      </w:r>
      <w:r w:rsidR="00F7063F">
        <w:rPr>
          <w:szCs w:val="20"/>
          <w:lang w:val="es-MX"/>
        </w:rPr>
        <w:t xml:space="preserve">el </w:t>
      </w:r>
      <w:r w:rsidR="00F7063F" w:rsidRPr="00C9035D">
        <w:rPr>
          <w:szCs w:val="20"/>
          <w:lang w:val="es-MX"/>
        </w:rPr>
        <w:t xml:space="preserve">conocimiento </w:t>
      </w:r>
      <w:r w:rsidR="00F7063F">
        <w:rPr>
          <w:szCs w:val="20"/>
          <w:lang w:val="es-MX"/>
        </w:rPr>
        <w:t xml:space="preserve">del proceso </w:t>
      </w:r>
      <w:r w:rsidR="00F7063F" w:rsidRPr="00C9035D">
        <w:rPr>
          <w:szCs w:val="20"/>
          <w:lang w:val="es-MX"/>
        </w:rPr>
        <w:t xml:space="preserve">al Juzgado Tercero de lo Penal de Esmeraldas. </w:t>
      </w:r>
      <w:r w:rsidR="00C1044D">
        <w:rPr>
          <w:szCs w:val="20"/>
          <w:lang w:val="es-MX"/>
        </w:rPr>
        <w:t>En</w:t>
      </w:r>
      <w:r w:rsidR="00EF360B">
        <w:rPr>
          <w:szCs w:val="20"/>
          <w:lang w:val="es-MX"/>
        </w:rPr>
        <w:t xml:space="preserve"> octubre de 1992 </w:t>
      </w:r>
      <w:r w:rsidR="00EF360B">
        <w:rPr>
          <w:szCs w:val="20"/>
          <w:lang w:val="es-MX"/>
        </w:rPr>
        <w:lastRenderedPageBreak/>
        <w:t>este</w:t>
      </w:r>
      <w:r w:rsidR="00F7063F" w:rsidRPr="003E3C67">
        <w:rPr>
          <w:szCs w:val="20"/>
          <w:lang w:val="es-MX"/>
        </w:rPr>
        <w:t xml:space="preserve"> </w:t>
      </w:r>
      <w:r w:rsidR="00622E3F">
        <w:rPr>
          <w:szCs w:val="20"/>
          <w:lang w:val="es-MX"/>
        </w:rPr>
        <w:t>j</w:t>
      </w:r>
      <w:r w:rsidR="00F7063F" w:rsidRPr="003E3C67">
        <w:rPr>
          <w:szCs w:val="20"/>
          <w:lang w:val="es-MX"/>
        </w:rPr>
        <w:t>uzgado confirmó la or</w:t>
      </w:r>
      <w:r w:rsidR="00622E3F">
        <w:rPr>
          <w:szCs w:val="20"/>
          <w:lang w:val="es-MX"/>
        </w:rPr>
        <w:t xml:space="preserve">den de </w:t>
      </w:r>
      <w:r w:rsidR="00F7063F" w:rsidRPr="003E3C67">
        <w:rPr>
          <w:szCs w:val="20"/>
          <w:lang w:val="es-MX"/>
        </w:rPr>
        <w:t>prisión preventiva</w:t>
      </w:r>
      <w:r w:rsidR="00C1044D">
        <w:rPr>
          <w:szCs w:val="20"/>
          <w:lang w:val="es-MX"/>
        </w:rPr>
        <w:t>;</w:t>
      </w:r>
      <w:r w:rsidR="00F7063F" w:rsidRPr="003E3C67">
        <w:rPr>
          <w:szCs w:val="20"/>
          <w:lang w:val="es-MX"/>
        </w:rPr>
        <w:t xml:space="preserve"> admitió a trámite la acusación particular present</w:t>
      </w:r>
      <w:r w:rsidR="00C1044D">
        <w:rPr>
          <w:szCs w:val="20"/>
          <w:lang w:val="es-MX"/>
        </w:rPr>
        <w:t>ada por la señora Ibarra Ponce</w:t>
      </w:r>
      <w:r w:rsidR="00EF360B">
        <w:rPr>
          <w:szCs w:val="20"/>
          <w:lang w:val="es-MX"/>
        </w:rPr>
        <w:t xml:space="preserve"> </w:t>
      </w:r>
      <w:r w:rsidR="00F7063F" w:rsidRPr="003E3C67">
        <w:rPr>
          <w:szCs w:val="20"/>
          <w:lang w:val="es-MX"/>
        </w:rPr>
        <w:t xml:space="preserve">y ordenó distintas diligencias. </w:t>
      </w:r>
    </w:p>
    <w:p w14:paraId="20F95503" w14:textId="77777777" w:rsidR="00F7063F" w:rsidRDefault="00F7063F" w:rsidP="00C1044D">
      <w:pPr>
        <w:tabs>
          <w:tab w:val="left" w:pos="0"/>
        </w:tabs>
        <w:autoSpaceDE w:val="0"/>
        <w:autoSpaceDN w:val="0"/>
        <w:contextualSpacing/>
        <w:rPr>
          <w:szCs w:val="20"/>
          <w:lang w:val="es-MX"/>
        </w:rPr>
      </w:pPr>
    </w:p>
    <w:p w14:paraId="34663B8B" w14:textId="20CF3999" w:rsidR="00F7063F" w:rsidRPr="00537278" w:rsidRDefault="00F7063F" w:rsidP="00537278">
      <w:pPr>
        <w:tabs>
          <w:tab w:val="left" w:pos="0"/>
        </w:tabs>
        <w:autoSpaceDE w:val="0"/>
        <w:autoSpaceDN w:val="0"/>
        <w:contextualSpacing/>
        <w:jc w:val="both"/>
        <w:rPr>
          <w:b/>
          <w:i/>
          <w:sz w:val="18"/>
          <w:lang w:val="es-CR"/>
        </w:rPr>
      </w:pPr>
      <w:r>
        <w:rPr>
          <w:szCs w:val="20"/>
          <w:lang w:val="es-MX"/>
        </w:rPr>
        <w:t>Paralelamente, e</w:t>
      </w:r>
      <w:r w:rsidRPr="00AF0696">
        <w:rPr>
          <w:szCs w:val="20"/>
          <w:lang w:val="es-MX"/>
        </w:rPr>
        <w:t xml:space="preserve">l 13 de enero de 1993 el </w:t>
      </w:r>
      <w:r w:rsidR="00622E3F">
        <w:rPr>
          <w:szCs w:val="20"/>
          <w:lang w:val="es-MX"/>
        </w:rPr>
        <w:t>j</w:t>
      </w:r>
      <w:r>
        <w:rPr>
          <w:szCs w:val="20"/>
          <w:lang w:val="es-MX"/>
        </w:rPr>
        <w:t>uzgado</w:t>
      </w:r>
      <w:r w:rsidRPr="00AF0696">
        <w:rPr>
          <w:szCs w:val="20"/>
          <w:lang w:val="es-MX"/>
        </w:rPr>
        <w:t xml:space="preserve"> </w:t>
      </w:r>
      <w:r w:rsidR="00622E3F">
        <w:rPr>
          <w:szCs w:val="20"/>
          <w:lang w:val="es-MX"/>
        </w:rPr>
        <w:t>p</w:t>
      </w:r>
      <w:r w:rsidRPr="00AF0696">
        <w:rPr>
          <w:szCs w:val="20"/>
          <w:lang w:val="es-MX"/>
        </w:rPr>
        <w:t xml:space="preserve">rimero del </w:t>
      </w:r>
      <w:r w:rsidR="00622E3F">
        <w:rPr>
          <w:szCs w:val="20"/>
          <w:lang w:val="es-MX"/>
        </w:rPr>
        <w:t>p</w:t>
      </w:r>
      <w:r w:rsidRPr="00AF0696">
        <w:rPr>
          <w:szCs w:val="20"/>
          <w:lang w:val="es-MX"/>
        </w:rPr>
        <w:t xml:space="preserve">rimer </w:t>
      </w:r>
      <w:r w:rsidR="00622E3F">
        <w:rPr>
          <w:szCs w:val="20"/>
          <w:lang w:val="es-MX"/>
        </w:rPr>
        <w:t>d</w:t>
      </w:r>
      <w:r w:rsidRPr="00AF0696">
        <w:rPr>
          <w:szCs w:val="20"/>
          <w:lang w:val="es-MX"/>
        </w:rPr>
        <w:t>istrito de la Policía Nacional</w:t>
      </w:r>
      <w:r>
        <w:rPr>
          <w:szCs w:val="20"/>
          <w:lang w:val="es-MX"/>
        </w:rPr>
        <w:t>, correspondiente al fuero policial,</w:t>
      </w:r>
      <w:r w:rsidRPr="00AF0696">
        <w:rPr>
          <w:szCs w:val="20"/>
          <w:lang w:val="es-MX"/>
        </w:rPr>
        <w:t xml:space="preserve"> ordenó </w:t>
      </w:r>
      <w:r w:rsidR="006F2C08">
        <w:rPr>
          <w:szCs w:val="20"/>
          <w:lang w:val="es-MX"/>
        </w:rPr>
        <w:t xml:space="preserve">diligencias de investigación y </w:t>
      </w:r>
      <w:r w:rsidR="00622E3F">
        <w:rPr>
          <w:szCs w:val="20"/>
          <w:lang w:val="es-MX"/>
        </w:rPr>
        <w:t>solicitó al j</w:t>
      </w:r>
      <w:r w:rsidRPr="00C65858">
        <w:rPr>
          <w:szCs w:val="20"/>
          <w:lang w:val="es-MX"/>
        </w:rPr>
        <w:t xml:space="preserve">uzgado </w:t>
      </w:r>
      <w:r w:rsidR="00622E3F">
        <w:rPr>
          <w:szCs w:val="20"/>
          <w:lang w:val="es-MX"/>
        </w:rPr>
        <w:t>t</w:t>
      </w:r>
      <w:r w:rsidRPr="00C65858">
        <w:rPr>
          <w:szCs w:val="20"/>
          <w:lang w:val="es-MX"/>
        </w:rPr>
        <w:t xml:space="preserve">ercero de lo </w:t>
      </w:r>
      <w:r w:rsidR="00622E3F">
        <w:rPr>
          <w:szCs w:val="20"/>
          <w:lang w:val="es-MX"/>
        </w:rPr>
        <w:t>p</w:t>
      </w:r>
      <w:r w:rsidRPr="00C65858">
        <w:rPr>
          <w:szCs w:val="20"/>
          <w:lang w:val="es-MX"/>
        </w:rPr>
        <w:t>enal</w:t>
      </w:r>
      <w:r>
        <w:rPr>
          <w:szCs w:val="20"/>
          <w:lang w:val="es-MX"/>
        </w:rPr>
        <w:t xml:space="preserve"> de Esmeraldas </w:t>
      </w:r>
      <w:r w:rsidR="006F2C08">
        <w:rPr>
          <w:szCs w:val="20"/>
          <w:lang w:val="es-MX"/>
        </w:rPr>
        <w:t xml:space="preserve">que </w:t>
      </w:r>
      <w:r>
        <w:rPr>
          <w:szCs w:val="20"/>
          <w:lang w:val="es-MX"/>
        </w:rPr>
        <w:t xml:space="preserve">se inhibiera de </w:t>
      </w:r>
      <w:r w:rsidRPr="00C65858">
        <w:rPr>
          <w:szCs w:val="20"/>
          <w:lang w:val="es-MX"/>
        </w:rPr>
        <w:t xml:space="preserve">continuar en el conocimiento de la causa penal. </w:t>
      </w:r>
      <w:r w:rsidR="00EF360B">
        <w:rPr>
          <w:szCs w:val="20"/>
          <w:lang w:val="es-MX"/>
        </w:rPr>
        <w:t xml:space="preserve">Luego de varios trámites, </w:t>
      </w:r>
      <w:r w:rsidR="006F2C08">
        <w:rPr>
          <w:szCs w:val="20"/>
          <w:lang w:val="es-MX"/>
        </w:rPr>
        <w:t xml:space="preserve">la </w:t>
      </w:r>
      <w:r w:rsidRPr="00361D06">
        <w:rPr>
          <w:szCs w:val="20"/>
          <w:lang w:val="es-MX"/>
        </w:rPr>
        <w:t>Corte Superior de Justicia de</w:t>
      </w:r>
      <w:r w:rsidR="00EF360B">
        <w:rPr>
          <w:szCs w:val="20"/>
          <w:lang w:val="es-MX"/>
        </w:rPr>
        <w:t xml:space="preserve"> Quito dispuso </w:t>
      </w:r>
      <w:r w:rsidR="006F2C08">
        <w:rPr>
          <w:szCs w:val="20"/>
          <w:lang w:val="es-MX"/>
        </w:rPr>
        <w:t>que</w:t>
      </w:r>
      <w:r>
        <w:rPr>
          <w:szCs w:val="20"/>
          <w:lang w:val="es-MX"/>
        </w:rPr>
        <w:t xml:space="preserve"> </w:t>
      </w:r>
      <w:r w:rsidR="00EF360B">
        <w:rPr>
          <w:szCs w:val="20"/>
          <w:lang w:val="es-MX"/>
        </w:rPr>
        <w:t xml:space="preserve">no </w:t>
      </w:r>
      <w:proofErr w:type="gramStart"/>
      <w:r w:rsidR="00EF360B">
        <w:rPr>
          <w:szCs w:val="20"/>
          <w:lang w:val="es-MX"/>
        </w:rPr>
        <w:t>había</w:t>
      </w:r>
      <w:proofErr w:type="gramEnd"/>
      <w:r w:rsidR="00EF360B">
        <w:rPr>
          <w:szCs w:val="20"/>
          <w:lang w:val="es-MX"/>
        </w:rPr>
        <w:t xml:space="preserve"> competencia que dirimir y </w:t>
      </w:r>
      <w:r w:rsidRPr="00361D06">
        <w:rPr>
          <w:szCs w:val="20"/>
          <w:lang w:val="es-MX"/>
        </w:rPr>
        <w:t xml:space="preserve">devolvió </w:t>
      </w:r>
      <w:r w:rsidR="006F2C08">
        <w:rPr>
          <w:szCs w:val="20"/>
          <w:lang w:val="es-MX"/>
        </w:rPr>
        <w:t>el expediente</w:t>
      </w:r>
      <w:r w:rsidR="00537278">
        <w:rPr>
          <w:szCs w:val="20"/>
          <w:lang w:val="es-MX"/>
        </w:rPr>
        <w:t xml:space="preserve"> </w:t>
      </w:r>
      <w:r w:rsidRPr="00C9035D">
        <w:rPr>
          <w:szCs w:val="20"/>
          <w:lang w:val="es-MX"/>
        </w:rPr>
        <w:t xml:space="preserve">al </w:t>
      </w:r>
      <w:r w:rsidR="00537278">
        <w:rPr>
          <w:szCs w:val="20"/>
          <w:lang w:val="es-MX"/>
        </w:rPr>
        <w:t>j</w:t>
      </w:r>
      <w:r w:rsidRPr="00C9035D">
        <w:rPr>
          <w:szCs w:val="20"/>
          <w:lang w:val="es-MX"/>
        </w:rPr>
        <w:t xml:space="preserve">uzgado </w:t>
      </w:r>
      <w:r w:rsidR="00537278">
        <w:rPr>
          <w:szCs w:val="20"/>
          <w:lang w:val="es-MX"/>
        </w:rPr>
        <w:t>tercero.</w:t>
      </w:r>
    </w:p>
    <w:p w14:paraId="5107146B" w14:textId="77777777" w:rsidR="00F7063F" w:rsidRDefault="00F7063F" w:rsidP="00C1044D">
      <w:pPr>
        <w:tabs>
          <w:tab w:val="left" w:pos="0"/>
          <w:tab w:val="left" w:pos="567"/>
        </w:tabs>
        <w:autoSpaceDE w:val="0"/>
        <w:autoSpaceDN w:val="0"/>
        <w:contextualSpacing/>
        <w:rPr>
          <w:szCs w:val="20"/>
          <w:lang w:val="es-MX"/>
        </w:rPr>
      </w:pPr>
    </w:p>
    <w:p w14:paraId="17A72D4E" w14:textId="6BE9A874" w:rsidR="00F7063F" w:rsidRPr="00C76D32" w:rsidRDefault="00537278" w:rsidP="006F2C08">
      <w:pPr>
        <w:tabs>
          <w:tab w:val="left" w:pos="0"/>
        </w:tabs>
        <w:autoSpaceDE w:val="0"/>
        <w:autoSpaceDN w:val="0"/>
        <w:contextualSpacing/>
        <w:jc w:val="both"/>
        <w:rPr>
          <w:szCs w:val="20"/>
          <w:lang w:val="es-MX"/>
        </w:rPr>
      </w:pPr>
      <w:r>
        <w:rPr>
          <w:szCs w:val="20"/>
          <w:lang w:val="es-MX"/>
        </w:rPr>
        <w:t>El j</w:t>
      </w:r>
      <w:r w:rsidR="00F7063F" w:rsidRPr="00C9035D">
        <w:rPr>
          <w:szCs w:val="20"/>
          <w:lang w:val="es-MX"/>
        </w:rPr>
        <w:t xml:space="preserve">uzgado </w:t>
      </w:r>
      <w:r>
        <w:rPr>
          <w:szCs w:val="20"/>
          <w:lang w:val="es-MX"/>
        </w:rPr>
        <w:t>t</w:t>
      </w:r>
      <w:r w:rsidR="00F7063F" w:rsidRPr="00C9035D">
        <w:rPr>
          <w:szCs w:val="20"/>
          <w:lang w:val="es-MX"/>
        </w:rPr>
        <w:t xml:space="preserve">ercero de lo </w:t>
      </w:r>
      <w:r>
        <w:rPr>
          <w:szCs w:val="20"/>
          <w:lang w:val="es-MX"/>
        </w:rPr>
        <w:t>p</w:t>
      </w:r>
      <w:r w:rsidR="00F7063F" w:rsidRPr="00C9035D">
        <w:rPr>
          <w:szCs w:val="20"/>
          <w:lang w:val="es-MX"/>
        </w:rPr>
        <w:t xml:space="preserve">enal de Esmeraldas </w:t>
      </w:r>
      <w:r w:rsidR="006F2C08">
        <w:rPr>
          <w:szCs w:val="20"/>
          <w:lang w:val="es-MX"/>
        </w:rPr>
        <w:t xml:space="preserve">realizó otras diligencias y en </w:t>
      </w:r>
      <w:r w:rsidR="00F7063F" w:rsidRPr="00C9035D">
        <w:rPr>
          <w:szCs w:val="20"/>
          <w:lang w:val="es-MX"/>
        </w:rPr>
        <w:t>febrero de 1994 cerró e</w:t>
      </w:r>
      <w:r>
        <w:rPr>
          <w:szCs w:val="20"/>
          <w:lang w:val="es-MX"/>
        </w:rPr>
        <w:t>l sumario</w:t>
      </w:r>
      <w:r w:rsidR="0090400B">
        <w:rPr>
          <w:szCs w:val="20"/>
          <w:lang w:val="es-MX"/>
        </w:rPr>
        <w:t xml:space="preserve">. El </w:t>
      </w:r>
      <w:r w:rsidR="00F7063F" w:rsidRPr="00C9035D">
        <w:rPr>
          <w:szCs w:val="20"/>
          <w:lang w:val="es-MX"/>
        </w:rPr>
        <w:t>16 de marzo</w:t>
      </w:r>
      <w:r w:rsidR="00F7063F">
        <w:rPr>
          <w:szCs w:val="20"/>
          <w:lang w:val="es-MX"/>
        </w:rPr>
        <w:t xml:space="preserve"> siguiente</w:t>
      </w:r>
      <w:r w:rsidR="0090400B">
        <w:rPr>
          <w:szCs w:val="20"/>
          <w:lang w:val="es-MX"/>
        </w:rPr>
        <w:t xml:space="preserve"> el fiscal emitió dictamen</w:t>
      </w:r>
      <w:r w:rsidR="00F7063F">
        <w:rPr>
          <w:szCs w:val="20"/>
          <w:lang w:val="es-MX"/>
        </w:rPr>
        <w:t>,</w:t>
      </w:r>
      <w:r w:rsidR="00F7063F" w:rsidRPr="00C9035D">
        <w:rPr>
          <w:szCs w:val="20"/>
          <w:lang w:val="es-MX"/>
        </w:rPr>
        <w:t xml:space="preserve"> en </w:t>
      </w:r>
      <w:r w:rsidR="006F2C08">
        <w:rPr>
          <w:szCs w:val="20"/>
          <w:lang w:val="es-MX"/>
        </w:rPr>
        <w:t xml:space="preserve">el que </w:t>
      </w:r>
      <w:r w:rsidR="00F7063F" w:rsidRPr="00C9035D">
        <w:rPr>
          <w:szCs w:val="20"/>
          <w:lang w:val="es-MX"/>
        </w:rPr>
        <w:t>acusó a</w:t>
      </w:r>
      <w:r>
        <w:rPr>
          <w:szCs w:val="20"/>
          <w:lang w:val="es-MX"/>
        </w:rPr>
        <w:t>l policía</w:t>
      </w:r>
      <w:r w:rsidR="006F2C08">
        <w:rPr>
          <w:szCs w:val="20"/>
          <w:lang w:val="es-MX"/>
        </w:rPr>
        <w:t xml:space="preserve"> como autor</w:t>
      </w:r>
      <w:r>
        <w:rPr>
          <w:szCs w:val="20"/>
          <w:lang w:val="es-MX"/>
        </w:rPr>
        <w:t xml:space="preserve"> del delito de asesinato</w:t>
      </w:r>
      <w:r w:rsidR="0090400B">
        <w:rPr>
          <w:szCs w:val="20"/>
          <w:lang w:val="es-MX"/>
        </w:rPr>
        <w:t xml:space="preserve">, </w:t>
      </w:r>
      <w:r w:rsidR="0090400B" w:rsidRPr="00F10AC7">
        <w:rPr>
          <w:lang w:val="es-CR"/>
        </w:rPr>
        <w:t>considerando que el joven García Ibarra no tuvo participación en lo ocurrido entre aquél y otro joven, que no estaba armado, que no había ofrecido algún tipo de resistencia y que el policía actuó con intencionalidad de matar o con alevosía</w:t>
      </w:r>
      <w:r w:rsidR="00EF360B">
        <w:rPr>
          <w:szCs w:val="20"/>
          <w:lang w:val="es-MX"/>
        </w:rPr>
        <w:t xml:space="preserve">. </w:t>
      </w:r>
      <w:r w:rsidR="006F2C08">
        <w:rPr>
          <w:szCs w:val="20"/>
          <w:lang w:val="es-MX"/>
        </w:rPr>
        <w:t xml:space="preserve">En </w:t>
      </w:r>
      <w:r w:rsidR="00F7063F" w:rsidRPr="00B6304A">
        <w:rPr>
          <w:szCs w:val="20"/>
          <w:lang w:val="es-MX"/>
        </w:rPr>
        <w:t>mayo de 1994 el Juzgado Tercero de lo Penal de Esmeraldas dictó auto de apertura a plenario</w:t>
      </w:r>
      <w:r w:rsidR="00F7063F">
        <w:rPr>
          <w:szCs w:val="20"/>
          <w:lang w:val="es-MX"/>
        </w:rPr>
        <w:t xml:space="preserve"> en contra del i</w:t>
      </w:r>
      <w:r w:rsidR="006F2C08">
        <w:rPr>
          <w:szCs w:val="20"/>
          <w:lang w:val="es-MX"/>
        </w:rPr>
        <w:t>mputado.</w:t>
      </w:r>
    </w:p>
    <w:p w14:paraId="0381DA6A" w14:textId="77777777" w:rsidR="00F7063F" w:rsidRDefault="00F7063F" w:rsidP="00C1044D">
      <w:pPr>
        <w:rPr>
          <w:lang w:val="es-MX"/>
        </w:rPr>
      </w:pPr>
    </w:p>
    <w:p w14:paraId="27A4B627" w14:textId="1F0F7C42" w:rsidR="00F7063F" w:rsidRPr="006F2C08" w:rsidRDefault="00F7063F" w:rsidP="006F2C08">
      <w:pPr>
        <w:pStyle w:val="Heading2"/>
        <w:ind w:left="708" w:firstLine="708"/>
        <w:jc w:val="left"/>
        <w:rPr>
          <w:rFonts w:ascii="Verdana" w:hAnsi="Verdana"/>
          <w:b w:val="0"/>
          <w:i/>
          <w:sz w:val="18"/>
        </w:rPr>
      </w:pPr>
      <w:r w:rsidRPr="006F2C08">
        <w:rPr>
          <w:rFonts w:ascii="Verdana" w:hAnsi="Verdana"/>
          <w:b w:val="0"/>
          <w:i/>
          <w:sz w:val="18"/>
        </w:rPr>
        <w:t xml:space="preserve">Actuaciones del </w:t>
      </w:r>
      <w:r w:rsidR="00537278">
        <w:rPr>
          <w:rFonts w:ascii="Verdana" w:hAnsi="Verdana"/>
          <w:b w:val="0"/>
          <w:i/>
          <w:sz w:val="18"/>
        </w:rPr>
        <w:t>t</w:t>
      </w:r>
      <w:r w:rsidRPr="006F2C08">
        <w:rPr>
          <w:rFonts w:ascii="Verdana" w:hAnsi="Verdana"/>
          <w:b w:val="0"/>
          <w:i/>
          <w:sz w:val="18"/>
        </w:rPr>
        <w:t xml:space="preserve">ribunal </w:t>
      </w:r>
      <w:r w:rsidR="00537278">
        <w:rPr>
          <w:rFonts w:ascii="Verdana" w:hAnsi="Verdana"/>
          <w:b w:val="0"/>
          <w:i/>
          <w:sz w:val="18"/>
        </w:rPr>
        <w:t>p</w:t>
      </w:r>
      <w:r w:rsidRPr="006F2C08">
        <w:rPr>
          <w:rFonts w:ascii="Verdana" w:hAnsi="Verdana"/>
          <w:b w:val="0"/>
          <w:i/>
          <w:sz w:val="18"/>
        </w:rPr>
        <w:t>enal de Esmeraldas</w:t>
      </w:r>
    </w:p>
    <w:p w14:paraId="74ECBEFF" w14:textId="77777777" w:rsidR="00F7063F" w:rsidRDefault="00F7063F" w:rsidP="00C1044D">
      <w:pPr>
        <w:rPr>
          <w:lang w:val="es-MX"/>
        </w:rPr>
      </w:pPr>
    </w:p>
    <w:p w14:paraId="39682BC2" w14:textId="791E1DC6" w:rsidR="00F7063F" w:rsidRDefault="006F2C08" w:rsidP="002075A9">
      <w:pPr>
        <w:tabs>
          <w:tab w:val="left" w:pos="0"/>
        </w:tabs>
        <w:autoSpaceDE w:val="0"/>
        <w:autoSpaceDN w:val="0"/>
        <w:contextualSpacing/>
        <w:jc w:val="both"/>
        <w:rPr>
          <w:szCs w:val="20"/>
          <w:lang w:val="es-MX"/>
        </w:rPr>
      </w:pPr>
      <w:r>
        <w:rPr>
          <w:szCs w:val="20"/>
          <w:lang w:val="es-MX"/>
        </w:rPr>
        <w:t>E</w:t>
      </w:r>
      <w:r w:rsidR="00F7063F" w:rsidRPr="00B6304A">
        <w:rPr>
          <w:szCs w:val="20"/>
          <w:lang w:val="es-MX"/>
        </w:rPr>
        <w:t xml:space="preserve">l proceso </w:t>
      </w:r>
      <w:r>
        <w:rPr>
          <w:szCs w:val="20"/>
          <w:lang w:val="es-MX"/>
        </w:rPr>
        <w:t xml:space="preserve">fue puesto </w:t>
      </w:r>
      <w:r w:rsidR="00537278">
        <w:rPr>
          <w:szCs w:val="20"/>
          <w:lang w:val="es-MX"/>
        </w:rPr>
        <w:t xml:space="preserve">en conocimiento del </w:t>
      </w:r>
      <w:r w:rsidR="002052BE">
        <w:rPr>
          <w:szCs w:val="20"/>
          <w:lang w:val="es-MX"/>
        </w:rPr>
        <w:t>T</w:t>
      </w:r>
      <w:r w:rsidR="00F7063F" w:rsidRPr="00B6304A">
        <w:rPr>
          <w:szCs w:val="20"/>
          <w:lang w:val="es-MX"/>
        </w:rPr>
        <w:t xml:space="preserve">ribunal </w:t>
      </w:r>
      <w:r w:rsidR="002052BE">
        <w:rPr>
          <w:szCs w:val="20"/>
          <w:lang w:val="es-MX"/>
        </w:rPr>
        <w:t>P</w:t>
      </w:r>
      <w:r w:rsidR="00F7063F" w:rsidRPr="00B6304A">
        <w:rPr>
          <w:szCs w:val="20"/>
          <w:lang w:val="es-MX"/>
        </w:rPr>
        <w:t xml:space="preserve">enal de Esmeraldas el 10 de mayo de 1995. </w:t>
      </w:r>
      <w:r w:rsidR="00F7063F" w:rsidRPr="00D25E74">
        <w:rPr>
          <w:szCs w:val="20"/>
          <w:lang w:val="es-MX"/>
        </w:rPr>
        <w:t xml:space="preserve">El 25 de julio Vicenta Ibarra Ponce desistió </w:t>
      </w:r>
      <w:r w:rsidR="00F7063F">
        <w:rPr>
          <w:szCs w:val="20"/>
          <w:lang w:val="es-MX"/>
        </w:rPr>
        <w:t xml:space="preserve">oficialmente </w:t>
      </w:r>
      <w:r w:rsidR="00F7063F" w:rsidRPr="00D25E74">
        <w:rPr>
          <w:szCs w:val="20"/>
          <w:lang w:val="es-MX"/>
        </w:rPr>
        <w:t>de la acusación particular en contra de</w:t>
      </w:r>
      <w:r w:rsidR="00537278">
        <w:rPr>
          <w:szCs w:val="20"/>
          <w:lang w:val="es-MX"/>
        </w:rPr>
        <w:t>l imputado</w:t>
      </w:r>
      <w:r w:rsidR="00EF360B">
        <w:rPr>
          <w:szCs w:val="20"/>
          <w:lang w:val="es-MX"/>
        </w:rPr>
        <w:t>.</w:t>
      </w:r>
      <w:r w:rsidR="00F7063F" w:rsidRPr="00C9035D">
        <w:rPr>
          <w:szCs w:val="20"/>
          <w:lang w:val="es-MX"/>
        </w:rPr>
        <w:t xml:space="preserve"> </w:t>
      </w:r>
      <w:r w:rsidR="002075A9">
        <w:rPr>
          <w:szCs w:val="20"/>
          <w:lang w:val="es-MX"/>
        </w:rPr>
        <w:t xml:space="preserve">Luego de </w:t>
      </w:r>
      <w:r w:rsidR="00F7063F" w:rsidRPr="00C9035D">
        <w:rPr>
          <w:szCs w:val="20"/>
          <w:lang w:val="es-MX"/>
        </w:rPr>
        <w:t>la audiencia pública</w:t>
      </w:r>
      <w:r w:rsidR="00F7063F">
        <w:rPr>
          <w:szCs w:val="20"/>
          <w:lang w:val="es-MX"/>
        </w:rPr>
        <w:t xml:space="preserve"> de juzgamiento</w:t>
      </w:r>
      <w:r w:rsidR="002075A9">
        <w:rPr>
          <w:szCs w:val="20"/>
          <w:lang w:val="es-MX"/>
        </w:rPr>
        <w:t xml:space="preserve">, de </w:t>
      </w:r>
      <w:r w:rsidR="00F7063F" w:rsidRPr="00F656BD">
        <w:rPr>
          <w:szCs w:val="20"/>
          <w:lang w:val="es-MX"/>
        </w:rPr>
        <w:t xml:space="preserve">un </w:t>
      </w:r>
      <w:r w:rsidR="002075A9">
        <w:rPr>
          <w:szCs w:val="20"/>
          <w:lang w:val="es-MX"/>
        </w:rPr>
        <w:t xml:space="preserve">nuevo </w:t>
      </w:r>
      <w:r w:rsidR="00F7063F" w:rsidRPr="00F656BD">
        <w:rPr>
          <w:szCs w:val="20"/>
          <w:lang w:val="es-MX"/>
        </w:rPr>
        <w:t>reconocimiento del lugar de los hechos</w:t>
      </w:r>
      <w:r w:rsidR="002075A9">
        <w:rPr>
          <w:szCs w:val="20"/>
          <w:lang w:val="es-MX"/>
        </w:rPr>
        <w:t xml:space="preserve"> y de una segunda audiencia, e</w:t>
      </w:r>
      <w:r w:rsidR="00F7063F" w:rsidRPr="00C9035D">
        <w:rPr>
          <w:szCs w:val="20"/>
          <w:lang w:val="es-MX"/>
        </w:rPr>
        <w:t xml:space="preserve">l 17 de noviembre de </w:t>
      </w:r>
      <w:r w:rsidR="00F7063F">
        <w:rPr>
          <w:szCs w:val="20"/>
          <w:lang w:val="es-MX"/>
        </w:rPr>
        <w:t>1995</w:t>
      </w:r>
      <w:r w:rsidR="00F7063F" w:rsidRPr="00C9035D">
        <w:rPr>
          <w:szCs w:val="20"/>
          <w:lang w:val="es-MX"/>
        </w:rPr>
        <w:t xml:space="preserve"> el </w:t>
      </w:r>
      <w:r w:rsidR="00537278">
        <w:rPr>
          <w:szCs w:val="20"/>
          <w:lang w:val="es-MX"/>
        </w:rPr>
        <w:t>t</w:t>
      </w:r>
      <w:r w:rsidR="00F7063F" w:rsidRPr="00C9035D">
        <w:rPr>
          <w:szCs w:val="20"/>
          <w:lang w:val="es-MX"/>
        </w:rPr>
        <w:t xml:space="preserve">ribunal </w:t>
      </w:r>
      <w:r w:rsidR="00537278">
        <w:rPr>
          <w:szCs w:val="20"/>
          <w:lang w:val="es-MX"/>
        </w:rPr>
        <w:t>p</w:t>
      </w:r>
      <w:r w:rsidR="00F7063F" w:rsidRPr="00C9035D">
        <w:rPr>
          <w:szCs w:val="20"/>
          <w:lang w:val="es-MX"/>
        </w:rPr>
        <w:t xml:space="preserve">enal </w:t>
      </w:r>
      <w:r w:rsidR="00F7063F">
        <w:rPr>
          <w:szCs w:val="20"/>
          <w:lang w:val="es-MX"/>
        </w:rPr>
        <w:t xml:space="preserve">emitió una sentencia que contiene tres votos o fallos, cuyo alcance o sentido no es coincidente: </w:t>
      </w:r>
    </w:p>
    <w:p w14:paraId="6C637356" w14:textId="77777777" w:rsidR="00F7063F" w:rsidRDefault="00F7063F" w:rsidP="00F7063F">
      <w:pPr>
        <w:rPr>
          <w:lang w:val="es-MX"/>
        </w:rPr>
      </w:pPr>
    </w:p>
    <w:p w14:paraId="3E4C9D7B" w14:textId="0BE60BAA" w:rsidR="00F7063F" w:rsidRPr="00191347" w:rsidRDefault="00F7063F" w:rsidP="00F7063F">
      <w:pPr>
        <w:numPr>
          <w:ilvl w:val="0"/>
          <w:numId w:val="8"/>
        </w:numPr>
        <w:tabs>
          <w:tab w:val="left" w:pos="0"/>
        </w:tabs>
        <w:autoSpaceDE w:val="0"/>
        <w:autoSpaceDN w:val="0"/>
        <w:contextualSpacing/>
        <w:jc w:val="both"/>
        <w:rPr>
          <w:sz w:val="18"/>
          <w:lang w:val="es-MX"/>
        </w:rPr>
      </w:pPr>
      <w:r w:rsidRPr="00191347">
        <w:rPr>
          <w:sz w:val="18"/>
          <w:lang w:val="es-MX"/>
        </w:rPr>
        <w:t xml:space="preserve">En un primer voto (llamado “sentencia”) del presidente del tribunal, </w:t>
      </w:r>
      <w:r w:rsidR="0090400B" w:rsidRPr="0090400B">
        <w:rPr>
          <w:sz w:val="18"/>
          <w:lang w:val="es-MX"/>
        </w:rPr>
        <w:t>se consideró que el disparo “no se produce como consecuencia del cachazo propinado por el policía al [otro joven y] que el arma de dotación del policía e</w:t>
      </w:r>
      <w:r w:rsidR="00513E4C">
        <w:rPr>
          <w:sz w:val="18"/>
          <w:lang w:val="es-MX"/>
        </w:rPr>
        <w:t xml:space="preserve">ra un revólver calibre 38, que </w:t>
      </w:r>
      <w:r w:rsidR="0090400B" w:rsidRPr="0090400B">
        <w:rPr>
          <w:sz w:val="18"/>
          <w:lang w:val="es-MX"/>
        </w:rPr>
        <w:t>no puede ser activada […] sino por una fuerza imprimida sobre el gatillo”, lo que no puede “darse por el solo hecho de un cachazo propinado en la cabeza de una persona”.</w:t>
      </w:r>
      <w:r w:rsidR="0090400B">
        <w:rPr>
          <w:sz w:val="18"/>
          <w:lang w:val="es-MX"/>
        </w:rPr>
        <w:t xml:space="preserve"> Por ello, se declaraba</w:t>
      </w:r>
      <w:r w:rsidRPr="00191347">
        <w:rPr>
          <w:sz w:val="18"/>
          <w:lang w:val="es-MX"/>
        </w:rPr>
        <w:t xml:space="preserve"> responsable a Guillermo </w:t>
      </w:r>
      <w:proofErr w:type="spellStart"/>
      <w:r w:rsidRPr="00191347">
        <w:rPr>
          <w:sz w:val="18"/>
          <w:lang w:val="es-MX"/>
        </w:rPr>
        <w:t>Cortéz</w:t>
      </w:r>
      <w:proofErr w:type="spellEnd"/>
      <w:r w:rsidRPr="00191347">
        <w:rPr>
          <w:sz w:val="18"/>
          <w:lang w:val="es-MX"/>
        </w:rPr>
        <w:t xml:space="preserve"> Escobedo por la comisión del “delito de homicidio simple</w:t>
      </w:r>
      <w:r w:rsidR="00513E4C">
        <w:rPr>
          <w:sz w:val="18"/>
          <w:lang w:val="es-MX"/>
        </w:rPr>
        <w:t xml:space="preserve">” </w:t>
      </w:r>
      <w:r w:rsidRPr="00191347">
        <w:rPr>
          <w:sz w:val="18"/>
          <w:lang w:val="es-MX"/>
        </w:rPr>
        <w:t xml:space="preserve">y se le imponía la pena de “ocho años de reclusión”. </w:t>
      </w:r>
    </w:p>
    <w:p w14:paraId="1C425F9D" w14:textId="09B4376F" w:rsidR="00F7063F" w:rsidRPr="00191347" w:rsidRDefault="00F7063F" w:rsidP="00F7063F">
      <w:pPr>
        <w:numPr>
          <w:ilvl w:val="0"/>
          <w:numId w:val="8"/>
        </w:numPr>
        <w:tabs>
          <w:tab w:val="left" w:pos="0"/>
        </w:tabs>
        <w:autoSpaceDE w:val="0"/>
        <w:autoSpaceDN w:val="0"/>
        <w:contextualSpacing/>
        <w:jc w:val="both"/>
        <w:rPr>
          <w:sz w:val="18"/>
          <w:lang w:val="es-MX"/>
        </w:rPr>
      </w:pPr>
      <w:r w:rsidRPr="00191347">
        <w:rPr>
          <w:sz w:val="18"/>
          <w:lang w:val="es-MX"/>
        </w:rPr>
        <w:t xml:space="preserve">En un segundo voto (también llamado “sentencia”) del vocal tercero del tribunal, </w:t>
      </w:r>
      <w:r w:rsidR="00325122" w:rsidRPr="00325122">
        <w:rPr>
          <w:sz w:val="18"/>
          <w:lang w:val="es-MX"/>
        </w:rPr>
        <w:t>se consideró que, en la riña o discusión que mantenía con otro joven, “por falta de previsión o de precaución [el policía] hizo que el arma que portaba se disparara e hiriera de muerte a José Luis”;</w:t>
      </w:r>
      <w:r w:rsidRPr="00191347">
        <w:rPr>
          <w:sz w:val="18"/>
          <w:lang w:val="es-MX"/>
        </w:rPr>
        <w:t xml:space="preserve"> se declaró a Guillermo </w:t>
      </w:r>
      <w:proofErr w:type="spellStart"/>
      <w:r w:rsidRPr="00191347">
        <w:rPr>
          <w:sz w:val="18"/>
          <w:lang w:val="es-MX"/>
        </w:rPr>
        <w:t>Cortéz</w:t>
      </w:r>
      <w:proofErr w:type="spellEnd"/>
      <w:r w:rsidRPr="00191347">
        <w:rPr>
          <w:sz w:val="18"/>
          <w:lang w:val="es-MX"/>
        </w:rPr>
        <w:t xml:space="preserve"> Escobedo “autor responsable del de</w:t>
      </w:r>
      <w:r w:rsidR="00513E4C">
        <w:rPr>
          <w:sz w:val="18"/>
          <w:lang w:val="es-MX"/>
        </w:rPr>
        <w:t xml:space="preserve">lito de homicidio </w:t>
      </w:r>
      <w:proofErr w:type="spellStart"/>
      <w:r w:rsidR="00513E4C">
        <w:rPr>
          <w:sz w:val="18"/>
          <w:lang w:val="es-MX"/>
        </w:rPr>
        <w:t>inintencional</w:t>
      </w:r>
      <w:proofErr w:type="spellEnd"/>
      <w:r w:rsidRPr="00191347">
        <w:rPr>
          <w:sz w:val="18"/>
          <w:lang w:val="es-MX"/>
        </w:rPr>
        <w:t>”</w:t>
      </w:r>
      <w:r w:rsidR="00325122">
        <w:rPr>
          <w:sz w:val="18"/>
          <w:lang w:val="es-MX"/>
        </w:rPr>
        <w:t>; y se le condenó</w:t>
      </w:r>
      <w:r w:rsidRPr="00191347">
        <w:rPr>
          <w:sz w:val="18"/>
          <w:lang w:val="es-MX"/>
        </w:rPr>
        <w:t xml:space="preserve"> a la pena de “dieciocho meses de prisión”. </w:t>
      </w:r>
    </w:p>
    <w:p w14:paraId="395ABB0A" w14:textId="644F338F" w:rsidR="00F7063F" w:rsidRPr="00191347" w:rsidRDefault="00F7063F" w:rsidP="00F7063F">
      <w:pPr>
        <w:numPr>
          <w:ilvl w:val="0"/>
          <w:numId w:val="8"/>
        </w:numPr>
        <w:tabs>
          <w:tab w:val="left" w:pos="0"/>
        </w:tabs>
        <w:autoSpaceDE w:val="0"/>
        <w:autoSpaceDN w:val="0"/>
        <w:contextualSpacing/>
        <w:jc w:val="both"/>
        <w:rPr>
          <w:sz w:val="18"/>
          <w:lang w:val="es-MX"/>
        </w:rPr>
      </w:pPr>
      <w:r w:rsidRPr="00191347">
        <w:rPr>
          <w:sz w:val="18"/>
          <w:lang w:val="es-MX"/>
        </w:rPr>
        <w:t xml:space="preserve">En un tercer voto (llamado “voto salvado”) del vocal segundo del tribunal, se consideró que “el hecho […] fue ocasionado por el </w:t>
      </w:r>
      <w:r w:rsidR="00E501B2">
        <w:rPr>
          <w:sz w:val="18"/>
          <w:lang w:val="es-MX"/>
        </w:rPr>
        <w:t>p</w:t>
      </w:r>
      <w:r w:rsidRPr="00191347">
        <w:rPr>
          <w:sz w:val="18"/>
          <w:lang w:val="es-MX"/>
        </w:rPr>
        <w:t xml:space="preserve">olicía </w:t>
      </w:r>
      <w:r w:rsidR="00E501B2">
        <w:rPr>
          <w:sz w:val="18"/>
          <w:lang w:val="es-MX"/>
        </w:rPr>
        <w:t xml:space="preserve">[…] </w:t>
      </w:r>
      <w:r w:rsidRPr="00191347">
        <w:rPr>
          <w:sz w:val="18"/>
          <w:lang w:val="es-MX"/>
        </w:rPr>
        <w:t xml:space="preserve">en ejercicio de sus funciones </w:t>
      </w:r>
      <w:r w:rsidR="00E501B2">
        <w:rPr>
          <w:sz w:val="18"/>
          <w:lang w:val="es-MX"/>
        </w:rPr>
        <w:t>[…]</w:t>
      </w:r>
      <w:r w:rsidRPr="00191347">
        <w:rPr>
          <w:sz w:val="18"/>
          <w:lang w:val="es-MX"/>
        </w:rPr>
        <w:t>, por lo que el conocimiento y sustanciación correspondía[n] a los órganos jurisdiccionales de la Policía Civil Nacional, y en consecuencia, ese tribunal carece de competencia para conocer del asunto, y por tanto se inhi</w:t>
      </w:r>
      <w:r w:rsidR="00E501B2">
        <w:rPr>
          <w:sz w:val="18"/>
          <w:lang w:val="es-MX"/>
        </w:rPr>
        <w:t>be del conocimiento de la causa</w:t>
      </w:r>
      <w:r w:rsidRPr="00191347">
        <w:rPr>
          <w:sz w:val="18"/>
          <w:lang w:val="es-MX"/>
        </w:rPr>
        <w:t xml:space="preserve">”. </w:t>
      </w:r>
    </w:p>
    <w:p w14:paraId="68C64087" w14:textId="77777777" w:rsidR="00F7063F" w:rsidRDefault="00F7063F" w:rsidP="00F7063F">
      <w:pPr>
        <w:tabs>
          <w:tab w:val="left" w:pos="0"/>
        </w:tabs>
        <w:autoSpaceDE w:val="0"/>
        <w:autoSpaceDN w:val="0"/>
        <w:rPr>
          <w:szCs w:val="20"/>
          <w:lang w:val="es-MX"/>
        </w:rPr>
      </w:pPr>
    </w:p>
    <w:p w14:paraId="18A66957" w14:textId="352A70A6" w:rsidR="00F7063F" w:rsidRPr="002075A9" w:rsidRDefault="002075A9" w:rsidP="002075A9">
      <w:pPr>
        <w:tabs>
          <w:tab w:val="left" w:pos="0"/>
        </w:tabs>
        <w:autoSpaceDE w:val="0"/>
        <w:autoSpaceDN w:val="0"/>
        <w:jc w:val="both"/>
        <w:rPr>
          <w:szCs w:val="20"/>
          <w:lang w:val="es-MX"/>
        </w:rPr>
      </w:pPr>
      <w:r>
        <w:rPr>
          <w:szCs w:val="20"/>
          <w:lang w:val="es-MX"/>
        </w:rPr>
        <w:t>E</w:t>
      </w:r>
      <w:r w:rsidR="00F7063F">
        <w:rPr>
          <w:szCs w:val="20"/>
          <w:lang w:val="es-MX"/>
        </w:rPr>
        <w:t xml:space="preserve">l </w:t>
      </w:r>
      <w:r w:rsidR="00F7063F" w:rsidRPr="00191347">
        <w:rPr>
          <w:szCs w:val="20"/>
          <w:lang w:val="es-MX"/>
        </w:rPr>
        <w:t xml:space="preserve">texto de la sentencia que contiene </w:t>
      </w:r>
      <w:r w:rsidRPr="00191347">
        <w:rPr>
          <w:szCs w:val="20"/>
          <w:lang w:val="es-MX"/>
        </w:rPr>
        <w:t xml:space="preserve">tales votos señala que </w:t>
      </w:r>
      <w:r w:rsidR="00F7063F" w:rsidRPr="00191347">
        <w:rPr>
          <w:szCs w:val="20"/>
          <w:lang w:val="es-MX"/>
        </w:rPr>
        <w:t>“los Miembros d</w:t>
      </w:r>
      <w:r w:rsidR="007268EF">
        <w:rPr>
          <w:szCs w:val="20"/>
          <w:lang w:val="es-MX"/>
        </w:rPr>
        <w:t>el Tribunal Penal de Esmeraldas</w:t>
      </w:r>
      <w:r w:rsidR="00F7063F" w:rsidRPr="00191347">
        <w:rPr>
          <w:szCs w:val="20"/>
          <w:lang w:val="es-MX"/>
        </w:rPr>
        <w:t xml:space="preserve"> establecen diferentes criterios; y es así que tanto el Presidente como el Vocal Tercero se pronuncian por la sanción al encausado aunque difieren en la tipificación, </w:t>
      </w:r>
      <w:r w:rsidRPr="00191347">
        <w:rPr>
          <w:szCs w:val="20"/>
          <w:lang w:val="es-MX"/>
        </w:rPr>
        <w:t>[…]</w:t>
      </w:r>
      <w:r w:rsidR="00F7063F" w:rsidRPr="00191347">
        <w:rPr>
          <w:szCs w:val="20"/>
          <w:lang w:val="es-MX"/>
        </w:rPr>
        <w:t xml:space="preserve"> consecuentemente establecen diferentes penas </w:t>
      </w:r>
      <w:r w:rsidR="006F2E04">
        <w:rPr>
          <w:szCs w:val="20"/>
          <w:lang w:val="es-MX"/>
        </w:rPr>
        <w:t>[…]</w:t>
      </w:r>
      <w:r w:rsidR="00F7063F" w:rsidRPr="00191347">
        <w:rPr>
          <w:szCs w:val="20"/>
          <w:lang w:val="es-MX"/>
        </w:rPr>
        <w:t xml:space="preserve"> Por lo expuesto en función de lo dispuesto en el Art.332 del Código de Procedimiento Penal, </w:t>
      </w:r>
      <w:r w:rsidRPr="00191347">
        <w:rPr>
          <w:szCs w:val="20"/>
          <w:lang w:val="es-MX"/>
        </w:rPr>
        <w:t xml:space="preserve">[…] </w:t>
      </w:r>
      <w:r w:rsidR="00F7063F" w:rsidRPr="00191347">
        <w:rPr>
          <w:szCs w:val="20"/>
          <w:lang w:val="es-MX"/>
        </w:rPr>
        <w:t>la pena a imponerse al encausado, es la que ha establecido en el proyecto form</w:t>
      </w:r>
      <w:r w:rsidR="00191347" w:rsidRPr="00191347">
        <w:rPr>
          <w:szCs w:val="20"/>
          <w:lang w:val="es-MX"/>
        </w:rPr>
        <w:t>ulado por el Vocal Tercero</w:t>
      </w:r>
      <w:r w:rsidR="00F7063F" w:rsidRPr="00191347">
        <w:rPr>
          <w:szCs w:val="20"/>
          <w:lang w:val="es-MX"/>
        </w:rPr>
        <w:t>”.</w:t>
      </w:r>
      <w:r w:rsidR="00F7063F" w:rsidRPr="00DF2B4E">
        <w:rPr>
          <w:rStyle w:val="FootnoteReference"/>
          <w:sz w:val="18"/>
          <w:szCs w:val="18"/>
          <w:lang w:val="es-MX"/>
        </w:rPr>
        <w:t xml:space="preserve"> </w:t>
      </w:r>
    </w:p>
    <w:p w14:paraId="4323F078" w14:textId="77777777" w:rsidR="00F7063F" w:rsidRDefault="00F7063F" w:rsidP="00F7063F">
      <w:pPr>
        <w:tabs>
          <w:tab w:val="left" w:pos="0"/>
        </w:tabs>
        <w:autoSpaceDE w:val="0"/>
        <w:autoSpaceDN w:val="0"/>
        <w:rPr>
          <w:szCs w:val="20"/>
          <w:lang w:val="es-MX"/>
        </w:rPr>
      </w:pPr>
    </w:p>
    <w:p w14:paraId="54CCF878" w14:textId="15A4623E" w:rsidR="00F7063F" w:rsidRPr="002368BF" w:rsidRDefault="00191347" w:rsidP="00191347">
      <w:pPr>
        <w:tabs>
          <w:tab w:val="left" w:pos="0"/>
        </w:tabs>
        <w:autoSpaceDE w:val="0"/>
        <w:autoSpaceDN w:val="0"/>
        <w:contextualSpacing/>
        <w:jc w:val="both"/>
        <w:rPr>
          <w:lang w:val="es-MX"/>
        </w:rPr>
      </w:pPr>
      <w:r>
        <w:rPr>
          <w:lang w:val="es-MX"/>
        </w:rPr>
        <w:t xml:space="preserve">En </w:t>
      </w:r>
      <w:r w:rsidR="00F7063F">
        <w:rPr>
          <w:lang w:val="es-MX"/>
        </w:rPr>
        <w:t xml:space="preserve">noviembre de 1995 </w:t>
      </w:r>
      <w:r>
        <w:rPr>
          <w:lang w:val="es-MX"/>
        </w:rPr>
        <w:t xml:space="preserve">el imputado </w:t>
      </w:r>
      <w:r w:rsidR="00F7063F" w:rsidRPr="002368BF">
        <w:rPr>
          <w:lang w:val="es-MX"/>
        </w:rPr>
        <w:t>interpuso recursos de nulidad y casación en contra de la se</w:t>
      </w:r>
      <w:r w:rsidR="00537278">
        <w:rPr>
          <w:lang w:val="es-MX"/>
        </w:rPr>
        <w:t>ntencia, por considerar que el t</w:t>
      </w:r>
      <w:r w:rsidR="00F7063F" w:rsidRPr="002368BF">
        <w:rPr>
          <w:lang w:val="es-MX"/>
        </w:rPr>
        <w:t xml:space="preserve">ribunal </w:t>
      </w:r>
      <w:r w:rsidR="00537278">
        <w:rPr>
          <w:lang w:val="es-MX"/>
        </w:rPr>
        <w:t>p</w:t>
      </w:r>
      <w:r w:rsidR="00F7063F" w:rsidRPr="002368BF">
        <w:rPr>
          <w:lang w:val="es-MX"/>
        </w:rPr>
        <w:t xml:space="preserve">enal no era competente. </w:t>
      </w:r>
      <w:r w:rsidR="00F7063F">
        <w:rPr>
          <w:lang w:val="es-MX"/>
        </w:rPr>
        <w:t>Ese mismo día e</w:t>
      </w:r>
      <w:r w:rsidR="00537278">
        <w:rPr>
          <w:lang w:val="es-MX"/>
        </w:rPr>
        <w:t>l f</w:t>
      </w:r>
      <w:r w:rsidR="00F7063F" w:rsidRPr="002368BF">
        <w:rPr>
          <w:lang w:val="es-MX"/>
        </w:rPr>
        <w:t>iscal interpuso recurso de casación</w:t>
      </w:r>
      <w:r w:rsidR="00F7063F">
        <w:rPr>
          <w:lang w:val="es-MX"/>
        </w:rPr>
        <w:t>,</w:t>
      </w:r>
      <w:r w:rsidR="00F7063F" w:rsidRPr="002368BF">
        <w:rPr>
          <w:lang w:val="es-MX"/>
        </w:rPr>
        <w:t xml:space="preserve"> por </w:t>
      </w:r>
      <w:r w:rsidR="00F7063F">
        <w:rPr>
          <w:lang w:val="es-MX"/>
        </w:rPr>
        <w:t xml:space="preserve">considerar que el tribunal incurrió en </w:t>
      </w:r>
      <w:r w:rsidR="00F7063F" w:rsidRPr="002368BF">
        <w:rPr>
          <w:lang w:val="es-MX"/>
        </w:rPr>
        <w:t>“[a]</w:t>
      </w:r>
      <w:proofErr w:type="spellStart"/>
      <w:r w:rsidR="00F7063F" w:rsidRPr="002368BF">
        <w:rPr>
          <w:lang w:val="es-MX"/>
        </w:rPr>
        <w:t>plicación</w:t>
      </w:r>
      <w:proofErr w:type="spellEnd"/>
      <w:r w:rsidR="00F7063F" w:rsidRPr="002368BF">
        <w:rPr>
          <w:lang w:val="es-MX"/>
        </w:rPr>
        <w:t xml:space="preserve"> indebida, falta de aplicación [y] errónea interpret</w:t>
      </w:r>
      <w:r w:rsidR="00F7063F">
        <w:rPr>
          <w:lang w:val="es-MX"/>
        </w:rPr>
        <w:t>ación de las normas del derecho</w:t>
      </w:r>
      <w:r w:rsidR="00F7063F" w:rsidRPr="002368BF">
        <w:rPr>
          <w:lang w:val="es-MX"/>
        </w:rPr>
        <w:t xml:space="preserve"> </w:t>
      </w:r>
      <w:r w:rsidR="00F7063F">
        <w:rPr>
          <w:lang w:val="es-MX"/>
        </w:rPr>
        <w:t xml:space="preserve">[… y] </w:t>
      </w:r>
      <w:r w:rsidR="00F7063F" w:rsidRPr="002368BF">
        <w:rPr>
          <w:lang w:val="es-MX"/>
        </w:rPr>
        <w:t xml:space="preserve">de los preceptos jurídicos aplicables para la valoración de la prueba”. </w:t>
      </w:r>
    </w:p>
    <w:p w14:paraId="5664FB5E" w14:textId="77777777" w:rsidR="00F7063F" w:rsidRDefault="00F7063F" w:rsidP="00F7063F">
      <w:pPr>
        <w:tabs>
          <w:tab w:val="left" w:pos="0"/>
          <w:tab w:val="left" w:pos="567"/>
        </w:tabs>
        <w:autoSpaceDE w:val="0"/>
        <w:autoSpaceDN w:val="0"/>
        <w:contextualSpacing/>
        <w:rPr>
          <w:szCs w:val="20"/>
          <w:lang w:val="es-MX"/>
        </w:rPr>
      </w:pPr>
    </w:p>
    <w:p w14:paraId="7B0C34F0" w14:textId="18F51608" w:rsidR="00F7063F" w:rsidRDefault="00191347" w:rsidP="00191347">
      <w:pPr>
        <w:tabs>
          <w:tab w:val="left" w:pos="0"/>
        </w:tabs>
        <w:autoSpaceDE w:val="0"/>
        <w:autoSpaceDN w:val="0"/>
        <w:contextualSpacing/>
        <w:jc w:val="both"/>
        <w:rPr>
          <w:szCs w:val="20"/>
          <w:lang w:val="es-MX"/>
        </w:rPr>
      </w:pPr>
      <w:r>
        <w:rPr>
          <w:szCs w:val="20"/>
          <w:lang w:val="es-MX"/>
        </w:rPr>
        <w:lastRenderedPageBreak/>
        <w:t xml:space="preserve">En </w:t>
      </w:r>
      <w:r w:rsidR="00F7063F" w:rsidRPr="00C9035D">
        <w:rPr>
          <w:szCs w:val="20"/>
          <w:lang w:val="es-MX"/>
        </w:rPr>
        <w:t xml:space="preserve">enero de 1996 el </w:t>
      </w:r>
      <w:r>
        <w:rPr>
          <w:szCs w:val="20"/>
          <w:lang w:val="es-MX"/>
        </w:rPr>
        <w:t>t</w:t>
      </w:r>
      <w:r w:rsidR="00F7063F" w:rsidRPr="00C9035D">
        <w:rPr>
          <w:szCs w:val="20"/>
          <w:lang w:val="es-MX"/>
        </w:rPr>
        <w:t xml:space="preserve">ribunal </w:t>
      </w:r>
      <w:r>
        <w:rPr>
          <w:szCs w:val="20"/>
          <w:lang w:val="es-MX"/>
        </w:rPr>
        <w:t>p</w:t>
      </w:r>
      <w:r w:rsidR="00F7063F" w:rsidRPr="00C9035D">
        <w:rPr>
          <w:szCs w:val="20"/>
          <w:lang w:val="es-MX"/>
        </w:rPr>
        <w:t xml:space="preserve">enal de Esmeraldas </w:t>
      </w:r>
      <w:r>
        <w:rPr>
          <w:szCs w:val="20"/>
          <w:lang w:val="es-MX"/>
        </w:rPr>
        <w:t>constató</w:t>
      </w:r>
      <w:r w:rsidR="00F7063F" w:rsidRPr="00C9035D">
        <w:rPr>
          <w:szCs w:val="20"/>
          <w:lang w:val="es-MX"/>
        </w:rPr>
        <w:t xml:space="preserve"> que el procesado ha</w:t>
      </w:r>
      <w:r>
        <w:rPr>
          <w:szCs w:val="20"/>
          <w:lang w:val="es-MX"/>
        </w:rPr>
        <w:t>bía</w:t>
      </w:r>
      <w:r w:rsidR="00F7063F" w:rsidRPr="00C9035D">
        <w:rPr>
          <w:szCs w:val="20"/>
          <w:lang w:val="es-MX"/>
        </w:rPr>
        <w:t xml:space="preserve"> cumplido la pena de dieciocho meses de prisión impuesta</w:t>
      </w:r>
      <w:r w:rsidR="00F7063F">
        <w:rPr>
          <w:szCs w:val="20"/>
          <w:lang w:val="es-MX"/>
        </w:rPr>
        <w:t>, pues ya había permanecido en calidad de detenido por un tiempo de tres años y tres meses,</w:t>
      </w:r>
      <w:r w:rsidR="00F7063F" w:rsidRPr="00C9035D">
        <w:rPr>
          <w:szCs w:val="20"/>
          <w:lang w:val="es-MX"/>
        </w:rPr>
        <w:t xml:space="preserve"> </w:t>
      </w:r>
      <w:r>
        <w:rPr>
          <w:szCs w:val="20"/>
          <w:lang w:val="es-MX"/>
        </w:rPr>
        <w:t xml:space="preserve">por lo que </w:t>
      </w:r>
      <w:r w:rsidR="00F7063F" w:rsidRPr="00C9035D">
        <w:rPr>
          <w:szCs w:val="20"/>
          <w:lang w:val="es-MX"/>
        </w:rPr>
        <w:t>ordenó su libertad</w:t>
      </w:r>
      <w:r>
        <w:rPr>
          <w:szCs w:val="20"/>
          <w:lang w:val="es-MX"/>
        </w:rPr>
        <w:t xml:space="preserve">. En </w:t>
      </w:r>
      <w:r w:rsidR="00F7063F">
        <w:rPr>
          <w:szCs w:val="20"/>
          <w:lang w:val="es-MX"/>
        </w:rPr>
        <w:t>mayo de</w:t>
      </w:r>
      <w:r w:rsidR="00F7063F" w:rsidRPr="00C9035D">
        <w:rPr>
          <w:szCs w:val="20"/>
          <w:lang w:val="es-MX"/>
        </w:rPr>
        <w:t xml:space="preserve"> 2000 la Corte Superior de Justicia de Esmeraldas </w:t>
      </w:r>
      <w:r w:rsidR="00F7063F">
        <w:rPr>
          <w:szCs w:val="20"/>
          <w:lang w:val="es-MX"/>
        </w:rPr>
        <w:t xml:space="preserve">rechazó el recurso de nulidad, </w:t>
      </w:r>
      <w:r w:rsidR="00F7063F" w:rsidRPr="00C9035D">
        <w:rPr>
          <w:szCs w:val="20"/>
          <w:lang w:val="es-MX"/>
        </w:rPr>
        <w:t xml:space="preserve">confirmó la sentencia de primera instancia y remitió los autos al </w:t>
      </w:r>
      <w:r>
        <w:rPr>
          <w:szCs w:val="20"/>
          <w:lang w:val="es-MX"/>
        </w:rPr>
        <w:t>t</w:t>
      </w:r>
      <w:r w:rsidR="00F7063F" w:rsidRPr="00C9035D">
        <w:rPr>
          <w:szCs w:val="20"/>
          <w:lang w:val="es-MX"/>
        </w:rPr>
        <w:t xml:space="preserve">ribunal </w:t>
      </w:r>
      <w:r>
        <w:rPr>
          <w:szCs w:val="20"/>
          <w:lang w:val="es-MX"/>
        </w:rPr>
        <w:t>p</w:t>
      </w:r>
      <w:r w:rsidR="00F7063F" w:rsidRPr="00C9035D">
        <w:rPr>
          <w:szCs w:val="20"/>
          <w:lang w:val="es-MX"/>
        </w:rPr>
        <w:t>enal</w:t>
      </w:r>
      <w:r w:rsidR="00EF360B">
        <w:rPr>
          <w:szCs w:val="20"/>
          <w:lang w:val="es-MX"/>
        </w:rPr>
        <w:t>. E</w:t>
      </w:r>
      <w:r w:rsidR="00F7063F" w:rsidRPr="00F9440F">
        <w:rPr>
          <w:szCs w:val="20"/>
          <w:lang w:val="es-MX"/>
        </w:rPr>
        <w:t xml:space="preserve">l proceso </w:t>
      </w:r>
      <w:r w:rsidR="00EF360B">
        <w:rPr>
          <w:szCs w:val="20"/>
          <w:lang w:val="es-MX"/>
        </w:rPr>
        <w:t xml:space="preserve">fue remitido </w:t>
      </w:r>
      <w:r w:rsidR="00F7063F" w:rsidRPr="00F9440F">
        <w:rPr>
          <w:szCs w:val="20"/>
          <w:lang w:val="es-MX"/>
        </w:rPr>
        <w:t>a la Corte Suprema de Justicia</w:t>
      </w:r>
      <w:r w:rsidR="00F7063F">
        <w:rPr>
          <w:szCs w:val="20"/>
          <w:lang w:val="es-MX"/>
        </w:rPr>
        <w:t xml:space="preserve"> para que se pronunciara sobre los recursos de casación</w:t>
      </w:r>
      <w:r w:rsidR="00F7063F" w:rsidRPr="00F9440F">
        <w:rPr>
          <w:szCs w:val="20"/>
          <w:lang w:val="es-MX"/>
        </w:rPr>
        <w:t xml:space="preserve">. </w:t>
      </w:r>
    </w:p>
    <w:p w14:paraId="1E57DBB1" w14:textId="77777777" w:rsidR="00F7063F" w:rsidRDefault="00F7063F" w:rsidP="00F7063F">
      <w:pPr>
        <w:tabs>
          <w:tab w:val="left" w:pos="0"/>
          <w:tab w:val="left" w:pos="567"/>
        </w:tabs>
        <w:autoSpaceDE w:val="0"/>
        <w:autoSpaceDN w:val="0"/>
        <w:contextualSpacing/>
        <w:rPr>
          <w:szCs w:val="20"/>
          <w:lang w:val="es-MX"/>
        </w:rPr>
      </w:pPr>
    </w:p>
    <w:p w14:paraId="2B93DC8F" w14:textId="77777777" w:rsidR="00F7063F" w:rsidRPr="00191347" w:rsidRDefault="00F7063F" w:rsidP="00191347">
      <w:pPr>
        <w:pStyle w:val="Heading2"/>
        <w:ind w:left="708" w:firstLine="708"/>
        <w:jc w:val="left"/>
        <w:rPr>
          <w:rFonts w:ascii="Verdana" w:hAnsi="Verdana"/>
          <w:b w:val="0"/>
          <w:i/>
          <w:sz w:val="18"/>
        </w:rPr>
      </w:pPr>
      <w:bookmarkStart w:id="19" w:name="_Toc437435505"/>
      <w:r w:rsidRPr="00191347">
        <w:rPr>
          <w:rFonts w:ascii="Verdana" w:hAnsi="Verdana"/>
          <w:b w:val="0"/>
          <w:i/>
          <w:sz w:val="18"/>
        </w:rPr>
        <w:t>Sentencia de casación por parte de la Corte Suprema de Justicia</w:t>
      </w:r>
      <w:bookmarkEnd w:id="19"/>
    </w:p>
    <w:p w14:paraId="628129D2" w14:textId="77777777" w:rsidR="00F7063F" w:rsidRDefault="00F7063F" w:rsidP="00F7063F">
      <w:pPr>
        <w:tabs>
          <w:tab w:val="left" w:pos="0"/>
          <w:tab w:val="left" w:pos="567"/>
        </w:tabs>
        <w:autoSpaceDE w:val="0"/>
        <w:autoSpaceDN w:val="0"/>
        <w:contextualSpacing/>
        <w:rPr>
          <w:szCs w:val="20"/>
          <w:lang w:val="es-MX"/>
        </w:rPr>
      </w:pPr>
    </w:p>
    <w:p w14:paraId="102E4F42" w14:textId="5620046F" w:rsidR="00F7063F" w:rsidRPr="005C6F59" w:rsidRDefault="00F7063F" w:rsidP="00191347">
      <w:pPr>
        <w:tabs>
          <w:tab w:val="left" w:pos="0"/>
        </w:tabs>
        <w:autoSpaceDE w:val="0"/>
        <w:autoSpaceDN w:val="0"/>
        <w:contextualSpacing/>
        <w:jc w:val="both"/>
        <w:rPr>
          <w:szCs w:val="20"/>
          <w:lang w:val="es-MX"/>
        </w:rPr>
      </w:pPr>
      <w:r w:rsidRPr="00F9440F">
        <w:rPr>
          <w:szCs w:val="20"/>
          <w:lang w:val="es-MX"/>
        </w:rPr>
        <w:t>El 22 de enero de 2001</w:t>
      </w:r>
      <w:r>
        <w:rPr>
          <w:szCs w:val="20"/>
          <w:lang w:val="es-MX"/>
        </w:rPr>
        <w:t xml:space="preserve"> </w:t>
      </w:r>
      <w:r w:rsidRPr="00B514A6">
        <w:rPr>
          <w:lang w:val="es-MX"/>
        </w:rPr>
        <w:t>la Segunda Sala de lo Penal de la Corte Suprema de Justicia</w:t>
      </w:r>
      <w:r>
        <w:rPr>
          <w:lang w:val="es-MX"/>
        </w:rPr>
        <w:t xml:space="preserve"> del Ecuador</w:t>
      </w:r>
      <w:r w:rsidR="00191347">
        <w:rPr>
          <w:szCs w:val="20"/>
          <w:lang w:val="es-MX"/>
        </w:rPr>
        <w:t xml:space="preserve"> declaró la </w:t>
      </w:r>
      <w:r w:rsidRPr="00F9440F">
        <w:rPr>
          <w:szCs w:val="20"/>
          <w:lang w:val="es-MX"/>
        </w:rPr>
        <w:t>deserción del recurso</w:t>
      </w:r>
      <w:r>
        <w:rPr>
          <w:szCs w:val="20"/>
          <w:lang w:val="es-MX"/>
        </w:rPr>
        <w:t xml:space="preserve"> interpuesto por </w:t>
      </w:r>
      <w:r w:rsidR="006F2E04">
        <w:rPr>
          <w:szCs w:val="20"/>
          <w:lang w:val="es-MX"/>
        </w:rPr>
        <w:t>el imputado</w:t>
      </w:r>
      <w:r>
        <w:rPr>
          <w:szCs w:val="20"/>
          <w:lang w:val="es-MX"/>
        </w:rPr>
        <w:t>,</w:t>
      </w:r>
      <w:r w:rsidRPr="00F9440F">
        <w:rPr>
          <w:szCs w:val="20"/>
          <w:lang w:val="es-MX"/>
        </w:rPr>
        <w:t xml:space="preserve"> </w:t>
      </w:r>
      <w:r>
        <w:rPr>
          <w:szCs w:val="20"/>
          <w:lang w:val="es-MX"/>
        </w:rPr>
        <w:t xml:space="preserve">considerando que no había cumplido </w:t>
      </w:r>
      <w:r w:rsidRPr="00F9440F">
        <w:rPr>
          <w:szCs w:val="20"/>
          <w:lang w:val="es-MX"/>
        </w:rPr>
        <w:t xml:space="preserve">la obligación </w:t>
      </w:r>
      <w:r w:rsidR="00191347">
        <w:rPr>
          <w:szCs w:val="20"/>
          <w:lang w:val="es-MX"/>
        </w:rPr>
        <w:t>de fundamentar el recurso. Luego, e</w:t>
      </w:r>
      <w:r w:rsidRPr="00F9440F">
        <w:rPr>
          <w:szCs w:val="20"/>
          <w:lang w:val="es-MX"/>
        </w:rPr>
        <w:t>l 26 de febrero</w:t>
      </w:r>
      <w:r>
        <w:rPr>
          <w:szCs w:val="20"/>
          <w:lang w:val="es-MX"/>
        </w:rPr>
        <w:t xml:space="preserve"> de 2002</w:t>
      </w:r>
      <w:r w:rsidRPr="00F9440F">
        <w:rPr>
          <w:szCs w:val="20"/>
          <w:lang w:val="es-MX"/>
        </w:rPr>
        <w:t xml:space="preserve"> </w:t>
      </w:r>
      <w:r>
        <w:rPr>
          <w:szCs w:val="20"/>
          <w:lang w:val="es-MX"/>
        </w:rPr>
        <w:t xml:space="preserve">emitió sentencia, en la cual declaró improcedente el recurso de casación interpuesto por el Ministerio Público. Al respecto, la Corte Suprema se refirió a </w:t>
      </w:r>
      <w:r w:rsidRPr="00F9440F">
        <w:rPr>
          <w:szCs w:val="20"/>
          <w:lang w:val="es-MX"/>
        </w:rPr>
        <w:t xml:space="preserve">la </w:t>
      </w:r>
      <w:r>
        <w:rPr>
          <w:szCs w:val="20"/>
          <w:lang w:val="es-MX"/>
        </w:rPr>
        <w:t xml:space="preserve">sentencia del </w:t>
      </w:r>
      <w:r w:rsidR="00191347">
        <w:rPr>
          <w:szCs w:val="20"/>
          <w:lang w:val="es-MX"/>
        </w:rPr>
        <w:t>t</w:t>
      </w:r>
      <w:r>
        <w:rPr>
          <w:szCs w:val="20"/>
          <w:lang w:val="es-MX"/>
        </w:rPr>
        <w:t xml:space="preserve">ribunal </w:t>
      </w:r>
      <w:r w:rsidR="00191347">
        <w:rPr>
          <w:szCs w:val="20"/>
          <w:lang w:val="es-MX"/>
        </w:rPr>
        <w:t>p</w:t>
      </w:r>
      <w:r>
        <w:rPr>
          <w:szCs w:val="20"/>
          <w:lang w:val="es-MX"/>
        </w:rPr>
        <w:t>enal de Esmeraldas como “</w:t>
      </w:r>
      <w:r>
        <w:rPr>
          <w:i/>
          <w:szCs w:val="20"/>
          <w:lang w:val="es-MX"/>
        </w:rPr>
        <w:t xml:space="preserve">sui generis </w:t>
      </w:r>
      <w:r>
        <w:rPr>
          <w:szCs w:val="20"/>
          <w:lang w:val="es-MX"/>
        </w:rPr>
        <w:t>con tres criterios distintos”</w:t>
      </w:r>
      <w:r w:rsidR="00537278">
        <w:rPr>
          <w:szCs w:val="20"/>
          <w:lang w:val="es-MX"/>
        </w:rPr>
        <w:t>;</w:t>
      </w:r>
      <w:r w:rsidR="00191347">
        <w:rPr>
          <w:szCs w:val="20"/>
          <w:lang w:val="es-MX"/>
        </w:rPr>
        <w:t xml:space="preserve"> </w:t>
      </w:r>
      <w:r w:rsidRPr="005C6F59">
        <w:rPr>
          <w:szCs w:val="20"/>
          <w:lang w:val="es-MX"/>
        </w:rPr>
        <w:t>consideró que el Ministerio Público equivocó la interposición del recurso de casación por haber invocado como fundamento un artículo de la Ley de Casación Civil, en lugar del correspondiente al Código de Procedimiento Penal, razón por la cual fue declarado improcedente;</w:t>
      </w:r>
      <w:r w:rsidR="00191347">
        <w:rPr>
          <w:szCs w:val="20"/>
          <w:lang w:val="es-MX"/>
        </w:rPr>
        <w:t xml:space="preserve"> </w:t>
      </w:r>
      <w:r w:rsidRPr="00537278">
        <w:rPr>
          <w:szCs w:val="20"/>
          <w:lang w:val="es-MX"/>
        </w:rPr>
        <w:t>convalidó la decisión del tribunal penal y no modificó la pena</w:t>
      </w:r>
      <w:r w:rsidR="006F2E04">
        <w:rPr>
          <w:szCs w:val="20"/>
          <w:lang w:val="es-MX"/>
        </w:rPr>
        <w:t xml:space="preserve">; y </w:t>
      </w:r>
      <w:r w:rsidR="00191347">
        <w:rPr>
          <w:szCs w:val="20"/>
          <w:lang w:val="es-MX"/>
        </w:rPr>
        <w:t xml:space="preserve">consideró que </w:t>
      </w:r>
      <w:r w:rsidRPr="005C6F59">
        <w:rPr>
          <w:szCs w:val="20"/>
          <w:lang w:val="es-MX"/>
        </w:rPr>
        <w:t xml:space="preserve">fueron cometidas </w:t>
      </w:r>
      <w:r>
        <w:rPr>
          <w:szCs w:val="20"/>
          <w:lang w:val="es-MX"/>
        </w:rPr>
        <w:t>“</w:t>
      </w:r>
      <w:r w:rsidRPr="005C6F59">
        <w:rPr>
          <w:szCs w:val="20"/>
          <w:lang w:val="es-MX"/>
        </w:rPr>
        <w:t>irregularidades</w:t>
      </w:r>
      <w:r>
        <w:rPr>
          <w:szCs w:val="20"/>
          <w:lang w:val="es-MX"/>
        </w:rPr>
        <w:t>”</w:t>
      </w:r>
      <w:r w:rsidR="00537278">
        <w:rPr>
          <w:szCs w:val="20"/>
          <w:lang w:val="es-MX"/>
        </w:rPr>
        <w:t xml:space="preserve"> tanto por el t</w:t>
      </w:r>
      <w:r w:rsidRPr="005C6F59">
        <w:rPr>
          <w:szCs w:val="20"/>
          <w:lang w:val="es-MX"/>
        </w:rPr>
        <w:t xml:space="preserve">ribunal </w:t>
      </w:r>
      <w:r w:rsidR="00537278">
        <w:rPr>
          <w:szCs w:val="20"/>
          <w:lang w:val="es-MX"/>
        </w:rPr>
        <w:t>p</w:t>
      </w:r>
      <w:r w:rsidRPr="005C6F59">
        <w:rPr>
          <w:szCs w:val="20"/>
          <w:lang w:val="es-MX"/>
        </w:rPr>
        <w:t>enal de Esmerald</w:t>
      </w:r>
      <w:r>
        <w:rPr>
          <w:szCs w:val="20"/>
          <w:lang w:val="es-MX"/>
        </w:rPr>
        <w:t>as</w:t>
      </w:r>
      <w:r w:rsidRPr="005C6F59">
        <w:rPr>
          <w:szCs w:val="20"/>
          <w:lang w:val="es-MX"/>
        </w:rPr>
        <w:t xml:space="preserve"> como por la Corte Superior de Esmeraldas, razón por la cual dispuso “oficiar al Consejo Nacional de la Judicatura para que </w:t>
      </w:r>
      <w:proofErr w:type="spellStart"/>
      <w:r>
        <w:rPr>
          <w:szCs w:val="20"/>
          <w:lang w:val="es-MX"/>
        </w:rPr>
        <w:t>examin</w:t>
      </w:r>
      <w:proofErr w:type="spellEnd"/>
      <w:r>
        <w:rPr>
          <w:szCs w:val="20"/>
          <w:lang w:val="es-MX"/>
        </w:rPr>
        <w:t>[ara]</w:t>
      </w:r>
      <w:r w:rsidRPr="005C6F59">
        <w:rPr>
          <w:szCs w:val="20"/>
          <w:lang w:val="es-MX"/>
        </w:rPr>
        <w:t xml:space="preserve"> las actuaciones de los miembros” de ambos tribunales. </w:t>
      </w:r>
      <w:r w:rsidRPr="00F7063F">
        <w:rPr>
          <w:lang w:val="es-CR"/>
        </w:rPr>
        <w:t>La Corte Interamericana</w:t>
      </w:r>
      <w:r w:rsidR="00191347">
        <w:rPr>
          <w:lang w:val="es-CR"/>
        </w:rPr>
        <w:t xml:space="preserve"> hace notar que no se desprende de la información aportada por el Estado que los miembros de esos tribunales hayan sido procesados o sancionados por su </w:t>
      </w:r>
      <w:r w:rsidRPr="00F7063F">
        <w:rPr>
          <w:lang w:val="es-CR"/>
        </w:rPr>
        <w:t>participación en el proceso penal seguido por el homicidio de Jose Luis García Ibarra.</w:t>
      </w:r>
    </w:p>
    <w:p w14:paraId="5BA35504" w14:textId="77777777" w:rsidR="00F7063F" w:rsidRPr="00F7063F" w:rsidRDefault="00F7063F" w:rsidP="008F5D36">
      <w:pPr>
        <w:pStyle w:val="PrrafodeSentencia"/>
        <w:spacing w:before="0" w:after="0"/>
        <w:ind w:firstLine="0"/>
        <w:rPr>
          <w:lang w:val="es-MX"/>
        </w:rPr>
      </w:pPr>
    </w:p>
    <w:p w14:paraId="24016394" w14:textId="77777777" w:rsidR="00F7063F" w:rsidRPr="0095153D" w:rsidRDefault="00F7063F" w:rsidP="008F5D36">
      <w:pPr>
        <w:pStyle w:val="PrrafodeSentencia"/>
        <w:spacing w:before="0" w:after="0"/>
        <w:ind w:firstLine="0"/>
        <w:rPr>
          <w:lang w:val="es-CR"/>
        </w:rPr>
      </w:pPr>
    </w:p>
    <w:p w14:paraId="6455F889" w14:textId="77777777" w:rsidR="008F5D36" w:rsidRPr="0095153D" w:rsidRDefault="008F5D36" w:rsidP="008F5D36">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t>Fondo</w:t>
      </w:r>
    </w:p>
    <w:p w14:paraId="512C7C75" w14:textId="77777777" w:rsidR="008F5D36" w:rsidRPr="0095153D" w:rsidRDefault="008F5D36" w:rsidP="008F5D36">
      <w:pPr>
        <w:jc w:val="both"/>
        <w:rPr>
          <w:szCs w:val="20"/>
          <w:lang w:val="es-CR"/>
        </w:rPr>
      </w:pPr>
      <w:bookmarkStart w:id="20" w:name="_Toc431584636"/>
      <w:bookmarkStart w:id="21" w:name="_Toc431585058"/>
      <w:bookmarkStart w:id="22" w:name="_Toc431646575"/>
      <w:bookmarkStart w:id="23" w:name="_Toc431834654"/>
    </w:p>
    <w:p w14:paraId="32AF626E" w14:textId="77777777" w:rsidR="008F5D36" w:rsidRPr="0095153D" w:rsidRDefault="00446002" w:rsidP="008F5D36">
      <w:pPr>
        <w:pStyle w:val="ListParagraph"/>
        <w:numPr>
          <w:ilvl w:val="0"/>
          <w:numId w:val="2"/>
        </w:numPr>
        <w:tabs>
          <w:tab w:val="left" w:pos="993"/>
        </w:tabs>
        <w:ind w:left="993" w:hanging="284"/>
        <w:jc w:val="both"/>
        <w:rPr>
          <w:b/>
          <w:szCs w:val="20"/>
          <w:lang w:val="es-ES_tradnl"/>
        </w:rPr>
      </w:pPr>
      <w:r w:rsidRPr="00F10AC7">
        <w:rPr>
          <w:b/>
          <w:lang w:val="es-CR"/>
        </w:rPr>
        <w:t>Derecho a la Vida y Deber de Protección de los Niños</w:t>
      </w:r>
      <w:r w:rsidR="008F5D36" w:rsidRPr="0095153D">
        <w:rPr>
          <w:b/>
          <w:szCs w:val="20"/>
          <w:lang w:val="es-ES_tradnl"/>
        </w:rPr>
        <w:t xml:space="preserve">, en relación con la obligación de respetar y garantizar los derechos </w:t>
      </w:r>
      <w:bookmarkEnd w:id="20"/>
      <w:bookmarkEnd w:id="21"/>
      <w:bookmarkEnd w:id="22"/>
      <w:bookmarkEnd w:id="23"/>
    </w:p>
    <w:p w14:paraId="0D5FEC35" w14:textId="77777777" w:rsidR="008F5D36" w:rsidRPr="0095153D" w:rsidRDefault="008F5D36" w:rsidP="008F5D36">
      <w:pPr>
        <w:jc w:val="both"/>
        <w:rPr>
          <w:szCs w:val="20"/>
          <w:lang w:val="es-CO"/>
        </w:rPr>
      </w:pPr>
    </w:p>
    <w:p w14:paraId="300D08DF" w14:textId="2556F124" w:rsidR="00652143" w:rsidRPr="009619CE" w:rsidRDefault="00652143" w:rsidP="00652143">
      <w:pPr>
        <w:tabs>
          <w:tab w:val="left" w:pos="0"/>
        </w:tabs>
        <w:autoSpaceDE w:val="0"/>
        <w:autoSpaceDN w:val="0"/>
        <w:spacing w:before="120" w:after="120"/>
        <w:contextualSpacing/>
        <w:jc w:val="both"/>
        <w:rPr>
          <w:bCs/>
          <w:spacing w:val="-2"/>
          <w:szCs w:val="20"/>
          <w:lang w:val="es-CR"/>
        </w:rPr>
      </w:pPr>
      <w:r w:rsidRPr="00F10AC7">
        <w:rPr>
          <w:lang w:val="es-CR"/>
        </w:rPr>
        <w:t>En ate</w:t>
      </w:r>
      <w:r w:rsidRPr="00F10AC7">
        <w:rPr>
          <w:spacing w:val="-2"/>
          <w:szCs w:val="20"/>
          <w:lang w:val="es-CR"/>
        </w:rPr>
        <w:t>nción a los hechos del caso, l</w:t>
      </w:r>
      <w:r>
        <w:rPr>
          <w:spacing w:val="-2"/>
          <w:szCs w:val="20"/>
          <w:lang w:val="es-CR"/>
        </w:rPr>
        <w:t xml:space="preserve">a Corte recordó que en su jurisprudencia ha considerado que en todo caso </w:t>
      </w:r>
      <w:r w:rsidRPr="00E04FA9">
        <w:rPr>
          <w:spacing w:val="-2"/>
          <w:szCs w:val="20"/>
          <w:lang w:val="es-CR"/>
        </w:rPr>
        <w:t xml:space="preserve">en el que agentes estatales hayan </w:t>
      </w:r>
      <w:r w:rsidRPr="00F10AC7">
        <w:rPr>
          <w:rFonts w:cs="Verdana"/>
          <w:szCs w:val="20"/>
          <w:lang w:val="es-CR"/>
        </w:rPr>
        <w:t>producido</w:t>
      </w:r>
      <w:r w:rsidRPr="00E04FA9">
        <w:rPr>
          <w:spacing w:val="-2"/>
          <w:szCs w:val="20"/>
          <w:lang w:val="es-CR"/>
        </w:rPr>
        <w:t xml:space="preserve"> la muerte o </w:t>
      </w:r>
      <w:r w:rsidRPr="0076522A">
        <w:rPr>
          <w:spacing w:val="-2"/>
          <w:szCs w:val="20"/>
          <w:lang w:val="es-CR"/>
        </w:rPr>
        <w:t xml:space="preserve">lesiones de una persona, corresponde analizar el uso </w:t>
      </w:r>
      <w:r>
        <w:rPr>
          <w:spacing w:val="-2"/>
          <w:szCs w:val="20"/>
          <w:lang w:val="es-CR"/>
        </w:rPr>
        <w:t xml:space="preserve">legítimo </w:t>
      </w:r>
      <w:r w:rsidRPr="0076522A">
        <w:rPr>
          <w:spacing w:val="-2"/>
          <w:szCs w:val="20"/>
          <w:lang w:val="es-CR"/>
        </w:rPr>
        <w:t>de la f</w:t>
      </w:r>
      <w:r>
        <w:rPr>
          <w:spacing w:val="-2"/>
          <w:szCs w:val="20"/>
          <w:lang w:val="es-CR"/>
        </w:rPr>
        <w:t>uerza</w:t>
      </w:r>
      <w:r w:rsidRPr="0041723F">
        <w:rPr>
          <w:spacing w:val="-2"/>
          <w:szCs w:val="20"/>
          <w:lang w:val="es-CR"/>
        </w:rPr>
        <w:t>,</w:t>
      </w:r>
      <w:r>
        <w:rPr>
          <w:spacing w:val="-2"/>
          <w:szCs w:val="20"/>
          <w:lang w:val="es-CR"/>
        </w:rPr>
        <w:t xml:space="preserve"> puesto que</w:t>
      </w:r>
      <w:r w:rsidRPr="0041723F">
        <w:rPr>
          <w:spacing w:val="-2"/>
          <w:szCs w:val="20"/>
          <w:lang w:val="es-CR"/>
        </w:rPr>
        <w:t xml:space="preserve"> </w:t>
      </w:r>
      <w:r>
        <w:rPr>
          <w:spacing w:val="-2"/>
          <w:szCs w:val="20"/>
          <w:lang w:val="es-CR"/>
        </w:rPr>
        <w:t>“</w:t>
      </w:r>
      <w:r w:rsidRPr="0041723F">
        <w:rPr>
          <w:spacing w:val="-2"/>
          <w:szCs w:val="20"/>
          <w:lang w:val="es-CR"/>
        </w:rPr>
        <w:t>corresponde al Estado la obligación de proveer una explicación satisfactoria y convincente de lo sucedido y desvirtuar las alegaciones sobre su responsabilidad, mediante elementos probatorios adecuados”.</w:t>
      </w:r>
      <w:r>
        <w:rPr>
          <w:spacing w:val="-2"/>
          <w:szCs w:val="20"/>
          <w:lang w:val="es-CR"/>
        </w:rPr>
        <w:t xml:space="preserve"> </w:t>
      </w:r>
    </w:p>
    <w:p w14:paraId="7F1A2E59" w14:textId="77777777" w:rsidR="00446002" w:rsidRPr="00F10AC7" w:rsidRDefault="00446002" w:rsidP="00446002">
      <w:pPr>
        <w:tabs>
          <w:tab w:val="left" w:pos="284"/>
          <w:tab w:val="left" w:pos="2128"/>
        </w:tabs>
        <w:rPr>
          <w:i/>
          <w:lang w:val="es-CR"/>
        </w:rPr>
      </w:pPr>
    </w:p>
    <w:p w14:paraId="46496D5C" w14:textId="70F5B3B5" w:rsidR="00446002" w:rsidRPr="005F7226" w:rsidRDefault="00446002" w:rsidP="00446002">
      <w:pPr>
        <w:tabs>
          <w:tab w:val="left" w:pos="0"/>
        </w:tabs>
        <w:autoSpaceDE w:val="0"/>
        <w:autoSpaceDN w:val="0"/>
        <w:spacing w:before="120" w:after="120"/>
        <w:contextualSpacing/>
        <w:jc w:val="both"/>
        <w:rPr>
          <w:lang w:val="es-CR"/>
        </w:rPr>
      </w:pPr>
      <w:r w:rsidRPr="00F10AC7">
        <w:rPr>
          <w:lang w:val="es-CR"/>
        </w:rPr>
        <w:t xml:space="preserve">Es un hecho no controvertido que </w:t>
      </w:r>
      <w:r w:rsidRPr="00F10AC7">
        <w:rPr>
          <w:bCs/>
          <w:lang w:val="es-CR"/>
        </w:rPr>
        <w:t xml:space="preserve">el adolescente García Ibarra fue privado de su vida por </w:t>
      </w:r>
      <w:r w:rsidR="00A17936">
        <w:rPr>
          <w:bCs/>
          <w:lang w:val="es-CR"/>
        </w:rPr>
        <w:t xml:space="preserve">el referido </w:t>
      </w:r>
      <w:r w:rsidRPr="00F10AC7">
        <w:rPr>
          <w:bCs/>
          <w:lang w:val="es-CR"/>
        </w:rPr>
        <w:t xml:space="preserve">agente </w:t>
      </w:r>
      <w:r w:rsidR="00A17936">
        <w:rPr>
          <w:bCs/>
          <w:lang w:val="es-CR"/>
        </w:rPr>
        <w:t>policial</w:t>
      </w:r>
      <w:r w:rsidRPr="00F10AC7">
        <w:rPr>
          <w:bCs/>
          <w:lang w:val="es-CR"/>
        </w:rPr>
        <w:t xml:space="preserve">, quien hizo uso letal de su arma de dotación oficial en </w:t>
      </w:r>
      <w:r w:rsidR="00537278">
        <w:rPr>
          <w:bCs/>
          <w:lang w:val="es-CR"/>
        </w:rPr>
        <w:t xml:space="preserve">su </w:t>
      </w:r>
      <w:r w:rsidRPr="00F10AC7">
        <w:rPr>
          <w:bCs/>
          <w:lang w:val="es-CR"/>
        </w:rPr>
        <w:t>contra, sin que conste que aquél haya opuesto resistencia o ejerciera acción alguna contra la vida o integridad de ese policía o de terceros.</w:t>
      </w:r>
      <w:r w:rsidR="00EF360B">
        <w:rPr>
          <w:bCs/>
          <w:lang w:val="es-CR"/>
        </w:rPr>
        <w:t xml:space="preserve"> </w:t>
      </w:r>
      <w:r w:rsidR="00652143" w:rsidRPr="00F10AC7">
        <w:rPr>
          <w:lang w:val="es-CR"/>
        </w:rPr>
        <w:t>Sin embargo, e</w:t>
      </w:r>
      <w:r w:rsidRPr="00F10AC7">
        <w:rPr>
          <w:lang w:val="es-CR"/>
        </w:rPr>
        <w:t xml:space="preserve">l Estado </w:t>
      </w:r>
      <w:r w:rsidR="00A17936">
        <w:rPr>
          <w:lang w:val="es-CR"/>
        </w:rPr>
        <w:t>había cuestionado, como excepción preliminar,</w:t>
      </w:r>
      <w:r w:rsidRPr="00F10AC7">
        <w:rPr>
          <w:lang w:val="es-CR"/>
        </w:rPr>
        <w:t xml:space="preserve"> la facultad de la Corte de pronunciarse en el fondo</w:t>
      </w:r>
      <w:r w:rsidRPr="00F10AC7">
        <w:rPr>
          <w:b/>
          <w:lang w:val="es-CR"/>
        </w:rPr>
        <w:t xml:space="preserve"> </w:t>
      </w:r>
      <w:r w:rsidRPr="00F10AC7">
        <w:rPr>
          <w:lang w:val="es-CR"/>
        </w:rPr>
        <w:t xml:space="preserve">sobre alegadas violaciones a la Convención en un caso como el presente, en que las autoridades internas han llevado a cabo un proceso relevante en relación con los hechos, </w:t>
      </w:r>
      <w:r w:rsidR="00A17936">
        <w:rPr>
          <w:lang w:val="es-CR"/>
        </w:rPr>
        <w:t xml:space="preserve">que </w:t>
      </w:r>
      <w:r w:rsidRPr="00F10AC7">
        <w:rPr>
          <w:lang w:val="es-CR"/>
        </w:rPr>
        <w:t>ha</w:t>
      </w:r>
      <w:r w:rsidR="00A17936">
        <w:rPr>
          <w:lang w:val="es-CR"/>
        </w:rPr>
        <w:t>bía</w:t>
      </w:r>
      <w:r w:rsidRPr="00F10AC7">
        <w:rPr>
          <w:lang w:val="es-CR"/>
        </w:rPr>
        <w:t xml:space="preserve"> culminado en una sentencia condenatoria</w:t>
      </w:r>
      <w:r w:rsidRPr="00475C8E">
        <w:rPr>
          <w:bCs/>
          <w:spacing w:val="-2"/>
          <w:szCs w:val="20"/>
          <w:lang w:val="es-CR"/>
        </w:rPr>
        <w:t xml:space="preserve"> </w:t>
      </w:r>
      <w:r w:rsidRPr="00F10AC7">
        <w:rPr>
          <w:lang w:val="es-CR"/>
        </w:rPr>
        <w:t xml:space="preserve">definitiva. Al reiterar que </w:t>
      </w:r>
      <w:r w:rsidR="00A17936">
        <w:rPr>
          <w:lang w:val="es-CR"/>
        </w:rPr>
        <w:t>la</w:t>
      </w:r>
      <w:r w:rsidRPr="00F10AC7">
        <w:rPr>
          <w:lang w:val="es-CR"/>
        </w:rPr>
        <w:t xml:space="preserve"> excepción preliminar ha</w:t>
      </w:r>
      <w:r w:rsidR="00652143" w:rsidRPr="00F10AC7">
        <w:rPr>
          <w:lang w:val="es-CR"/>
        </w:rPr>
        <w:t>bía</w:t>
      </w:r>
      <w:r w:rsidRPr="00F10AC7">
        <w:rPr>
          <w:lang w:val="es-CR"/>
        </w:rPr>
        <w:t xml:space="preserve"> sido desestimada, </w:t>
      </w:r>
      <w:r w:rsidR="00A17936">
        <w:rPr>
          <w:lang w:val="es-CR"/>
        </w:rPr>
        <w:t xml:space="preserve">la Corte señaló que </w:t>
      </w:r>
      <w:r w:rsidRPr="00F10AC7">
        <w:rPr>
          <w:lang w:val="es-CR"/>
        </w:rPr>
        <w:t>no cabe duda que tiene plena competencia para pronunciarse sobre el fondo del caso sometido a su jurisdicción y, en su caso, determinar si hubo violación a derechos reconocidos en la Convención, como siempre lo ha hecho, aún en casos en que existen decisiones internas relevantes</w:t>
      </w:r>
      <w:r w:rsidR="00537278">
        <w:rPr>
          <w:lang w:val="es-CR"/>
        </w:rPr>
        <w:t xml:space="preserve">, </w:t>
      </w:r>
      <w:r w:rsidRPr="00F10AC7">
        <w:rPr>
          <w:lang w:val="es-CR"/>
        </w:rPr>
        <w:t>sean éstas favorables o no a los intereses de las presuntas víctimas en el caso ante este Tribunal. En la jurisdicción internacional, las partes y la materia de la controversia son, por definición, distintas de la jurisdicción interna, pues el aspecto sustantivo de la controversia ante la Corte es si el Estado demandado ha violado las obligaciones internacionales que contrajo al hacerse Parte en la Convención y, en tal caso, si corresponde establecer las consecuencias jurídicas.</w:t>
      </w:r>
      <w:r w:rsidRPr="00F10AC7">
        <w:rPr>
          <w:b/>
          <w:lang w:val="es-CR"/>
        </w:rPr>
        <w:t xml:space="preserve"> </w:t>
      </w:r>
    </w:p>
    <w:p w14:paraId="09F53B5E" w14:textId="77777777" w:rsidR="00446002" w:rsidRPr="009B6A38" w:rsidRDefault="00446002" w:rsidP="00446002">
      <w:pPr>
        <w:tabs>
          <w:tab w:val="left" w:pos="0"/>
        </w:tabs>
        <w:autoSpaceDE w:val="0"/>
        <w:autoSpaceDN w:val="0"/>
        <w:spacing w:before="120" w:after="120"/>
        <w:contextualSpacing/>
        <w:rPr>
          <w:bCs/>
          <w:spacing w:val="-2"/>
          <w:szCs w:val="20"/>
          <w:lang w:val="es-CR"/>
        </w:rPr>
      </w:pPr>
    </w:p>
    <w:p w14:paraId="46B0FE7A" w14:textId="1F72B550" w:rsidR="00446002" w:rsidRPr="009619CE" w:rsidRDefault="00446002" w:rsidP="00446002">
      <w:pPr>
        <w:tabs>
          <w:tab w:val="left" w:pos="0"/>
        </w:tabs>
        <w:autoSpaceDE w:val="0"/>
        <w:autoSpaceDN w:val="0"/>
        <w:spacing w:before="120" w:after="120"/>
        <w:contextualSpacing/>
        <w:jc w:val="both"/>
        <w:rPr>
          <w:bCs/>
          <w:spacing w:val="-2"/>
          <w:szCs w:val="20"/>
          <w:lang w:val="es-CR"/>
        </w:rPr>
      </w:pPr>
      <w:r w:rsidRPr="00F10AC7">
        <w:rPr>
          <w:bCs/>
          <w:lang w:val="es-CR"/>
        </w:rPr>
        <w:t xml:space="preserve">En </w:t>
      </w:r>
      <w:r w:rsidR="00652143" w:rsidRPr="00F10AC7">
        <w:rPr>
          <w:bCs/>
          <w:lang w:val="es-CR"/>
        </w:rPr>
        <w:t>este caso</w:t>
      </w:r>
      <w:r w:rsidR="007268EF">
        <w:rPr>
          <w:bCs/>
          <w:lang w:val="es-CR"/>
        </w:rPr>
        <w:t>,</w:t>
      </w:r>
      <w:r w:rsidR="00652143" w:rsidRPr="00F10AC7">
        <w:rPr>
          <w:bCs/>
          <w:lang w:val="es-CR"/>
        </w:rPr>
        <w:t xml:space="preserve"> </w:t>
      </w:r>
      <w:r w:rsidR="00A17936">
        <w:rPr>
          <w:bCs/>
          <w:lang w:val="es-CR"/>
        </w:rPr>
        <w:t xml:space="preserve">al alegar </w:t>
      </w:r>
      <w:r w:rsidRPr="00F10AC7">
        <w:rPr>
          <w:lang w:val="es-CR"/>
        </w:rPr>
        <w:t>que el agente policial “no estab</w:t>
      </w:r>
      <w:r w:rsidR="007268EF">
        <w:rPr>
          <w:lang w:val="es-CR"/>
        </w:rPr>
        <w:t>a asignado a ninguna operación”;</w:t>
      </w:r>
      <w:r w:rsidRPr="00F10AC7">
        <w:rPr>
          <w:lang w:val="es-CR"/>
        </w:rPr>
        <w:t xml:space="preserve"> </w:t>
      </w:r>
      <w:r w:rsidR="007268EF">
        <w:rPr>
          <w:lang w:val="es-CR"/>
        </w:rPr>
        <w:t xml:space="preserve">que </w:t>
      </w:r>
      <w:r w:rsidRPr="00F10AC7">
        <w:rPr>
          <w:bCs/>
          <w:lang w:val="es-CR"/>
        </w:rPr>
        <w:t>“actuó en condiciones de actor particular”</w:t>
      </w:r>
      <w:r w:rsidR="007268EF">
        <w:rPr>
          <w:lang w:val="es-CR"/>
        </w:rPr>
        <w:t>;</w:t>
      </w:r>
      <w:r w:rsidRPr="00F10AC7">
        <w:rPr>
          <w:lang w:val="es-CR"/>
        </w:rPr>
        <w:t xml:space="preserve"> “que no se encontraba cumpliendo una orden superior” y que, como Estado, “no pudo impedir la conducta de un agente público que actúo fuera del control razonable de sus deberes y obli</w:t>
      </w:r>
      <w:r w:rsidR="00A17936">
        <w:rPr>
          <w:lang w:val="es-CR"/>
        </w:rPr>
        <w:t>gaciones como policía nacional”,</w:t>
      </w:r>
      <w:r w:rsidRPr="00F10AC7">
        <w:rPr>
          <w:lang w:val="es-CR"/>
        </w:rPr>
        <w:t xml:space="preserve"> </w:t>
      </w:r>
      <w:r w:rsidR="00A17936">
        <w:rPr>
          <w:lang w:val="es-CR"/>
        </w:rPr>
        <w:t xml:space="preserve">el Estado </w:t>
      </w:r>
      <w:r w:rsidR="007268EF">
        <w:rPr>
          <w:lang w:val="es-CR"/>
        </w:rPr>
        <w:t>no reconoció</w:t>
      </w:r>
      <w:r w:rsidRPr="00F10AC7">
        <w:rPr>
          <w:lang w:val="es-CR"/>
        </w:rPr>
        <w:t xml:space="preserve"> propiamente la ocurrencia de un hecho ilícito internacional.</w:t>
      </w:r>
      <w:r w:rsidR="001F2B2F">
        <w:rPr>
          <w:lang w:val="es-CR"/>
        </w:rPr>
        <w:t xml:space="preserve"> </w:t>
      </w:r>
      <w:r w:rsidR="00A17936">
        <w:rPr>
          <w:lang w:val="es-CR"/>
        </w:rPr>
        <w:t>Además</w:t>
      </w:r>
      <w:r w:rsidRPr="00F10AC7">
        <w:rPr>
          <w:lang w:val="es-CR"/>
        </w:rPr>
        <w:t>, dada la forma irregular y “</w:t>
      </w:r>
      <w:r w:rsidRPr="00F10AC7">
        <w:rPr>
          <w:i/>
          <w:lang w:val="es-CR"/>
        </w:rPr>
        <w:t>sui generis</w:t>
      </w:r>
      <w:r w:rsidR="00652143" w:rsidRPr="00F10AC7">
        <w:rPr>
          <w:lang w:val="es-CR"/>
        </w:rPr>
        <w:t>” en que fue resuelto</w:t>
      </w:r>
      <w:r w:rsidRPr="00F10AC7">
        <w:rPr>
          <w:lang w:val="es-CR"/>
        </w:rPr>
        <w:t xml:space="preserve">, no </w:t>
      </w:r>
      <w:r w:rsidR="00A17936">
        <w:rPr>
          <w:lang w:val="es-CR"/>
        </w:rPr>
        <w:t>fue</w:t>
      </w:r>
      <w:r w:rsidRPr="00F10AC7">
        <w:rPr>
          <w:lang w:val="es-CR"/>
        </w:rPr>
        <w:t xml:space="preserve"> establecido que el proceso penal, en </w:t>
      </w:r>
      <w:proofErr w:type="gramStart"/>
      <w:r w:rsidRPr="00F10AC7">
        <w:rPr>
          <w:lang w:val="es-CR"/>
        </w:rPr>
        <w:t>tanto</w:t>
      </w:r>
      <w:proofErr w:type="gramEnd"/>
      <w:r w:rsidRPr="00F10AC7">
        <w:rPr>
          <w:lang w:val="es-CR"/>
        </w:rPr>
        <w:t xml:space="preserve"> </w:t>
      </w:r>
      <w:r w:rsidRPr="00F10AC7">
        <w:rPr>
          <w:bCs/>
          <w:lang w:val="es-CR"/>
        </w:rPr>
        <w:t>respuesta investigativa y judicial del Estado,</w:t>
      </w:r>
      <w:r w:rsidRPr="00F10AC7">
        <w:rPr>
          <w:lang w:val="es-CR"/>
        </w:rPr>
        <w:t xml:space="preserve"> constituyera un medio adecuado para permitir una búsqueda genuina sobre el modo y circunstancias en que </w:t>
      </w:r>
      <w:r w:rsidR="00A17936">
        <w:rPr>
          <w:lang w:val="es-CR"/>
        </w:rPr>
        <w:t>el adolescente</w:t>
      </w:r>
      <w:r w:rsidRPr="00F10AC7">
        <w:rPr>
          <w:lang w:val="es-CR"/>
        </w:rPr>
        <w:t xml:space="preserve"> fue privado de su vida. En consecuencia, en aplicación del principio de com</w:t>
      </w:r>
      <w:r w:rsidR="00652143" w:rsidRPr="00F10AC7">
        <w:rPr>
          <w:lang w:val="es-CR"/>
        </w:rPr>
        <w:t>plementariedad, la Corte procedió</w:t>
      </w:r>
      <w:r w:rsidRPr="00F10AC7">
        <w:rPr>
          <w:lang w:val="es-CR"/>
        </w:rPr>
        <w:t xml:space="preserve"> a determinar si, en los términos del artículo 4.1 de la Convención, </w:t>
      </w:r>
      <w:r w:rsidR="00A17936">
        <w:rPr>
          <w:bCs/>
          <w:lang w:val="es-CR"/>
        </w:rPr>
        <w:t>esa</w:t>
      </w:r>
      <w:r w:rsidRPr="00F10AC7">
        <w:rPr>
          <w:bCs/>
          <w:lang w:val="es-CR"/>
        </w:rPr>
        <w:t xml:space="preserve"> </w:t>
      </w:r>
      <w:r w:rsidRPr="00F10AC7">
        <w:rPr>
          <w:lang w:val="es-CR"/>
        </w:rPr>
        <w:t>privación de la vida fue arbitraria.</w:t>
      </w:r>
    </w:p>
    <w:p w14:paraId="0F1F5DF9" w14:textId="77777777" w:rsidR="00446002" w:rsidRDefault="00446002" w:rsidP="00446002">
      <w:pPr>
        <w:tabs>
          <w:tab w:val="left" w:pos="0"/>
        </w:tabs>
        <w:autoSpaceDE w:val="0"/>
        <w:autoSpaceDN w:val="0"/>
        <w:spacing w:before="120" w:after="120"/>
        <w:contextualSpacing/>
        <w:rPr>
          <w:bCs/>
          <w:spacing w:val="-2"/>
          <w:szCs w:val="20"/>
          <w:lang w:val="es-CR"/>
        </w:rPr>
      </w:pPr>
    </w:p>
    <w:p w14:paraId="4164D028" w14:textId="106C8092" w:rsidR="00446002" w:rsidRPr="00F10AC7" w:rsidRDefault="00652143" w:rsidP="00B66F66">
      <w:pPr>
        <w:tabs>
          <w:tab w:val="left" w:pos="0"/>
        </w:tabs>
        <w:autoSpaceDE w:val="0"/>
        <w:autoSpaceDN w:val="0"/>
        <w:contextualSpacing/>
        <w:jc w:val="both"/>
        <w:rPr>
          <w:szCs w:val="20"/>
          <w:lang w:val="es-CR"/>
        </w:rPr>
      </w:pPr>
      <w:r w:rsidRPr="00F10AC7">
        <w:rPr>
          <w:rFonts w:eastAsia="Batang" w:cs="Times"/>
          <w:lang w:val="es-CR"/>
        </w:rPr>
        <w:t>L</w:t>
      </w:r>
      <w:r w:rsidR="00446002" w:rsidRPr="00F10AC7">
        <w:rPr>
          <w:rFonts w:eastAsia="Batang" w:cs="Times"/>
          <w:lang w:val="es-CR"/>
        </w:rPr>
        <w:t>a</w:t>
      </w:r>
      <w:r w:rsidRPr="00F10AC7">
        <w:rPr>
          <w:szCs w:val="20"/>
          <w:lang w:val="es-CR"/>
        </w:rPr>
        <w:t xml:space="preserve"> Corte recordó</w:t>
      </w:r>
      <w:r w:rsidR="00446002" w:rsidRPr="00F10AC7">
        <w:rPr>
          <w:szCs w:val="20"/>
          <w:lang w:val="es-CR"/>
        </w:rPr>
        <w:t xml:space="preserve"> que no es un tribunal penal</w:t>
      </w:r>
      <w:r w:rsidR="00446002" w:rsidRPr="00F10AC7">
        <w:rPr>
          <w:szCs w:val="20"/>
          <w:lang w:val="es-CR" w:eastAsia="de-DE"/>
        </w:rPr>
        <w:t>,</w:t>
      </w:r>
      <w:r w:rsidR="00446002" w:rsidRPr="00F10AC7">
        <w:rPr>
          <w:szCs w:val="20"/>
          <w:lang w:val="es-CR"/>
        </w:rPr>
        <w:t xml:space="preserve"> por lo que la responsabilidad de los Estados bajo la Convención no debe ser confundida con la responsabilidad criminal de individuos particulares. </w:t>
      </w:r>
      <w:r w:rsidR="00446002" w:rsidRPr="00F10AC7">
        <w:rPr>
          <w:lang w:val="es-CR"/>
        </w:rPr>
        <w:t xml:space="preserve">En este caso, según lo manifestado por el propio Estado, el agente policial hizo uso letal de la fuerza sin algún tipo de justificación, bajo la investidura oficial y sin finalidad legítima alguna. En consecuencia, a efectos de determinar la responsabilidad del Estado, </w:t>
      </w:r>
      <w:r w:rsidR="00B66F66">
        <w:rPr>
          <w:spacing w:val="-2"/>
          <w:szCs w:val="20"/>
          <w:lang w:val="es-CR"/>
        </w:rPr>
        <w:t>no correspondía</w:t>
      </w:r>
      <w:r w:rsidR="00446002" w:rsidRPr="00D149F3">
        <w:rPr>
          <w:spacing w:val="-2"/>
          <w:szCs w:val="20"/>
          <w:lang w:val="es-CR"/>
        </w:rPr>
        <w:t xml:space="preserve"> analizar los hechos bajo los estándares </w:t>
      </w:r>
      <w:r>
        <w:rPr>
          <w:spacing w:val="-2"/>
          <w:szCs w:val="20"/>
          <w:lang w:val="es-CR"/>
        </w:rPr>
        <w:t>sobre uso legítimo de la fuerza</w:t>
      </w:r>
      <w:r w:rsidR="00446002" w:rsidRPr="00D149F3">
        <w:rPr>
          <w:spacing w:val="-2"/>
          <w:szCs w:val="20"/>
          <w:lang w:val="es-CR"/>
        </w:rPr>
        <w:t xml:space="preserve">, sino analizar </w:t>
      </w:r>
      <w:r w:rsidR="00B66F66">
        <w:rPr>
          <w:spacing w:val="-2"/>
          <w:szCs w:val="20"/>
          <w:lang w:val="es-CR"/>
        </w:rPr>
        <w:t>las circuns</w:t>
      </w:r>
      <w:r w:rsidRPr="00652143">
        <w:rPr>
          <w:spacing w:val="-2"/>
          <w:szCs w:val="20"/>
          <w:lang w:val="es-CR"/>
        </w:rPr>
        <w:t>tancias en las cuales tuvo lugar el</w:t>
      </w:r>
      <w:r>
        <w:rPr>
          <w:spacing w:val="-2"/>
          <w:szCs w:val="20"/>
          <w:lang w:val="es-CR"/>
        </w:rPr>
        <w:t xml:space="preserve"> </w:t>
      </w:r>
      <w:r w:rsidR="00446002" w:rsidRPr="00D149F3">
        <w:rPr>
          <w:spacing w:val="-2"/>
          <w:szCs w:val="20"/>
          <w:lang w:val="es-CR"/>
        </w:rPr>
        <w:t xml:space="preserve">uso </w:t>
      </w:r>
      <w:r>
        <w:rPr>
          <w:spacing w:val="-2"/>
          <w:szCs w:val="20"/>
          <w:lang w:val="es-CR"/>
        </w:rPr>
        <w:t>letal</w:t>
      </w:r>
      <w:r w:rsidR="00446002" w:rsidRPr="00D149F3">
        <w:rPr>
          <w:spacing w:val="-2"/>
          <w:szCs w:val="20"/>
          <w:lang w:val="es-CR"/>
        </w:rPr>
        <w:t xml:space="preserve"> de la fuerza a la luz de las obligaciones de respeto y garantía del derecho a la vida.</w:t>
      </w:r>
    </w:p>
    <w:p w14:paraId="539258EF" w14:textId="77777777" w:rsidR="00446002" w:rsidRPr="00F74E6F" w:rsidRDefault="00446002" w:rsidP="00446002">
      <w:pPr>
        <w:autoSpaceDE w:val="0"/>
        <w:autoSpaceDN w:val="0"/>
        <w:contextualSpacing/>
        <w:rPr>
          <w:b/>
          <w:bCs/>
          <w:spacing w:val="-2"/>
          <w:szCs w:val="20"/>
          <w:highlight w:val="yellow"/>
          <w:lang w:val="es-CR"/>
        </w:rPr>
      </w:pPr>
    </w:p>
    <w:p w14:paraId="2C77F3B0" w14:textId="5F7DB570" w:rsidR="00446002" w:rsidRPr="006C382A" w:rsidRDefault="00446002" w:rsidP="00446002">
      <w:pPr>
        <w:tabs>
          <w:tab w:val="left" w:pos="0"/>
        </w:tabs>
        <w:autoSpaceDE w:val="0"/>
        <w:autoSpaceDN w:val="0"/>
        <w:spacing w:before="120" w:after="120"/>
        <w:contextualSpacing/>
        <w:jc w:val="both"/>
        <w:rPr>
          <w:spacing w:val="-2"/>
          <w:szCs w:val="20"/>
          <w:lang w:val="es-CR"/>
        </w:rPr>
      </w:pPr>
      <w:r w:rsidRPr="006C382A">
        <w:rPr>
          <w:spacing w:val="-2"/>
          <w:szCs w:val="20"/>
          <w:lang w:val="es-CR"/>
        </w:rPr>
        <w:t xml:space="preserve">En el </w:t>
      </w:r>
      <w:r w:rsidR="0090400B">
        <w:rPr>
          <w:spacing w:val="-2"/>
          <w:szCs w:val="20"/>
          <w:lang w:val="es-CR"/>
        </w:rPr>
        <w:t>proceso penal</w:t>
      </w:r>
      <w:r w:rsidRPr="006C382A">
        <w:rPr>
          <w:spacing w:val="-2"/>
          <w:szCs w:val="20"/>
          <w:lang w:val="es-CR"/>
        </w:rPr>
        <w:t xml:space="preserve"> fueron consideradas dos versiones en torno a la muerte de Jose Luis García Ibarra</w:t>
      </w:r>
      <w:r w:rsidRPr="001A104C">
        <w:rPr>
          <w:spacing w:val="-2"/>
          <w:szCs w:val="20"/>
          <w:lang w:val="es-CR"/>
        </w:rPr>
        <w:t xml:space="preserve"> </w:t>
      </w:r>
      <w:r w:rsidRPr="006C382A">
        <w:rPr>
          <w:spacing w:val="-2"/>
          <w:szCs w:val="20"/>
          <w:lang w:val="es-CR"/>
        </w:rPr>
        <w:t xml:space="preserve">en </w:t>
      </w:r>
      <w:r>
        <w:rPr>
          <w:spacing w:val="-2"/>
          <w:szCs w:val="20"/>
          <w:lang w:val="es-CR"/>
        </w:rPr>
        <w:t xml:space="preserve">la investigación y </w:t>
      </w:r>
      <w:r w:rsidR="0090400B">
        <w:rPr>
          <w:spacing w:val="-2"/>
          <w:szCs w:val="20"/>
          <w:lang w:val="es-CR"/>
        </w:rPr>
        <w:t>proceso penal interno (</w:t>
      </w:r>
      <w:r w:rsidR="0090400B">
        <w:rPr>
          <w:i/>
          <w:spacing w:val="-2"/>
          <w:szCs w:val="20"/>
          <w:lang w:val="es-CR"/>
        </w:rPr>
        <w:t>supra</w:t>
      </w:r>
      <w:r w:rsidR="0090400B">
        <w:rPr>
          <w:spacing w:val="-2"/>
          <w:szCs w:val="20"/>
          <w:lang w:val="es-CR"/>
        </w:rPr>
        <w:t>).</w:t>
      </w:r>
      <w:r w:rsidRPr="006C382A">
        <w:rPr>
          <w:spacing w:val="-2"/>
          <w:szCs w:val="20"/>
          <w:lang w:val="es-CR"/>
        </w:rPr>
        <w:t xml:space="preserve"> </w:t>
      </w:r>
      <w:r w:rsidR="0090400B">
        <w:rPr>
          <w:spacing w:val="-2"/>
          <w:szCs w:val="20"/>
          <w:lang w:val="es-CR"/>
        </w:rPr>
        <w:t>D</w:t>
      </w:r>
      <w:r>
        <w:rPr>
          <w:spacing w:val="-2"/>
          <w:szCs w:val="20"/>
          <w:lang w:val="es-CR"/>
        </w:rPr>
        <w:t xml:space="preserve">ada la forma en que fue resuelto </w:t>
      </w:r>
      <w:r w:rsidR="0090400B">
        <w:rPr>
          <w:spacing w:val="-2"/>
          <w:szCs w:val="20"/>
          <w:lang w:val="es-CR"/>
        </w:rPr>
        <w:t>ese</w:t>
      </w:r>
      <w:r>
        <w:rPr>
          <w:spacing w:val="-2"/>
          <w:szCs w:val="20"/>
          <w:lang w:val="es-CR"/>
        </w:rPr>
        <w:t xml:space="preserve"> proceso, </w:t>
      </w:r>
      <w:r w:rsidRPr="006C382A">
        <w:rPr>
          <w:spacing w:val="-2"/>
          <w:szCs w:val="20"/>
          <w:lang w:val="es-CR"/>
        </w:rPr>
        <w:t>las autoridades estatales no dieron una explicación satisfactoria sobre la legitimidad del uso letal de la fuerza con un arma de fuego por parte de un agente de policía contra un adolescente que no representaba un peligro tal que requiriera defensa propia de la vida o de otras personas. En cualquier caso, la conclusión definitiva de</w:t>
      </w:r>
      <w:r>
        <w:rPr>
          <w:spacing w:val="-2"/>
          <w:szCs w:val="20"/>
          <w:lang w:val="es-CR"/>
        </w:rPr>
        <w:t xml:space="preserve"> dicho</w:t>
      </w:r>
      <w:r w:rsidRPr="006C382A">
        <w:rPr>
          <w:spacing w:val="-2"/>
          <w:szCs w:val="20"/>
          <w:lang w:val="es-CR"/>
        </w:rPr>
        <w:t xml:space="preserve"> proceso indica que la muerte fue consecuencia de la falta de precaución del policía, lo cual bastaría para comprometer la responsabilidad del Estado. Independientemente de las dos versiones, </w:t>
      </w:r>
      <w:r>
        <w:rPr>
          <w:spacing w:val="-2"/>
          <w:szCs w:val="20"/>
          <w:lang w:val="es-CR"/>
        </w:rPr>
        <w:t xml:space="preserve">es claro que </w:t>
      </w:r>
      <w:r w:rsidRPr="006C382A">
        <w:rPr>
          <w:spacing w:val="-2"/>
          <w:szCs w:val="20"/>
          <w:lang w:val="es-CR"/>
        </w:rPr>
        <w:t xml:space="preserve">el policía hizo uso letal de la fuerza </w:t>
      </w:r>
      <w:r>
        <w:rPr>
          <w:spacing w:val="-2"/>
          <w:szCs w:val="20"/>
          <w:lang w:val="es-CR"/>
        </w:rPr>
        <w:t xml:space="preserve">y que </w:t>
      </w:r>
      <w:r w:rsidRPr="006C382A">
        <w:rPr>
          <w:spacing w:val="-2"/>
          <w:szCs w:val="20"/>
          <w:lang w:val="es-CR"/>
        </w:rPr>
        <w:t>no cumplió con las reglas sobre el uso de armas letales.</w:t>
      </w:r>
    </w:p>
    <w:p w14:paraId="2C94C9B5" w14:textId="77777777" w:rsidR="00446002" w:rsidRPr="00F10AC7" w:rsidRDefault="00446002" w:rsidP="00446002">
      <w:pPr>
        <w:autoSpaceDE w:val="0"/>
        <w:autoSpaceDN w:val="0"/>
        <w:rPr>
          <w:lang w:val="es-CR"/>
        </w:rPr>
      </w:pPr>
    </w:p>
    <w:p w14:paraId="630AE80A" w14:textId="3C967461" w:rsidR="008F5D36" w:rsidRDefault="00446002" w:rsidP="00A17936">
      <w:pPr>
        <w:tabs>
          <w:tab w:val="left" w:pos="0"/>
        </w:tabs>
        <w:autoSpaceDE w:val="0"/>
        <w:autoSpaceDN w:val="0"/>
        <w:contextualSpacing/>
        <w:jc w:val="both"/>
        <w:rPr>
          <w:szCs w:val="20"/>
          <w:lang w:val="es-MX"/>
        </w:rPr>
      </w:pPr>
      <w:r w:rsidRPr="00F10AC7">
        <w:rPr>
          <w:rFonts w:cs="Arial"/>
          <w:lang w:val="es-CR"/>
        </w:rPr>
        <w:t>Por las razones anteriores, la Corte considera que el Estado es responsable por la privación arbitraria de la vida de José Luis García Ibarra, en los términos del artículo 4.1 de la Convención</w:t>
      </w:r>
      <w:r w:rsidR="00A17936">
        <w:rPr>
          <w:rFonts w:cs="Arial"/>
          <w:lang w:val="es-CR"/>
        </w:rPr>
        <w:t>.</w:t>
      </w:r>
      <w:r w:rsidR="00A17936" w:rsidRPr="00A17936">
        <w:rPr>
          <w:rFonts w:cs="Arial"/>
          <w:szCs w:val="20"/>
          <w:lang w:val="es-CR" w:eastAsia="es-CR"/>
        </w:rPr>
        <w:t xml:space="preserve"> </w:t>
      </w:r>
      <w:r w:rsidR="00A17936" w:rsidRPr="00F10AC7">
        <w:rPr>
          <w:rFonts w:cs="Arial"/>
          <w:szCs w:val="20"/>
          <w:lang w:val="es-CR" w:eastAsia="es-CR"/>
        </w:rPr>
        <w:t>Dado que la víctima era adolescente al momento de su muerte</w:t>
      </w:r>
      <w:r w:rsidR="00A17936" w:rsidRPr="006C382A">
        <w:rPr>
          <w:szCs w:val="20"/>
          <w:lang w:val="es-GT"/>
        </w:rPr>
        <w:t xml:space="preserve">, </w:t>
      </w:r>
      <w:r w:rsidR="00A17936" w:rsidRPr="00F10AC7">
        <w:rPr>
          <w:rFonts w:cs="Arial"/>
          <w:szCs w:val="20"/>
          <w:lang w:val="es-CR" w:eastAsia="es-CR"/>
        </w:rPr>
        <w:t xml:space="preserve">la violación de su derecho a la vida se configuró también en relación con </w:t>
      </w:r>
      <w:r w:rsidR="00A17936">
        <w:rPr>
          <w:rFonts w:cs="Arial"/>
          <w:szCs w:val="20"/>
          <w:lang w:val="es-CR" w:eastAsia="es-CR"/>
        </w:rPr>
        <w:t>los</w:t>
      </w:r>
      <w:r w:rsidR="00A17936" w:rsidRPr="00F10AC7">
        <w:rPr>
          <w:rFonts w:cs="Arial"/>
          <w:szCs w:val="20"/>
          <w:lang w:val="es-CR" w:eastAsia="es-CR"/>
        </w:rPr>
        <w:t xml:space="preserve"> </w:t>
      </w:r>
      <w:r w:rsidR="00A17936" w:rsidRPr="00F10AC7">
        <w:rPr>
          <w:szCs w:val="20"/>
          <w:lang w:val="es-CR"/>
        </w:rPr>
        <w:t>artículo</w:t>
      </w:r>
      <w:r w:rsidR="00A17936">
        <w:rPr>
          <w:szCs w:val="20"/>
          <w:lang w:val="es-CR"/>
        </w:rPr>
        <w:t>s 1.1 y</w:t>
      </w:r>
      <w:r w:rsidR="00A17936" w:rsidRPr="00F10AC7">
        <w:rPr>
          <w:szCs w:val="20"/>
          <w:lang w:val="es-CR"/>
        </w:rPr>
        <w:t xml:space="preserve"> 19 de la Convención Americana</w:t>
      </w:r>
      <w:r w:rsidR="00A17936" w:rsidRPr="00F10AC7">
        <w:rPr>
          <w:lang w:val="es-CR"/>
        </w:rPr>
        <w:t xml:space="preserve">. </w:t>
      </w:r>
    </w:p>
    <w:p w14:paraId="3474A5D2" w14:textId="77777777" w:rsidR="00446002" w:rsidRPr="0095153D" w:rsidRDefault="00446002" w:rsidP="008F5D36">
      <w:pPr>
        <w:jc w:val="both"/>
        <w:rPr>
          <w:szCs w:val="20"/>
          <w:lang w:val="es-MX"/>
        </w:rPr>
      </w:pPr>
    </w:p>
    <w:p w14:paraId="7A0A2920" w14:textId="77777777" w:rsidR="008F5D36" w:rsidRPr="0095153D" w:rsidRDefault="008F5D36" w:rsidP="008F5D36">
      <w:pPr>
        <w:pStyle w:val="Heading2"/>
        <w:numPr>
          <w:ilvl w:val="0"/>
          <w:numId w:val="2"/>
        </w:numPr>
        <w:jc w:val="both"/>
        <w:rPr>
          <w:rFonts w:ascii="Verdana" w:hAnsi="Verdana"/>
          <w:bCs/>
          <w:spacing w:val="-4"/>
          <w:lang w:val="es-ES_tradnl"/>
        </w:rPr>
      </w:pPr>
      <w:r w:rsidRPr="0095153D">
        <w:rPr>
          <w:rFonts w:ascii="Verdana" w:hAnsi="Verdana"/>
          <w:bCs/>
          <w:spacing w:val="-4"/>
          <w:lang w:val="es-CO"/>
        </w:rPr>
        <w:t>Garantías Judicial</w:t>
      </w:r>
      <w:r w:rsidR="00B66F66">
        <w:rPr>
          <w:rFonts w:ascii="Verdana" w:hAnsi="Verdana"/>
          <w:bCs/>
          <w:spacing w:val="-4"/>
          <w:lang w:val="es-CO"/>
        </w:rPr>
        <w:t>es y</w:t>
      </w:r>
      <w:r w:rsidRPr="0095153D">
        <w:rPr>
          <w:rFonts w:ascii="Verdana" w:hAnsi="Verdana"/>
          <w:bCs/>
          <w:spacing w:val="-4"/>
          <w:lang w:val="es-CO"/>
        </w:rPr>
        <w:t xml:space="preserve"> Protección Judicial, </w:t>
      </w:r>
      <w:r w:rsidRPr="0095153D">
        <w:rPr>
          <w:rFonts w:ascii="Verdana" w:hAnsi="Verdana"/>
          <w:bCs/>
          <w:spacing w:val="-4"/>
          <w:lang w:val="es-ES_tradnl"/>
        </w:rPr>
        <w:t xml:space="preserve">en relación con la obligación de respetar y garantizar los derechos </w:t>
      </w:r>
    </w:p>
    <w:p w14:paraId="72D8A789" w14:textId="77777777" w:rsidR="008F5D36" w:rsidRPr="0095153D" w:rsidRDefault="008F5D36" w:rsidP="008F5D36">
      <w:pPr>
        <w:pStyle w:val="Heading2"/>
        <w:tabs>
          <w:tab w:val="left" w:pos="90"/>
        </w:tabs>
        <w:jc w:val="left"/>
        <w:rPr>
          <w:rFonts w:ascii="Verdana" w:hAnsi="Verdana"/>
          <w:b w:val="0"/>
          <w:i/>
        </w:rPr>
      </w:pPr>
      <w:bookmarkStart w:id="24" w:name="_Toc427932806"/>
      <w:bookmarkStart w:id="25" w:name="_Toc431584647"/>
      <w:bookmarkStart w:id="26" w:name="_Toc431834665"/>
    </w:p>
    <w:bookmarkEnd w:id="24"/>
    <w:bookmarkEnd w:id="25"/>
    <w:bookmarkEnd w:id="26"/>
    <w:p w14:paraId="3C968256" w14:textId="5D811A8B" w:rsidR="008F5D36" w:rsidRPr="004C78FF" w:rsidRDefault="008336CF" w:rsidP="00E632A8">
      <w:pPr>
        <w:tabs>
          <w:tab w:val="left" w:pos="2128"/>
        </w:tabs>
        <w:contextualSpacing/>
        <w:jc w:val="both"/>
        <w:rPr>
          <w:lang w:val="es-CR"/>
        </w:rPr>
      </w:pPr>
      <w:r>
        <w:rPr>
          <w:lang w:val="es-CR"/>
        </w:rPr>
        <w:t>En primer lugar, l</w:t>
      </w:r>
      <w:r w:rsidR="00B66F66" w:rsidRPr="00F10AC7">
        <w:rPr>
          <w:lang w:val="es-CR"/>
        </w:rPr>
        <w:t>a investigación penal no revestía complejidad alguna</w:t>
      </w:r>
      <w:r w:rsidR="00E632A8">
        <w:rPr>
          <w:lang w:val="es-CR"/>
        </w:rPr>
        <w:t>, pues</w:t>
      </w:r>
      <w:r w:rsidR="00B66F66" w:rsidRPr="00F10AC7">
        <w:rPr>
          <w:lang w:val="es-CR"/>
        </w:rPr>
        <w:t xml:space="preserve"> estaban plenamente identificados el au</w:t>
      </w:r>
      <w:r w:rsidR="00E632A8">
        <w:rPr>
          <w:lang w:val="es-CR"/>
        </w:rPr>
        <w:t xml:space="preserve">tor de los hechos y la víctima y </w:t>
      </w:r>
      <w:r w:rsidR="00B66F66" w:rsidRPr="00F10AC7">
        <w:rPr>
          <w:lang w:val="es-CR"/>
        </w:rPr>
        <w:t xml:space="preserve">el lugar </w:t>
      </w:r>
      <w:r w:rsidR="00E632A8">
        <w:rPr>
          <w:lang w:val="es-CR"/>
        </w:rPr>
        <w:t xml:space="preserve">del </w:t>
      </w:r>
      <w:r w:rsidR="00B66F66" w:rsidRPr="00F10AC7">
        <w:rPr>
          <w:lang w:val="es-CR"/>
        </w:rPr>
        <w:t xml:space="preserve">hecho. Por ello, </w:t>
      </w:r>
      <w:r w:rsidR="00750E64">
        <w:rPr>
          <w:lang w:val="es-CR"/>
        </w:rPr>
        <w:t xml:space="preserve">en este caso </w:t>
      </w:r>
      <w:r w:rsidR="00B66F66" w:rsidRPr="00F10AC7">
        <w:rPr>
          <w:lang w:val="es-CR"/>
        </w:rPr>
        <w:t xml:space="preserve">la debida diligencia en la investigación </w:t>
      </w:r>
      <w:r w:rsidR="00750E64">
        <w:rPr>
          <w:lang w:val="es-CR"/>
        </w:rPr>
        <w:t xml:space="preserve">debía evaluarse </w:t>
      </w:r>
      <w:r w:rsidR="00B66F66" w:rsidRPr="00F10AC7">
        <w:rPr>
          <w:lang w:val="es-CR"/>
        </w:rPr>
        <w:t xml:space="preserve">en relación con la necesidad de determinar la veracidad de las versiones consideradas sobre lo ocurrido, es decir, si </w:t>
      </w:r>
      <w:r w:rsidR="00750E64">
        <w:rPr>
          <w:lang w:val="es-CR"/>
        </w:rPr>
        <w:t xml:space="preserve">aquella </w:t>
      </w:r>
      <w:r w:rsidR="00B66F66" w:rsidRPr="00F10AC7">
        <w:rPr>
          <w:lang w:val="es-CR"/>
        </w:rPr>
        <w:t xml:space="preserve">permitió un esclarecimiento judicial de los hechos y una eventual calificación jurídica de los mismos acorde con lo sucedido. </w:t>
      </w:r>
      <w:r w:rsidR="00513B90" w:rsidRPr="00F10AC7">
        <w:rPr>
          <w:lang w:val="es-CR"/>
        </w:rPr>
        <w:t>En el proceso penal</w:t>
      </w:r>
      <w:r w:rsidR="00B66F66" w:rsidRPr="00F10AC7">
        <w:rPr>
          <w:lang w:val="es-CR"/>
        </w:rPr>
        <w:t xml:space="preserve"> no fueron realizadas diligencias básicas para dirimir las dos versiones existen</w:t>
      </w:r>
      <w:r w:rsidR="004C78FF">
        <w:rPr>
          <w:lang w:val="es-CR"/>
        </w:rPr>
        <w:t>tes en la mayor medida posible (</w:t>
      </w:r>
      <w:r w:rsidR="00750E64">
        <w:rPr>
          <w:lang w:val="es-CR"/>
        </w:rPr>
        <w:t>entre otras</w:t>
      </w:r>
      <w:r w:rsidR="00E632A8">
        <w:rPr>
          <w:lang w:val="es-CR"/>
        </w:rPr>
        <w:t>:</w:t>
      </w:r>
      <w:r w:rsidR="00B66F66" w:rsidRPr="00F10AC7">
        <w:rPr>
          <w:lang w:val="es-CR"/>
        </w:rPr>
        <w:t xml:space="preserve"> interrogatorios de seguimiento; careos entre testigos; reconstrucción de los hechos con participación de expertos; pruebas </w:t>
      </w:r>
      <w:r w:rsidR="00E632A8" w:rsidRPr="00F10AC7">
        <w:rPr>
          <w:lang w:val="es-CR"/>
        </w:rPr>
        <w:t>técnicas de balística que permitieran determinar la viabilidad de un disparo accidental del arma utilizada</w:t>
      </w:r>
      <w:r w:rsidR="00E632A8">
        <w:rPr>
          <w:lang w:val="es-CR"/>
        </w:rPr>
        <w:t xml:space="preserve"> </w:t>
      </w:r>
      <w:r w:rsidR="00B66F66" w:rsidRPr="00F10AC7">
        <w:rPr>
          <w:lang w:val="es-CR"/>
        </w:rPr>
        <w:t xml:space="preserve">y la trayectoria del disparo </w:t>
      </w:r>
      <w:r w:rsidR="00E632A8">
        <w:rPr>
          <w:lang w:val="es-CR"/>
        </w:rPr>
        <w:t xml:space="preserve">según </w:t>
      </w:r>
      <w:r w:rsidR="00B66F66" w:rsidRPr="00F10AC7">
        <w:rPr>
          <w:lang w:val="es-CR"/>
        </w:rPr>
        <w:t>la posición de la víctima y el victimario</w:t>
      </w:r>
      <w:r w:rsidR="004C78FF">
        <w:rPr>
          <w:lang w:val="es-CR"/>
        </w:rPr>
        <w:t>)</w:t>
      </w:r>
      <w:r w:rsidR="00B66F66" w:rsidRPr="00F10AC7">
        <w:rPr>
          <w:lang w:val="es-CR"/>
        </w:rPr>
        <w:t xml:space="preserve">. </w:t>
      </w:r>
      <w:r w:rsidR="00B66F66" w:rsidRPr="00E632A8">
        <w:rPr>
          <w:lang w:val="es-CR"/>
        </w:rPr>
        <w:t xml:space="preserve">La Corte </w:t>
      </w:r>
      <w:r w:rsidR="00BB2B89" w:rsidRPr="00E632A8">
        <w:rPr>
          <w:lang w:val="es-CR"/>
        </w:rPr>
        <w:t>consideró</w:t>
      </w:r>
      <w:r w:rsidR="00B66F66" w:rsidRPr="00E632A8">
        <w:rPr>
          <w:lang w:val="es-CR"/>
        </w:rPr>
        <w:t xml:space="preserve"> que la ausencia de </w:t>
      </w:r>
      <w:r w:rsidR="00E632A8">
        <w:rPr>
          <w:lang w:val="es-CR"/>
        </w:rPr>
        <w:t>estas</w:t>
      </w:r>
      <w:r w:rsidR="00B66F66" w:rsidRPr="00E632A8">
        <w:rPr>
          <w:lang w:val="es-CR"/>
        </w:rPr>
        <w:t xml:space="preserve"> diligencias</w:t>
      </w:r>
      <w:r w:rsidR="00E632A8">
        <w:rPr>
          <w:lang w:val="es-CR"/>
        </w:rPr>
        <w:t xml:space="preserve"> </w:t>
      </w:r>
      <w:r w:rsidR="00B66F66" w:rsidRPr="00E632A8">
        <w:rPr>
          <w:lang w:val="es-CR"/>
        </w:rPr>
        <w:t xml:space="preserve">generó una carencia de elementos técnicos certeros ante dichas versiones y no procuró genuinamente el esclarecimiento de toda la verdad de lo ocurrido, </w:t>
      </w:r>
      <w:r w:rsidR="00B66F66" w:rsidRPr="00E632A8">
        <w:rPr>
          <w:rFonts w:eastAsia="Cambria"/>
          <w:lang w:val="es-CR"/>
        </w:rPr>
        <w:t xml:space="preserve">incidiendo de manera determinante en la calificación de los hechos contenida en el voto de la sentencia al que se </w:t>
      </w:r>
      <w:r w:rsidR="00B66F66" w:rsidRPr="00E632A8">
        <w:rPr>
          <w:rFonts w:eastAsia="Cambria"/>
          <w:lang w:val="es-CR"/>
        </w:rPr>
        <w:lastRenderedPageBreak/>
        <w:t>otorgó carácter definitivo y, por ende, en la motivación de la misma</w:t>
      </w:r>
      <w:r w:rsidR="00B66F66" w:rsidRPr="00E632A8">
        <w:rPr>
          <w:lang w:val="es-CR"/>
        </w:rPr>
        <w:t xml:space="preserve">. </w:t>
      </w:r>
      <w:r w:rsidR="00B66F66" w:rsidRPr="004C78FF">
        <w:rPr>
          <w:lang w:val="es-CR"/>
        </w:rPr>
        <w:t>En este sentido, el Estado es responsable por la falta de debida diligencia en la investigación de los hechos.</w:t>
      </w:r>
    </w:p>
    <w:p w14:paraId="70CC32C2" w14:textId="77777777" w:rsidR="00513B90" w:rsidRDefault="00513B90" w:rsidP="008F5D36">
      <w:pPr>
        <w:jc w:val="both"/>
        <w:rPr>
          <w:szCs w:val="20"/>
          <w:lang w:val="es-MX" w:eastAsia="es-MX"/>
        </w:rPr>
      </w:pPr>
    </w:p>
    <w:p w14:paraId="29EF99FD" w14:textId="764DC0C7" w:rsidR="00513B90" w:rsidRPr="00F10AC7" w:rsidRDefault="00513B90" w:rsidP="004C78FF">
      <w:pPr>
        <w:autoSpaceDE w:val="0"/>
        <w:autoSpaceDN w:val="0"/>
        <w:contextualSpacing/>
        <w:jc w:val="both"/>
        <w:rPr>
          <w:lang w:val="es-CR"/>
        </w:rPr>
      </w:pPr>
      <w:r w:rsidRPr="00F10AC7">
        <w:rPr>
          <w:lang w:val="es-CR"/>
        </w:rPr>
        <w:t xml:space="preserve">En segundo lugar, al estimar evidente que no correspondía al Tribunal analizar en cual tipo penal encuadraba la conducta del imputado en el proceso penal, en que </w:t>
      </w:r>
      <w:r w:rsidRPr="00F10AC7">
        <w:rPr>
          <w:bCs/>
          <w:lang w:val="es-CR"/>
        </w:rPr>
        <w:t xml:space="preserve">se </w:t>
      </w:r>
      <w:r w:rsidRPr="00F10AC7">
        <w:rPr>
          <w:lang w:val="es-CR"/>
        </w:rPr>
        <w:t>consideraron</w:t>
      </w:r>
      <w:r w:rsidRPr="00F10AC7">
        <w:rPr>
          <w:bCs/>
          <w:lang w:val="es-CR"/>
        </w:rPr>
        <w:t xml:space="preserve"> dos hipótesis sobre el homicidio</w:t>
      </w:r>
      <w:r w:rsidRPr="00F10AC7">
        <w:rPr>
          <w:lang w:val="es-CR"/>
        </w:rPr>
        <w:t xml:space="preserve">, la Corte consideró relevante que, en un solo acto jurisdiccional, </w:t>
      </w:r>
      <w:r>
        <w:rPr>
          <w:lang w:val="es-MX"/>
        </w:rPr>
        <w:t>el t</w:t>
      </w:r>
      <w:r w:rsidRPr="00024B87">
        <w:rPr>
          <w:lang w:val="es-MX"/>
        </w:rPr>
        <w:t xml:space="preserve">ribunal </w:t>
      </w:r>
      <w:r>
        <w:rPr>
          <w:lang w:val="es-MX"/>
        </w:rPr>
        <w:t>p</w:t>
      </w:r>
      <w:r w:rsidR="00BB2B89">
        <w:rPr>
          <w:lang w:val="es-MX"/>
        </w:rPr>
        <w:t>enal de Esmeraldas emitiera</w:t>
      </w:r>
      <w:r w:rsidRPr="00024B87">
        <w:rPr>
          <w:lang w:val="es-MX"/>
        </w:rPr>
        <w:t xml:space="preserve"> una sentencia que contiene un voto diferente por cada uno de sus tres miembros, cuyo alcance</w:t>
      </w:r>
      <w:r w:rsidR="00BB2B89">
        <w:rPr>
          <w:lang w:val="es-MX"/>
        </w:rPr>
        <w:t xml:space="preserve"> o sentido es contradictorio (</w:t>
      </w:r>
      <w:r w:rsidR="00BB2B89">
        <w:rPr>
          <w:i/>
          <w:lang w:val="es-MX"/>
        </w:rPr>
        <w:t>supra</w:t>
      </w:r>
      <w:r w:rsidR="00BB2B89">
        <w:rPr>
          <w:lang w:val="es-MX"/>
        </w:rPr>
        <w:t>)</w:t>
      </w:r>
      <w:r w:rsidRPr="00024B87">
        <w:rPr>
          <w:lang w:val="es-MX"/>
        </w:rPr>
        <w:t>.</w:t>
      </w:r>
      <w:r w:rsidRPr="00F10AC7">
        <w:rPr>
          <w:lang w:val="es-CR"/>
        </w:rPr>
        <w:t xml:space="preserve"> </w:t>
      </w:r>
      <w:r w:rsidR="004C78FF">
        <w:rPr>
          <w:lang w:val="es-CR"/>
        </w:rPr>
        <w:t xml:space="preserve"> </w:t>
      </w:r>
      <w:r w:rsidRPr="00F10AC7">
        <w:rPr>
          <w:lang w:val="es-CR"/>
        </w:rPr>
        <w:t>Lo determinante es que el tribunal penal resolvió de forma irregular y “</w:t>
      </w:r>
      <w:r w:rsidRPr="00F10AC7">
        <w:rPr>
          <w:i/>
          <w:lang w:val="es-CR"/>
        </w:rPr>
        <w:t>sui generis</w:t>
      </w:r>
      <w:r w:rsidRPr="00F10AC7">
        <w:rPr>
          <w:lang w:val="es-CR"/>
        </w:rPr>
        <w:t>” (en palabras de la Corte Suprema de Justicia)</w:t>
      </w:r>
      <w:r w:rsidRPr="00F10AC7">
        <w:rPr>
          <w:b/>
          <w:lang w:val="es-CR"/>
        </w:rPr>
        <w:t xml:space="preserve"> </w:t>
      </w:r>
      <w:r w:rsidRPr="00F10AC7">
        <w:rPr>
          <w:lang w:val="es-CR"/>
        </w:rPr>
        <w:t xml:space="preserve">y que, como consecuencia de tal actuación, el criterio para establecer la calificación de la conducta del agente policial no fue determinar la verdad sobre las circunstancias de la privación de la vida de la presunta víctima y de la legalidad del uso letal de la fuerza </w:t>
      </w:r>
      <w:r w:rsidR="004C78FF">
        <w:rPr>
          <w:lang w:val="es-CR"/>
        </w:rPr>
        <w:t>por parte de un agente policial</w:t>
      </w:r>
      <w:r w:rsidR="00BB2B89">
        <w:rPr>
          <w:lang w:val="es-MX"/>
        </w:rPr>
        <w:t xml:space="preserve">. </w:t>
      </w:r>
    </w:p>
    <w:p w14:paraId="67F34005" w14:textId="77777777" w:rsidR="00513B90" w:rsidRPr="00F10AC7" w:rsidRDefault="00513B90" w:rsidP="00513B90">
      <w:pPr>
        <w:autoSpaceDE w:val="0"/>
        <w:autoSpaceDN w:val="0"/>
        <w:spacing w:before="120" w:after="120"/>
        <w:contextualSpacing/>
        <w:jc w:val="both"/>
        <w:rPr>
          <w:b/>
          <w:highlight w:val="yellow"/>
          <w:lang w:val="es-CR"/>
        </w:rPr>
      </w:pPr>
    </w:p>
    <w:p w14:paraId="7BC92963" w14:textId="4457085A" w:rsidR="00513B90" w:rsidRPr="00F10AC7" w:rsidRDefault="00513B90" w:rsidP="002052BE">
      <w:pPr>
        <w:autoSpaceDE w:val="0"/>
        <w:autoSpaceDN w:val="0"/>
        <w:spacing w:before="120" w:after="120"/>
        <w:contextualSpacing/>
        <w:jc w:val="both"/>
        <w:rPr>
          <w:lang w:val="es-CR"/>
        </w:rPr>
      </w:pPr>
      <w:r w:rsidRPr="00F10AC7">
        <w:rPr>
          <w:lang w:val="es-CR"/>
        </w:rPr>
        <w:t xml:space="preserve">En este sentido, la Corte </w:t>
      </w:r>
      <w:r w:rsidR="004C78FF">
        <w:rPr>
          <w:lang w:val="es-CR"/>
        </w:rPr>
        <w:t>consideró</w:t>
      </w:r>
      <w:r w:rsidRPr="00F10AC7">
        <w:rPr>
          <w:lang w:val="es-CR"/>
        </w:rPr>
        <w:t xml:space="preserve"> que</w:t>
      </w:r>
      <w:r w:rsidR="004C78FF">
        <w:rPr>
          <w:lang w:val="es-CR"/>
        </w:rPr>
        <w:t>, dado que</w:t>
      </w:r>
      <w:r w:rsidRPr="00F10AC7">
        <w:rPr>
          <w:lang w:val="es-CR"/>
        </w:rPr>
        <w:t xml:space="preserve"> el deber de motivar las resoluciones es una garantía vinculada con la correcta administración de justicia, </w:t>
      </w:r>
      <w:r w:rsidRPr="005C7117">
        <w:rPr>
          <w:lang w:val="es-AR"/>
        </w:rPr>
        <w:t xml:space="preserve">las decisiones que adopten los órganos internos que puedan afectar derechos humanos deben </w:t>
      </w:r>
      <w:r w:rsidR="004C78FF">
        <w:rPr>
          <w:lang w:val="es-AR"/>
        </w:rPr>
        <w:t>estar debidamente fundamentadas.</w:t>
      </w:r>
      <w:r w:rsidRPr="005C7117">
        <w:rPr>
          <w:lang w:val="es-AR"/>
        </w:rPr>
        <w:t xml:space="preserve"> </w:t>
      </w:r>
      <w:r w:rsidR="004C78FF">
        <w:rPr>
          <w:lang w:val="es-AR"/>
        </w:rPr>
        <w:t xml:space="preserve">Esto </w:t>
      </w:r>
      <w:r w:rsidR="00BB2B89">
        <w:rPr>
          <w:lang w:val="es-AR"/>
        </w:rPr>
        <w:t xml:space="preserve">es </w:t>
      </w:r>
      <w:r w:rsidRPr="005C7117">
        <w:rPr>
          <w:lang w:val="es-AR"/>
        </w:rPr>
        <w:t>una de las “debidas garantías” incluidas en el artículo 8.1 para salvaguardar el derecho a un debido proceso, no sólo del imputado sino, en casos como el presente, también de los familiares de la víctima en relación con sus derechos de acceso a la justicia y a conocer la verdad</w:t>
      </w:r>
      <w:r>
        <w:rPr>
          <w:lang w:val="es-AR"/>
        </w:rPr>
        <w:t>, en relación con el artículo 25 de la Convención</w:t>
      </w:r>
      <w:r w:rsidRPr="005C7117">
        <w:rPr>
          <w:lang w:val="es-AR"/>
        </w:rPr>
        <w:t xml:space="preserve">. </w:t>
      </w:r>
      <w:r>
        <w:rPr>
          <w:lang w:val="es-MX"/>
        </w:rPr>
        <w:t xml:space="preserve">En este caso en particular, </w:t>
      </w:r>
      <w:r w:rsidRPr="00F10AC7">
        <w:rPr>
          <w:lang w:val="es-CR"/>
        </w:rPr>
        <w:t>dada la forma irregular y “</w:t>
      </w:r>
      <w:r w:rsidRPr="00F10AC7">
        <w:rPr>
          <w:i/>
          <w:lang w:val="es-CR"/>
        </w:rPr>
        <w:t>sui generis</w:t>
      </w:r>
      <w:r w:rsidRPr="00F10AC7">
        <w:rPr>
          <w:lang w:val="es-CR"/>
        </w:rPr>
        <w:t>” en que fue resuelto, no ha sido es</w:t>
      </w:r>
      <w:r w:rsidR="00697DCD" w:rsidRPr="00F10AC7">
        <w:rPr>
          <w:lang w:val="es-CR"/>
        </w:rPr>
        <w:t xml:space="preserve">tablecido que el proceso penal </w:t>
      </w:r>
      <w:r w:rsidRPr="00F10AC7">
        <w:rPr>
          <w:lang w:val="es-CR"/>
        </w:rPr>
        <w:t>constituyera un medio adecuado para permitir una búsqueda genuina de lo sucedido mediante una evaluación adecuada de las dos hipótesis consideradas sobre el modo y circunstancias en que José Luis García Ibarra fue privado de su vida. Tal actuación irregular no fue, en definitiva, corregida o subsanada posteriormente por la Sala Segunda de la Corte Suprema de Justicia al resolver el recurso de casación</w:t>
      </w:r>
      <w:r w:rsidRPr="00A03AAD">
        <w:rPr>
          <w:lang w:val="es-MX"/>
        </w:rPr>
        <w:t>,</w:t>
      </w:r>
      <w:r>
        <w:rPr>
          <w:lang w:val="es-MX"/>
        </w:rPr>
        <w:t xml:space="preserve"> a pesar de que ésta encontró</w:t>
      </w:r>
      <w:r w:rsidRPr="00A03AAD">
        <w:rPr>
          <w:lang w:val="es-MX"/>
        </w:rPr>
        <w:t xml:space="preserve"> varias </w:t>
      </w:r>
      <w:r>
        <w:rPr>
          <w:lang w:val="es-MX"/>
        </w:rPr>
        <w:t>“</w:t>
      </w:r>
      <w:r w:rsidRPr="00A03AAD">
        <w:rPr>
          <w:lang w:val="es-MX"/>
        </w:rPr>
        <w:t>irregularidades” en el proceso</w:t>
      </w:r>
      <w:r w:rsidR="00697DCD">
        <w:rPr>
          <w:lang w:val="es-MX"/>
        </w:rPr>
        <w:t xml:space="preserve">. </w:t>
      </w:r>
      <w:r w:rsidRPr="00F10AC7">
        <w:rPr>
          <w:lang w:val="es-CR"/>
        </w:rPr>
        <w:t xml:space="preserve">Esa </w:t>
      </w:r>
      <w:r w:rsidRPr="008353A8">
        <w:rPr>
          <w:lang w:val="es-MX"/>
        </w:rPr>
        <w:t xml:space="preserve">sentencia de la Corte Suprema tiene carácter de última instancia, por lo que quedó </w:t>
      </w:r>
      <w:proofErr w:type="gramStart"/>
      <w:r w:rsidRPr="008353A8">
        <w:rPr>
          <w:lang w:val="es-MX"/>
        </w:rPr>
        <w:t>cerrada</w:t>
      </w:r>
      <w:proofErr w:type="gramEnd"/>
      <w:r>
        <w:rPr>
          <w:lang w:val="es-MX"/>
        </w:rPr>
        <w:t xml:space="preserve"> a nivel interno</w:t>
      </w:r>
      <w:r w:rsidR="00BB2B89">
        <w:rPr>
          <w:lang w:val="es-MX"/>
        </w:rPr>
        <w:t xml:space="preserve"> </w:t>
      </w:r>
      <w:r w:rsidRPr="008353A8">
        <w:rPr>
          <w:lang w:val="es-MX"/>
        </w:rPr>
        <w:t xml:space="preserve">la posibilidad de subsanar </w:t>
      </w:r>
      <w:r w:rsidR="00BB2B89">
        <w:rPr>
          <w:lang w:val="es-MX"/>
        </w:rPr>
        <w:t>esas</w:t>
      </w:r>
      <w:r w:rsidRPr="008353A8">
        <w:rPr>
          <w:lang w:val="es-MX"/>
        </w:rPr>
        <w:t xml:space="preserve"> “irregularidades” </w:t>
      </w:r>
      <w:r w:rsidRPr="00F10AC7">
        <w:rPr>
          <w:lang w:val="es-CR"/>
        </w:rPr>
        <w:t>y de hacer efectiva la explicación debida por el Estado sobre los hechos.</w:t>
      </w:r>
      <w:r w:rsidR="002052BE">
        <w:rPr>
          <w:lang w:val="es-CR"/>
        </w:rPr>
        <w:t xml:space="preserve"> </w:t>
      </w:r>
      <w:r w:rsidRPr="00F10AC7">
        <w:rPr>
          <w:lang w:val="es-CR"/>
        </w:rPr>
        <w:t xml:space="preserve">En consecuencia, la Corte considera que </w:t>
      </w:r>
      <w:r w:rsidRPr="00F10AC7">
        <w:rPr>
          <w:bCs/>
          <w:lang w:val="es-CR"/>
        </w:rPr>
        <w:t xml:space="preserve">la respuesta investigativa y judicial del Estado, especificada en </w:t>
      </w:r>
      <w:r w:rsidRPr="00F10AC7">
        <w:rPr>
          <w:lang w:val="es-CR"/>
        </w:rPr>
        <w:t xml:space="preserve">las actuaciones de las autoridades judiciales en el marco del referido proceso penal, no constituyó </w:t>
      </w:r>
      <w:r w:rsidRPr="00F10AC7">
        <w:rPr>
          <w:bCs/>
          <w:lang w:val="es-CR"/>
        </w:rPr>
        <w:t xml:space="preserve">una explicación </w:t>
      </w:r>
      <w:r w:rsidRPr="00723F68">
        <w:rPr>
          <w:spacing w:val="-2"/>
          <w:lang w:val="es-CR"/>
        </w:rPr>
        <w:t xml:space="preserve">satisfactoria, </w:t>
      </w:r>
      <w:r w:rsidRPr="00F10AC7">
        <w:rPr>
          <w:lang w:val="es-CR"/>
        </w:rPr>
        <w:t xml:space="preserve">suficiente y efectiva para establecer </w:t>
      </w:r>
      <w:r w:rsidRPr="00F10AC7">
        <w:rPr>
          <w:bCs/>
          <w:lang w:val="es-CR"/>
        </w:rPr>
        <w:t xml:space="preserve">la verdad sobre las circunstancias de la </w:t>
      </w:r>
      <w:r w:rsidRPr="00F10AC7">
        <w:rPr>
          <w:lang w:val="es-CR"/>
        </w:rPr>
        <w:t xml:space="preserve">privación </w:t>
      </w:r>
      <w:r w:rsidR="00BB2B89">
        <w:rPr>
          <w:lang w:val="es-CR"/>
        </w:rPr>
        <w:t xml:space="preserve">arbitraria </w:t>
      </w:r>
      <w:r w:rsidRPr="00F10AC7">
        <w:rPr>
          <w:lang w:val="es-CR"/>
        </w:rPr>
        <w:t>de la vida de José Luis Garcí</w:t>
      </w:r>
      <w:r w:rsidR="00BB2B89">
        <w:rPr>
          <w:lang w:val="es-CR"/>
        </w:rPr>
        <w:t>a Ibarra</w:t>
      </w:r>
      <w:r w:rsidRPr="00F10AC7">
        <w:rPr>
          <w:lang w:val="es-CR"/>
        </w:rPr>
        <w:t xml:space="preserve">. </w:t>
      </w:r>
    </w:p>
    <w:p w14:paraId="6F45BA1E" w14:textId="77777777" w:rsidR="00513B90" w:rsidRDefault="00513B90" w:rsidP="00513B90">
      <w:pPr>
        <w:rPr>
          <w:lang w:val="es-CR"/>
        </w:rPr>
      </w:pPr>
    </w:p>
    <w:p w14:paraId="292AE84F" w14:textId="11A56395" w:rsidR="00F10AC7" w:rsidRPr="007E7339" w:rsidRDefault="00F10AC7" w:rsidP="00F10AC7">
      <w:pPr>
        <w:tabs>
          <w:tab w:val="left" w:pos="2128"/>
        </w:tabs>
        <w:contextualSpacing/>
        <w:jc w:val="both"/>
        <w:rPr>
          <w:rFonts w:cs="Verdana"/>
          <w:lang w:val="es-CR"/>
        </w:rPr>
      </w:pPr>
      <w:r>
        <w:rPr>
          <w:lang w:val="es-CR"/>
        </w:rPr>
        <w:t xml:space="preserve">Por último, en relación con </w:t>
      </w:r>
      <w:r w:rsidRPr="00BC1EDE">
        <w:rPr>
          <w:lang w:val="es-PE"/>
        </w:rPr>
        <w:t>el “plazo razonable”</w:t>
      </w:r>
      <w:r w:rsidRPr="00F10AC7">
        <w:rPr>
          <w:rFonts w:cs="Verdana"/>
          <w:lang w:val="es-CR"/>
        </w:rPr>
        <w:t xml:space="preserve"> </w:t>
      </w:r>
      <w:r>
        <w:rPr>
          <w:rFonts w:cs="Verdana"/>
          <w:lang w:val="es-CR"/>
        </w:rPr>
        <w:t xml:space="preserve">de </w:t>
      </w:r>
      <w:r w:rsidRPr="00F10AC7">
        <w:rPr>
          <w:rFonts w:cs="Verdana"/>
          <w:lang w:val="es-CR"/>
        </w:rPr>
        <w:t xml:space="preserve">duración total </w:t>
      </w:r>
      <w:r>
        <w:rPr>
          <w:rFonts w:cs="Verdana"/>
          <w:lang w:val="es-CR"/>
        </w:rPr>
        <w:t>del proceso penal, en los t</w:t>
      </w:r>
      <w:r w:rsidR="007E7339">
        <w:rPr>
          <w:rFonts w:cs="Verdana"/>
          <w:lang w:val="es-CR"/>
        </w:rPr>
        <w:t>érminos</w:t>
      </w:r>
      <w:r>
        <w:rPr>
          <w:rFonts w:cs="Verdana"/>
          <w:lang w:val="es-CR"/>
        </w:rPr>
        <w:t xml:space="preserve"> del</w:t>
      </w:r>
      <w:r w:rsidRPr="00F10AC7">
        <w:rPr>
          <w:rFonts w:cs="Verdana"/>
          <w:lang w:val="es-CR"/>
        </w:rPr>
        <w:t xml:space="preserve"> artículo 8.1 de la Convención</w:t>
      </w:r>
      <w:r w:rsidRPr="00F10AC7">
        <w:rPr>
          <w:lang w:val="es-CR"/>
        </w:rPr>
        <w:t xml:space="preserve">, la Corte </w:t>
      </w:r>
      <w:r>
        <w:rPr>
          <w:lang w:val="es-CR"/>
        </w:rPr>
        <w:t>constató</w:t>
      </w:r>
      <w:r w:rsidRPr="00F10AC7">
        <w:rPr>
          <w:lang w:val="es-CR"/>
        </w:rPr>
        <w:t xml:space="preserve"> que el caso</w:t>
      </w:r>
      <w:r w:rsidR="00AD3B19">
        <w:rPr>
          <w:lang w:val="es-CR"/>
        </w:rPr>
        <w:t xml:space="preserve"> no revestía complejidad alguna (</w:t>
      </w:r>
      <w:r w:rsidR="00AD3B19">
        <w:rPr>
          <w:i/>
          <w:lang w:val="es-CR"/>
        </w:rPr>
        <w:t>supra</w:t>
      </w:r>
      <w:r w:rsidR="00AD3B19">
        <w:rPr>
          <w:lang w:val="es-CR"/>
        </w:rPr>
        <w:t>),</w:t>
      </w:r>
      <w:r w:rsidRPr="00F10AC7">
        <w:rPr>
          <w:lang w:val="es-CR"/>
        </w:rPr>
        <w:t xml:space="preserve"> n</w:t>
      </w:r>
      <w:r w:rsidR="00AD3B19">
        <w:rPr>
          <w:lang w:val="es-CR"/>
        </w:rPr>
        <w:t>i</w:t>
      </w:r>
      <w:r w:rsidRPr="00F10AC7">
        <w:rPr>
          <w:lang w:val="es-CR"/>
        </w:rPr>
        <w:t xml:space="preserve"> se trataba de un caso en donde existiera una pluralidad de víctimas o autores</w:t>
      </w:r>
      <w:r w:rsidR="00AD3B19">
        <w:rPr>
          <w:lang w:val="es-CR"/>
        </w:rPr>
        <w:t>, o que involucrara</w:t>
      </w:r>
      <w:r w:rsidRPr="00F10AC7">
        <w:rPr>
          <w:lang w:val="es-CR"/>
        </w:rPr>
        <w:t xml:space="preserve"> aspectos o debates jurídicos que justificaran un retardo de más de 9 años. Asimismo, los hechos fueron conocidos inmediatamente por el Estado y el autor del disparo fue identificado el mismo día de los hechos; las autoridades correspondientes tuvieron libre acceso a la escena de los hechos y las circunstancias de los mismos no presentan características particularmente complejas.</w:t>
      </w:r>
      <w:r>
        <w:rPr>
          <w:lang w:val="es-CR"/>
        </w:rPr>
        <w:t xml:space="preserve"> Se constató que</w:t>
      </w:r>
      <w:r w:rsidRPr="003A2ECB">
        <w:rPr>
          <w:lang w:val="es-CR"/>
        </w:rPr>
        <w:t xml:space="preserve"> desde la apertura del plenario hasta la emisión de la sentencia definitiva por la Corte Suprema de Justicia</w:t>
      </w:r>
      <w:r>
        <w:rPr>
          <w:lang w:val="es-CR"/>
        </w:rPr>
        <w:t>,</w:t>
      </w:r>
      <w:r w:rsidRPr="003A2ECB">
        <w:rPr>
          <w:lang w:val="es-CR"/>
        </w:rPr>
        <w:t xml:space="preserve"> </w:t>
      </w:r>
      <w:r w:rsidRPr="00F10AC7">
        <w:rPr>
          <w:lang w:val="es-CR"/>
        </w:rPr>
        <w:t xml:space="preserve">el proceso penal estuvo en situación de inactividad injustificada por más de 7 años, sin que la práctica y seguimiento de diligencias dirigidas al esclarecimiento de los hechos fuera la razón de tal demora. </w:t>
      </w:r>
      <w:r w:rsidR="00AD3B19">
        <w:rPr>
          <w:lang w:val="es-ES"/>
        </w:rPr>
        <w:t>Por ello</w:t>
      </w:r>
      <w:r>
        <w:rPr>
          <w:lang w:val="es-ES"/>
        </w:rPr>
        <w:t>, el Tribunal encuentra que el Estado incumplió con</w:t>
      </w:r>
      <w:r w:rsidRPr="003A2ECB">
        <w:rPr>
          <w:lang w:val="es-ES"/>
        </w:rPr>
        <w:t xml:space="preserve"> el</w:t>
      </w:r>
      <w:r>
        <w:rPr>
          <w:lang w:val="es-ES"/>
        </w:rPr>
        <w:t xml:space="preserve"> principio del plazo razonable respecto de la duración d</w:t>
      </w:r>
      <w:r w:rsidR="00F77F58">
        <w:rPr>
          <w:lang w:val="es-ES"/>
        </w:rPr>
        <w:t>el proceso penal interno</w:t>
      </w:r>
      <w:r w:rsidRPr="00F10AC7">
        <w:rPr>
          <w:lang w:val="es-CR"/>
        </w:rPr>
        <w:t>.</w:t>
      </w:r>
    </w:p>
    <w:p w14:paraId="6E1ED4F2" w14:textId="77777777" w:rsidR="00F10AC7" w:rsidRPr="00F10AC7" w:rsidRDefault="00F10AC7" w:rsidP="00513B90">
      <w:pPr>
        <w:rPr>
          <w:lang w:val="es-CR"/>
        </w:rPr>
      </w:pPr>
    </w:p>
    <w:p w14:paraId="0867A8AB" w14:textId="2BC26D18" w:rsidR="00F10AC7" w:rsidRDefault="008336CF" w:rsidP="008F5D36">
      <w:pPr>
        <w:jc w:val="both"/>
        <w:rPr>
          <w:szCs w:val="20"/>
          <w:lang w:val="es-MX" w:eastAsia="es-MX"/>
        </w:rPr>
      </w:pPr>
      <w:r>
        <w:rPr>
          <w:spacing w:val="-2"/>
          <w:szCs w:val="20"/>
          <w:lang w:val="es-CR"/>
        </w:rPr>
        <w:t>En conclusión, l</w:t>
      </w:r>
      <w:r w:rsidR="00F10AC7" w:rsidRPr="00857BCC">
        <w:rPr>
          <w:spacing w:val="-2"/>
          <w:szCs w:val="20"/>
          <w:lang w:val="es-CR"/>
        </w:rPr>
        <w:t>a Corte consider</w:t>
      </w:r>
      <w:r>
        <w:rPr>
          <w:spacing w:val="-2"/>
          <w:szCs w:val="20"/>
          <w:lang w:val="es-CR"/>
        </w:rPr>
        <w:t>ó</w:t>
      </w:r>
      <w:r w:rsidR="00F10AC7" w:rsidRPr="00857BCC">
        <w:rPr>
          <w:spacing w:val="-2"/>
          <w:szCs w:val="20"/>
          <w:lang w:val="es-CR"/>
        </w:rPr>
        <w:t xml:space="preserve"> que,</w:t>
      </w:r>
      <w:r w:rsidR="00F77F58">
        <w:rPr>
          <w:spacing w:val="-2"/>
          <w:szCs w:val="20"/>
          <w:lang w:val="es-CR"/>
        </w:rPr>
        <w:t xml:space="preserve"> en razón </w:t>
      </w:r>
      <w:r w:rsidR="00F10AC7" w:rsidRPr="00857BCC">
        <w:rPr>
          <w:spacing w:val="-2"/>
          <w:szCs w:val="20"/>
          <w:lang w:val="es-CR"/>
        </w:rPr>
        <w:t xml:space="preserve">de la falta de debida diligencia en </w:t>
      </w:r>
      <w:r w:rsidR="00F77F58">
        <w:rPr>
          <w:spacing w:val="-2"/>
          <w:szCs w:val="20"/>
          <w:lang w:val="es-CR"/>
        </w:rPr>
        <w:t>la investigación de los hechos,</w:t>
      </w:r>
      <w:r w:rsidR="00F10AC7" w:rsidRPr="00857BCC">
        <w:rPr>
          <w:spacing w:val="-2"/>
          <w:szCs w:val="20"/>
          <w:lang w:val="es-CR"/>
        </w:rPr>
        <w:t xml:space="preserve"> el incumplimiento de</w:t>
      </w:r>
      <w:r w:rsidR="00F77F58">
        <w:rPr>
          <w:spacing w:val="-2"/>
          <w:szCs w:val="20"/>
          <w:lang w:val="es-CR"/>
        </w:rPr>
        <w:t xml:space="preserve">l principio de plazo razonable y la falta de </w:t>
      </w:r>
      <w:r w:rsidR="00F10AC7" w:rsidRPr="00857BCC">
        <w:rPr>
          <w:spacing w:val="-2"/>
          <w:szCs w:val="20"/>
          <w:lang w:val="es-CR"/>
        </w:rPr>
        <w:t xml:space="preserve">una explicación </w:t>
      </w:r>
      <w:r w:rsidR="00F10AC7" w:rsidRPr="00D20BFC">
        <w:rPr>
          <w:spacing w:val="-2"/>
          <w:szCs w:val="20"/>
          <w:lang w:val="es-CR"/>
        </w:rPr>
        <w:t xml:space="preserve">satisfactoria, </w:t>
      </w:r>
      <w:r w:rsidR="00F10AC7" w:rsidRPr="00857BCC">
        <w:rPr>
          <w:spacing w:val="-2"/>
          <w:szCs w:val="20"/>
          <w:lang w:val="es-CR"/>
        </w:rPr>
        <w:t>suficiente y efectiva para establecer la verdad sobre las circunstancias de la privación de la vi</w:t>
      </w:r>
      <w:r w:rsidR="00F77F58">
        <w:rPr>
          <w:spacing w:val="-2"/>
          <w:szCs w:val="20"/>
          <w:lang w:val="es-CR"/>
        </w:rPr>
        <w:t>da de José Luis García Ibarra</w:t>
      </w:r>
      <w:r w:rsidR="00F10AC7" w:rsidRPr="00857BCC">
        <w:rPr>
          <w:spacing w:val="-2"/>
          <w:szCs w:val="20"/>
          <w:lang w:val="es-CR"/>
        </w:rPr>
        <w:t xml:space="preserve">, tales actuaciones </w:t>
      </w:r>
      <w:r w:rsidR="00F77F58">
        <w:rPr>
          <w:spacing w:val="-2"/>
          <w:szCs w:val="20"/>
          <w:lang w:val="es-CR"/>
        </w:rPr>
        <w:t>no</w:t>
      </w:r>
      <w:r w:rsidR="00F10AC7" w:rsidRPr="00857BCC">
        <w:rPr>
          <w:spacing w:val="-2"/>
          <w:szCs w:val="20"/>
          <w:lang w:val="es-CR"/>
        </w:rPr>
        <w:t xml:space="preserve"> satisfacen las obligaciones del Estado de garantizar los derechos de sus familiares de acceso a la justicia y a con</w:t>
      </w:r>
      <w:r w:rsidR="00F77F58">
        <w:rPr>
          <w:spacing w:val="-2"/>
          <w:szCs w:val="20"/>
          <w:lang w:val="es-CR"/>
        </w:rPr>
        <w:t>ocer la verdad sobre los hechos</w:t>
      </w:r>
      <w:r w:rsidR="00F10AC7" w:rsidRPr="00857BCC">
        <w:rPr>
          <w:spacing w:val="-2"/>
          <w:szCs w:val="20"/>
          <w:lang w:val="es-CR"/>
        </w:rPr>
        <w:t xml:space="preserve">, contenidos en los derechos a las garantías judiciales y </w:t>
      </w:r>
      <w:r w:rsidR="00F10AC7" w:rsidRPr="00857BCC">
        <w:rPr>
          <w:spacing w:val="-2"/>
          <w:szCs w:val="20"/>
          <w:lang w:val="es-CR"/>
        </w:rPr>
        <w:lastRenderedPageBreak/>
        <w:t>protección judicial, en los términos de los artículos 8.1 y 25 de la Convención Americana, en relación con el artículo 1.1 de la misma, en perjuicio de Pura Vicenta Ibarra Ponce, Alfonso Alfredo García Macías y de Ana Lucía, Lorena Monserrate, Luis Alfonso, Santo Gonzalo, Juan Carlos y Alfredo Vicente, todos García Ibarra.</w:t>
      </w:r>
    </w:p>
    <w:p w14:paraId="0BBE50A9" w14:textId="77777777" w:rsidR="00F10AC7" w:rsidRPr="0095153D" w:rsidRDefault="00F10AC7" w:rsidP="008F5D36">
      <w:pPr>
        <w:jc w:val="both"/>
        <w:rPr>
          <w:szCs w:val="20"/>
          <w:lang w:val="es-MX" w:eastAsia="es-MX"/>
        </w:rPr>
      </w:pPr>
    </w:p>
    <w:p w14:paraId="0551625E" w14:textId="77777777" w:rsidR="008F5D36" w:rsidRPr="0095153D" w:rsidRDefault="008F5D36" w:rsidP="008F5D36">
      <w:pPr>
        <w:pStyle w:val="ListParagraph"/>
        <w:numPr>
          <w:ilvl w:val="0"/>
          <w:numId w:val="2"/>
        </w:numPr>
        <w:rPr>
          <w:b/>
          <w:szCs w:val="20"/>
          <w:lang w:val="es-MX"/>
        </w:rPr>
      </w:pPr>
      <w:bookmarkStart w:id="27" w:name="_Toc427932824"/>
      <w:bookmarkStart w:id="28" w:name="_Toc427943791"/>
      <w:bookmarkStart w:id="29" w:name="_Toc431584668"/>
      <w:bookmarkStart w:id="30" w:name="_Toc431585090"/>
      <w:bookmarkStart w:id="31" w:name="_Toc431646607"/>
      <w:bookmarkStart w:id="32" w:name="_Toc431834686"/>
      <w:r w:rsidRPr="0095153D">
        <w:rPr>
          <w:b/>
          <w:szCs w:val="20"/>
          <w:lang w:val="es-MX"/>
        </w:rPr>
        <w:t>Otras Alegadas Violaciones</w:t>
      </w:r>
      <w:bookmarkEnd w:id="27"/>
      <w:bookmarkEnd w:id="28"/>
      <w:bookmarkEnd w:id="29"/>
      <w:bookmarkEnd w:id="30"/>
      <w:bookmarkEnd w:id="31"/>
      <w:bookmarkEnd w:id="32"/>
    </w:p>
    <w:p w14:paraId="1E375CBC" w14:textId="77777777" w:rsidR="008F5D36" w:rsidRPr="0095153D" w:rsidRDefault="008F5D36" w:rsidP="008F5D36">
      <w:pPr>
        <w:pStyle w:val="ListParagraph"/>
        <w:ind w:left="720"/>
        <w:rPr>
          <w:b/>
          <w:szCs w:val="20"/>
          <w:lang w:val="es-MX"/>
        </w:rPr>
      </w:pPr>
    </w:p>
    <w:p w14:paraId="4CED4EB2" w14:textId="6A3CD63F" w:rsidR="008F5D36" w:rsidRDefault="008F5D36" w:rsidP="008F5D36">
      <w:pPr>
        <w:jc w:val="both"/>
        <w:rPr>
          <w:szCs w:val="20"/>
          <w:lang w:val="es-CO"/>
        </w:rPr>
      </w:pPr>
      <w:r w:rsidRPr="0095153D">
        <w:rPr>
          <w:szCs w:val="20"/>
          <w:lang w:val="es-ES"/>
        </w:rPr>
        <w:t>En virtud de las conclusiones señaladas en los capítulos anteriores, la Corte consideró que</w:t>
      </w:r>
      <w:r w:rsidR="00F10AC7">
        <w:rPr>
          <w:szCs w:val="20"/>
          <w:lang w:val="es-ES"/>
        </w:rPr>
        <w:t>,</w:t>
      </w:r>
      <w:r w:rsidRPr="0095153D">
        <w:rPr>
          <w:szCs w:val="20"/>
          <w:lang w:val="es-ES"/>
        </w:rPr>
        <w:t xml:space="preserve"> </w:t>
      </w:r>
      <w:r w:rsidR="00F10AC7">
        <w:rPr>
          <w:lang w:val="es-CR"/>
        </w:rPr>
        <w:t>en las circunstancias del presente caso, tomaría en consideración los efectos que los hechos habían tenido en los familiares al momento de determinar las reparaciones pertinentes, por lo cual no correspondía emitir un pronunciamiento sobre la alegada violación del artículo 5 de la Convención.</w:t>
      </w:r>
    </w:p>
    <w:p w14:paraId="208A5B13" w14:textId="77777777" w:rsidR="008F5D36" w:rsidRPr="0095153D" w:rsidRDefault="008F5D36" w:rsidP="008F5D36">
      <w:pPr>
        <w:jc w:val="both"/>
        <w:rPr>
          <w:szCs w:val="20"/>
          <w:lang w:val="es-CO"/>
        </w:rPr>
      </w:pPr>
    </w:p>
    <w:p w14:paraId="76D49E5F" w14:textId="5494AFFB" w:rsidR="008F5D36" w:rsidRPr="0095153D" w:rsidRDefault="0031509D" w:rsidP="008F5D36">
      <w:pPr>
        <w:keepNext/>
        <w:keepLines/>
        <w:ind w:firstLine="720"/>
        <w:jc w:val="both"/>
        <w:outlineLvl w:val="1"/>
        <w:rPr>
          <w:rFonts w:eastAsia="MS Gothic"/>
          <w:b/>
          <w:bCs/>
          <w:szCs w:val="20"/>
          <w:lang w:val="es-MX" w:eastAsia="es-ES"/>
        </w:rPr>
      </w:pPr>
      <w:r>
        <w:rPr>
          <w:rFonts w:eastAsia="MS Gothic"/>
          <w:b/>
          <w:bCs/>
          <w:szCs w:val="20"/>
          <w:lang w:val="es-MX" w:eastAsia="es-ES"/>
        </w:rPr>
        <w:t>I</w:t>
      </w:r>
      <w:r w:rsidR="008F5D36" w:rsidRPr="0095153D">
        <w:rPr>
          <w:rFonts w:eastAsia="MS Gothic"/>
          <w:b/>
          <w:bCs/>
          <w:szCs w:val="20"/>
          <w:lang w:val="es-MX" w:eastAsia="es-ES"/>
        </w:rPr>
        <w:t>V. Reparaciones</w:t>
      </w:r>
    </w:p>
    <w:p w14:paraId="55CCA4BC" w14:textId="77777777" w:rsidR="008F5D36" w:rsidRPr="0095153D" w:rsidRDefault="008F5D36" w:rsidP="008F5D36">
      <w:pPr>
        <w:jc w:val="both"/>
        <w:rPr>
          <w:rFonts w:eastAsia="Calibri"/>
          <w:szCs w:val="20"/>
          <w:lang w:val="es-MX" w:eastAsia="es-ES"/>
        </w:rPr>
      </w:pPr>
    </w:p>
    <w:p w14:paraId="26D8B4D0" w14:textId="4C4913C2" w:rsidR="008F5D36" w:rsidRPr="0095153D" w:rsidRDefault="008F5D36" w:rsidP="008F5D36">
      <w:pPr>
        <w:jc w:val="both"/>
        <w:rPr>
          <w:szCs w:val="20"/>
          <w:lang w:val="es-CO"/>
        </w:rPr>
      </w:pPr>
      <w:r w:rsidRPr="0095153D">
        <w:rPr>
          <w:szCs w:val="20"/>
          <w:lang w:val="es-CO"/>
        </w:rPr>
        <w:t>La Corte estableció que su sentencia constituye</w:t>
      </w:r>
      <w:r w:rsidR="008336CF">
        <w:rPr>
          <w:szCs w:val="20"/>
          <w:lang w:val="es-CO"/>
        </w:rPr>
        <w:t xml:space="preserve"> por sí misma</w:t>
      </w:r>
      <w:r w:rsidRPr="0095153D">
        <w:rPr>
          <w:szCs w:val="20"/>
          <w:lang w:val="es-CO"/>
        </w:rPr>
        <w:t xml:space="preserve"> una forma de reparación. Además, ordenó al Estado: i) publicar la Sentencia y su resumen oficial, y (ii) pagar los montos señalados en la Sentencia por concepto de indemnización por daños materiales e inmateriales y el reintegro de costas y gastos. </w:t>
      </w:r>
    </w:p>
    <w:p w14:paraId="629D5458" w14:textId="77777777" w:rsidR="008F5D36" w:rsidRPr="0095153D" w:rsidRDefault="008F5D36" w:rsidP="008F5D36">
      <w:pPr>
        <w:jc w:val="both"/>
        <w:rPr>
          <w:rFonts w:eastAsia="Calibri"/>
          <w:szCs w:val="20"/>
          <w:lang w:val="es-CO" w:eastAsia="es-ES"/>
        </w:rPr>
      </w:pPr>
    </w:p>
    <w:p w14:paraId="48B9AA6E" w14:textId="77777777" w:rsidR="008F5D36" w:rsidRPr="0095153D" w:rsidRDefault="008F5D36" w:rsidP="008F5D36">
      <w:pPr>
        <w:jc w:val="center"/>
        <w:rPr>
          <w:rFonts w:eastAsia="Calibri"/>
          <w:szCs w:val="20"/>
          <w:lang w:val="es-ES_tradnl" w:eastAsia="es-ES"/>
        </w:rPr>
      </w:pPr>
      <w:r w:rsidRPr="0095153D">
        <w:rPr>
          <w:rFonts w:eastAsia="Calibri"/>
          <w:szCs w:val="20"/>
          <w:lang w:val="es-ES_tradnl" w:eastAsia="es-ES"/>
        </w:rPr>
        <w:t>-----</w:t>
      </w:r>
    </w:p>
    <w:p w14:paraId="15CC1E79" w14:textId="77777777" w:rsidR="008F5D36" w:rsidRPr="0095153D" w:rsidRDefault="008F5D36" w:rsidP="008F5D36">
      <w:pPr>
        <w:jc w:val="center"/>
        <w:rPr>
          <w:rFonts w:eastAsia="Calibri"/>
          <w:szCs w:val="20"/>
          <w:lang w:val="es-ES_tradnl" w:eastAsia="es-ES"/>
        </w:rPr>
      </w:pPr>
    </w:p>
    <w:p w14:paraId="52B9B9A2" w14:textId="77777777" w:rsidR="008F5D36" w:rsidRPr="0095153D" w:rsidRDefault="008F5D36" w:rsidP="008F5D36">
      <w:pPr>
        <w:jc w:val="both"/>
        <w:rPr>
          <w:rFonts w:eastAsia="Calibri"/>
          <w:szCs w:val="20"/>
          <w:lang w:val="es-ES_tradnl" w:eastAsia="es-ES"/>
        </w:rPr>
      </w:pPr>
      <w:r w:rsidRPr="0095153D">
        <w:rPr>
          <w:rFonts w:eastAsia="Calibri"/>
          <w:szCs w:val="20"/>
          <w:lang w:val="es-ES_tradnl" w:eastAsia="es-ES"/>
        </w:rPr>
        <w:t xml:space="preserve">La Corte Interamericana de Derechos Humanos supervisará el cumplimiento íntegro de la Sentencia, en ejercicio de sus atribuciones y en cumplimiento de sus deberes conforme a la Convención Americana sobre Derechos Humanos, y dará por concluido el caso una vez que el Estado haya dado cabal cumplimiento a lo dispuesto en la Sentencia. </w:t>
      </w:r>
    </w:p>
    <w:p w14:paraId="3A13661A" w14:textId="77777777" w:rsidR="008F5D36" w:rsidRPr="0095153D" w:rsidRDefault="008F5D36" w:rsidP="008F5D36">
      <w:pPr>
        <w:jc w:val="both"/>
        <w:rPr>
          <w:rFonts w:eastAsia="Calibri"/>
          <w:szCs w:val="20"/>
          <w:lang w:val="es-ES_tradnl" w:eastAsia="es-ES"/>
        </w:rPr>
      </w:pPr>
    </w:p>
    <w:p w14:paraId="1540BCA7" w14:textId="77777777" w:rsidR="008F5D36" w:rsidRPr="0095153D" w:rsidRDefault="008F5D36" w:rsidP="008F5D36">
      <w:pPr>
        <w:jc w:val="both"/>
        <w:rPr>
          <w:rFonts w:eastAsia="Calibri"/>
          <w:szCs w:val="20"/>
          <w:lang w:val="es-ES_tradnl" w:eastAsia="es-ES"/>
        </w:rPr>
      </w:pPr>
      <w:r w:rsidRPr="0095153D">
        <w:rPr>
          <w:rFonts w:eastAsia="Calibri"/>
          <w:szCs w:val="20"/>
          <w:lang w:val="es-ES_tradnl" w:eastAsia="es-ES"/>
        </w:rPr>
        <w:t xml:space="preserve">El texto íntegro de la Sentencia puede consultarse en el siguiente enlace: </w:t>
      </w:r>
      <w:hyperlink r:id="rId9" w:history="1">
        <w:r w:rsidRPr="0095153D">
          <w:rPr>
            <w:rFonts w:eastAsia="Calibri"/>
            <w:color w:val="0000FF"/>
            <w:szCs w:val="20"/>
            <w:u w:val="single"/>
            <w:lang w:val="es-ES_tradnl" w:eastAsia="es-ES"/>
          </w:rPr>
          <w:t>http://www.corteidh.or.cr/casos.cfm</w:t>
        </w:r>
      </w:hyperlink>
      <w:r w:rsidRPr="0095153D">
        <w:rPr>
          <w:rFonts w:eastAsia="Calibri"/>
          <w:szCs w:val="20"/>
          <w:lang w:val="es-ES_tradnl" w:eastAsia="es-ES"/>
        </w:rPr>
        <w:t xml:space="preserve"> </w:t>
      </w:r>
    </w:p>
    <w:p w14:paraId="6F9217E6" w14:textId="77777777" w:rsidR="008F5D36" w:rsidRPr="0095153D" w:rsidRDefault="008F5D36" w:rsidP="008F5D36">
      <w:pPr>
        <w:rPr>
          <w:szCs w:val="20"/>
          <w:lang w:val="es-ES_tradnl"/>
        </w:rPr>
      </w:pPr>
    </w:p>
    <w:p w14:paraId="52ABCC76" w14:textId="77777777" w:rsidR="008F5D36" w:rsidRPr="008F5D36" w:rsidRDefault="008F5D36">
      <w:pPr>
        <w:rPr>
          <w:lang w:val="es-ES_tradnl"/>
        </w:rPr>
      </w:pPr>
    </w:p>
    <w:p w14:paraId="23CFB917" w14:textId="77777777" w:rsidR="008F5D36" w:rsidRPr="008F5D36" w:rsidRDefault="008F5D36">
      <w:pPr>
        <w:rPr>
          <w:lang w:val="es-CR"/>
        </w:rPr>
      </w:pPr>
    </w:p>
    <w:p w14:paraId="72FC623F" w14:textId="77777777" w:rsidR="008F5D36" w:rsidRPr="008F5D36" w:rsidRDefault="008F5D36">
      <w:pPr>
        <w:rPr>
          <w:lang w:val="es-CR"/>
        </w:rPr>
      </w:pPr>
    </w:p>
    <w:sectPr w:rsidR="008F5D36" w:rsidRPr="008F5D36" w:rsidSect="00555558">
      <w:headerReference w:type="default" r:id="rId10"/>
      <w:pgSz w:w="12240" w:h="15840"/>
      <w:pgMar w:top="1276" w:right="1325"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51152" w14:textId="77777777" w:rsidR="00214585" w:rsidRDefault="00214585" w:rsidP="00213112">
      <w:r>
        <w:separator/>
      </w:r>
    </w:p>
  </w:endnote>
  <w:endnote w:type="continuationSeparator" w:id="0">
    <w:p w14:paraId="2D4DB37A" w14:textId="77777777" w:rsidR="00214585" w:rsidRDefault="00214585" w:rsidP="0021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B1904" w14:textId="77777777" w:rsidR="00214585" w:rsidRDefault="00214585" w:rsidP="00213112">
      <w:r>
        <w:separator/>
      </w:r>
    </w:p>
  </w:footnote>
  <w:footnote w:type="continuationSeparator" w:id="0">
    <w:p w14:paraId="1B84D434" w14:textId="77777777" w:rsidR="00214585" w:rsidRDefault="00214585" w:rsidP="00213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19876"/>
      <w:docPartObj>
        <w:docPartGallery w:val="Page Numbers (Top of Page)"/>
        <w:docPartUnique/>
      </w:docPartObj>
    </w:sdtPr>
    <w:sdtEndPr>
      <w:rPr>
        <w:noProof/>
      </w:rPr>
    </w:sdtEndPr>
    <w:sdtContent>
      <w:p w14:paraId="2D26B747" w14:textId="77777777" w:rsidR="00513B90" w:rsidRDefault="00513B90">
        <w:pPr>
          <w:pStyle w:val="Header"/>
          <w:jc w:val="center"/>
        </w:pPr>
        <w:r>
          <w:fldChar w:fldCharType="begin"/>
        </w:r>
        <w:r>
          <w:instrText xml:space="preserve"> PAGE   \* MERGEFORMAT </w:instrText>
        </w:r>
        <w:r>
          <w:fldChar w:fldCharType="separate"/>
        </w:r>
        <w:r w:rsidR="00267062">
          <w:rPr>
            <w:noProof/>
          </w:rPr>
          <w:t>7</w:t>
        </w:r>
        <w:r>
          <w:rPr>
            <w:noProof/>
          </w:rPr>
          <w:fldChar w:fldCharType="end"/>
        </w:r>
      </w:p>
    </w:sdtContent>
  </w:sdt>
  <w:p w14:paraId="4151F4BC" w14:textId="77777777" w:rsidR="00513B90" w:rsidRDefault="00513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F83"/>
    <w:multiLevelType w:val="hybridMultilevel"/>
    <w:tmpl w:val="28EA1F4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07F189F"/>
    <w:multiLevelType w:val="hybridMultilevel"/>
    <w:tmpl w:val="1ACEB8FE"/>
    <w:lvl w:ilvl="0" w:tplc="2976F23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17BC4D29"/>
    <w:multiLevelType w:val="hybridMultilevel"/>
    <w:tmpl w:val="38C0782C"/>
    <w:lvl w:ilvl="0" w:tplc="6EAE83CE">
      <w:start w:val="1"/>
      <w:numFmt w:val="upperRoman"/>
      <w:lvlText w:val="%1."/>
      <w:lvlJc w:val="left"/>
      <w:pPr>
        <w:ind w:left="1080" w:hanging="720"/>
      </w:pPr>
      <w:rPr>
        <w:rFonts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B51D0"/>
    <w:multiLevelType w:val="hybridMultilevel"/>
    <w:tmpl w:val="AE5A2C56"/>
    <w:lvl w:ilvl="0" w:tplc="69962AFE">
      <w:start w:val="1"/>
      <w:numFmt w:val="decimal"/>
      <w:lvlText w:val="%1."/>
      <w:lvlJc w:val="left"/>
      <w:pPr>
        <w:ind w:left="0" w:firstLine="0"/>
      </w:pPr>
      <w:rPr>
        <w:b w:val="0"/>
        <w:i w:val="0"/>
        <w:strike w:val="0"/>
        <w:dstrike w:val="0"/>
        <w:sz w:val="20"/>
        <w:u w:val="none"/>
        <w:effect w:val="none"/>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24A473A0"/>
    <w:multiLevelType w:val="hybridMultilevel"/>
    <w:tmpl w:val="899E1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17BBB"/>
    <w:multiLevelType w:val="hybridMultilevel"/>
    <w:tmpl w:val="7DEE7336"/>
    <w:lvl w:ilvl="0" w:tplc="391AE4BE">
      <w:start w:val="1"/>
      <w:numFmt w:val="decimal"/>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DDF7EE3"/>
    <w:multiLevelType w:val="hybridMultilevel"/>
    <w:tmpl w:val="AC26D52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98A1FFB"/>
    <w:multiLevelType w:val="hybridMultilevel"/>
    <w:tmpl w:val="0C2C2EE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59A57B8"/>
    <w:multiLevelType w:val="hybridMultilevel"/>
    <w:tmpl w:val="915869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8D26B43"/>
    <w:multiLevelType w:val="hybridMultilevel"/>
    <w:tmpl w:val="5BF663F0"/>
    <w:lvl w:ilvl="0" w:tplc="83E6877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3A41471"/>
    <w:multiLevelType w:val="hybridMultilevel"/>
    <w:tmpl w:val="C2A4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975E5"/>
    <w:multiLevelType w:val="hybridMultilevel"/>
    <w:tmpl w:val="431C1B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11"/>
  </w:num>
  <w:num w:numId="8">
    <w:abstractNumId w:val="8"/>
  </w:num>
  <w:num w:numId="9">
    <w:abstractNumId w:val="1"/>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36"/>
    <w:rsid w:val="00191347"/>
    <w:rsid w:val="001F2B2F"/>
    <w:rsid w:val="002052BE"/>
    <w:rsid w:val="002075A9"/>
    <w:rsid w:val="00213112"/>
    <w:rsid w:val="00214585"/>
    <w:rsid w:val="002211E9"/>
    <w:rsid w:val="00267062"/>
    <w:rsid w:val="00307435"/>
    <w:rsid w:val="0031509D"/>
    <w:rsid w:val="00325122"/>
    <w:rsid w:val="00376791"/>
    <w:rsid w:val="00446002"/>
    <w:rsid w:val="004C78FF"/>
    <w:rsid w:val="00513B90"/>
    <w:rsid w:val="00513E4C"/>
    <w:rsid w:val="00537278"/>
    <w:rsid w:val="00555558"/>
    <w:rsid w:val="005F7226"/>
    <w:rsid w:val="00622E3F"/>
    <w:rsid w:val="00631FA7"/>
    <w:rsid w:val="00652143"/>
    <w:rsid w:val="00697DCD"/>
    <w:rsid w:val="006F2C08"/>
    <w:rsid w:val="006F2E04"/>
    <w:rsid w:val="006F7B2E"/>
    <w:rsid w:val="00717B35"/>
    <w:rsid w:val="007268EF"/>
    <w:rsid w:val="00750E64"/>
    <w:rsid w:val="007E7339"/>
    <w:rsid w:val="00820CB7"/>
    <w:rsid w:val="008336CF"/>
    <w:rsid w:val="008F5D36"/>
    <w:rsid w:val="0090400B"/>
    <w:rsid w:val="00994B02"/>
    <w:rsid w:val="009F5067"/>
    <w:rsid w:val="00A17936"/>
    <w:rsid w:val="00A61C95"/>
    <w:rsid w:val="00AD3B19"/>
    <w:rsid w:val="00B532EC"/>
    <w:rsid w:val="00B66F66"/>
    <w:rsid w:val="00BB2B89"/>
    <w:rsid w:val="00BB66D8"/>
    <w:rsid w:val="00C1044D"/>
    <w:rsid w:val="00C804C0"/>
    <w:rsid w:val="00C9364A"/>
    <w:rsid w:val="00E501B2"/>
    <w:rsid w:val="00E632A8"/>
    <w:rsid w:val="00EF360B"/>
    <w:rsid w:val="00F10AC7"/>
    <w:rsid w:val="00F7063F"/>
    <w:rsid w:val="00F77F58"/>
    <w:rsid w:val="00F86D09"/>
    <w:rsid w:val="00FE775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4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36"/>
    <w:pPr>
      <w:spacing w:after="0" w:line="240" w:lineRule="auto"/>
    </w:pPr>
    <w:rPr>
      <w:rFonts w:ascii="Verdana" w:eastAsia="Times New Roman" w:hAnsi="Verdana" w:cs="Times New Roman"/>
      <w:sz w:val="20"/>
      <w:szCs w:val="24"/>
      <w:lang w:val="en-US"/>
    </w:rPr>
  </w:style>
  <w:style w:type="paragraph" w:styleId="Heading2">
    <w:name w:val="heading 2"/>
    <w:next w:val="Normal"/>
    <w:link w:val="Heading2Char"/>
    <w:uiPriority w:val="99"/>
    <w:qFormat/>
    <w:rsid w:val="008F5D36"/>
    <w:pPr>
      <w:keepNext/>
      <w:spacing w:after="0" w:line="240" w:lineRule="auto"/>
      <w:jc w:val="center"/>
      <w:outlineLvl w:val="1"/>
    </w:pPr>
    <w:rPr>
      <w:rFonts w:ascii="Helvetica" w:eastAsia="ヒラギノ角ゴ Pro W3" w:hAnsi="Helvetica" w:cs="Times New Roman"/>
      <w:b/>
      <w:color w:val="000000"/>
      <w:sz w:val="20"/>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F5D36"/>
    <w:rPr>
      <w:rFonts w:ascii="Helvetica" w:eastAsia="ヒラギノ角ゴ Pro W3" w:hAnsi="Helvetica" w:cs="Times New Roman"/>
      <w:b/>
      <w:color w:val="000000"/>
      <w:sz w:val="20"/>
      <w:szCs w:val="20"/>
      <w:lang w:eastAsia="es-MX"/>
    </w:rPr>
  </w:style>
  <w:style w:type="paragraph" w:customStyle="1" w:styleId="PrrafodeSentencia">
    <w:name w:val="*. Párrafo de Sentencia"/>
    <w:link w:val="PrrafodeSentenciaChar"/>
    <w:autoRedefine/>
    <w:qFormat/>
    <w:rsid w:val="008F5D36"/>
    <w:pPr>
      <w:spacing w:before="120" w:after="120" w:line="240" w:lineRule="auto"/>
      <w:ind w:firstLine="720"/>
      <w:jc w:val="both"/>
    </w:pPr>
    <w:rPr>
      <w:rFonts w:ascii="Verdana" w:eastAsia="Batang" w:hAnsi="Verdana" w:cs="Times New Roman"/>
      <w:spacing w:val="-2"/>
      <w:sz w:val="20"/>
      <w:szCs w:val="20"/>
      <w:lang w:val="es-CL" w:eastAsia="es-MX"/>
    </w:rPr>
  </w:style>
  <w:style w:type="character" w:customStyle="1" w:styleId="PrrafodeSentenciaChar">
    <w:name w:val="*. Párrafo de Sentencia Char"/>
    <w:link w:val="PrrafodeSentencia"/>
    <w:rsid w:val="008F5D36"/>
    <w:rPr>
      <w:rFonts w:ascii="Verdana" w:eastAsia="Batang" w:hAnsi="Verdana" w:cs="Times New Roman"/>
      <w:spacing w:val="-2"/>
      <w:sz w:val="20"/>
      <w:szCs w:val="20"/>
      <w:lang w:val="es-CL" w:eastAsia="es-MX"/>
    </w:rPr>
  </w:style>
  <w:style w:type="paragraph" w:styleId="ListParagraph">
    <w:name w:val="List Paragraph"/>
    <w:basedOn w:val="Normal"/>
    <w:uiPriority w:val="34"/>
    <w:qFormat/>
    <w:rsid w:val="008F5D36"/>
    <w:pPr>
      <w:ind w:left="708"/>
    </w:pPr>
  </w:style>
  <w:style w:type="character" w:customStyle="1" w:styleId="MediumGrid1-Accent2Char">
    <w:name w:val="Medium Grid 1 - Accent 2 Char"/>
    <w:aliases w:val="Footnote Char,List Paragraph1 Char,Colorful List - Accent 11 Char,Párrafo de lista1 Char"/>
    <w:link w:val="MediumGrid1-Accent2"/>
    <w:uiPriority w:val="34"/>
    <w:locked/>
    <w:rsid w:val="008F5D36"/>
    <w:rPr>
      <w:rFonts w:ascii="Verdana" w:hAnsi="Verdana"/>
      <w:sz w:val="20"/>
      <w:lang w:val="es-ES_tradnl" w:eastAsia="es-ES"/>
    </w:rPr>
  </w:style>
  <w:style w:type="table" w:styleId="MediumGrid1-Accent2">
    <w:name w:val="Medium Grid 1 Accent 2"/>
    <w:basedOn w:val="TableNormal"/>
    <w:link w:val="MediumGrid1-Accent2Char"/>
    <w:uiPriority w:val="34"/>
    <w:rsid w:val="008F5D36"/>
    <w:pPr>
      <w:spacing w:after="0" w:line="240" w:lineRule="auto"/>
    </w:pPr>
    <w:rPr>
      <w:rFonts w:ascii="Verdana" w:hAnsi="Verdana"/>
      <w:sz w:val="20"/>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213112"/>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213112"/>
    <w:pPr>
      <w:widowControl w:val="0"/>
      <w:tabs>
        <w:tab w:val="left" w:pos="567"/>
      </w:tabs>
      <w:adjustRightInd w:val="0"/>
      <w:jc w:val="both"/>
      <w:textAlignment w:val="baseline"/>
    </w:pPr>
    <w:rPr>
      <w:bCs/>
      <w:sz w:val="16"/>
      <w:szCs w:val="16"/>
      <w:lang w:val="es-ES_tradnl"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213112"/>
    <w:rPr>
      <w:rFonts w:ascii="Verdana" w:eastAsia="Times New Roman" w:hAnsi="Verdana" w:cs="Times New Roman"/>
      <w:bCs/>
      <w:sz w:val="16"/>
      <w:szCs w:val="16"/>
      <w:lang w:val="es-ES_tradnl" w:eastAsia="es-CR"/>
    </w:rPr>
  </w:style>
  <w:style w:type="paragraph" w:styleId="Header">
    <w:name w:val="header"/>
    <w:basedOn w:val="Normal"/>
    <w:link w:val="HeaderChar"/>
    <w:uiPriority w:val="99"/>
    <w:unhideWhenUsed/>
    <w:rsid w:val="00191347"/>
    <w:pPr>
      <w:tabs>
        <w:tab w:val="center" w:pos="4419"/>
        <w:tab w:val="right" w:pos="8838"/>
      </w:tabs>
    </w:pPr>
  </w:style>
  <w:style w:type="character" w:customStyle="1" w:styleId="HeaderChar">
    <w:name w:val="Header Char"/>
    <w:basedOn w:val="DefaultParagraphFont"/>
    <w:link w:val="Header"/>
    <w:uiPriority w:val="99"/>
    <w:rsid w:val="00191347"/>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91347"/>
    <w:pPr>
      <w:tabs>
        <w:tab w:val="center" w:pos="4419"/>
        <w:tab w:val="right" w:pos="8838"/>
      </w:tabs>
    </w:pPr>
  </w:style>
  <w:style w:type="character" w:customStyle="1" w:styleId="FooterChar">
    <w:name w:val="Footer Char"/>
    <w:basedOn w:val="DefaultParagraphFont"/>
    <w:link w:val="Footer"/>
    <w:uiPriority w:val="99"/>
    <w:rsid w:val="00191347"/>
    <w:rPr>
      <w:rFonts w:ascii="Verdana" w:eastAsia="Times New Roman" w:hAnsi="Verdana" w:cs="Times New Roman"/>
      <w:sz w:val="20"/>
      <w:szCs w:val="24"/>
      <w:lang w:val="en-US"/>
    </w:rPr>
  </w:style>
  <w:style w:type="paragraph" w:customStyle="1" w:styleId="Footnotes">
    <w:name w:val="**. Footnotes"/>
    <w:basedOn w:val="FootnoteText"/>
    <w:link w:val="FootnotesChar"/>
    <w:autoRedefine/>
    <w:qFormat/>
    <w:rsid w:val="00446002"/>
    <w:pPr>
      <w:widowControl/>
      <w:adjustRightInd/>
      <w:textAlignment w:val="auto"/>
    </w:pPr>
    <w:rPr>
      <w:rFonts w:cs="Palatino-Italic"/>
      <w:bCs w:val="0"/>
      <w:iCs/>
      <w:szCs w:val="18"/>
      <w:lang w:val="es-ES" w:eastAsia="x-none" w:bidi="en-US"/>
    </w:rPr>
  </w:style>
  <w:style w:type="character" w:customStyle="1" w:styleId="FootnotesChar">
    <w:name w:val="**. Footnotes Char"/>
    <w:link w:val="Footnotes"/>
    <w:rsid w:val="00446002"/>
    <w:rPr>
      <w:rFonts w:ascii="Verdana" w:eastAsia="Times New Roman" w:hAnsi="Verdana" w:cs="Palatino-Italic"/>
      <w:iCs/>
      <w:sz w:val="16"/>
      <w:szCs w:val="18"/>
      <w:lang w:val="es-ES" w:eastAsia="x-none" w:bidi="en-US"/>
    </w:rPr>
  </w:style>
  <w:style w:type="character" w:styleId="Strong">
    <w:name w:val="Strong"/>
    <w:uiPriority w:val="22"/>
    <w:qFormat/>
    <w:rsid w:val="00446002"/>
    <w:rPr>
      <w:b/>
      <w:bCs/>
    </w:rPr>
  </w:style>
  <w:style w:type="paragraph" w:styleId="Title">
    <w:name w:val="Title"/>
    <w:basedOn w:val="Normal"/>
    <w:next w:val="Normal"/>
    <w:link w:val="TitleChar"/>
    <w:qFormat/>
    <w:rsid w:val="00513B90"/>
    <w:pPr>
      <w:jc w:val="center"/>
      <w:outlineLvl w:val="0"/>
    </w:pPr>
    <w:rPr>
      <w:rFonts w:eastAsia="Calibri"/>
      <w:b/>
      <w:spacing w:val="-2"/>
      <w:szCs w:val="20"/>
      <w:lang w:val="es-ES_tradnl" w:eastAsia="x-none"/>
    </w:rPr>
  </w:style>
  <w:style w:type="character" w:customStyle="1" w:styleId="TitleChar">
    <w:name w:val="Title Char"/>
    <w:basedOn w:val="DefaultParagraphFont"/>
    <w:link w:val="Title"/>
    <w:rsid w:val="00513B90"/>
    <w:rPr>
      <w:rFonts w:ascii="Verdana" w:eastAsia="Calibri" w:hAnsi="Verdana" w:cs="Times New Roman"/>
      <w:b/>
      <w:spacing w:val="-2"/>
      <w:sz w:val="20"/>
      <w:szCs w:val="20"/>
      <w:lang w:val="es-ES_tradnl" w:eastAsia="x-none"/>
    </w:rPr>
  </w:style>
  <w:style w:type="paragraph" w:customStyle="1" w:styleId="Default">
    <w:name w:val="Default"/>
    <w:rsid w:val="00F10AC7"/>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555558"/>
    <w:rPr>
      <w:rFonts w:ascii="Tahoma" w:hAnsi="Tahoma" w:cs="Tahoma"/>
      <w:sz w:val="16"/>
      <w:szCs w:val="16"/>
    </w:rPr>
  </w:style>
  <w:style w:type="character" w:customStyle="1" w:styleId="BalloonTextChar">
    <w:name w:val="Balloon Text Char"/>
    <w:basedOn w:val="DefaultParagraphFont"/>
    <w:link w:val="BalloonText"/>
    <w:uiPriority w:val="99"/>
    <w:semiHidden/>
    <w:rsid w:val="0055555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36"/>
    <w:pPr>
      <w:spacing w:after="0" w:line="240" w:lineRule="auto"/>
    </w:pPr>
    <w:rPr>
      <w:rFonts w:ascii="Verdana" w:eastAsia="Times New Roman" w:hAnsi="Verdana" w:cs="Times New Roman"/>
      <w:sz w:val="20"/>
      <w:szCs w:val="24"/>
      <w:lang w:val="en-US"/>
    </w:rPr>
  </w:style>
  <w:style w:type="paragraph" w:styleId="Heading2">
    <w:name w:val="heading 2"/>
    <w:next w:val="Normal"/>
    <w:link w:val="Heading2Char"/>
    <w:uiPriority w:val="99"/>
    <w:qFormat/>
    <w:rsid w:val="008F5D36"/>
    <w:pPr>
      <w:keepNext/>
      <w:spacing w:after="0" w:line="240" w:lineRule="auto"/>
      <w:jc w:val="center"/>
      <w:outlineLvl w:val="1"/>
    </w:pPr>
    <w:rPr>
      <w:rFonts w:ascii="Helvetica" w:eastAsia="ヒラギノ角ゴ Pro W3" w:hAnsi="Helvetica" w:cs="Times New Roman"/>
      <w:b/>
      <w:color w:val="000000"/>
      <w:sz w:val="20"/>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F5D36"/>
    <w:rPr>
      <w:rFonts w:ascii="Helvetica" w:eastAsia="ヒラギノ角ゴ Pro W3" w:hAnsi="Helvetica" w:cs="Times New Roman"/>
      <w:b/>
      <w:color w:val="000000"/>
      <w:sz w:val="20"/>
      <w:szCs w:val="20"/>
      <w:lang w:eastAsia="es-MX"/>
    </w:rPr>
  </w:style>
  <w:style w:type="paragraph" w:customStyle="1" w:styleId="PrrafodeSentencia">
    <w:name w:val="*. Párrafo de Sentencia"/>
    <w:link w:val="PrrafodeSentenciaChar"/>
    <w:autoRedefine/>
    <w:qFormat/>
    <w:rsid w:val="008F5D36"/>
    <w:pPr>
      <w:spacing w:before="120" w:after="120" w:line="240" w:lineRule="auto"/>
      <w:ind w:firstLine="720"/>
      <w:jc w:val="both"/>
    </w:pPr>
    <w:rPr>
      <w:rFonts w:ascii="Verdana" w:eastAsia="Batang" w:hAnsi="Verdana" w:cs="Times New Roman"/>
      <w:spacing w:val="-2"/>
      <w:sz w:val="20"/>
      <w:szCs w:val="20"/>
      <w:lang w:val="es-CL" w:eastAsia="es-MX"/>
    </w:rPr>
  </w:style>
  <w:style w:type="character" w:customStyle="1" w:styleId="PrrafodeSentenciaChar">
    <w:name w:val="*. Párrafo de Sentencia Char"/>
    <w:link w:val="PrrafodeSentencia"/>
    <w:rsid w:val="008F5D36"/>
    <w:rPr>
      <w:rFonts w:ascii="Verdana" w:eastAsia="Batang" w:hAnsi="Verdana" w:cs="Times New Roman"/>
      <w:spacing w:val="-2"/>
      <w:sz w:val="20"/>
      <w:szCs w:val="20"/>
      <w:lang w:val="es-CL" w:eastAsia="es-MX"/>
    </w:rPr>
  </w:style>
  <w:style w:type="paragraph" w:styleId="ListParagraph">
    <w:name w:val="List Paragraph"/>
    <w:basedOn w:val="Normal"/>
    <w:uiPriority w:val="34"/>
    <w:qFormat/>
    <w:rsid w:val="008F5D36"/>
    <w:pPr>
      <w:ind w:left="708"/>
    </w:pPr>
  </w:style>
  <w:style w:type="character" w:customStyle="1" w:styleId="MediumGrid1-Accent2Char">
    <w:name w:val="Medium Grid 1 - Accent 2 Char"/>
    <w:aliases w:val="Footnote Char,List Paragraph1 Char,Colorful List - Accent 11 Char,Párrafo de lista1 Char"/>
    <w:link w:val="MediumGrid1-Accent2"/>
    <w:uiPriority w:val="34"/>
    <w:locked/>
    <w:rsid w:val="008F5D36"/>
    <w:rPr>
      <w:rFonts w:ascii="Verdana" w:hAnsi="Verdana"/>
      <w:sz w:val="20"/>
      <w:lang w:val="es-ES_tradnl" w:eastAsia="es-ES"/>
    </w:rPr>
  </w:style>
  <w:style w:type="table" w:styleId="MediumGrid1-Accent2">
    <w:name w:val="Medium Grid 1 Accent 2"/>
    <w:basedOn w:val="TableNormal"/>
    <w:link w:val="MediumGrid1-Accent2Char"/>
    <w:uiPriority w:val="34"/>
    <w:rsid w:val="008F5D36"/>
    <w:pPr>
      <w:spacing w:after="0" w:line="240" w:lineRule="auto"/>
    </w:pPr>
    <w:rPr>
      <w:rFonts w:ascii="Verdana" w:hAnsi="Verdana"/>
      <w:sz w:val="20"/>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213112"/>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213112"/>
    <w:pPr>
      <w:widowControl w:val="0"/>
      <w:tabs>
        <w:tab w:val="left" w:pos="567"/>
      </w:tabs>
      <w:adjustRightInd w:val="0"/>
      <w:jc w:val="both"/>
      <w:textAlignment w:val="baseline"/>
    </w:pPr>
    <w:rPr>
      <w:bCs/>
      <w:sz w:val="16"/>
      <w:szCs w:val="16"/>
      <w:lang w:val="es-ES_tradnl"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213112"/>
    <w:rPr>
      <w:rFonts w:ascii="Verdana" w:eastAsia="Times New Roman" w:hAnsi="Verdana" w:cs="Times New Roman"/>
      <w:bCs/>
      <w:sz w:val="16"/>
      <w:szCs w:val="16"/>
      <w:lang w:val="es-ES_tradnl" w:eastAsia="es-CR"/>
    </w:rPr>
  </w:style>
  <w:style w:type="paragraph" w:styleId="Header">
    <w:name w:val="header"/>
    <w:basedOn w:val="Normal"/>
    <w:link w:val="HeaderChar"/>
    <w:uiPriority w:val="99"/>
    <w:unhideWhenUsed/>
    <w:rsid w:val="00191347"/>
    <w:pPr>
      <w:tabs>
        <w:tab w:val="center" w:pos="4419"/>
        <w:tab w:val="right" w:pos="8838"/>
      </w:tabs>
    </w:pPr>
  </w:style>
  <w:style w:type="character" w:customStyle="1" w:styleId="HeaderChar">
    <w:name w:val="Header Char"/>
    <w:basedOn w:val="DefaultParagraphFont"/>
    <w:link w:val="Header"/>
    <w:uiPriority w:val="99"/>
    <w:rsid w:val="00191347"/>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91347"/>
    <w:pPr>
      <w:tabs>
        <w:tab w:val="center" w:pos="4419"/>
        <w:tab w:val="right" w:pos="8838"/>
      </w:tabs>
    </w:pPr>
  </w:style>
  <w:style w:type="character" w:customStyle="1" w:styleId="FooterChar">
    <w:name w:val="Footer Char"/>
    <w:basedOn w:val="DefaultParagraphFont"/>
    <w:link w:val="Footer"/>
    <w:uiPriority w:val="99"/>
    <w:rsid w:val="00191347"/>
    <w:rPr>
      <w:rFonts w:ascii="Verdana" w:eastAsia="Times New Roman" w:hAnsi="Verdana" w:cs="Times New Roman"/>
      <w:sz w:val="20"/>
      <w:szCs w:val="24"/>
      <w:lang w:val="en-US"/>
    </w:rPr>
  </w:style>
  <w:style w:type="paragraph" w:customStyle="1" w:styleId="Footnotes">
    <w:name w:val="**. Footnotes"/>
    <w:basedOn w:val="FootnoteText"/>
    <w:link w:val="FootnotesChar"/>
    <w:autoRedefine/>
    <w:qFormat/>
    <w:rsid w:val="00446002"/>
    <w:pPr>
      <w:widowControl/>
      <w:adjustRightInd/>
      <w:textAlignment w:val="auto"/>
    </w:pPr>
    <w:rPr>
      <w:rFonts w:cs="Palatino-Italic"/>
      <w:bCs w:val="0"/>
      <w:iCs/>
      <w:szCs w:val="18"/>
      <w:lang w:val="es-ES" w:eastAsia="x-none" w:bidi="en-US"/>
    </w:rPr>
  </w:style>
  <w:style w:type="character" w:customStyle="1" w:styleId="FootnotesChar">
    <w:name w:val="**. Footnotes Char"/>
    <w:link w:val="Footnotes"/>
    <w:rsid w:val="00446002"/>
    <w:rPr>
      <w:rFonts w:ascii="Verdana" w:eastAsia="Times New Roman" w:hAnsi="Verdana" w:cs="Palatino-Italic"/>
      <w:iCs/>
      <w:sz w:val="16"/>
      <w:szCs w:val="18"/>
      <w:lang w:val="es-ES" w:eastAsia="x-none" w:bidi="en-US"/>
    </w:rPr>
  </w:style>
  <w:style w:type="character" w:styleId="Strong">
    <w:name w:val="Strong"/>
    <w:uiPriority w:val="22"/>
    <w:qFormat/>
    <w:rsid w:val="00446002"/>
    <w:rPr>
      <w:b/>
      <w:bCs/>
    </w:rPr>
  </w:style>
  <w:style w:type="paragraph" w:styleId="Title">
    <w:name w:val="Title"/>
    <w:basedOn w:val="Normal"/>
    <w:next w:val="Normal"/>
    <w:link w:val="TitleChar"/>
    <w:qFormat/>
    <w:rsid w:val="00513B90"/>
    <w:pPr>
      <w:jc w:val="center"/>
      <w:outlineLvl w:val="0"/>
    </w:pPr>
    <w:rPr>
      <w:rFonts w:eastAsia="Calibri"/>
      <w:b/>
      <w:spacing w:val="-2"/>
      <w:szCs w:val="20"/>
      <w:lang w:val="es-ES_tradnl" w:eastAsia="x-none"/>
    </w:rPr>
  </w:style>
  <w:style w:type="character" w:customStyle="1" w:styleId="TitleChar">
    <w:name w:val="Title Char"/>
    <w:basedOn w:val="DefaultParagraphFont"/>
    <w:link w:val="Title"/>
    <w:rsid w:val="00513B90"/>
    <w:rPr>
      <w:rFonts w:ascii="Verdana" w:eastAsia="Calibri" w:hAnsi="Verdana" w:cs="Times New Roman"/>
      <w:b/>
      <w:spacing w:val="-2"/>
      <w:sz w:val="20"/>
      <w:szCs w:val="20"/>
      <w:lang w:val="es-ES_tradnl" w:eastAsia="x-none"/>
    </w:rPr>
  </w:style>
  <w:style w:type="paragraph" w:customStyle="1" w:styleId="Default">
    <w:name w:val="Default"/>
    <w:rsid w:val="00F10AC7"/>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555558"/>
    <w:rPr>
      <w:rFonts w:ascii="Tahoma" w:hAnsi="Tahoma" w:cs="Tahoma"/>
      <w:sz w:val="16"/>
      <w:szCs w:val="16"/>
    </w:rPr>
  </w:style>
  <w:style w:type="character" w:customStyle="1" w:styleId="BalloonTextChar">
    <w:name w:val="Balloon Text Char"/>
    <w:basedOn w:val="DefaultParagraphFont"/>
    <w:link w:val="BalloonText"/>
    <w:uiPriority w:val="99"/>
    <w:semiHidden/>
    <w:rsid w:val="0055555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idh.or.cr/caso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2187-E9F7-4019-930B-1E5AD8D8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3891</Words>
  <Characters>22179</Characters>
  <Application>Microsoft Office Word</Application>
  <DocSecurity>6</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Gabriela Guevara</cp:lastModifiedBy>
  <cp:revision>2</cp:revision>
  <cp:lastPrinted>2015-12-21T18:15:00Z</cp:lastPrinted>
  <dcterms:created xsi:type="dcterms:W3CDTF">2015-12-21T20:36:00Z</dcterms:created>
  <dcterms:modified xsi:type="dcterms:W3CDTF">2015-12-21T20:36:00Z</dcterms:modified>
</cp:coreProperties>
</file>