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C105" w14:textId="2FCAE8D7" w:rsidR="0017396C" w:rsidRDefault="0017396C" w:rsidP="0017396C">
      <w:pPr>
        <w:rPr>
          <w:rFonts w:ascii="Verdana" w:eastAsia="Helvetica" w:hAnsi="Verdana"/>
          <w:b/>
          <w:color w:val="000000"/>
          <w:sz w:val="20"/>
          <w:szCs w:val="20"/>
        </w:rPr>
      </w:pPr>
    </w:p>
    <w:p w14:paraId="16535C92" w14:textId="17130610" w:rsidR="00657E6D" w:rsidRDefault="00657E6D" w:rsidP="0017396C">
      <w:pPr>
        <w:rPr>
          <w:rFonts w:ascii="Verdana" w:eastAsia="Helvetica" w:hAnsi="Verdana"/>
          <w:b/>
          <w:color w:val="000000"/>
          <w:sz w:val="20"/>
          <w:szCs w:val="20"/>
        </w:rPr>
      </w:pPr>
    </w:p>
    <w:p w14:paraId="4FDC500E" w14:textId="51F8046C" w:rsidR="00657E6D" w:rsidRDefault="00657E6D" w:rsidP="0017396C">
      <w:pPr>
        <w:rPr>
          <w:rFonts w:ascii="Verdana" w:eastAsia="Helvetica" w:hAnsi="Verdana"/>
          <w:b/>
          <w:color w:val="000000"/>
          <w:sz w:val="20"/>
          <w:szCs w:val="20"/>
        </w:rPr>
      </w:pPr>
    </w:p>
    <w:p w14:paraId="32CE8D2F" w14:textId="390B17C5" w:rsidR="00657E6D" w:rsidRDefault="00657E6D" w:rsidP="0017396C">
      <w:pPr>
        <w:rPr>
          <w:rFonts w:ascii="Verdana" w:eastAsia="Helvetica" w:hAnsi="Verdana"/>
          <w:b/>
          <w:color w:val="000000"/>
          <w:sz w:val="20"/>
          <w:szCs w:val="20"/>
        </w:rPr>
      </w:pPr>
    </w:p>
    <w:p w14:paraId="799BB648" w14:textId="65ACE090" w:rsidR="00657E6D" w:rsidRDefault="00657E6D" w:rsidP="0017396C">
      <w:pPr>
        <w:rPr>
          <w:rFonts w:ascii="Verdana" w:eastAsia="Helvetica" w:hAnsi="Verdana"/>
          <w:b/>
          <w:color w:val="000000"/>
          <w:sz w:val="20"/>
          <w:szCs w:val="20"/>
        </w:rPr>
      </w:pPr>
    </w:p>
    <w:p w14:paraId="342FF09F" w14:textId="2E2EC45A" w:rsidR="00657E6D" w:rsidRDefault="00657E6D" w:rsidP="0017396C">
      <w:pPr>
        <w:rPr>
          <w:rFonts w:ascii="Verdana" w:eastAsia="Helvetica" w:hAnsi="Verdana"/>
          <w:b/>
          <w:color w:val="000000"/>
          <w:sz w:val="20"/>
          <w:szCs w:val="20"/>
        </w:rPr>
      </w:pPr>
    </w:p>
    <w:p w14:paraId="60B04B46" w14:textId="77777777" w:rsidR="00657E6D" w:rsidRPr="007064D9" w:rsidRDefault="00657E6D" w:rsidP="0017396C"/>
    <w:p w14:paraId="7F967F11" w14:textId="77777777" w:rsidR="00244187" w:rsidRDefault="00244187" w:rsidP="0017396C">
      <w:pPr>
        <w:jc w:val="center"/>
        <w:rPr>
          <w:rFonts w:ascii="Verdana" w:hAnsi="Verdana" w:cs="Verdana"/>
          <w:b/>
          <w:bCs/>
          <w:snapToGrid w:val="0"/>
          <w:sz w:val="20"/>
          <w:szCs w:val="20"/>
          <w:lang w:eastAsia="es-ES"/>
        </w:rPr>
      </w:pPr>
    </w:p>
    <w:p w14:paraId="3028C106" w14:textId="1EFD89A7" w:rsidR="0017396C" w:rsidRPr="007E2E11" w:rsidRDefault="0017396C" w:rsidP="0017396C">
      <w:pPr>
        <w:jc w:val="center"/>
        <w:rPr>
          <w:rFonts w:ascii="Verdana" w:hAnsi="Verdana" w:cs="Verdana"/>
          <w:b/>
          <w:bCs/>
          <w:caps/>
          <w:snapToGrid w:val="0"/>
          <w:sz w:val="20"/>
          <w:szCs w:val="20"/>
          <w:lang w:eastAsia="es-ES"/>
        </w:rPr>
      </w:pPr>
      <w:bookmarkStart w:id="0" w:name="_GoBack"/>
      <w:bookmarkEnd w:id="0"/>
      <w:r w:rsidRPr="007E2E11">
        <w:rPr>
          <w:rFonts w:ascii="Verdana" w:hAnsi="Verdana" w:cs="Verdana"/>
          <w:b/>
          <w:bCs/>
          <w:snapToGrid w:val="0"/>
          <w:sz w:val="20"/>
          <w:szCs w:val="20"/>
          <w:lang w:eastAsia="es-ES"/>
        </w:rPr>
        <w:t>CORTE INTERAMERICANA DE DERECHOS HUMANOS</w:t>
      </w:r>
      <w:r w:rsidRPr="007E2E11">
        <w:rPr>
          <w:rStyle w:val="Refdenotaalpie"/>
          <w:rFonts w:ascii="Verdana" w:hAnsi="Verdana"/>
          <w:b/>
          <w:snapToGrid w:val="0"/>
          <w:sz w:val="20"/>
          <w:szCs w:val="20"/>
        </w:rPr>
        <w:footnoteReference w:customMarkFollows="1" w:id="1"/>
        <w:sym w:font="Symbol" w:char="F02A"/>
      </w:r>
    </w:p>
    <w:p w14:paraId="3028C107" w14:textId="77777777" w:rsidR="0017396C" w:rsidRPr="007E2E11" w:rsidRDefault="0017396C" w:rsidP="0017396C">
      <w:pPr>
        <w:pStyle w:val="Body1"/>
        <w:rPr>
          <w:rFonts w:ascii="Verdana" w:hAnsi="Verdana"/>
          <w:sz w:val="20"/>
          <w:lang w:val="es-CR"/>
        </w:rPr>
      </w:pPr>
    </w:p>
    <w:p w14:paraId="3028C108" w14:textId="77777777" w:rsidR="0017396C" w:rsidRPr="007E2E11" w:rsidRDefault="0017396C" w:rsidP="0017396C">
      <w:pPr>
        <w:tabs>
          <w:tab w:val="left" w:pos="2960"/>
          <w:tab w:val="center" w:pos="4680"/>
        </w:tabs>
        <w:jc w:val="center"/>
        <w:rPr>
          <w:rFonts w:ascii="Verdana" w:hAnsi="Verdana"/>
          <w:b/>
          <w:sz w:val="20"/>
          <w:szCs w:val="20"/>
        </w:rPr>
      </w:pPr>
      <w:r w:rsidRPr="007E2E11">
        <w:rPr>
          <w:rFonts w:ascii="Verdana" w:hAnsi="Verdana"/>
          <w:b/>
          <w:sz w:val="20"/>
          <w:szCs w:val="20"/>
        </w:rPr>
        <w:t xml:space="preserve">CASO VELÁSQUEZ PAIZ Y OTROS </w:t>
      </w:r>
      <w:r w:rsidRPr="007E2E11">
        <w:rPr>
          <w:rFonts w:ascii="Verdana" w:hAnsi="Verdana"/>
          <w:b/>
          <w:i/>
          <w:sz w:val="20"/>
          <w:szCs w:val="20"/>
        </w:rPr>
        <w:t>VS.</w:t>
      </w:r>
      <w:r w:rsidRPr="007E2E11">
        <w:rPr>
          <w:rFonts w:ascii="Verdana" w:hAnsi="Verdana"/>
          <w:b/>
          <w:sz w:val="20"/>
          <w:szCs w:val="20"/>
        </w:rPr>
        <w:t xml:space="preserve"> GUATEMALA</w:t>
      </w:r>
    </w:p>
    <w:p w14:paraId="3028C109" w14:textId="77777777" w:rsidR="0017396C" w:rsidRPr="007E2E11" w:rsidRDefault="0017396C" w:rsidP="0017396C">
      <w:pPr>
        <w:jc w:val="center"/>
        <w:outlineLvl w:val="0"/>
        <w:rPr>
          <w:rFonts w:ascii="Verdana" w:hAnsi="Verdana"/>
          <w:b/>
          <w:sz w:val="20"/>
          <w:szCs w:val="20"/>
        </w:rPr>
      </w:pPr>
    </w:p>
    <w:p w14:paraId="3028C10A" w14:textId="77777777" w:rsidR="0017396C" w:rsidRPr="007E2E11" w:rsidRDefault="0017396C" w:rsidP="0017396C">
      <w:pPr>
        <w:jc w:val="center"/>
        <w:rPr>
          <w:rFonts w:ascii="Verdana" w:hAnsi="Verdana"/>
          <w:b/>
          <w:sz w:val="20"/>
          <w:szCs w:val="20"/>
        </w:rPr>
      </w:pPr>
      <w:r w:rsidRPr="007E2E11">
        <w:rPr>
          <w:rFonts w:ascii="Verdana" w:hAnsi="Verdana"/>
          <w:b/>
          <w:sz w:val="20"/>
          <w:szCs w:val="20"/>
        </w:rPr>
        <w:t>SENTENCIA DE 19 DE NOVIEMBRE DE 2015</w:t>
      </w:r>
    </w:p>
    <w:p w14:paraId="3028C10B" w14:textId="77777777" w:rsidR="0017396C" w:rsidRPr="007E2E11" w:rsidRDefault="0017396C" w:rsidP="0017396C">
      <w:pPr>
        <w:jc w:val="center"/>
        <w:rPr>
          <w:rFonts w:ascii="Verdana" w:hAnsi="Verdana"/>
          <w:b/>
          <w:sz w:val="20"/>
          <w:szCs w:val="20"/>
        </w:rPr>
      </w:pPr>
    </w:p>
    <w:p w14:paraId="3028C10C" w14:textId="77777777" w:rsidR="0017396C" w:rsidRPr="007E2E11" w:rsidRDefault="0017396C" w:rsidP="0017396C">
      <w:pPr>
        <w:jc w:val="center"/>
        <w:rPr>
          <w:rFonts w:ascii="Verdana" w:hAnsi="Verdana"/>
          <w:b/>
          <w:i/>
          <w:sz w:val="20"/>
          <w:szCs w:val="20"/>
        </w:rPr>
      </w:pPr>
      <w:r w:rsidRPr="007E2E11">
        <w:rPr>
          <w:rFonts w:ascii="Verdana" w:hAnsi="Verdana"/>
          <w:b/>
          <w:i/>
          <w:sz w:val="20"/>
          <w:szCs w:val="20"/>
        </w:rPr>
        <w:t>(Excepciones Preliminares, Fondo, Reparaciones y Costas)</w:t>
      </w:r>
    </w:p>
    <w:p w14:paraId="3028C10D" w14:textId="77777777" w:rsidR="0017396C" w:rsidRPr="007E2E11" w:rsidRDefault="0017396C" w:rsidP="0017396C">
      <w:pPr>
        <w:jc w:val="center"/>
        <w:rPr>
          <w:rFonts w:ascii="Verdana" w:hAnsi="Verdana" w:cs="Verdana"/>
          <w:b/>
          <w:bCs/>
          <w:snapToGrid w:val="0"/>
          <w:sz w:val="20"/>
          <w:szCs w:val="20"/>
          <w:lang w:eastAsia="es-ES"/>
        </w:rPr>
      </w:pPr>
    </w:p>
    <w:p w14:paraId="3028C10E" w14:textId="77777777" w:rsidR="0017396C" w:rsidRPr="007E2E11" w:rsidRDefault="0017396C" w:rsidP="0017396C">
      <w:pPr>
        <w:jc w:val="center"/>
        <w:rPr>
          <w:rFonts w:ascii="Verdana" w:hAnsi="Verdana" w:cs="Verdana"/>
          <w:b/>
          <w:bCs/>
          <w:caps/>
          <w:snapToGrid w:val="0"/>
          <w:sz w:val="20"/>
          <w:szCs w:val="20"/>
          <w:lang w:eastAsia="es-ES"/>
        </w:rPr>
      </w:pPr>
      <w:r w:rsidRPr="007E2E11">
        <w:rPr>
          <w:rFonts w:ascii="Verdana" w:hAnsi="Verdana" w:cs="Verdana"/>
          <w:b/>
          <w:bCs/>
          <w:snapToGrid w:val="0"/>
          <w:sz w:val="20"/>
          <w:szCs w:val="20"/>
          <w:lang w:eastAsia="es-ES"/>
        </w:rPr>
        <w:t>RESUMEN OFICIAL EMITIDO POR LA CORTE INTERAMERICANA</w:t>
      </w:r>
    </w:p>
    <w:p w14:paraId="3028C10F" w14:textId="77777777" w:rsidR="0017396C" w:rsidRPr="007E2E11" w:rsidRDefault="0017396C" w:rsidP="0017396C">
      <w:pPr>
        <w:rPr>
          <w:rFonts w:ascii="Verdana" w:hAnsi="Verdana"/>
          <w:sz w:val="20"/>
          <w:szCs w:val="20"/>
        </w:rPr>
      </w:pPr>
    </w:p>
    <w:p w14:paraId="3028C110" w14:textId="7918FAF2" w:rsidR="00BA65E5" w:rsidRPr="007E2E11" w:rsidRDefault="0017396C" w:rsidP="007064D9">
      <w:pPr>
        <w:pStyle w:val="PrrafodeSentencia"/>
      </w:pPr>
      <w:r w:rsidRPr="007E2E11">
        <w:t xml:space="preserve">El 19 de noviembre de 2015 la Corte Interamericana de Derechos Humanos </w:t>
      </w:r>
      <w:r w:rsidR="00525C5A" w:rsidRPr="007E2E11">
        <w:t xml:space="preserve">(en adelante “la Corte Interamericana”, “la Corte” o “el Tribunal”) </w:t>
      </w:r>
      <w:r w:rsidRPr="007E2E11">
        <w:t xml:space="preserve">dictó </w:t>
      </w:r>
      <w:r w:rsidR="0039697A" w:rsidRPr="007E2E11">
        <w:t xml:space="preserve">una </w:t>
      </w:r>
      <w:r w:rsidRPr="007E2E11">
        <w:t xml:space="preserve">Sentencia, mediante la cual declaró </w:t>
      </w:r>
      <w:r w:rsidR="00525C5A" w:rsidRPr="007E2E11">
        <w:t xml:space="preserve">que </w:t>
      </w:r>
      <w:r w:rsidR="00477858" w:rsidRPr="007E2E11">
        <w:t>la República de</w:t>
      </w:r>
      <w:r w:rsidRPr="007E2E11">
        <w:t xml:space="preserve"> Guatemala </w:t>
      </w:r>
      <w:r w:rsidR="00525C5A" w:rsidRPr="007E2E11">
        <w:t xml:space="preserve">(en adelante “el Estado” o “Guatemala”) </w:t>
      </w:r>
      <w:r w:rsidR="00C57F51" w:rsidRPr="007E2E11">
        <w:t>era</w:t>
      </w:r>
      <w:r w:rsidR="00525C5A" w:rsidRPr="007E2E11">
        <w:t xml:space="preserve"> responsable internacionalmente</w:t>
      </w:r>
      <w:r w:rsidR="00525C5A" w:rsidRPr="007E2E11">
        <w:rPr>
          <w:rFonts w:eastAsiaTheme="minorHAnsi" w:cs="Verdana"/>
          <w:color w:val="000000"/>
          <w:lang w:val="es-EC" w:eastAsia="en-US"/>
        </w:rPr>
        <w:t xml:space="preserve"> </w:t>
      </w:r>
      <w:r w:rsidRPr="007E2E11">
        <w:rPr>
          <w:rFonts w:eastAsiaTheme="minorHAnsi" w:cs="Verdana"/>
          <w:color w:val="000000"/>
          <w:lang w:val="es-EC" w:eastAsia="en-US"/>
        </w:rPr>
        <w:t>por</w:t>
      </w:r>
      <w:r w:rsidRPr="007E2E11">
        <w:t xml:space="preserve"> la violación del deber de garantizar el libre y pleno ejercicio de los derechos a la vida e integridad personal, en perjuicio de Claudina </w:t>
      </w:r>
      <w:r w:rsidRPr="007E2E11">
        <w:rPr>
          <w:rFonts w:eastAsia="Calibri" w:cs="Arial"/>
        </w:rPr>
        <w:t xml:space="preserve">Isabel </w:t>
      </w:r>
      <w:r w:rsidRPr="007E2E11">
        <w:t>Velásquez Paiz</w:t>
      </w:r>
      <w:r w:rsidR="00C57F51" w:rsidRPr="007E2E11">
        <w:t xml:space="preserve">. De igual modo, </w:t>
      </w:r>
      <w:r w:rsidR="004A149E" w:rsidRPr="007E2E11">
        <w:t xml:space="preserve">la Corte </w:t>
      </w:r>
      <w:r w:rsidR="00AB3706" w:rsidRPr="007E2E11">
        <w:t xml:space="preserve">encontró que el Estado era responsable </w:t>
      </w:r>
      <w:r w:rsidR="004A149E" w:rsidRPr="007E2E11">
        <w:t>por la violación de los derechos</w:t>
      </w:r>
      <w:r w:rsidR="00790FC1" w:rsidRPr="007E2E11">
        <w:t xml:space="preserve"> a las garantías judiciales, a la protección judicial y a la igualdad ante la ley</w:t>
      </w:r>
      <w:r w:rsidR="00C57F51" w:rsidRPr="007E2E11">
        <w:t>,</w:t>
      </w:r>
      <w:r w:rsidR="00790FC1" w:rsidRPr="007E2E11">
        <w:t xml:space="preserve"> </w:t>
      </w:r>
      <w:r w:rsidR="00326A82" w:rsidRPr="007E2E11">
        <w:t xml:space="preserve">en perjuicio de </w:t>
      </w:r>
      <w:r w:rsidR="00AC764C" w:rsidRPr="007E2E11">
        <w:rPr>
          <w:lang w:val="es-ES_tradnl"/>
        </w:rPr>
        <w:t xml:space="preserve">Elsa Claudina Paiz Vidal, </w:t>
      </w:r>
      <w:r w:rsidR="00AC764C" w:rsidRPr="007E2E11">
        <w:rPr>
          <w:rFonts w:eastAsia="Verdana"/>
          <w:lang w:val="es-ES"/>
        </w:rPr>
        <w:t>Jorge</w:t>
      </w:r>
      <w:r w:rsidR="00AC764C" w:rsidRPr="007E2E11">
        <w:rPr>
          <w:lang w:val="es-ES_tradnl"/>
        </w:rPr>
        <w:t xml:space="preserve"> Rolando Velásquez Durán y Pablo Andrés Velásquez Paiz, madre, padre y hermano de Claudina Velásquez</w:t>
      </w:r>
      <w:r w:rsidR="00D95449" w:rsidRPr="007E2E11">
        <w:rPr>
          <w:lang w:val="es-ES_tradnl"/>
        </w:rPr>
        <w:t xml:space="preserve"> (en adelante “los familiares”)</w:t>
      </w:r>
      <w:r w:rsidR="00C57F51" w:rsidRPr="007E2E11">
        <w:t xml:space="preserve">. Todos los derechos </w:t>
      </w:r>
      <w:r w:rsidR="007A34F8" w:rsidRPr="007E2E11">
        <w:t xml:space="preserve">mencionados anteriormente </w:t>
      </w:r>
      <w:r w:rsidR="00C57F51" w:rsidRPr="007E2E11">
        <w:t xml:space="preserve">también fueron violados en relación con las obligaciones establecidas en el artículo 7 de la Convención </w:t>
      </w:r>
      <w:r w:rsidR="00C57F51" w:rsidRPr="007E2E11">
        <w:rPr>
          <w:rFonts w:cs="Times"/>
        </w:rPr>
        <w:t>Interamericana para Prevenir, Sancionar y Erradicar la Violencia contra la Mujer (</w:t>
      </w:r>
      <w:r w:rsidR="00C57F51" w:rsidRPr="007E2E11">
        <w:t>en adelante “</w:t>
      </w:r>
      <w:r w:rsidR="00C57F51" w:rsidRPr="007E2E11">
        <w:rPr>
          <w:rFonts w:cs="Times"/>
        </w:rPr>
        <w:t>Convención de Belém do Pará”)</w:t>
      </w:r>
      <w:r w:rsidR="007A34F8" w:rsidRPr="007E2E11">
        <w:rPr>
          <w:rFonts w:cs="Times"/>
        </w:rPr>
        <w:t>.</w:t>
      </w:r>
      <w:r w:rsidR="00D95449" w:rsidRPr="007E2E11">
        <w:t xml:space="preserve"> </w:t>
      </w:r>
      <w:r w:rsidR="00D95449" w:rsidRPr="007E2E11">
        <w:rPr>
          <w:caps/>
        </w:rPr>
        <w:t>A</w:t>
      </w:r>
      <w:r w:rsidR="001C6FCB" w:rsidRPr="007E2E11">
        <w:rPr>
          <w:rFonts w:cs="Times"/>
        </w:rPr>
        <w:t xml:space="preserve">simismo, </w:t>
      </w:r>
      <w:r w:rsidR="00D95449" w:rsidRPr="007E2E11">
        <w:rPr>
          <w:rFonts w:cs="Times"/>
        </w:rPr>
        <w:t xml:space="preserve">el Tribunal </w:t>
      </w:r>
      <w:r w:rsidR="001C6FCB" w:rsidRPr="007E2E11">
        <w:rPr>
          <w:rFonts w:cs="Times"/>
        </w:rPr>
        <w:t>declaró la violación de</w:t>
      </w:r>
      <w:r w:rsidR="001C6FCB" w:rsidRPr="007E2E11">
        <w:rPr>
          <w:rFonts w:cs="Arial"/>
        </w:rPr>
        <w:t xml:space="preserve"> los derechos a la integridad personal </w:t>
      </w:r>
      <w:r w:rsidR="001C6FCB" w:rsidRPr="007E2E11">
        <w:rPr>
          <w:lang w:val="es-EC"/>
        </w:rPr>
        <w:t xml:space="preserve">y </w:t>
      </w:r>
      <w:r w:rsidR="001C6FCB" w:rsidRPr="007E2E11">
        <w:t>al respeto de la honra y el reconocimiento de la dignidad</w:t>
      </w:r>
      <w:r w:rsidR="001C6FCB" w:rsidRPr="007E2E11">
        <w:rPr>
          <w:lang w:val="es-EC"/>
        </w:rPr>
        <w:t xml:space="preserve">, </w:t>
      </w:r>
      <w:r w:rsidR="00BA65E5" w:rsidRPr="007E2E11">
        <w:rPr>
          <w:rFonts w:cs="Times"/>
        </w:rPr>
        <w:t>en perjuicio de los familiares de Claudina Vel</w:t>
      </w:r>
      <w:r w:rsidR="007064D9" w:rsidRPr="007E2E11">
        <w:rPr>
          <w:rFonts w:cs="Times"/>
        </w:rPr>
        <w:t>á</w:t>
      </w:r>
      <w:r w:rsidR="00BA65E5" w:rsidRPr="007E2E11">
        <w:rPr>
          <w:rFonts w:cs="Times"/>
        </w:rPr>
        <w:t>squez</w:t>
      </w:r>
      <w:r w:rsidR="00D95449" w:rsidRPr="007E2E11">
        <w:rPr>
          <w:rFonts w:cs="Times"/>
        </w:rPr>
        <w:t xml:space="preserve">. </w:t>
      </w:r>
      <w:r w:rsidR="00BA65E5" w:rsidRPr="007E2E11">
        <w:rPr>
          <w:rFonts w:cs="Times"/>
          <w:lang w:val="es-PR"/>
        </w:rPr>
        <w:t>Finalmente, determinó que no era necesario emitir un pronunciamiento respecto de</w:t>
      </w:r>
      <w:r w:rsidR="00BA65E5" w:rsidRPr="007E2E11" w:rsidDel="00F0250D">
        <w:rPr>
          <w:lang w:val="es-PR"/>
        </w:rPr>
        <w:t xml:space="preserve"> </w:t>
      </w:r>
      <w:r w:rsidR="00BA65E5" w:rsidRPr="007E2E11">
        <w:rPr>
          <w:lang w:val="es-ES_tradnl"/>
        </w:rPr>
        <w:t xml:space="preserve">las alegadas violaciones </w:t>
      </w:r>
      <w:r w:rsidR="00212BC1" w:rsidRPr="007E2E11">
        <w:t>de</w:t>
      </w:r>
      <w:r w:rsidR="0056006D" w:rsidRPr="007E2E11">
        <w:t xml:space="preserve"> los derechos a </w:t>
      </w:r>
      <w:r w:rsidR="00E85F4E" w:rsidRPr="007E2E11">
        <w:t>la vida privada</w:t>
      </w:r>
      <w:r w:rsidR="00212BC1" w:rsidRPr="007E2E11">
        <w:t>,</w:t>
      </w:r>
      <w:r w:rsidR="00E85F4E" w:rsidRPr="007E2E11">
        <w:rPr>
          <w:rFonts w:cs="Times"/>
          <w:lang w:val="es-PR"/>
        </w:rPr>
        <w:t xml:space="preserve"> </w:t>
      </w:r>
      <w:r w:rsidR="00212BC1" w:rsidRPr="007E2E11">
        <w:t xml:space="preserve">libertad de expresión </w:t>
      </w:r>
      <w:r w:rsidR="00212BC1" w:rsidRPr="007E2E11">
        <w:rPr>
          <w:lang w:val="es-ES_tradnl"/>
        </w:rPr>
        <w:t>y derecho de circulación</w:t>
      </w:r>
      <w:r w:rsidR="00212BC1" w:rsidRPr="007E2E11">
        <w:t>,</w:t>
      </w:r>
      <w:r w:rsidR="00212BC1" w:rsidRPr="007E2E11">
        <w:rPr>
          <w:lang w:val="es-ES_tradnl"/>
        </w:rPr>
        <w:t xml:space="preserve"> </w:t>
      </w:r>
      <w:r w:rsidR="00E85F4E" w:rsidRPr="007E2E11">
        <w:rPr>
          <w:rFonts w:cs="Times"/>
          <w:lang w:val="es-PR"/>
        </w:rPr>
        <w:t>en perjuicio de Claudina Velásquez</w:t>
      </w:r>
      <w:r w:rsidR="004C197A" w:rsidRPr="007E2E11">
        <w:rPr>
          <w:rFonts w:cs="Times"/>
          <w:lang w:val="es-PR"/>
        </w:rPr>
        <w:t>.</w:t>
      </w:r>
    </w:p>
    <w:p w14:paraId="3028C111" w14:textId="77777777" w:rsidR="00BA65E5" w:rsidRPr="007E2E11" w:rsidRDefault="00BA65E5" w:rsidP="007064D9">
      <w:pPr>
        <w:pStyle w:val="PrrafodeSentencia"/>
        <w:rPr>
          <w:b/>
        </w:rPr>
      </w:pPr>
    </w:p>
    <w:p w14:paraId="3028C112" w14:textId="77777777" w:rsidR="006407C1" w:rsidRPr="007E2E11" w:rsidRDefault="00434F58" w:rsidP="007064D9">
      <w:pPr>
        <w:pStyle w:val="PrrafodeSentencia"/>
        <w:numPr>
          <w:ilvl w:val="0"/>
          <w:numId w:val="3"/>
        </w:numPr>
        <w:rPr>
          <w:b/>
        </w:rPr>
      </w:pPr>
      <w:r w:rsidRPr="007E2E11">
        <w:rPr>
          <w:b/>
        </w:rPr>
        <w:t>Excepciones Preliminares</w:t>
      </w:r>
    </w:p>
    <w:p w14:paraId="3028C113" w14:textId="77777777" w:rsidR="006407C1" w:rsidRPr="007E2E11" w:rsidRDefault="006407C1" w:rsidP="003D7583">
      <w:pPr>
        <w:pStyle w:val="PrrafodeSentencia"/>
        <w:rPr>
          <w:b/>
        </w:rPr>
      </w:pPr>
    </w:p>
    <w:p w14:paraId="3028C118" w14:textId="4099F510" w:rsidR="0004343C" w:rsidRPr="007E2E11" w:rsidRDefault="00D2066D" w:rsidP="00653482">
      <w:pPr>
        <w:pStyle w:val="PrrafodeSentencia"/>
      </w:pPr>
      <w:r w:rsidRPr="007E2E11">
        <w:t>La Corte resolvió dos excepciones preliminares interpuestas por el Estado. Primeramente, desestimó la excepción de</w:t>
      </w:r>
      <w:r w:rsidR="000F1FA1" w:rsidRPr="007E2E11">
        <w:t xml:space="preserve"> </w:t>
      </w:r>
      <w:r w:rsidR="001C6FCB" w:rsidRPr="007E2E11">
        <w:t>f</w:t>
      </w:r>
      <w:r w:rsidR="00380111" w:rsidRPr="007E2E11">
        <w:t>alta de competencia material sobre el artículo 7 de la Convención de Belém do Pará</w:t>
      </w:r>
      <w:r w:rsidR="000F1FA1" w:rsidRPr="007E2E11">
        <w:t xml:space="preserve">, pues </w:t>
      </w:r>
      <w:r w:rsidR="007064D9" w:rsidRPr="007E2E11">
        <w:t xml:space="preserve">constató </w:t>
      </w:r>
      <w:r w:rsidR="004C746B" w:rsidRPr="007E2E11">
        <w:t xml:space="preserve">que Guatemala ratificó </w:t>
      </w:r>
      <w:r w:rsidR="006C37F5" w:rsidRPr="007E2E11">
        <w:t xml:space="preserve">dicha </w:t>
      </w:r>
      <w:r w:rsidR="000001AD" w:rsidRPr="007E2E11">
        <w:t>C</w:t>
      </w:r>
      <w:r w:rsidR="004C746B" w:rsidRPr="007E2E11">
        <w:t>onvención</w:t>
      </w:r>
      <w:r w:rsidR="004C746B" w:rsidRPr="007E2E11">
        <w:rPr>
          <w:rFonts w:cs="Arial"/>
        </w:rPr>
        <w:t xml:space="preserve"> el 4 de enero de 1995 sin reservas o limitaciones</w:t>
      </w:r>
      <w:r w:rsidR="00824F57" w:rsidRPr="007E2E11">
        <w:rPr>
          <w:rFonts w:cs="Arial"/>
        </w:rPr>
        <w:t xml:space="preserve">, y </w:t>
      </w:r>
      <w:r w:rsidR="004C746B" w:rsidRPr="007E2E11">
        <w:t>reiteró su jurispruden</w:t>
      </w:r>
      <w:r w:rsidR="0004343C" w:rsidRPr="007E2E11">
        <w:t xml:space="preserve">cia constante en cuanto a </w:t>
      </w:r>
      <w:r w:rsidR="000001AD" w:rsidRPr="007E2E11">
        <w:t xml:space="preserve">la competencia que el </w:t>
      </w:r>
      <w:r w:rsidR="004C746B" w:rsidRPr="007E2E11">
        <w:t xml:space="preserve">artículo 12 </w:t>
      </w:r>
      <w:r w:rsidR="0004343C" w:rsidRPr="007E2E11">
        <w:rPr>
          <w:rFonts w:cs="Arial"/>
        </w:rPr>
        <w:t>de la Convención de Belém do Pará</w:t>
      </w:r>
      <w:r w:rsidR="000001AD" w:rsidRPr="007E2E11">
        <w:t xml:space="preserve"> </w:t>
      </w:r>
      <w:r w:rsidR="004C746B" w:rsidRPr="007E2E11">
        <w:rPr>
          <w:rFonts w:cs="Arial"/>
        </w:rPr>
        <w:t>concede a la Corte</w:t>
      </w:r>
      <w:r w:rsidR="00824F57" w:rsidRPr="007E2E11">
        <w:rPr>
          <w:rFonts w:cs="Arial"/>
        </w:rPr>
        <w:t>.</w:t>
      </w:r>
      <w:r w:rsidR="00653482" w:rsidRPr="007E2E11">
        <w:rPr>
          <w:rFonts w:cs="Arial"/>
        </w:rPr>
        <w:t xml:space="preserve"> </w:t>
      </w:r>
      <w:r w:rsidR="00653482" w:rsidRPr="007E2E11">
        <w:t xml:space="preserve">En segundo lugar, la Corte desestimó la excepción de </w:t>
      </w:r>
      <w:r w:rsidR="000F1FA1" w:rsidRPr="007E2E11">
        <w:t>falta de agotamiento de los recursos internos</w:t>
      </w:r>
      <w:r w:rsidR="00653482" w:rsidRPr="007E2E11">
        <w:t xml:space="preserve">, pues </w:t>
      </w:r>
      <w:r w:rsidR="0004343C" w:rsidRPr="007E2E11">
        <w:t>consideró que</w:t>
      </w:r>
      <w:r w:rsidR="00A33B87" w:rsidRPr="007E2E11">
        <w:t>,</w:t>
      </w:r>
      <w:r w:rsidR="00EC2A80" w:rsidRPr="007E2E11">
        <w:t xml:space="preserve"> si bien</w:t>
      </w:r>
      <w:r w:rsidR="00A33B87" w:rsidRPr="007E2E11">
        <w:t xml:space="preserve"> el Estado plan</w:t>
      </w:r>
      <w:r w:rsidR="00D620D3">
        <w:t>t</w:t>
      </w:r>
      <w:r w:rsidR="00A33B87" w:rsidRPr="007E2E11">
        <w:t>eó la</w:t>
      </w:r>
      <w:r w:rsidR="00EC2A80" w:rsidRPr="007E2E11">
        <w:t xml:space="preserve"> excepción preliminar en el momento procesal oportuno,</w:t>
      </w:r>
      <w:r w:rsidR="0004343C" w:rsidRPr="007E2E11">
        <w:t xml:space="preserve"> </w:t>
      </w:r>
      <w:r w:rsidR="00A33B87" w:rsidRPr="007E2E11">
        <w:t xml:space="preserve">lo cierto es que en la petición inicial del caso ante la Comisión se invocó el artículo 46.2 de la Convención Americana para señalar que no procedía agotar previamente los recursos internos y se presentaron los argumentos </w:t>
      </w:r>
      <w:r w:rsidR="007C5B10" w:rsidRPr="007E2E11">
        <w:t>correspondientes</w:t>
      </w:r>
      <w:r w:rsidR="00A33B87" w:rsidRPr="007E2E11">
        <w:t xml:space="preserve">. Por su parte, dentro </w:t>
      </w:r>
      <w:r w:rsidR="00A33B87" w:rsidRPr="007E2E11">
        <w:lastRenderedPageBreak/>
        <w:t xml:space="preserve">del procedimiento de admisibilidad ante la Comisión, el Estado </w:t>
      </w:r>
      <w:r w:rsidR="0004343C" w:rsidRPr="007E2E11">
        <w:t xml:space="preserve">aceptó que hubo acciones por parte de “los auxiliares de justicia” que merecieron ser sancionadas, admitiendo implícitamente la posibilidad de que, al momento en que fue interpuesta la petición, los recursos de la jurisdicción interna sufrían de retardos injustificados o falta de efectividad. </w:t>
      </w:r>
      <w:r w:rsidR="007C5B10" w:rsidRPr="007E2E11">
        <w:t>Además</w:t>
      </w:r>
      <w:r w:rsidR="0004343C" w:rsidRPr="007E2E11">
        <w:rPr>
          <w:lang w:val="es-ES"/>
        </w:rPr>
        <w:t>, el Estado no hizo mención alguna sobre</w:t>
      </w:r>
      <w:r w:rsidR="0004343C" w:rsidRPr="007E2E11">
        <w:t xml:space="preserve"> cuáles eran los recursos internos que aún no se habían agotado ni demostró que los que se encontraban disponibles eran adecuados, idóneos y efectivos.</w:t>
      </w:r>
    </w:p>
    <w:p w14:paraId="3028C11A" w14:textId="77777777" w:rsidR="0004343C" w:rsidRPr="007E2E11" w:rsidRDefault="0004343C">
      <w:pPr>
        <w:pStyle w:val="PrrafodeSentencia"/>
        <w:rPr>
          <w:b/>
        </w:rPr>
      </w:pPr>
    </w:p>
    <w:p w14:paraId="3028C11B" w14:textId="0B3D1F50" w:rsidR="006407C1" w:rsidRPr="007E2E11" w:rsidRDefault="00A6084B">
      <w:pPr>
        <w:pStyle w:val="PrrafodeSentencia"/>
        <w:numPr>
          <w:ilvl w:val="0"/>
          <w:numId w:val="3"/>
        </w:numPr>
        <w:rPr>
          <w:b/>
        </w:rPr>
      </w:pPr>
      <w:r w:rsidRPr="007E2E11">
        <w:rPr>
          <w:b/>
        </w:rPr>
        <w:t>H</w:t>
      </w:r>
      <w:r w:rsidR="003D7583" w:rsidRPr="007E2E11">
        <w:rPr>
          <w:b/>
        </w:rPr>
        <w:t xml:space="preserve">echos </w:t>
      </w:r>
    </w:p>
    <w:p w14:paraId="3028C11C" w14:textId="77777777" w:rsidR="006407C1" w:rsidRPr="007E2E11" w:rsidRDefault="006407C1">
      <w:pPr>
        <w:pStyle w:val="PrrafodeSentencia"/>
        <w:rPr>
          <w:b/>
        </w:rPr>
      </w:pPr>
    </w:p>
    <w:p w14:paraId="68A3359F" w14:textId="58E8A5D8" w:rsidR="008A5F6C" w:rsidRPr="007E2E11" w:rsidRDefault="00A6084B" w:rsidP="008A5F6C">
      <w:pPr>
        <w:jc w:val="both"/>
        <w:rPr>
          <w:rFonts w:ascii="Verdana" w:eastAsia="Batang" w:hAnsi="Verdana"/>
          <w:sz w:val="20"/>
          <w:szCs w:val="20"/>
          <w:lang w:val="es-ES_tradnl" w:eastAsia="es-MX"/>
        </w:rPr>
      </w:pPr>
      <w:r w:rsidRPr="007E2E11">
        <w:rPr>
          <w:rFonts w:ascii="Verdana" w:eastAsia="Batang" w:hAnsi="Verdana"/>
          <w:sz w:val="20"/>
          <w:szCs w:val="20"/>
          <w:lang w:eastAsia="es-MX"/>
        </w:rPr>
        <w:t xml:space="preserve">Los hechos del </w:t>
      </w:r>
      <w:r w:rsidR="00D620D3">
        <w:rPr>
          <w:rFonts w:ascii="Verdana" w:eastAsia="Batang" w:hAnsi="Verdana"/>
          <w:sz w:val="20"/>
          <w:szCs w:val="20"/>
          <w:lang w:eastAsia="es-MX"/>
        </w:rPr>
        <w:t xml:space="preserve">presente </w:t>
      </w:r>
      <w:r w:rsidRPr="007E2E11">
        <w:rPr>
          <w:rFonts w:ascii="Verdana" w:eastAsia="Batang" w:hAnsi="Verdana"/>
          <w:sz w:val="20"/>
          <w:szCs w:val="20"/>
          <w:lang w:eastAsia="es-MX"/>
        </w:rPr>
        <w:t>caso se enmarcan dentro de un contexto</w:t>
      </w:r>
      <w:r w:rsidR="000D3F32" w:rsidRPr="007E2E11">
        <w:rPr>
          <w:rFonts w:ascii="Verdana" w:eastAsia="Batang" w:hAnsi="Verdana"/>
          <w:sz w:val="20"/>
          <w:szCs w:val="20"/>
          <w:lang w:eastAsia="es-MX"/>
        </w:rPr>
        <w:t xml:space="preserve"> </w:t>
      </w:r>
      <w:r w:rsidR="00217840" w:rsidRPr="007E2E11">
        <w:rPr>
          <w:rFonts w:ascii="Verdana" w:eastAsia="Batang" w:hAnsi="Verdana"/>
          <w:sz w:val="20"/>
          <w:szCs w:val="20"/>
          <w:lang w:eastAsia="es-MX"/>
        </w:rPr>
        <w:t>de</w:t>
      </w:r>
      <w:r w:rsidR="002C132D" w:rsidRPr="007E2E11">
        <w:rPr>
          <w:rFonts w:ascii="Verdana" w:eastAsia="Batang" w:hAnsi="Verdana"/>
          <w:sz w:val="20"/>
          <w:szCs w:val="20"/>
          <w:lang w:eastAsia="es-MX"/>
        </w:rPr>
        <w:t xml:space="preserve"> </w:t>
      </w:r>
      <w:r w:rsidRPr="007E2E11">
        <w:rPr>
          <w:rFonts w:ascii="Verdana" w:eastAsia="Batang" w:hAnsi="Verdana"/>
          <w:sz w:val="20"/>
          <w:szCs w:val="20"/>
          <w:lang w:eastAsia="es-MX"/>
        </w:rPr>
        <w:t xml:space="preserve">aumento de la </w:t>
      </w:r>
      <w:r w:rsidR="00300EDB" w:rsidRPr="007E2E11">
        <w:rPr>
          <w:rFonts w:ascii="Verdana" w:eastAsia="Batang" w:hAnsi="Verdana"/>
          <w:sz w:val="20"/>
          <w:szCs w:val="20"/>
          <w:lang w:eastAsia="es-MX"/>
        </w:rPr>
        <w:t xml:space="preserve">violencia </w:t>
      </w:r>
      <w:r w:rsidR="00A62CF6" w:rsidRPr="007E2E11">
        <w:rPr>
          <w:rFonts w:ascii="Verdana" w:eastAsia="Batang" w:hAnsi="Verdana"/>
          <w:sz w:val="20"/>
          <w:szCs w:val="20"/>
          <w:lang w:eastAsia="es-MX"/>
        </w:rPr>
        <w:t xml:space="preserve">homicida </w:t>
      </w:r>
      <w:r w:rsidR="00300EDB" w:rsidRPr="007E2E11">
        <w:rPr>
          <w:rFonts w:ascii="Verdana" w:eastAsia="Batang" w:hAnsi="Verdana"/>
          <w:sz w:val="20"/>
          <w:szCs w:val="20"/>
          <w:lang w:eastAsia="es-MX"/>
        </w:rPr>
        <w:t xml:space="preserve">contra las mujeres en Guatemala </w:t>
      </w:r>
      <w:r w:rsidRPr="007E2E11">
        <w:rPr>
          <w:rFonts w:ascii="Verdana" w:eastAsia="Batang" w:hAnsi="Verdana"/>
          <w:sz w:val="20"/>
          <w:szCs w:val="20"/>
          <w:lang w:val="es-ES_tradnl" w:eastAsia="es-MX"/>
        </w:rPr>
        <w:t xml:space="preserve">e indicaciones de que el mismo era conocido por el Estado. </w:t>
      </w:r>
      <w:r w:rsidRPr="007E2E11">
        <w:rPr>
          <w:rFonts w:ascii="Verdana" w:eastAsia="Calibri" w:hAnsi="Verdana"/>
          <w:sz w:val="20"/>
          <w:szCs w:val="20"/>
          <w:lang w:val="es-ES_tradnl" w:eastAsia="es-MX"/>
        </w:rPr>
        <w:t>Dicho incremento</w:t>
      </w:r>
      <w:r w:rsidRPr="007E2E11" w:rsidDel="00040B11">
        <w:rPr>
          <w:rFonts w:ascii="Verdana" w:eastAsia="Calibri" w:hAnsi="Verdana"/>
          <w:sz w:val="20"/>
          <w:szCs w:val="20"/>
          <w:lang w:val="es-ES_tradnl" w:eastAsia="es-MX"/>
        </w:rPr>
        <w:t xml:space="preserve"> </w:t>
      </w:r>
      <w:r w:rsidRPr="007E2E11">
        <w:rPr>
          <w:rFonts w:ascii="Verdana" w:eastAsia="Calibri" w:hAnsi="Verdana"/>
          <w:sz w:val="20"/>
          <w:szCs w:val="20"/>
          <w:lang w:val="es-ES_tradnl" w:eastAsia="es-MX"/>
        </w:rPr>
        <w:t xml:space="preserve">de violencia homicida contra las mujeres presentó un aumento sostenible a nivel nacional en los años 2004 y 2005, </w:t>
      </w:r>
      <w:r w:rsidR="00217840" w:rsidRPr="007E2E11">
        <w:rPr>
          <w:rFonts w:ascii="Verdana" w:eastAsia="Calibri" w:hAnsi="Verdana"/>
          <w:sz w:val="20"/>
          <w:szCs w:val="20"/>
          <w:lang w:val="es-ES_tradnl" w:eastAsia="es-MX"/>
        </w:rPr>
        <w:t xml:space="preserve">y </w:t>
      </w:r>
      <w:r w:rsidRPr="007E2E11">
        <w:rPr>
          <w:rFonts w:ascii="Verdana" w:eastAsia="Calibri" w:hAnsi="Verdana"/>
          <w:sz w:val="20"/>
          <w:szCs w:val="20"/>
          <w:lang w:val="es-ES_tradnl" w:eastAsia="es-MX"/>
        </w:rPr>
        <w:t>los niveles de dicha violencia continúan siendo elevados.</w:t>
      </w:r>
      <w:r w:rsidRPr="007E2E11">
        <w:rPr>
          <w:rFonts w:ascii="Verdana" w:eastAsia="Batang" w:hAnsi="Verdana"/>
          <w:sz w:val="20"/>
          <w:szCs w:val="20"/>
          <w:lang w:val="es-ES_tradnl" w:eastAsia="es-MX"/>
        </w:rPr>
        <w:t xml:space="preserve"> </w:t>
      </w:r>
      <w:r w:rsidR="00444CE3">
        <w:rPr>
          <w:rFonts w:ascii="Verdana" w:eastAsia="Batang" w:hAnsi="Verdana"/>
          <w:sz w:val="20"/>
          <w:szCs w:val="20"/>
          <w:lang w:val="es-ES_tradnl" w:eastAsia="es-MX"/>
        </w:rPr>
        <w:t>Por otra</w:t>
      </w:r>
      <w:r w:rsidR="008A5F6C" w:rsidRPr="007E2E11">
        <w:rPr>
          <w:rFonts w:ascii="Verdana" w:eastAsia="Batang" w:hAnsi="Verdana"/>
          <w:sz w:val="20"/>
          <w:szCs w:val="20"/>
          <w:lang w:val="es-ES_tradnl" w:eastAsia="es-MX"/>
        </w:rPr>
        <w:t xml:space="preserve"> parte</w:t>
      </w:r>
      <w:r w:rsidR="00215526" w:rsidRPr="007E2E11">
        <w:rPr>
          <w:rFonts w:ascii="Verdana" w:hAnsi="Verdana" w:cs="Verdana"/>
          <w:sz w:val="20"/>
          <w:szCs w:val="20"/>
          <w:lang w:val="es-EC"/>
        </w:rPr>
        <w:t xml:space="preserve">, </w:t>
      </w:r>
      <w:r w:rsidR="000D3F32" w:rsidRPr="007E2E11">
        <w:rPr>
          <w:rFonts w:ascii="Verdana" w:hAnsi="Verdana" w:cs="Verdana"/>
          <w:sz w:val="20"/>
          <w:szCs w:val="20"/>
          <w:lang w:val="es-EC"/>
        </w:rPr>
        <w:t xml:space="preserve">se presenta </w:t>
      </w:r>
      <w:r w:rsidR="00215526" w:rsidRPr="007E2E11">
        <w:rPr>
          <w:rFonts w:ascii="Verdana" w:eastAsia="Batang" w:hAnsi="Verdana"/>
          <w:sz w:val="20"/>
          <w:szCs w:val="20"/>
          <w:lang w:eastAsia="es-MX"/>
        </w:rPr>
        <w:t>un a</w:t>
      </w:r>
      <w:r w:rsidR="004E0432" w:rsidRPr="007E2E11">
        <w:rPr>
          <w:rFonts w:ascii="Verdana" w:eastAsia="Batang" w:hAnsi="Verdana"/>
          <w:sz w:val="20"/>
          <w:szCs w:val="20"/>
          <w:lang w:eastAsia="es-MX"/>
        </w:rPr>
        <w:t>lto índice de impunidad general</w:t>
      </w:r>
      <w:r w:rsidR="00444CE3">
        <w:rPr>
          <w:rFonts w:ascii="Verdana" w:eastAsia="Batang" w:hAnsi="Verdana"/>
          <w:sz w:val="20"/>
          <w:szCs w:val="20"/>
          <w:lang w:eastAsia="es-MX"/>
        </w:rPr>
        <w:t xml:space="preserve"> en Guatemala</w:t>
      </w:r>
      <w:r w:rsidR="00215526" w:rsidRPr="007E2E11">
        <w:rPr>
          <w:rFonts w:ascii="Verdana" w:eastAsia="Batang" w:hAnsi="Verdana"/>
          <w:sz w:val="20"/>
          <w:szCs w:val="20"/>
          <w:lang w:eastAsia="es-MX"/>
        </w:rPr>
        <w:t>, p</w:t>
      </w:r>
      <w:r w:rsidR="004E0432" w:rsidRPr="007E2E11">
        <w:rPr>
          <w:rFonts w:ascii="Verdana" w:eastAsia="Batang" w:hAnsi="Verdana"/>
          <w:sz w:val="20"/>
          <w:szCs w:val="20"/>
          <w:lang w:eastAsia="es-MX"/>
        </w:rPr>
        <w:t>rovocando que</w:t>
      </w:r>
      <w:r w:rsidR="000D3F32" w:rsidRPr="007E2E11">
        <w:rPr>
          <w:rFonts w:ascii="Verdana" w:eastAsia="Batang" w:hAnsi="Verdana"/>
          <w:sz w:val="20"/>
          <w:szCs w:val="20"/>
          <w:lang w:eastAsia="es-MX"/>
        </w:rPr>
        <w:t xml:space="preserve"> la mayoría de</w:t>
      </w:r>
      <w:r w:rsidR="00215526" w:rsidRPr="007E2E11">
        <w:rPr>
          <w:rFonts w:ascii="Verdana" w:eastAsia="Batang" w:hAnsi="Verdana"/>
          <w:sz w:val="20"/>
          <w:szCs w:val="20"/>
          <w:lang w:eastAsia="es-MX"/>
        </w:rPr>
        <w:t xml:space="preserve"> los actos violentos que conllevan la muerte de mujeres qued</w:t>
      </w:r>
      <w:r w:rsidR="004E0432" w:rsidRPr="007E2E11">
        <w:rPr>
          <w:rFonts w:ascii="Verdana" w:eastAsia="Batang" w:hAnsi="Verdana"/>
          <w:sz w:val="20"/>
          <w:szCs w:val="20"/>
          <w:lang w:eastAsia="es-MX"/>
        </w:rPr>
        <w:t xml:space="preserve">en </w:t>
      </w:r>
      <w:r w:rsidR="00215526" w:rsidRPr="007E2E11">
        <w:rPr>
          <w:rFonts w:ascii="Verdana" w:eastAsia="Batang" w:hAnsi="Verdana"/>
          <w:sz w:val="20"/>
          <w:szCs w:val="20"/>
          <w:lang w:eastAsia="es-MX"/>
        </w:rPr>
        <w:t>impunes</w:t>
      </w:r>
      <w:r w:rsidR="008A5F6C" w:rsidRPr="007E2E11">
        <w:rPr>
          <w:rFonts w:ascii="Verdana" w:eastAsia="Batang" w:hAnsi="Verdana"/>
          <w:sz w:val="20"/>
          <w:szCs w:val="20"/>
          <w:lang w:eastAsia="es-MX"/>
        </w:rPr>
        <w:t xml:space="preserve">. </w:t>
      </w:r>
      <w:r w:rsidR="008A5F6C" w:rsidRPr="007E2E11">
        <w:rPr>
          <w:rFonts w:ascii="Verdana" w:eastAsia="Batang" w:hAnsi="Verdana"/>
          <w:sz w:val="20"/>
          <w:szCs w:val="20"/>
          <w:lang w:val="es-ES_tradnl" w:eastAsia="es-MX"/>
        </w:rPr>
        <w:t xml:space="preserve">A su vez, se ha documentado la “tendencia de los investigadores a desacreditar a las víctimas y culpabilizarlas por su estilo de vida, o ropa” y la indagación de aspectos relativos a las relaciones personales y sexualidad de las víctimas. </w:t>
      </w:r>
    </w:p>
    <w:p w14:paraId="2413E302" w14:textId="77777777" w:rsidR="00AF355B" w:rsidRPr="007E2E11" w:rsidRDefault="00AF355B" w:rsidP="008A5F6C">
      <w:pPr>
        <w:jc w:val="both"/>
        <w:rPr>
          <w:rFonts w:ascii="Verdana" w:eastAsia="Batang" w:hAnsi="Verdana"/>
          <w:sz w:val="20"/>
          <w:szCs w:val="20"/>
          <w:lang w:val="es-ES_tradnl" w:eastAsia="es-MX"/>
        </w:rPr>
      </w:pPr>
    </w:p>
    <w:p w14:paraId="3028C123" w14:textId="07AED373" w:rsidR="0000703B" w:rsidRPr="007E2E11" w:rsidRDefault="0000703B" w:rsidP="0000703B">
      <w:pPr>
        <w:jc w:val="both"/>
        <w:rPr>
          <w:rFonts w:ascii="Verdana" w:hAnsi="Verdana"/>
          <w:sz w:val="20"/>
          <w:szCs w:val="20"/>
        </w:rPr>
      </w:pPr>
      <w:r w:rsidRPr="007E2E11">
        <w:rPr>
          <w:rFonts w:ascii="Verdana" w:hAnsi="Verdana"/>
          <w:sz w:val="20"/>
          <w:szCs w:val="20"/>
        </w:rPr>
        <w:t xml:space="preserve">Claudina </w:t>
      </w:r>
      <w:r w:rsidR="0095108C" w:rsidRPr="007E2E11">
        <w:rPr>
          <w:rFonts w:ascii="Verdana" w:hAnsi="Verdana"/>
          <w:sz w:val="20"/>
          <w:szCs w:val="20"/>
        </w:rPr>
        <w:t xml:space="preserve">Isabel </w:t>
      </w:r>
      <w:r w:rsidRPr="007E2E11">
        <w:rPr>
          <w:rFonts w:ascii="Verdana" w:hAnsi="Verdana"/>
          <w:sz w:val="20"/>
          <w:szCs w:val="20"/>
        </w:rPr>
        <w:t>Velásquez</w:t>
      </w:r>
      <w:r w:rsidR="00320E9F" w:rsidRPr="007E2E11">
        <w:rPr>
          <w:rFonts w:ascii="Verdana" w:hAnsi="Verdana"/>
          <w:sz w:val="20"/>
          <w:szCs w:val="20"/>
        </w:rPr>
        <w:t xml:space="preserve"> Paiz, de </w:t>
      </w:r>
      <w:r w:rsidR="00320E9F" w:rsidRPr="007E2E11">
        <w:rPr>
          <w:rFonts w:ascii="Verdana" w:eastAsia="Batang" w:hAnsi="Verdana"/>
          <w:sz w:val="20"/>
          <w:szCs w:val="20"/>
          <w:lang w:eastAsia="es-MX"/>
        </w:rPr>
        <w:t>19 años de edad y estudiante de la Licenciatura en Ciencias Jurídicas y Sociales en la Universidad de San Carlos de Guatemala,</w:t>
      </w:r>
      <w:r w:rsidR="00320E9F" w:rsidRPr="007E2E11">
        <w:rPr>
          <w:rFonts w:ascii="Verdana" w:hAnsi="Verdana"/>
          <w:sz w:val="20"/>
          <w:szCs w:val="20"/>
        </w:rPr>
        <w:t xml:space="preserve"> </w:t>
      </w:r>
      <w:r w:rsidRPr="007E2E11">
        <w:rPr>
          <w:rFonts w:ascii="Verdana" w:hAnsi="Verdana"/>
          <w:sz w:val="20"/>
          <w:szCs w:val="20"/>
        </w:rPr>
        <w:t>salió acompañada de su hermano</w:t>
      </w:r>
      <w:r w:rsidR="00AF355B" w:rsidRPr="007E2E11">
        <w:rPr>
          <w:rFonts w:ascii="Verdana" w:hAnsi="Verdana"/>
          <w:sz w:val="20"/>
          <w:szCs w:val="20"/>
        </w:rPr>
        <w:t xml:space="preserve"> rumbo a la Universidad</w:t>
      </w:r>
      <w:r w:rsidR="00DC5B8C">
        <w:rPr>
          <w:rFonts w:ascii="Verdana" w:hAnsi="Verdana"/>
          <w:sz w:val="20"/>
          <w:szCs w:val="20"/>
        </w:rPr>
        <w:t>,</w:t>
      </w:r>
      <w:r w:rsidR="004017CE" w:rsidRPr="007E2E11">
        <w:rPr>
          <w:rFonts w:ascii="Verdana" w:hAnsi="Verdana"/>
          <w:sz w:val="20"/>
          <w:szCs w:val="20"/>
        </w:rPr>
        <w:t xml:space="preserve"> a</w:t>
      </w:r>
      <w:r w:rsidR="004017CE" w:rsidRPr="007E2E11">
        <w:rPr>
          <w:rFonts w:ascii="Verdana" w:eastAsia="Batang" w:hAnsi="Verdana"/>
          <w:bCs/>
          <w:sz w:val="20"/>
          <w:szCs w:val="20"/>
          <w:lang w:eastAsia="es-MX"/>
        </w:rPr>
        <w:t>proximadamente</w:t>
      </w:r>
      <w:r w:rsidR="004017CE" w:rsidRPr="007E2E11">
        <w:rPr>
          <w:rFonts w:ascii="Verdana" w:hAnsi="Verdana"/>
          <w:sz w:val="20"/>
          <w:szCs w:val="20"/>
        </w:rPr>
        <w:t xml:space="preserve"> a las 8:30 a.m. del día 12 de agosto de 2005</w:t>
      </w:r>
      <w:r w:rsidRPr="007E2E11">
        <w:rPr>
          <w:rFonts w:ascii="Verdana" w:hAnsi="Verdana"/>
          <w:sz w:val="20"/>
          <w:szCs w:val="20"/>
        </w:rPr>
        <w:t>. Por la noche</w:t>
      </w:r>
      <w:r w:rsidRPr="007E2E11">
        <w:rPr>
          <w:rFonts w:ascii="Verdana" w:hAnsi="Verdana"/>
          <w:sz w:val="20"/>
          <w:szCs w:val="20"/>
          <w:lang w:val="es-ES"/>
        </w:rPr>
        <w:t xml:space="preserve">, </w:t>
      </w:r>
      <w:r w:rsidR="00E97983" w:rsidRPr="007E2E11">
        <w:rPr>
          <w:rFonts w:ascii="Verdana" w:hAnsi="Verdana"/>
          <w:sz w:val="20"/>
          <w:szCs w:val="20"/>
          <w:lang w:val="es-ES"/>
        </w:rPr>
        <w:t>Claudina Velásquez informó a su</w:t>
      </w:r>
      <w:r w:rsidR="0095108C" w:rsidRPr="007E2E11">
        <w:rPr>
          <w:rFonts w:ascii="Verdana" w:hAnsi="Verdana"/>
          <w:sz w:val="20"/>
          <w:szCs w:val="20"/>
          <w:lang w:val="es-ES"/>
        </w:rPr>
        <w:t>s</w:t>
      </w:r>
      <w:r w:rsidR="00E97983" w:rsidRPr="007E2E11">
        <w:rPr>
          <w:rFonts w:ascii="Verdana" w:hAnsi="Verdana"/>
          <w:sz w:val="20"/>
          <w:szCs w:val="20"/>
          <w:lang w:val="es-ES"/>
        </w:rPr>
        <w:t xml:space="preserve"> familia</w:t>
      </w:r>
      <w:r w:rsidR="0095108C" w:rsidRPr="007E2E11">
        <w:rPr>
          <w:rFonts w:ascii="Verdana" w:hAnsi="Verdana"/>
          <w:sz w:val="20"/>
          <w:szCs w:val="20"/>
          <w:lang w:val="es-ES"/>
        </w:rPr>
        <w:t>res</w:t>
      </w:r>
      <w:r w:rsidRPr="007E2E11">
        <w:rPr>
          <w:rFonts w:ascii="Verdana" w:hAnsi="Verdana"/>
          <w:sz w:val="20"/>
          <w:szCs w:val="20"/>
          <w:lang w:val="es-ES"/>
        </w:rPr>
        <w:t xml:space="preserve"> que se encontraba en una fiesta</w:t>
      </w:r>
      <w:r w:rsidR="00217840" w:rsidRPr="007E2E11">
        <w:rPr>
          <w:rFonts w:ascii="Verdana" w:hAnsi="Verdana"/>
          <w:sz w:val="20"/>
          <w:szCs w:val="20"/>
          <w:lang w:val="es-ES"/>
        </w:rPr>
        <w:t xml:space="preserve"> y</w:t>
      </w:r>
      <w:r w:rsidR="004017CE" w:rsidRPr="007E2E11">
        <w:rPr>
          <w:rFonts w:ascii="Verdana" w:hAnsi="Verdana"/>
          <w:sz w:val="20"/>
          <w:szCs w:val="20"/>
          <w:lang w:val="es-ES"/>
        </w:rPr>
        <w:t>,</w:t>
      </w:r>
      <w:r w:rsidR="0095108C" w:rsidRPr="007E2E11">
        <w:rPr>
          <w:rFonts w:ascii="Verdana" w:hAnsi="Verdana"/>
          <w:sz w:val="20"/>
          <w:szCs w:val="20"/>
          <w:lang w:val="es-ES"/>
        </w:rPr>
        <w:t xml:space="preserve"> tras </w:t>
      </w:r>
      <w:r w:rsidR="0095108C" w:rsidRPr="007E2E11">
        <w:rPr>
          <w:rFonts w:ascii="Verdana" w:eastAsia="Batang" w:hAnsi="Verdana"/>
          <w:sz w:val="20"/>
          <w:szCs w:val="20"/>
          <w:lang w:val="es-ES" w:eastAsia="es-MX"/>
        </w:rPr>
        <w:t>realizar y recibir diversas llamadas por teléfono celular</w:t>
      </w:r>
      <w:r w:rsidR="00E97983" w:rsidRPr="007E2E11">
        <w:rPr>
          <w:rFonts w:ascii="Verdana" w:hAnsi="Verdana"/>
          <w:sz w:val="20"/>
          <w:szCs w:val="20"/>
          <w:lang w:val="es-ES"/>
        </w:rPr>
        <w:t xml:space="preserve">, </w:t>
      </w:r>
      <w:r w:rsidRPr="007E2E11">
        <w:rPr>
          <w:rFonts w:ascii="Verdana" w:hAnsi="Verdana"/>
          <w:sz w:val="20"/>
          <w:szCs w:val="20"/>
          <w:lang w:val="es-ES"/>
        </w:rPr>
        <w:t>alrededor de las 11:45 p.m</w:t>
      </w:r>
      <w:r w:rsidR="0095108C" w:rsidRPr="007E2E11">
        <w:rPr>
          <w:rFonts w:ascii="Verdana" w:hAnsi="Verdana"/>
          <w:sz w:val="20"/>
          <w:szCs w:val="20"/>
          <w:lang w:val="es-ES"/>
        </w:rPr>
        <w:t>. sus familiares sostuvieron una última llamada telefónica con ella y, con posterioridad</w:t>
      </w:r>
      <w:r w:rsidRPr="007E2E11">
        <w:rPr>
          <w:rFonts w:ascii="Verdana" w:hAnsi="Verdana"/>
          <w:sz w:val="20"/>
          <w:szCs w:val="20"/>
          <w:lang w:val="es-ES"/>
        </w:rPr>
        <w:t xml:space="preserve">, </w:t>
      </w:r>
      <w:r w:rsidR="00E97983" w:rsidRPr="007E2E11">
        <w:rPr>
          <w:rFonts w:ascii="Verdana" w:hAnsi="Verdana"/>
          <w:sz w:val="20"/>
          <w:szCs w:val="20"/>
          <w:lang w:val="es-ES"/>
        </w:rPr>
        <w:t>perdieron</w:t>
      </w:r>
      <w:r w:rsidRPr="007E2E11">
        <w:rPr>
          <w:rFonts w:ascii="Verdana" w:hAnsi="Verdana"/>
          <w:sz w:val="20"/>
          <w:szCs w:val="20"/>
          <w:lang w:val="es-ES"/>
        </w:rPr>
        <w:t xml:space="preserve"> contacto. </w:t>
      </w:r>
      <w:r w:rsidR="0095108C" w:rsidRPr="007E2E11">
        <w:rPr>
          <w:rFonts w:ascii="Verdana" w:eastAsia="Batang" w:hAnsi="Verdana"/>
          <w:sz w:val="20"/>
          <w:szCs w:val="20"/>
          <w:lang w:val="es-ES" w:eastAsia="es-MX"/>
        </w:rPr>
        <w:t xml:space="preserve">Sus padres </w:t>
      </w:r>
      <w:r w:rsidR="0095108C" w:rsidRPr="007E2E11">
        <w:rPr>
          <w:rFonts w:ascii="Verdana" w:eastAsia="Batang" w:hAnsi="Verdana"/>
          <w:sz w:val="20"/>
          <w:szCs w:val="20"/>
          <w:lang w:val="es-ES_tradnl" w:eastAsia="es-MX"/>
        </w:rPr>
        <w:t xml:space="preserve">comenzaron su búsqueda al ser informados, aproximadamente a las 2:00 a.m. del 13 de agosto de 2005, que esta podría encontrarse en peligro, según se los manifestó una persona que acudió directamente al domicilio de la familia para alertarlos de dicha situación. </w:t>
      </w:r>
      <w:r w:rsidRPr="007E2E11">
        <w:rPr>
          <w:rFonts w:ascii="Verdana" w:hAnsi="Verdana"/>
          <w:sz w:val="20"/>
          <w:szCs w:val="20"/>
        </w:rPr>
        <w:t xml:space="preserve">Alrededor de las 2:50 o 2:55 a.m., realizaron una llamada telefónica a la </w:t>
      </w:r>
      <w:r w:rsidR="00217840" w:rsidRPr="007E2E11">
        <w:rPr>
          <w:rFonts w:ascii="Verdana" w:eastAsia="Batang" w:hAnsi="Verdana"/>
          <w:sz w:val="20"/>
          <w:szCs w:val="20"/>
          <w:lang w:val="es-ES_tradnl" w:eastAsia="es-MX"/>
        </w:rPr>
        <w:t>Policía Nacional Civil (en adelante “PNC”)</w:t>
      </w:r>
      <w:r w:rsidR="004017CE" w:rsidRPr="007E2E11">
        <w:rPr>
          <w:rFonts w:ascii="Verdana" w:hAnsi="Verdana"/>
          <w:sz w:val="20"/>
          <w:szCs w:val="20"/>
        </w:rPr>
        <w:t xml:space="preserve"> y,</w:t>
      </w:r>
      <w:r w:rsidRPr="007E2E11">
        <w:rPr>
          <w:rFonts w:ascii="Verdana" w:hAnsi="Verdana"/>
          <w:sz w:val="20"/>
          <w:szCs w:val="20"/>
        </w:rPr>
        <w:t xml:space="preserve"> </w:t>
      </w:r>
      <w:r w:rsidR="004017CE" w:rsidRPr="007E2E11">
        <w:rPr>
          <w:rFonts w:ascii="Verdana" w:hAnsi="Verdana"/>
          <w:sz w:val="20"/>
          <w:szCs w:val="20"/>
        </w:rPr>
        <w:t>e</w:t>
      </w:r>
      <w:r w:rsidRPr="007E2E11">
        <w:rPr>
          <w:rFonts w:ascii="Verdana" w:hAnsi="Verdana"/>
          <w:sz w:val="20"/>
          <w:szCs w:val="20"/>
        </w:rPr>
        <w:t xml:space="preserve">n respuesta, una patrulla llegó a la garita principal de la Colonia Panorama aproximadamente a las 3:00 a.m. </w:t>
      </w:r>
      <w:r w:rsidR="00F74E09" w:rsidRPr="007E2E11">
        <w:rPr>
          <w:rFonts w:ascii="Verdana" w:eastAsia="Batang" w:hAnsi="Verdana"/>
          <w:sz w:val="20"/>
          <w:szCs w:val="20"/>
          <w:lang w:val="es-ES_tradnl" w:eastAsia="es-MX"/>
        </w:rPr>
        <w:t xml:space="preserve">Una vez que los agentes policiales fueron informados por el padre y la madre de </w:t>
      </w:r>
      <w:r w:rsidR="00444CE3">
        <w:rPr>
          <w:rFonts w:ascii="Verdana" w:eastAsia="Batang" w:hAnsi="Verdana"/>
          <w:sz w:val="20"/>
          <w:szCs w:val="20"/>
          <w:lang w:val="es-ES_tradnl" w:eastAsia="es-MX"/>
        </w:rPr>
        <w:t>la víctima</w:t>
      </w:r>
      <w:r w:rsidR="00F74E09" w:rsidRPr="007E2E11">
        <w:rPr>
          <w:rFonts w:ascii="Verdana" w:eastAsia="Batang" w:hAnsi="Verdana"/>
          <w:sz w:val="20"/>
          <w:szCs w:val="20"/>
          <w:lang w:val="es-ES_tradnl" w:eastAsia="es-MX"/>
        </w:rPr>
        <w:t xml:space="preserve"> que </w:t>
      </w:r>
      <w:r w:rsidR="00F74E09" w:rsidRPr="007E2E11">
        <w:rPr>
          <w:rFonts w:ascii="Verdana" w:eastAsia="Verdana" w:hAnsi="Verdana" w:cs="Verdana"/>
          <w:sz w:val="20"/>
          <w:szCs w:val="20"/>
          <w:lang w:val="es-ES_tradnl" w:eastAsia="es-MX"/>
        </w:rPr>
        <w:t>se</w:t>
      </w:r>
      <w:r w:rsidR="00F74E09" w:rsidRPr="007E2E11">
        <w:rPr>
          <w:rFonts w:ascii="Verdana" w:eastAsia="Batang" w:hAnsi="Verdana"/>
          <w:sz w:val="20"/>
          <w:szCs w:val="20"/>
          <w:lang w:val="es-ES_tradnl" w:eastAsia="es-MX"/>
        </w:rPr>
        <w:t xml:space="preserve"> encontraban realizando la búsqueda de su hija tras su desaparición, los padres</w:t>
      </w:r>
      <w:r w:rsidR="00F74E09" w:rsidRPr="007E2E11">
        <w:rPr>
          <w:rFonts w:ascii="Verdana" w:hAnsi="Verdana"/>
          <w:sz w:val="20"/>
          <w:szCs w:val="20"/>
        </w:rPr>
        <w:t xml:space="preserve"> </w:t>
      </w:r>
      <w:r w:rsidRPr="007E2E11">
        <w:rPr>
          <w:rFonts w:ascii="Verdana" w:hAnsi="Verdana"/>
          <w:sz w:val="20"/>
          <w:szCs w:val="20"/>
        </w:rPr>
        <w:t xml:space="preserve">siguieron a la patrulla policial desde la entrada principal de la Colonia Panorama hasta la entrada de la Colonia Pinares, en donde los agentes de la policía les indicaron que </w:t>
      </w:r>
      <w:r w:rsidR="00F74E09" w:rsidRPr="007E2E11">
        <w:rPr>
          <w:rFonts w:ascii="Verdana" w:hAnsi="Verdana"/>
          <w:sz w:val="20"/>
          <w:szCs w:val="20"/>
        </w:rPr>
        <w:t>no se podía hacer nada más</w:t>
      </w:r>
      <w:r w:rsidR="004017CE" w:rsidRPr="007E2E11">
        <w:rPr>
          <w:rFonts w:ascii="Verdana" w:hAnsi="Verdana"/>
          <w:sz w:val="20"/>
          <w:szCs w:val="20"/>
        </w:rPr>
        <w:t>,</w:t>
      </w:r>
      <w:r w:rsidR="00F74E09" w:rsidRPr="007E2E11">
        <w:rPr>
          <w:rFonts w:ascii="Verdana" w:hAnsi="Verdana"/>
          <w:sz w:val="20"/>
          <w:szCs w:val="20"/>
        </w:rPr>
        <w:t xml:space="preserve"> que ellos seguirían patrullando y que </w:t>
      </w:r>
      <w:r w:rsidRPr="007E2E11">
        <w:rPr>
          <w:rFonts w:ascii="Verdana" w:hAnsi="Verdana"/>
          <w:sz w:val="20"/>
          <w:szCs w:val="20"/>
        </w:rPr>
        <w:t xml:space="preserve">tenían que esperar por lo menos </w:t>
      </w:r>
      <w:r w:rsidR="00C86F4A" w:rsidRPr="007E2E11">
        <w:rPr>
          <w:rFonts w:ascii="Verdana" w:hAnsi="Verdana"/>
          <w:sz w:val="20"/>
          <w:szCs w:val="20"/>
        </w:rPr>
        <w:t xml:space="preserve">24 </w:t>
      </w:r>
      <w:r w:rsidRPr="007E2E11">
        <w:rPr>
          <w:rFonts w:ascii="Verdana" w:hAnsi="Verdana"/>
          <w:sz w:val="20"/>
          <w:szCs w:val="20"/>
        </w:rPr>
        <w:t>horas para poder reportar a</w:t>
      </w:r>
      <w:r w:rsidR="00F74E09" w:rsidRPr="007E2E11">
        <w:rPr>
          <w:rFonts w:ascii="Verdana" w:hAnsi="Verdana"/>
          <w:sz w:val="20"/>
          <w:szCs w:val="20"/>
        </w:rPr>
        <w:t xml:space="preserve"> </w:t>
      </w:r>
      <w:r w:rsidR="00F74E09" w:rsidRPr="007E2E11">
        <w:rPr>
          <w:rFonts w:ascii="Verdana" w:eastAsia="Batang" w:hAnsi="Verdana"/>
          <w:sz w:val="20"/>
          <w:szCs w:val="20"/>
          <w:lang w:val="es-ES_tradnl" w:eastAsia="es-MX"/>
        </w:rPr>
        <w:t>Claudina Velásquez</w:t>
      </w:r>
      <w:r w:rsidR="00F74E09" w:rsidRPr="007E2E11">
        <w:rPr>
          <w:rFonts w:ascii="Verdana" w:hAnsi="Verdana"/>
          <w:sz w:val="20"/>
          <w:szCs w:val="20"/>
        </w:rPr>
        <w:t xml:space="preserve"> </w:t>
      </w:r>
      <w:r w:rsidR="004017CE" w:rsidRPr="007E2E11">
        <w:rPr>
          <w:rFonts w:ascii="Verdana" w:hAnsi="Verdana"/>
          <w:sz w:val="20"/>
          <w:szCs w:val="20"/>
        </w:rPr>
        <w:t>como desaparecida</w:t>
      </w:r>
      <w:r w:rsidRPr="007E2E11">
        <w:rPr>
          <w:rFonts w:ascii="Verdana" w:hAnsi="Verdana"/>
          <w:sz w:val="20"/>
          <w:szCs w:val="20"/>
        </w:rPr>
        <w:t xml:space="preserve">. Entre las 3:00 y 5:00 a.m., los padres de </w:t>
      </w:r>
      <w:r w:rsidR="00444CE3">
        <w:rPr>
          <w:rFonts w:ascii="Verdana" w:hAnsi="Verdana"/>
          <w:sz w:val="20"/>
          <w:szCs w:val="20"/>
        </w:rPr>
        <w:t>la víctima</w:t>
      </w:r>
      <w:r w:rsidRPr="007E2E11">
        <w:rPr>
          <w:rFonts w:ascii="Verdana" w:hAnsi="Verdana"/>
          <w:sz w:val="20"/>
          <w:szCs w:val="20"/>
        </w:rPr>
        <w:t xml:space="preserve"> continuaron su búsqueda con la ayuda de familiares y amigos. Alrededor de las 5:00 a.m., fueron a la estación de policía para reportar su desaparición pero nuevamente les </w:t>
      </w:r>
      <w:r w:rsidR="00940103" w:rsidRPr="007E2E11">
        <w:rPr>
          <w:rFonts w:ascii="Verdana" w:hAnsi="Verdana"/>
          <w:sz w:val="20"/>
          <w:szCs w:val="20"/>
        </w:rPr>
        <w:t>dijeron</w:t>
      </w:r>
      <w:r w:rsidRPr="007E2E11">
        <w:rPr>
          <w:rFonts w:ascii="Verdana" w:hAnsi="Verdana"/>
          <w:sz w:val="20"/>
          <w:szCs w:val="20"/>
        </w:rPr>
        <w:t xml:space="preserve"> que debían esperar </w:t>
      </w:r>
      <w:r w:rsidR="00C86F4A" w:rsidRPr="007E2E11">
        <w:rPr>
          <w:rFonts w:ascii="Verdana" w:hAnsi="Verdana"/>
          <w:sz w:val="20"/>
          <w:szCs w:val="20"/>
        </w:rPr>
        <w:t xml:space="preserve">24 </w:t>
      </w:r>
      <w:r w:rsidRPr="007E2E11">
        <w:rPr>
          <w:rFonts w:ascii="Verdana" w:hAnsi="Verdana"/>
          <w:sz w:val="20"/>
          <w:szCs w:val="20"/>
        </w:rPr>
        <w:t xml:space="preserve">horas. </w:t>
      </w:r>
      <w:r w:rsidRPr="007E2E11">
        <w:rPr>
          <w:rFonts w:ascii="Verdana" w:eastAsia="Batang" w:hAnsi="Verdana"/>
          <w:sz w:val="20"/>
          <w:szCs w:val="20"/>
          <w:lang w:eastAsia="es-MX"/>
        </w:rPr>
        <w:t>Fue recién</w:t>
      </w:r>
      <w:r w:rsidR="00E82209" w:rsidRPr="007E2E11">
        <w:rPr>
          <w:rFonts w:ascii="Verdana" w:eastAsia="Batang" w:hAnsi="Verdana"/>
          <w:sz w:val="20"/>
          <w:szCs w:val="20"/>
          <w:lang w:eastAsia="es-MX"/>
        </w:rPr>
        <w:t xml:space="preserve"> </w:t>
      </w:r>
      <w:r w:rsidRPr="007E2E11">
        <w:rPr>
          <w:rFonts w:ascii="Verdana" w:eastAsia="Batang" w:hAnsi="Verdana"/>
          <w:sz w:val="20"/>
          <w:szCs w:val="20"/>
          <w:lang w:eastAsia="es-MX"/>
        </w:rPr>
        <w:t>a las 8:30 a</w:t>
      </w:r>
      <w:r w:rsidR="00E97983" w:rsidRPr="007E2E11">
        <w:rPr>
          <w:rFonts w:ascii="Verdana" w:eastAsia="Batang" w:hAnsi="Verdana"/>
          <w:sz w:val="20"/>
          <w:szCs w:val="20"/>
          <w:lang w:eastAsia="es-MX"/>
        </w:rPr>
        <w:t>.</w:t>
      </w:r>
      <w:r w:rsidRPr="007E2E11">
        <w:rPr>
          <w:rFonts w:ascii="Verdana" w:eastAsia="Batang" w:hAnsi="Verdana"/>
          <w:sz w:val="20"/>
          <w:szCs w:val="20"/>
          <w:lang w:eastAsia="es-MX"/>
        </w:rPr>
        <w:t>m</w:t>
      </w:r>
      <w:r w:rsidR="00E97983" w:rsidRPr="007E2E11">
        <w:rPr>
          <w:rFonts w:ascii="Verdana" w:eastAsia="Batang" w:hAnsi="Verdana"/>
          <w:sz w:val="20"/>
          <w:szCs w:val="20"/>
          <w:lang w:eastAsia="es-MX"/>
        </w:rPr>
        <w:t>.</w:t>
      </w:r>
      <w:r w:rsidR="00E82209" w:rsidRPr="007E2E11">
        <w:rPr>
          <w:rFonts w:ascii="Verdana" w:eastAsia="Batang" w:hAnsi="Verdana"/>
          <w:sz w:val="20"/>
          <w:szCs w:val="20"/>
          <w:lang w:eastAsia="es-MX"/>
        </w:rPr>
        <w:t>,</w:t>
      </w:r>
      <w:r w:rsidRPr="007E2E11">
        <w:rPr>
          <w:rFonts w:ascii="Verdana" w:eastAsia="Batang" w:hAnsi="Verdana"/>
          <w:b/>
          <w:sz w:val="20"/>
          <w:szCs w:val="20"/>
          <w:lang w:eastAsia="es-MX"/>
        </w:rPr>
        <w:t xml:space="preserve"> </w:t>
      </w:r>
      <w:r w:rsidRPr="007E2E11">
        <w:rPr>
          <w:rFonts w:ascii="Verdana" w:eastAsia="Batang" w:hAnsi="Verdana"/>
          <w:sz w:val="20"/>
          <w:szCs w:val="20"/>
          <w:lang w:eastAsia="es-MX"/>
        </w:rPr>
        <w:t>que en la Sub-Estación San Cristóbal 1651 de la PNC, se recibió por escrito la denuncia de la desaparición</w:t>
      </w:r>
      <w:r w:rsidR="00217840" w:rsidRPr="007E2E11">
        <w:rPr>
          <w:rFonts w:ascii="Verdana" w:eastAsia="Batang" w:hAnsi="Verdana"/>
          <w:sz w:val="20"/>
          <w:szCs w:val="20"/>
          <w:lang w:eastAsia="es-MX"/>
        </w:rPr>
        <w:t xml:space="preserve"> de Claudina Velásquez</w:t>
      </w:r>
      <w:r w:rsidRPr="007E2E11">
        <w:rPr>
          <w:rFonts w:ascii="Verdana" w:eastAsia="Batang" w:hAnsi="Verdana"/>
          <w:sz w:val="20"/>
          <w:szCs w:val="20"/>
          <w:lang w:eastAsia="es-MX"/>
        </w:rPr>
        <w:t>.</w:t>
      </w:r>
    </w:p>
    <w:p w14:paraId="40D325E7" w14:textId="77777777" w:rsidR="00AF355B" w:rsidRPr="007E2E11" w:rsidRDefault="00AF355B" w:rsidP="0000703B">
      <w:pPr>
        <w:jc w:val="both"/>
        <w:rPr>
          <w:rFonts w:ascii="Verdana" w:eastAsia="Batang" w:hAnsi="Verdana"/>
          <w:sz w:val="20"/>
          <w:szCs w:val="20"/>
          <w:lang w:eastAsia="es-MX"/>
        </w:rPr>
      </w:pPr>
    </w:p>
    <w:p w14:paraId="425768DF" w14:textId="58F28684" w:rsidR="004F7323" w:rsidRPr="007E2E11" w:rsidRDefault="0000703B" w:rsidP="0000703B">
      <w:pPr>
        <w:jc w:val="both"/>
        <w:rPr>
          <w:rFonts w:ascii="Verdana" w:eastAsia="Batang" w:hAnsi="Verdana"/>
          <w:sz w:val="20"/>
          <w:szCs w:val="20"/>
          <w:lang w:eastAsia="es-MX"/>
        </w:rPr>
      </w:pPr>
      <w:r w:rsidRPr="007E2E11">
        <w:rPr>
          <w:rFonts w:ascii="Verdana" w:hAnsi="Verdana"/>
          <w:sz w:val="20"/>
          <w:szCs w:val="20"/>
        </w:rPr>
        <w:t>Alrededor de las 5:00 a.m., el Cuerpo Voluntario de Bomberos de Guatemala recibió una llamada anónima sobre el hallazgo de un cadáver en la Colonia Roosevelt</w:t>
      </w:r>
      <w:r w:rsidR="004017CE" w:rsidRPr="007E2E11">
        <w:rPr>
          <w:rFonts w:ascii="Verdana" w:hAnsi="Verdana"/>
          <w:sz w:val="20"/>
          <w:szCs w:val="20"/>
        </w:rPr>
        <w:t xml:space="preserve">, por lo que </w:t>
      </w:r>
      <w:r w:rsidRPr="007E2E11">
        <w:rPr>
          <w:rFonts w:ascii="Verdana" w:hAnsi="Verdana"/>
          <w:sz w:val="20"/>
          <w:szCs w:val="20"/>
        </w:rPr>
        <w:t xml:space="preserve">acudieron al lugar. También, dos agentes de la PNC acudieron a dicho lugar, aproximadamente a las 5:30 a.m. Alrededor de las 6:30 a.m., </w:t>
      </w:r>
      <w:r w:rsidRPr="007E2E11">
        <w:rPr>
          <w:rFonts w:ascii="Verdana" w:eastAsia="Batang" w:hAnsi="Verdana"/>
          <w:sz w:val="20"/>
          <w:szCs w:val="20"/>
          <w:lang w:eastAsia="es-MX"/>
        </w:rPr>
        <w:t>arribaron al lugar la auxiliar fiscal, el médico forense y los Técnicos en Investigaciones Criminalísticas del Ministerio Público, así como miembros de la Unidad de Protección de la Escena del Crimen y de la Unidad Contra Homicidios de Mujeres del Servicio de Investigación Criminal de la PNC.</w:t>
      </w:r>
      <w:r w:rsidRPr="007E2E11">
        <w:rPr>
          <w:rFonts w:ascii="Verdana" w:hAnsi="Verdana"/>
          <w:sz w:val="20"/>
          <w:szCs w:val="20"/>
        </w:rPr>
        <w:t xml:space="preserve"> </w:t>
      </w:r>
      <w:r w:rsidRPr="007E2E11">
        <w:rPr>
          <w:rFonts w:ascii="Verdana" w:eastAsia="Batang" w:hAnsi="Verdana"/>
          <w:sz w:val="20"/>
          <w:szCs w:val="20"/>
          <w:lang w:eastAsia="es-MX"/>
        </w:rPr>
        <w:t>El cuerp</w:t>
      </w:r>
      <w:r w:rsidR="00DC5B8C">
        <w:rPr>
          <w:rFonts w:ascii="Verdana" w:eastAsia="Batang" w:hAnsi="Verdana"/>
          <w:sz w:val="20"/>
          <w:szCs w:val="20"/>
          <w:lang w:eastAsia="es-MX"/>
        </w:rPr>
        <w:t>o fue identificado “como XX”</w:t>
      </w:r>
      <w:r w:rsidRPr="007E2E11">
        <w:rPr>
          <w:rFonts w:ascii="Verdana" w:eastAsia="Batang" w:hAnsi="Verdana"/>
          <w:sz w:val="20"/>
          <w:szCs w:val="20"/>
          <w:lang w:eastAsia="es-MX"/>
        </w:rPr>
        <w:t xml:space="preserve">, se encontraba sobre el asfalto cubierto con una sábana blanca con un casquillo y sangre alrededor. Vestía pantalón de lona color azul, blusa negra, suéter rosado, sandalias negras, </w:t>
      </w:r>
      <w:r w:rsidRPr="007E2E11">
        <w:rPr>
          <w:rFonts w:ascii="Verdana" w:eastAsia="Batang" w:hAnsi="Verdana"/>
          <w:sz w:val="20"/>
          <w:szCs w:val="20"/>
          <w:lang w:eastAsia="es-MX"/>
        </w:rPr>
        <w:lastRenderedPageBreak/>
        <w:t>ropa interior, portaba un arete en el ombligo, una cadena tipo gargantilla, presentaba una herida de proyectil de arma de fuego con tatuaje en la región de la frente</w:t>
      </w:r>
      <w:r w:rsidR="00B009B0" w:rsidRPr="007E2E11">
        <w:rPr>
          <w:rFonts w:ascii="Verdana" w:eastAsia="Batang" w:hAnsi="Verdana"/>
          <w:sz w:val="20"/>
          <w:szCs w:val="20"/>
          <w:lang w:eastAsia="es-MX"/>
        </w:rPr>
        <w:t xml:space="preserve"> y la ropa manchada de sangre,</w:t>
      </w:r>
      <w:r w:rsidRPr="007E2E11">
        <w:rPr>
          <w:rFonts w:ascii="Verdana" w:eastAsia="Batang" w:hAnsi="Verdana"/>
          <w:sz w:val="20"/>
          <w:szCs w:val="20"/>
          <w:lang w:eastAsia="es-MX"/>
        </w:rPr>
        <w:t xml:space="preserve"> así como </w:t>
      </w:r>
      <w:r w:rsidR="004F7323" w:rsidRPr="007E2E11">
        <w:rPr>
          <w:rFonts w:ascii="Verdana" w:eastAsia="Batang" w:hAnsi="Verdana"/>
          <w:sz w:val="20"/>
          <w:szCs w:val="20"/>
          <w:lang w:eastAsia="es-MX"/>
        </w:rPr>
        <w:t>indicios de probable violencia sexual y diversas lesiones en el cuerpo.</w:t>
      </w:r>
    </w:p>
    <w:p w14:paraId="6017B1FA" w14:textId="77777777" w:rsidR="00217840" w:rsidRPr="007E2E11" w:rsidRDefault="00217840" w:rsidP="0000703B">
      <w:pPr>
        <w:jc w:val="both"/>
        <w:rPr>
          <w:rFonts w:ascii="Verdana" w:hAnsi="Verdana"/>
          <w:sz w:val="20"/>
          <w:szCs w:val="20"/>
        </w:rPr>
      </w:pPr>
    </w:p>
    <w:p w14:paraId="5AE8E581" w14:textId="0CD0EF26" w:rsidR="00B652C5" w:rsidRPr="007E2E11" w:rsidRDefault="00817E83" w:rsidP="0000703B">
      <w:pPr>
        <w:jc w:val="both"/>
        <w:rPr>
          <w:rFonts w:ascii="Verdana" w:eastAsia="Batang" w:hAnsi="Verdana"/>
          <w:sz w:val="20"/>
          <w:szCs w:val="20"/>
          <w:lang w:val="es-ES" w:eastAsia="es-MX"/>
        </w:rPr>
      </w:pPr>
      <w:r w:rsidRPr="007E2E11">
        <w:rPr>
          <w:rFonts w:ascii="Verdana" w:eastAsia="Batang" w:hAnsi="Verdana"/>
          <w:sz w:val="20"/>
          <w:szCs w:val="20"/>
          <w:lang w:val="es-ES_tradnl" w:eastAsia="es-MX"/>
        </w:rPr>
        <w:t xml:space="preserve">Los padres de Claudina Velásquez se enteraron del hallazgo del </w:t>
      </w:r>
      <w:r w:rsidR="00444CE3">
        <w:rPr>
          <w:rFonts w:ascii="Verdana" w:eastAsia="Batang" w:hAnsi="Verdana"/>
          <w:sz w:val="20"/>
          <w:szCs w:val="20"/>
          <w:lang w:val="es-ES_tradnl" w:eastAsia="es-MX"/>
        </w:rPr>
        <w:t xml:space="preserve">cadáver </w:t>
      </w:r>
      <w:r w:rsidRPr="007E2E11">
        <w:rPr>
          <w:rFonts w:ascii="Verdana" w:eastAsia="Batang" w:hAnsi="Verdana"/>
          <w:sz w:val="20"/>
          <w:szCs w:val="20"/>
          <w:lang w:val="es-ES_tradnl" w:eastAsia="es-MX"/>
        </w:rPr>
        <w:t>a través de una llamada telefónica de un amigo de la prima de Elsa Claudina Paiz Vidal,</w:t>
      </w:r>
      <w:r w:rsidRPr="007E2E11">
        <w:rPr>
          <w:rFonts w:ascii="Verdana" w:eastAsia="Batang" w:hAnsi="Verdana"/>
          <w:sz w:val="20"/>
          <w:szCs w:val="20"/>
          <w:lang w:eastAsia="es-MX"/>
        </w:rPr>
        <w:t xml:space="preserve"> </w:t>
      </w:r>
      <w:r w:rsidR="0000703B" w:rsidRPr="007E2E11">
        <w:rPr>
          <w:rFonts w:ascii="Verdana" w:eastAsia="Batang" w:hAnsi="Verdana"/>
          <w:sz w:val="20"/>
          <w:szCs w:val="20"/>
          <w:lang w:eastAsia="es-MX"/>
        </w:rPr>
        <w:t xml:space="preserve">quien les informó que en la morgue del Servicio Médico Forense del Organismo Judicial había un cuerpo no identificado con las características de su </w:t>
      </w:r>
      <w:r w:rsidR="0000703B" w:rsidRPr="007E2E11">
        <w:rPr>
          <w:rFonts w:ascii="Verdana" w:eastAsia="Verdana" w:hAnsi="Verdana" w:cs="Verdana"/>
          <w:sz w:val="20"/>
          <w:szCs w:val="20"/>
          <w:lang w:val="es-ES" w:eastAsia="es-MX"/>
        </w:rPr>
        <w:t>hija</w:t>
      </w:r>
      <w:r w:rsidR="0000703B" w:rsidRPr="007E2E11">
        <w:rPr>
          <w:rFonts w:ascii="Verdana" w:eastAsia="Batang" w:hAnsi="Verdana"/>
          <w:sz w:val="20"/>
          <w:szCs w:val="20"/>
          <w:lang w:eastAsia="es-MX"/>
        </w:rPr>
        <w:t xml:space="preserve">. Ambos se presentaron a la morgue, en donde alrededor del mediodía del 13 de agosto de 2005 </w:t>
      </w:r>
      <w:r w:rsidR="00C86F4A" w:rsidRPr="007E2E11">
        <w:rPr>
          <w:rFonts w:ascii="Verdana" w:eastAsia="Batang" w:hAnsi="Verdana"/>
          <w:sz w:val="20"/>
          <w:szCs w:val="20"/>
          <w:lang w:eastAsia="es-MX"/>
        </w:rPr>
        <w:t xml:space="preserve">y una vez que lo identificaron, </w:t>
      </w:r>
      <w:r w:rsidR="0000703B" w:rsidRPr="007E2E11">
        <w:rPr>
          <w:rFonts w:ascii="Verdana" w:eastAsia="Batang" w:hAnsi="Verdana"/>
          <w:sz w:val="20"/>
          <w:szCs w:val="20"/>
          <w:lang w:eastAsia="es-MX"/>
        </w:rPr>
        <w:t xml:space="preserve">les fue entregado el </w:t>
      </w:r>
      <w:r w:rsidR="00910D76">
        <w:rPr>
          <w:rFonts w:ascii="Verdana" w:eastAsia="Batang" w:hAnsi="Verdana"/>
          <w:sz w:val="20"/>
          <w:szCs w:val="20"/>
          <w:lang w:eastAsia="es-MX"/>
        </w:rPr>
        <w:t xml:space="preserve">cadáver </w:t>
      </w:r>
      <w:r w:rsidR="0000703B" w:rsidRPr="007E2E11">
        <w:rPr>
          <w:rFonts w:ascii="Verdana" w:eastAsia="Batang" w:hAnsi="Verdana"/>
          <w:sz w:val="20"/>
          <w:szCs w:val="20"/>
          <w:lang w:eastAsia="es-MX"/>
        </w:rPr>
        <w:t>por el servicio médico forense.</w:t>
      </w:r>
      <w:r w:rsidRPr="007E2E11">
        <w:rPr>
          <w:rFonts w:ascii="Verdana" w:eastAsia="Batang" w:hAnsi="Verdana"/>
          <w:sz w:val="20"/>
          <w:szCs w:val="20"/>
          <w:lang w:eastAsia="es-MX"/>
        </w:rPr>
        <w:t xml:space="preserve"> </w:t>
      </w:r>
      <w:r w:rsidR="0000703B" w:rsidRPr="007E2E11">
        <w:rPr>
          <w:rFonts w:ascii="Verdana" w:eastAsia="Batang" w:hAnsi="Verdana"/>
          <w:sz w:val="20"/>
          <w:szCs w:val="20"/>
          <w:lang w:val="es-ES" w:eastAsia="es-MX"/>
        </w:rPr>
        <w:t xml:space="preserve">Debido a que </w:t>
      </w:r>
      <w:r w:rsidR="00940103" w:rsidRPr="007E2E11">
        <w:rPr>
          <w:rFonts w:ascii="Verdana" w:eastAsia="Batang" w:hAnsi="Verdana"/>
          <w:sz w:val="20"/>
          <w:szCs w:val="20"/>
          <w:lang w:val="es-ES" w:eastAsia="es-MX"/>
        </w:rPr>
        <w:t xml:space="preserve">no se tomaron las impresiones dactilares de Claudina Velásquez </w:t>
      </w:r>
      <w:r w:rsidR="0000703B" w:rsidRPr="007E2E11">
        <w:rPr>
          <w:rFonts w:ascii="Verdana" w:eastAsia="Batang" w:hAnsi="Verdana"/>
          <w:sz w:val="20"/>
          <w:szCs w:val="20"/>
          <w:lang w:val="es-ES" w:eastAsia="es-MX"/>
        </w:rPr>
        <w:t xml:space="preserve">en el lugar </w:t>
      </w:r>
      <w:r w:rsidR="00063A48" w:rsidRPr="007E2E11">
        <w:rPr>
          <w:rFonts w:ascii="Verdana" w:eastAsia="Batang" w:hAnsi="Verdana"/>
          <w:sz w:val="20"/>
          <w:szCs w:val="20"/>
          <w:lang w:val="es-ES" w:eastAsia="es-MX"/>
        </w:rPr>
        <w:t xml:space="preserve">en que se encontró su cuerpo </w:t>
      </w:r>
      <w:r w:rsidR="00940103" w:rsidRPr="007E2E11">
        <w:rPr>
          <w:rFonts w:ascii="Verdana" w:eastAsia="Batang" w:hAnsi="Verdana"/>
          <w:sz w:val="20"/>
          <w:szCs w:val="20"/>
          <w:lang w:val="es-ES" w:eastAsia="es-MX"/>
        </w:rPr>
        <w:t xml:space="preserve">ni </w:t>
      </w:r>
      <w:r w:rsidR="0000703B" w:rsidRPr="007E2E11">
        <w:rPr>
          <w:rFonts w:ascii="Verdana" w:eastAsia="Batang" w:hAnsi="Verdana"/>
          <w:sz w:val="20"/>
          <w:szCs w:val="20"/>
          <w:lang w:val="es-ES" w:eastAsia="es-MX"/>
        </w:rPr>
        <w:t>en la morgue del Organismo Judicial, la auxiliar fiscal y los Técnicos de Investigaciones Criminalísticas del Ministerio Público</w:t>
      </w:r>
      <w:r w:rsidR="00063A48" w:rsidRPr="007E2E11">
        <w:rPr>
          <w:rFonts w:ascii="Verdana" w:eastAsia="Batang" w:hAnsi="Verdana"/>
          <w:sz w:val="20"/>
          <w:szCs w:val="20"/>
          <w:lang w:val="es-ES" w:eastAsia="es-MX"/>
        </w:rPr>
        <w:t xml:space="preserve"> arribaron al lugar </w:t>
      </w:r>
      <w:r w:rsidR="00063A48" w:rsidRPr="007E2E11">
        <w:rPr>
          <w:rFonts w:ascii="Verdana" w:eastAsia="Calibri" w:hAnsi="Verdana"/>
          <w:sz w:val="20"/>
          <w:szCs w:val="20"/>
        </w:rPr>
        <w:t>donde estaba siendo velado</w:t>
      </w:r>
      <w:r w:rsidR="00063A48" w:rsidRPr="007E2E11">
        <w:rPr>
          <w:rFonts w:ascii="Verdana" w:hAnsi="Verdana"/>
          <w:sz w:val="20"/>
          <w:szCs w:val="20"/>
        </w:rPr>
        <w:t xml:space="preserve"> </w:t>
      </w:r>
      <w:r w:rsidR="00063A48" w:rsidRPr="007E2E11">
        <w:rPr>
          <w:rFonts w:ascii="Verdana" w:eastAsia="Batang" w:hAnsi="Verdana"/>
          <w:sz w:val="20"/>
          <w:szCs w:val="20"/>
          <w:lang w:val="es-ES" w:eastAsia="es-MX"/>
        </w:rPr>
        <w:t>el 13 de agosto de 2005 y practicaron la toma de huellas</w:t>
      </w:r>
      <w:r w:rsidR="003E36EC" w:rsidRPr="007E2E11">
        <w:rPr>
          <w:rFonts w:ascii="Verdana" w:eastAsia="Batang" w:hAnsi="Verdana"/>
          <w:sz w:val="20"/>
          <w:szCs w:val="20"/>
          <w:lang w:val="es-ES" w:eastAsia="es-MX"/>
        </w:rPr>
        <w:t xml:space="preserve"> </w:t>
      </w:r>
      <w:r w:rsidR="003E36EC" w:rsidRPr="007E2E11">
        <w:rPr>
          <w:rFonts w:ascii="Verdana" w:hAnsi="Verdana"/>
          <w:sz w:val="20"/>
          <w:szCs w:val="20"/>
        </w:rPr>
        <w:t>dactilares</w:t>
      </w:r>
      <w:r w:rsidR="00910D76">
        <w:rPr>
          <w:rFonts w:ascii="Verdana" w:hAnsi="Verdana"/>
          <w:sz w:val="20"/>
          <w:szCs w:val="20"/>
        </w:rPr>
        <w:t xml:space="preserve"> a pesar de la oposición de sus familiares, bajo amenazas de obstrucción de la justicia</w:t>
      </w:r>
      <w:r w:rsidR="00084C7E" w:rsidRPr="007E2E11">
        <w:rPr>
          <w:rFonts w:ascii="Verdana" w:eastAsia="Batang" w:hAnsi="Verdana"/>
          <w:sz w:val="20"/>
          <w:szCs w:val="20"/>
          <w:lang w:val="es-ES" w:eastAsia="es-MX"/>
        </w:rPr>
        <w:t>.</w:t>
      </w:r>
    </w:p>
    <w:p w14:paraId="6AA1C22A" w14:textId="77777777" w:rsidR="00B652C5" w:rsidRPr="007E2E11" w:rsidRDefault="00B652C5" w:rsidP="0000703B">
      <w:pPr>
        <w:jc w:val="both"/>
        <w:rPr>
          <w:rFonts w:ascii="Verdana" w:eastAsia="Batang" w:hAnsi="Verdana"/>
          <w:sz w:val="20"/>
          <w:szCs w:val="20"/>
          <w:lang w:val="es-ES" w:eastAsia="es-MX"/>
        </w:rPr>
      </w:pPr>
    </w:p>
    <w:p w14:paraId="63C796D7" w14:textId="3890F3BA" w:rsidR="00B652C5" w:rsidRPr="007E2E11" w:rsidRDefault="00B652C5" w:rsidP="0000703B">
      <w:pPr>
        <w:jc w:val="both"/>
        <w:rPr>
          <w:rFonts w:ascii="Verdana" w:eastAsia="Batang" w:hAnsi="Verdana"/>
          <w:sz w:val="20"/>
          <w:szCs w:val="20"/>
          <w:highlight w:val="yellow"/>
          <w:lang w:val="es-ES" w:eastAsia="es-MX"/>
        </w:rPr>
      </w:pPr>
      <w:r w:rsidRPr="007E2E11">
        <w:rPr>
          <w:rFonts w:ascii="Verdana" w:eastAsia="Batang" w:hAnsi="Verdana"/>
          <w:sz w:val="20"/>
          <w:szCs w:val="20"/>
          <w:lang w:val="es-EC" w:eastAsia="es-MX"/>
        </w:rPr>
        <w:t>N</w:t>
      </w:r>
      <w:r w:rsidRPr="007E2E11">
        <w:rPr>
          <w:rFonts w:ascii="Verdana" w:eastAsia="Batang" w:hAnsi="Verdana"/>
          <w:sz w:val="20"/>
          <w:szCs w:val="20"/>
          <w:lang w:val="es-ES" w:eastAsia="es-MX"/>
        </w:rPr>
        <w:t xml:space="preserve">o consta que se haya desplegado actividad alguna por parte de los investigadores del Ministerio Público y de la PNC a raíz de las denuncias sobre la desaparición de Claudina Velásquez presentadas por sus padres </w:t>
      </w:r>
      <w:r w:rsidRPr="007E2E11">
        <w:rPr>
          <w:rFonts w:ascii="Verdana" w:hAnsi="Verdana"/>
          <w:sz w:val="20"/>
          <w:szCs w:val="20"/>
        </w:rPr>
        <w:t xml:space="preserve">aproximadamente a las 3:00 a.m., 5:00 a.m. y 8:30 a.m. </w:t>
      </w:r>
      <w:r w:rsidRPr="007E2E11">
        <w:rPr>
          <w:rFonts w:ascii="Verdana" w:eastAsia="Batang" w:hAnsi="Verdana"/>
          <w:sz w:val="20"/>
          <w:szCs w:val="20"/>
          <w:lang w:val="es-ES" w:eastAsia="es-MX"/>
        </w:rPr>
        <w:t>a</w:t>
      </w:r>
      <w:r w:rsidR="00DC5B8C">
        <w:rPr>
          <w:rFonts w:ascii="Verdana" w:eastAsia="Batang" w:hAnsi="Verdana"/>
          <w:sz w:val="20"/>
          <w:szCs w:val="20"/>
          <w:lang w:val="es-ES" w:eastAsia="es-MX"/>
        </w:rPr>
        <w:t>nte</w:t>
      </w:r>
      <w:r w:rsidRPr="007E2E11">
        <w:rPr>
          <w:rFonts w:ascii="Verdana" w:eastAsia="Batang" w:hAnsi="Verdana"/>
          <w:sz w:val="20"/>
          <w:szCs w:val="20"/>
          <w:lang w:val="es-ES" w:eastAsia="es-MX"/>
        </w:rPr>
        <w:t xml:space="preserve"> diversos agentes de la PNC</w:t>
      </w:r>
      <w:r w:rsidRPr="007E2E11">
        <w:rPr>
          <w:rFonts w:ascii="Verdana" w:hAnsi="Verdana"/>
          <w:sz w:val="20"/>
          <w:szCs w:val="20"/>
        </w:rPr>
        <w:t>. Tampoco consta reporte policial alguno realizado al respecto, más allá de la boleta de denuncia de desaparición elaborada a las 8:30 a.m. el día 13 de agosto de 2005. La investigación penal no inició a partir de las denuncias sobre la desaparición de la víctima, sino que el momento específico de su inicio fue a partir del</w:t>
      </w:r>
      <w:r w:rsidRPr="007E2E11">
        <w:rPr>
          <w:rFonts w:ascii="Verdana" w:eastAsia="Batang" w:hAnsi="Verdana"/>
          <w:sz w:val="20"/>
          <w:szCs w:val="20"/>
          <w:lang w:val="es-ES" w:eastAsia="es-MX"/>
        </w:rPr>
        <w:t xml:space="preserve"> hallazgo del cuerpo sin vida de Claudina Velásquez</w:t>
      </w:r>
      <w:r w:rsidRPr="007E2E11">
        <w:rPr>
          <w:rFonts w:ascii="Verdana" w:hAnsi="Verdana"/>
          <w:sz w:val="20"/>
          <w:szCs w:val="20"/>
        </w:rPr>
        <w:t>.</w:t>
      </w:r>
      <w:r w:rsidRPr="007E2E11">
        <w:rPr>
          <w:rFonts w:ascii="Verdana" w:eastAsia="Batang" w:hAnsi="Verdana"/>
          <w:sz w:val="20"/>
          <w:szCs w:val="20"/>
          <w:lang w:val="es-ES_tradnl" w:eastAsia="es-MX"/>
        </w:rPr>
        <w:t xml:space="preserve"> </w:t>
      </w:r>
    </w:p>
    <w:p w14:paraId="3028C12F" w14:textId="77777777" w:rsidR="00380111" w:rsidRPr="007E2E11" w:rsidRDefault="00380111" w:rsidP="007064D9">
      <w:pPr>
        <w:pStyle w:val="PrrafodeSentencia"/>
        <w:rPr>
          <w:b/>
        </w:rPr>
      </w:pPr>
    </w:p>
    <w:p w14:paraId="3028C130" w14:textId="77777777" w:rsidR="006407C1" w:rsidRPr="007E2E11" w:rsidRDefault="00EA73C7" w:rsidP="007064D9">
      <w:pPr>
        <w:pStyle w:val="PrrafodeSentencia"/>
        <w:numPr>
          <w:ilvl w:val="0"/>
          <w:numId w:val="3"/>
        </w:numPr>
        <w:rPr>
          <w:b/>
        </w:rPr>
      </w:pPr>
      <w:r w:rsidRPr="007E2E11">
        <w:rPr>
          <w:b/>
        </w:rPr>
        <w:t>Fondo</w:t>
      </w:r>
    </w:p>
    <w:p w14:paraId="3028C131" w14:textId="77777777" w:rsidR="0039697A" w:rsidRPr="007E2E11" w:rsidRDefault="0039697A" w:rsidP="00C8199F">
      <w:pPr>
        <w:pStyle w:val="PrrafodeSentencia"/>
        <w:rPr>
          <w:b/>
        </w:rPr>
      </w:pPr>
    </w:p>
    <w:p w14:paraId="3028C133" w14:textId="08CF3416" w:rsidR="0039697A" w:rsidRPr="007E2E11" w:rsidRDefault="00EA73C7" w:rsidP="005F122B">
      <w:pPr>
        <w:pStyle w:val="PrrafodeSentencia"/>
        <w:numPr>
          <w:ilvl w:val="1"/>
          <w:numId w:val="3"/>
        </w:numPr>
        <w:ind w:left="0" w:firstLine="0"/>
        <w:rPr>
          <w:b/>
        </w:rPr>
      </w:pPr>
      <w:r w:rsidRPr="007E2E11">
        <w:rPr>
          <w:b/>
        </w:rPr>
        <w:t>D</w:t>
      </w:r>
      <w:r w:rsidR="00730BF6" w:rsidRPr="007E2E11">
        <w:rPr>
          <w:rFonts w:eastAsia="Calibri"/>
          <w:b/>
        </w:rPr>
        <w:t>erechos a la vida e integridad personal, en relación con los artículos 1.1 y 2 de la Convención Americana y con el artículo 7 de la Convención de Belém do Pará, en perjuicio de Claudina Isabel Velásquez Paiz</w:t>
      </w:r>
    </w:p>
    <w:p w14:paraId="3028C134" w14:textId="77777777" w:rsidR="00730BF6" w:rsidRPr="007E2E11" w:rsidRDefault="00730BF6" w:rsidP="007064D9">
      <w:pPr>
        <w:pStyle w:val="PrrafodeSentencia"/>
      </w:pPr>
    </w:p>
    <w:p w14:paraId="1A7CEA98" w14:textId="7DBB35A0" w:rsidR="008246CA" w:rsidRPr="007E2E11" w:rsidRDefault="00343E41" w:rsidP="00E4064D">
      <w:pPr>
        <w:pStyle w:val="PrrafodeSentencia"/>
        <w:rPr>
          <w:rFonts w:cs="Calibri"/>
        </w:rPr>
      </w:pPr>
      <w:r w:rsidRPr="007E2E11">
        <w:t>La Corte</w:t>
      </w:r>
      <w:r w:rsidR="00940103" w:rsidRPr="007E2E11">
        <w:t xml:space="preserve"> </w:t>
      </w:r>
      <w:r w:rsidR="00E57D3A" w:rsidRPr="007E2E11">
        <w:t xml:space="preserve">reiteró su jurisprudencia constante en el sentido de que un Estado no puede ser responsable por cualquier violación de derechos humanos cometida entre particulares dentro de su jurisdicción. </w:t>
      </w:r>
      <w:r w:rsidR="00940103" w:rsidRPr="007E2E11">
        <w:t>Así</w:t>
      </w:r>
      <w:r w:rsidR="00E54E8D" w:rsidRPr="007E2E11">
        <w:t>,</w:t>
      </w:r>
      <w:r w:rsidR="00E57D3A" w:rsidRPr="007E2E11">
        <w:t xml:space="preserve"> </w:t>
      </w:r>
      <w:r w:rsidR="00940103" w:rsidRPr="007E2E11">
        <w:t xml:space="preserve">a </w:t>
      </w:r>
      <w:r w:rsidR="00E57D3A" w:rsidRPr="007E2E11">
        <w:t xml:space="preserve">fin de establecer un incumplimiento del deber de prevenir violaciones a los derechos a la vida e integridad personal, debe </w:t>
      </w:r>
      <w:r w:rsidR="00E57D3A" w:rsidRPr="007E2E11">
        <w:rPr>
          <w:rFonts w:eastAsia="Calibri"/>
          <w:lang w:val="es-MX"/>
        </w:rPr>
        <w:t>verificarse que: i) las autoridades estatales sabían, o debían haber sabido, de la existencia de un riesgo real e inmediato para la vida y/o integridad personal de un individuo o grupo de individuos determinado, y que ii) tales autoridades no adoptaron las medidas necesarias dentro del ámbito de sus atribuciones que, juzgadas razonablemente, podían esperarse para prevenir o evitar ese riesgo</w:t>
      </w:r>
      <w:r w:rsidR="00E54E8D" w:rsidRPr="007E2E11">
        <w:rPr>
          <w:rFonts w:eastAsia="Calibri"/>
          <w:lang w:val="es-MX"/>
        </w:rPr>
        <w:t>.</w:t>
      </w:r>
      <w:r w:rsidR="00E4064D" w:rsidRPr="007E2E11">
        <w:t xml:space="preserve"> Además</w:t>
      </w:r>
      <w:r w:rsidR="004859C8">
        <w:t>,</w:t>
      </w:r>
      <w:r w:rsidR="00E4064D" w:rsidRPr="007E2E11">
        <w:t xml:space="preserve"> el Tribunal </w:t>
      </w:r>
      <w:r w:rsidR="005F122B" w:rsidRPr="007E2E11">
        <w:t>reiteró</w:t>
      </w:r>
      <w:r w:rsidR="00E4064D" w:rsidRPr="007E2E11">
        <w:t xml:space="preserve"> que</w:t>
      </w:r>
      <w:r w:rsidR="00AA3A5D" w:rsidRPr="007E2E11">
        <w:t xml:space="preserve"> en </w:t>
      </w:r>
      <w:r w:rsidR="00E4064D" w:rsidRPr="007E2E11">
        <w:t xml:space="preserve">un contexto conocido de aumento de la violencia homicida </w:t>
      </w:r>
      <w:r w:rsidR="00E4064D" w:rsidRPr="007E2E11">
        <w:rPr>
          <w:rFonts w:cs="Calibri"/>
        </w:rPr>
        <w:t>contra las mujeres</w:t>
      </w:r>
      <w:r w:rsidR="00AA3A5D" w:rsidRPr="007E2E11">
        <w:rPr>
          <w:rFonts w:cs="Calibri"/>
        </w:rPr>
        <w:t xml:space="preserve"> </w:t>
      </w:r>
      <w:r w:rsidR="00AA3A5D" w:rsidRPr="007E2E11">
        <w:t xml:space="preserve">y </w:t>
      </w:r>
      <w:r w:rsidR="00AA3A5D" w:rsidRPr="007E2E11">
        <w:rPr>
          <w:lang w:val="es-ES"/>
        </w:rPr>
        <w:t xml:space="preserve">agravamiento del grado de </w:t>
      </w:r>
      <w:r w:rsidR="00AA3A5D" w:rsidRPr="007E2E11">
        <w:t>violencia</w:t>
      </w:r>
      <w:r w:rsidR="00AA3A5D" w:rsidRPr="007E2E11">
        <w:rPr>
          <w:lang w:val="es-ES"/>
        </w:rPr>
        <w:t xml:space="preserve"> y </w:t>
      </w:r>
      <w:r w:rsidR="00AA3A5D" w:rsidRPr="007E2E11">
        <w:rPr>
          <w:rFonts w:eastAsia="Verdana" w:cs="Verdana"/>
          <w:lang w:val="es-ES"/>
        </w:rPr>
        <w:t>ensañamiento</w:t>
      </w:r>
      <w:r w:rsidR="00AA3A5D" w:rsidRPr="007E2E11">
        <w:t xml:space="preserve"> ejercidos contra los cuerpos de muchas de las víctimas,</w:t>
      </w:r>
      <w:r w:rsidR="00AA3A5D" w:rsidRPr="007E2E11">
        <w:rPr>
          <w:rFonts w:cs="Calibri"/>
        </w:rPr>
        <w:t xml:space="preserve"> </w:t>
      </w:r>
      <w:r w:rsidR="00E4064D" w:rsidRPr="007E2E11">
        <w:t xml:space="preserve">surge un deber de debida diligencia estricta frente a denuncias de desaparición de mujeres, respecto a su búsqueda </w:t>
      </w:r>
      <w:r w:rsidR="00E4064D" w:rsidRPr="007E2E11">
        <w:rPr>
          <w:bCs/>
        </w:rPr>
        <w:t>durante</w:t>
      </w:r>
      <w:r w:rsidR="00E4064D" w:rsidRPr="007E2E11">
        <w:t xml:space="preserve"> las primeras horas y los primeros días</w:t>
      </w:r>
      <w:r w:rsidR="00AA3A5D" w:rsidRPr="007E2E11">
        <w:t>,</w:t>
      </w:r>
      <w:r w:rsidR="00E4064D" w:rsidRPr="007E2E11">
        <w:t xml:space="preserve"> y que esta obligación de medio, al ser más estricta, exige la realización exhaustiva de actividades de búsqueda. </w:t>
      </w:r>
      <w:r w:rsidR="00AA3A5D" w:rsidRPr="007E2E11">
        <w:t xml:space="preserve">En particular, es imprescindible la </w:t>
      </w:r>
      <w:r w:rsidR="00AA3A5D" w:rsidRPr="007E2E11">
        <w:rPr>
          <w:rFonts w:cs="Calibri"/>
        </w:rPr>
        <w:t>actuación</w:t>
      </w:r>
      <w:r w:rsidR="00AA3A5D" w:rsidRPr="007E2E11">
        <w:t xml:space="preserve"> pronta e inmediata de las autoridades policiales, fiscales y judiciales ordenando medidas oportunas y necesarias dirigidas a la determinación del paradero de la víctima. Deben existir procedimientos adecuados para las denuncias y que estas conlleven una investigación efectiva desde las primeras horas. Las autoridades deben presumir que la persona desaparecida sigue con vida hasta que se ponga fin a la incertidumbre sobre la suerte que ha corrido.</w:t>
      </w:r>
      <w:r w:rsidR="008246CA" w:rsidRPr="007E2E11">
        <w:rPr>
          <w:rFonts w:cs="Calibri"/>
        </w:rPr>
        <w:t xml:space="preserve"> </w:t>
      </w:r>
      <w:r w:rsidR="00DC5B8C">
        <w:rPr>
          <w:rFonts w:cs="Calibri"/>
        </w:rPr>
        <w:t xml:space="preserve">Con base en los estándares mencionados, </w:t>
      </w:r>
      <w:r w:rsidR="00DC5B8C">
        <w:t>l</w:t>
      </w:r>
      <w:r w:rsidR="00E54E8D" w:rsidRPr="007E2E11">
        <w:t xml:space="preserve">a Corte </w:t>
      </w:r>
      <w:r w:rsidR="00AA3A5D" w:rsidRPr="007E2E11">
        <w:t xml:space="preserve">analizó </w:t>
      </w:r>
      <w:r w:rsidR="00E54E8D" w:rsidRPr="007E2E11">
        <w:t xml:space="preserve">el deber de prevención </w:t>
      </w:r>
      <w:r w:rsidR="00AA3A5D" w:rsidRPr="007E2E11">
        <w:t xml:space="preserve">estatal en </w:t>
      </w:r>
      <w:r w:rsidR="00AA3A5D" w:rsidRPr="007E2E11">
        <w:rPr>
          <w:rFonts w:eastAsia="Calibri"/>
          <w:lang w:val="es-MX"/>
        </w:rPr>
        <w:t>dos</w:t>
      </w:r>
      <w:r w:rsidR="00AA3A5D" w:rsidRPr="007E2E11">
        <w:t xml:space="preserve"> períodos diferenciados. </w:t>
      </w:r>
    </w:p>
    <w:p w14:paraId="57D34385" w14:textId="77777777" w:rsidR="008246CA" w:rsidRPr="007E2E11" w:rsidRDefault="008246CA" w:rsidP="00E4064D">
      <w:pPr>
        <w:pStyle w:val="PrrafodeSentencia"/>
      </w:pPr>
    </w:p>
    <w:p w14:paraId="10ED3135" w14:textId="1169A90C" w:rsidR="008246CA" w:rsidRPr="007E2E11" w:rsidRDefault="00AA3A5D" w:rsidP="00E4064D">
      <w:pPr>
        <w:pStyle w:val="PrrafodeSentencia"/>
      </w:pPr>
      <w:r w:rsidRPr="007E2E11">
        <w:lastRenderedPageBreak/>
        <w:t xml:space="preserve">En primer lugar, </w:t>
      </w:r>
      <w:r w:rsidR="00E54E8D" w:rsidRPr="007E2E11">
        <w:t>antes de la desaparición de Claudina Velásquez</w:t>
      </w:r>
      <w:r w:rsidRPr="007E2E11">
        <w:t xml:space="preserve"> </w:t>
      </w:r>
      <w:r w:rsidR="004053E6" w:rsidRPr="007E2E11">
        <w:t>y en el marco</w:t>
      </w:r>
      <w:r w:rsidRPr="007E2E11">
        <w:t xml:space="preserve"> del </w:t>
      </w:r>
      <w:r w:rsidRPr="007E2E11">
        <w:rPr>
          <w:lang w:val="es-EC"/>
        </w:rPr>
        <w:t>deber general de prevenir el homicidio y las desapariciones de mujeres</w:t>
      </w:r>
      <w:r w:rsidR="00F77B5F" w:rsidRPr="007E2E11">
        <w:rPr>
          <w:lang w:val="es-EC"/>
        </w:rPr>
        <w:t>. L</w:t>
      </w:r>
      <w:r w:rsidR="004053E6" w:rsidRPr="007E2E11">
        <w:rPr>
          <w:lang w:val="es-EC"/>
        </w:rPr>
        <w:t>a Corte consideró que</w:t>
      </w:r>
      <w:r w:rsidR="00E54E8D" w:rsidRPr="007E2E11">
        <w:t xml:space="preserve"> para agosto de 2005, momento en que acontecieron los hechos de este caso, el Estado implementó acciones dirigidas a abordar la problemática de la violencia contra las mujeres. Sin embargo, varias organizaciones internacionales y nacionales, así como una de las peritas que participaron </w:t>
      </w:r>
      <w:r w:rsidR="007204C1" w:rsidRPr="007E2E11">
        <w:t xml:space="preserve">en </w:t>
      </w:r>
      <w:r w:rsidR="00E54E8D" w:rsidRPr="007E2E11">
        <w:t>el caso, coincidieron en que dichas medidas fueron insuficientes para solucionar el problema debido a la carencia de recursos asignados, la falta de coordinación entre las diversas instituciones y de una estrategia integral de protección.</w:t>
      </w:r>
      <w:r w:rsidR="00736222" w:rsidRPr="007E2E11">
        <w:t xml:space="preserve"> </w:t>
      </w:r>
    </w:p>
    <w:p w14:paraId="11FDECB2" w14:textId="77777777" w:rsidR="008246CA" w:rsidRPr="007E2E11" w:rsidRDefault="008246CA" w:rsidP="00E4064D">
      <w:pPr>
        <w:pStyle w:val="PrrafodeSentencia"/>
      </w:pPr>
    </w:p>
    <w:p w14:paraId="3028C13B" w14:textId="0FDCF4B9" w:rsidR="0039697A" w:rsidRPr="007E2E11" w:rsidRDefault="002C0A11" w:rsidP="008246CA">
      <w:pPr>
        <w:pStyle w:val="PrrafodeSentencia"/>
      </w:pPr>
      <w:r w:rsidRPr="007E2E11">
        <w:t>E</w:t>
      </w:r>
      <w:r w:rsidR="00016258" w:rsidRPr="007E2E11">
        <w:t xml:space="preserve">n </w:t>
      </w:r>
      <w:r w:rsidR="004053E6" w:rsidRPr="007E2E11">
        <w:t xml:space="preserve">segundo lugar, </w:t>
      </w:r>
      <w:r w:rsidR="004053E6" w:rsidRPr="007E2E11">
        <w:rPr>
          <w:lang w:val="es-EC"/>
        </w:rPr>
        <w:t xml:space="preserve">antes de la localización del cuerpo de Claudina Velásquez y </w:t>
      </w:r>
      <w:r w:rsidR="004053E6" w:rsidRPr="007E2E11">
        <w:t>en el marco del</w:t>
      </w:r>
      <w:r w:rsidR="004053E6" w:rsidRPr="007E2E11">
        <w:rPr>
          <w:lang w:val="es-EC"/>
        </w:rPr>
        <w:t xml:space="preserve"> deber específico de prevenir violaciones a los derechos a la integridad y vida</w:t>
      </w:r>
      <w:r w:rsidR="00E10C6E" w:rsidRPr="007E2E11">
        <w:rPr>
          <w:lang w:val="es-EC"/>
        </w:rPr>
        <w:t xml:space="preserve"> de aquella</w:t>
      </w:r>
      <w:r w:rsidR="00F77B5F" w:rsidRPr="007E2E11">
        <w:t>. L</w:t>
      </w:r>
      <w:r w:rsidRPr="007E2E11">
        <w:t>a Corte determinó que</w:t>
      </w:r>
      <w:r w:rsidR="008246CA" w:rsidRPr="007E2E11">
        <w:t xml:space="preserve"> el Estado tuvo conocimiento de que existía un riesgo real e inmediato de que Claudina Velásquez fuera agredida sexualmente, sometida a vejámenes y/o asesinada </w:t>
      </w:r>
      <w:r w:rsidRPr="007E2E11">
        <w:t xml:space="preserve">a partir </w:t>
      </w:r>
      <w:r w:rsidR="00E10C6E" w:rsidRPr="007E2E11">
        <w:rPr>
          <w:lang w:val="es-ES"/>
        </w:rPr>
        <w:t xml:space="preserve">de que </w:t>
      </w:r>
      <w:r w:rsidR="001F2985">
        <w:rPr>
          <w:lang w:val="es-ES"/>
        </w:rPr>
        <w:t>sus</w:t>
      </w:r>
      <w:r w:rsidR="00E10C6E" w:rsidRPr="007E2E11">
        <w:rPr>
          <w:lang w:val="es-ES"/>
        </w:rPr>
        <w:t xml:space="preserve"> padres realizaron la llamada telefónica a la PNC, y que una patrulla llegó a la garita principal de la Colonia Panorama a las 3:00 a.m. aproximadamente, momento en el cual los agentes policiales fueron informados por los padres de Claudina Velásquez que se encontraban realizando la búsqueda de su hija tras su desaparición y que tenían información de que ella podría estar en peligro.</w:t>
      </w:r>
      <w:r w:rsidR="008246CA" w:rsidRPr="007E2E11">
        <w:t xml:space="preserve"> En relación con estos hechos, la Corte determinó que si bien los funcionarios de la PNC se apersonaron a la brevedad tras la llamada de los padres de Claudina Velásquez, únicamente acompañaron a </w:t>
      </w:r>
      <w:r w:rsidR="008246CA" w:rsidRPr="007E2E11">
        <w:rPr>
          <w:lang w:val="es-ES"/>
        </w:rPr>
        <w:t>estos</w:t>
      </w:r>
      <w:r w:rsidR="008246CA" w:rsidRPr="007E2E11">
        <w:t xml:space="preserve"> desde la garita principal de una colonia hasta la entrada de otra, tras lo cual les indicaron que iban a seguir patrullando y que esperaran a presentar la denuncia. Dado el contexto de violencia contra la mujer conocid</w:t>
      </w:r>
      <w:r w:rsidR="00F77B5F" w:rsidRPr="007E2E11">
        <w:t>o</w:t>
      </w:r>
      <w:r w:rsidR="008246CA" w:rsidRPr="007E2E11">
        <w:t xml:space="preserve"> por el Estado, la respuesta de las autoridades estatales fue claramente insuficiente frente a la posibilidad de que peligraba la integridad personal y vida de </w:t>
      </w:r>
      <w:r w:rsidR="001F2985">
        <w:t>la víctima</w:t>
      </w:r>
      <w:r w:rsidR="008246CA" w:rsidRPr="007E2E11">
        <w:t>. Lo anterior, debido a que no consta siquiera que hayan recolectado los datos y descripciones que permitirían su identificación, ni que hayan emprendido una búsqueda exhaustiva, estratégica y coordinada con otras autoridades estatales, recorriendo los lugares donde razonablemente sería más probable encontrarla, ni se entrevistó a personas que razonablemente podrían tener información sobre su paradero.</w:t>
      </w:r>
      <w:r w:rsidR="00F77B5F" w:rsidRPr="007E2E11">
        <w:t xml:space="preserve"> </w:t>
      </w:r>
    </w:p>
    <w:p w14:paraId="3028C13C" w14:textId="77777777" w:rsidR="00016258" w:rsidRPr="007E2E11" w:rsidRDefault="00016258" w:rsidP="007064D9">
      <w:pPr>
        <w:pStyle w:val="PrrafodeSentencia"/>
      </w:pPr>
    </w:p>
    <w:p w14:paraId="17EE33FE" w14:textId="762D0C0B" w:rsidR="00A94C53" w:rsidRPr="007E2E11" w:rsidRDefault="00016258" w:rsidP="00A94C53">
      <w:pPr>
        <w:pStyle w:val="PrrafodeSentencia"/>
        <w:rPr>
          <w:lang w:val="es-CR"/>
        </w:rPr>
      </w:pPr>
      <w:r w:rsidRPr="007E2E11">
        <w:rPr>
          <w:lang w:val="es-CR"/>
        </w:rPr>
        <w:t xml:space="preserve">En vista de </w:t>
      </w:r>
      <w:r w:rsidR="00797A38" w:rsidRPr="007E2E11">
        <w:rPr>
          <w:lang w:val="es-CR"/>
        </w:rPr>
        <w:t>todo lo anterior</w:t>
      </w:r>
      <w:r w:rsidRPr="007E2E11">
        <w:rPr>
          <w:lang w:val="es-CR"/>
        </w:rPr>
        <w:t>, la Corte consider</w:t>
      </w:r>
      <w:r w:rsidR="00736222" w:rsidRPr="007E2E11">
        <w:rPr>
          <w:lang w:val="es-CR"/>
        </w:rPr>
        <w:t>ó</w:t>
      </w:r>
      <w:r w:rsidRPr="007E2E11">
        <w:rPr>
          <w:lang w:val="es-CR"/>
        </w:rPr>
        <w:t xml:space="preserve"> que</w:t>
      </w:r>
      <w:r w:rsidR="003E199D" w:rsidRPr="007E2E11">
        <w:rPr>
          <w:lang w:val="es-CR"/>
        </w:rPr>
        <w:t xml:space="preserve"> el Estado</w:t>
      </w:r>
      <w:r w:rsidR="00AF3EE0" w:rsidRPr="007E2E11">
        <w:rPr>
          <w:lang w:val="es-CR"/>
        </w:rPr>
        <w:t xml:space="preserve"> </w:t>
      </w:r>
      <w:r w:rsidR="00AF3EE0" w:rsidRPr="007E2E11">
        <w:t>no demostró haber implementado las medidas necesarias, conforme al artículo 2 de la Convención Americana y al artículo 7 de la Convención de Belém do Pará, de forma que los funcionarios responsables de recibir denuncias de desaparición tuvieran la capacidad y la sensibilidad para entender la gravedad de las mismas frente al contexto de violencia contra la mujer, así como la voluntad y entrenamiento para actuar de inmediato y de forma eficaz</w:t>
      </w:r>
      <w:r w:rsidR="00A94C53" w:rsidRPr="007E2E11">
        <w:t>. Además, la Corte concluyó que</w:t>
      </w:r>
      <w:r w:rsidRPr="007E2E11">
        <w:rPr>
          <w:lang w:val="es-CR"/>
        </w:rPr>
        <w:t xml:space="preserve"> las autoridades </w:t>
      </w:r>
      <w:r w:rsidR="00A94C53" w:rsidRPr="007E2E11">
        <w:rPr>
          <w:lang w:val="es-CR"/>
        </w:rPr>
        <w:t xml:space="preserve">guatemaltecas no actuaron con la debida diligencia </w:t>
      </w:r>
      <w:r w:rsidR="00A94C53" w:rsidRPr="007E2E11">
        <w:t xml:space="preserve">requerida para prevenir adecuadamente la muerte y agresiones sufridas por Claudina Velásquez y no actuaron como razonablemente era de esperarse de acuerdo al contexto del caso y a las circunstancias del hecho denunciado. En razón de todo lo expuesto, el Tribunal concluyó que el Estado violó su deber de garantizar el libre y pleno ejercicio de los derechos a la vida e integridad personal reconocidos en los artículos 4.1 y 5.1 de la Convención Americana, en relación con la obligación general de garantía contemplada en el artículo 1.1 y </w:t>
      </w:r>
      <w:r w:rsidR="00A94C53" w:rsidRPr="007E2E11">
        <w:rPr>
          <w:lang w:val="es-GT"/>
        </w:rPr>
        <w:t xml:space="preserve">en relación con </w:t>
      </w:r>
      <w:r w:rsidR="00A94C53" w:rsidRPr="007E2E11">
        <w:t>la obligación de adoptar disposiciones de derecho interno contemplada en el artículo 2 de la misma, así como con las obligaciones establecidas en el artículo 7 de la Convención de Belém do Pará, en perjuicio de Claudina Isabel Velásquez Paiz.</w:t>
      </w:r>
    </w:p>
    <w:p w14:paraId="01110279" w14:textId="77777777" w:rsidR="00A94C53" w:rsidRDefault="00A94C53" w:rsidP="003E199D">
      <w:pPr>
        <w:pStyle w:val="PrrafodeSentencia"/>
        <w:rPr>
          <w:lang w:val="es-CR"/>
        </w:rPr>
      </w:pPr>
    </w:p>
    <w:p w14:paraId="6BCDBE18" w14:textId="77777777" w:rsidR="005F385E" w:rsidRDefault="005F385E" w:rsidP="003E199D">
      <w:pPr>
        <w:pStyle w:val="PrrafodeSentencia"/>
        <w:rPr>
          <w:lang w:val="es-CR"/>
        </w:rPr>
      </w:pPr>
    </w:p>
    <w:p w14:paraId="4F028572" w14:textId="77777777" w:rsidR="005F385E" w:rsidRDefault="005F385E" w:rsidP="003E199D">
      <w:pPr>
        <w:pStyle w:val="PrrafodeSentencia"/>
        <w:rPr>
          <w:lang w:val="es-CR"/>
        </w:rPr>
      </w:pPr>
    </w:p>
    <w:p w14:paraId="2EC64174" w14:textId="77777777" w:rsidR="005F385E" w:rsidRDefault="005F385E" w:rsidP="003E199D">
      <w:pPr>
        <w:pStyle w:val="PrrafodeSentencia"/>
        <w:rPr>
          <w:lang w:val="es-CR"/>
        </w:rPr>
      </w:pPr>
    </w:p>
    <w:p w14:paraId="06C9CD38" w14:textId="77777777" w:rsidR="005F385E" w:rsidRDefault="005F385E" w:rsidP="003E199D">
      <w:pPr>
        <w:pStyle w:val="PrrafodeSentencia"/>
        <w:rPr>
          <w:lang w:val="es-CR"/>
        </w:rPr>
      </w:pPr>
    </w:p>
    <w:p w14:paraId="06D29B2A" w14:textId="77777777" w:rsidR="005F385E" w:rsidRDefault="005F385E" w:rsidP="003E199D">
      <w:pPr>
        <w:pStyle w:val="PrrafodeSentencia"/>
        <w:rPr>
          <w:lang w:val="es-CR"/>
        </w:rPr>
      </w:pPr>
    </w:p>
    <w:p w14:paraId="3028C144" w14:textId="129ECB93" w:rsidR="0039697A" w:rsidRPr="007E2E11" w:rsidRDefault="00EA73C7" w:rsidP="003C3D5A">
      <w:pPr>
        <w:pStyle w:val="PrrafodeSentencia"/>
        <w:numPr>
          <w:ilvl w:val="1"/>
          <w:numId w:val="3"/>
        </w:numPr>
        <w:ind w:left="0" w:firstLine="0"/>
        <w:rPr>
          <w:b/>
        </w:rPr>
      </w:pPr>
      <w:r w:rsidRPr="007E2E11">
        <w:rPr>
          <w:b/>
        </w:rPr>
        <w:lastRenderedPageBreak/>
        <w:t xml:space="preserve">Derechos </w:t>
      </w:r>
      <w:r w:rsidR="00FB55E9" w:rsidRPr="007E2E11">
        <w:rPr>
          <w:b/>
        </w:rPr>
        <w:t>a las garantías judiciales</w:t>
      </w:r>
      <w:r w:rsidR="00FB55E9" w:rsidRPr="007E2E11">
        <w:rPr>
          <w:b/>
          <w:lang w:val="es-EC"/>
        </w:rPr>
        <w:t xml:space="preserve">, a </w:t>
      </w:r>
      <w:r w:rsidR="00FB55E9" w:rsidRPr="007E2E11">
        <w:rPr>
          <w:b/>
        </w:rPr>
        <w:t>la protección judicial</w:t>
      </w:r>
      <w:r w:rsidR="00FB55E9" w:rsidRPr="007E2E11">
        <w:rPr>
          <w:b/>
          <w:lang w:val="es-EC"/>
        </w:rPr>
        <w:t>, y a la igualdad ante la ley</w:t>
      </w:r>
      <w:r w:rsidR="00FB55E9" w:rsidRPr="007E2E11">
        <w:rPr>
          <w:b/>
          <w:lang w:val="es-PR"/>
        </w:rPr>
        <w:t>,</w:t>
      </w:r>
      <w:r w:rsidR="00FB55E9" w:rsidRPr="007E2E11">
        <w:rPr>
          <w:b/>
        </w:rPr>
        <w:t xml:space="preserve"> en relación con los artículos 1.1 y 2 de la Convención Americana y artículo 7 de la Convención de Belém </w:t>
      </w:r>
      <w:r w:rsidR="00FB55E9" w:rsidRPr="007E2E11">
        <w:rPr>
          <w:b/>
          <w:lang w:val="es-EC"/>
        </w:rPr>
        <w:t>d</w:t>
      </w:r>
      <w:r w:rsidR="00FB55E9" w:rsidRPr="007E2E11">
        <w:rPr>
          <w:b/>
        </w:rPr>
        <w:t>o Pará, en perjuicio de los familiares</w:t>
      </w:r>
      <w:r w:rsidR="00FB55E9" w:rsidRPr="007E2E11">
        <w:rPr>
          <w:b/>
          <w:lang w:val="es-EC"/>
        </w:rPr>
        <w:t xml:space="preserve"> de Claudina Velásquez Paiz</w:t>
      </w:r>
    </w:p>
    <w:p w14:paraId="595CF1C9" w14:textId="77777777" w:rsidR="00ED30C9" w:rsidRPr="007E2E11" w:rsidRDefault="00ED30C9" w:rsidP="00ED30C9">
      <w:pPr>
        <w:pStyle w:val="PrrafodeSentencia"/>
        <w:rPr>
          <w:b/>
        </w:rPr>
      </w:pPr>
    </w:p>
    <w:p w14:paraId="3028C146" w14:textId="56E7687C" w:rsidR="00FB55E9" w:rsidRPr="007E2E11" w:rsidRDefault="00FB55E9" w:rsidP="009E494A">
      <w:pPr>
        <w:autoSpaceDE w:val="0"/>
        <w:autoSpaceDN w:val="0"/>
        <w:adjustRightInd w:val="0"/>
        <w:jc w:val="both"/>
        <w:rPr>
          <w:rFonts w:ascii="Verdana" w:eastAsia="Batang" w:hAnsi="Verdana"/>
          <w:sz w:val="20"/>
          <w:szCs w:val="20"/>
          <w:lang w:val="es-EC" w:eastAsia="es-MX"/>
        </w:rPr>
      </w:pPr>
      <w:r w:rsidRPr="007E2E11">
        <w:rPr>
          <w:rFonts w:ascii="Verdana" w:hAnsi="Verdana"/>
          <w:sz w:val="20"/>
          <w:szCs w:val="20"/>
          <w:lang w:val="es-MX"/>
        </w:rPr>
        <w:t>En primer lugar, la</w:t>
      </w:r>
      <w:r w:rsidRPr="007E2E11">
        <w:rPr>
          <w:rFonts w:ascii="Verdana" w:hAnsi="Verdana"/>
          <w:sz w:val="20"/>
          <w:szCs w:val="20"/>
        </w:rPr>
        <w:t xml:space="preserve"> Corte observó que la investigación penal no inició a partir de las denuncias sobre la desaparición de </w:t>
      </w:r>
      <w:r w:rsidR="003F122F" w:rsidRPr="007E2E11">
        <w:rPr>
          <w:rFonts w:ascii="Verdana" w:hAnsi="Verdana"/>
          <w:sz w:val="20"/>
          <w:szCs w:val="20"/>
        </w:rPr>
        <w:t>Claudina Velásquez</w:t>
      </w:r>
      <w:r w:rsidRPr="007E2E11">
        <w:rPr>
          <w:rFonts w:ascii="Verdana" w:hAnsi="Verdana"/>
          <w:sz w:val="20"/>
          <w:szCs w:val="20"/>
        </w:rPr>
        <w:t>, sino a partir del</w:t>
      </w:r>
      <w:r w:rsidRPr="007E2E11">
        <w:rPr>
          <w:rFonts w:ascii="Verdana" w:eastAsia="Batang" w:hAnsi="Verdana"/>
          <w:sz w:val="20"/>
          <w:szCs w:val="20"/>
          <w:lang w:val="es-ES" w:eastAsia="es-MX"/>
        </w:rPr>
        <w:t xml:space="preserve"> hallazgo de su cuerpo sin vida</w:t>
      </w:r>
      <w:r w:rsidRPr="007E2E11">
        <w:rPr>
          <w:rFonts w:ascii="Verdana" w:hAnsi="Verdana"/>
          <w:sz w:val="20"/>
          <w:szCs w:val="20"/>
        </w:rPr>
        <w:t>.</w:t>
      </w:r>
      <w:r w:rsidRPr="007E2E11">
        <w:rPr>
          <w:rFonts w:ascii="Verdana" w:eastAsia="Batang" w:hAnsi="Verdana"/>
          <w:sz w:val="20"/>
          <w:szCs w:val="20"/>
          <w:lang w:val="es-ES_tradnl" w:eastAsia="es-MX"/>
        </w:rPr>
        <w:t xml:space="preserve"> </w:t>
      </w:r>
      <w:r w:rsidR="001F2985">
        <w:rPr>
          <w:rFonts w:ascii="Verdana" w:eastAsia="Batang" w:hAnsi="Verdana"/>
          <w:sz w:val="20"/>
          <w:szCs w:val="20"/>
          <w:lang w:val="es-ES_tradnl" w:eastAsia="es-MX"/>
        </w:rPr>
        <w:t>Posteriormente</w:t>
      </w:r>
      <w:r w:rsidRPr="007E2E11">
        <w:rPr>
          <w:rFonts w:ascii="Verdana" w:eastAsia="Batang" w:hAnsi="Verdana"/>
          <w:sz w:val="20"/>
          <w:szCs w:val="20"/>
          <w:lang w:val="es-ES_tradnl" w:eastAsia="es-MX"/>
        </w:rPr>
        <w:t>, este Tribunal constató diversas</w:t>
      </w:r>
      <w:r w:rsidRPr="007E2E11">
        <w:rPr>
          <w:rFonts w:ascii="Verdana" w:eastAsia="Batang" w:hAnsi="Verdana"/>
          <w:sz w:val="20"/>
          <w:szCs w:val="20"/>
          <w:lang w:val="es-EC" w:eastAsia="es-MX"/>
        </w:rPr>
        <w:t xml:space="preserve"> irregularidades </w:t>
      </w:r>
      <w:r w:rsidR="003F122F" w:rsidRPr="007E2E11">
        <w:rPr>
          <w:rFonts w:ascii="Verdana" w:hAnsi="Verdana"/>
          <w:sz w:val="20"/>
          <w:szCs w:val="20"/>
        </w:rPr>
        <w:t>en la investigación a partir del hallazgo del cuerpo de la víctima y posteriores actuaciones de los funcionarios estatales</w:t>
      </w:r>
      <w:r w:rsidRPr="007E2E11">
        <w:rPr>
          <w:rFonts w:ascii="Verdana" w:eastAsia="Batang" w:hAnsi="Verdana"/>
          <w:sz w:val="20"/>
          <w:szCs w:val="20"/>
          <w:lang w:val="es-EC" w:eastAsia="es-MX"/>
        </w:rPr>
        <w:t xml:space="preserve">, a saber: </w:t>
      </w:r>
      <w:r w:rsidR="00D5134C" w:rsidRPr="007E2E11">
        <w:rPr>
          <w:rFonts w:ascii="Verdana" w:eastAsia="Batang" w:hAnsi="Verdana"/>
          <w:sz w:val="20"/>
          <w:szCs w:val="20"/>
          <w:lang w:val="es-EC" w:eastAsia="es-MX"/>
        </w:rPr>
        <w:t xml:space="preserve">i) </w:t>
      </w:r>
      <w:r w:rsidR="00D5134C" w:rsidRPr="007E2E11">
        <w:rPr>
          <w:rFonts w:ascii="Verdana" w:eastAsia="Batang" w:hAnsi="Verdana" w:cs="Arial"/>
          <w:sz w:val="20"/>
          <w:szCs w:val="20"/>
          <w:lang w:val="es-ES" w:eastAsia="es-MX"/>
        </w:rPr>
        <w:t>falta de un registro policial sobre el hallazgo del cuerpo; ii) falta de investigación</w:t>
      </w:r>
      <w:r w:rsidR="00BB6BFE">
        <w:rPr>
          <w:rFonts w:ascii="Verdana" w:eastAsia="Batang" w:hAnsi="Verdana" w:cs="Arial"/>
          <w:sz w:val="20"/>
          <w:szCs w:val="20"/>
          <w:lang w:val="es-ES" w:eastAsia="es-MX"/>
        </w:rPr>
        <w:t xml:space="preserve"> de</w:t>
      </w:r>
      <w:r w:rsidR="00D5134C" w:rsidRPr="007E2E11">
        <w:rPr>
          <w:rFonts w:ascii="Verdana" w:eastAsia="Batang" w:hAnsi="Verdana" w:cs="Arial"/>
          <w:sz w:val="20"/>
          <w:szCs w:val="20"/>
          <w:lang w:val="es-ES" w:eastAsia="es-MX"/>
        </w:rPr>
        <w:t xml:space="preserve"> los indicios de manipulación del cadáver; iii) incorrecto manejo de la escena del crimen; iv) </w:t>
      </w:r>
      <w:r w:rsidR="00D5134C" w:rsidRPr="007E2E11">
        <w:rPr>
          <w:rFonts w:ascii="Verdana" w:eastAsia="Batang" w:hAnsi="Verdana"/>
          <w:sz w:val="20"/>
          <w:szCs w:val="20"/>
          <w:lang w:val="es-ES" w:eastAsia="es-MX"/>
        </w:rPr>
        <w:t xml:space="preserve">irregularidades en la documentación y preservación de la evidencia; v) </w:t>
      </w:r>
      <w:r w:rsidR="00D5134C" w:rsidRPr="007E2E11">
        <w:rPr>
          <w:rFonts w:ascii="Verdana" w:eastAsia="Batang" w:hAnsi="Verdana" w:cs="Arial"/>
          <w:sz w:val="20"/>
          <w:szCs w:val="20"/>
          <w:lang w:val="es-ES" w:eastAsia="es-MX"/>
        </w:rPr>
        <w:t>falta de recaudación y preservación de evidencia</w:t>
      </w:r>
      <w:r w:rsidR="00D5134C" w:rsidRPr="007E2E11">
        <w:rPr>
          <w:rFonts w:ascii="Verdana" w:eastAsia="Batang" w:hAnsi="Verdana" w:cs="Arial"/>
          <w:sz w:val="20"/>
          <w:szCs w:val="20"/>
          <w:lang w:val="es-ES_tradnl" w:eastAsia="es-MX"/>
        </w:rPr>
        <w:t xml:space="preserve">; vi) </w:t>
      </w:r>
      <w:r w:rsidR="00D5134C" w:rsidRPr="007E2E11">
        <w:rPr>
          <w:rFonts w:ascii="Verdana" w:eastAsia="Batang" w:hAnsi="Verdana"/>
          <w:sz w:val="20"/>
          <w:szCs w:val="20"/>
          <w:lang w:val="es-ES" w:eastAsia="es-MX"/>
        </w:rPr>
        <w:t xml:space="preserve">irregularidades respecto a la práctica de la necropsia y su documentación; vii) </w:t>
      </w:r>
      <w:r w:rsidR="00D5134C" w:rsidRPr="007E2E11">
        <w:rPr>
          <w:rFonts w:ascii="Verdana" w:eastAsia="Batang" w:hAnsi="Verdana" w:cs="Arial"/>
          <w:sz w:val="20"/>
          <w:szCs w:val="20"/>
          <w:lang w:val="es-ES" w:eastAsia="es-MX"/>
        </w:rPr>
        <w:t>irregularidades y falta de determinación de la hora de la muerte; viii) referencia a la víctima como “XX” en informes de investigación elaborados con posterioridad a su identificación, e ix)</w:t>
      </w:r>
      <w:r w:rsidR="00D5134C" w:rsidRPr="007E2E11">
        <w:rPr>
          <w:rFonts w:ascii="Verdana" w:eastAsia="Batang" w:hAnsi="Verdana"/>
          <w:sz w:val="20"/>
          <w:szCs w:val="20"/>
          <w:lang w:val="es-EC" w:eastAsia="es-MX"/>
        </w:rPr>
        <w:t xml:space="preserve"> </w:t>
      </w:r>
      <w:r w:rsidR="00D5134C" w:rsidRPr="007E2E11">
        <w:rPr>
          <w:rFonts w:ascii="Verdana" w:eastAsia="Batang" w:hAnsi="Verdana" w:cs="Arial"/>
          <w:sz w:val="20"/>
          <w:szCs w:val="20"/>
          <w:lang w:val="es-ES" w:eastAsia="es-MX"/>
        </w:rPr>
        <w:t xml:space="preserve">irregularidades en el reconocimiento médico forense y su informe respectivo. </w:t>
      </w:r>
      <w:r w:rsidRPr="007E2E11">
        <w:rPr>
          <w:rFonts w:ascii="Verdana" w:eastAsia="Batang" w:hAnsi="Verdana" w:cs="Arial"/>
          <w:sz w:val="20"/>
          <w:szCs w:val="20"/>
          <w:lang w:val="es-ES" w:eastAsia="es-MX"/>
        </w:rPr>
        <w:t xml:space="preserve">Al respecto, la Corte estableció que </w:t>
      </w:r>
      <w:r w:rsidRPr="007E2E11">
        <w:rPr>
          <w:rFonts w:ascii="Verdana" w:eastAsia="Batang" w:hAnsi="Verdana"/>
          <w:sz w:val="20"/>
          <w:szCs w:val="20"/>
          <w:lang w:val="es-ES_tradnl" w:eastAsia="es-MX"/>
        </w:rPr>
        <w:t xml:space="preserve">las falencias de las </w:t>
      </w:r>
      <w:r w:rsidRPr="007E2E11">
        <w:rPr>
          <w:rFonts w:ascii="Verdana" w:eastAsia="Batang" w:hAnsi="Verdana"/>
          <w:bCs/>
          <w:sz w:val="20"/>
          <w:szCs w:val="20"/>
          <w:lang w:val="es-CL" w:eastAsia="es-MX"/>
        </w:rPr>
        <w:t xml:space="preserve">primeras diligencias </w:t>
      </w:r>
      <w:r w:rsidRPr="007E2E11">
        <w:rPr>
          <w:rFonts w:ascii="Verdana" w:eastAsia="Batang" w:hAnsi="Verdana"/>
          <w:sz w:val="20"/>
          <w:szCs w:val="20"/>
          <w:lang w:val="es-ES_tradnl" w:eastAsia="es-MX"/>
        </w:rPr>
        <w:t>de la investigación difícilmente podían ser subsanadas por</w:t>
      </w:r>
      <w:r w:rsidR="00E24D19" w:rsidRPr="007E2E11">
        <w:rPr>
          <w:rFonts w:ascii="Verdana" w:eastAsia="Batang" w:hAnsi="Verdana"/>
          <w:sz w:val="20"/>
          <w:szCs w:val="20"/>
          <w:lang w:val="es-ES_tradnl" w:eastAsia="es-MX"/>
        </w:rPr>
        <w:t xml:space="preserve"> las</w:t>
      </w:r>
      <w:r w:rsidRPr="007E2E11">
        <w:rPr>
          <w:rFonts w:ascii="Verdana" w:eastAsia="Batang" w:hAnsi="Verdana"/>
          <w:sz w:val="20"/>
          <w:szCs w:val="20"/>
          <w:lang w:val="es-ES_tradnl" w:eastAsia="es-MX"/>
        </w:rPr>
        <w:t xml:space="preserve"> tardías e insuficientes diligencias probatorias que el Estado trató de impulsar y, además, la pérdida de evidencia devino en irreparable. En razón de todo lo anterior, la Corte estableció que se </w:t>
      </w:r>
      <w:r w:rsidRPr="007E2E11">
        <w:rPr>
          <w:rFonts w:ascii="Verdana" w:eastAsia="Cambria" w:hAnsi="Verdana" w:cs="Arial"/>
          <w:sz w:val="20"/>
          <w:szCs w:val="20"/>
          <w:lang w:val="es-ES_tradnl" w:eastAsia="es-MX"/>
        </w:rPr>
        <w:t xml:space="preserve">afectó la </w:t>
      </w:r>
      <w:r w:rsidRPr="007E2E11">
        <w:rPr>
          <w:rFonts w:ascii="Verdana" w:eastAsia="Batang" w:hAnsi="Verdana"/>
          <w:sz w:val="20"/>
          <w:szCs w:val="20"/>
          <w:lang w:val="es-ES_tradnl" w:eastAsia="es-MX"/>
        </w:rPr>
        <w:t>debida diligencia y rigor en la investigación</w:t>
      </w:r>
      <w:r w:rsidRPr="007E2E11">
        <w:rPr>
          <w:rFonts w:ascii="Verdana" w:eastAsia="Cambria" w:hAnsi="Verdana" w:cs="Arial"/>
          <w:sz w:val="20"/>
          <w:szCs w:val="20"/>
          <w:lang w:val="es-ES_tradnl" w:eastAsia="es-MX"/>
        </w:rPr>
        <w:t>.</w:t>
      </w:r>
    </w:p>
    <w:p w14:paraId="3028C147" w14:textId="77777777" w:rsidR="00FB55E9" w:rsidRPr="007E2E11" w:rsidRDefault="00FB55E9" w:rsidP="00FB55E9">
      <w:pPr>
        <w:autoSpaceDE w:val="0"/>
        <w:autoSpaceDN w:val="0"/>
        <w:adjustRightInd w:val="0"/>
        <w:jc w:val="both"/>
        <w:rPr>
          <w:rFonts w:ascii="Verdana" w:hAnsi="Verdana"/>
          <w:sz w:val="20"/>
          <w:szCs w:val="20"/>
          <w:lang w:val="es-ES_tradnl"/>
        </w:rPr>
      </w:pPr>
    </w:p>
    <w:p w14:paraId="751904BC" w14:textId="3DD30C6C" w:rsidR="00B56192" w:rsidRPr="007E2E11" w:rsidRDefault="00FB55E9" w:rsidP="00FB55E9">
      <w:pPr>
        <w:autoSpaceDE w:val="0"/>
        <w:autoSpaceDN w:val="0"/>
        <w:adjustRightInd w:val="0"/>
        <w:jc w:val="both"/>
        <w:rPr>
          <w:rFonts w:ascii="Verdana" w:eastAsia="Batang" w:hAnsi="Verdana"/>
          <w:sz w:val="20"/>
          <w:szCs w:val="20"/>
          <w:lang w:val="es-ES" w:eastAsia="es-MX"/>
        </w:rPr>
      </w:pPr>
      <w:r w:rsidRPr="007E2E11">
        <w:rPr>
          <w:rFonts w:ascii="Verdana" w:hAnsi="Verdana"/>
          <w:sz w:val="20"/>
          <w:szCs w:val="20"/>
        </w:rPr>
        <w:t xml:space="preserve">En segundo lugar, el Tribunal analizó la falta de debida diligencia en relación con las líneas lógicas de investigación, en la recaudación y práctica de prueba, y plazo razonable. Al respecto, </w:t>
      </w:r>
      <w:r w:rsidR="00EB190E" w:rsidRPr="007E2E11">
        <w:rPr>
          <w:rFonts w:ascii="Verdana" w:eastAsia="Batang" w:hAnsi="Verdana"/>
          <w:sz w:val="20"/>
          <w:szCs w:val="20"/>
          <w:lang w:val="es-ES" w:eastAsia="es-MX"/>
        </w:rPr>
        <w:t xml:space="preserve">la Corte </w:t>
      </w:r>
      <w:r w:rsidR="00B56192" w:rsidRPr="007E2E11">
        <w:rPr>
          <w:rFonts w:ascii="Verdana" w:eastAsia="Batang" w:hAnsi="Verdana"/>
          <w:sz w:val="20"/>
          <w:szCs w:val="20"/>
          <w:lang w:val="es-ES" w:eastAsia="es-MX"/>
        </w:rPr>
        <w:t xml:space="preserve">concluyó que </w:t>
      </w:r>
      <w:r w:rsidR="00B56192" w:rsidRPr="007E2E11">
        <w:rPr>
          <w:rFonts w:ascii="Verdana" w:eastAsia="Batang" w:hAnsi="Verdana"/>
          <w:sz w:val="20"/>
          <w:szCs w:val="20"/>
          <w:lang w:val="es-ES_tradnl" w:eastAsia="es-MX"/>
        </w:rPr>
        <w:t>han transcurrido más de 10 años</w:t>
      </w:r>
      <w:r w:rsidR="00B56192" w:rsidRPr="007E2E11">
        <w:rPr>
          <w:rFonts w:ascii="Verdana" w:eastAsia="Batang" w:hAnsi="Verdana" w:cs="Arial"/>
          <w:sz w:val="20"/>
          <w:szCs w:val="20"/>
          <w:lang w:val="es-ES_tradnl" w:eastAsia="es-MX"/>
        </w:rPr>
        <w:t xml:space="preserve"> desde los hechos del caso y desde </w:t>
      </w:r>
      <w:r w:rsidR="00B56192" w:rsidRPr="007E2E11">
        <w:rPr>
          <w:rFonts w:ascii="Verdana" w:eastAsia="Batang" w:hAnsi="Verdana"/>
          <w:sz w:val="20"/>
          <w:szCs w:val="20"/>
          <w:lang w:val="es-ES" w:eastAsia="es-MX"/>
        </w:rPr>
        <w:t>que</w:t>
      </w:r>
      <w:r w:rsidR="00B56192" w:rsidRPr="007E2E11">
        <w:rPr>
          <w:rFonts w:ascii="Verdana" w:eastAsia="Batang" w:hAnsi="Verdana" w:cs="Arial"/>
          <w:sz w:val="20"/>
          <w:szCs w:val="20"/>
          <w:lang w:val="es-ES_tradnl" w:eastAsia="es-MX"/>
        </w:rPr>
        <w:t xml:space="preserve"> se </w:t>
      </w:r>
      <w:r w:rsidR="00B56192" w:rsidRPr="007E2E11">
        <w:rPr>
          <w:rFonts w:ascii="Verdana" w:eastAsia="Batang" w:hAnsi="Verdana"/>
          <w:sz w:val="20"/>
          <w:szCs w:val="20"/>
          <w:lang w:val="es-ES_tradnl" w:eastAsia="es-MX"/>
        </w:rPr>
        <w:t>inició</w:t>
      </w:r>
      <w:r w:rsidR="00CC6598" w:rsidRPr="007E2E11">
        <w:rPr>
          <w:rFonts w:ascii="Verdana" w:eastAsia="Batang" w:hAnsi="Verdana" w:cs="Arial"/>
          <w:sz w:val="20"/>
          <w:szCs w:val="20"/>
          <w:lang w:val="es-ES_tradnl" w:eastAsia="es-MX"/>
        </w:rPr>
        <w:t xml:space="preserve"> la investigación</w:t>
      </w:r>
      <w:r w:rsidR="00B56192" w:rsidRPr="007E2E11">
        <w:rPr>
          <w:rFonts w:ascii="Verdana" w:eastAsia="Batang" w:hAnsi="Verdana" w:cs="Arial"/>
          <w:sz w:val="20"/>
          <w:szCs w:val="20"/>
          <w:lang w:val="es-ES_tradnl" w:eastAsia="es-MX"/>
        </w:rPr>
        <w:t xml:space="preserve"> y aún no se ha determinado la verdad de lo ocurrido. Las diligencias de investigación han sido tardías y repetitivas, afectando con ello los resultados de la misma. Además, respecto a algunas otras diligencias, no se </w:t>
      </w:r>
      <w:r w:rsidR="00B56192" w:rsidRPr="007E2E11">
        <w:rPr>
          <w:rFonts w:ascii="Verdana" w:eastAsia="Batang" w:hAnsi="Verdana" w:cs="Arial"/>
          <w:color w:val="000000"/>
          <w:sz w:val="20"/>
          <w:szCs w:val="20"/>
          <w:lang w:val="es-ES" w:eastAsia="es-MX"/>
        </w:rPr>
        <w:t xml:space="preserve">tiene </w:t>
      </w:r>
      <w:r w:rsidR="00B56192" w:rsidRPr="007E2E11">
        <w:rPr>
          <w:rFonts w:ascii="Verdana" w:hAnsi="Verdana" w:cs="Arial"/>
          <w:color w:val="000000"/>
          <w:sz w:val="20"/>
          <w:szCs w:val="20"/>
          <w:lang w:val="es-ES" w:eastAsia="es-MX"/>
        </w:rPr>
        <w:t>claridad sobre las razones por las cuales se han practicado. Finalmente, otras diligencias se han prolongado a través del tiempo sin resultados concretos</w:t>
      </w:r>
      <w:r w:rsidR="00B56192" w:rsidRPr="007E2E11">
        <w:rPr>
          <w:rFonts w:ascii="Verdana" w:eastAsia="Batang" w:hAnsi="Verdana" w:cs="Arial"/>
          <w:sz w:val="20"/>
          <w:szCs w:val="20"/>
          <w:lang w:val="es-ES_tradnl" w:eastAsia="es-MX"/>
        </w:rPr>
        <w:t xml:space="preserve">. </w:t>
      </w:r>
      <w:r w:rsidR="00CC6598" w:rsidRPr="007E2E11">
        <w:rPr>
          <w:rFonts w:ascii="Verdana" w:eastAsia="Batang" w:hAnsi="Verdana" w:cs="Arial"/>
          <w:sz w:val="20"/>
          <w:szCs w:val="20"/>
          <w:lang w:val="es-ES_tradnl" w:eastAsia="es-MX"/>
        </w:rPr>
        <w:t>Por tanto, l</w:t>
      </w:r>
      <w:r w:rsidR="00B56192" w:rsidRPr="007E2E11">
        <w:rPr>
          <w:rFonts w:ascii="Verdana" w:eastAsia="Batang" w:hAnsi="Verdana" w:cs="Arial"/>
          <w:sz w:val="20"/>
          <w:szCs w:val="20"/>
          <w:lang w:val="es-ES_tradnl" w:eastAsia="es-MX"/>
        </w:rPr>
        <w:t xml:space="preserve">a falta de debida diligencia en el presente caso ha afectado el derecho al acceso a la justicia de los familiares de Claudina Velásquez en un plazo </w:t>
      </w:r>
      <w:r w:rsidR="00B56192" w:rsidRPr="007E2E11">
        <w:rPr>
          <w:rFonts w:ascii="Verdana" w:eastAsia="Batang" w:hAnsi="Verdana"/>
          <w:sz w:val="20"/>
          <w:szCs w:val="20"/>
          <w:lang w:val="es-ES_tradnl" w:eastAsia="es-MX"/>
        </w:rPr>
        <w:t>razonable</w:t>
      </w:r>
      <w:r w:rsidR="00B56192" w:rsidRPr="007E2E11">
        <w:rPr>
          <w:rFonts w:ascii="Verdana" w:eastAsia="Batang" w:hAnsi="Verdana" w:cs="Arial"/>
          <w:sz w:val="20"/>
          <w:szCs w:val="20"/>
          <w:lang w:val="es-ES_tradnl" w:eastAsia="es-MX"/>
        </w:rPr>
        <w:t xml:space="preserve">, en </w:t>
      </w:r>
      <w:r w:rsidR="00B56192" w:rsidRPr="007E2E11">
        <w:rPr>
          <w:rFonts w:ascii="Verdana" w:eastAsia="Batang" w:hAnsi="Verdana"/>
          <w:sz w:val="20"/>
          <w:szCs w:val="20"/>
          <w:lang w:val="es-ES_tradnl" w:eastAsia="es-MX"/>
        </w:rPr>
        <w:t>violación a las garantías judiciales.</w:t>
      </w:r>
    </w:p>
    <w:p w14:paraId="3028C14A" w14:textId="77777777" w:rsidR="005D14DE" w:rsidRPr="007E2E11" w:rsidRDefault="005D14DE" w:rsidP="0073647C">
      <w:pPr>
        <w:autoSpaceDE w:val="0"/>
        <w:autoSpaceDN w:val="0"/>
        <w:adjustRightInd w:val="0"/>
        <w:jc w:val="both"/>
        <w:rPr>
          <w:rFonts w:ascii="Verdana" w:hAnsi="Verdana"/>
          <w:sz w:val="20"/>
          <w:szCs w:val="20"/>
        </w:rPr>
      </w:pPr>
    </w:p>
    <w:p w14:paraId="33941813" w14:textId="70B337CB" w:rsidR="00A246BB" w:rsidRDefault="00EB190E" w:rsidP="0073647C">
      <w:pPr>
        <w:autoSpaceDE w:val="0"/>
        <w:autoSpaceDN w:val="0"/>
        <w:adjustRightInd w:val="0"/>
        <w:jc w:val="both"/>
        <w:rPr>
          <w:rFonts w:ascii="Verdana" w:eastAsia="Calibri" w:hAnsi="Verdana"/>
          <w:sz w:val="20"/>
          <w:szCs w:val="20"/>
          <w:lang w:val="es-ES_tradnl" w:eastAsia="de-DE"/>
        </w:rPr>
      </w:pPr>
      <w:r w:rsidRPr="007E2E11">
        <w:rPr>
          <w:rFonts w:ascii="Verdana" w:hAnsi="Verdana"/>
          <w:sz w:val="20"/>
          <w:szCs w:val="20"/>
        </w:rPr>
        <w:t xml:space="preserve">En tercer lugar, la Corte </w:t>
      </w:r>
      <w:r w:rsidR="00EE6943" w:rsidRPr="007E2E11">
        <w:rPr>
          <w:rFonts w:ascii="Verdana" w:hAnsi="Verdana"/>
          <w:sz w:val="20"/>
          <w:szCs w:val="20"/>
        </w:rPr>
        <w:t xml:space="preserve">examinó la discriminación por aplicación de estereotipos e investigación sin enfoque de género en el caso de Claudina Velásquez. Sobre este aspecto, </w:t>
      </w:r>
      <w:r w:rsidR="00725EE1" w:rsidRPr="007E2E11">
        <w:rPr>
          <w:rFonts w:ascii="Verdana" w:hAnsi="Verdana"/>
          <w:sz w:val="20"/>
          <w:szCs w:val="20"/>
        </w:rPr>
        <w:t xml:space="preserve">el Tribunal </w:t>
      </w:r>
      <w:r w:rsidR="00C57F90" w:rsidRPr="007E2E11">
        <w:rPr>
          <w:rFonts w:ascii="Verdana" w:eastAsia="Calibri" w:hAnsi="Verdana" w:cs="Arial"/>
          <w:sz w:val="20"/>
          <w:szCs w:val="20"/>
          <w:lang w:val="es-ES" w:eastAsia="es-MX"/>
        </w:rPr>
        <w:t>constató que</w:t>
      </w:r>
      <w:r w:rsidR="00805F0B" w:rsidRPr="007E2E11">
        <w:rPr>
          <w:rFonts w:ascii="Verdana" w:eastAsia="Calibri" w:hAnsi="Verdana"/>
          <w:sz w:val="20"/>
          <w:szCs w:val="20"/>
          <w:lang w:val="es-ES_tradnl" w:eastAsia="de-DE"/>
        </w:rPr>
        <w:t xml:space="preserve"> estereotipos</w:t>
      </w:r>
      <w:r w:rsidR="00C57F90" w:rsidRPr="007E2E11">
        <w:rPr>
          <w:rFonts w:ascii="Verdana" w:eastAsia="Calibri" w:hAnsi="Verdana"/>
          <w:sz w:val="20"/>
          <w:szCs w:val="20"/>
          <w:lang w:val="es-ES_tradnl" w:eastAsia="de-DE"/>
        </w:rPr>
        <w:t xml:space="preserve"> de género </w:t>
      </w:r>
      <w:r w:rsidR="00B84047" w:rsidRPr="007E2E11">
        <w:rPr>
          <w:rFonts w:ascii="Verdana" w:eastAsia="Calibri" w:hAnsi="Verdana"/>
          <w:sz w:val="20"/>
          <w:szCs w:val="20"/>
          <w:lang w:val="es-ES_tradnl" w:eastAsia="de-DE"/>
        </w:rPr>
        <w:t>fueron</w:t>
      </w:r>
      <w:r w:rsidR="00805F0B" w:rsidRPr="007E2E11">
        <w:rPr>
          <w:rFonts w:ascii="Verdana" w:eastAsia="Calibri" w:hAnsi="Verdana"/>
          <w:sz w:val="20"/>
          <w:szCs w:val="20"/>
          <w:lang w:val="es-ES_tradnl" w:eastAsia="de-DE"/>
        </w:rPr>
        <w:t xml:space="preserve"> </w:t>
      </w:r>
      <w:r w:rsidR="00A246BB" w:rsidRPr="007E2E11">
        <w:rPr>
          <w:rFonts w:ascii="Verdana" w:eastAsia="Calibri" w:hAnsi="Verdana"/>
          <w:sz w:val="20"/>
          <w:szCs w:val="20"/>
          <w:lang w:val="es-ES_tradnl" w:eastAsia="de-DE"/>
        </w:rPr>
        <w:t>reiterad</w:t>
      </w:r>
      <w:r w:rsidR="00A246BB">
        <w:rPr>
          <w:rFonts w:ascii="Verdana" w:eastAsia="Calibri" w:hAnsi="Verdana"/>
          <w:sz w:val="20"/>
          <w:szCs w:val="20"/>
          <w:lang w:val="es-ES_tradnl" w:eastAsia="de-DE"/>
        </w:rPr>
        <w:t>o</w:t>
      </w:r>
      <w:r w:rsidR="00A246BB" w:rsidRPr="007E2E11">
        <w:rPr>
          <w:rFonts w:ascii="Verdana" w:eastAsia="Calibri" w:hAnsi="Verdana"/>
          <w:sz w:val="20"/>
          <w:szCs w:val="20"/>
          <w:lang w:val="es-ES_tradnl" w:eastAsia="de-DE"/>
        </w:rPr>
        <w:t xml:space="preserve">s </w:t>
      </w:r>
      <w:r w:rsidR="00805F0B" w:rsidRPr="007E2E11">
        <w:rPr>
          <w:rFonts w:ascii="Verdana" w:eastAsia="Calibri" w:hAnsi="Verdana"/>
          <w:sz w:val="20"/>
          <w:szCs w:val="20"/>
          <w:lang w:val="es-ES_tradnl" w:eastAsia="de-DE"/>
        </w:rPr>
        <w:t xml:space="preserve">por diversos agentes estatales </w:t>
      </w:r>
      <w:r w:rsidR="007704D9" w:rsidRPr="007E2E11">
        <w:rPr>
          <w:rFonts w:ascii="Verdana" w:eastAsia="Calibri" w:hAnsi="Verdana"/>
          <w:sz w:val="20"/>
          <w:szCs w:val="20"/>
          <w:lang w:val="es-ES_tradnl" w:eastAsia="de-DE"/>
        </w:rPr>
        <w:t>en el marco de la investigación, tal como se indica a continuación.</w:t>
      </w:r>
    </w:p>
    <w:p w14:paraId="536C54F0" w14:textId="77777777" w:rsidR="00A246BB" w:rsidRPr="007E2E11" w:rsidRDefault="00A246BB" w:rsidP="0073647C">
      <w:pPr>
        <w:autoSpaceDE w:val="0"/>
        <w:autoSpaceDN w:val="0"/>
        <w:adjustRightInd w:val="0"/>
        <w:jc w:val="both"/>
        <w:rPr>
          <w:rFonts w:ascii="Verdana" w:eastAsia="Calibri" w:hAnsi="Verdana"/>
          <w:sz w:val="20"/>
          <w:szCs w:val="20"/>
          <w:lang w:val="es-ES_tradnl" w:eastAsia="de-DE"/>
        </w:rPr>
      </w:pPr>
    </w:p>
    <w:p w14:paraId="4B3CBEBD" w14:textId="468ED814" w:rsidR="00B84047" w:rsidRPr="007E2E11" w:rsidRDefault="001B36D5" w:rsidP="0073647C">
      <w:pPr>
        <w:autoSpaceDE w:val="0"/>
        <w:autoSpaceDN w:val="0"/>
        <w:adjustRightInd w:val="0"/>
        <w:jc w:val="both"/>
        <w:rPr>
          <w:rFonts w:ascii="Verdana" w:eastAsia="Batang" w:hAnsi="Verdana" w:cs="Arial"/>
          <w:sz w:val="20"/>
          <w:szCs w:val="20"/>
          <w:lang w:val="es-ES" w:eastAsia="es-MX"/>
        </w:rPr>
      </w:pPr>
      <w:r w:rsidRPr="007E2E11">
        <w:rPr>
          <w:rFonts w:ascii="Verdana" w:eastAsia="Calibri" w:hAnsi="Verdana"/>
          <w:sz w:val="20"/>
          <w:szCs w:val="20"/>
          <w:lang w:val="es-ES_tradnl" w:eastAsia="de-DE"/>
        </w:rPr>
        <w:t>Primero, l</w:t>
      </w:r>
      <w:r w:rsidR="007704D9" w:rsidRPr="007E2E11">
        <w:rPr>
          <w:rFonts w:ascii="Verdana" w:eastAsia="Calibri" w:hAnsi="Verdana"/>
          <w:sz w:val="20"/>
          <w:szCs w:val="20"/>
          <w:lang w:val="es-ES_tradnl" w:eastAsia="de-DE"/>
        </w:rPr>
        <w:t>a</w:t>
      </w:r>
      <w:r w:rsidR="00805F0B" w:rsidRPr="007E2E11">
        <w:rPr>
          <w:rFonts w:ascii="Verdana" w:eastAsia="Calibri" w:hAnsi="Verdana"/>
          <w:sz w:val="20"/>
          <w:szCs w:val="20"/>
          <w:lang w:val="es-ES_tradnl" w:eastAsia="de-DE"/>
        </w:rPr>
        <w:t xml:space="preserve"> investigadora </w:t>
      </w:r>
      <w:r w:rsidR="00DE7AC1" w:rsidRPr="007E2E11">
        <w:rPr>
          <w:rFonts w:ascii="Verdana" w:eastAsia="Batang" w:hAnsi="Verdana"/>
          <w:sz w:val="20"/>
          <w:szCs w:val="20"/>
          <w:lang w:val="es-ES_tradnl" w:eastAsia="es-MX"/>
        </w:rPr>
        <w:t xml:space="preserve">de </w:t>
      </w:r>
      <w:r w:rsidR="00DE7AC1" w:rsidRPr="007E2E11">
        <w:rPr>
          <w:rFonts w:ascii="Verdana" w:eastAsia="Batang" w:hAnsi="Verdana"/>
          <w:sz w:val="20"/>
          <w:szCs w:val="20"/>
          <w:lang w:val="es-ES" w:eastAsia="es-MX"/>
        </w:rPr>
        <w:t>la Unidad Contra Homicidios de Mujeres del Servicio de Investigación Criminal de la PNC</w:t>
      </w:r>
      <w:r w:rsidR="00805F0B" w:rsidRPr="007E2E11">
        <w:rPr>
          <w:rFonts w:ascii="Verdana" w:eastAsia="Calibri" w:hAnsi="Verdana"/>
          <w:sz w:val="20"/>
          <w:szCs w:val="20"/>
          <w:lang w:val="es-ES_tradnl" w:eastAsia="de-DE"/>
        </w:rPr>
        <w:t xml:space="preserve">, </w:t>
      </w:r>
      <w:r w:rsidR="00D87299" w:rsidRPr="007E2E11">
        <w:rPr>
          <w:rFonts w:ascii="Verdana" w:eastAsia="Batang" w:hAnsi="Verdana" w:cs="Arial"/>
          <w:sz w:val="20"/>
          <w:szCs w:val="20"/>
          <w:lang w:val="es-ES" w:eastAsia="es-MX"/>
        </w:rPr>
        <w:t>asignada como investigadora del caso,</w:t>
      </w:r>
      <w:r w:rsidR="00D87299" w:rsidRPr="007E2E11">
        <w:rPr>
          <w:rFonts w:ascii="Verdana" w:eastAsia="Calibri" w:hAnsi="Verdana"/>
          <w:sz w:val="20"/>
          <w:szCs w:val="20"/>
          <w:lang w:val="es-ES_tradnl" w:eastAsia="de-DE"/>
        </w:rPr>
        <w:t xml:space="preserve"> </w:t>
      </w:r>
      <w:r w:rsidR="00805F0B" w:rsidRPr="007E2E11">
        <w:rPr>
          <w:rFonts w:ascii="Verdana" w:eastAsia="Calibri" w:hAnsi="Verdana"/>
          <w:sz w:val="20"/>
          <w:szCs w:val="20"/>
          <w:lang w:val="es-ES_tradnl" w:eastAsia="de-DE"/>
        </w:rPr>
        <w:t xml:space="preserve">al acudir al domicilio de los padres de la </w:t>
      </w:r>
      <w:r w:rsidR="00DE7AC1" w:rsidRPr="007E2E11">
        <w:rPr>
          <w:rFonts w:ascii="Verdana" w:eastAsia="Calibri" w:hAnsi="Verdana"/>
          <w:sz w:val="20"/>
          <w:szCs w:val="20"/>
          <w:lang w:val="es-ES_tradnl" w:eastAsia="de-DE"/>
        </w:rPr>
        <w:t>víctima</w:t>
      </w:r>
      <w:r w:rsidR="00805F0B" w:rsidRPr="007E2E11">
        <w:rPr>
          <w:rFonts w:ascii="Verdana" w:eastAsia="Calibri" w:hAnsi="Verdana"/>
          <w:sz w:val="20"/>
          <w:szCs w:val="20"/>
          <w:lang w:val="es-ES_tradnl" w:eastAsia="de-DE"/>
        </w:rPr>
        <w:t xml:space="preserve"> pocos días después </w:t>
      </w:r>
      <w:r w:rsidR="00DE7AC1" w:rsidRPr="007E2E11">
        <w:rPr>
          <w:rFonts w:ascii="Verdana" w:eastAsia="Calibri" w:hAnsi="Verdana"/>
          <w:sz w:val="20"/>
          <w:szCs w:val="20"/>
          <w:lang w:val="es-ES_tradnl" w:eastAsia="de-DE"/>
        </w:rPr>
        <w:t xml:space="preserve">de </w:t>
      </w:r>
      <w:r w:rsidR="004A1F16">
        <w:rPr>
          <w:rFonts w:ascii="Verdana" w:eastAsia="Calibri" w:hAnsi="Verdana"/>
          <w:sz w:val="20"/>
          <w:szCs w:val="20"/>
          <w:lang w:val="es-ES_tradnl" w:eastAsia="de-DE"/>
        </w:rPr>
        <w:t>su muerte</w:t>
      </w:r>
      <w:r w:rsidR="00DE7AC1" w:rsidRPr="007E2E11">
        <w:rPr>
          <w:rFonts w:ascii="Verdana" w:eastAsia="Calibri" w:hAnsi="Verdana"/>
          <w:sz w:val="20"/>
          <w:szCs w:val="20"/>
          <w:lang w:val="es-ES_tradnl" w:eastAsia="de-DE"/>
        </w:rPr>
        <w:t xml:space="preserve">, </w:t>
      </w:r>
      <w:r w:rsidR="00805F0B" w:rsidRPr="007E2E11">
        <w:rPr>
          <w:rFonts w:ascii="Verdana" w:eastAsia="Batang" w:hAnsi="Verdana" w:cs="Arial"/>
          <w:sz w:val="20"/>
          <w:szCs w:val="20"/>
          <w:lang w:val="es-ES" w:eastAsia="es-MX"/>
        </w:rPr>
        <w:t xml:space="preserve">hizo de su conocimiento que la escena del crimen no </w:t>
      </w:r>
      <w:r w:rsidR="00D87299" w:rsidRPr="007E2E11">
        <w:rPr>
          <w:rFonts w:ascii="Verdana" w:eastAsia="Batang" w:hAnsi="Verdana" w:cs="Arial"/>
          <w:sz w:val="20"/>
          <w:szCs w:val="20"/>
          <w:lang w:val="es-ES" w:eastAsia="es-MX"/>
        </w:rPr>
        <w:t>fue</w:t>
      </w:r>
      <w:r w:rsidR="00805F0B" w:rsidRPr="007E2E11">
        <w:rPr>
          <w:rFonts w:ascii="Verdana" w:eastAsia="Batang" w:hAnsi="Verdana" w:cs="Arial"/>
          <w:sz w:val="20"/>
          <w:szCs w:val="20"/>
          <w:lang w:val="es-ES" w:eastAsia="es-MX"/>
        </w:rPr>
        <w:t xml:space="preserve"> trabajada profesionalmente debido a que hubo un prejuzgamiento con respecto al origen y condición de la víctima, siendo que se le había clasificado “como una cualquiera”, debido a: i) el lugar en que apareció su cuerpo; ii) porque usaba una gargantilla en el cuello y un arete en el ombligo; y iii) porque calzaba sandalias. </w:t>
      </w:r>
      <w:r w:rsidR="00B84047" w:rsidRPr="007E2E11">
        <w:rPr>
          <w:rFonts w:ascii="Verdana" w:eastAsia="Batang" w:hAnsi="Verdana" w:cs="Arial"/>
          <w:sz w:val="20"/>
          <w:szCs w:val="20"/>
          <w:lang w:val="es-ES" w:eastAsia="es-MX"/>
        </w:rPr>
        <w:t xml:space="preserve">Al respecto, </w:t>
      </w:r>
      <w:r w:rsidR="00B84047" w:rsidRPr="007E2E11">
        <w:rPr>
          <w:rFonts w:ascii="Verdana" w:eastAsia="Calibri" w:hAnsi="Verdana"/>
          <w:sz w:val="20"/>
          <w:szCs w:val="20"/>
          <w:lang w:val="es-ES" w:eastAsia="es-MX"/>
        </w:rPr>
        <w:t>l</w:t>
      </w:r>
      <w:r w:rsidR="00B84047" w:rsidRPr="007E2E11">
        <w:rPr>
          <w:rFonts w:ascii="Verdana" w:eastAsia="Calibri" w:hAnsi="Verdana"/>
          <w:sz w:val="20"/>
          <w:szCs w:val="20"/>
          <w:lang w:val="es-ES_tradnl" w:eastAsia="es-MX"/>
        </w:rPr>
        <w:t xml:space="preserve">a Corte reconoció, visibilizó y rechazó el estereotipo de género por el cual en los casos de </w:t>
      </w:r>
      <w:r w:rsidR="00B84047" w:rsidRPr="007E2E11">
        <w:rPr>
          <w:rFonts w:ascii="Verdana" w:eastAsia="Batang" w:hAnsi="Verdana"/>
          <w:sz w:val="20"/>
          <w:szCs w:val="20"/>
          <w:lang w:val="es-ES" w:eastAsia="es-MX"/>
        </w:rPr>
        <w:t>violencia contra la mujer las víctimas son asimiladas al</w:t>
      </w:r>
      <w:r w:rsidR="00B84047" w:rsidRPr="007E2E11">
        <w:rPr>
          <w:rFonts w:ascii="Verdana" w:eastAsia="Calibri" w:hAnsi="Verdana"/>
          <w:sz w:val="20"/>
          <w:szCs w:val="20"/>
          <w:lang w:val="es-ES_tradnl" w:eastAsia="es-MX"/>
        </w:rPr>
        <w:t xml:space="preserve"> perfil </w:t>
      </w:r>
      <w:r w:rsidR="00B84047" w:rsidRPr="007E2E11">
        <w:rPr>
          <w:rFonts w:ascii="Verdana" w:eastAsia="Batang" w:hAnsi="Verdana"/>
          <w:sz w:val="20"/>
          <w:szCs w:val="20"/>
          <w:lang w:val="es-ES" w:eastAsia="es-MX"/>
        </w:rPr>
        <w:t xml:space="preserve">de una pandillera y/o una prostituta y/o </w:t>
      </w:r>
      <w:r w:rsidR="00B84047" w:rsidRPr="007E2E11">
        <w:rPr>
          <w:rFonts w:ascii="Verdana" w:eastAsia="Batang" w:hAnsi="Verdana" w:cs="Arial"/>
          <w:sz w:val="20"/>
          <w:szCs w:val="20"/>
          <w:lang w:val="es-ES" w:eastAsia="es-MX"/>
        </w:rPr>
        <w:t>una “cualquiera”</w:t>
      </w:r>
      <w:r w:rsidR="00B84047" w:rsidRPr="007E2E11">
        <w:rPr>
          <w:rFonts w:ascii="Verdana" w:eastAsia="Batang" w:hAnsi="Verdana"/>
          <w:sz w:val="20"/>
          <w:szCs w:val="20"/>
          <w:lang w:val="es-ES" w:eastAsia="es-MX"/>
        </w:rPr>
        <w:t xml:space="preserve">, y no se consideran lo suficientemente importantes como para ser investigados, haciendo además a la mujer responsable o merecedora de haber sido atacada. En este sentido, rechazó toda práctica estatal mediante la cual </w:t>
      </w:r>
      <w:r w:rsidR="00B84047" w:rsidRPr="007E2E11">
        <w:rPr>
          <w:rFonts w:ascii="Verdana" w:eastAsia="Batang" w:hAnsi="Verdana" w:cs="Arial"/>
          <w:sz w:val="20"/>
          <w:szCs w:val="20"/>
          <w:lang w:val="es-ES" w:eastAsia="es-MX"/>
        </w:rPr>
        <w:t>se</w:t>
      </w:r>
      <w:r w:rsidR="00B84047" w:rsidRPr="007E2E11">
        <w:rPr>
          <w:rFonts w:ascii="Verdana" w:eastAsia="Batang" w:hAnsi="Verdana"/>
          <w:sz w:val="20"/>
          <w:szCs w:val="20"/>
          <w:lang w:val="es-ES" w:eastAsia="es-MX"/>
        </w:rPr>
        <w:t xml:space="preserve"> justifica la violencia contra la mujer y se le culpabiliza de esta</w:t>
      </w:r>
      <w:r w:rsidR="00B84047" w:rsidRPr="007E2E11">
        <w:rPr>
          <w:rFonts w:ascii="Verdana" w:eastAsia="Batang" w:hAnsi="Verdana" w:cs="Arial"/>
          <w:sz w:val="20"/>
          <w:szCs w:val="20"/>
          <w:lang w:val="es-ES" w:eastAsia="es-MX"/>
        </w:rPr>
        <w:t>, toda vez que v</w:t>
      </w:r>
      <w:r w:rsidR="00B84047" w:rsidRPr="007E2E11">
        <w:rPr>
          <w:rFonts w:ascii="Verdana" w:eastAsia="Batang" w:hAnsi="Verdana"/>
          <w:sz w:val="20"/>
          <w:szCs w:val="20"/>
          <w:lang w:val="es-ES" w:eastAsia="es-MX"/>
        </w:rPr>
        <w:t>aloraciones</w:t>
      </w:r>
      <w:r w:rsidR="00B84047" w:rsidRPr="007E2E11">
        <w:rPr>
          <w:rFonts w:ascii="Verdana" w:eastAsia="Calibri" w:hAnsi="Verdana"/>
          <w:sz w:val="20"/>
          <w:szCs w:val="20"/>
          <w:lang w:val="es-ES_tradnl" w:eastAsia="es-MX"/>
        </w:rPr>
        <w:t xml:space="preserve"> de esta naturaleza muestran un criterio discrecional y discriminatorio con base en </w:t>
      </w:r>
      <w:r w:rsidR="00B84047" w:rsidRPr="007E2E11">
        <w:rPr>
          <w:rFonts w:ascii="Verdana" w:eastAsia="Batang" w:hAnsi="Verdana" w:cs="Arial"/>
          <w:sz w:val="20"/>
          <w:szCs w:val="20"/>
          <w:lang w:val="es-ES" w:eastAsia="es-MX"/>
        </w:rPr>
        <w:t>el origen, condición y/o comportamiento de la víctima</w:t>
      </w:r>
      <w:r w:rsidR="00B84047" w:rsidRPr="007E2E11">
        <w:rPr>
          <w:rFonts w:ascii="Verdana" w:eastAsia="Calibri" w:hAnsi="Verdana"/>
          <w:sz w:val="20"/>
          <w:szCs w:val="20"/>
          <w:lang w:val="es-ES_tradnl" w:eastAsia="es-MX"/>
        </w:rPr>
        <w:t xml:space="preserve"> por el solo hecho de ser mujer</w:t>
      </w:r>
      <w:r w:rsidR="00B84047" w:rsidRPr="007E2E11">
        <w:rPr>
          <w:rFonts w:ascii="Verdana" w:eastAsia="Batang" w:hAnsi="Verdana"/>
          <w:sz w:val="20"/>
          <w:szCs w:val="20"/>
          <w:lang w:val="es-ES" w:eastAsia="es-MX"/>
        </w:rPr>
        <w:t>. Consecuentemente, la Corte consideró que estos</w:t>
      </w:r>
      <w:r w:rsidR="00B84047" w:rsidRPr="007E2E11">
        <w:rPr>
          <w:rFonts w:ascii="Verdana" w:eastAsia="Calibri" w:hAnsi="Verdana"/>
          <w:sz w:val="20"/>
          <w:szCs w:val="20"/>
          <w:lang w:val="es-ES_tradnl" w:eastAsia="de-DE"/>
        </w:rPr>
        <w:t xml:space="preserve"> </w:t>
      </w:r>
      <w:r w:rsidR="00B84047" w:rsidRPr="007E2E11">
        <w:rPr>
          <w:rFonts w:ascii="Verdana" w:eastAsia="Calibri" w:hAnsi="Verdana"/>
          <w:sz w:val="20"/>
          <w:szCs w:val="20"/>
          <w:lang w:val="es-ES_tradnl" w:eastAsia="de-DE"/>
        </w:rPr>
        <w:lastRenderedPageBreak/>
        <w:t>estereotipos de género son incompatibles con el derecho internacional de los derechos humanos y se deben tomar medidas para erradicarlos donde se presenten.</w:t>
      </w:r>
    </w:p>
    <w:p w14:paraId="1D174652" w14:textId="77777777" w:rsidR="007704D9" w:rsidRPr="007E2E11" w:rsidRDefault="007704D9" w:rsidP="0073647C">
      <w:pPr>
        <w:autoSpaceDE w:val="0"/>
        <w:autoSpaceDN w:val="0"/>
        <w:adjustRightInd w:val="0"/>
        <w:jc w:val="both"/>
        <w:rPr>
          <w:rFonts w:ascii="Verdana" w:eastAsia="Batang" w:hAnsi="Verdana" w:cs="Arial"/>
          <w:sz w:val="20"/>
          <w:szCs w:val="20"/>
          <w:lang w:val="es-ES" w:eastAsia="es-MX"/>
        </w:rPr>
      </w:pPr>
    </w:p>
    <w:p w14:paraId="03ABA10C" w14:textId="3085AB4B" w:rsidR="001B36D5" w:rsidRPr="007E2E11" w:rsidRDefault="001B36D5" w:rsidP="0073647C">
      <w:pPr>
        <w:autoSpaceDE w:val="0"/>
        <w:autoSpaceDN w:val="0"/>
        <w:adjustRightInd w:val="0"/>
        <w:jc w:val="both"/>
        <w:rPr>
          <w:rFonts w:ascii="Verdana" w:eastAsia="Batang" w:hAnsi="Verdana"/>
          <w:sz w:val="20"/>
          <w:szCs w:val="20"/>
          <w:lang w:val="es-MX" w:eastAsia="es-MX"/>
        </w:rPr>
      </w:pPr>
      <w:r w:rsidRPr="007E2E11">
        <w:rPr>
          <w:rFonts w:ascii="Verdana" w:eastAsia="Batang" w:hAnsi="Verdana" w:cs="Arial"/>
          <w:sz w:val="20"/>
          <w:szCs w:val="20"/>
          <w:lang w:val="es-ES" w:eastAsia="es-MX"/>
        </w:rPr>
        <w:t>Segundo</w:t>
      </w:r>
      <w:r w:rsidR="00B84047" w:rsidRPr="007E2E11">
        <w:rPr>
          <w:rFonts w:ascii="Verdana" w:eastAsia="Batang" w:hAnsi="Verdana" w:cs="Arial"/>
          <w:sz w:val="20"/>
          <w:szCs w:val="20"/>
          <w:lang w:val="es-ES" w:eastAsia="es-MX"/>
        </w:rPr>
        <w:t>, e</w:t>
      </w:r>
      <w:r w:rsidR="00DE7AC1" w:rsidRPr="007E2E11">
        <w:rPr>
          <w:rFonts w:ascii="Verdana" w:eastAsia="Batang" w:hAnsi="Verdana" w:cs="Arial"/>
          <w:sz w:val="20"/>
          <w:szCs w:val="20"/>
          <w:lang w:val="es-ES" w:eastAsia="es-MX"/>
        </w:rPr>
        <w:t xml:space="preserve">n un informe </w:t>
      </w:r>
      <w:r w:rsidR="00805F0B" w:rsidRPr="007E2E11">
        <w:rPr>
          <w:rFonts w:ascii="Verdana" w:eastAsia="Batang" w:hAnsi="Verdana" w:cs="Arial"/>
          <w:sz w:val="20"/>
          <w:szCs w:val="20"/>
          <w:lang w:val="es-ES" w:eastAsia="es-MX"/>
        </w:rPr>
        <w:t xml:space="preserve">elaborado por </w:t>
      </w:r>
      <w:r w:rsidR="00805F0B" w:rsidRPr="007E2E11">
        <w:rPr>
          <w:rFonts w:ascii="Verdana" w:eastAsia="Batang" w:hAnsi="Verdana"/>
          <w:sz w:val="20"/>
          <w:szCs w:val="20"/>
          <w:lang w:val="es-ES_tradnl" w:eastAsia="es-MX"/>
        </w:rPr>
        <w:t>la</w:t>
      </w:r>
      <w:r w:rsidR="00B84047" w:rsidRPr="007E2E11">
        <w:rPr>
          <w:rFonts w:ascii="Verdana" w:eastAsia="Batang" w:hAnsi="Verdana"/>
          <w:sz w:val="20"/>
          <w:szCs w:val="20"/>
          <w:lang w:val="es-ES_tradnl" w:eastAsia="es-MX"/>
        </w:rPr>
        <w:t xml:space="preserve"> mencionada </w:t>
      </w:r>
      <w:r w:rsidR="00B84047" w:rsidRPr="007E2E11">
        <w:rPr>
          <w:rFonts w:ascii="Verdana" w:eastAsia="Calibri" w:hAnsi="Verdana"/>
          <w:sz w:val="20"/>
          <w:szCs w:val="20"/>
          <w:lang w:val="es-ES_tradnl" w:eastAsia="de-DE"/>
        </w:rPr>
        <w:t xml:space="preserve">investigadora </w:t>
      </w:r>
      <w:r w:rsidR="00B84047" w:rsidRPr="007E2E11">
        <w:rPr>
          <w:rFonts w:ascii="Verdana" w:eastAsia="Batang" w:hAnsi="Verdana"/>
          <w:sz w:val="20"/>
          <w:szCs w:val="20"/>
          <w:lang w:val="es-ES_tradnl" w:eastAsia="es-MX"/>
        </w:rPr>
        <w:t xml:space="preserve">de </w:t>
      </w:r>
      <w:r w:rsidR="00B84047" w:rsidRPr="007E2E11">
        <w:rPr>
          <w:rFonts w:ascii="Verdana" w:eastAsia="Batang" w:hAnsi="Verdana"/>
          <w:sz w:val="20"/>
          <w:szCs w:val="20"/>
          <w:lang w:val="es-ES" w:eastAsia="es-MX"/>
        </w:rPr>
        <w:t>la Unidad Contra Homicidios de Mujeres del Servicio de Investigación Criminal de la PNC</w:t>
      </w:r>
      <w:r w:rsidR="00B84047" w:rsidRPr="007E2E11">
        <w:rPr>
          <w:rFonts w:ascii="Verdana" w:eastAsia="Calibri" w:hAnsi="Verdana"/>
          <w:sz w:val="20"/>
          <w:szCs w:val="20"/>
          <w:lang w:val="es-ES_tradnl" w:eastAsia="de-DE"/>
        </w:rPr>
        <w:t xml:space="preserve">, </w:t>
      </w:r>
      <w:r w:rsidR="00805F0B" w:rsidRPr="007E2E11">
        <w:rPr>
          <w:rFonts w:ascii="Verdana" w:eastAsia="Batang" w:hAnsi="Verdana" w:cs="Arial"/>
          <w:sz w:val="20"/>
          <w:szCs w:val="20"/>
          <w:lang w:val="es-ES" w:eastAsia="es-MX"/>
        </w:rPr>
        <w:t>se indicó que el móvil de la muerte fue “posiblemente problema pasional bajo efectos de licor con el saldo de una persona fallecida</w:t>
      </w:r>
      <w:r w:rsidR="00DE7AC1" w:rsidRPr="007E2E11">
        <w:rPr>
          <w:rFonts w:ascii="Verdana" w:eastAsia="Batang" w:hAnsi="Verdana" w:cs="Arial"/>
          <w:sz w:val="20"/>
          <w:szCs w:val="20"/>
          <w:lang w:val="es-ES" w:eastAsia="es-MX"/>
        </w:rPr>
        <w:t xml:space="preserve">”. </w:t>
      </w:r>
      <w:r w:rsidR="00B84047" w:rsidRPr="007E2E11">
        <w:rPr>
          <w:rFonts w:ascii="Verdana" w:eastAsia="Batang" w:hAnsi="Verdana" w:cs="Arial"/>
          <w:sz w:val="20"/>
          <w:szCs w:val="20"/>
          <w:lang w:val="es-ES" w:eastAsia="es-MX"/>
        </w:rPr>
        <w:t>Sobre este punto, la Corte tomó en cuenta que la prueba pericial presentada en este caso destacó que e</w:t>
      </w:r>
      <w:r w:rsidR="00B84047" w:rsidRPr="007E2E11">
        <w:rPr>
          <w:rFonts w:ascii="Verdana" w:eastAsia="Batang" w:hAnsi="Verdana"/>
          <w:sz w:val="20"/>
          <w:szCs w:val="20"/>
          <w:lang w:val="es-ES" w:eastAsia="es-MX"/>
        </w:rPr>
        <w:t>l concepto de “crimen pasional” es parte de un estereotipo que justifica la violencia contra la mujer pues el calificativo “pasional” pone el acento en justificar la conducta del agresor.</w:t>
      </w:r>
      <w:r w:rsidR="00117F6B" w:rsidRPr="007E2E11">
        <w:rPr>
          <w:rFonts w:ascii="Verdana" w:eastAsia="Batang" w:hAnsi="Verdana"/>
          <w:sz w:val="20"/>
          <w:szCs w:val="20"/>
          <w:lang w:val="es-ES" w:eastAsia="es-MX"/>
        </w:rPr>
        <w:t xml:space="preserve"> Se culpabiliza a la víctima y se respalda la acción violenta del agresor.</w:t>
      </w:r>
      <w:r w:rsidRPr="007E2E11">
        <w:rPr>
          <w:rFonts w:ascii="Verdana" w:eastAsia="Calibri" w:hAnsi="Verdana" w:cs="Arial"/>
          <w:sz w:val="20"/>
          <w:szCs w:val="20"/>
          <w:lang w:val="es-ES" w:eastAsia="es-MX"/>
        </w:rPr>
        <w:t xml:space="preserve"> Tercero, </w:t>
      </w:r>
      <w:r w:rsidRPr="007E2E11">
        <w:rPr>
          <w:rFonts w:ascii="Verdana" w:eastAsia="Batang" w:hAnsi="Verdana"/>
          <w:sz w:val="20"/>
          <w:szCs w:val="20"/>
          <w:lang w:val="es-ES" w:eastAsia="es-MX"/>
        </w:rPr>
        <w:t>a</w:t>
      </w:r>
      <w:r w:rsidR="00805F0B" w:rsidRPr="007E2E11">
        <w:rPr>
          <w:rFonts w:ascii="Verdana" w:eastAsia="Batang" w:hAnsi="Verdana"/>
          <w:sz w:val="20"/>
          <w:szCs w:val="20"/>
          <w:lang w:val="es-ES" w:eastAsia="es-MX"/>
        </w:rPr>
        <w:t xml:space="preserve">l menos en un período de 10 días existió confusión sobre la naturaleza de un sobre encontrado cerca del cuerpo de </w:t>
      </w:r>
      <w:r w:rsidR="004A6791" w:rsidRPr="007E2E11">
        <w:rPr>
          <w:rFonts w:ascii="Verdana" w:eastAsia="Batang" w:hAnsi="Verdana"/>
          <w:sz w:val="20"/>
          <w:szCs w:val="20"/>
          <w:lang w:val="es-ES" w:eastAsia="es-MX"/>
        </w:rPr>
        <w:t>la víctima</w:t>
      </w:r>
      <w:r w:rsidR="00805F0B" w:rsidRPr="007E2E11">
        <w:rPr>
          <w:rFonts w:ascii="Verdana" w:eastAsia="Batang" w:hAnsi="Verdana"/>
          <w:sz w:val="20"/>
          <w:szCs w:val="20"/>
          <w:lang w:val="es-ES" w:eastAsia="es-MX"/>
        </w:rPr>
        <w:t xml:space="preserve">, el cual en un principio de identificó como un envoltorio de preservativo, error que fue subsanado al constatarse que </w:t>
      </w:r>
      <w:r w:rsidR="00805F0B" w:rsidRPr="007E2E11">
        <w:rPr>
          <w:rFonts w:ascii="Verdana" w:eastAsia="Calibri" w:hAnsi="Verdana" w:cs="Arial"/>
          <w:sz w:val="20"/>
          <w:szCs w:val="20"/>
          <w:lang w:val="es-ES_tradnl" w:eastAsia="es-MX"/>
        </w:rPr>
        <w:t>en realidad se trataba de un sobre de sopa</w:t>
      </w:r>
      <w:r w:rsidR="00805F0B" w:rsidRPr="007E2E11">
        <w:rPr>
          <w:rFonts w:ascii="Verdana" w:eastAsia="Batang" w:hAnsi="Verdana"/>
          <w:sz w:val="20"/>
          <w:szCs w:val="20"/>
          <w:lang w:val="es-ES" w:eastAsia="es-MX"/>
        </w:rPr>
        <w:t xml:space="preserve"> roto sin contenido</w:t>
      </w:r>
      <w:r w:rsidR="004A6791" w:rsidRPr="007E2E11">
        <w:rPr>
          <w:rFonts w:ascii="Verdana" w:eastAsia="Batang" w:hAnsi="Verdana"/>
          <w:sz w:val="20"/>
          <w:szCs w:val="20"/>
          <w:lang w:val="es-ES" w:eastAsia="es-MX"/>
        </w:rPr>
        <w:t xml:space="preserve">, pero que, sin embargo, no fue preservado debidamente. </w:t>
      </w:r>
      <w:r w:rsidR="00FE1946" w:rsidRPr="007E2E11">
        <w:rPr>
          <w:rFonts w:ascii="Verdana" w:eastAsia="Batang" w:hAnsi="Verdana"/>
          <w:sz w:val="20"/>
          <w:szCs w:val="20"/>
          <w:lang w:val="es-ES" w:eastAsia="es-MX"/>
        </w:rPr>
        <w:t>D</w:t>
      </w:r>
      <w:r w:rsidR="002D310D" w:rsidRPr="007E2E11">
        <w:rPr>
          <w:rFonts w:ascii="Verdana" w:eastAsia="Batang" w:hAnsi="Verdana"/>
          <w:sz w:val="20"/>
          <w:szCs w:val="20"/>
          <w:lang w:val="es-ES" w:eastAsia="es-MX"/>
        </w:rPr>
        <w:t>icha confusión se enmarca dentro de las manifestaciones y prejuicios en cuanto al origen y condición de la víctima</w:t>
      </w:r>
      <w:r w:rsidR="00FE1946" w:rsidRPr="007E2E11">
        <w:rPr>
          <w:rFonts w:ascii="Verdana" w:eastAsia="Batang" w:hAnsi="Verdana"/>
          <w:sz w:val="20"/>
          <w:szCs w:val="20"/>
          <w:lang w:val="es-ES" w:eastAsia="es-MX"/>
        </w:rPr>
        <w:t>.</w:t>
      </w:r>
      <w:r w:rsidRPr="007E2E11">
        <w:rPr>
          <w:rFonts w:ascii="Verdana" w:eastAsia="Batang" w:hAnsi="Verdana"/>
          <w:sz w:val="20"/>
          <w:szCs w:val="20"/>
          <w:lang w:val="es-ES" w:eastAsia="es-MX"/>
        </w:rPr>
        <w:t xml:space="preserve"> Cuarto,</w:t>
      </w:r>
      <w:r w:rsidRPr="007E2E11">
        <w:rPr>
          <w:rFonts w:ascii="Verdana" w:eastAsia="Calibri" w:hAnsi="Verdana" w:cs="Arial"/>
          <w:sz w:val="20"/>
          <w:szCs w:val="20"/>
          <w:lang w:val="es-ES" w:eastAsia="es-MX"/>
        </w:rPr>
        <w:t xml:space="preserve"> </w:t>
      </w:r>
      <w:r w:rsidR="00805F0B" w:rsidRPr="007E2E11">
        <w:rPr>
          <w:rFonts w:ascii="Verdana" w:eastAsia="Batang" w:hAnsi="Verdana"/>
          <w:sz w:val="20"/>
          <w:szCs w:val="20"/>
          <w:lang w:val="es-ES" w:eastAsia="es-MX"/>
        </w:rPr>
        <w:t>más de tres años después de la muerte de la víctima y en el marco de la investigación penal,</w:t>
      </w:r>
      <w:r w:rsidR="00805F0B" w:rsidRPr="007E2E11">
        <w:rPr>
          <w:rFonts w:ascii="Verdana" w:eastAsia="Batang" w:hAnsi="Verdana" w:cs="Arial"/>
          <w:sz w:val="20"/>
          <w:szCs w:val="20"/>
          <w:lang w:val="es-ES" w:eastAsia="es-MX"/>
        </w:rPr>
        <w:t xml:space="preserve"> se elaboró un </w:t>
      </w:r>
      <w:r w:rsidR="00805F0B" w:rsidRPr="007E2E11">
        <w:rPr>
          <w:rFonts w:ascii="Verdana" w:eastAsia="Batang" w:hAnsi="Verdana"/>
          <w:sz w:val="20"/>
          <w:szCs w:val="20"/>
          <w:lang w:val="es-ES" w:eastAsia="es-MX"/>
        </w:rPr>
        <w:t xml:space="preserve">Dictamen Psiquiátrico Forense del </w:t>
      </w:r>
      <w:r w:rsidR="007704D9" w:rsidRPr="007E2E11">
        <w:rPr>
          <w:rFonts w:ascii="Verdana" w:eastAsia="Batang" w:hAnsi="Verdana"/>
          <w:sz w:val="20"/>
          <w:szCs w:val="20"/>
          <w:lang w:val="es-MX" w:eastAsia="es-MX"/>
        </w:rPr>
        <w:t>Instituto Nacional de Ciencias Forenses de Guatemala (</w:t>
      </w:r>
      <w:r w:rsidR="00E06D71" w:rsidRPr="007E2E11">
        <w:rPr>
          <w:rFonts w:ascii="Verdana" w:eastAsia="Batang" w:hAnsi="Verdana"/>
          <w:sz w:val="20"/>
          <w:szCs w:val="20"/>
          <w:lang w:val="es-MX" w:eastAsia="es-MX"/>
        </w:rPr>
        <w:t>INACIF</w:t>
      </w:r>
      <w:r w:rsidR="007704D9" w:rsidRPr="007E2E11">
        <w:rPr>
          <w:rFonts w:ascii="Verdana" w:eastAsia="Batang" w:hAnsi="Verdana"/>
          <w:sz w:val="20"/>
          <w:szCs w:val="20"/>
          <w:lang w:val="es-MX" w:eastAsia="es-MX"/>
        </w:rPr>
        <w:t>)</w:t>
      </w:r>
      <w:r w:rsidRPr="007E2E11">
        <w:rPr>
          <w:rFonts w:ascii="Verdana" w:eastAsia="Batang" w:hAnsi="Verdana"/>
          <w:sz w:val="20"/>
          <w:szCs w:val="20"/>
          <w:lang w:val="es-MX" w:eastAsia="es-MX"/>
        </w:rPr>
        <w:t xml:space="preserve">. </w:t>
      </w:r>
      <w:r w:rsidRPr="007E2E11">
        <w:rPr>
          <w:rFonts w:ascii="Verdana" w:eastAsia="Batang" w:hAnsi="Verdana" w:cs="Arial"/>
          <w:sz w:val="20"/>
          <w:szCs w:val="20"/>
          <w:lang w:val="es-ES" w:eastAsia="es-MX"/>
        </w:rPr>
        <w:t xml:space="preserve">En dicho dictamen, al hacer referencia al </w:t>
      </w:r>
      <w:r w:rsidRPr="007E2E11">
        <w:rPr>
          <w:rFonts w:ascii="Verdana" w:eastAsia="Batang" w:hAnsi="Verdana"/>
          <w:sz w:val="20"/>
          <w:szCs w:val="20"/>
          <w:lang w:val="es-ES" w:eastAsia="es-MX"/>
        </w:rPr>
        <w:t xml:space="preserve">perfil victimológico de Claudina Velásquez, se hicieron </w:t>
      </w:r>
      <w:r w:rsidR="004A1F16">
        <w:rPr>
          <w:rFonts w:ascii="Verdana" w:eastAsia="Batang" w:hAnsi="Verdana"/>
          <w:sz w:val="20"/>
          <w:szCs w:val="20"/>
          <w:lang w:val="es-ES" w:eastAsia="es-MX"/>
        </w:rPr>
        <w:t>manifestaciones</w:t>
      </w:r>
      <w:r w:rsidR="00805F0B" w:rsidRPr="007E2E11">
        <w:rPr>
          <w:rFonts w:ascii="Verdana" w:eastAsia="Batang" w:hAnsi="Verdana"/>
          <w:sz w:val="20"/>
          <w:szCs w:val="20"/>
          <w:lang w:val="es-ES" w:eastAsia="es-MX"/>
        </w:rPr>
        <w:t xml:space="preserve"> tendientes a </w:t>
      </w:r>
      <w:r w:rsidR="00805F0B" w:rsidRPr="007E2E11">
        <w:rPr>
          <w:rFonts w:ascii="Verdana" w:eastAsia="Batang" w:hAnsi="Verdana"/>
          <w:bCs/>
          <w:sz w:val="20"/>
          <w:szCs w:val="20"/>
          <w:lang w:val="es-ES_tradnl" w:eastAsia="es-MX"/>
        </w:rPr>
        <w:t xml:space="preserve">desacreditar a la víctima y culpabilizarla por su estilo de vida, así como </w:t>
      </w:r>
      <w:r w:rsidRPr="007E2E11">
        <w:rPr>
          <w:rFonts w:ascii="Verdana" w:eastAsia="Batang" w:hAnsi="Verdana"/>
          <w:bCs/>
          <w:sz w:val="20"/>
          <w:szCs w:val="20"/>
          <w:lang w:val="es-ES_tradnl" w:eastAsia="es-MX"/>
        </w:rPr>
        <w:t xml:space="preserve">se indagó en </w:t>
      </w:r>
      <w:r w:rsidR="00805F0B" w:rsidRPr="007E2E11">
        <w:rPr>
          <w:rFonts w:ascii="Verdana" w:eastAsia="Batang" w:hAnsi="Verdana"/>
          <w:bCs/>
          <w:sz w:val="20"/>
          <w:szCs w:val="20"/>
          <w:lang w:val="es-ES_tradnl" w:eastAsia="es-MX"/>
        </w:rPr>
        <w:t>aspectos relativos a sus relaciones personales y sexualidad.</w:t>
      </w:r>
      <w:r w:rsidR="00DE7AC1" w:rsidRPr="007E2E11">
        <w:rPr>
          <w:rFonts w:ascii="Verdana" w:eastAsia="Batang" w:hAnsi="Verdana"/>
          <w:sz w:val="20"/>
          <w:szCs w:val="20"/>
          <w:lang w:val="es-ES" w:eastAsia="es-MX"/>
        </w:rPr>
        <w:t xml:space="preserve"> </w:t>
      </w:r>
    </w:p>
    <w:p w14:paraId="2C47BDE9" w14:textId="77777777" w:rsidR="001B36D5" w:rsidRPr="007E2E11" w:rsidRDefault="001B36D5" w:rsidP="0073647C">
      <w:pPr>
        <w:autoSpaceDE w:val="0"/>
        <w:autoSpaceDN w:val="0"/>
        <w:adjustRightInd w:val="0"/>
        <w:jc w:val="both"/>
        <w:rPr>
          <w:rFonts w:ascii="Verdana" w:eastAsia="Batang" w:hAnsi="Verdana"/>
          <w:sz w:val="20"/>
          <w:szCs w:val="20"/>
          <w:lang w:val="es-ES" w:eastAsia="es-MX"/>
        </w:rPr>
      </w:pPr>
    </w:p>
    <w:p w14:paraId="3028C14B" w14:textId="697DB9A0" w:rsidR="00805F0B" w:rsidRPr="007E2E11" w:rsidRDefault="004F7323" w:rsidP="004F7323">
      <w:pPr>
        <w:autoSpaceDE w:val="0"/>
        <w:autoSpaceDN w:val="0"/>
        <w:adjustRightInd w:val="0"/>
        <w:jc w:val="both"/>
        <w:rPr>
          <w:rFonts w:ascii="Verdana" w:eastAsia="Batang" w:hAnsi="Verdana"/>
          <w:sz w:val="20"/>
          <w:szCs w:val="20"/>
          <w:lang w:val="es-ES_tradnl" w:eastAsia="es-MX"/>
        </w:rPr>
      </w:pPr>
      <w:r w:rsidRPr="007E2E11">
        <w:rPr>
          <w:rFonts w:ascii="Verdana" w:eastAsia="Batang" w:hAnsi="Verdana" w:cs="FPNLKG+TimesNewRoman"/>
          <w:sz w:val="20"/>
          <w:szCs w:val="20"/>
          <w:lang w:val="es-MX" w:eastAsia="es-MX"/>
        </w:rPr>
        <w:t xml:space="preserve">La Corte advirtió que </w:t>
      </w:r>
      <w:r w:rsidRPr="007E2E11">
        <w:rPr>
          <w:rFonts w:ascii="Verdana" w:eastAsia="Batang" w:hAnsi="Verdana" w:cs="FPNLKG+TimesNewRoman"/>
          <w:sz w:val="20"/>
          <w:szCs w:val="20"/>
          <w:lang w:val="es-ES_tradnl" w:eastAsia="es-MX"/>
        </w:rPr>
        <w:t xml:space="preserve">las actitudes que asumieron las autoridades en la investigación de la muerte de </w:t>
      </w:r>
      <w:r w:rsidRPr="007E2E11">
        <w:rPr>
          <w:rFonts w:ascii="Verdana" w:eastAsia="Batang" w:hAnsi="Verdana"/>
          <w:sz w:val="20"/>
          <w:szCs w:val="20"/>
          <w:lang w:val="es-ES" w:eastAsia="es-MX"/>
        </w:rPr>
        <w:t>Claudina</w:t>
      </w:r>
      <w:r w:rsidRPr="007E2E11">
        <w:rPr>
          <w:rFonts w:ascii="Verdana" w:eastAsia="Batang" w:hAnsi="Verdana" w:cs="FPNLKG+TimesNewRoman"/>
          <w:sz w:val="20"/>
          <w:szCs w:val="20"/>
          <w:lang w:val="es-ES_tradnl" w:eastAsia="es-MX"/>
        </w:rPr>
        <w:t xml:space="preserve"> Velásquez </w:t>
      </w:r>
      <w:r w:rsidRPr="007E2E11">
        <w:rPr>
          <w:rFonts w:ascii="Verdana" w:eastAsia="Batang" w:hAnsi="Verdana"/>
          <w:sz w:val="20"/>
          <w:szCs w:val="20"/>
          <w:lang w:val="es-ES" w:eastAsia="es-MX"/>
        </w:rPr>
        <w:t>no es un hecho aislado, pues</w:t>
      </w:r>
      <w:r w:rsidRPr="007E2E11">
        <w:rPr>
          <w:rFonts w:ascii="Verdana" w:eastAsia="Batang" w:hAnsi="Verdana"/>
          <w:bCs/>
          <w:sz w:val="20"/>
          <w:szCs w:val="20"/>
          <w:lang w:val="es-ES_tradnl" w:eastAsia="es-MX"/>
        </w:rPr>
        <w:t xml:space="preserve"> coincide con el contexto sobre la “tendencia de los investigadores a desacreditar a las víctimas y culpabilizarlas por su estilo de vida, o ropa”, y la indagación de aspectos relativos a las relaciones personales y sexualidad de las víctimas, así como la impunidad de los </w:t>
      </w:r>
      <w:r w:rsidRPr="007E2E11">
        <w:rPr>
          <w:rFonts w:ascii="Verdana" w:eastAsia="Batang" w:hAnsi="Verdana"/>
          <w:sz w:val="20"/>
          <w:szCs w:val="20"/>
          <w:lang w:val="es-ES_tradnl" w:eastAsia="es-MX"/>
        </w:rPr>
        <w:t>actos violentos que conllevan la muerte de mujeres</w:t>
      </w:r>
      <w:r w:rsidRPr="007E2E11">
        <w:rPr>
          <w:rFonts w:ascii="Verdana" w:eastAsia="Batang" w:hAnsi="Verdana"/>
          <w:sz w:val="20"/>
          <w:szCs w:val="20"/>
          <w:lang w:val="es-ES" w:eastAsia="es-MX"/>
        </w:rPr>
        <w:t xml:space="preserve">. Coincide además con las actitudes que tuvieron los </w:t>
      </w:r>
      <w:r w:rsidRPr="007E2E11">
        <w:rPr>
          <w:rFonts w:ascii="Verdana" w:eastAsia="Batang" w:hAnsi="Verdana"/>
          <w:sz w:val="20"/>
          <w:szCs w:val="20"/>
          <w:lang w:val="es-ES_tradnl" w:eastAsia="es-MX"/>
        </w:rPr>
        <w:t xml:space="preserve">funcionarios a cargo de la investigación </w:t>
      </w:r>
      <w:r w:rsidRPr="007E2E11">
        <w:rPr>
          <w:rFonts w:ascii="Verdana" w:eastAsia="Batang" w:hAnsi="Verdana"/>
          <w:sz w:val="20"/>
          <w:szCs w:val="20"/>
          <w:lang w:val="es-ES" w:eastAsia="es-MX"/>
        </w:rPr>
        <w:t xml:space="preserve">en el caso </w:t>
      </w:r>
      <w:r w:rsidRPr="007E2E11">
        <w:rPr>
          <w:rFonts w:ascii="Verdana" w:eastAsia="Batang" w:hAnsi="Verdana"/>
          <w:i/>
          <w:iCs/>
          <w:sz w:val="20"/>
          <w:szCs w:val="20"/>
          <w:lang w:val="es-ES_tradnl" w:eastAsia="es-MX"/>
        </w:rPr>
        <w:t>Caso Veliz Franco y otros Vs. Guatemala</w:t>
      </w:r>
      <w:r w:rsidRPr="007E2E11">
        <w:rPr>
          <w:rFonts w:ascii="Verdana" w:eastAsia="Batang" w:hAnsi="Verdana"/>
          <w:iCs/>
          <w:sz w:val="20"/>
          <w:szCs w:val="20"/>
          <w:lang w:val="es-ES_tradnl" w:eastAsia="es-MX"/>
        </w:rPr>
        <w:t>.</w:t>
      </w:r>
    </w:p>
    <w:p w14:paraId="4337A68E" w14:textId="77777777" w:rsidR="004E68E8" w:rsidRPr="007E2E11" w:rsidRDefault="004E68E8" w:rsidP="0073647C">
      <w:pPr>
        <w:autoSpaceDE w:val="0"/>
        <w:autoSpaceDN w:val="0"/>
        <w:adjustRightInd w:val="0"/>
        <w:jc w:val="both"/>
        <w:rPr>
          <w:rFonts w:ascii="Verdana" w:eastAsia="Batang" w:hAnsi="Verdana" w:cs="Arial"/>
          <w:sz w:val="20"/>
          <w:szCs w:val="20"/>
          <w:lang w:val="es-ES" w:eastAsia="es-MX"/>
        </w:rPr>
      </w:pPr>
    </w:p>
    <w:p w14:paraId="133CF73D" w14:textId="26705ABD" w:rsidR="00EA60E3" w:rsidRPr="007E2E11" w:rsidRDefault="00DE7AC1" w:rsidP="00EA60E3">
      <w:pPr>
        <w:tabs>
          <w:tab w:val="left" w:pos="567"/>
        </w:tabs>
        <w:jc w:val="both"/>
        <w:rPr>
          <w:rFonts w:ascii="Verdana" w:eastAsia="Batang" w:hAnsi="Verdana"/>
          <w:sz w:val="20"/>
          <w:szCs w:val="20"/>
          <w:lang w:val="es-ES" w:eastAsia="es-MX"/>
        </w:rPr>
      </w:pPr>
      <w:r w:rsidRPr="007E2E11">
        <w:rPr>
          <w:rFonts w:ascii="Verdana" w:eastAsia="Calibri" w:hAnsi="Verdana"/>
          <w:sz w:val="20"/>
          <w:szCs w:val="20"/>
          <w:lang w:val="es-ES" w:eastAsia="es-MX"/>
        </w:rPr>
        <w:t xml:space="preserve">Por otro lado, la Corte </w:t>
      </w:r>
      <w:r w:rsidR="004F7323" w:rsidRPr="007E2E11">
        <w:rPr>
          <w:rFonts w:ascii="Verdana" w:eastAsia="Calibri" w:hAnsi="Verdana"/>
          <w:sz w:val="20"/>
          <w:szCs w:val="20"/>
          <w:lang w:val="es-ES" w:eastAsia="es-MX"/>
        </w:rPr>
        <w:t>consideró</w:t>
      </w:r>
      <w:r w:rsidRPr="007E2E11">
        <w:rPr>
          <w:rFonts w:ascii="Verdana" w:eastAsia="Calibri" w:hAnsi="Verdana"/>
          <w:sz w:val="20"/>
          <w:szCs w:val="20"/>
          <w:lang w:val="es-ES" w:eastAsia="es-MX"/>
        </w:rPr>
        <w:t xml:space="preserve"> </w:t>
      </w:r>
      <w:r w:rsidR="00805F0B" w:rsidRPr="007E2E11">
        <w:rPr>
          <w:rFonts w:ascii="Verdana" w:eastAsia="Calibri" w:hAnsi="Verdana"/>
          <w:sz w:val="20"/>
          <w:szCs w:val="20"/>
          <w:lang w:val="es-ES" w:eastAsia="es-MX"/>
        </w:rPr>
        <w:t xml:space="preserve">posible asumir que la muerte violenta de Claudina Velásquez Paiz fue una manifestación </w:t>
      </w:r>
      <w:r w:rsidR="00805F0B" w:rsidRPr="007E2E11">
        <w:rPr>
          <w:rFonts w:ascii="Verdana" w:eastAsia="Batang" w:hAnsi="Verdana"/>
          <w:sz w:val="20"/>
          <w:szCs w:val="20"/>
          <w:lang w:val="es-ES" w:eastAsia="es-MX"/>
        </w:rPr>
        <w:t xml:space="preserve">de violencia de género </w:t>
      </w:r>
      <w:r w:rsidR="00805F0B" w:rsidRPr="007E2E11">
        <w:rPr>
          <w:rFonts w:ascii="Verdana" w:eastAsia="Batang" w:hAnsi="Verdana"/>
          <w:sz w:val="20"/>
          <w:szCs w:val="20"/>
          <w:lang w:val="es-EC" w:eastAsia="es-MX"/>
        </w:rPr>
        <w:t>a los efectos de la aplicación al caso del artículo 7 de la Convención de Belém do Pará</w:t>
      </w:r>
      <w:r w:rsidR="00805F0B" w:rsidRPr="007E2E11">
        <w:rPr>
          <w:rFonts w:ascii="Verdana" w:eastAsia="Batang" w:hAnsi="Verdana"/>
          <w:sz w:val="20"/>
          <w:szCs w:val="20"/>
          <w:lang w:val="es-ES_tradnl" w:eastAsia="es-MX"/>
        </w:rPr>
        <w:t xml:space="preserve">, </w:t>
      </w:r>
      <w:r w:rsidR="00805F0B" w:rsidRPr="007E2E11">
        <w:rPr>
          <w:rFonts w:ascii="Verdana" w:eastAsia="Batang" w:hAnsi="Verdana"/>
          <w:sz w:val="20"/>
          <w:szCs w:val="20"/>
          <w:lang w:val="es-ES" w:eastAsia="es-MX"/>
        </w:rPr>
        <w:t>t</w:t>
      </w:r>
      <w:r w:rsidR="00805F0B" w:rsidRPr="007E2E11">
        <w:rPr>
          <w:rFonts w:ascii="Verdana" w:eastAsia="Calibri" w:hAnsi="Verdana"/>
          <w:sz w:val="20"/>
          <w:szCs w:val="20"/>
          <w:lang w:val="es-ES" w:eastAsia="es-MX"/>
        </w:rPr>
        <w:t xml:space="preserve">eniendo en cuenta: </w:t>
      </w:r>
      <w:r w:rsidR="009E494A" w:rsidRPr="007E2E11">
        <w:rPr>
          <w:rFonts w:ascii="Verdana" w:eastAsia="Calibri" w:hAnsi="Verdana"/>
          <w:sz w:val="20"/>
          <w:szCs w:val="20"/>
          <w:lang w:val="es-ES" w:eastAsia="es-MX"/>
        </w:rPr>
        <w:t>i</w:t>
      </w:r>
      <w:r w:rsidR="00805F0B" w:rsidRPr="007E2E11">
        <w:rPr>
          <w:rFonts w:ascii="Verdana" w:eastAsia="Calibri" w:hAnsi="Verdana"/>
          <w:sz w:val="20"/>
          <w:szCs w:val="20"/>
          <w:lang w:val="es-ES" w:eastAsia="es-MX"/>
        </w:rPr>
        <w:t xml:space="preserve">) </w:t>
      </w:r>
      <w:r w:rsidR="009E494A" w:rsidRPr="007E2E11">
        <w:rPr>
          <w:rFonts w:ascii="Verdana" w:hAnsi="Verdana"/>
          <w:sz w:val="20"/>
          <w:szCs w:val="20"/>
          <w:lang w:val="es-ES" w:eastAsia="es-MX"/>
        </w:rPr>
        <w:t>l</w:t>
      </w:r>
      <w:r w:rsidR="00805F0B" w:rsidRPr="007E2E11">
        <w:rPr>
          <w:rFonts w:ascii="Verdana" w:hAnsi="Verdana"/>
          <w:sz w:val="20"/>
          <w:szCs w:val="20"/>
          <w:lang w:val="es-ES" w:eastAsia="es-MX"/>
        </w:rPr>
        <w:t xml:space="preserve">os indicios de una </w:t>
      </w:r>
      <w:r w:rsidRPr="007E2E11">
        <w:rPr>
          <w:rFonts w:ascii="Verdana" w:eastAsia="Calibri" w:hAnsi="Verdana"/>
          <w:sz w:val="20"/>
          <w:szCs w:val="20"/>
          <w:lang w:val="es-ES" w:eastAsia="es-MX"/>
        </w:rPr>
        <w:t>probable violación sexual</w:t>
      </w:r>
      <w:r w:rsidR="005D14DE" w:rsidRPr="007E2E11">
        <w:rPr>
          <w:rFonts w:ascii="Verdana" w:eastAsia="Calibri" w:hAnsi="Verdana"/>
          <w:sz w:val="20"/>
          <w:szCs w:val="20"/>
          <w:lang w:val="es-ES" w:eastAsia="es-MX"/>
        </w:rPr>
        <w:t xml:space="preserve">: el brasier no lo tenía puesto sino colocado </w:t>
      </w:r>
      <w:r w:rsidR="005D14DE" w:rsidRPr="007E2E11">
        <w:rPr>
          <w:rFonts w:ascii="Verdana" w:hAnsi="Verdana"/>
          <w:sz w:val="20"/>
          <w:szCs w:val="20"/>
          <w:lang w:val="es-ES" w:eastAsia="es-MX"/>
        </w:rPr>
        <w:t xml:space="preserve">entre el pantalón y la cadera, el zipper del pantalón estaba abajo, el cincho estaba removido, la blusa estaba puesta al revés y </w:t>
      </w:r>
      <w:r w:rsidR="005D14DE" w:rsidRPr="007E2E11">
        <w:rPr>
          <w:rFonts w:ascii="Verdana" w:eastAsia="Calibri" w:hAnsi="Verdana"/>
          <w:sz w:val="20"/>
          <w:szCs w:val="20"/>
          <w:lang w:eastAsia="es-MX"/>
        </w:rPr>
        <w:t xml:space="preserve">se </w:t>
      </w:r>
      <w:r w:rsidR="005D14DE" w:rsidRPr="007E2E11">
        <w:rPr>
          <w:rFonts w:ascii="Verdana" w:hAnsi="Verdana"/>
          <w:sz w:val="20"/>
          <w:szCs w:val="20"/>
          <w:lang w:val="es-ES" w:eastAsia="es-MX"/>
        </w:rPr>
        <w:t>documentó la presencia de semen en la cavidad vaginal de la víctima</w:t>
      </w:r>
      <w:r w:rsidR="00805F0B" w:rsidRPr="007E2E11">
        <w:rPr>
          <w:rFonts w:ascii="Verdana" w:eastAsia="Calibri" w:hAnsi="Verdana"/>
          <w:sz w:val="20"/>
          <w:szCs w:val="20"/>
          <w:lang w:val="es-ES" w:eastAsia="es-MX"/>
        </w:rPr>
        <w:t xml:space="preserve">; </w:t>
      </w:r>
      <w:r w:rsidR="009E494A" w:rsidRPr="007E2E11">
        <w:rPr>
          <w:rFonts w:ascii="Verdana" w:eastAsia="Calibri" w:hAnsi="Verdana"/>
          <w:sz w:val="20"/>
          <w:szCs w:val="20"/>
          <w:lang w:val="es-ES" w:eastAsia="es-MX"/>
        </w:rPr>
        <w:t>ii</w:t>
      </w:r>
      <w:r w:rsidR="00805F0B" w:rsidRPr="007E2E11">
        <w:rPr>
          <w:rFonts w:ascii="Verdana" w:eastAsia="Calibri" w:hAnsi="Verdana"/>
          <w:sz w:val="20"/>
          <w:szCs w:val="20"/>
          <w:lang w:val="es-ES" w:eastAsia="es-MX"/>
        </w:rPr>
        <w:t xml:space="preserve">) </w:t>
      </w:r>
      <w:r w:rsidR="009E494A" w:rsidRPr="007E2E11">
        <w:rPr>
          <w:rFonts w:ascii="Verdana" w:hAnsi="Verdana"/>
          <w:sz w:val="20"/>
          <w:szCs w:val="20"/>
          <w:lang w:val="es-ES" w:eastAsia="es-MX"/>
        </w:rPr>
        <w:t xml:space="preserve">las </w:t>
      </w:r>
      <w:r w:rsidR="00805F0B" w:rsidRPr="007E2E11">
        <w:rPr>
          <w:rFonts w:ascii="Verdana" w:hAnsi="Verdana"/>
          <w:sz w:val="20"/>
          <w:szCs w:val="20"/>
          <w:lang w:val="es-ES" w:eastAsia="es-MX"/>
        </w:rPr>
        <w:t>le</w:t>
      </w:r>
      <w:r w:rsidRPr="007E2E11">
        <w:rPr>
          <w:rFonts w:ascii="Verdana" w:hAnsi="Verdana"/>
          <w:sz w:val="20"/>
          <w:szCs w:val="20"/>
          <w:lang w:val="es-ES" w:eastAsia="es-MX"/>
        </w:rPr>
        <w:t>siones que presentaba el cuerpo</w:t>
      </w:r>
      <w:r w:rsidR="005D14DE" w:rsidRPr="007E2E11">
        <w:rPr>
          <w:rFonts w:ascii="Verdana" w:hAnsi="Verdana"/>
          <w:sz w:val="20"/>
          <w:szCs w:val="20"/>
          <w:lang w:val="es-ES" w:eastAsia="es-MX"/>
        </w:rPr>
        <w:t xml:space="preserve">: una lesión a nivel peri orbital y al lado izquierdo de la mejilla causada antes de su muerte, y </w:t>
      </w:r>
      <w:r w:rsidR="005D14DE" w:rsidRPr="007E2E11">
        <w:rPr>
          <w:rFonts w:ascii="Verdana" w:eastAsia="Calibri" w:hAnsi="Verdana"/>
          <w:sz w:val="20"/>
          <w:szCs w:val="20"/>
          <w:lang w:eastAsia="es-MX"/>
        </w:rPr>
        <w:t xml:space="preserve">excoriaciones en la </w:t>
      </w:r>
      <w:r w:rsidR="005D14DE" w:rsidRPr="007E2E11">
        <w:rPr>
          <w:rFonts w:ascii="Verdana" w:eastAsia="Calibri" w:hAnsi="Verdana" w:cs="Arial"/>
          <w:sz w:val="20"/>
          <w:szCs w:val="20"/>
          <w:lang w:eastAsia="es-MX"/>
        </w:rPr>
        <w:t xml:space="preserve">rodilla izquierda </w:t>
      </w:r>
      <w:r w:rsidR="005D14DE" w:rsidRPr="007E2E11">
        <w:rPr>
          <w:rFonts w:ascii="Verdana" w:eastAsia="Calibri" w:hAnsi="Verdana"/>
          <w:sz w:val="20"/>
          <w:szCs w:val="20"/>
          <w:lang w:eastAsia="es-MX"/>
        </w:rPr>
        <w:t>y a nivel flanco, aparentemente causadas con posterioridad a la muerte</w:t>
      </w:r>
      <w:r w:rsidR="00805F0B" w:rsidRPr="007E2E11">
        <w:rPr>
          <w:rFonts w:ascii="Verdana" w:eastAsia="Calibri" w:hAnsi="Verdana"/>
          <w:sz w:val="20"/>
          <w:szCs w:val="20"/>
          <w:lang w:eastAsia="es-MX"/>
        </w:rPr>
        <w:t xml:space="preserve">, y </w:t>
      </w:r>
      <w:r w:rsidR="009E494A" w:rsidRPr="007E2E11">
        <w:rPr>
          <w:rFonts w:ascii="Verdana" w:eastAsia="Calibri" w:hAnsi="Verdana"/>
          <w:sz w:val="20"/>
          <w:szCs w:val="20"/>
          <w:lang w:eastAsia="es-MX"/>
        </w:rPr>
        <w:t>iii</w:t>
      </w:r>
      <w:r w:rsidR="00805F0B" w:rsidRPr="007E2E11">
        <w:rPr>
          <w:rFonts w:ascii="Verdana" w:eastAsia="Calibri" w:hAnsi="Verdana"/>
          <w:sz w:val="20"/>
          <w:szCs w:val="20"/>
          <w:lang w:eastAsia="es-MX"/>
        </w:rPr>
        <w:t xml:space="preserve">) </w:t>
      </w:r>
      <w:r w:rsidR="009E494A" w:rsidRPr="007E2E11">
        <w:rPr>
          <w:rFonts w:ascii="Verdana" w:hAnsi="Verdana"/>
          <w:sz w:val="20"/>
          <w:szCs w:val="20"/>
          <w:lang w:eastAsia="es-MX"/>
        </w:rPr>
        <w:t xml:space="preserve">el </w:t>
      </w:r>
      <w:r w:rsidR="00805F0B" w:rsidRPr="007E2E11">
        <w:rPr>
          <w:rFonts w:ascii="Verdana" w:hAnsi="Verdana"/>
          <w:sz w:val="20"/>
          <w:szCs w:val="20"/>
          <w:lang w:eastAsia="es-MX"/>
        </w:rPr>
        <w:t>contexto d</w:t>
      </w:r>
      <w:r w:rsidR="00805F0B" w:rsidRPr="007E2E11">
        <w:rPr>
          <w:rFonts w:ascii="Verdana" w:hAnsi="Verdana"/>
          <w:sz w:val="20"/>
          <w:szCs w:val="20"/>
          <w:lang w:val="es-ES" w:eastAsia="es-MX"/>
        </w:rPr>
        <w:t>e</w:t>
      </w:r>
      <w:r w:rsidR="00805F0B" w:rsidRPr="007E2E11">
        <w:rPr>
          <w:rFonts w:ascii="Verdana" w:hAnsi="Verdana"/>
          <w:sz w:val="20"/>
          <w:szCs w:val="20"/>
          <w:lang w:eastAsia="es-MX"/>
        </w:rPr>
        <w:t xml:space="preserve"> aumento de la violencia homicida c</w:t>
      </w:r>
      <w:r w:rsidR="00C57F90" w:rsidRPr="007E2E11">
        <w:rPr>
          <w:rFonts w:ascii="Verdana" w:hAnsi="Verdana"/>
          <w:sz w:val="20"/>
          <w:szCs w:val="20"/>
          <w:lang w:eastAsia="es-MX"/>
        </w:rPr>
        <w:t>ontra las mujeres en Guatemala</w:t>
      </w:r>
      <w:r w:rsidR="005D14DE" w:rsidRPr="007E2E11">
        <w:rPr>
          <w:rFonts w:ascii="Verdana" w:hAnsi="Verdana"/>
          <w:sz w:val="20"/>
          <w:szCs w:val="20"/>
          <w:lang w:val="es-ES" w:eastAsia="es-MX"/>
        </w:rPr>
        <w:t xml:space="preserve">, el agravamiento del grado de violencia contra aquellas </w:t>
      </w:r>
      <w:r w:rsidR="005D14DE" w:rsidRPr="007E2E11">
        <w:rPr>
          <w:rFonts w:ascii="Verdana" w:hAnsi="Verdana"/>
          <w:sz w:val="20"/>
          <w:szCs w:val="20"/>
          <w:lang w:eastAsia="es-MX"/>
        </w:rPr>
        <w:t xml:space="preserve">y el ensañamiento ejercidos contra los cuerpos de muchas de las víctimas, lo cual </w:t>
      </w:r>
      <w:r w:rsidR="005D14DE" w:rsidRPr="007E2E11">
        <w:rPr>
          <w:rFonts w:ascii="Verdana" w:eastAsia="Calibri" w:hAnsi="Verdana"/>
          <w:sz w:val="20"/>
          <w:szCs w:val="20"/>
          <w:lang w:val="es-ES" w:eastAsia="es-MX"/>
        </w:rPr>
        <w:t xml:space="preserve">ocurre en un entorno de </w:t>
      </w:r>
      <w:r w:rsidR="00D84218">
        <w:rPr>
          <w:rFonts w:ascii="Verdana" w:eastAsia="Calibri" w:hAnsi="Verdana"/>
          <w:sz w:val="20"/>
          <w:szCs w:val="20"/>
          <w:lang w:val="es-ES" w:eastAsia="es-MX"/>
        </w:rPr>
        <w:t>diversas</w:t>
      </w:r>
      <w:r w:rsidR="00D84218" w:rsidRPr="007E2E11" w:rsidDel="00D84218">
        <w:rPr>
          <w:rFonts w:ascii="Verdana" w:eastAsia="Calibri" w:hAnsi="Verdana"/>
          <w:sz w:val="20"/>
          <w:szCs w:val="20"/>
          <w:lang w:val="es-ES" w:eastAsia="es-MX"/>
        </w:rPr>
        <w:t xml:space="preserve"> </w:t>
      </w:r>
      <w:r w:rsidR="005D14DE" w:rsidRPr="007E2E11">
        <w:rPr>
          <w:rFonts w:ascii="Verdana" w:eastAsia="Calibri" w:hAnsi="Verdana"/>
          <w:sz w:val="20"/>
          <w:szCs w:val="20"/>
          <w:lang w:val="es-ES" w:eastAsia="es-MX"/>
        </w:rPr>
        <w:t>formas de violencia contra la mujer.</w:t>
      </w:r>
      <w:r w:rsidR="00EA60E3" w:rsidRPr="007E2E11">
        <w:rPr>
          <w:rFonts w:ascii="Verdana" w:eastAsia="Calibri" w:hAnsi="Verdana"/>
          <w:sz w:val="20"/>
          <w:szCs w:val="20"/>
          <w:lang w:val="es-ES" w:eastAsia="es-MX"/>
        </w:rPr>
        <w:t xml:space="preserve"> En este punto, la Corte consideró que, no obstante que la existencia </w:t>
      </w:r>
      <w:r w:rsidR="00EA60E3" w:rsidRPr="007E2E11">
        <w:rPr>
          <w:rFonts w:ascii="Verdana" w:eastAsia="Batang" w:hAnsi="Verdana"/>
          <w:sz w:val="20"/>
          <w:szCs w:val="20"/>
          <w:lang w:val="es-ES" w:eastAsia="es-MX"/>
        </w:rPr>
        <w:t>de i</w:t>
      </w:r>
      <w:r w:rsidR="00EA60E3" w:rsidRPr="007E2E11">
        <w:rPr>
          <w:rFonts w:ascii="Verdana" w:eastAsia="Calibri" w:hAnsi="Verdana"/>
          <w:sz w:val="20"/>
          <w:szCs w:val="20"/>
          <w:lang w:val="es-ES" w:eastAsia="es-MX"/>
        </w:rPr>
        <w:t xml:space="preserve">ndicios sobre </w:t>
      </w:r>
      <w:r w:rsidR="00EA60E3" w:rsidRPr="007E2E11">
        <w:rPr>
          <w:rFonts w:ascii="Verdana" w:eastAsia="Batang" w:hAnsi="Verdana"/>
          <w:sz w:val="20"/>
          <w:szCs w:val="20"/>
          <w:lang w:val="es-ES" w:eastAsia="es-MX"/>
        </w:rPr>
        <w:t xml:space="preserve">posible violencia de género en contra de Claudina Velásquez </w:t>
      </w:r>
      <w:r w:rsidR="00EA60E3" w:rsidRPr="007E2E11">
        <w:rPr>
          <w:rFonts w:ascii="Verdana" w:eastAsia="Calibri" w:hAnsi="Verdana"/>
          <w:sz w:val="20"/>
          <w:szCs w:val="20"/>
          <w:lang w:val="es-ES" w:eastAsia="es-MX"/>
        </w:rPr>
        <w:t>fue de conocimiento de las autoridades encargadas de la investigación a partir de los primeros momentos en</w:t>
      </w:r>
      <w:r w:rsidR="004A1F16">
        <w:rPr>
          <w:rFonts w:ascii="Verdana" w:eastAsia="Calibri" w:hAnsi="Verdana"/>
          <w:sz w:val="20"/>
          <w:szCs w:val="20"/>
          <w:lang w:val="es-ES" w:eastAsia="es-MX"/>
        </w:rPr>
        <w:t xml:space="preserve"> que se inició esta</w:t>
      </w:r>
      <w:r w:rsidR="00EA60E3" w:rsidRPr="007E2E11">
        <w:rPr>
          <w:rFonts w:ascii="Verdana" w:eastAsia="Calibri" w:hAnsi="Verdana"/>
          <w:sz w:val="20"/>
          <w:szCs w:val="20"/>
          <w:lang w:val="es-ES" w:eastAsia="es-MX"/>
        </w:rPr>
        <w:t xml:space="preserve">, </w:t>
      </w:r>
      <w:r w:rsidR="00EA60E3" w:rsidRPr="007E2E11">
        <w:rPr>
          <w:rFonts w:ascii="Verdana" w:eastAsia="Batang" w:hAnsi="Verdana"/>
          <w:sz w:val="20"/>
          <w:szCs w:val="20"/>
          <w:lang w:val="es-ES" w:eastAsia="es-MX"/>
        </w:rPr>
        <w:t xml:space="preserve">a causa de los prejuicios y las manifestaciones discriminatorias basadas en estereotipos de género de los agentes estatales que intervinieron en la </w:t>
      </w:r>
      <w:r w:rsidR="004A1F16">
        <w:rPr>
          <w:rFonts w:ascii="Verdana" w:eastAsia="Batang" w:hAnsi="Verdana"/>
          <w:sz w:val="20"/>
          <w:szCs w:val="20"/>
          <w:lang w:val="es-ES" w:eastAsia="es-MX"/>
        </w:rPr>
        <w:t>misma</w:t>
      </w:r>
      <w:r w:rsidR="00EA60E3" w:rsidRPr="007E2E11">
        <w:rPr>
          <w:rFonts w:ascii="Verdana" w:eastAsia="Batang" w:hAnsi="Verdana"/>
          <w:sz w:val="20"/>
          <w:szCs w:val="20"/>
          <w:lang w:val="es-ES" w:eastAsia="es-MX"/>
        </w:rPr>
        <w:t xml:space="preserve">, se omitió </w:t>
      </w:r>
      <w:r w:rsidR="00EA60E3" w:rsidRPr="007E2E11">
        <w:rPr>
          <w:rFonts w:ascii="Verdana" w:eastAsia="Calibri" w:hAnsi="Verdana"/>
          <w:sz w:val="20"/>
          <w:szCs w:val="20"/>
          <w:lang w:val="es-ES" w:eastAsia="es-MX"/>
        </w:rPr>
        <w:t xml:space="preserve">conducir la investigación </w:t>
      </w:r>
      <w:r w:rsidR="00EA60E3" w:rsidRPr="007E2E11">
        <w:rPr>
          <w:rFonts w:ascii="Verdana" w:eastAsia="Batang" w:hAnsi="Verdana"/>
          <w:sz w:val="20"/>
          <w:szCs w:val="20"/>
          <w:lang w:val="es-ES" w:eastAsia="es-MX"/>
        </w:rPr>
        <w:t>desde un enfoque de género y la muerte de Claudina Velásquez fue conducida como un homicidio más.</w:t>
      </w:r>
    </w:p>
    <w:p w14:paraId="47F6DAD3" w14:textId="77777777" w:rsidR="00EA60E3" w:rsidRDefault="00EA60E3" w:rsidP="00EA60E3">
      <w:pPr>
        <w:tabs>
          <w:tab w:val="left" w:pos="567"/>
        </w:tabs>
        <w:jc w:val="both"/>
        <w:rPr>
          <w:rFonts w:ascii="Verdana" w:eastAsia="Batang" w:hAnsi="Verdana"/>
          <w:sz w:val="20"/>
          <w:szCs w:val="20"/>
          <w:lang w:val="es-ES" w:eastAsia="es-MX"/>
        </w:rPr>
      </w:pPr>
    </w:p>
    <w:p w14:paraId="0381D32A" w14:textId="66C08AF5" w:rsidR="00CD787B" w:rsidRDefault="00CD787B" w:rsidP="00EA60E3">
      <w:pPr>
        <w:tabs>
          <w:tab w:val="left" w:pos="567"/>
        </w:tabs>
        <w:jc w:val="both"/>
        <w:rPr>
          <w:rFonts w:ascii="Verdana" w:eastAsia="Calibri" w:hAnsi="Verdana" w:cs="Arial"/>
          <w:sz w:val="20"/>
          <w:szCs w:val="20"/>
          <w:lang w:val="es-ES" w:eastAsia="es-MX"/>
        </w:rPr>
      </w:pPr>
      <w:r w:rsidRPr="000F72CD">
        <w:rPr>
          <w:rFonts w:ascii="Verdana" w:eastAsia="Batang" w:hAnsi="Verdana"/>
          <w:sz w:val="20"/>
          <w:szCs w:val="20"/>
          <w:lang w:val="es-ES" w:eastAsia="es-MX"/>
        </w:rPr>
        <w:t xml:space="preserve">Para la Corte </w:t>
      </w:r>
      <w:r w:rsidRPr="000F72CD">
        <w:rPr>
          <w:rFonts w:ascii="Verdana" w:eastAsia="Batang" w:hAnsi="Verdana"/>
          <w:bCs/>
          <w:sz w:val="20"/>
          <w:szCs w:val="20"/>
          <w:lang w:val="es-ES_tradnl" w:eastAsia="es-MX"/>
        </w:rPr>
        <w:t xml:space="preserve">tres aspectos </w:t>
      </w:r>
      <w:r>
        <w:rPr>
          <w:rFonts w:ascii="Verdana" w:eastAsia="Batang" w:hAnsi="Verdana"/>
          <w:bCs/>
          <w:sz w:val="20"/>
          <w:szCs w:val="20"/>
          <w:lang w:val="es-ES_tradnl" w:eastAsia="es-MX"/>
        </w:rPr>
        <w:t>fueron</w:t>
      </w:r>
      <w:r w:rsidRPr="000F72CD">
        <w:rPr>
          <w:rFonts w:ascii="Verdana" w:eastAsia="Batang" w:hAnsi="Verdana"/>
          <w:bCs/>
          <w:sz w:val="20"/>
          <w:szCs w:val="20"/>
          <w:lang w:val="es-ES_tradnl" w:eastAsia="es-MX"/>
        </w:rPr>
        <w:t xml:space="preserve"> fundamentales en cuanto a las consecuencias derivadas de la falta de un enfoque de género en la investigación penal. Primero,</w:t>
      </w:r>
      <w:r w:rsidRPr="000F72CD">
        <w:rPr>
          <w:rFonts w:ascii="Verdana" w:eastAsia="Batang" w:hAnsi="Verdana"/>
          <w:sz w:val="20"/>
          <w:szCs w:val="20"/>
          <w:lang w:val="es-ES" w:eastAsia="es-MX"/>
        </w:rPr>
        <w:t xml:space="preserve"> </w:t>
      </w:r>
      <w:r w:rsidRPr="000F72CD">
        <w:rPr>
          <w:rFonts w:ascii="Verdana" w:eastAsia="Calibri" w:hAnsi="Verdana" w:cs="Arial"/>
          <w:sz w:val="20"/>
          <w:szCs w:val="20"/>
          <w:lang w:val="es-ES" w:eastAsia="es-MX"/>
        </w:rPr>
        <w:t xml:space="preserve">la </w:t>
      </w:r>
      <w:proofErr w:type="spellStart"/>
      <w:r w:rsidRPr="000F72CD">
        <w:rPr>
          <w:rFonts w:ascii="Verdana" w:eastAsia="Calibri" w:hAnsi="Verdana" w:cs="Arial"/>
          <w:sz w:val="20"/>
          <w:szCs w:val="20"/>
          <w:lang w:val="es-ES" w:eastAsia="es-MX"/>
        </w:rPr>
        <w:t>invisibilización</w:t>
      </w:r>
      <w:proofErr w:type="spellEnd"/>
      <w:r w:rsidRPr="000F72CD">
        <w:rPr>
          <w:rFonts w:ascii="Verdana" w:eastAsia="Calibri" w:hAnsi="Verdana" w:cs="Arial"/>
          <w:sz w:val="20"/>
          <w:szCs w:val="20"/>
          <w:lang w:val="es-ES" w:eastAsia="es-MX"/>
        </w:rPr>
        <w:t xml:space="preserve"> de las circunstancias previas a la muerte, siendo que los indicios indican la existencia de un acto de violencia ocurrido previo a la muerte. Segundo, la </w:t>
      </w:r>
      <w:proofErr w:type="spellStart"/>
      <w:r w:rsidRPr="000F72CD">
        <w:rPr>
          <w:rFonts w:ascii="Verdana" w:eastAsia="Calibri" w:hAnsi="Verdana" w:cs="Arial"/>
          <w:sz w:val="20"/>
          <w:szCs w:val="20"/>
          <w:lang w:val="es-ES" w:eastAsia="es-MX"/>
        </w:rPr>
        <w:t>invisibilización</w:t>
      </w:r>
      <w:proofErr w:type="spellEnd"/>
      <w:r w:rsidRPr="000F72CD">
        <w:rPr>
          <w:rFonts w:ascii="Verdana" w:eastAsia="Calibri" w:hAnsi="Verdana" w:cs="Arial"/>
          <w:sz w:val="20"/>
          <w:szCs w:val="20"/>
          <w:lang w:val="es-ES" w:eastAsia="es-MX"/>
        </w:rPr>
        <w:t xml:space="preserve"> de la forma en que ocurrió </w:t>
      </w:r>
      <w:r w:rsidRPr="000F72CD">
        <w:rPr>
          <w:rFonts w:ascii="Verdana" w:eastAsia="Calibri" w:hAnsi="Verdana" w:cs="Arial"/>
          <w:sz w:val="20"/>
          <w:szCs w:val="20"/>
          <w:lang w:val="es-ES" w:eastAsia="es-MX"/>
        </w:rPr>
        <w:lastRenderedPageBreak/>
        <w:t>la muerte, a pesar que de los indicios se desprende la presunta comisión de un acto de violencia ocurrido con posterioridad a la muerte.</w:t>
      </w:r>
      <w:r w:rsidRPr="000F72CD">
        <w:rPr>
          <w:rFonts w:ascii="Verdana" w:eastAsia="Batang" w:hAnsi="Verdana"/>
          <w:sz w:val="20"/>
          <w:szCs w:val="20"/>
          <w:lang w:val="es-ES" w:eastAsia="es-MX"/>
        </w:rPr>
        <w:t xml:space="preserve"> Tercero, </w:t>
      </w:r>
      <w:r w:rsidRPr="000F72CD">
        <w:rPr>
          <w:rFonts w:ascii="Verdana" w:eastAsia="Calibri" w:hAnsi="Verdana" w:cs="Arial"/>
          <w:sz w:val="20"/>
          <w:szCs w:val="20"/>
          <w:lang w:val="es-ES" w:eastAsia="es-MX"/>
        </w:rPr>
        <w:t xml:space="preserve">la </w:t>
      </w:r>
      <w:proofErr w:type="spellStart"/>
      <w:r w:rsidRPr="000F72CD">
        <w:rPr>
          <w:rFonts w:ascii="Verdana" w:eastAsia="Calibri" w:hAnsi="Verdana" w:cs="Arial"/>
          <w:sz w:val="20"/>
          <w:szCs w:val="20"/>
          <w:lang w:val="es-ES" w:eastAsia="es-MX"/>
        </w:rPr>
        <w:t>invisibilización</w:t>
      </w:r>
      <w:proofErr w:type="spellEnd"/>
      <w:r w:rsidRPr="000F72CD">
        <w:rPr>
          <w:rFonts w:ascii="Verdana" w:eastAsia="Calibri" w:hAnsi="Verdana" w:cs="Arial"/>
          <w:sz w:val="20"/>
          <w:szCs w:val="20"/>
          <w:lang w:val="es-ES" w:eastAsia="es-MX"/>
        </w:rPr>
        <w:t xml:space="preserve"> de </w:t>
      </w:r>
      <w:r w:rsidRPr="000F72CD">
        <w:rPr>
          <w:rFonts w:ascii="Verdana" w:eastAsia="Batang" w:hAnsi="Verdana"/>
          <w:sz w:val="20"/>
          <w:szCs w:val="20"/>
          <w:lang w:val="es-ES" w:eastAsia="es-MX"/>
        </w:rPr>
        <w:t>la posible</w:t>
      </w:r>
      <w:r w:rsidRPr="000F72CD">
        <w:rPr>
          <w:rFonts w:ascii="Verdana" w:eastAsia="Calibri" w:hAnsi="Verdana" w:cs="Arial"/>
          <w:sz w:val="20"/>
          <w:szCs w:val="20"/>
          <w:lang w:val="es-ES" w:eastAsia="es-MX"/>
        </w:rPr>
        <w:t xml:space="preserve"> violencia sexual.</w:t>
      </w:r>
      <w:r w:rsidRPr="000F72CD">
        <w:rPr>
          <w:rFonts w:ascii="Verdana" w:eastAsia="Batang" w:hAnsi="Verdana"/>
          <w:sz w:val="20"/>
          <w:szCs w:val="20"/>
          <w:lang w:val="es-ES" w:eastAsia="es-MX"/>
        </w:rPr>
        <w:t xml:space="preserve"> </w:t>
      </w:r>
      <w:r w:rsidRPr="000F72CD">
        <w:rPr>
          <w:rFonts w:ascii="Verdana" w:eastAsia="Calibri" w:hAnsi="Verdana" w:cs="Arial"/>
          <w:sz w:val="20"/>
          <w:szCs w:val="20"/>
          <w:lang w:val="es-ES" w:eastAsia="es-MX"/>
        </w:rPr>
        <w:t>Estos tres aspectos se presentan como una posible reiteración de la violencia ejercida en contra de la víctima</w:t>
      </w:r>
      <w:r w:rsidRPr="000F72CD">
        <w:rPr>
          <w:rFonts w:ascii="Verdana" w:eastAsia="Batang" w:hAnsi="Verdana"/>
          <w:sz w:val="20"/>
          <w:szCs w:val="20"/>
          <w:lang w:val="es-ES" w:eastAsia="es-MX"/>
        </w:rPr>
        <w:t xml:space="preserve"> </w:t>
      </w:r>
      <w:r w:rsidRPr="000F72CD">
        <w:rPr>
          <w:rFonts w:ascii="Verdana" w:eastAsia="Calibri" w:hAnsi="Verdana" w:cs="Arial"/>
          <w:sz w:val="20"/>
          <w:szCs w:val="20"/>
          <w:lang w:val="es-ES" w:eastAsia="es-MX"/>
        </w:rPr>
        <w:t>ocurrida durante el tiempo de su desaparición, y adicionales al hecho de darle muerte.</w:t>
      </w:r>
    </w:p>
    <w:p w14:paraId="4B4A9A04" w14:textId="77777777" w:rsidR="00CD787B" w:rsidRPr="007E2E11" w:rsidRDefault="00CD787B" w:rsidP="00EA60E3">
      <w:pPr>
        <w:tabs>
          <w:tab w:val="left" w:pos="567"/>
        </w:tabs>
        <w:jc w:val="both"/>
        <w:rPr>
          <w:rFonts w:ascii="Verdana" w:eastAsia="Batang" w:hAnsi="Verdana"/>
          <w:sz w:val="20"/>
          <w:szCs w:val="20"/>
          <w:lang w:val="es-ES" w:eastAsia="es-MX"/>
        </w:rPr>
      </w:pPr>
    </w:p>
    <w:p w14:paraId="025340F7" w14:textId="22FAFEF1" w:rsidR="00EA60E3" w:rsidRPr="00B456BC" w:rsidRDefault="00EA60E3" w:rsidP="00EA60E3">
      <w:pPr>
        <w:tabs>
          <w:tab w:val="left" w:pos="567"/>
        </w:tabs>
        <w:jc w:val="both"/>
        <w:rPr>
          <w:rFonts w:ascii="Verdana" w:eastAsia="Batang" w:hAnsi="Verdana"/>
          <w:sz w:val="20"/>
          <w:szCs w:val="20"/>
          <w:lang w:val="es-ES" w:eastAsia="es-MX"/>
        </w:rPr>
      </w:pPr>
      <w:r w:rsidRPr="007E2E11">
        <w:rPr>
          <w:rFonts w:ascii="Verdana" w:eastAsia="Batang" w:hAnsi="Verdana"/>
          <w:sz w:val="20"/>
          <w:szCs w:val="20"/>
          <w:lang w:val="es-ES" w:eastAsia="es-MX"/>
        </w:rPr>
        <w:t xml:space="preserve">En razón de todo lo anterior, </w:t>
      </w:r>
      <w:r w:rsidRPr="007E2E11">
        <w:rPr>
          <w:rFonts w:ascii="Verdana" w:eastAsia="Batang" w:hAnsi="Verdana" w:cs="Arial"/>
          <w:sz w:val="20"/>
          <w:szCs w:val="20"/>
          <w:lang w:val="es-ES" w:eastAsia="es-MX"/>
        </w:rPr>
        <w:t>la Corte consideró que en el presente caso,</w:t>
      </w:r>
      <w:r w:rsidRPr="007E2E11">
        <w:rPr>
          <w:rFonts w:ascii="Verdana" w:eastAsia="Calibri" w:hAnsi="Verdana" w:cs="Arial"/>
          <w:sz w:val="20"/>
          <w:szCs w:val="20"/>
          <w:lang w:val="es-ES" w:eastAsia="es-MX"/>
        </w:rPr>
        <w:t xml:space="preserve"> </w:t>
      </w:r>
      <w:r w:rsidRPr="007E2E11">
        <w:rPr>
          <w:rFonts w:ascii="Verdana" w:eastAsia="Calibri" w:hAnsi="Verdana"/>
          <w:sz w:val="20"/>
          <w:szCs w:val="20"/>
          <w:lang w:val="es-ES" w:eastAsia="es-MX"/>
        </w:rPr>
        <w:t>el Estado incumplió su</w:t>
      </w:r>
      <w:r w:rsidRPr="007E2E11">
        <w:rPr>
          <w:rFonts w:ascii="Verdana" w:eastAsia="Batang" w:hAnsi="Verdana"/>
          <w:sz w:val="20"/>
          <w:szCs w:val="20"/>
          <w:lang w:val="es-ES" w:eastAsia="es-MX"/>
        </w:rPr>
        <w:t xml:space="preserve"> obligación de </w:t>
      </w:r>
      <w:r w:rsidRPr="007E2E11">
        <w:rPr>
          <w:rFonts w:ascii="Verdana" w:eastAsia="Calibri" w:hAnsi="Verdana"/>
          <w:sz w:val="20"/>
          <w:szCs w:val="20"/>
          <w:lang w:val="es-ES" w:eastAsia="es-MX"/>
        </w:rPr>
        <w:t xml:space="preserve">investigar </w:t>
      </w:r>
      <w:r w:rsidRPr="007E2E11">
        <w:rPr>
          <w:rFonts w:ascii="Verdana" w:eastAsia="Calibri" w:hAnsi="Verdana" w:cs="Arial"/>
          <w:sz w:val="20"/>
          <w:szCs w:val="20"/>
          <w:lang w:val="es-ES" w:eastAsia="es-MX"/>
        </w:rPr>
        <w:t>la muerte</w:t>
      </w:r>
      <w:r w:rsidRPr="007E2E11">
        <w:rPr>
          <w:rFonts w:ascii="Verdana" w:eastAsia="Calibri" w:hAnsi="Verdana"/>
          <w:sz w:val="20"/>
          <w:szCs w:val="20"/>
          <w:lang w:val="es-ES" w:eastAsia="es-MX"/>
        </w:rPr>
        <w:t xml:space="preserve"> violenta</w:t>
      </w:r>
      <w:r w:rsidRPr="007E2E11">
        <w:rPr>
          <w:rFonts w:ascii="Verdana" w:eastAsia="Calibri" w:hAnsi="Verdana" w:cs="Arial"/>
          <w:sz w:val="20"/>
          <w:szCs w:val="20"/>
          <w:lang w:val="es-ES" w:eastAsia="es-MX"/>
        </w:rPr>
        <w:t xml:space="preserve"> de Claudina Velásquez como </w:t>
      </w:r>
      <w:r w:rsidRPr="007E2E11">
        <w:rPr>
          <w:rFonts w:ascii="Verdana" w:eastAsia="Calibri" w:hAnsi="Verdana"/>
          <w:sz w:val="20"/>
          <w:szCs w:val="20"/>
          <w:lang w:val="es-ES" w:eastAsia="es-MX"/>
        </w:rPr>
        <w:t xml:space="preserve">una posible manifestación </w:t>
      </w:r>
      <w:r w:rsidRPr="007E2E11">
        <w:rPr>
          <w:rFonts w:ascii="Verdana" w:eastAsia="Batang" w:hAnsi="Verdana"/>
          <w:sz w:val="20"/>
          <w:szCs w:val="20"/>
          <w:lang w:val="es-ES" w:eastAsia="es-MX"/>
        </w:rPr>
        <w:t>de violencia de género</w:t>
      </w:r>
      <w:r w:rsidRPr="007E2E11">
        <w:rPr>
          <w:rFonts w:ascii="Verdana" w:eastAsia="Calibri" w:hAnsi="Verdana" w:cs="Arial"/>
          <w:sz w:val="20"/>
          <w:szCs w:val="20"/>
          <w:lang w:val="es-ES" w:eastAsia="es-MX"/>
        </w:rPr>
        <w:t xml:space="preserve"> y con un </w:t>
      </w:r>
      <w:r w:rsidRPr="007E2E11">
        <w:rPr>
          <w:rFonts w:ascii="Verdana" w:eastAsia="Batang" w:hAnsi="Verdana"/>
          <w:sz w:val="20"/>
          <w:szCs w:val="20"/>
          <w:lang w:val="es-ES" w:eastAsia="es-MX"/>
        </w:rPr>
        <w:t>enfoque de género</w:t>
      </w:r>
      <w:r w:rsidRPr="007E2E11">
        <w:rPr>
          <w:rFonts w:ascii="Verdana" w:eastAsia="Calibri" w:hAnsi="Verdana" w:cs="Arial"/>
          <w:sz w:val="20"/>
          <w:szCs w:val="20"/>
          <w:lang w:val="es-ES" w:eastAsia="es-MX"/>
        </w:rPr>
        <w:t xml:space="preserve">. A su vez, </w:t>
      </w:r>
      <w:r w:rsidRPr="007E2E11">
        <w:rPr>
          <w:rFonts w:ascii="Verdana" w:eastAsia="Batang" w:hAnsi="Verdana" w:cs="Arial"/>
          <w:sz w:val="20"/>
          <w:szCs w:val="20"/>
          <w:lang w:val="es-ES_tradnl" w:eastAsia="es-ES"/>
        </w:rPr>
        <w:t xml:space="preserve">la existencia de </w:t>
      </w:r>
      <w:r w:rsidRPr="007E2E11">
        <w:rPr>
          <w:rFonts w:ascii="Verdana" w:eastAsia="Batang" w:hAnsi="Verdana"/>
          <w:sz w:val="20"/>
          <w:szCs w:val="20"/>
          <w:lang w:val="es-ES" w:eastAsia="es-MX"/>
        </w:rPr>
        <w:t>estereotipo</w:t>
      </w:r>
      <w:r w:rsidR="00464A6D">
        <w:rPr>
          <w:rFonts w:ascii="Verdana" w:eastAsia="Batang" w:hAnsi="Verdana"/>
          <w:sz w:val="20"/>
          <w:szCs w:val="20"/>
          <w:lang w:val="es-ES" w:eastAsia="es-MX"/>
        </w:rPr>
        <w:t>s</w:t>
      </w:r>
      <w:r w:rsidRPr="007E2E11">
        <w:rPr>
          <w:rFonts w:ascii="Verdana" w:eastAsia="Batang" w:hAnsi="Verdana"/>
          <w:sz w:val="20"/>
          <w:szCs w:val="20"/>
          <w:lang w:val="es-ES" w:eastAsia="es-MX"/>
        </w:rPr>
        <w:t xml:space="preserve"> de género</w:t>
      </w:r>
      <w:r w:rsidRPr="007E2E11">
        <w:rPr>
          <w:rFonts w:ascii="Verdana" w:eastAsia="Batang" w:hAnsi="Verdana" w:cs="Arial"/>
          <w:sz w:val="20"/>
          <w:szCs w:val="20"/>
          <w:lang w:val="es-ES_tradnl" w:eastAsia="es-ES"/>
        </w:rPr>
        <w:t xml:space="preserve"> y prejuicios </w:t>
      </w:r>
      <w:r w:rsidRPr="007E2E11">
        <w:rPr>
          <w:rFonts w:ascii="Verdana" w:eastAsia="Batang" w:hAnsi="Verdana"/>
          <w:sz w:val="20"/>
          <w:szCs w:val="20"/>
          <w:lang w:val="es-ES" w:eastAsia="es-MX"/>
        </w:rPr>
        <w:t xml:space="preserve">por los cuales se consideró a la víctima como una persona cuya muerte no merecía ser investigada derivó en que </w:t>
      </w:r>
      <w:r w:rsidRPr="007E2E11">
        <w:rPr>
          <w:rFonts w:ascii="Verdana" w:eastAsia="Batang" w:hAnsi="Verdana" w:cs="Arial"/>
          <w:sz w:val="20"/>
          <w:szCs w:val="20"/>
          <w:lang w:val="es-ES" w:eastAsia="es-MX"/>
        </w:rPr>
        <w:t xml:space="preserve">el caso no se investigara de manera diligente ni </w:t>
      </w:r>
      <w:r w:rsidRPr="007E2E11">
        <w:rPr>
          <w:rFonts w:ascii="Verdana" w:eastAsia="Batang" w:hAnsi="Verdana" w:cs="Arial"/>
          <w:sz w:val="20"/>
          <w:szCs w:val="20"/>
          <w:lang w:val="es-ES_tradnl" w:eastAsia="es-MX"/>
        </w:rPr>
        <w:t>con</w:t>
      </w:r>
      <w:r w:rsidRPr="007E2E11">
        <w:rPr>
          <w:rFonts w:ascii="Verdana" w:eastAsia="Batang" w:hAnsi="Verdana"/>
          <w:sz w:val="20"/>
          <w:szCs w:val="20"/>
          <w:lang w:val="es-ES_tradnl" w:eastAsia="es-MX"/>
        </w:rPr>
        <w:t xml:space="preserve"> </w:t>
      </w:r>
      <w:r w:rsidRPr="007E2E11">
        <w:rPr>
          <w:rFonts w:ascii="Verdana" w:eastAsia="Batang" w:hAnsi="Verdana" w:cs="Arial"/>
          <w:sz w:val="20"/>
          <w:szCs w:val="20"/>
          <w:lang w:val="es-ES" w:eastAsia="es-MX"/>
        </w:rPr>
        <w:t xml:space="preserve">rigor. Todo lo anterior, </w:t>
      </w:r>
      <w:r w:rsidRPr="007E2E11">
        <w:rPr>
          <w:rFonts w:ascii="Verdana" w:eastAsia="Calibri" w:hAnsi="Verdana"/>
          <w:sz w:val="20"/>
          <w:szCs w:val="20"/>
          <w:lang w:val="es-ES_tradnl" w:eastAsia="es-MX"/>
        </w:rPr>
        <w:t xml:space="preserve">constituyó </w:t>
      </w:r>
      <w:r w:rsidRPr="007E2E11">
        <w:rPr>
          <w:rFonts w:ascii="Verdana" w:eastAsia="Batang" w:hAnsi="Verdana"/>
          <w:sz w:val="20"/>
          <w:szCs w:val="20"/>
          <w:lang w:val="es-ES_tradnl" w:eastAsia="es-MX"/>
        </w:rPr>
        <w:t xml:space="preserve">violencia contra la mujer </w:t>
      </w:r>
      <w:r w:rsidRPr="007E2E11">
        <w:rPr>
          <w:rFonts w:ascii="Verdana" w:eastAsia="Calibri" w:hAnsi="Verdana"/>
          <w:sz w:val="20"/>
          <w:szCs w:val="20"/>
          <w:lang w:val="es-ES_tradnl" w:eastAsia="es-MX"/>
        </w:rPr>
        <w:t>y una forma de discriminación en el acceso a la justicia por razones de género</w:t>
      </w:r>
      <w:r w:rsidRPr="007E2E11">
        <w:rPr>
          <w:rFonts w:ascii="Verdana" w:eastAsia="Batang" w:hAnsi="Verdana"/>
          <w:sz w:val="20"/>
          <w:szCs w:val="20"/>
          <w:lang w:val="es-ES" w:eastAsia="es-MX"/>
        </w:rPr>
        <w:t xml:space="preserve">. </w:t>
      </w:r>
      <w:r w:rsidRPr="007E2E11">
        <w:rPr>
          <w:rFonts w:ascii="Verdana" w:eastAsia="Batang" w:hAnsi="Verdana" w:cs="Arial"/>
          <w:sz w:val="20"/>
          <w:szCs w:val="20"/>
          <w:lang w:val="es-ES_tradnl" w:eastAsia="es-MX"/>
        </w:rPr>
        <w:t xml:space="preserve">Así pues, la presencia de las </w:t>
      </w:r>
      <w:r w:rsidRPr="007E2E11">
        <w:rPr>
          <w:rFonts w:ascii="Verdana" w:eastAsia="Batang" w:hAnsi="Verdana"/>
          <w:sz w:val="20"/>
          <w:szCs w:val="20"/>
          <w:lang w:val="es-ES_tradnl" w:eastAsia="es-MX"/>
        </w:rPr>
        <w:t>falencias investigativas durante la investigación mencionadas anteriormente</w:t>
      </w:r>
      <w:r w:rsidR="004A1F16">
        <w:rPr>
          <w:rFonts w:ascii="Verdana" w:eastAsia="Batang" w:hAnsi="Verdana"/>
          <w:sz w:val="20"/>
          <w:szCs w:val="20"/>
          <w:lang w:val="es-ES_tradnl" w:eastAsia="es-MX"/>
        </w:rPr>
        <w:t>,</w:t>
      </w:r>
      <w:r w:rsidRPr="007E2E11">
        <w:rPr>
          <w:rFonts w:ascii="Verdana" w:eastAsia="Batang" w:hAnsi="Verdana"/>
          <w:sz w:val="20"/>
          <w:szCs w:val="20"/>
          <w:lang w:val="es-ES_tradnl" w:eastAsia="es-MX"/>
        </w:rPr>
        <w:t xml:space="preserve"> </w:t>
      </w:r>
      <w:r w:rsidRPr="007E2E11">
        <w:rPr>
          <w:rFonts w:ascii="Verdana" w:eastAsia="Calibri" w:hAnsi="Verdana"/>
          <w:sz w:val="20"/>
          <w:szCs w:val="20"/>
          <w:lang w:val="es-ES_tradnl" w:eastAsia="es-MX"/>
        </w:rPr>
        <w:t xml:space="preserve">fueron una </w:t>
      </w:r>
      <w:r w:rsidRPr="007E2E11">
        <w:rPr>
          <w:rFonts w:ascii="Verdana" w:eastAsia="Batang" w:hAnsi="Verdana"/>
          <w:sz w:val="20"/>
          <w:szCs w:val="20"/>
          <w:lang w:val="es-ES_tradnl" w:eastAsia="es-MX"/>
        </w:rPr>
        <w:t xml:space="preserve">consecuencia directa de la </w:t>
      </w:r>
      <w:r w:rsidRPr="007E2E11">
        <w:rPr>
          <w:rFonts w:ascii="Verdana" w:eastAsia="Calibri" w:hAnsi="Verdana"/>
          <w:sz w:val="20"/>
          <w:szCs w:val="20"/>
          <w:lang w:val="es-ES_tradnl" w:eastAsia="es-MX"/>
        </w:rPr>
        <w:t>valoración estereotipada que las autoridades que investigan hicieron de la víctima y de la falta de un enfoque de género sobre la misma.</w:t>
      </w:r>
      <w:r w:rsidRPr="007E2E11">
        <w:rPr>
          <w:rFonts w:ascii="Verdana" w:eastAsia="Calibri" w:hAnsi="Verdana" w:cs="Arial"/>
          <w:sz w:val="20"/>
          <w:szCs w:val="20"/>
          <w:lang w:val="es-ES" w:eastAsia="es-MX"/>
        </w:rPr>
        <w:t xml:space="preserve"> </w:t>
      </w:r>
      <w:r w:rsidRPr="007E2E11">
        <w:rPr>
          <w:rFonts w:ascii="Verdana" w:eastAsia="Batang" w:hAnsi="Verdana" w:cs="Times"/>
          <w:sz w:val="20"/>
          <w:szCs w:val="20"/>
        </w:rPr>
        <w:t xml:space="preserve">Por lo anterior, el Estado violó los derechos a las garantías judiciales y a la protección judicial, reconocidos en los artículos 8.1 y 25.1 de la Convención Americana sobre Derechos Humanos, y el derecho a la igualdad ante la ley reconocido en el artículo 24 de </w:t>
      </w:r>
      <w:r w:rsidR="004A1F16">
        <w:rPr>
          <w:rFonts w:ascii="Verdana" w:eastAsia="Batang" w:hAnsi="Verdana" w:cs="Times"/>
          <w:sz w:val="20"/>
          <w:szCs w:val="20"/>
        </w:rPr>
        <w:t>dicha</w:t>
      </w:r>
      <w:r w:rsidRPr="007E2E11">
        <w:rPr>
          <w:rFonts w:ascii="Verdana" w:eastAsia="Batang" w:hAnsi="Verdana" w:cs="Times"/>
          <w:sz w:val="20"/>
          <w:szCs w:val="20"/>
        </w:rPr>
        <w:t xml:space="preserve"> Convención, en relación con las obligaciones generales contenidas en los artículos 1.1 y 2 de la misma, y con el artículo 7 de la </w:t>
      </w:r>
      <w:r w:rsidR="004A1F16" w:rsidRPr="007E2E11">
        <w:rPr>
          <w:rFonts w:ascii="Verdana" w:hAnsi="Verdana" w:cs="Times"/>
          <w:sz w:val="20"/>
          <w:szCs w:val="20"/>
        </w:rPr>
        <w:t>Convención de Belém do Pará</w:t>
      </w:r>
      <w:r w:rsidRPr="007E2E11">
        <w:rPr>
          <w:rFonts w:ascii="Verdana" w:eastAsia="Batang" w:hAnsi="Verdana" w:cs="Times"/>
          <w:sz w:val="20"/>
          <w:szCs w:val="20"/>
        </w:rPr>
        <w:t xml:space="preserve">, </w:t>
      </w:r>
      <w:r w:rsidRPr="007E2E11">
        <w:rPr>
          <w:rFonts w:ascii="Verdana" w:eastAsia="Calibri" w:hAnsi="Verdana"/>
          <w:sz w:val="20"/>
          <w:szCs w:val="20"/>
          <w:lang w:val="es-ES_tradnl" w:eastAsia="es-MX"/>
        </w:rPr>
        <w:t xml:space="preserve">en perjuicio de los familiares de Claudina </w:t>
      </w:r>
      <w:r w:rsidRPr="00B456BC">
        <w:rPr>
          <w:rFonts w:ascii="Verdana" w:eastAsia="Calibri" w:hAnsi="Verdana"/>
          <w:sz w:val="20"/>
          <w:szCs w:val="20"/>
          <w:lang w:val="es-ES_tradnl" w:eastAsia="es-MX"/>
        </w:rPr>
        <w:t>Velásquez.</w:t>
      </w:r>
    </w:p>
    <w:p w14:paraId="147E0998" w14:textId="77777777" w:rsidR="00EA60E3" w:rsidRPr="00B456BC" w:rsidRDefault="00EA60E3" w:rsidP="00EA60E3">
      <w:pPr>
        <w:tabs>
          <w:tab w:val="left" w:pos="567"/>
        </w:tabs>
        <w:jc w:val="both"/>
        <w:rPr>
          <w:rFonts w:ascii="Verdana" w:hAnsi="Verdana"/>
          <w:sz w:val="20"/>
          <w:szCs w:val="20"/>
          <w:lang w:val="es-ES"/>
        </w:rPr>
      </w:pPr>
    </w:p>
    <w:p w14:paraId="4B70F76E" w14:textId="54F10A88" w:rsidR="00D270F6" w:rsidRPr="00B456BC" w:rsidRDefault="00D270F6" w:rsidP="00D270F6">
      <w:pPr>
        <w:pStyle w:val="PrrafodeSentencia"/>
        <w:tabs>
          <w:tab w:val="left" w:pos="567"/>
        </w:tabs>
      </w:pPr>
      <w:r w:rsidRPr="00B456BC">
        <w:t xml:space="preserve">Finalmente, </w:t>
      </w:r>
      <w:r w:rsidR="00B456BC">
        <w:t>el Tribunal no</w:t>
      </w:r>
      <w:r w:rsidRPr="00B456BC">
        <w:t xml:space="preserve"> consider</w:t>
      </w:r>
      <w:r w:rsidR="00B456BC">
        <w:t>ó</w:t>
      </w:r>
      <w:r w:rsidRPr="00B456BC">
        <w:t xml:space="preserve"> necesario analizar la violación del artículo 11 de la Convención Americana, en perjuicio de Claudina Velásquez, alegada por los representantes</w:t>
      </w:r>
      <w:r w:rsidR="00B456BC">
        <w:t xml:space="preserve">, </w:t>
      </w:r>
      <w:r w:rsidR="00B456BC" w:rsidRPr="00B456BC">
        <w:t xml:space="preserve">debido a que </w:t>
      </w:r>
      <w:r w:rsidR="00B456BC">
        <w:t xml:space="preserve">los </w:t>
      </w:r>
      <w:r w:rsidR="00B456BC" w:rsidRPr="00B456BC">
        <w:t xml:space="preserve">indicios de que posiblemente fue sometida a violencia y/o violación sexual, </w:t>
      </w:r>
      <w:r w:rsidR="00B456BC">
        <w:t>fueron</w:t>
      </w:r>
      <w:r w:rsidR="00B456BC" w:rsidRPr="00B456BC">
        <w:t xml:space="preserve"> analiz</w:t>
      </w:r>
      <w:r w:rsidR="00B456BC">
        <w:t>ados</w:t>
      </w:r>
      <w:r w:rsidR="00B456BC" w:rsidRPr="00B456BC">
        <w:t xml:space="preserve"> en la</w:t>
      </w:r>
      <w:r w:rsidR="00B456BC">
        <w:t xml:space="preserve"> Sentencia.</w:t>
      </w:r>
      <w:r w:rsidRPr="00B456BC">
        <w:t xml:space="preserve"> Por otro </w:t>
      </w:r>
      <w:r w:rsidRPr="00B456BC">
        <w:rPr>
          <w:rFonts w:cs="Times"/>
        </w:rPr>
        <w:t>lado</w:t>
      </w:r>
      <w:r w:rsidRPr="00B456BC">
        <w:t>, este Tribunal estimó que las alegadas violaciones de los artículos 13 y 22 de la Convención Americana,</w:t>
      </w:r>
      <w:r w:rsidR="008D6444" w:rsidRPr="00B456BC">
        <w:t xml:space="preserve"> presentadas por los representantes, también</w:t>
      </w:r>
      <w:r w:rsidRPr="00B456BC">
        <w:t xml:space="preserve"> fueron debidamente consideradas en la fundamentación de</w:t>
      </w:r>
      <w:r w:rsidR="00BB6BFE">
        <w:t xml:space="preserve"> </w:t>
      </w:r>
      <w:r w:rsidRPr="00B456BC">
        <w:t>l</w:t>
      </w:r>
      <w:r w:rsidR="00BB6BFE">
        <w:t>a Sentencia</w:t>
      </w:r>
      <w:r w:rsidRPr="00B456BC">
        <w:t>, sin que fuese necesario emitir un pronunciamiento autónomo sobre su alegada violación.</w:t>
      </w:r>
    </w:p>
    <w:p w14:paraId="47D115BF" w14:textId="77777777" w:rsidR="00D270F6" w:rsidRPr="00B456BC" w:rsidRDefault="00D270F6" w:rsidP="00EA60E3">
      <w:pPr>
        <w:tabs>
          <w:tab w:val="left" w:pos="567"/>
        </w:tabs>
        <w:jc w:val="both"/>
        <w:rPr>
          <w:rFonts w:ascii="Verdana" w:hAnsi="Verdana"/>
          <w:sz w:val="20"/>
          <w:szCs w:val="20"/>
          <w:lang w:val="es-ES"/>
        </w:rPr>
      </w:pPr>
    </w:p>
    <w:p w14:paraId="31A720D9" w14:textId="3133CC62" w:rsidR="005D11FF" w:rsidRPr="007E2E11" w:rsidRDefault="005D11FF" w:rsidP="00145B9D">
      <w:pPr>
        <w:pStyle w:val="PrrafodeSentencia"/>
        <w:numPr>
          <w:ilvl w:val="1"/>
          <w:numId w:val="3"/>
        </w:numPr>
        <w:ind w:left="0" w:firstLine="0"/>
        <w:rPr>
          <w:b/>
        </w:rPr>
      </w:pPr>
      <w:bookmarkStart w:id="1" w:name="_Toc431801391"/>
      <w:bookmarkStart w:id="2" w:name="_Toc437425683"/>
      <w:r w:rsidRPr="00B456BC">
        <w:rPr>
          <w:b/>
        </w:rPr>
        <w:t>Derechos a la integridad</w:t>
      </w:r>
      <w:r w:rsidRPr="007E2E11">
        <w:rPr>
          <w:b/>
        </w:rPr>
        <w:t xml:space="preserve"> personal y protección de la honra y de la dignidad, en perjuicio de los familiares</w:t>
      </w:r>
      <w:bookmarkEnd w:id="1"/>
      <w:bookmarkEnd w:id="2"/>
    </w:p>
    <w:p w14:paraId="291D043D" w14:textId="77777777" w:rsidR="005D11FF" w:rsidRPr="007E2E11" w:rsidRDefault="005D11FF" w:rsidP="00145B9D">
      <w:pPr>
        <w:rPr>
          <w:rFonts w:ascii="Verdana" w:hAnsi="Verdana"/>
          <w:sz w:val="20"/>
          <w:szCs w:val="20"/>
          <w:lang w:val="es-CL"/>
        </w:rPr>
      </w:pPr>
    </w:p>
    <w:p w14:paraId="3028C15E" w14:textId="57A19AB3" w:rsidR="00602B37" w:rsidRPr="007E2E11" w:rsidRDefault="00C57F90" w:rsidP="00602B37">
      <w:pPr>
        <w:pStyle w:val="Prrafodelista"/>
        <w:ind w:left="0" w:right="-174"/>
        <w:jc w:val="both"/>
        <w:rPr>
          <w:rFonts w:ascii="Verdana" w:hAnsi="Verdana"/>
          <w:sz w:val="20"/>
          <w:szCs w:val="20"/>
          <w:lang w:val="es-EC"/>
        </w:rPr>
      </w:pPr>
      <w:r w:rsidRPr="007E2E11">
        <w:rPr>
          <w:rFonts w:ascii="Verdana" w:hAnsi="Verdana"/>
          <w:sz w:val="20"/>
          <w:szCs w:val="20"/>
          <w:lang w:val="es-EC"/>
        </w:rPr>
        <w:t>La Corte concluyó</w:t>
      </w:r>
      <w:r w:rsidR="00602B37" w:rsidRPr="007E2E11">
        <w:rPr>
          <w:rFonts w:ascii="Verdana" w:hAnsi="Verdana"/>
          <w:sz w:val="20"/>
          <w:szCs w:val="20"/>
          <w:lang w:val="es-EC"/>
        </w:rPr>
        <w:t xml:space="preserve"> que el Estado violó la integridad personal de los familiares de Claudina Velásquez debido </w:t>
      </w:r>
      <w:r w:rsidR="00602B37" w:rsidRPr="007E2E11">
        <w:rPr>
          <w:rFonts w:ascii="Verdana" w:hAnsi="Verdana"/>
          <w:sz w:val="20"/>
          <w:szCs w:val="20"/>
        </w:rPr>
        <w:t>a la forma en que se llevó a cabo la investigación del caso, en particular, la manera en la que los agentes del Ministerio Pú</w:t>
      </w:r>
      <w:r w:rsidR="00DB258B" w:rsidRPr="007E2E11">
        <w:rPr>
          <w:rFonts w:ascii="Verdana" w:hAnsi="Verdana"/>
          <w:sz w:val="20"/>
          <w:szCs w:val="20"/>
        </w:rPr>
        <w:t>blico irrumpieron en la vela</w:t>
      </w:r>
      <w:r w:rsidR="00602B37" w:rsidRPr="007E2E11">
        <w:rPr>
          <w:rFonts w:ascii="Verdana" w:hAnsi="Verdana"/>
          <w:sz w:val="20"/>
          <w:szCs w:val="20"/>
        </w:rPr>
        <w:t xml:space="preserve"> del cuerpo de </w:t>
      </w:r>
      <w:r w:rsidR="00DB258B" w:rsidRPr="007E2E11">
        <w:rPr>
          <w:rFonts w:ascii="Verdana" w:hAnsi="Verdana"/>
          <w:sz w:val="20"/>
          <w:szCs w:val="20"/>
        </w:rPr>
        <w:t>la víctima</w:t>
      </w:r>
      <w:r w:rsidR="00602B37" w:rsidRPr="007E2E11">
        <w:rPr>
          <w:rFonts w:ascii="Verdana" w:hAnsi="Verdana"/>
          <w:sz w:val="20"/>
          <w:szCs w:val="20"/>
        </w:rPr>
        <w:t xml:space="preserve">, la calificación de esta como una persona cuya muerte no merecía ser investigada, y las irregularidades y deficiencias a lo largo de toda la investigación, en la cual el señor Velásquez </w:t>
      </w:r>
      <w:r w:rsidR="00141BB6" w:rsidRPr="007E2E11">
        <w:rPr>
          <w:rFonts w:ascii="Verdana" w:hAnsi="Verdana"/>
          <w:sz w:val="20"/>
          <w:szCs w:val="20"/>
        </w:rPr>
        <w:t>Dur</w:t>
      </w:r>
      <w:r w:rsidR="00141BB6">
        <w:rPr>
          <w:rFonts w:ascii="Verdana" w:hAnsi="Verdana"/>
          <w:sz w:val="20"/>
          <w:szCs w:val="20"/>
        </w:rPr>
        <w:t>á</w:t>
      </w:r>
      <w:r w:rsidR="00141BB6" w:rsidRPr="007E2E11">
        <w:rPr>
          <w:rFonts w:ascii="Verdana" w:hAnsi="Verdana"/>
          <w:sz w:val="20"/>
          <w:szCs w:val="20"/>
        </w:rPr>
        <w:t xml:space="preserve">n </w:t>
      </w:r>
      <w:r w:rsidRPr="007E2E11">
        <w:rPr>
          <w:rFonts w:ascii="Verdana" w:hAnsi="Verdana"/>
          <w:sz w:val="20"/>
          <w:szCs w:val="20"/>
        </w:rPr>
        <w:t>fue</w:t>
      </w:r>
      <w:r w:rsidR="00602B37" w:rsidRPr="007E2E11">
        <w:rPr>
          <w:rFonts w:ascii="Verdana" w:hAnsi="Verdana"/>
          <w:sz w:val="20"/>
          <w:szCs w:val="20"/>
        </w:rPr>
        <w:t xml:space="preserve"> particularmente activo. </w:t>
      </w:r>
      <w:r w:rsidR="00602B37" w:rsidRPr="007E2E11">
        <w:rPr>
          <w:rFonts w:ascii="Verdana" w:hAnsi="Verdana"/>
          <w:sz w:val="20"/>
          <w:szCs w:val="20"/>
          <w:lang w:val="es-EC"/>
        </w:rPr>
        <w:t>Todo ello configur</w:t>
      </w:r>
      <w:r w:rsidRPr="007E2E11">
        <w:rPr>
          <w:rFonts w:ascii="Verdana" w:hAnsi="Verdana"/>
          <w:sz w:val="20"/>
          <w:szCs w:val="20"/>
          <w:lang w:val="es-EC"/>
        </w:rPr>
        <w:t>ó</w:t>
      </w:r>
      <w:r w:rsidR="00602B37" w:rsidRPr="007E2E11">
        <w:rPr>
          <w:rFonts w:ascii="Verdana" w:hAnsi="Verdana"/>
          <w:sz w:val="20"/>
          <w:szCs w:val="20"/>
          <w:lang w:val="es-EC"/>
        </w:rPr>
        <w:t xml:space="preserve"> una violación del artículo 5.1 de la Convención Americana, en relación con el artículo 1.1, en perjuicio de </w:t>
      </w:r>
      <w:r w:rsidRPr="007E2E11">
        <w:rPr>
          <w:rFonts w:ascii="Verdana" w:hAnsi="Verdana"/>
          <w:bCs/>
          <w:sz w:val="20"/>
          <w:szCs w:val="20"/>
        </w:rPr>
        <w:t>los familiares</w:t>
      </w:r>
      <w:r w:rsidR="00E74FEC">
        <w:rPr>
          <w:rFonts w:ascii="Verdana" w:hAnsi="Verdana"/>
          <w:bCs/>
          <w:sz w:val="20"/>
          <w:szCs w:val="20"/>
        </w:rPr>
        <w:t>.</w:t>
      </w:r>
    </w:p>
    <w:p w14:paraId="3028C15F" w14:textId="77777777" w:rsidR="00602B37" w:rsidRPr="007E2E11" w:rsidRDefault="00602B37" w:rsidP="00A76643">
      <w:pPr>
        <w:rPr>
          <w:rFonts w:ascii="Verdana" w:hAnsi="Verdana" w:cs="Verdana"/>
          <w:b/>
          <w:sz w:val="20"/>
          <w:szCs w:val="20"/>
          <w:lang w:val="es-EC"/>
        </w:rPr>
      </w:pPr>
    </w:p>
    <w:p w14:paraId="7D7CE392" w14:textId="5470CC3A" w:rsidR="00DB258B" w:rsidRPr="007E2E11" w:rsidRDefault="00A76643" w:rsidP="00A76643">
      <w:pPr>
        <w:jc w:val="both"/>
        <w:rPr>
          <w:rFonts w:ascii="Verdana" w:hAnsi="Verdana"/>
          <w:sz w:val="20"/>
          <w:szCs w:val="20"/>
        </w:rPr>
      </w:pPr>
      <w:r w:rsidRPr="007E2E11">
        <w:rPr>
          <w:rFonts w:ascii="Verdana" w:hAnsi="Verdana" w:cs="Verdana"/>
          <w:sz w:val="20"/>
          <w:szCs w:val="20"/>
          <w:lang w:val="es-EC"/>
        </w:rPr>
        <w:t>Finalmente, la</w:t>
      </w:r>
      <w:r w:rsidR="00602B37" w:rsidRPr="007E2E11">
        <w:rPr>
          <w:rFonts w:ascii="Verdana" w:hAnsi="Verdana"/>
          <w:sz w:val="20"/>
          <w:szCs w:val="20"/>
          <w:lang w:val="es-EC"/>
        </w:rPr>
        <w:t xml:space="preserve"> Corte </w:t>
      </w:r>
      <w:r w:rsidRPr="007E2E11">
        <w:rPr>
          <w:rFonts w:ascii="Verdana" w:hAnsi="Verdana"/>
          <w:sz w:val="20"/>
          <w:szCs w:val="20"/>
          <w:lang w:val="es-EC"/>
        </w:rPr>
        <w:t xml:space="preserve">determinó </w:t>
      </w:r>
      <w:r w:rsidR="00602B37" w:rsidRPr="007E2E11">
        <w:rPr>
          <w:rFonts w:ascii="Verdana" w:hAnsi="Verdana"/>
          <w:sz w:val="20"/>
          <w:szCs w:val="20"/>
          <w:lang w:val="es-EC"/>
        </w:rPr>
        <w:t>que el cuidado de los restos mortales de una persona es una forma de observancia de</w:t>
      </w:r>
      <w:r w:rsidRPr="007E2E11">
        <w:rPr>
          <w:rFonts w:ascii="Verdana" w:hAnsi="Verdana"/>
          <w:sz w:val="20"/>
          <w:szCs w:val="20"/>
          <w:lang w:val="es-EC"/>
        </w:rPr>
        <w:t xml:space="preserve">l derecho a la dignidad humana y </w:t>
      </w:r>
      <w:r w:rsidR="00602B37" w:rsidRPr="007E2E11">
        <w:rPr>
          <w:rFonts w:ascii="Verdana" w:hAnsi="Verdana"/>
          <w:sz w:val="20"/>
          <w:szCs w:val="20"/>
          <w:lang w:val="es-EC"/>
        </w:rPr>
        <w:t xml:space="preserve">que los restos mortales de una persona merecen ser tratados con respeto ante sus </w:t>
      </w:r>
      <w:r w:rsidR="00DB258B" w:rsidRPr="007E2E11">
        <w:rPr>
          <w:rFonts w:ascii="Verdana" w:hAnsi="Verdana"/>
          <w:sz w:val="20"/>
          <w:szCs w:val="20"/>
          <w:lang w:val="es-EC"/>
        </w:rPr>
        <w:t>deudos</w:t>
      </w:r>
      <w:r w:rsidR="00602B37" w:rsidRPr="007E2E11">
        <w:rPr>
          <w:rFonts w:ascii="Verdana" w:hAnsi="Verdana"/>
          <w:sz w:val="20"/>
          <w:szCs w:val="20"/>
          <w:lang w:val="es-EC"/>
        </w:rPr>
        <w:t xml:space="preserve">, por la significación que tienen para </w:t>
      </w:r>
      <w:r w:rsidR="009E494A" w:rsidRPr="007E2E11">
        <w:rPr>
          <w:rFonts w:ascii="Verdana" w:hAnsi="Verdana"/>
          <w:sz w:val="20"/>
          <w:szCs w:val="20"/>
          <w:lang w:val="es-EC"/>
        </w:rPr>
        <w:t>e</w:t>
      </w:r>
      <w:r w:rsidR="00602B37" w:rsidRPr="007E2E11">
        <w:rPr>
          <w:rFonts w:ascii="Verdana" w:hAnsi="Verdana"/>
          <w:sz w:val="20"/>
          <w:szCs w:val="20"/>
          <w:lang w:val="es-EC"/>
        </w:rPr>
        <w:t>stos.</w:t>
      </w:r>
      <w:r w:rsidR="00602B37" w:rsidRPr="007E2E11">
        <w:rPr>
          <w:rFonts w:ascii="Verdana" w:eastAsia="Calibri" w:hAnsi="Verdana"/>
          <w:sz w:val="20"/>
          <w:szCs w:val="20"/>
        </w:rPr>
        <w:t xml:space="preserve"> </w:t>
      </w:r>
      <w:r w:rsidR="00602B37" w:rsidRPr="007E2E11">
        <w:rPr>
          <w:rFonts w:ascii="Verdana" w:hAnsi="Verdana"/>
          <w:sz w:val="20"/>
          <w:szCs w:val="20"/>
        </w:rPr>
        <w:t xml:space="preserve">En este sentido, los ritos funerarios son actos por medio de los cuales los familiares de una persona fallecida le rinden tributo a su ser querido, de acuerdo a sus creencias, tratando de obtener un mínimo de consuelo en los últimos momentos que tendrán con la presencia física de este. </w:t>
      </w:r>
      <w:r w:rsidRPr="007E2E11">
        <w:rPr>
          <w:rFonts w:ascii="Verdana" w:eastAsia="Calibri" w:hAnsi="Verdana"/>
          <w:sz w:val="20"/>
          <w:szCs w:val="20"/>
        </w:rPr>
        <w:t xml:space="preserve">Por tanto, </w:t>
      </w:r>
      <w:r w:rsidR="00DB258B" w:rsidRPr="007E2E11">
        <w:rPr>
          <w:rFonts w:ascii="Verdana" w:eastAsia="Calibri" w:hAnsi="Verdana"/>
          <w:sz w:val="20"/>
          <w:szCs w:val="20"/>
        </w:rPr>
        <w:t>en el presente caso,</w:t>
      </w:r>
      <w:r w:rsidR="00602B37" w:rsidRPr="007E2E11">
        <w:rPr>
          <w:rFonts w:ascii="Verdana" w:eastAsia="Calibri" w:hAnsi="Verdana"/>
          <w:sz w:val="20"/>
          <w:szCs w:val="20"/>
        </w:rPr>
        <w:t xml:space="preserve"> cuando los funcionarios del Ministerio Público llegaron a la funeraria donde estaba siendo velado</w:t>
      </w:r>
      <w:r w:rsidR="00602B37" w:rsidRPr="007E2E11">
        <w:rPr>
          <w:rFonts w:ascii="Verdana" w:hAnsi="Verdana"/>
          <w:sz w:val="20"/>
          <w:szCs w:val="20"/>
        </w:rPr>
        <w:t xml:space="preserve"> el cuerpo de Claudina Velásquez y solicitaron tomar sus huellas dactilares bajo amenazas de obstrucción a la justicia, pese a que debieron realizar dicha diligencia antes de entregar el cuerpo a los familiares, irrumpieron en un momento íntimo y doloroso a fin de manipular nuevamente los restos mortales de </w:t>
      </w:r>
      <w:r w:rsidR="00DB258B" w:rsidRPr="007E2E11">
        <w:rPr>
          <w:rFonts w:ascii="Verdana" w:hAnsi="Verdana"/>
          <w:sz w:val="20"/>
          <w:szCs w:val="20"/>
        </w:rPr>
        <w:t xml:space="preserve">Claudina </w:t>
      </w:r>
      <w:r w:rsidR="00DB258B" w:rsidRPr="007E2E11">
        <w:rPr>
          <w:rFonts w:ascii="Verdana" w:hAnsi="Verdana"/>
          <w:sz w:val="20"/>
          <w:szCs w:val="20"/>
        </w:rPr>
        <w:lastRenderedPageBreak/>
        <w:t>Velásquez</w:t>
      </w:r>
      <w:r w:rsidR="00602B37" w:rsidRPr="007E2E11">
        <w:rPr>
          <w:rFonts w:ascii="Verdana" w:hAnsi="Verdana"/>
          <w:sz w:val="20"/>
          <w:szCs w:val="20"/>
        </w:rPr>
        <w:t xml:space="preserve">, afectando </w:t>
      </w:r>
      <w:r w:rsidR="00DB258B" w:rsidRPr="007E2E11">
        <w:rPr>
          <w:rFonts w:ascii="Verdana" w:hAnsi="Verdana"/>
          <w:sz w:val="20"/>
          <w:szCs w:val="20"/>
        </w:rPr>
        <w:t>el</w:t>
      </w:r>
      <w:r w:rsidR="00602B37" w:rsidRPr="007E2E11">
        <w:rPr>
          <w:rFonts w:ascii="Verdana" w:hAnsi="Verdana"/>
          <w:sz w:val="20"/>
          <w:szCs w:val="20"/>
        </w:rPr>
        <w:t xml:space="preserve"> derecho</w:t>
      </w:r>
      <w:r w:rsidR="00DB258B" w:rsidRPr="007E2E11">
        <w:rPr>
          <w:rFonts w:ascii="Verdana" w:hAnsi="Verdana"/>
          <w:sz w:val="20"/>
          <w:szCs w:val="20"/>
        </w:rPr>
        <w:t xml:space="preserve"> al respeto de su honra y al reconocimiento de su dignidad, en violación del artículo 11 </w:t>
      </w:r>
      <w:r w:rsidR="00DB258B" w:rsidRPr="007E2E11">
        <w:rPr>
          <w:rFonts w:ascii="Verdana" w:hAnsi="Verdana"/>
          <w:sz w:val="20"/>
          <w:szCs w:val="20"/>
          <w:lang w:val="es-EC"/>
        </w:rPr>
        <w:t>de la Convención Americana, en relación con el artículo 1.1 de la misma, en perjuicio de sus familiares</w:t>
      </w:r>
      <w:r w:rsidR="00DB258B" w:rsidRPr="007E2E11">
        <w:rPr>
          <w:rFonts w:ascii="Verdana" w:hAnsi="Verdana"/>
          <w:sz w:val="20"/>
          <w:szCs w:val="20"/>
        </w:rPr>
        <w:t>.</w:t>
      </w:r>
    </w:p>
    <w:p w14:paraId="52BB3629" w14:textId="77777777" w:rsidR="00DB258B" w:rsidRPr="007E2E11" w:rsidRDefault="00DB258B" w:rsidP="00DB258B">
      <w:pPr>
        <w:rPr>
          <w:rFonts w:ascii="Verdana" w:hAnsi="Verdana"/>
          <w:b/>
          <w:sz w:val="20"/>
          <w:szCs w:val="20"/>
        </w:rPr>
      </w:pPr>
    </w:p>
    <w:p w14:paraId="3028C162" w14:textId="77777777" w:rsidR="00EA73C7" w:rsidRPr="007E2E11" w:rsidRDefault="00EA73C7" w:rsidP="007064D9">
      <w:pPr>
        <w:pStyle w:val="PrrafodeSentencia"/>
        <w:numPr>
          <w:ilvl w:val="0"/>
          <w:numId w:val="3"/>
        </w:numPr>
        <w:rPr>
          <w:b/>
        </w:rPr>
      </w:pPr>
      <w:r w:rsidRPr="007E2E11">
        <w:rPr>
          <w:b/>
        </w:rPr>
        <w:t>Reparaciones</w:t>
      </w:r>
    </w:p>
    <w:p w14:paraId="3028C163" w14:textId="77777777" w:rsidR="008E391D" w:rsidRPr="007E2E11" w:rsidRDefault="008E391D" w:rsidP="007064D9">
      <w:pPr>
        <w:pStyle w:val="PrrafodeSentencia"/>
        <w:rPr>
          <w:b/>
        </w:rPr>
      </w:pPr>
    </w:p>
    <w:p w14:paraId="3028C164" w14:textId="1E395E7B" w:rsidR="00F20EAF" w:rsidRPr="009B4F96" w:rsidRDefault="00F20EAF" w:rsidP="009E4543">
      <w:pPr>
        <w:pStyle w:val="Default"/>
        <w:ind w:left="0"/>
        <w:rPr>
          <w:sz w:val="20"/>
          <w:szCs w:val="20"/>
          <w:lang w:val="es-EC"/>
        </w:rPr>
      </w:pPr>
      <w:r w:rsidRPr="007E2E11">
        <w:rPr>
          <w:rFonts w:eastAsiaTheme="minorHAnsi" w:cs="Verdana"/>
          <w:sz w:val="20"/>
          <w:szCs w:val="20"/>
          <w:lang w:val="es-EC"/>
        </w:rPr>
        <w:t xml:space="preserve">La Corte estableció que su Sentencia constituye </w:t>
      </w:r>
      <w:r w:rsidRPr="007E2E11">
        <w:rPr>
          <w:rFonts w:eastAsiaTheme="minorHAnsi" w:cs="Verdana"/>
          <w:i/>
          <w:iCs/>
          <w:sz w:val="20"/>
          <w:szCs w:val="20"/>
          <w:lang w:val="es-EC"/>
        </w:rPr>
        <w:t xml:space="preserve">per se </w:t>
      </w:r>
      <w:r w:rsidRPr="007E2E11">
        <w:rPr>
          <w:rFonts w:eastAsiaTheme="minorHAnsi" w:cs="Verdana"/>
          <w:sz w:val="20"/>
          <w:szCs w:val="20"/>
          <w:lang w:val="es-EC"/>
        </w:rPr>
        <w:t xml:space="preserve">una forma de reparación. Asimismo, ordenó que el Estado debe: </w:t>
      </w:r>
      <w:r w:rsidR="00E37C11" w:rsidRPr="007E2E11">
        <w:rPr>
          <w:rFonts w:eastAsiaTheme="minorHAnsi" w:cs="Verdana"/>
          <w:sz w:val="20"/>
          <w:szCs w:val="20"/>
          <w:lang w:val="es-EC"/>
        </w:rPr>
        <w:t>i</w:t>
      </w:r>
      <w:r w:rsidRPr="007E2E11">
        <w:rPr>
          <w:rFonts w:eastAsiaTheme="minorHAnsi" w:cs="Verdana"/>
          <w:sz w:val="20"/>
          <w:szCs w:val="20"/>
          <w:lang w:val="es-EC"/>
        </w:rPr>
        <w:t xml:space="preserve">) </w:t>
      </w:r>
      <w:r w:rsidRPr="007E2E11">
        <w:rPr>
          <w:sz w:val="20"/>
          <w:szCs w:val="20"/>
          <w:lang w:val="es-ES"/>
        </w:rPr>
        <w:t xml:space="preserve">conducir eficazmente la investigación y, en su caso, abrir el o los procesos penales que correspondieren, para identificar, procesar y, en su caso, sancionar a los responsables de los vejámenes y privación de la vida de Claudina Isabel Velásquez Paiz. Asimismo, de acuerdo con la normativa disciplinaria pertinente, el Estado debe examinar las eventuales irregularidades procesales e investigativas relacionadas con el presente caso, y en su caso, sancionar la conducta de los servidores públicos correspondientes; </w:t>
      </w:r>
      <w:r w:rsidR="00E37C11" w:rsidRPr="007E2E11">
        <w:rPr>
          <w:sz w:val="20"/>
          <w:szCs w:val="20"/>
          <w:lang w:val="es-ES"/>
        </w:rPr>
        <w:t>ii</w:t>
      </w:r>
      <w:r w:rsidRPr="007E2E11">
        <w:rPr>
          <w:sz w:val="20"/>
          <w:szCs w:val="20"/>
          <w:lang w:val="es-ES"/>
        </w:rPr>
        <w:t xml:space="preserve">) </w:t>
      </w:r>
      <w:r w:rsidR="00C36600" w:rsidRPr="007E2E11">
        <w:rPr>
          <w:sz w:val="20"/>
          <w:szCs w:val="20"/>
          <w:lang w:val="es-CR"/>
        </w:rPr>
        <w:t>brindar</w:t>
      </w:r>
      <w:r w:rsidR="00E82209" w:rsidRPr="007E2E11">
        <w:rPr>
          <w:sz w:val="20"/>
          <w:szCs w:val="20"/>
          <w:lang w:val="es-CR"/>
        </w:rPr>
        <w:t xml:space="preserve"> gratuitamente, a través de sus instituciones de salud especializadas, tratamiento médico y psicológico o psiquiátrico a las víctimas que así lo soliciten; </w:t>
      </w:r>
      <w:r w:rsidR="00E37C11" w:rsidRPr="007E2E11">
        <w:rPr>
          <w:sz w:val="20"/>
          <w:szCs w:val="20"/>
          <w:lang w:val="es-CR"/>
        </w:rPr>
        <w:t>iii</w:t>
      </w:r>
      <w:r w:rsidR="00E82209" w:rsidRPr="007E2E11">
        <w:rPr>
          <w:sz w:val="20"/>
          <w:szCs w:val="20"/>
          <w:lang w:val="es-CR"/>
        </w:rPr>
        <w:t xml:space="preserve">) </w:t>
      </w:r>
      <w:r w:rsidR="00C36600" w:rsidRPr="007E2E11">
        <w:rPr>
          <w:sz w:val="20"/>
          <w:szCs w:val="20"/>
        </w:rPr>
        <w:t>publicar la Sentencia y su resumen oficial</w:t>
      </w:r>
      <w:r w:rsidR="009E4543" w:rsidRPr="007E2E11">
        <w:rPr>
          <w:rFonts w:eastAsiaTheme="minorHAnsi" w:cs="Verdana"/>
          <w:sz w:val="20"/>
          <w:szCs w:val="20"/>
          <w:lang w:val="es-EC"/>
        </w:rPr>
        <w:t xml:space="preserve">; </w:t>
      </w:r>
      <w:r w:rsidR="00E37C11" w:rsidRPr="007E2E11">
        <w:rPr>
          <w:rFonts w:eastAsiaTheme="minorHAnsi" w:cs="Verdana"/>
          <w:sz w:val="20"/>
          <w:szCs w:val="20"/>
          <w:lang w:val="es-EC"/>
        </w:rPr>
        <w:t>iv</w:t>
      </w:r>
      <w:r w:rsidR="009E4543" w:rsidRPr="007E2E11">
        <w:rPr>
          <w:rFonts w:eastAsiaTheme="minorHAnsi" w:cs="Verdana"/>
          <w:sz w:val="20"/>
          <w:szCs w:val="20"/>
          <w:lang w:val="es-EC"/>
        </w:rPr>
        <w:t>)</w:t>
      </w:r>
      <w:r w:rsidR="00E82209" w:rsidRPr="007E2E11">
        <w:rPr>
          <w:sz w:val="20"/>
          <w:szCs w:val="20"/>
          <w:lang w:val="es-EC" w:eastAsia="es-CR"/>
        </w:rPr>
        <w:t xml:space="preserve"> </w:t>
      </w:r>
      <w:r w:rsidR="00C36600" w:rsidRPr="007E2E11">
        <w:rPr>
          <w:sz w:val="20"/>
          <w:szCs w:val="20"/>
          <w:lang w:val="es-ES"/>
        </w:rPr>
        <w:t>realizar</w:t>
      </w:r>
      <w:r w:rsidRPr="007E2E11">
        <w:rPr>
          <w:sz w:val="20"/>
          <w:szCs w:val="20"/>
          <w:lang w:val="es-ES"/>
        </w:rPr>
        <w:t xml:space="preserve"> un acto de disculpas públicas</w:t>
      </w:r>
      <w:r w:rsidR="009E4543" w:rsidRPr="007E2E11">
        <w:rPr>
          <w:sz w:val="20"/>
          <w:szCs w:val="20"/>
          <w:lang w:val="es-ES"/>
        </w:rPr>
        <w:t xml:space="preserve">; </w:t>
      </w:r>
      <w:r w:rsidR="00E37C11" w:rsidRPr="007E2E11">
        <w:rPr>
          <w:sz w:val="20"/>
          <w:szCs w:val="20"/>
          <w:lang w:val="es-ES"/>
        </w:rPr>
        <w:t>v</w:t>
      </w:r>
      <w:r w:rsidR="009E4543" w:rsidRPr="007E2E11">
        <w:rPr>
          <w:sz w:val="20"/>
          <w:szCs w:val="20"/>
          <w:lang w:val="es-ES"/>
        </w:rPr>
        <w:t>)</w:t>
      </w:r>
      <w:r w:rsidR="00E82209" w:rsidRPr="007E2E11">
        <w:rPr>
          <w:sz w:val="20"/>
          <w:szCs w:val="20"/>
          <w:lang w:val="es-EC" w:eastAsia="es-CR"/>
        </w:rPr>
        <w:t xml:space="preserve"> </w:t>
      </w:r>
      <w:r w:rsidR="00E82209" w:rsidRPr="007E2E11">
        <w:rPr>
          <w:sz w:val="20"/>
          <w:szCs w:val="20"/>
          <w:lang w:val="es-CR"/>
        </w:rPr>
        <w:t xml:space="preserve">incorporar </w:t>
      </w:r>
      <w:r w:rsidRPr="007E2E11">
        <w:rPr>
          <w:sz w:val="20"/>
          <w:szCs w:val="20"/>
          <w:lang w:val="es-EC"/>
        </w:rPr>
        <w:t xml:space="preserve">al currículo </w:t>
      </w:r>
      <w:r w:rsidR="00E06D71" w:rsidRPr="007E2E11">
        <w:rPr>
          <w:sz w:val="20"/>
          <w:szCs w:val="20"/>
          <w:lang w:val="es-EC"/>
        </w:rPr>
        <w:t xml:space="preserve">del Sistema Educativo Nacional </w:t>
      </w:r>
      <w:r w:rsidRPr="007E2E11">
        <w:rPr>
          <w:sz w:val="20"/>
          <w:szCs w:val="20"/>
          <w:lang w:val="es-EC"/>
        </w:rPr>
        <w:t>un programa de educación permanente sobre la necesidad de erradicar la discriminación de género, los estereotipos de género y la violencia contra</w:t>
      </w:r>
      <w:r w:rsidR="00E06D71" w:rsidRPr="007E2E11">
        <w:rPr>
          <w:sz w:val="20"/>
          <w:szCs w:val="20"/>
          <w:lang w:val="es-EC"/>
        </w:rPr>
        <w:t xml:space="preserve"> la mujer en Guatemala</w:t>
      </w:r>
      <w:r w:rsidR="009E4543" w:rsidRPr="007E2E11">
        <w:rPr>
          <w:sz w:val="20"/>
          <w:szCs w:val="20"/>
          <w:lang w:val="es-EC"/>
        </w:rPr>
        <w:t xml:space="preserve">; </w:t>
      </w:r>
      <w:r w:rsidR="00E37C11" w:rsidRPr="007E2E11">
        <w:rPr>
          <w:sz w:val="20"/>
          <w:szCs w:val="20"/>
          <w:lang w:val="es-EC"/>
        </w:rPr>
        <w:t>vi</w:t>
      </w:r>
      <w:r w:rsidR="009E4543" w:rsidRPr="007E2E11">
        <w:rPr>
          <w:sz w:val="20"/>
          <w:szCs w:val="20"/>
          <w:lang w:val="es-EC"/>
        </w:rPr>
        <w:t xml:space="preserve">) </w:t>
      </w:r>
      <w:r w:rsidRPr="007E2E11">
        <w:rPr>
          <w:sz w:val="20"/>
          <w:szCs w:val="20"/>
        </w:rPr>
        <w:t xml:space="preserve">elaborar un plan de fortalecimiento </w:t>
      </w:r>
      <w:r w:rsidRPr="007E2E11">
        <w:rPr>
          <w:rFonts w:cs="Calibri"/>
          <w:sz w:val="20"/>
          <w:szCs w:val="20"/>
          <w:lang w:val="es-CR"/>
        </w:rPr>
        <w:t>calendarizado</w:t>
      </w:r>
      <w:r w:rsidRPr="007E2E11">
        <w:rPr>
          <w:sz w:val="20"/>
          <w:szCs w:val="20"/>
        </w:rPr>
        <w:t xml:space="preserve"> del Instituto Nacional de Ciencias Forenses (INACIF)</w:t>
      </w:r>
      <w:r w:rsidR="009E4543" w:rsidRPr="007E2E11">
        <w:rPr>
          <w:sz w:val="20"/>
          <w:szCs w:val="20"/>
        </w:rPr>
        <w:t xml:space="preserve">; </w:t>
      </w:r>
      <w:r w:rsidR="00E37C11" w:rsidRPr="007E2E11">
        <w:rPr>
          <w:sz w:val="20"/>
          <w:szCs w:val="20"/>
        </w:rPr>
        <w:t>vii</w:t>
      </w:r>
      <w:r w:rsidR="009E4543" w:rsidRPr="007E2E11">
        <w:rPr>
          <w:sz w:val="20"/>
          <w:szCs w:val="20"/>
        </w:rPr>
        <w:t xml:space="preserve">) </w:t>
      </w:r>
      <w:r w:rsidRPr="007E2E11">
        <w:rPr>
          <w:sz w:val="20"/>
          <w:szCs w:val="20"/>
        </w:rPr>
        <w:t xml:space="preserve">implementar el funcionamiento pleno de los “órganos jurisdiccionales especializados” en toda la República de Guatemala, así como de la fiscalía </w:t>
      </w:r>
      <w:r w:rsidR="00E06D71" w:rsidRPr="007E2E11">
        <w:rPr>
          <w:sz w:val="20"/>
          <w:szCs w:val="20"/>
        </w:rPr>
        <w:t>especializada</w:t>
      </w:r>
      <w:r w:rsidR="009E4543" w:rsidRPr="007E2E11">
        <w:rPr>
          <w:sz w:val="20"/>
          <w:szCs w:val="20"/>
        </w:rPr>
        <w:t xml:space="preserve">; </w:t>
      </w:r>
      <w:r w:rsidR="00E37C11" w:rsidRPr="007E2E11">
        <w:rPr>
          <w:sz w:val="20"/>
          <w:szCs w:val="20"/>
        </w:rPr>
        <w:t>viii</w:t>
      </w:r>
      <w:r w:rsidR="009E4543" w:rsidRPr="007E2E11">
        <w:rPr>
          <w:sz w:val="20"/>
          <w:szCs w:val="20"/>
        </w:rPr>
        <w:t xml:space="preserve">) </w:t>
      </w:r>
      <w:r w:rsidRPr="007E2E11">
        <w:rPr>
          <w:sz w:val="20"/>
          <w:szCs w:val="20"/>
        </w:rPr>
        <w:t xml:space="preserve">implementar programas y cursos permanentes para funcionarios públicos pertenecientes al Poder Judicial, Ministerio Público y Policía Nacional Civil, que estén vinculados a la investigación de actos de homicidio de mujeres, sobre estándares en materia de prevención, eventual sanción y erradicación de homicidios de mujeres y capacitarlos sobre la debida aplicación de la normativa internacional y jurisprudencia </w:t>
      </w:r>
      <w:r w:rsidR="009E4543" w:rsidRPr="007E2E11">
        <w:rPr>
          <w:sz w:val="20"/>
          <w:szCs w:val="20"/>
        </w:rPr>
        <w:t xml:space="preserve">de este Tribunal en la materia; </w:t>
      </w:r>
      <w:r w:rsidR="00E37C11" w:rsidRPr="007E2E11">
        <w:rPr>
          <w:sz w:val="20"/>
          <w:szCs w:val="20"/>
        </w:rPr>
        <w:t>ix</w:t>
      </w:r>
      <w:r w:rsidR="009E4543" w:rsidRPr="007E2E11">
        <w:rPr>
          <w:sz w:val="20"/>
          <w:szCs w:val="20"/>
        </w:rPr>
        <w:t xml:space="preserve">) </w:t>
      </w:r>
      <w:r w:rsidR="00E82209" w:rsidRPr="007E2E11">
        <w:rPr>
          <w:sz w:val="20"/>
          <w:szCs w:val="20"/>
          <w:lang w:val="es-CR"/>
        </w:rPr>
        <w:t xml:space="preserve">adoptar </w:t>
      </w:r>
      <w:r w:rsidRPr="007E2E11">
        <w:rPr>
          <w:sz w:val="20"/>
          <w:szCs w:val="20"/>
        </w:rPr>
        <w:t>una estrategia, sistema, mecanismo o programa nacional, a través de medidas legislativas o de otro carácter, a efectos de lograr la búsqueda eficaz e inmediata de mujeres desaparecidas</w:t>
      </w:r>
      <w:r w:rsidR="004A78C0" w:rsidRPr="007E2E11">
        <w:rPr>
          <w:sz w:val="20"/>
          <w:szCs w:val="20"/>
        </w:rPr>
        <w:t>, y</w:t>
      </w:r>
      <w:r w:rsidR="009E4543" w:rsidRPr="007E2E11">
        <w:rPr>
          <w:sz w:val="20"/>
          <w:szCs w:val="20"/>
        </w:rPr>
        <w:t xml:space="preserve"> </w:t>
      </w:r>
      <w:r w:rsidR="00E37C11" w:rsidRPr="007E2E11">
        <w:rPr>
          <w:sz w:val="20"/>
          <w:szCs w:val="20"/>
        </w:rPr>
        <w:t>x</w:t>
      </w:r>
      <w:r w:rsidR="009E4543" w:rsidRPr="007E2E11">
        <w:rPr>
          <w:sz w:val="20"/>
          <w:szCs w:val="20"/>
        </w:rPr>
        <w:t xml:space="preserve">) </w:t>
      </w:r>
      <w:r w:rsidR="004A78C0" w:rsidRPr="007E2E11">
        <w:rPr>
          <w:sz w:val="20"/>
          <w:szCs w:val="20"/>
        </w:rPr>
        <w:t>p</w:t>
      </w:r>
      <w:r w:rsidRPr="007E2E11">
        <w:rPr>
          <w:sz w:val="20"/>
          <w:szCs w:val="20"/>
          <w:lang w:val="es-ES"/>
        </w:rPr>
        <w:t xml:space="preserve">agar las </w:t>
      </w:r>
      <w:r w:rsidRPr="009B4F96">
        <w:rPr>
          <w:sz w:val="20"/>
          <w:szCs w:val="20"/>
          <w:lang w:val="es-ES"/>
        </w:rPr>
        <w:t xml:space="preserve">cantidades fijadas </w:t>
      </w:r>
      <w:r w:rsidR="004A78C0" w:rsidRPr="009B4F96">
        <w:rPr>
          <w:sz w:val="20"/>
          <w:szCs w:val="20"/>
          <w:lang w:val="es-ES"/>
        </w:rPr>
        <w:t xml:space="preserve">en la Sentencia </w:t>
      </w:r>
      <w:r w:rsidRPr="009B4F96">
        <w:rPr>
          <w:sz w:val="20"/>
          <w:szCs w:val="20"/>
          <w:lang w:val="es-ES"/>
        </w:rPr>
        <w:t xml:space="preserve">por concepto de indemnizaciones por daños materiales e inmateriales, </w:t>
      </w:r>
      <w:r w:rsidR="00E06D71" w:rsidRPr="009B4F96">
        <w:rPr>
          <w:sz w:val="20"/>
          <w:szCs w:val="20"/>
          <w:lang w:val="es-ES"/>
        </w:rPr>
        <w:t>y</w:t>
      </w:r>
      <w:r w:rsidRPr="009B4F96">
        <w:rPr>
          <w:sz w:val="20"/>
          <w:szCs w:val="20"/>
          <w:lang w:val="es-ES"/>
        </w:rPr>
        <w:t xml:space="preserve"> e</w:t>
      </w:r>
      <w:r w:rsidR="009E4543" w:rsidRPr="009B4F96">
        <w:rPr>
          <w:sz w:val="20"/>
          <w:szCs w:val="20"/>
          <w:lang w:val="es-ES"/>
        </w:rPr>
        <w:t>l reintegro de costas y gastos</w:t>
      </w:r>
      <w:r w:rsidR="004A78C0" w:rsidRPr="009B4F96">
        <w:rPr>
          <w:sz w:val="20"/>
          <w:szCs w:val="20"/>
          <w:lang w:val="es-ES"/>
        </w:rPr>
        <w:t>.</w:t>
      </w:r>
      <w:r w:rsidR="00E82209" w:rsidRPr="009B4F96">
        <w:rPr>
          <w:sz w:val="20"/>
          <w:szCs w:val="20"/>
          <w:lang w:val="es-ES" w:eastAsia="es-CR"/>
        </w:rPr>
        <w:t xml:space="preserve"> </w:t>
      </w:r>
    </w:p>
    <w:p w14:paraId="3028C165" w14:textId="77777777" w:rsidR="008C2F16" w:rsidRPr="009B4F96" w:rsidRDefault="008C2F16" w:rsidP="007064D9">
      <w:pPr>
        <w:pStyle w:val="PrrafodeSentencia"/>
      </w:pPr>
    </w:p>
    <w:p w14:paraId="3028C166" w14:textId="77777777" w:rsidR="008E391D" w:rsidRPr="009B4F96" w:rsidRDefault="008E391D" w:rsidP="008E391D">
      <w:pPr>
        <w:jc w:val="center"/>
        <w:rPr>
          <w:rFonts w:ascii="Verdana" w:hAnsi="Verdana" w:cs="Verdana"/>
          <w:sz w:val="20"/>
          <w:szCs w:val="20"/>
        </w:rPr>
      </w:pPr>
      <w:r w:rsidRPr="009B4F96">
        <w:rPr>
          <w:rFonts w:ascii="Verdana" w:hAnsi="Verdana" w:cs="Verdana"/>
          <w:sz w:val="20"/>
          <w:szCs w:val="20"/>
        </w:rPr>
        <w:t>-----</w:t>
      </w:r>
    </w:p>
    <w:p w14:paraId="3028C167" w14:textId="77777777" w:rsidR="008E391D" w:rsidRPr="009B4F96" w:rsidRDefault="008E391D" w:rsidP="008E391D">
      <w:pPr>
        <w:jc w:val="both"/>
        <w:rPr>
          <w:rFonts w:ascii="Verdana" w:hAnsi="Verdana" w:cs="Verdana"/>
          <w:sz w:val="20"/>
          <w:szCs w:val="20"/>
        </w:rPr>
      </w:pPr>
    </w:p>
    <w:p w14:paraId="7C92DE0B" w14:textId="77777777" w:rsidR="009B4F96" w:rsidRPr="00F924E9" w:rsidRDefault="008E391D" w:rsidP="009B4F96">
      <w:pPr>
        <w:jc w:val="both"/>
        <w:rPr>
          <w:rFonts w:ascii="Verdana" w:hAnsi="Verdana" w:cs="Verdana"/>
          <w:sz w:val="20"/>
          <w:szCs w:val="20"/>
        </w:rPr>
      </w:pPr>
      <w:r w:rsidRPr="009B4F96">
        <w:rPr>
          <w:rFonts w:ascii="Verdana" w:hAnsi="Verdana" w:cs="Verdana"/>
          <w:sz w:val="20"/>
          <w:szCs w:val="20"/>
        </w:rPr>
        <w:t xml:space="preserve">La Corte Interamericana de Derechos Humanos supervisará el cumplimiento íntegro de la Sentencia, </w:t>
      </w:r>
      <w:r w:rsidRPr="009B4F96">
        <w:rPr>
          <w:rFonts w:ascii="Verdana" w:hAnsi="Verdana"/>
          <w:sz w:val="20"/>
          <w:szCs w:val="20"/>
        </w:rPr>
        <w:t xml:space="preserve">en ejercicio de sus atribuciones y en cumplimiento de sus deberes conforme a la Convención Americana sobre Derechos Humanos, </w:t>
      </w:r>
      <w:r w:rsidRPr="009B4F96">
        <w:rPr>
          <w:rFonts w:ascii="Verdana" w:hAnsi="Verdana" w:cs="Verdana"/>
          <w:sz w:val="20"/>
          <w:szCs w:val="20"/>
        </w:rPr>
        <w:t xml:space="preserve">y dará por concluido el caso una vez que el Estado haya </w:t>
      </w:r>
      <w:r w:rsidRPr="00F924E9">
        <w:rPr>
          <w:rFonts w:ascii="Verdana" w:hAnsi="Verdana" w:cs="Verdana"/>
          <w:sz w:val="20"/>
          <w:szCs w:val="20"/>
        </w:rPr>
        <w:t xml:space="preserve">dado cabal cumplimiento a lo dispuesto en la Sentencia. </w:t>
      </w:r>
    </w:p>
    <w:p w14:paraId="77DCF954" w14:textId="77777777" w:rsidR="009B4F96" w:rsidRPr="008B7E28" w:rsidRDefault="009B4F96" w:rsidP="009B4F96">
      <w:pPr>
        <w:jc w:val="both"/>
        <w:rPr>
          <w:rFonts w:ascii="Verdana" w:hAnsi="Verdana" w:cs="Verdana"/>
          <w:sz w:val="20"/>
          <w:szCs w:val="20"/>
        </w:rPr>
      </w:pPr>
    </w:p>
    <w:p w14:paraId="6C55D69A" w14:textId="5D430177" w:rsidR="009B4F96" w:rsidRPr="008B7E28" w:rsidRDefault="009B4F96" w:rsidP="009B4F96">
      <w:pPr>
        <w:jc w:val="both"/>
        <w:rPr>
          <w:rFonts w:ascii="Verdana" w:hAnsi="Verdana" w:cs="Verdana"/>
          <w:sz w:val="20"/>
          <w:szCs w:val="20"/>
        </w:rPr>
      </w:pPr>
      <w:r w:rsidRPr="008B7E28">
        <w:rPr>
          <w:rFonts w:ascii="Verdana" w:hAnsi="Verdana"/>
          <w:sz w:val="20"/>
          <w:szCs w:val="20"/>
        </w:rPr>
        <w:t>El Juez Roberto F. Caldas</w:t>
      </w:r>
      <w:r w:rsidRPr="008B7E28">
        <w:rPr>
          <w:rFonts w:ascii="Verdana" w:eastAsia="Calibri" w:hAnsi="Verdana"/>
          <w:sz w:val="20"/>
          <w:szCs w:val="20"/>
          <w:lang w:val="es-ES_tradnl"/>
        </w:rPr>
        <w:t xml:space="preserve"> </w:t>
      </w:r>
      <w:r w:rsidRPr="008B7E28">
        <w:rPr>
          <w:rFonts w:ascii="Verdana" w:hAnsi="Verdana"/>
          <w:sz w:val="20"/>
          <w:szCs w:val="20"/>
        </w:rPr>
        <w:t xml:space="preserve">hizo conocer a la Corte su Voto </w:t>
      </w:r>
      <w:r w:rsidR="008B7E28" w:rsidRPr="00B9310E">
        <w:rPr>
          <w:rFonts w:ascii="Verdana" w:hAnsi="Verdana"/>
          <w:spacing w:val="-2"/>
          <w:sz w:val="20"/>
          <w:szCs w:val="20"/>
        </w:rPr>
        <w:t>Parcialmente</w:t>
      </w:r>
      <w:r w:rsidR="008B7E28" w:rsidRPr="008B7E28">
        <w:rPr>
          <w:rFonts w:ascii="Verdana" w:hAnsi="Verdana"/>
          <w:sz w:val="20"/>
          <w:szCs w:val="20"/>
        </w:rPr>
        <w:t xml:space="preserve"> </w:t>
      </w:r>
      <w:r w:rsidRPr="008B7E28">
        <w:rPr>
          <w:rFonts w:ascii="Verdana" w:hAnsi="Verdana"/>
          <w:sz w:val="20"/>
          <w:szCs w:val="20"/>
        </w:rPr>
        <w:t>Disidente, el cual acompaña esta Sentencia. Los Jueces Eduardo Vio Grossi y Eduardo Ferrer Mac-</w:t>
      </w:r>
      <w:proofErr w:type="spellStart"/>
      <w:r w:rsidRPr="008B7E28">
        <w:rPr>
          <w:rFonts w:ascii="Verdana" w:hAnsi="Verdana"/>
          <w:sz w:val="20"/>
          <w:szCs w:val="20"/>
        </w:rPr>
        <w:t>Gregor</w:t>
      </w:r>
      <w:proofErr w:type="spellEnd"/>
      <w:r w:rsidRPr="008B7E28">
        <w:rPr>
          <w:rFonts w:ascii="Verdana" w:hAnsi="Verdana"/>
          <w:sz w:val="20"/>
          <w:szCs w:val="20"/>
        </w:rPr>
        <w:t xml:space="preserve"> </w:t>
      </w:r>
      <w:proofErr w:type="spellStart"/>
      <w:r w:rsidRPr="008B7E28">
        <w:rPr>
          <w:rFonts w:ascii="Verdana" w:hAnsi="Verdana"/>
          <w:sz w:val="20"/>
          <w:szCs w:val="20"/>
        </w:rPr>
        <w:t>Poisot</w:t>
      </w:r>
      <w:proofErr w:type="spellEnd"/>
      <w:r w:rsidRPr="008B7E28">
        <w:rPr>
          <w:rFonts w:ascii="Verdana" w:hAnsi="Verdana"/>
          <w:sz w:val="20"/>
          <w:szCs w:val="20"/>
        </w:rPr>
        <w:t xml:space="preserve"> hicieron conocer a la Corte sus respectivos Votos Concurrentes, los cuales acompañan esta Sentencia.</w:t>
      </w:r>
    </w:p>
    <w:p w14:paraId="3028C169" w14:textId="77777777" w:rsidR="008E391D" w:rsidRPr="00F924E9" w:rsidRDefault="008E391D" w:rsidP="008E391D">
      <w:pPr>
        <w:jc w:val="center"/>
        <w:outlineLvl w:val="0"/>
        <w:rPr>
          <w:rFonts w:ascii="Verdana" w:eastAsia="Helvetica" w:hAnsi="Verdana"/>
          <w:color w:val="000000"/>
          <w:sz w:val="20"/>
          <w:szCs w:val="20"/>
        </w:rPr>
      </w:pPr>
    </w:p>
    <w:p w14:paraId="4F21D9F9" w14:textId="60B3FAF3" w:rsidR="008E391D" w:rsidRPr="009B4F96" w:rsidRDefault="008E391D" w:rsidP="00E06D71">
      <w:pPr>
        <w:jc w:val="both"/>
        <w:rPr>
          <w:rFonts w:ascii="Verdana" w:hAnsi="Verdana"/>
          <w:sz w:val="20"/>
          <w:szCs w:val="20"/>
        </w:rPr>
      </w:pPr>
      <w:r w:rsidRPr="00F924E9">
        <w:rPr>
          <w:rFonts w:ascii="Verdana" w:hAnsi="Verdana"/>
          <w:sz w:val="20"/>
          <w:szCs w:val="20"/>
        </w:rPr>
        <w:t>El texto íntegro de la Sentencia puede consultarse en el siguiente enlace: http://www.corteidh</w:t>
      </w:r>
      <w:r w:rsidRPr="009B4F96">
        <w:rPr>
          <w:rFonts w:ascii="Verdana" w:hAnsi="Verdana"/>
          <w:sz w:val="20"/>
          <w:szCs w:val="20"/>
        </w:rPr>
        <w:t>.or.cr/casos.cfm</w:t>
      </w:r>
    </w:p>
    <w:sectPr w:rsidR="008E391D" w:rsidRPr="009B4F96" w:rsidSect="00E822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B54F1" w14:textId="77777777" w:rsidR="00683935" w:rsidRDefault="00683935" w:rsidP="0017396C">
      <w:r>
        <w:separator/>
      </w:r>
    </w:p>
  </w:endnote>
  <w:endnote w:type="continuationSeparator" w:id="0">
    <w:p w14:paraId="3FE4EAD7" w14:textId="77777777" w:rsidR="00683935" w:rsidRDefault="00683935" w:rsidP="0017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FPNLK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058574"/>
      <w:docPartObj>
        <w:docPartGallery w:val="Page Numbers (Bottom of Page)"/>
        <w:docPartUnique/>
      </w:docPartObj>
    </w:sdtPr>
    <w:sdtEndPr/>
    <w:sdtContent>
      <w:p w14:paraId="269FF3D5" w14:textId="565CF479" w:rsidR="00A63074" w:rsidRDefault="00A63074">
        <w:pPr>
          <w:pStyle w:val="Piedepgina"/>
          <w:jc w:val="center"/>
        </w:pPr>
        <w:r>
          <w:fldChar w:fldCharType="begin"/>
        </w:r>
        <w:r>
          <w:instrText>PAGE   \* MERGEFORMAT</w:instrText>
        </w:r>
        <w:r>
          <w:fldChar w:fldCharType="separate"/>
        </w:r>
        <w:r w:rsidR="007573E6" w:rsidRPr="007573E6">
          <w:rPr>
            <w:noProof/>
            <w:lang w:val="es-ES"/>
          </w:rPr>
          <w:t>8</w:t>
        </w:r>
        <w:r>
          <w:fldChar w:fldCharType="end"/>
        </w:r>
      </w:p>
    </w:sdtContent>
  </w:sdt>
  <w:p w14:paraId="613A30F1" w14:textId="77777777" w:rsidR="00A63074" w:rsidRDefault="00A63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513C" w14:textId="77777777" w:rsidR="00683935" w:rsidRDefault="00683935" w:rsidP="0017396C">
      <w:r>
        <w:separator/>
      </w:r>
    </w:p>
  </w:footnote>
  <w:footnote w:type="continuationSeparator" w:id="0">
    <w:p w14:paraId="5C58C234" w14:textId="77777777" w:rsidR="00683935" w:rsidRDefault="00683935" w:rsidP="0017396C">
      <w:r>
        <w:continuationSeparator/>
      </w:r>
    </w:p>
  </w:footnote>
  <w:footnote w:id="1">
    <w:p w14:paraId="3028C186" w14:textId="3C758F1F" w:rsidR="007204C1" w:rsidRPr="00223459" w:rsidRDefault="007204C1" w:rsidP="0017396C">
      <w:pPr>
        <w:pStyle w:val="Default"/>
        <w:ind w:left="0"/>
        <w:rPr>
          <w:sz w:val="16"/>
          <w:szCs w:val="16"/>
          <w:lang w:val="es-ES"/>
        </w:rPr>
      </w:pPr>
      <w:r w:rsidRPr="00223459">
        <w:rPr>
          <w:rStyle w:val="Refdenotaalpie"/>
          <w:color w:val="auto"/>
          <w:sz w:val="16"/>
          <w:szCs w:val="16"/>
        </w:rPr>
        <w:sym w:font="Symbol" w:char="F02A"/>
      </w:r>
      <w:r w:rsidRPr="00223459">
        <w:rPr>
          <w:sz w:val="16"/>
          <w:szCs w:val="16"/>
          <w:lang w:val="es-ES"/>
        </w:rPr>
        <w:t xml:space="preserve"> </w:t>
      </w:r>
      <w:r w:rsidRPr="00223459">
        <w:rPr>
          <w:sz w:val="16"/>
          <w:szCs w:val="16"/>
          <w:lang w:val="es-ES"/>
        </w:rPr>
        <w:tab/>
        <w:t xml:space="preserve">Integrada por los siguientes jueces: Humberto Antonio Sierra Porto, Presidente; Roberto F. Caldas, Vicepresidente; Manuel E. Ventura Robles, Juez; </w:t>
      </w:r>
      <w:r w:rsidRPr="00223459">
        <w:rPr>
          <w:rFonts w:cs="Microsoft Sans Serif"/>
          <w:spacing w:val="-4"/>
          <w:sz w:val="16"/>
          <w:szCs w:val="16"/>
          <w:lang w:val="es-PR"/>
        </w:rPr>
        <w:t>Diego García-Sayán, Juez;</w:t>
      </w:r>
      <w:r w:rsidRPr="00223459">
        <w:rPr>
          <w:sz w:val="16"/>
          <w:szCs w:val="16"/>
          <w:lang w:val="es-ES"/>
        </w:rPr>
        <w:t xml:space="preserve"> Alberto Pérez </w:t>
      </w:r>
      <w:proofErr w:type="spellStart"/>
      <w:r w:rsidRPr="00223459">
        <w:rPr>
          <w:sz w:val="16"/>
          <w:szCs w:val="16"/>
          <w:lang w:val="es-ES"/>
        </w:rPr>
        <w:t>Pérez</w:t>
      </w:r>
      <w:proofErr w:type="spellEnd"/>
      <w:r w:rsidRPr="00223459">
        <w:rPr>
          <w:sz w:val="16"/>
          <w:szCs w:val="16"/>
          <w:lang w:val="es-ES"/>
        </w:rPr>
        <w:t>, Juez; Eduardo Vio Grossi, Juez, y Eduardo Ferrer Mac-</w:t>
      </w:r>
      <w:proofErr w:type="spellStart"/>
      <w:r w:rsidRPr="00223459">
        <w:rPr>
          <w:sz w:val="16"/>
          <w:szCs w:val="16"/>
          <w:lang w:val="es-ES"/>
        </w:rPr>
        <w:t>Gregor</w:t>
      </w:r>
      <w:proofErr w:type="spellEnd"/>
      <w:r w:rsidRPr="00223459">
        <w:rPr>
          <w:sz w:val="16"/>
          <w:szCs w:val="16"/>
          <w:lang w:val="es-ES"/>
        </w:rPr>
        <w:t xml:space="preserve"> </w:t>
      </w:r>
      <w:proofErr w:type="spellStart"/>
      <w:r w:rsidRPr="00223459">
        <w:rPr>
          <w:sz w:val="16"/>
          <w:szCs w:val="16"/>
          <w:lang w:val="es-ES"/>
        </w:rPr>
        <w:t>Poisot</w:t>
      </w:r>
      <w:proofErr w:type="spellEnd"/>
      <w:r w:rsidRPr="00223459">
        <w:rPr>
          <w:sz w:val="16"/>
          <w:szCs w:val="16"/>
          <w:lang w:val="es-ES"/>
        </w:rPr>
        <w:t>, Juez. Presentes, además, el Secretario del Tribunal Pablo Saavedra Alessandri y la Secretaria Adjunta Emilia Segares Rodríguez.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E9E"/>
    <w:multiLevelType w:val="hybridMultilevel"/>
    <w:tmpl w:val="B5341A8C"/>
    <w:lvl w:ilvl="0" w:tplc="AD4CDA26">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A31338"/>
    <w:multiLevelType w:val="hybridMultilevel"/>
    <w:tmpl w:val="10D28E8A"/>
    <w:lvl w:ilvl="0" w:tplc="D0ECA2D4">
      <w:start w:val="1"/>
      <w:numFmt w:val="upperRoman"/>
      <w:lvlText w:val="%1."/>
      <w:lvlJc w:val="left"/>
      <w:pPr>
        <w:ind w:left="1080" w:hanging="720"/>
      </w:pPr>
      <w:rPr>
        <w:rFonts w:eastAsiaTheme="minorHAnsi" w:cs="Verdana" w:hint="default"/>
        <w:b/>
        <w:color w:val="000000"/>
      </w:rPr>
    </w:lvl>
    <w:lvl w:ilvl="1" w:tplc="9DD683E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81E8C"/>
    <w:multiLevelType w:val="hybridMultilevel"/>
    <w:tmpl w:val="0A74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1899"/>
    <w:multiLevelType w:val="hybridMultilevel"/>
    <w:tmpl w:val="D2C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E0D86"/>
    <w:multiLevelType w:val="hybridMultilevel"/>
    <w:tmpl w:val="0E9CC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27599"/>
    <w:multiLevelType w:val="hybridMultilevel"/>
    <w:tmpl w:val="230CD3CC"/>
    <w:lvl w:ilvl="0" w:tplc="D46A69C8">
      <w:start w:val="1"/>
      <w:numFmt w:val="decimal"/>
      <w:lvlText w:val="%1."/>
      <w:lvlJc w:val="left"/>
      <w:pPr>
        <w:ind w:left="360" w:hanging="360"/>
      </w:pPr>
      <w:rPr>
        <w:rFonts w:ascii="Verdana" w:eastAsia="Times New Roman" w:hAnsi="Verdana" w:cs="Times New Roman" w:hint="default"/>
        <w:b w:val="0"/>
        <w:i w:val="0"/>
        <w:color w:val="auto"/>
        <w:w w:val="10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D1A3444"/>
    <w:multiLevelType w:val="hybridMultilevel"/>
    <w:tmpl w:val="7E54DA7A"/>
    <w:lvl w:ilvl="0" w:tplc="674423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C"/>
    <w:rsid w:val="000001AD"/>
    <w:rsid w:val="00007027"/>
    <w:rsid w:val="0000703B"/>
    <w:rsid w:val="00016258"/>
    <w:rsid w:val="00030966"/>
    <w:rsid w:val="00032218"/>
    <w:rsid w:val="0004343C"/>
    <w:rsid w:val="00063A48"/>
    <w:rsid w:val="00084C7E"/>
    <w:rsid w:val="000974D2"/>
    <w:rsid w:val="000A6E5D"/>
    <w:rsid w:val="000A7409"/>
    <w:rsid w:val="000C0A37"/>
    <w:rsid w:val="000C1443"/>
    <w:rsid w:val="000C25A7"/>
    <w:rsid w:val="000D3F32"/>
    <w:rsid w:val="000E217C"/>
    <w:rsid w:val="000F1FA1"/>
    <w:rsid w:val="00111F05"/>
    <w:rsid w:val="00116343"/>
    <w:rsid w:val="00117F6B"/>
    <w:rsid w:val="00141BB6"/>
    <w:rsid w:val="00145B9D"/>
    <w:rsid w:val="00161340"/>
    <w:rsid w:val="0017396C"/>
    <w:rsid w:val="001B36D5"/>
    <w:rsid w:val="001C187C"/>
    <w:rsid w:val="001C6FCB"/>
    <w:rsid w:val="001F2985"/>
    <w:rsid w:val="00207C0E"/>
    <w:rsid w:val="00212BC1"/>
    <w:rsid w:val="00215526"/>
    <w:rsid w:val="00217840"/>
    <w:rsid w:val="00223459"/>
    <w:rsid w:val="00244187"/>
    <w:rsid w:val="00246CC6"/>
    <w:rsid w:val="00261460"/>
    <w:rsid w:val="002C0A11"/>
    <w:rsid w:val="002C132D"/>
    <w:rsid w:val="002C2B32"/>
    <w:rsid w:val="002D310D"/>
    <w:rsid w:val="00300EDB"/>
    <w:rsid w:val="00320E9F"/>
    <w:rsid w:val="00326A82"/>
    <w:rsid w:val="00343E41"/>
    <w:rsid w:val="00370B37"/>
    <w:rsid w:val="00380111"/>
    <w:rsid w:val="0039697A"/>
    <w:rsid w:val="003972F4"/>
    <w:rsid w:val="003C3D5A"/>
    <w:rsid w:val="003C5BDD"/>
    <w:rsid w:val="003D7583"/>
    <w:rsid w:val="003E199D"/>
    <w:rsid w:val="003E36EC"/>
    <w:rsid w:val="003E520D"/>
    <w:rsid w:val="003F122F"/>
    <w:rsid w:val="004017CE"/>
    <w:rsid w:val="004053E6"/>
    <w:rsid w:val="00434C30"/>
    <w:rsid w:val="00434F58"/>
    <w:rsid w:val="00444CE3"/>
    <w:rsid w:val="00456ED4"/>
    <w:rsid w:val="00464A6D"/>
    <w:rsid w:val="00477858"/>
    <w:rsid w:val="00483B68"/>
    <w:rsid w:val="004859C8"/>
    <w:rsid w:val="004938CF"/>
    <w:rsid w:val="004A149E"/>
    <w:rsid w:val="004A1F16"/>
    <w:rsid w:val="004A6791"/>
    <w:rsid w:val="004A78C0"/>
    <w:rsid w:val="004B6FD9"/>
    <w:rsid w:val="004C197A"/>
    <w:rsid w:val="004C746B"/>
    <w:rsid w:val="004E0432"/>
    <w:rsid w:val="004E68E8"/>
    <w:rsid w:val="004F7323"/>
    <w:rsid w:val="005215CC"/>
    <w:rsid w:val="00525C5A"/>
    <w:rsid w:val="0056006D"/>
    <w:rsid w:val="005A22AB"/>
    <w:rsid w:val="005A34D8"/>
    <w:rsid w:val="005D11FF"/>
    <w:rsid w:val="005D14DE"/>
    <w:rsid w:val="005E5B97"/>
    <w:rsid w:val="005F122B"/>
    <w:rsid w:val="005F385E"/>
    <w:rsid w:val="00602B37"/>
    <w:rsid w:val="006265DC"/>
    <w:rsid w:val="006407C1"/>
    <w:rsid w:val="00653482"/>
    <w:rsid w:val="00657E6D"/>
    <w:rsid w:val="006823ED"/>
    <w:rsid w:val="00683935"/>
    <w:rsid w:val="00685704"/>
    <w:rsid w:val="006C37F5"/>
    <w:rsid w:val="007064D9"/>
    <w:rsid w:val="007204C1"/>
    <w:rsid w:val="00721AA0"/>
    <w:rsid w:val="00725EE1"/>
    <w:rsid w:val="00730BF6"/>
    <w:rsid w:val="00736222"/>
    <w:rsid w:val="0073647C"/>
    <w:rsid w:val="0075484D"/>
    <w:rsid w:val="007573E6"/>
    <w:rsid w:val="007704D9"/>
    <w:rsid w:val="007832C3"/>
    <w:rsid w:val="00785FCE"/>
    <w:rsid w:val="00790FC1"/>
    <w:rsid w:val="00797A38"/>
    <w:rsid w:val="007A34F8"/>
    <w:rsid w:val="007C5B10"/>
    <w:rsid w:val="007D75E9"/>
    <w:rsid w:val="007E2E11"/>
    <w:rsid w:val="00805F0B"/>
    <w:rsid w:val="00817E83"/>
    <w:rsid w:val="008235B4"/>
    <w:rsid w:val="008246CA"/>
    <w:rsid w:val="00824F57"/>
    <w:rsid w:val="00825DDA"/>
    <w:rsid w:val="00827E51"/>
    <w:rsid w:val="008A5F6C"/>
    <w:rsid w:val="008B073B"/>
    <w:rsid w:val="008B7E28"/>
    <w:rsid w:val="008C2F16"/>
    <w:rsid w:val="008D3CB8"/>
    <w:rsid w:val="008D6444"/>
    <w:rsid w:val="008E391D"/>
    <w:rsid w:val="00910D76"/>
    <w:rsid w:val="00940103"/>
    <w:rsid w:val="0095108C"/>
    <w:rsid w:val="009B4F96"/>
    <w:rsid w:val="009C70E5"/>
    <w:rsid w:val="009E4543"/>
    <w:rsid w:val="009E4550"/>
    <w:rsid w:val="009E494A"/>
    <w:rsid w:val="00A071F9"/>
    <w:rsid w:val="00A246BB"/>
    <w:rsid w:val="00A25DDE"/>
    <w:rsid w:val="00A33B87"/>
    <w:rsid w:val="00A52DCC"/>
    <w:rsid w:val="00A6084B"/>
    <w:rsid w:val="00A62CF6"/>
    <w:rsid w:val="00A63074"/>
    <w:rsid w:val="00A76643"/>
    <w:rsid w:val="00A767D5"/>
    <w:rsid w:val="00A77DBC"/>
    <w:rsid w:val="00A77F96"/>
    <w:rsid w:val="00A94C53"/>
    <w:rsid w:val="00AA3A5D"/>
    <w:rsid w:val="00AB3706"/>
    <w:rsid w:val="00AB508D"/>
    <w:rsid w:val="00AC5930"/>
    <w:rsid w:val="00AC764C"/>
    <w:rsid w:val="00AF355B"/>
    <w:rsid w:val="00AF3EE0"/>
    <w:rsid w:val="00B009B0"/>
    <w:rsid w:val="00B456BC"/>
    <w:rsid w:val="00B56192"/>
    <w:rsid w:val="00B652C5"/>
    <w:rsid w:val="00B84047"/>
    <w:rsid w:val="00B9310E"/>
    <w:rsid w:val="00B96005"/>
    <w:rsid w:val="00BA65E5"/>
    <w:rsid w:val="00BB6BFE"/>
    <w:rsid w:val="00BD2EC2"/>
    <w:rsid w:val="00C36600"/>
    <w:rsid w:val="00C57F51"/>
    <w:rsid w:val="00C57F90"/>
    <w:rsid w:val="00C8199F"/>
    <w:rsid w:val="00C86F4A"/>
    <w:rsid w:val="00C90D79"/>
    <w:rsid w:val="00CC6598"/>
    <w:rsid w:val="00CD787B"/>
    <w:rsid w:val="00CE2CC2"/>
    <w:rsid w:val="00D2066D"/>
    <w:rsid w:val="00D268C3"/>
    <w:rsid w:val="00D270F6"/>
    <w:rsid w:val="00D465EC"/>
    <w:rsid w:val="00D5134C"/>
    <w:rsid w:val="00D602F6"/>
    <w:rsid w:val="00D620D3"/>
    <w:rsid w:val="00D74EA5"/>
    <w:rsid w:val="00D84218"/>
    <w:rsid w:val="00D87299"/>
    <w:rsid w:val="00D95449"/>
    <w:rsid w:val="00DB258B"/>
    <w:rsid w:val="00DC0DB3"/>
    <w:rsid w:val="00DC5B8C"/>
    <w:rsid w:val="00DE7AC1"/>
    <w:rsid w:val="00E06D71"/>
    <w:rsid w:val="00E10C6E"/>
    <w:rsid w:val="00E24D19"/>
    <w:rsid w:val="00E37C11"/>
    <w:rsid w:val="00E4064D"/>
    <w:rsid w:val="00E42199"/>
    <w:rsid w:val="00E54E8D"/>
    <w:rsid w:val="00E57D3A"/>
    <w:rsid w:val="00E61603"/>
    <w:rsid w:val="00E739DD"/>
    <w:rsid w:val="00E74FEC"/>
    <w:rsid w:val="00E82209"/>
    <w:rsid w:val="00E85F4E"/>
    <w:rsid w:val="00E97983"/>
    <w:rsid w:val="00EA60E3"/>
    <w:rsid w:val="00EA625A"/>
    <w:rsid w:val="00EA73C7"/>
    <w:rsid w:val="00EB190E"/>
    <w:rsid w:val="00EC2A80"/>
    <w:rsid w:val="00ED30C9"/>
    <w:rsid w:val="00EE6943"/>
    <w:rsid w:val="00F20EAF"/>
    <w:rsid w:val="00F74E09"/>
    <w:rsid w:val="00F77B5F"/>
    <w:rsid w:val="00F924E9"/>
    <w:rsid w:val="00FB10F7"/>
    <w:rsid w:val="00FB55E9"/>
    <w:rsid w:val="00FB7B1F"/>
    <w:rsid w:val="00FE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C0FF"/>
  <w15:docId w15:val="{1EC40D67-17DA-4775-9B2D-557E086A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6C"/>
    <w:pPr>
      <w:spacing w:after="0" w:line="240" w:lineRule="auto"/>
    </w:pPr>
    <w:rPr>
      <w:rFonts w:ascii="Times New Roman" w:eastAsia="Times New Roman" w:hAnsi="Times New Roman" w:cs="Times New Roman"/>
      <w:sz w:val="24"/>
      <w:szCs w:val="24"/>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17396C"/>
    <w:pPr>
      <w:spacing w:after="0" w:line="240" w:lineRule="auto"/>
      <w:outlineLvl w:val="0"/>
    </w:pPr>
    <w:rPr>
      <w:rFonts w:ascii="Helvetica" w:eastAsia="ヒラギノ角ゴ Pro W3" w:hAnsi="Helvetica" w:cs="Times New Roman"/>
      <w:color w:val="000000"/>
      <w:sz w:val="24"/>
      <w:szCs w:val="20"/>
      <w:lang w:eastAsia="es-MX"/>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qFormat/>
    <w:rsid w:val="0017396C"/>
    <w:rPr>
      <w:rFonts w:cs="Times New Roman"/>
      <w:vertAlign w:val="superscript"/>
    </w:rPr>
  </w:style>
  <w:style w:type="paragraph" w:customStyle="1" w:styleId="Default">
    <w:name w:val="Default"/>
    <w:rsid w:val="0017396C"/>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customStyle="1" w:styleId="PrrafodeSentencia">
    <w:name w:val="*. Párrafo de Sentencia"/>
    <w:link w:val="PrrafodeSentenciaChar"/>
    <w:autoRedefine/>
    <w:qFormat/>
    <w:rsid w:val="007064D9"/>
    <w:pPr>
      <w:spacing w:after="0" w:line="240" w:lineRule="auto"/>
      <w:jc w:val="both"/>
    </w:pPr>
    <w:rPr>
      <w:rFonts w:ascii="Verdana" w:eastAsia="Batang" w:hAnsi="Verdana" w:cs="Times New Roman"/>
      <w:color w:val="000000" w:themeColor="text1"/>
      <w:sz w:val="20"/>
      <w:szCs w:val="20"/>
      <w:lang w:val="es-CL" w:eastAsia="es-CR"/>
    </w:rPr>
  </w:style>
  <w:style w:type="character" w:customStyle="1" w:styleId="PrrafodeSentenciaChar">
    <w:name w:val="*. Párrafo de Sentencia Char"/>
    <w:link w:val="PrrafodeSentencia"/>
    <w:rsid w:val="007064D9"/>
    <w:rPr>
      <w:rFonts w:ascii="Verdana" w:eastAsia="Batang" w:hAnsi="Verdana" w:cs="Times New Roman"/>
      <w:color w:val="000000" w:themeColor="text1"/>
      <w:sz w:val="20"/>
      <w:szCs w:val="20"/>
      <w:lang w:val="es-CL" w:eastAsia="es-CR"/>
    </w:rPr>
  </w:style>
  <w:style w:type="paragraph" w:styleId="Textodeglobo">
    <w:name w:val="Balloon Text"/>
    <w:basedOn w:val="Normal"/>
    <w:link w:val="TextodegloboCar"/>
    <w:uiPriority w:val="99"/>
    <w:semiHidden/>
    <w:unhideWhenUsed/>
    <w:rsid w:val="00790FC1"/>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FC1"/>
    <w:rPr>
      <w:rFonts w:ascii="Tahoma" w:eastAsia="Times New Roman" w:hAnsi="Tahoma" w:cs="Tahoma"/>
      <w:sz w:val="16"/>
      <w:szCs w:val="16"/>
      <w:lang w:val="es-CR"/>
    </w:rPr>
  </w:style>
  <w:style w:type="paragraph" w:styleId="Prrafodelista">
    <w:name w:val="List Paragraph"/>
    <w:basedOn w:val="Normal"/>
    <w:link w:val="PrrafodelistaCar"/>
    <w:uiPriority w:val="34"/>
    <w:qFormat/>
    <w:rsid w:val="00434F58"/>
    <w:pPr>
      <w:ind w:left="720"/>
      <w:contextualSpacing/>
    </w:pPr>
  </w:style>
  <w:style w:type="character" w:styleId="Hipervnculo">
    <w:name w:val="Hyperlink"/>
    <w:aliases w:val="Heading 3 caso"/>
    <w:uiPriority w:val="99"/>
    <w:unhideWhenUsed/>
    <w:rsid w:val="008E391D"/>
    <w:rPr>
      <w:color w:val="0000FF"/>
      <w:u w:val="single"/>
    </w:rPr>
  </w:style>
  <w:style w:type="paragraph" w:styleId="Textonotapie">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TextonotapieCar1"/>
    <w:qFormat/>
    <w:rsid w:val="004C746B"/>
    <w:rPr>
      <w:sz w:val="20"/>
      <w:szCs w:val="20"/>
      <w:lang w:val="es-MX" w:eastAsia="x-none"/>
    </w:rPr>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basedOn w:val="Fuentedeprrafopredeter"/>
    <w:link w:val="Textonotapie"/>
    <w:rsid w:val="004C746B"/>
    <w:rPr>
      <w:rFonts w:ascii="Times New Roman" w:eastAsia="Times New Roman" w:hAnsi="Times New Roman" w:cs="Times New Roman"/>
      <w:sz w:val="20"/>
      <w:szCs w:val="20"/>
      <w:lang w:val="es-MX" w:eastAsia="x-none"/>
    </w:rPr>
  </w:style>
  <w:style w:type="character" w:styleId="Refdecomentario">
    <w:name w:val="annotation reference"/>
    <w:unhideWhenUsed/>
    <w:rsid w:val="0004343C"/>
    <w:rPr>
      <w:sz w:val="16"/>
      <w:szCs w:val="16"/>
    </w:rPr>
  </w:style>
  <w:style w:type="paragraph" w:styleId="Textocomentario">
    <w:name w:val="annotation text"/>
    <w:basedOn w:val="Normal"/>
    <w:link w:val="TextocomentarioCar"/>
    <w:unhideWhenUsed/>
    <w:rsid w:val="0004343C"/>
    <w:pPr>
      <w:spacing w:after="200"/>
    </w:pPr>
    <w:rPr>
      <w:rFonts w:ascii="Calibri" w:hAnsi="Calibri"/>
      <w:sz w:val="20"/>
      <w:szCs w:val="20"/>
      <w:lang w:eastAsia="es-CR"/>
    </w:rPr>
  </w:style>
  <w:style w:type="character" w:customStyle="1" w:styleId="TextocomentarioCar">
    <w:name w:val="Texto comentario Car"/>
    <w:basedOn w:val="Fuentedeprrafopredeter"/>
    <w:link w:val="Textocomentario"/>
    <w:rsid w:val="0004343C"/>
    <w:rPr>
      <w:rFonts w:ascii="Calibri" w:eastAsia="Times New Roman" w:hAnsi="Calibri" w:cs="Times New Roman"/>
      <w:sz w:val="20"/>
      <w:szCs w:val="20"/>
      <w:lang w:val="es-CR" w:eastAsia="es-CR"/>
    </w:rPr>
  </w:style>
  <w:style w:type="paragraph" w:styleId="Encabezado">
    <w:name w:val="header"/>
    <w:basedOn w:val="Normal"/>
    <w:link w:val="EncabezadoCar"/>
    <w:uiPriority w:val="99"/>
    <w:unhideWhenUsed/>
    <w:rsid w:val="00016258"/>
    <w:pPr>
      <w:tabs>
        <w:tab w:val="center" w:pos="4680"/>
        <w:tab w:val="right" w:pos="9360"/>
      </w:tabs>
    </w:pPr>
    <w:rPr>
      <w:rFonts w:ascii="Calibri" w:hAnsi="Calibri"/>
      <w:sz w:val="22"/>
      <w:szCs w:val="22"/>
    </w:rPr>
  </w:style>
  <w:style w:type="character" w:customStyle="1" w:styleId="EncabezadoCar">
    <w:name w:val="Encabezado Car"/>
    <w:basedOn w:val="Fuentedeprrafopredeter"/>
    <w:link w:val="Encabezado"/>
    <w:uiPriority w:val="99"/>
    <w:rsid w:val="00016258"/>
    <w:rPr>
      <w:rFonts w:ascii="Calibri" w:eastAsia="Times New Roman" w:hAnsi="Calibri" w:cs="Times New Roman"/>
      <w:lang w:val="es-CR"/>
    </w:rPr>
  </w:style>
  <w:style w:type="paragraph" w:styleId="NormalWeb">
    <w:name w:val="Normal (Web)"/>
    <w:basedOn w:val="Normal"/>
    <w:uiPriority w:val="99"/>
    <w:unhideWhenUsed/>
    <w:rsid w:val="00FB55E9"/>
    <w:pPr>
      <w:widowControl w:val="0"/>
      <w:spacing w:after="200" w:line="276" w:lineRule="auto"/>
    </w:pPr>
    <w:rPr>
      <w:rFonts w:eastAsia="Calibri"/>
      <w:lang w:val="en-US"/>
    </w:rPr>
  </w:style>
  <w:style w:type="character" w:styleId="Textoennegrita">
    <w:name w:val="Strong"/>
    <w:uiPriority w:val="22"/>
    <w:qFormat/>
    <w:rsid w:val="00805F0B"/>
    <w:rPr>
      <w:b/>
      <w:bCs/>
    </w:rPr>
  </w:style>
  <w:style w:type="character" w:customStyle="1" w:styleId="PrrafodelistaCar">
    <w:name w:val="Párrafo de lista Car"/>
    <w:link w:val="Prrafodelista"/>
    <w:uiPriority w:val="34"/>
    <w:locked/>
    <w:rsid w:val="00602B37"/>
    <w:rPr>
      <w:rFonts w:ascii="Times New Roman" w:eastAsia="Times New Roman" w:hAnsi="Times New Roman" w:cs="Times New Roman"/>
      <w:sz w:val="24"/>
      <w:szCs w:val="24"/>
      <w:lang w:val="es-CR"/>
    </w:rPr>
  </w:style>
  <w:style w:type="paragraph" w:styleId="Asuntodelcomentario">
    <w:name w:val="annotation subject"/>
    <w:basedOn w:val="Textocomentario"/>
    <w:next w:val="Textocomentario"/>
    <w:link w:val="AsuntodelcomentarioCar"/>
    <w:uiPriority w:val="99"/>
    <w:semiHidden/>
    <w:unhideWhenUsed/>
    <w:rsid w:val="007064D9"/>
    <w:pPr>
      <w:spacing w:after="0"/>
    </w:pPr>
    <w:rPr>
      <w:rFonts w:ascii="Times New Roman" w:hAnsi="Times New Roman"/>
      <w:b/>
      <w:bCs/>
      <w:lang w:eastAsia="en-US"/>
    </w:rPr>
  </w:style>
  <w:style w:type="character" w:customStyle="1" w:styleId="AsuntodelcomentarioCar">
    <w:name w:val="Asunto del comentario Car"/>
    <w:basedOn w:val="TextocomentarioCar"/>
    <w:link w:val="Asuntodelcomentario"/>
    <w:uiPriority w:val="99"/>
    <w:semiHidden/>
    <w:rsid w:val="007064D9"/>
    <w:rPr>
      <w:rFonts w:ascii="Times New Roman" w:eastAsia="Times New Roman" w:hAnsi="Times New Roman" w:cs="Times New Roman"/>
      <w:b/>
      <w:bCs/>
      <w:sz w:val="20"/>
      <w:szCs w:val="20"/>
      <w:lang w:val="es-CR" w:eastAsia="es-CR"/>
    </w:rPr>
  </w:style>
  <w:style w:type="paragraph" w:customStyle="1" w:styleId="ColorfulList-Accent11">
    <w:name w:val="Colorful List - Accent 11"/>
    <w:aliases w:val="Párrafo de lista1,List Paragraph1,List Paragraph2"/>
    <w:basedOn w:val="Normal"/>
    <w:link w:val="ColorfulList-Accent1Char"/>
    <w:uiPriority w:val="99"/>
    <w:qFormat/>
    <w:rsid w:val="008B073B"/>
    <w:pPr>
      <w:spacing w:after="200" w:line="276" w:lineRule="auto"/>
      <w:ind w:left="720"/>
      <w:contextualSpacing/>
    </w:pPr>
    <w:rPr>
      <w:rFonts w:ascii="Calibri" w:hAnsi="Calibri"/>
      <w:sz w:val="20"/>
      <w:szCs w:val="20"/>
      <w:lang w:eastAsia="es-CR"/>
    </w:rPr>
  </w:style>
  <w:style w:type="character" w:customStyle="1" w:styleId="ColorfulList-Accent1Char">
    <w:name w:val="Colorful List - Accent 1 Char"/>
    <w:aliases w:val="Párrafo de lista1 Char,List Paragraph1 Char,List Paragraph2 Char"/>
    <w:link w:val="ColorfulList-Accent11"/>
    <w:uiPriority w:val="99"/>
    <w:rsid w:val="008B073B"/>
    <w:rPr>
      <w:rFonts w:ascii="Calibri" w:eastAsia="Times New Roman" w:hAnsi="Calibri" w:cs="Times New Roman"/>
      <w:sz w:val="20"/>
      <w:szCs w:val="20"/>
      <w:lang w:val="es-CR" w:eastAsia="es-CR"/>
    </w:rPr>
  </w:style>
  <w:style w:type="paragraph" w:styleId="Revisin">
    <w:name w:val="Revision"/>
    <w:hidden/>
    <w:uiPriority w:val="99"/>
    <w:semiHidden/>
    <w:rsid w:val="005D14DE"/>
    <w:pPr>
      <w:spacing w:after="0" w:line="240" w:lineRule="auto"/>
    </w:pPr>
    <w:rPr>
      <w:rFonts w:ascii="Times New Roman" w:eastAsia="Times New Roman" w:hAnsi="Times New Roman" w:cs="Times New Roman"/>
      <w:sz w:val="24"/>
      <w:szCs w:val="24"/>
      <w:lang w:val="es-CR"/>
    </w:rPr>
  </w:style>
  <w:style w:type="paragraph" w:styleId="Piedepgina">
    <w:name w:val="footer"/>
    <w:basedOn w:val="Normal"/>
    <w:link w:val="PiedepginaCar"/>
    <w:uiPriority w:val="99"/>
    <w:unhideWhenUsed/>
    <w:rsid w:val="00A63074"/>
    <w:pPr>
      <w:tabs>
        <w:tab w:val="center" w:pos="4419"/>
        <w:tab w:val="right" w:pos="8838"/>
      </w:tabs>
    </w:pPr>
  </w:style>
  <w:style w:type="character" w:customStyle="1" w:styleId="PiedepginaCar">
    <w:name w:val="Pie de página Car"/>
    <w:basedOn w:val="Fuentedeprrafopredeter"/>
    <w:link w:val="Piedepgina"/>
    <w:uiPriority w:val="99"/>
    <w:rsid w:val="00A63074"/>
    <w:rPr>
      <w:rFonts w:ascii="Times New Roman" w:eastAsia="Times New Roman" w:hAnsi="Times New Roman" w:cs="Times New Roman"/>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CED1-9E4B-4B3C-8095-02F6E28B709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7402FE-ED65-4054-B4E4-3A9B4F7E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9912FD-1E94-4DB7-BC01-FA6CECC38E34}">
  <ds:schemaRefs>
    <ds:schemaRef ds:uri="http://schemas.microsoft.com/sharepoint/v3/contenttype/forms"/>
  </ds:schemaRefs>
</ds:datastoreItem>
</file>

<file path=customXml/itemProps4.xml><?xml version="1.0" encoding="utf-8"?>
<ds:datastoreItem xmlns:ds="http://schemas.openxmlformats.org/officeDocument/2006/customXml" ds:itemID="{268D1191-F603-4EF0-B56F-9C9A9A0B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4749</Words>
  <Characters>26121</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2015-12-18T23:45:00Z</cp:lastPrinted>
  <dcterms:created xsi:type="dcterms:W3CDTF">2019-08-27T18:46:00Z</dcterms:created>
  <dcterms:modified xsi:type="dcterms:W3CDTF">2019-08-27T18:46:00Z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