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0394" w14:textId="77777777" w:rsidR="006B41DD" w:rsidRDefault="006B41DD" w:rsidP="000B482D">
      <w:pPr>
        <w:spacing w:after="0" w:line="240" w:lineRule="auto"/>
        <w:jc w:val="center"/>
        <w:rPr>
          <w:rFonts w:ascii="Verdana" w:hAnsi="Verdana"/>
          <w:b/>
          <w:snapToGrid w:val="0"/>
          <w:sz w:val="20"/>
          <w:szCs w:val="20"/>
          <w:lang w:val="es-ES"/>
        </w:rPr>
      </w:pPr>
      <w:bookmarkStart w:id="0" w:name="_GoBack"/>
      <w:bookmarkEnd w:id="0"/>
    </w:p>
    <w:p w14:paraId="3D49FCD0" w14:textId="77777777" w:rsidR="006B41DD" w:rsidRDefault="006B41DD" w:rsidP="000B482D">
      <w:pPr>
        <w:spacing w:after="0" w:line="240" w:lineRule="auto"/>
        <w:jc w:val="center"/>
        <w:rPr>
          <w:rFonts w:ascii="Verdana" w:hAnsi="Verdana"/>
          <w:b/>
          <w:snapToGrid w:val="0"/>
          <w:sz w:val="20"/>
          <w:szCs w:val="20"/>
          <w:lang w:val="es-ES"/>
        </w:rPr>
      </w:pPr>
    </w:p>
    <w:p w14:paraId="5A748C4E" w14:textId="77777777" w:rsidR="006B41DD" w:rsidRDefault="006B41DD" w:rsidP="000B482D">
      <w:pPr>
        <w:spacing w:after="0" w:line="240" w:lineRule="auto"/>
        <w:jc w:val="center"/>
        <w:rPr>
          <w:rFonts w:ascii="Verdana" w:hAnsi="Verdana"/>
          <w:b/>
          <w:snapToGrid w:val="0"/>
          <w:sz w:val="20"/>
          <w:szCs w:val="20"/>
          <w:lang w:val="es-ES"/>
        </w:rPr>
      </w:pPr>
    </w:p>
    <w:p w14:paraId="443776E2" w14:textId="77777777" w:rsidR="006B41DD" w:rsidRDefault="006B41DD" w:rsidP="000B482D">
      <w:pPr>
        <w:spacing w:after="0" w:line="240" w:lineRule="auto"/>
        <w:jc w:val="center"/>
        <w:rPr>
          <w:rFonts w:ascii="Verdana" w:hAnsi="Verdana"/>
          <w:b/>
          <w:snapToGrid w:val="0"/>
          <w:sz w:val="20"/>
          <w:szCs w:val="20"/>
          <w:lang w:val="es-ES"/>
        </w:rPr>
      </w:pPr>
    </w:p>
    <w:p w14:paraId="1ED8A12F" w14:textId="77777777" w:rsidR="006B41DD" w:rsidRDefault="006B41DD" w:rsidP="000B482D">
      <w:pPr>
        <w:spacing w:after="0" w:line="240" w:lineRule="auto"/>
        <w:jc w:val="center"/>
        <w:rPr>
          <w:rFonts w:ascii="Verdana" w:hAnsi="Verdana"/>
          <w:b/>
          <w:snapToGrid w:val="0"/>
          <w:sz w:val="20"/>
          <w:szCs w:val="20"/>
          <w:lang w:val="es-ES"/>
        </w:rPr>
      </w:pPr>
    </w:p>
    <w:p w14:paraId="77AC3CD2" w14:textId="77777777" w:rsidR="006B41DD" w:rsidRDefault="006B41DD" w:rsidP="000B482D">
      <w:pPr>
        <w:spacing w:after="0" w:line="240" w:lineRule="auto"/>
        <w:jc w:val="center"/>
        <w:rPr>
          <w:rFonts w:ascii="Verdana" w:hAnsi="Verdana"/>
          <w:b/>
          <w:snapToGrid w:val="0"/>
          <w:sz w:val="20"/>
          <w:szCs w:val="20"/>
          <w:lang w:val="es-ES"/>
        </w:rPr>
      </w:pPr>
    </w:p>
    <w:p w14:paraId="41155894" w14:textId="77777777" w:rsidR="00001198" w:rsidRPr="000B482D" w:rsidRDefault="00001198" w:rsidP="000B482D">
      <w:pPr>
        <w:spacing w:after="0" w:line="240" w:lineRule="auto"/>
        <w:jc w:val="center"/>
        <w:rPr>
          <w:rStyle w:val="FootnoteReference"/>
          <w:rFonts w:ascii="Verdana" w:hAnsi="Verdana"/>
          <w:b/>
          <w:snapToGrid w:val="0"/>
          <w:sz w:val="20"/>
          <w:szCs w:val="20"/>
          <w:lang w:val="es-ES"/>
        </w:rPr>
      </w:pPr>
      <w:r w:rsidRPr="000B482D">
        <w:rPr>
          <w:rFonts w:ascii="Verdana" w:hAnsi="Verdana"/>
          <w:b/>
          <w:snapToGrid w:val="0"/>
          <w:sz w:val="20"/>
          <w:szCs w:val="20"/>
          <w:lang w:val="es-ES"/>
        </w:rPr>
        <w:t>CORTE INTERAMERICANA DE DERECHOS HUMANOS</w:t>
      </w:r>
      <w:r w:rsidRPr="000B482D">
        <w:rPr>
          <w:rStyle w:val="FootnoteReference"/>
          <w:rFonts w:ascii="Verdana" w:hAnsi="Verdana"/>
          <w:b/>
          <w:snapToGrid w:val="0"/>
          <w:sz w:val="20"/>
          <w:szCs w:val="20"/>
          <w:lang w:val="es-ES"/>
        </w:rPr>
        <w:footnoteReference w:customMarkFollows="1" w:id="1"/>
        <w:sym w:font="Symbol" w:char="F02A"/>
      </w:r>
    </w:p>
    <w:p w14:paraId="6AF3FB8E" w14:textId="77777777" w:rsidR="00001198" w:rsidRPr="000B482D" w:rsidRDefault="00001198" w:rsidP="000B482D">
      <w:pPr>
        <w:spacing w:after="0" w:line="240" w:lineRule="auto"/>
        <w:jc w:val="center"/>
        <w:rPr>
          <w:rFonts w:ascii="Verdana" w:hAnsi="Verdana"/>
          <w:b/>
          <w:snapToGrid w:val="0"/>
          <w:sz w:val="20"/>
          <w:szCs w:val="20"/>
          <w:lang w:val="es-ES"/>
        </w:rPr>
      </w:pPr>
    </w:p>
    <w:p w14:paraId="2D0675F7" w14:textId="77777777" w:rsidR="00001198" w:rsidRPr="000B482D" w:rsidRDefault="00001198" w:rsidP="000B482D">
      <w:pPr>
        <w:spacing w:after="0" w:line="240" w:lineRule="auto"/>
        <w:jc w:val="center"/>
        <w:rPr>
          <w:rFonts w:ascii="Verdana" w:hAnsi="Verdana"/>
          <w:b/>
          <w:i/>
          <w:sz w:val="20"/>
          <w:szCs w:val="20"/>
        </w:rPr>
      </w:pPr>
      <w:r w:rsidRPr="000B482D">
        <w:rPr>
          <w:rFonts w:ascii="Verdana" w:hAnsi="Verdana"/>
          <w:b/>
          <w:i/>
          <w:sz w:val="20"/>
          <w:szCs w:val="20"/>
        </w:rPr>
        <w:t>CASO PUEBLOS KALIÑA Y LOKONO VS. SURINAM</w:t>
      </w:r>
    </w:p>
    <w:p w14:paraId="6BE8567A" w14:textId="77777777" w:rsidR="00001198" w:rsidRPr="000B482D" w:rsidRDefault="00001198" w:rsidP="000B482D">
      <w:pPr>
        <w:spacing w:after="0" w:line="240" w:lineRule="auto"/>
        <w:jc w:val="center"/>
        <w:rPr>
          <w:rFonts w:ascii="Verdana" w:hAnsi="Verdana"/>
          <w:b/>
          <w:sz w:val="20"/>
          <w:szCs w:val="20"/>
        </w:rPr>
      </w:pPr>
    </w:p>
    <w:p w14:paraId="4B4A66AD" w14:textId="77777777" w:rsidR="00001198" w:rsidRPr="000B482D" w:rsidRDefault="00001198" w:rsidP="000B482D">
      <w:pPr>
        <w:spacing w:after="0" w:line="240" w:lineRule="auto"/>
        <w:jc w:val="center"/>
        <w:rPr>
          <w:rFonts w:ascii="Verdana" w:hAnsi="Verdana"/>
          <w:b/>
          <w:bCs/>
          <w:sz w:val="20"/>
          <w:szCs w:val="20"/>
        </w:rPr>
      </w:pPr>
      <w:r w:rsidRPr="000B482D">
        <w:rPr>
          <w:rFonts w:ascii="Verdana" w:hAnsi="Verdana"/>
          <w:b/>
          <w:bCs/>
          <w:sz w:val="20"/>
          <w:szCs w:val="20"/>
        </w:rPr>
        <w:t>RESUMEN OFICIAL EMITIDO POR LA CORTE INTERAMERICANA</w:t>
      </w:r>
    </w:p>
    <w:p w14:paraId="0051EB52" w14:textId="77777777" w:rsidR="00001198" w:rsidRPr="000B482D" w:rsidRDefault="00001198" w:rsidP="000B482D">
      <w:pPr>
        <w:spacing w:after="0" w:line="240" w:lineRule="auto"/>
        <w:jc w:val="center"/>
        <w:rPr>
          <w:rFonts w:ascii="Verdana" w:hAnsi="Verdana"/>
          <w:b/>
          <w:bCs/>
          <w:sz w:val="20"/>
          <w:szCs w:val="20"/>
        </w:rPr>
      </w:pPr>
    </w:p>
    <w:p w14:paraId="61BD4E8D" w14:textId="77777777" w:rsidR="00001198" w:rsidRPr="000B482D" w:rsidRDefault="00001198" w:rsidP="000B482D">
      <w:pPr>
        <w:spacing w:after="0" w:line="240" w:lineRule="auto"/>
        <w:jc w:val="center"/>
        <w:rPr>
          <w:rFonts w:ascii="Verdana" w:hAnsi="Verdana"/>
          <w:b/>
          <w:sz w:val="20"/>
          <w:szCs w:val="20"/>
        </w:rPr>
      </w:pPr>
      <w:r w:rsidRPr="000B482D">
        <w:rPr>
          <w:rFonts w:ascii="Verdana" w:hAnsi="Verdana"/>
          <w:b/>
          <w:sz w:val="20"/>
          <w:szCs w:val="20"/>
        </w:rPr>
        <w:t>SENTENCIA DE 25 DE NOVIEMBRE DE 2015</w:t>
      </w:r>
    </w:p>
    <w:p w14:paraId="367B660B" w14:textId="77777777" w:rsidR="00001198" w:rsidRPr="000B482D" w:rsidRDefault="00001198" w:rsidP="000B482D">
      <w:pPr>
        <w:spacing w:after="0" w:line="240" w:lineRule="auto"/>
        <w:jc w:val="center"/>
        <w:rPr>
          <w:rFonts w:ascii="Verdana" w:hAnsi="Verdana"/>
          <w:b/>
          <w:sz w:val="20"/>
          <w:szCs w:val="20"/>
        </w:rPr>
      </w:pPr>
      <w:r w:rsidRPr="000B482D">
        <w:rPr>
          <w:rFonts w:ascii="Verdana" w:hAnsi="Verdana"/>
          <w:b/>
          <w:i/>
          <w:sz w:val="20"/>
          <w:szCs w:val="20"/>
        </w:rPr>
        <w:t>(Fondo, Reparaciones y Costas)</w:t>
      </w:r>
    </w:p>
    <w:p w14:paraId="37068EA9" w14:textId="77777777" w:rsidR="00001198" w:rsidRPr="000B482D" w:rsidRDefault="00001198" w:rsidP="000B482D">
      <w:pPr>
        <w:spacing w:after="0" w:line="240" w:lineRule="auto"/>
        <w:jc w:val="center"/>
        <w:rPr>
          <w:rFonts w:ascii="Verdana" w:hAnsi="Verdana"/>
          <w:b/>
          <w:i/>
          <w:sz w:val="20"/>
          <w:szCs w:val="20"/>
        </w:rPr>
      </w:pPr>
    </w:p>
    <w:p w14:paraId="119BBAFF" w14:textId="048FB4D6" w:rsidR="00001198" w:rsidRPr="000B482D" w:rsidRDefault="00001198" w:rsidP="000B482D">
      <w:pPr>
        <w:pStyle w:val="NoSpacing"/>
        <w:jc w:val="both"/>
        <w:rPr>
          <w:rFonts w:ascii="Verdana" w:eastAsia="Batang" w:hAnsi="Verdana"/>
          <w:sz w:val="20"/>
          <w:szCs w:val="20"/>
          <w:lang w:val="es-CR" w:eastAsia="es-MX"/>
        </w:rPr>
      </w:pPr>
      <w:r w:rsidRPr="000B482D">
        <w:rPr>
          <w:rFonts w:ascii="Verdana" w:hAnsi="Verdana"/>
          <w:sz w:val="20"/>
          <w:szCs w:val="20"/>
          <w:lang w:val="es-MX"/>
        </w:rPr>
        <w:t xml:space="preserve">El 25 de noviembre de 2015 la Corte Interamericana de Derechos Humanos (en adelante “la Corte Interamericana”, “la Corte”, o “el Tribunal”) dictó Sentencia en el caso </w:t>
      </w:r>
      <w:r w:rsidRPr="000B482D">
        <w:rPr>
          <w:rFonts w:ascii="Verdana" w:hAnsi="Verdana"/>
          <w:i/>
          <w:sz w:val="20"/>
          <w:szCs w:val="20"/>
          <w:lang w:val="es-CR"/>
        </w:rPr>
        <w:t xml:space="preserve">Pueblos </w:t>
      </w:r>
      <w:proofErr w:type="spellStart"/>
      <w:r w:rsidRPr="000B482D">
        <w:rPr>
          <w:rFonts w:ascii="Verdana" w:hAnsi="Verdana"/>
          <w:i/>
          <w:sz w:val="20"/>
          <w:szCs w:val="20"/>
          <w:lang w:val="es-CR"/>
        </w:rPr>
        <w:t>Kaliña</w:t>
      </w:r>
      <w:proofErr w:type="spellEnd"/>
      <w:r w:rsidRPr="000B482D">
        <w:rPr>
          <w:rFonts w:ascii="Verdana" w:hAnsi="Verdana"/>
          <w:i/>
          <w:sz w:val="20"/>
          <w:szCs w:val="20"/>
          <w:lang w:val="es-CR"/>
        </w:rPr>
        <w:t xml:space="preserve"> y </w:t>
      </w:r>
      <w:proofErr w:type="spellStart"/>
      <w:r w:rsidRPr="000B482D">
        <w:rPr>
          <w:rFonts w:ascii="Verdana" w:hAnsi="Verdana"/>
          <w:i/>
          <w:sz w:val="20"/>
          <w:szCs w:val="20"/>
          <w:lang w:val="es-CR"/>
        </w:rPr>
        <w:t>Lokono</w:t>
      </w:r>
      <w:proofErr w:type="spellEnd"/>
      <w:r w:rsidRPr="000B482D">
        <w:rPr>
          <w:rFonts w:ascii="Verdana" w:hAnsi="Verdana"/>
          <w:i/>
          <w:sz w:val="20"/>
          <w:szCs w:val="20"/>
          <w:lang w:val="es-CR"/>
        </w:rPr>
        <w:t xml:space="preserve"> Vs. Surinam, </w:t>
      </w:r>
      <w:r w:rsidRPr="000B482D">
        <w:rPr>
          <w:rFonts w:ascii="Verdana" w:hAnsi="Verdana"/>
          <w:sz w:val="20"/>
          <w:szCs w:val="20"/>
          <w:lang w:val="es-MX"/>
        </w:rPr>
        <w:t xml:space="preserve">y declaró que el Estado es responsable por la violación </w:t>
      </w:r>
      <w:r w:rsidRPr="000B482D">
        <w:rPr>
          <w:rFonts w:ascii="Verdana" w:eastAsia="Batang" w:hAnsi="Verdana"/>
          <w:sz w:val="20"/>
          <w:szCs w:val="20"/>
          <w:lang w:val="es-CR" w:eastAsia="es-MX"/>
        </w:rPr>
        <w:t xml:space="preserve">de los derechos </w:t>
      </w:r>
      <w:r w:rsidRPr="000B482D">
        <w:rPr>
          <w:rFonts w:ascii="Verdana" w:hAnsi="Verdana"/>
          <w:sz w:val="20"/>
          <w:szCs w:val="20"/>
          <w:lang w:val="es-CR" w:eastAsia="es-CR"/>
        </w:rPr>
        <w:t>al reconocimiento de la personalidad jurídica, a la propiedad col</w:t>
      </w:r>
      <w:r w:rsidR="00A220B5" w:rsidRPr="000B482D">
        <w:rPr>
          <w:rFonts w:ascii="Verdana" w:hAnsi="Verdana"/>
          <w:sz w:val="20"/>
          <w:szCs w:val="20"/>
          <w:lang w:val="es-CR" w:eastAsia="es-CR"/>
        </w:rPr>
        <w:t xml:space="preserve">ectiva, </w:t>
      </w:r>
      <w:r w:rsidR="0007720D" w:rsidRPr="000B482D">
        <w:rPr>
          <w:rFonts w:ascii="Verdana" w:hAnsi="Verdana"/>
          <w:sz w:val="20"/>
          <w:szCs w:val="20"/>
          <w:lang w:val="es-CR" w:eastAsia="es-CR"/>
        </w:rPr>
        <w:t xml:space="preserve">a </w:t>
      </w:r>
      <w:r w:rsidR="0064384C" w:rsidRPr="000B482D">
        <w:rPr>
          <w:rFonts w:ascii="Verdana" w:hAnsi="Verdana"/>
          <w:sz w:val="20"/>
          <w:szCs w:val="20"/>
          <w:lang w:val="es-CR" w:eastAsia="es-CR"/>
        </w:rPr>
        <w:t>los derechos político</w:t>
      </w:r>
      <w:r w:rsidR="00A220B5" w:rsidRPr="000B482D">
        <w:rPr>
          <w:rFonts w:ascii="Verdana" w:hAnsi="Verdana"/>
          <w:sz w:val="20"/>
          <w:szCs w:val="20"/>
          <w:lang w:val="es-CR" w:eastAsia="es-CR"/>
        </w:rPr>
        <w:t>s,</w:t>
      </w:r>
      <w:r w:rsidR="0007720D" w:rsidRPr="000B482D">
        <w:rPr>
          <w:rFonts w:ascii="Verdana" w:hAnsi="Verdana"/>
          <w:sz w:val="20"/>
          <w:szCs w:val="20"/>
          <w:lang w:val="es-CR" w:eastAsia="es-CR"/>
        </w:rPr>
        <w:t xml:space="preserve"> a la</w:t>
      </w:r>
      <w:r w:rsidR="00A220B5" w:rsidRPr="000B482D">
        <w:rPr>
          <w:rFonts w:ascii="Verdana" w:hAnsi="Verdana"/>
          <w:sz w:val="20"/>
          <w:szCs w:val="20"/>
          <w:lang w:val="es-CR" w:eastAsia="es-CR"/>
        </w:rPr>
        <w:t xml:space="preserve"> identidad cultural y </w:t>
      </w:r>
      <w:r w:rsidR="0007720D" w:rsidRPr="000B482D">
        <w:rPr>
          <w:rFonts w:ascii="Verdana" w:hAnsi="Verdana"/>
          <w:sz w:val="20"/>
          <w:szCs w:val="20"/>
          <w:lang w:val="es-CR" w:eastAsia="es-CR"/>
        </w:rPr>
        <w:t>al deber de</w:t>
      </w:r>
      <w:r w:rsidR="00A220B5" w:rsidRPr="000B482D">
        <w:rPr>
          <w:rFonts w:ascii="Verdana" w:hAnsi="Verdana"/>
          <w:sz w:val="20"/>
          <w:szCs w:val="20"/>
          <w:lang w:val="es-CR" w:eastAsia="es-CR"/>
        </w:rPr>
        <w:t xml:space="preserve"> adop</w:t>
      </w:r>
      <w:r w:rsidR="0007720D" w:rsidRPr="000B482D">
        <w:rPr>
          <w:rFonts w:ascii="Verdana" w:hAnsi="Verdana"/>
          <w:sz w:val="20"/>
          <w:szCs w:val="20"/>
          <w:lang w:val="es-CR" w:eastAsia="es-CR"/>
        </w:rPr>
        <w:t>tar</w:t>
      </w:r>
      <w:r w:rsidR="00A220B5" w:rsidRPr="000B482D">
        <w:rPr>
          <w:rFonts w:ascii="Verdana" w:hAnsi="Verdana"/>
          <w:sz w:val="20"/>
          <w:szCs w:val="20"/>
          <w:lang w:val="es-CR" w:eastAsia="es-CR"/>
        </w:rPr>
        <w:t xml:space="preserve"> </w:t>
      </w:r>
      <w:r w:rsidR="008A0723">
        <w:rPr>
          <w:rFonts w:ascii="Verdana" w:hAnsi="Verdana"/>
          <w:sz w:val="20"/>
          <w:szCs w:val="20"/>
          <w:lang w:val="es-CR" w:eastAsia="es-CR"/>
        </w:rPr>
        <w:t>las</w:t>
      </w:r>
      <w:r w:rsidR="00A220B5" w:rsidRPr="000B482D">
        <w:rPr>
          <w:rFonts w:ascii="Verdana" w:hAnsi="Verdana"/>
          <w:sz w:val="20"/>
          <w:szCs w:val="20"/>
          <w:lang w:val="es-CR" w:eastAsia="es-CR"/>
        </w:rPr>
        <w:t xml:space="preserve"> disposiciones de derecho interno</w:t>
      </w:r>
      <w:r w:rsidR="00FB6428">
        <w:rPr>
          <w:rFonts w:ascii="Verdana" w:hAnsi="Verdana"/>
          <w:sz w:val="20"/>
          <w:szCs w:val="20"/>
          <w:lang w:val="es-CR" w:eastAsia="es-CR"/>
        </w:rPr>
        <w:t xml:space="preserve">. </w:t>
      </w:r>
      <w:r w:rsidR="0007720D" w:rsidRPr="000B482D">
        <w:rPr>
          <w:rFonts w:ascii="Verdana" w:hAnsi="Verdana"/>
          <w:sz w:val="20"/>
          <w:szCs w:val="20"/>
          <w:lang w:val="es-CR" w:eastAsia="es-CR"/>
        </w:rPr>
        <w:t>Todo ello</w:t>
      </w:r>
      <w:r w:rsidR="0064384C" w:rsidRPr="000B482D">
        <w:rPr>
          <w:rFonts w:ascii="Verdana" w:hAnsi="Verdana"/>
          <w:sz w:val="20"/>
          <w:szCs w:val="20"/>
          <w:lang w:val="es-CR" w:eastAsia="es-CR"/>
        </w:rPr>
        <w:t xml:space="preserve"> ha provocado que </w:t>
      </w:r>
      <w:r w:rsidR="00A220B5" w:rsidRPr="000B482D">
        <w:rPr>
          <w:rFonts w:ascii="Verdana" w:hAnsi="Verdana"/>
          <w:sz w:val="20"/>
          <w:szCs w:val="20"/>
          <w:lang w:val="es-CR" w:eastAsia="es-CR"/>
        </w:rPr>
        <w:t xml:space="preserve">dichos </w:t>
      </w:r>
      <w:r w:rsidR="0007720D" w:rsidRPr="000B482D">
        <w:rPr>
          <w:rFonts w:ascii="Verdana" w:hAnsi="Verdana"/>
          <w:sz w:val="20"/>
          <w:szCs w:val="20"/>
          <w:lang w:val="es-CR" w:eastAsia="es-CR"/>
        </w:rPr>
        <w:t>p</w:t>
      </w:r>
      <w:r w:rsidR="0064384C" w:rsidRPr="000B482D">
        <w:rPr>
          <w:rFonts w:ascii="Verdana" w:hAnsi="Verdana"/>
          <w:sz w:val="20"/>
          <w:szCs w:val="20"/>
          <w:lang w:val="es-CR" w:eastAsia="es-CR"/>
        </w:rPr>
        <w:t>ueblos no cuenten con un te</w:t>
      </w:r>
      <w:r w:rsidR="00013239" w:rsidRPr="000B482D">
        <w:rPr>
          <w:rFonts w:ascii="Verdana" w:hAnsi="Verdana"/>
          <w:sz w:val="20"/>
          <w:szCs w:val="20"/>
          <w:lang w:val="es-CR" w:eastAsia="es-CR"/>
        </w:rPr>
        <w:t>rritorio delimitado, demarcado ni</w:t>
      </w:r>
      <w:r w:rsidR="0064384C" w:rsidRPr="000B482D">
        <w:rPr>
          <w:rFonts w:ascii="Verdana" w:hAnsi="Verdana"/>
          <w:sz w:val="20"/>
          <w:szCs w:val="20"/>
          <w:lang w:val="es-CR" w:eastAsia="es-CR"/>
        </w:rPr>
        <w:t xml:space="preserve"> titulado en su favor</w:t>
      </w:r>
      <w:r w:rsidR="0007720D" w:rsidRPr="000B482D">
        <w:rPr>
          <w:rFonts w:ascii="Verdana" w:hAnsi="Verdana"/>
          <w:sz w:val="20"/>
          <w:szCs w:val="20"/>
          <w:lang w:val="es-CR" w:eastAsia="es-CR"/>
        </w:rPr>
        <w:t xml:space="preserve"> y que </w:t>
      </w:r>
      <w:r w:rsidR="00C06C74" w:rsidRPr="000B482D">
        <w:rPr>
          <w:rFonts w:ascii="Verdana" w:hAnsi="Verdana"/>
          <w:sz w:val="20"/>
          <w:szCs w:val="20"/>
          <w:lang w:val="es-CR" w:eastAsia="es-CR"/>
        </w:rPr>
        <w:t xml:space="preserve">parte del </w:t>
      </w:r>
      <w:r w:rsidR="0064384C" w:rsidRPr="000B482D">
        <w:rPr>
          <w:rFonts w:ascii="Verdana" w:hAnsi="Verdana"/>
          <w:sz w:val="20"/>
          <w:szCs w:val="20"/>
          <w:lang w:val="es-CR" w:eastAsia="es-CR"/>
        </w:rPr>
        <w:t>territorio</w:t>
      </w:r>
      <w:r w:rsidR="0007720D" w:rsidRPr="000B482D">
        <w:rPr>
          <w:rFonts w:ascii="Verdana" w:hAnsi="Verdana"/>
          <w:sz w:val="20"/>
          <w:szCs w:val="20"/>
          <w:lang w:val="es-CR" w:eastAsia="es-CR"/>
        </w:rPr>
        <w:t xml:space="preserve"> </w:t>
      </w:r>
      <w:r w:rsidR="00C06C74" w:rsidRPr="000B482D">
        <w:rPr>
          <w:rFonts w:ascii="Verdana" w:hAnsi="Verdana"/>
          <w:sz w:val="20"/>
          <w:szCs w:val="20"/>
          <w:lang w:val="es-CR" w:eastAsia="es-CR"/>
        </w:rPr>
        <w:t>reclama</w:t>
      </w:r>
      <w:r w:rsidR="0007720D" w:rsidRPr="000B482D">
        <w:rPr>
          <w:rFonts w:ascii="Verdana" w:hAnsi="Verdana"/>
          <w:sz w:val="20"/>
          <w:szCs w:val="20"/>
          <w:lang w:val="es-CR" w:eastAsia="es-CR"/>
        </w:rPr>
        <w:t>do</w:t>
      </w:r>
      <w:r w:rsidR="00C06C74" w:rsidRPr="000B482D">
        <w:rPr>
          <w:rFonts w:ascii="Verdana" w:hAnsi="Verdana"/>
          <w:sz w:val="20"/>
          <w:szCs w:val="20"/>
          <w:lang w:val="es-CR" w:eastAsia="es-CR"/>
        </w:rPr>
        <w:t xml:space="preserve"> se encuentr</w:t>
      </w:r>
      <w:r w:rsidR="0007720D" w:rsidRPr="000B482D">
        <w:rPr>
          <w:rFonts w:ascii="Verdana" w:hAnsi="Verdana"/>
          <w:sz w:val="20"/>
          <w:szCs w:val="20"/>
          <w:lang w:val="es-CR" w:eastAsia="es-CR"/>
        </w:rPr>
        <w:t>e</w:t>
      </w:r>
      <w:r w:rsidR="00C06C74" w:rsidRPr="000B482D">
        <w:rPr>
          <w:rFonts w:ascii="Verdana" w:hAnsi="Verdana"/>
          <w:sz w:val="20"/>
          <w:szCs w:val="20"/>
          <w:lang w:val="es-CR" w:eastAsia="es-CR"/>
        </w:rPr>
        <w:t xml:space="preserve"> en propiedad de </w:t>
      </w:r>
      <w:r w:rsidR="0064384C" w:rsidRPr="000B482D">
        <w:rPr>
          <w:rFonts w:ascii="Verdana" w:hAnsi="Verdana"/>
          <w:sz w:val="20"/>
          <w:szCs w:val="20"/>
          <w:lang w:val="es-CR" w:eastAsia="es-CR"/>
        </w:rPr>
        <w:t>terceros</w:t>
      </w:r>
      <w:r w:rsidR="00C06C74" w:rsidRPr="000B482D">
        <w:rPr>
          <w:rFonts w:ascii="Verdana" w:hAnsi="Verdana"/>
          <w:sz w:val="20"/>
          <w:szCs w:val="20"/>
          <w:lang w:val="es-CR" w:eastAsia="es-CR"/>
        </w:rPr>
        <w:t>;</w:t>
      </w:r>
      <w:r w:rsidR="0064384C" w:rsidRPr="000B482D">
        <w:rPr>
          <w:rFonts w:ascii="Verdana" w:hAnsi="Verdana"/>
          <w:sz w:val="20"/>
          <w:szCs w:val="20"/>
          <w:lang w:val="es-CR" w:eastAsia="es-CR"/>
        </w:rPr>
        <w:t xml:space="preserve"> no se garantice la participación efectiva en las reservas naturales</w:t>
      </w:r>
      <w:r w:rsidR="0007720D" w:rsidRPr="000B482D">
        <w:rPr>
          <w:rFonts w:ascii="Verdana" w:hAnsi="Verdana"/>
          <w:sz w:val="20"/>
          <w:szCs w:val="20"/>
          <w:lang w:val="es-CR" w:eastAsia="es-CR"/>
        </w:rPr>
        <w:t>, creadas por el Estado en parte de este territorio,</w:t>
      </w:r>
      <w:r w:rsidR="0064384C" w:rsidRPr="000B482D">
        <w:rPr>
          <w:rFonts w:ascii="Verdana" w:hAnsi="Verdana"/>
          <w:sz w:val="20"/>
          <w:szCs w:val="20"/>
          <w:lang w:val="es-CR" w:eastAsia="es-CR"/>
        </w:rPr>
        <w:t xml:space="preserve"> ni se les haya respetado su derecho a la participación, a través de un proceso de consulta frente a proyectos extractivos</w:t>
      </w:r>
      <w:r w:rsidR="00013239" w:rsidRPr="000B482D">
        <w:rPr>
          <w:rFonts w:ascii="Verdana" w:hAnsi="Verdana"/>
          <w:sz w:val="20"/>
          <w:szCs w:val="20"/>
          <w:lang w:val="es-CR" w:eastAsia="es-CR"/>
        </w:rPr>
        <w:t xml:space="preserve"> en una de las reservas</w:t>
      </w:r>
      <w:r w:rsidR="0064384C" w:rsidRPr="000B482D">
        <w:rPr>
          <w:rFonts w:ascii="Verdana" w:hAnsi="Verdana"/>
          <w:sz w:val="20"/>
          <w:szCs w:val="20"/>
          <w:lang w:val="es-CR" w:eastAsia="es-CR"/>
        </w:rPr>
        <w:t xml:space="preserve">. </w:t>
      </w:r>
      <w:r w:rsidR="0064384C" w:rsidRPr="000B482D">
        <w:rPr>
          <w:rFonts w:ascii="Verdana" w:eastAsia="Batang" w:hAnsi="Verdana"/>
          <w:sz w:val="20"/>
          <w:szCs w:val="20"/>
          <w:lang w:val="es-CR" w:eastAsia="es-MX"/>
        </w:rPr>
        <w:t xml:space="preserve">Asimismo, </w:t>
      </w:r>
      <w:r w:rsidR="00116E9B" w:rsidRPr="000B482D">
        <w:rPr>
          <w:rFonts w:ascii="Verdana" w:eastAsia="Batang" w:hAnsi="Verdana"/>
          <w:sz w:val="20"/>
          <w:szCs w:val="20"/>
          <w:lang w:val="es-CR" w:eastAsia="es-MX"/>
        </w:rPr>
        <w:t xml:space="preserve">el Estado </w:t>
      </w:r>
      <w:r w:rsidR="0064384C" w:rsidRPr="000B482D">
        <w:rPr>
          <w:rFonts w:ascii="Verdana" w:eastAsia="Batang" w:hAnsi="Verdana"/>
          <w:sz w:val="20"/>
          <w:szCs w:val="20"/>
          <w:lang w:val="es-CR" w:eastAsia="es-MX"/>
        </w:rPr>
        <w:t>violó el derecho a la protección judicial</w:t>
      </w:r>
      <w:r w:rsidR="00C404F4" w:rsidRPr="000B482D">
        <w:rPr>
          <w:rFonts w:ascii="Verdana" w:eastAsia="Batang" w:hAnsi="Verdana"/>
          <w:sz w:val="20"/>
          <w:szCs w:val="20"/>
          <w:lang w:val="es-CR" w:eastAsia="es-MX"/>
        </w:rPr>
        <w:t>, en relación con el deber de adoptar disposiciones de derecho interno y el derecho de acceso a la información,</w:t>
      </w:r>
      <w:r w:rsidR="0064384C" w:rsidRPr="000B482D">
        <w:rPr>
          <w:rFonts w:ascii="Verdana" w:eastAsia="Batang" w:hAnsi="Verdana"/>
          <w:sz w:val="20"/>
          <w:szCs w:val="20"/>
          <w:lang w:val="es-CR" w:eastAsia="es-MX"/>
        </w:rPr>
        <w:t xml:space="preserve"> al no contar </w:t>
      </w:r>
      <w:r w:rsidR="0064384C" w:rsidRPr="000B482D">
        <w:rPr>
          <w:rFonts w:ascii="Verdana" w:hAnsi="Verdana"/>
          <w:sz w:val="20"/>
          <w:szCs w:val="20"/>
          <w:lang w:val="es-CR" w:eastAsia="es-CR"/>
        </w:rPr>
        <w:t xml:space="preserve">con recursos adecuados ni efectivos para exigir tales derechos, </w:t>
      </w:r>
      <w:r w:rsidR="0064384C" w:rsidRPr="000B482D">
        <w:rPr>
          <w:rFonts w:ascii="Verdana" w:eastAsia="Batang" w:hAnsi="Verdana"/>
          <w:sz w:val="20"/>
          <w:szCs w:val="20"/>
          <w:lang w:val="es-CR" w:eastAsia="es-MX"/>
        </w:rPr>
        <w:t xml:space="preserve">todo ello en perjuicio de los Pueblos </w:t>
      </w:r>
      <w:proofErr w:type="spellStart"/>
      <w:r w:rsidR="0064384C" w:rsidRPr="000B482D">
        <w:rPr>
          <w:rFonts w:ascii="Verdana" w:eastAsia="Batang" w:hAnsi="Verdana"/>
          <w:sz w:val="20"/>
          <w:szCs w:val="20"/>
          <w:lang w:val="es-CR" w:eastAsia="es-MX"/>
        </w:rPr>
        <w:t>Kaliña</w:t>
      </w:r>
      <w:proofErr w:type="spellEnd"/>
      <w:r w:rsidR="0064384C" w:rsidRPr="000B482D">
        <w:rPr>
          <w:rFonts w:ascii="Verdana" w:eastAsia="Batang" w:hAnsi="Verdana"/>
          <w:sz w:val="20"/>
          <w:szCs w:val="20"/>
          <w:lang w:val="es-CR" w:eastAsia="es-MX"/>
        </w:rPr>
        <w:t xml:space="preserve"> y </w:t>
      </w:r>
      <w:proofErr w:type="spellStart"/>
      <w:r w:rsidR="0064384C" w:rsidRPr="000B482D">
        <w:rPr>
          <w:rFonts w:ascii="Verdana" w:eastAsia="Batang" w:hAnsi="Verdana"/>
          <w:sz w:val="20"/>
          <w:szCs w:val="20"/>
          <w:lang w:val="es-CR" w:eastAsia="es-MX"/>
        </w:rPr>
        <w:t>Lokono</w:t>
      </w:r>
      <w:proofErr w:type="spellEnd"/>
      <w:r w:rsidR="0064384C" w:rsidRPr="000B482D">
        <w:rPr>
          <w:rFonts w:ascii="Verdana" w:eastAsia="Batang" w:hAnsi="Verdana"/>
          <w:sz w:val="20"/>
          <w:szCs w:val="20"/>
          <w:lang w:val="es-CR" w:eastAsia="es-MX"/>
        </w:rPr>
        <w:t xml:space="preserve"> y sus miembros.</w:t>
      </w:r>
    </w:p>
    <w:p w14:paraId="1E6174B2" w14:textId="77777777" w:rsidR="00001198" w:rsidRPr="000B482D" w:rsidRDefault="00001198" w:rsidP="000B482D">
      <w:pPr>
        <w:pStyle w:val="NoSpacing"/>
        <w:jc w:val="both"/>
        <w:rPr>
          <w:rFonts w:ascii="Verdana" w:eastAsia="Batang" w:hAnsi="Verdana"/>
          <w:sz w:val="20"/>
          <w:szCs w:val="20"/>
          <w:lang w:val="es-CR" w:eastAsia="es-MX"/>
        </w:rPr>
      </w:pPr>
    </w:p>
    <w:p w14:paraId="1BC6A303" w14:textId="77777777" w:rsidR="00001198" w:rsidRPr="000B482D" w:rsidRDefault="00001198" w:rsidP="000B482D">
      <w:pPr>
        <w:pStyle w:val="NoSpacing"/>
        <w:numPr>
          <w:ilvl w:val="0"/>
          <w:numId w:val="1"/>
        </w:numPr>
        <w:jc w:val="both"/>
        <w:rPr>
          <w:rFonts w:ascii="Verdana" w:hAnsi="Verdana"/>
          <w:b/>
          <w:sz w:val="20"/>
          <w:szCs w:val="20"/>
          <w:lang w:val="es-CR"/>
        </w:rPr>
      </w:pPr>
      <w:r w:rsidRPr="000B482D">
        <w:rPr>
          <w:rFonts w:ascii="Verdana" w:hAnsi="Verdana"/>
          <w:b/>
          <w:sz w:val="20"/>
          <w:szCs w:val="20"/>
          <w:lang w:val="es-CR"/>
        </w:rPr>
        <w:t>Hechos</w:t>
      </w:r>
    </w:p>
    <w:p w14:paraId="5206BB1E" w14:textId="77777777" w:rsidR="008772DF" w:rsidRPr="000B482D" w:rsidRDefault="008772DF" w:rsidP="000B482D">
      <w:pPr>
        <w:pStyle w:val="NoSpacing"/>
        <w:jc w:val="both"/>
        <w:rPr>
          <w:rFonts w:ascii="Verdana" w:hAnsi="Verdana"/>
          <w:b/>
          <w:sz w:val="20"/>
          <w:szCs w:val="20"/>
          <w:lang w:val="es-CR"/>
        </w:rPr>
      </w:pPr>
    </w:p>
    <w:p w14:paraId="00ECF4AF" w14:textId="3161DC0C" w:rsidR="00E87F66" w:rsidRPr="000B482D" w:rsidRDefault="008772DF" w:rsidP="000B482D">
      <w:pPr>
        <w:pStyle w:val="NoSpacing"/>
        <w:jc w:val="both"/>
        <w:rPr>
          <w:rFonts w:ascii="Verdana" w:hAnsi="Verdana"/>
          <w:sz w:val="20"/>
          <w:szCs w:val="20"/>
          <w:lang w:val="es-MX"/>
        </w:rPr>
      </w:pPr>
      <w:r w:rsidRPr="000B482D">
        <w:rPr>
          <w:rFonts w:ascii="Verdana" w:hAnsi="Verdana"/>
          <w:sz w:val="20"/>
          <w:szCs w:val="20"/>
          <w:lang w:val="es-ES"/>
        </w:rPr>
        <w:t xml:space="preserve">Los Pueblos </w:t>
      </w:r>
      <w:proofErr w:type="spellStart"/>
      <w:r w:rsidRPr="000B482D">
        <w:rPr>
          <w:rFonts w:ascii="Verdana" w:hAnsi="Verdana"/>
          <w:sz w:val="20"/>
          <w:szCs w:val="20"/>
          <w:lang w:val="es-ES"/>
        </w:rPr>
        <w:t>Kaliña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Lokono</w:t>
      </w:r>
      <w:proofErr w:type="spellEnd"/>
      <w:r w:rsidR="006B77CA">
        <w:rPr>
          <w:rFonts w:ascii="Verdana" w:hAnsi="Verdana"/>
          <w:sz w:val="20"/>
          <w:szCs w:val="20"/>
          <w:lang w:val="es-ES"/>
        </w:rPr>
        <w:t xml:space="preserve"> </w:t>
      </w:r>
      <w:r w:rsidRPr="000B482D">
        <w:rPr>
          <w:rFonts w:ascii="Verdana" w:hAnsi="Verdana"/>
          <w:sz w:val="20"/>
          <w:szCs w:val="20"/>
          <w:lang w:val="es-ES"/>
        </w:rPr>
        <w:t>son conocidos como los “</w:t>
      </w:r>
      <w:r w:rsidR="00C404F4" w:rsidRPr="000B482D">
        <w:rPr>
          <w:rFonts w:ascii="Verdana" w:hAnsi="Verdana"/>
          <w:sz w:val="20"/>
          <w:szCs w:val="20"/>
          <w:lang w:val="es-ES"/>
        </w:rPr>
        <w:t>P</w:t>
      </w:r>
      <w:r w:rsidRPr="000B482D">
        <w:rPr>
          <w:rFonts w:ascii="Verdana" w:hAnsi="Verdana"/>
          <w:sz w:val="20"/>
          <w:szCs w:val="20"/>
          <w:lang w:val="es-ES"/>
        </w:rPr>
        <w:t>ueblos del Bajo Marowijne”</w:t>
      </w:r>
      <w:r w:rsidR="00FB6428">
        <w:rPr>
          <w:rFonts w:ascii="Verdana" w:hAnsi="Verdana"/>
          <w:sz w:val="20"/>
          <w:szCs w:val="20"/>
          <w:lang w:val="es-ES"/>
        </w:rPr>
        <w:t xml:space="preserve">, los cuales </w:t>
      </w:r>
      <w:r w:rsidRPr="000B482D">
        <w:rPr>
          <w:rFonts w:ascii="Verdana" w:hAnsi="Verdana"/>
          <w:sz w:val="20"/>
          <w:szCs w:val="20"/>
          <w:lang w:val="es-ES"/>
        </w:rPr>
        <w:t xml:space="preserve">están integrados por ocho aldeas que forman parte de este caso. </w:t>
      </w:r>
      <w:r w:rsidRPr="000B482D">
        <w:rPr>
          <w:rFonts w:ascii="Verdana" w:hAnsi="Verdana"/>
          <w:sz w:val="20"/>
          <w:szCs w:val="20"/>
          <w:lang w:val="es-MX"/>
        </w:rPr>
        <w:t xml:space="preserve">Las aldeas del </w:t>
      </w:r>
      <w:r w:rsidR="00C404F4" w:rsidRPr="000B482D">
        <w:rPr>
          <w:rFonts w:ascii="Verdana" w:hAnsi="Verdana"/>
          <w:sz w:val="20"/>
          <w:szCs w:val="20"/>
          <w:lang w:val="es-MX"/>
        </w:rPr>
        <w:t>P</w:t>
      </w:r>
      <w:r w:rsidRPr="000B482D">
        <w:rPr>
          <w:rFonts w:ascii="Verdana" w:hAnsi="Verdana"/>
          <w:sz w:val="20"/>
          <w:szCs w:val="20"/>
          <w:lang w:val="es-MX"/>
        </w:rPr>
        <w:t xml:space="preserve">ueblo </w:t>
      </w:r>
      <w:proofErr w:type="spellStart"/>
      <w:r w:rsidRPr="000B482D">
        <w:rPr>
          <w:rFonts w:ascii="Verdana" w:hAnsi="Verdana"/>
          <w:sz w:val="20"/>
          <w:szCs w:val="20"/>
          <w:lang w:val="es-MX"/>
        </w:rPr>
        <w:t>Kaliña</w:t>
      </w:r>
      <w:proofErr w:type="spellEnd"/>
      <w:r w:rsidRPr="000B482D">
        <w:rPr>
          <w:rFonts w:ascii="Verdana" w:hAnsi="Verdana"/>
          <w:sz w:val="20"/>
          <w:szCs w:val="20"/>
          <w:lang w:val="es-MX"/>
        </w:rPr>
        <w:t xml:space="preserve"> son </w:t>
      </w:r>
      <w:proofErr w:type="spellStart"/>
      <w:r w:rsidRPr="000B482D">
        <w:rPr>
          <w:rFonts w:ascii="Verdana" w:hAnsi="Verdana"/>
          <w:sz w:val="20"/>
          <w:szCs w:val="20"/>
          <w:lang w:val="es-MX"/>
        </w:rPr>
        <w:t>Christiaankondre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Langamankondre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Pierrekondre</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Bigiston</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Erowarte</w:t>
      </w:r>
      <w:proofErr w:type="spellEnd"/>
      <w:r w:rsidRPr="000B482D">
        <w:rPr>
          <w:rFonts w:ascii="Verdana" w:hAnsi="Verdana"/>
          <w:sz w:val="20"/>
          <w:szCs w:val="20"/>
          <w:lang w:val="es-MX"/>
        </w:rPr>
        <w:t xml:space="preserve"> y </w:t>
      </w:r>
      <w:proofErr w:type="spellStart"/>
      <w:r w:rsidRPr="000B482D">
        <w:rPr>
          <w:rFonts w:ascii="Verdana" w:hAnsi="Verdana"/>
          <w:sz w:val="20"/>
          <w:szCs w:val="20"/>
          <w:lang w:val="es-MX"/>
        </w:rPr>
        <w:t>Tapuku</w:t>
      </w:r>
      <w:proofErr w:type="spellEnd"/>
      <w:r w:rsidRPr="000B482D">
        <w:rPr>
          <w:rFonts w:ascii="Verdana" w:hAnsi="Verdana"/>
          <w:sz w:val="20"/>
          <w:szCs w:val="20"/>
          <w:lang w:val="es-MX"/>
        </w:rPr>
        <w:t xml:space="preserve">. Mientras que las dos aldeas del </w:t>
      </w:r>
      <w:r w:rsidR="00C404F4" w:rsidRPr="000B482D">
        <w:rPr>
          <w:rFonts w:ascii="Verdana" w:hAnsi="Verdana"/>
          <w:sz w:val="20"/>
          <w:szCs w:val="20"/>
          <w:lang w:val="es-MX"/>
        </w:rPr>
        <w:t>P</w:t>
      </w:r>
      <w:r w:rsidRPr="000B482D">
        <w:rPr>
          <w:rFonts w:ascii="Verdana" w:hAnsi="Verdana"/>
          <w:sz w:val="20"/>
          <w:szCs w:val="20"/>
          <w:lang w:val="es-MX"/>
        </w:rPr>
        <w:t xml:space="preserve">ueblo </w:t>
      </w:r>
      <w:proofErr w:type="spellStart"/>
      <w:r w:rsidRPr="000B482D">
        <w:rPr>
          <w:rFonts w:ascii="Verdana" w:hAnsi="Verdana"/>
          <w:sz w:val="20"/>
          <w:szCs w:val="20"/>
          <w:lang w:val="es-MX"/>
        </w:rPr>
        <w:t>Lokono</w:t>
      </w:r>
      <w:proofErr w:type="spellEnd"/>
      <w:r w:rsidRPr="000B482D">
        <w:rPr>
          <w:rFonts w:ascii="Verdana" w:hAnsi="Verdana"/>
          <w:sz w:val="20"/>
          <w:szCs w:val="20"/>
          <w:lang w:val="es-MX"/>
        </w:rPr>
        <w:t xml:space="preserve"> son </w:t>
      </w:r>
      <w:proofErr w:type="spellStart"/>
      <w:r w:rsidRPr="000B482D">
        <w:rPr>
          <w:rFonts w:ascii="Verdana" w:hAnsi="Verdana"/>
          <w:sz w:val="20"/>
          <w:szCs w:val="20"/>
          <w:lang w:val="es-MX"/>
        </w:rPr>
        <w:t>Marijkedorp</w:t>
      </w:r>
      <w:proofErr w:type="spellEnd"/>
      <w:r w:rsidRPr="000B482D">
        <w:rPr>
          <w:rFonts w:ascii="Verdana" w:hAnsi="Verdana"/>
          <w:sz w:val="20"/>
          <w:szCs w:val="20"/>
          <w:lang w:val="es-MX"/>
        </w:rPr>
        <w:t xml:space="preserve"> (o </w:t>
      </w:r>
      <w:proofErr w:type="spellStart"/>
      <w:r w:rsidRPr="000B482D">
        <w:rPr>
          <w:rFonts w:ascii="Verdana" w:hAnsi="Verdana"/>
          <w:sz w:val="20"/>
          <w:szCs w:val="20"/>
          <w:lang w:val="es-MX"/>
        </w:rPr>
        <w:t>Wan</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Shi</w:t>
      </w:r>
      <w:proofErr w:type="spellEnd"/>
      <w:r w:rsidRPr="000B482D">
        <w:rPr>
          <w:rFonts w:ascii="Verdana" w:hAnsi="Verdana"/>
          <w:sz w:val="20"/>
          <w:szCs w:val="20"/>
          <w:lang w:val="es-MX"/>
        </w:rPr>
        <w:t xml:space="preserve"> </w:t>
      </w:r>
      <w:proofErr w:type="spellStart"/>
      <w:r w:rsidRPr="000B482D">
        <w:rPr>
          <w:rFonts w:ascii="Verdana" w:hAnsi="Verdana"/>
          <w:sz w:val="20"/>
          <w:szCs w:val="20"/>
          <w:lang w:val="es-MX"/>
        </w:rPr>
        <w:t>Sha</w:t>
      </w:r>
      <w:proofErr w:type="spellEnd"/>
      <w:r w:rsidRPr="000B482D">
        <w:rPr>
          <w:rFonts w:ascii="Verdana" w:hAnsi="Verdana"/>
          <w:sz w:val="20"/>
          <w:szCs w:val="20"/>
          <w:lang w:val="es-MX"/>
        </w:rPr>
        <w:t xml:space="preserve">) y </w:t>
      </w:r>
      <w:proofErr w:type="spellStart"/>
      <w:r w:rsidRPr="000B482D">
        <w:rPr>
          <w:rFonts w:ascii="Verdana" w:hAnsi="Verdana"/>
          <w:sz w:val="20"/>
          <w:szCs w:val="20"/>
          <w:lang w:val="es-MX"/>
        </w:rPr>
        <w:t>Alfonsdorp</w:t>
      </w:r>
      <w:proofErr w:type="spellEnd"/>
      <w:r w:rsidR="00C404F4" w:rsidRPr="000B482D">
        <w:rPr>
          <w:rFonts w:ascii="Verdana" w:hAnsi="Verdana"/>
          <w:sz w:val="20"/>
          <w:szCs w:val="20"/>
          <w:lang w:val="es-CR"/>
        </w:rPr>
        <w:t>.</w:t>
      </w:r>
    </w:p>
    <w:p w14:paraId="755F9397" w14:textId="77777777" w:rsidR="00E87F66" w:rsidRPr="000B482D" w:rsidRDefault="00E87F66" w:rsidP="000B482D">
      <w:pPr>
        <w:pStyle w:val="NoSpacing"/>
        <w:jc w:val="both"/>
        <w:rPr>
          <w:rFonts w:ascii="Verdana" w:hAnsi="Verdana"/>
          <w:sz w:val="20"/>
          <w:szCs w:val="20"/>
          <w:lang w:val="es-MX"/>
        </w:rPr>
      </w:pPr>
    </w:p>
    <w:p w14:paraId="31CA6842" w14:textId="662665C2" w:rsidR="00E87F66" w:rsidRPr="008048A4" w:rsidRDefault="008772DF" w:rsidP="000B482D">
      <w:pPr>
        <w:pStyle w:val="NoSpacing"/>
        <w:jc w:val="both"/>
        <w:rPr>
          <w:rFonts w:ascii="Verdana" w:hAnsi="Verdana"/>
          <w:strike/>
          <w:sz w:val="20"/>
          <w:szCs w:val="20"/>
          <w:lang w:val="es-ES"/>
        </w:rPr>
      </w:pPr>
      <w:r w:rsidRPr="000B482D">
        <w:rPr>
          <w:rFonts w:ascii="Verdana" w:hAnsi="Verdana"/>
          <w:sz w:val="20"/>
          <w:szCs w:val="20"/>
          <w:lang w:val="es-ES"/>
        </w:rPr>
        <w:t xml:space="preserve">Los </w:t>
      </w:r>
      <w:r w:rsidRPr="000B482D">
        <w:rPr>
          <w:rFonts w:ascii="Verdana" w:hAnsi="Verdana"/>
          <w:sz w:val="20"/>
          <w:szCs w:val="20"/>
          <w:lang w:val="es-CR"/>
        </w:rPr>
        <w:t xml:space="preserve">representantes señalaron que el territorio ancestral de los Pueblos </w:t>
      </w:r>
      <w:proofErr w:type="spellStart"/>
      <w:r w:rsidRPr="000B482D">
        <w:rPr>
          <w:rFonts w:ascii="Verdana" w:hAnsi="Verdana"/>
          <w:sz w:val="20"/>
          <w:szCs w:val="20"/>
          <w:lang w:val="es-CR"/>
        </w:rPr>
        <w:t>Kaliña</w:t>
      </w:r>
      <w:proofErr w:type="spellEnd"/>
      <w:r w:rsidRPr="000B482D">
        <w:rPr>
          <w:rFonts w:ascii="Verdana" w:hAnsi="Verdana"/>
          <w:sz w:val="20"/>
          <w:szCs w:val="20"/>
          <w:lang w:val="es-CR"/>
        </w:rPr>
        <w:t xml:space="preserve"> y </w:t>
      </w:r>
      <w:proofErr w:type="spellStart"/>
      <w:r w:rsidRPr="000B482D">
        <w:rPr>
          <w:rFonts w:ascii="Verdana" w:hAnsi="Verdana"/>
          <w:sz w:val="20"/>
          <w:szCs w:val="20"/>
          <w:lang w:val="es-CR"/>
        </w:rPr>
        <w:t>Lokono</w:t>
      </w:r>
      <w:proofErr w:type="spellEnd"/>
      <w:r w:rsidRPr="000B482D">
        <w:rPr>
          <w:rFonts w:ascii="Verdana" w:hAnsi="Verdana"/>
          <w:sz w:val="20"/>
          <w:szCs w:val="20"/>
          <w:lang w:val="es-CR"/>
        </w:rPr>
        <w:t xml:space="preserve"> tendría una extensión de aproximadamente 133,945 hectáreas</w:t>
      </w:r>
      <w:r w:rsidR="00C404F4" w:rsidRPr="000B482D">
        <w:rPr>
          <w:rFonts w:ascii="Verdana" w:hAnsi="Verdana"/>
          <w:sz w:val="20"/>
          <w:szCs w:val="20"/>
          <w:lang w:val="es-CR"/>
        </w:rPr>
        <w:t>.</w:t>
      </w:r>
      <w:r w:rsidR="00E87F66" w:rsidRPr="000B482D">
        <w:rPr>
          <w:rFonts w:ascii="Verdana" w:hAnsi="Verdana"/>
          <w:sz w:val="20"/>
          <w:szCs w:val="20"/>
          <w:lang w:val="es-CR"/>
        </w:rPr>
        <w:t xml:space="preserve"> No obstante, </w:t>
      </w:r>
      <w:r w:rsidR="00E87F66" w:rsidRPr="000B482D">
        <w:rPr>
          <w:rStyle w:val="Strong"/>
          <w:rFonts w:ascii="Verdana" w:hAnsi="Verdana"/>
          <w:b w:val="0"/>
          <w:sz w:val="20"/>
          <w:szCs w:val="20"/>
          <w:lang w:val="es-ES"/>
        </w:rPr>
        <w:t xml:space="preserve">la Corte constató que el territorio que es reclamado por los Pueblos </w:t>
      </w:r>
      <w:proofErr w:type="spellStart"/>
      <w:r w:rsidR="00E87F66" w:rsidRPr="000B482D">
        <w:rPr>
          <w:rStyle w:val="Strong"/>
          <w:rFonts w:ascii="Verdana" w:hAnsi="Verdana"/>
          <w:b w:val="0"/>
          <w:sz w:val="20"/>
          <w:szCs w:val="20"/>
          <w:lang w:val="es-ES"/>
        </w:rPr>
        <w:t>Kaliña</w:t>
      </w:r>
      <w:proofErr w:type="spellEnd"/>
      <w:r w:rsidR="00E87F66" w:rsidRPr="000B482D">
        <w:rPr>
          <w:rStyle w:val="Strong"/>
          <w:rFonts w:ascii="Verdana" w:hAnsi="Verdana"/>
          <w:b w:val="0"/>
          <w:sz w:val="20"/>
          <w:szCs w:val="20"/>
          <w:lang w:val="es-ES"/>
        </w:rPr>
        <w:t xml:space="preserve"> y </w:t>
      </w:r>
      <w:proofErr w:type="spellStart"/>
      <w:r w:rsidR="00E87F66" w:rsidRPr="000B482D">
        <w:rPr>
          <w:rStyle w:val="Strong"/>
          <w:rFonts w:ascii="Verdana" w:hAnsi="Verdana"/>
          <w:b w:val="0"/>
          <w:sz w:val="20"/>
          <w:szCs w:val="20"/>
          <w:lang w:val="es-ES"/>
        </w:rPr>
        <w:t>Lokono</w:t>
      </w:r>
      <w:proofErr w:type="spellEnd"/>
      <w:r w:rsidR="00E87F66" w:rsidRPr="000B482D">
        <w:rPr>
          <w:rStyle w:val="Strong"/>
          <w:rFonts w:ascii="Verdana" w:hAnsi="Verdana"/>
          <w:b w:val="0"/>
          <w:sz w:val="20"/>
          <w:szCs w:val="20"/>
          <w:lang w:val="es-ES"/>
        </w:rPr>
        <w:t xml:space="preserve"> limita en distintas zonas con asentamientos de la tribu </w:t>
      </w:r>
      <w:proofErr w:type="spellStart"/>
      <w:r w:rsidR="00E87F66" w:rsidRPr="000B482D">
        <w:rPr>
          <w:rStyle w:val="Strong"/>
          <w:rFonts w:ascii="Verdana" w:hAnsi="Verdana"/>
          <w:b w:val="0"/>
          <w:sz w:val="20"/>
          <w:szCs w:val="20"/>
          <w:lang w:val="es-ES"/>
        </w:rPr>
        <w:t>N´djuka</w:t>
      </w:r>
      <w:proofErr w:type="spellEnd"/>
      <w:r w:rsidR="00E87F66" w:rsidRPr="000B482D">
        <w:rPr>
          <w:rStyle w:val="Strong"/>
          <w:rFonts w:ascii="Verdana" w:hAnsi="Verdana"/>
          <w:b w:val="0"/>
          <w:sz w:val="20"/>
          <w:szCs w:val="20"/>
          <w:lang w:val="es-ES"/>
        </w:rPr>
        <w:t xml:space="preserve"> </w:t>
      </w:r>
      <w:proofErr w:type="spellStart"/>
      <w:r w:rsidR="00BB0AEB">
        <w:rPr>
          <w:rStyle w:val="Strong"/>
          <w:rFonts w:ascii="Verdana" w:hAnsi="Verdana"/>
          <w:b w:val="0"/>
          <w:sz w:val="20"/>
          <w:szCs w:val="20"/>
          <w:lang w:val="es-ES"/>
        </w:rPr>
        <w:t>maroon</w:t>
      </w:r>
      <w:proofErr w:type="spellEnd"/>
      <w:r w:rsidR="00C404F4" w:rsidRPr="000B482D">
        <w:rPr>
          <w:rStyle w:val="Strong"/>
          <w:rFonts w:ascii="Verdana" w:hAnsi="Verdana"/>
          <w:b w:val="0"/>
          <w:sz w:val="20"/>
          <w:szCs w:val="20"/>
          <w:lang w:val="es-ES"/>
        </w:rPr>
        <w:t xml:space="preserve">. </w:t>
      </w:r>
      <w:r w:rsidR="00E87F66" w:rsidRPr="000B482D">
        <w:rPr>
          <w:rStyle w:val="Strong"/>
          <w:rFonts w:ascii="Verdana" w:hAnsi="Verdana"/>
          <w:b w:val="0"/>
          <w:sz w:val="20"/>
          <w:szCs w:val="20"/>
          <w:lang w:val="es-ES"/>
        </w:rPr>
        <w:t xml:space="preserve">Al respecto, la Corte verificó que diversos territorios y asentamientos </w:t>
      </w:r>
      <w:r w:rsidR="00BB0AEB">
        <w:rPr>
          <w:rStyle w:val="Strong"/>
          <w:rFonts w:ascii="Verdana" w:hAnsi="Verdana"/>
          <w:b w:val="0"/>
          <w:sz w:val="20"/>
          <w:szCs w:val="20"/>
          <w:lang w:val="es-ES"/>
        </w:rPr>
        <w:t>maroons</w:t>
      </w:r>
      <w:r w:rsidR="00E87F66" w:rsidRPr="000B482D">
        <w:rPr>
          <w:rStyle w:val="Strong"/>
          <w:rFonts w:ascii="Verdana" w:hAnsi="Verdana"/>
          <w:b w:val="0"/>
          <w:sz w:val="20"/>
          <w:szCs w:val="20"/>
          <w:lang w:val="es-ES"/>
        </w:rPr>
        <w:t xml:space="preserve"> quedaban excluidos del reclamo de los Pueblos </w:t>
      </w:r>
      <w:proofErr w:type="spellStart"/>
      <w:r w:rsidR="00E87F66" w:rsidRPr="000B482D">
        <w:rPr>
          <w:rStyle w:val="Strong"/>
          <w:rFonts w:ascii="Verdana" w:hAnsi="Verdana"/>
          <w:b w:val="0"/>
          <w:sz w:val="20"/>
          <w:szCs w:val="20"/>
          <w:lang w:val="es-ES"/>
        </w:rPr>
        <w:t>Kaliña</w:t>
      </w:r>
      <w:proofErr w:type="spellEnd"/>
      <w:r w:rsidR="00E87F66" w:rsidRPr="000B482D">
        <w:rPr>
          <w:rStyle w:val="Strong"/>
          <w:rFonts w:ascii="Verdana" w:hAnsi="Verdana"/>
          <w:b w:val="0"/>
          <w:sz w:val="20"/>
          <w:szCs w:val="20"/>
          <w:lang w:val="es-ES"/>
        </w:rPr>
        <w:t xml:space="preserve"> y </w:t>
      </w:r>
      <w:proofErr w:type="spellStart"/>
      <w:r w:rsidR="00E87F66" w:rsidRPr="000B482D">
        <w:rPr>
          <w:rStyle w:val="Strong"/>
          <w:rFonts w:ascii="Verdana" w:hAnsi="Verdana"/>
          <w:b w:val="0"/>
          <w:sz w:val="20"/>
          <w:szCs w:val="20"/>
          <w:lang w:val="es-ES"/>
        </w:rPr>
        <w:t>Lokono</w:t>
      </w:r>
      <w:proofErr w:type="spellEnd"/>
      <w:r w:rsidR="008A0723">
        <w:rPr>
          <w:rStyle w:val="Strong"/>
          <w:rFonts w:ascii="Verdana" w:hAnsi="Verdana"/>
          <w:b w:val="0"/>
          <w:sz w:val="20"/>
          <w:szCs w:val="20"/>
          <w:lang w:val="es-ES"/>
        </w:rPr>
        <w:t>.</w:t>
      </w:r>
    </w:p>
    <w:p w14:paraId="0D566E8F" w14:textId="77777777" w:rsidR="00123062" w:rsidRPr="000B482D" w:rsidRDefault="00123062" w:rsidP="000B482D">
      <w:pPr>
        <w:pStyle w:val="NoSpacing"/>
        <w:jc w:val="both"/>
        <w:rPr>
          <w:rFonts w:ascii="Verdana" w:hAnsi="Verdana"/>
          <w:sz w:val="20"/>
          <w:szCs w:val="20"/>
          <w:lang w:val="es-ES"/>
        </w:rPr>
      </w:pPr>
    </w:p>
    <w:p w14:paraId="20DEF503" w14:textId="59876ED2" w:rsidR="00E13D78" w:rsidRPr="000B482D" w:rsidRDefault="003D203C" w:rsidP="000B482D">
      <w:pPr>
        <w:pStyle w:val="NoSpacing"/>
        <w:jc w:val="both"/>
        <w:rPr>
          <w:rFonts w:ascii="Verdana" w:hAnsi="Verdana"/>
          <w:sz w:val="20"/>
          <w:szCs w:val="20"/>
          <w:lang w:val="es-ES"/>
        </w:rPr>
      </w:pPr>
      <w:r w:rsidRPr="000B482D">
        <w:rPr>
          <w:rFonts w:ascii="Verdana" w:hAnsi="Verdana"/>
          <w:sz w:val="20"/>
          <w:szCs w:val="20"/>
          <w:lang w:val="es-ES"/>
        </w:rPr>
        <w:t xml:space="preserve">Por otra parte, dentro del territorio que se encuentra en discusión en el presente caso, se crearon tres reservas naturales, a saber: i) la Reserva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en 1966; ii) la Reserva </w:t>
      </w:r>
      <w:proofErr w:type="spellStart"/>
      <w:r w:rsidRPr="000B482D">
        <w:rPr>
          <w:rFonts w:ascii="Verdana" w:hAnsi="Verdana"/>
          <w:sz w:val="20"/>
          <w:szCs w:val="20"/>
          <w:lang w:val="es-ES"/>
        </w:rPr>
        <w:t>Galibi</w:t>
      </w:r>
      <w:proofErr w:type="spellEnd"/>
      <w:r w:rsidRPr="000B482D">
        <w:rPr>
          <w:rFonts w:ascii="Verdana" w:hAnsi="Verdana"/>
          <w:sz w:val="20"/>
          <w:szCs w:val="20"/>
          <w:lang w:val="es-ES"/>
        </w:rPr>
        <w:t xml:space="preserve"> en 1969, y </w:t>
      </w:r>
      <w:r w:rsidR="00FB6428">
        <w:rPr>
          <w:rFonts w:ascii="Verdana" w:hAnsi="Verdana"/>
          <w:sz w:val="20"/>
          <w:szCs w:val="20"/>
          <w:lang w:val="es-ES"/>
        </w:rPr>
        <w:t xml:space="preserve">iii) </w:t>
      </w:r>
      <w:r w:rsidR="00CF6665" w:rsidRPr="000B482D">
        <w:rPr>
          <w:rFonts w:ascii="Verdana" w:hAnsi="Verdana"/>
          <w:sz w:val="20"/>
          <w:szCs w:val="20"/>
          <w:lang w:val="es-ES"/>
        </w:rPr>
        <w:t xml:space="preserve">la </w:t>
      </w:r>
      <w:r w:rsidRPr="000B482D">
        <w:rPr>
          <w:rFonts w:ascii="Verdana" w:hAnsi="Verdana"/>
          <w:sz w:val="20"/>
          <w:szCs w:val="20"/>
          <w:lang w:val="es-ES"/>
        </w:rPr>
        <w:t xml:space="preserve">Reserva </w:t>
      </w:r>
      <w:proofErr w:type="spellStart"/>
      <w:r w:rsidRPr="000B482D">
        <w:rPr>
          <w:rFonts w:ascii="Verdana" w:hAnsi="Verdana"/>
          <w:sz w:val="20"/>
          <w:szCs w:val="20"/>
          <w:lang w:val="es-ES"/>
        </w:rPr>
        <w:t>Wane</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Kreek</w:t>
      </w:r>
      <w:proofErr w:type="spellEnd"/>
      <w:r w:rsidRPr="000B482D">
        <w:rPr>
          <w:rFonts w:ascii="Verdana" w:hAnsi="Verdana"/>
          <w:sz w:val="20"/>
          <w:szCs w:val="20"/>
          <w:lang w:val="es-ES"/>
        </w:rPr>
        <w:t xml:space="preserve"> en 1986. Dichas reservas</w:t>
      </w:r>
      <w:r w:rsidR="00085E7F">
        <w:rPr>
          <w:rFonts w:ascii="Verdana" w:hAnsi="Verdana"/>
          <w:sz w:val="20"/>
          <w:szCs w:val="20"/>
          <w:lang w:val="es-ES"/>
        </w:rPr>
        <w:t xml:space="preserve">, según </w:t>
      </w:r>
      <w:r w:rsidR="00085E7F">
        <w:rPr>
          <w:rFonts w:ascii="Verdana" w:hAnsi="Verdana"/>
          <w:sz w:val="20"/>
          <w:szCs w:val="20"/>
          <w:lang w:val="es-ES"/>
        </w:rPr>
        <w:lastRenderedPageBreak/>
        <w:t>el reclamo,</w:t>
      </w:r>
      <w:r w:rsidRPr="000B482D">
        <w:rPr>
          <w:rFonts w:ascii="Verdana" w:hAnsi="Verdana"/>
          <w:sz w:val="20"/>
          <w:szCs w:val="20"/>
          <w:lang w:val="es-ES"/>
        </w:rPr>
        <w:t xml:space="preserve"> en su conjunto abarcan un aproximado de </w:t>
      </w:r>
      <w:r w:rsidRPr="00ED0702">
        <w:rPr>
          <w:rFonts w:ascii="Verdana" w:hAnsi="Verdana"/>
          <w:sz w:val="20"/>
          <w:szCs w:val="20"/>
          <w:lang w:val="es-ES"/>
        </w:rPr>
        <w:t>59.800</w:t>
      </w:r>
      <w:r w:rsidRPr="000B482D">
        <w:rPr>
          <w:rFonts w:ascii="Verdana" w:hAnsi="Verdana"/>
          <w:sz w:val="20"/>
          <w:szCs w:val="20"/>
          <w:lang w:val="es-ES"/>
        </w:rPr>
        <w:t xml:space="preserve"> hectáreas del territorio reclamado como ancestral por parte de los Pueblos </w:t>
      </w:r>
      <w:proofErr w:type="spellStart"/>
      <w:r w:rsidRPr="000B482D">
        <w:rPr>
          <w:rFonts w:ascii="Verdana" w:hAnsi="Verdana"/>
          <w:sz w:val="20"/>
          <w:szCs w:val="20"/>
          <w:lang w:val="es-ES"/>
        </w:rPr>
        <w:t>Kaliña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Lokono</w:t>
      </w:r>
      <w:proofErr w:type="spellEnd"/>
      <w:r w:rsidR="00CF6665" w:rsidRPr="000B482D">
        <w:rPr>
          <w:rFonts w:ascii="Verdana" w:hAnsi="Verdana"/>
          <w:sz w:val="20"/>
          <w:szCs w:val="20"/>
          <w:lang w:val="es-ES"/>
        </w:rPr>
        <w:t>.</w:t>
      </w:r>
    </w:p>
    <w:p w14:paraId="17125C23" w14:textId="77777777" w:rsidR="00E13D78" w:rsidRPr="000B482D" w:rsidRDefault="00E13D78" w:rsidP="000B482D">
      <w:pPr>
        <w:pStyle w:val="NoSpacing"/>
        <w:jc w:val="both"/>
        <w:rPr>
          <w:rFonts w:ascii="Verdana" w:hAnsi="Verdana"/>
          <w:sz w:val="20"/>
          <w:szCs w:val="20"/>
          <w:lang w:val="es-ES"/>
        </w:rPr>
      </w:pPr>
    </w:p>
    <w:p w14:paraId="36655CC5" w14:textId="559BFA82" w:rsidR="00E13D78" w:rsidRPr="000B482D" w:rsidRDefault="003D203C" w:rsidP="000B482D">
      <w:pPr>
        <w:pStyle w:val="NoSpacing"/>
        <w:jc w:val="both"/>
        <w:rPr>
          <w:rFonts w:ascii="Verdana" w:hAnsi="Verdana"/>
          <w:sz w:val="20"/>
          <w:szCs w:val="20"/>
          <w:lang w:val="es-CR"/>
        </w:rPr>
      </w:pPr>
      <w:r w:rsidRPr="000B482D">
        <w:rPr>
          <w:rFonts w:ascii="Verdana" w:hAnsi="Verdana"/>
          <w:sz w:val="20"/>
          <w:szCs w:val="20"/>
          <w:lang w:val="es-ES"/>
        </w:rPr>
        <w:t xml:space="preserve">Las Reservas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w:t>
      </w:r>
      <w:proofErr w:type="spellStart"/>
      <w:r w:rsidRPr="000B482D">
        <w:rPr>
          <w:rFonts w:ascii="Verdana" w:hAnsi="Verdana"/>
          <w:sz w:val="20"/>
          <w:szCs w:val="20"/>
          <w:lang w:val="es-ES"/>
        </w:rPr>
        <w:t>Wia</w:t>
      </w:r>
      <w:proofErr w:type="spellEnd"/>
      <w:r w:rsidRPr="000B482D">
        <w:rPr>
          <w:rFonts w:ascii="Verdana" w:hAnsi="Verdana"/>
          <w:sz w:val="20"/>
          <w:szCs w:val="20"/>
          <w:lang w:val="es-ES"/>
        </w:rPr>
        <w:t xml:space="preserve"> y </w:t>
      </w:r>
      <w:proofErr w:type="spellStart"/>
      <w:r w:rsidRPr="000B482D">
        <w:rPr>
          <w:rFonts w:ascii="Verdana" w:hAnsi="Verdana"/>
          <w:sz w:val="20"/>
          <w:szCs w:val="20"/>
          <w:lang w:val="es-ES"/>
        </w:rPr>
        <w:t>Galibi</w:t>
      </w:r>
      <w:proofErr w:type="spellEnd"/>
      <w:r w:rsidRPr="000B482D">
        <w:rPr>
          <w:rFonts w:ascii="Verdana" w:hAnsi="Verdana"/>
          <w:sz w:val="20"/>
          <w:szCs w:val="20"/>
          <w:lang w:val="es-ES"/>
        </w:rPr>
        <w:t xml:space="preserve"> fueron establecidas </w:t>
      </w:r>
      <w:r w:rsidRPr="000B482D">
        <w:rPr>
          <w:rFonts w:ascii="Verdana" w:hAnsi="Verdana"/>
          <w:sz w:val="20"/>
          <w:szCs w:val="20"/>
          <w:lang w:val="es-CR"/>
        </w:rPr>
        <w:t xml:space="preserve">para </w:t>
      </w:r>
      <w:r w:rsidRPr="000B482D">
        <w:rPr>
          <w:rFonts w:ascii="Verdana" w:hAnsi="Verdana"/>
          <w:sz w:val="20"/>
          <w:szCs w:val="20"/>
          <w:lang w:val="es-MX"/>
        </w:rPr>
        <w:t xml:space="preserve">la protección de </w:t>
      </w:r>
      <w:r w:rsidRPr="000B482D">
        <w:rPr>
          <w:rFonts w:ascii="Verdana" w:hAnsi="Verdana"/>
          <w:sz w:val="20"/>
          <w:szCs w:val="20"/>
          <w:lang w:val="es-ES"/>
        </w:rPr>
        <w:t>las playas de anidación de las tortugas marinas</w:t>
      </w:r>
      <w:r w:rsidR="00CF6665" w:rsidRPr="000B482D">
        <w:rPr>
          <w:rFonts w:ascii="Verdana" w:hAnsi="Verdana"/>
          <w:sz w:val="20"/>
          <w:szCs w:val="20"/>
          <w:lang w:val="es-ES"/>
        </w:rPr>
        <w:t xml:space="preserve">. </w:t>
      </w:r>
      <w:r w:rsidR="008A0723">
        <w:rPr>
          <w:rFonts w:ascii="Verdana" w:hAnsi="Verdana"/>
          <w:sz w:val="20"/>
          <w:szCs w:val="20"/>
          <w:lang w:val="es-ES"/>
        </w:rPr>
        <w:t>D</w:t>
      </w:r>
      <w:r w:rsidR="00E13D78" w:rsidRPr="000B482D">
        <w:rPr>
          <w:rFonts w:ascii="Verdana" w:hAnsi="Verdana"/>
          <w:sz w:val="20"/>
          <w:szCs w:val="20"/>
          <w:lang w:val="es-ES"/>
        </w:rPr>
        <w:t xml:space="preserve">urante </w:t>
      </w:r>
      <w:r w:rsidR="008A0723">
        <w:rPr>
          <w:rFonts w:ascii="Verdana" w:hAnsi="Verdana"/>
          <w:sz w:val="20"/>
          <w:szCs w:val="20"/>
          <w:lang w:val="es-ES"/>
        </w:rPr>
        <w:t>ciertos periodos</w:t>
      </w:r>
      <w:r w:rsidR="00E13D78" w:rsidRPr="000B482D">
        <w:rPr>
          <w:rFonts w:ascii="Verdana" w:hAnsi="Verdana"/>
          <w:sz w:val="20"/>
          <w:szCs w:val="20"/>
          <w:lang w:val="es-ES"/>
        </w:rPr>
        <w:t xml:space="preserve"> </w:t>
      </w:r>
      <w:r w:rsidR="00E13D78" w:rsidRPr="000B482D">
        <w:rPr>
          <w:rFonts w:ascii="Verdana" w:hAnsi="Verdana"/>
          <w:sz w:val="20"/>
          <w:szCs w:val="20"/>
          <w:lang w:val="es-CR"/>
        </w:rPr>
        <w:t xml:space="preserve">se impidió el acceso a </w:t>
      </w:r>
      <w:r w:rsidR="00ED0702">
        <w:rPr>
          <w:rFonts w:ascii="Verdana" w:hAnsi="Verdana"/>
          <w:sz w:val="20"/>
          <w:szCs w:val="20"/>
          <w:lang w:val="es-CR"/>
        </w:rPr>
        <w:t xml:space="preserve">los miembros del pueblo indígena a </w:t>
      </w:r>
      <w:r w:rsidR="00E13D78" w:rsidRPr="000B482D">
        <w:rPr>
          <w:rFonts w:ascii="Verdana" w:hAnsi="Verdana"/>
          <w:sz w:val="20"/>
          <w:szCs w:val="20"/>
          <w:lang w:val="es-CR"/>
        </w:rPr>
        <w:t xml:space="preserve">la Reserva de </w:t>
      </w:r>
      <w:proofErr w:type="spellStart"/>
      <w:r w:rsidR="00E13D78" w:rsidRPr="000B482D">
        <w:rPr>
          <w:rFonts w:ascii="Verdana" w:hAnsi="Verdana"/>
          <w:sz w:val="20"/>
          <w:szCs w:val="20"/>
          <w:lang w:val="es-CR"/>
        </w:rPr>
        <w:t>Galibi</w:t>
      </w:r>
      <w:proofErr w:type="spellEnd"/>
      <w:r w:rsidR="00E13D78" w:rsidRPr="000B482D">
        <w:rPr>
          <w:rFonts w:ascii="Verdana" w:hAnsi="Verdana"/>
          <w:sz w:val="20"/>
          <w:szCs w:val="20"/>
          <w:lang w:val="es-CR"/>
        </w:rPr>
        <w:t xml:space="preserve"> con motivo del incremento en los robos de huevo de tortuga y se pusieron puestos militares en las áreas de acceso</w:t>
      </w:r>
      <w:r w:rsidR="00CF6665" w:rsidRPr="000B482D">
        <w:rPr>
          <w:rFonts w:ascii="Verdana" w:hAnsi="Verdana"/>
          <w:sz w:val="20"/>
          <w:szCs w:val="20"/>
          <w:lang w:val="es-CR"/>
        </w:rPr>
        <w:t>.</w:t>
      </w:r>
    </w:p>
    <w:p w14:paraId="6E4AD26C" w14:textId="77777777" w:rsidR="00E13D78" w:rsidRPr="000B482D" w:rsidRDefault="00E13D78" w:rsidP="000B482D">
      <w:pPr>
        <w:pStyle w:val="NoSpacing"/>
        <w:jc w:val="both"/>
        <w:rPr>
          <w:rFonts w:ascii="Verdana" w:hAnsi="Verdana"/>
          <w:sz w:val="20"/>
          <w:szCs w:val="20"/>
          <w:lang w:val="es-ES"/>
        </w:rPr>
      </w:pPr>
    </w:p>
    <w:p w14:paraId="6F8FB284" w14:textId="265BD586" w:rsidR="00537270" w:rsidRPr="000B482D" w:rsidRDefault="00E13D78" w:rsidP="000B482D">
      <w:pPr>
        <w:pStyle w:val="NoSpacing"/>
        <w:jc w:val="both"/>
        <w:rPr>
          <w:rFonts w:ascii="Verdana" w:hAnsi="Verdana"/>
          <w:sz w:val="20"/>
          <w:szCs w:val="20"/>
          <w:lang w:val="es-CR"/>
        </w:rPr>
      </w:pPr>
      <w:r w:rsidRPr="000B482D">
        <w:rPr>
          <w:rFonts w:ascii="Verdana" w:hAnsi="Verdana"/>
          <w:sz w:val="20"/>
          <w:szCs w:val="20"/>
          <w:lang w:val="es-ES"/>
        </w:rPr>
        <w:t>L</w:t>
      </w:r>
      <w:r w:rsidR="003D203C" w:rsidRPr="000B482D">
        <w:rPr>
          <w:rFonts w:ascii="Verdana" w:hAnsi="Verdana"/>
          <w:sz w:val="20"/>
          <w:szCs w:val="20"/>
          <w:lang w:val="es-ES"/>
        </w:rPr>
        <w:t xml:space="preserve">a Reserva </w:t>
      </w:r>
      <w:proofErr w:type="spellStart"/>
      <w:r w:rsidR="003D203C" w:rsidRPr="000B482D">
        <w:rPr>
          <w:rFonts w:ascii="Verdana" w:hAnsi="Verdana"/>
          <w:sz w:val="20"/>
          <w:szCs w:val="20"/>
          <w:lang w:val="es-ES"/>
        </w:rPr>
        <w:t>Wane</w:t>
      </w:r>
      <w:proofErr w:type="spellEnd"/>
      <w:r w:rsidR="003D203C" w:rsidRPr="000B482D">
        <w:rPr>
          <w:rFonts w:ascii="Verdana" w:hAnsi="Verdana"/>
          <w:sz w:val="20"/>
          <w:szCs w:val="20"/>
          <w:lang w:val="es-ES"/>
        </w:rPr>
        <w:t xml:space="preserve"> </w:t>
      </w:r>
      <w:proofErr w:type="spellStart"/>
      <w:r w:rsidR="003D203C" w:rsidRPr="000B482D">
        <w:rPr>
          <w:rFonts w:ascii="Verdana" w:hAnsi="Verdana"/>
          <w:sz w:val="20"/>
          <w:szCs w:val="20"/>
          <w:lang w:val="es-ES"/>
        </w:rPr>
        <w:t>Kreek</w:t>
      </w:r>
      <w:proofErr w:type="spellEnd"/>
      <w:r w:rsidR="003D203C" w:rsidRPr="000B482D">
        <w:rPr>
          <w:rFonts w:ascii="Verdana" w:hAnsi="Verdana"/>
          <w:sz w:val="20"/>
          <w:szCs w:val="20"/>
          <w:lang w:val="es-ES"/>
        </w:rPr>
        <w:t xml:space="preserve"> </w:t>
      </w:r>
      <w:r w:rsidRPr="000B482D">
        <w:rPr>
          <w:rFonts w:ascii="Verdana" w:hAnsi="Verdana"/>
          <w:sz w:val="20"/>
          <w:szCs w:val="20"/>
          <w:lang w:val="es-ES"/>
        </w:rPr>
        <w:t>fue constituida para</w:t>
      </w:r>
      <w:r w:rsidR="003D203C" w:rsidRPr="000B482D">
        <w:rPr>
          <w:rFonts w:ascii="Verdana" w:hAnsi="Verdana"/>
          <w:sz w:val="20"/>
          <w:szCs w:val="20"/>
          <w:lang w:val="es-ES"/>
        </w:rPr>
        <w:t xml:space="preserve"> </w:t>
      </w:r>
      <w:r w:rsidR="003D203C" w:rsidRPr="000B482D">
        <w:rPr>
          <w:rFonts w:ascii="Verdana" w:hAnsi="Verdana"/>
          <w:sz w:val="20"/>
          <w:szCs w:val="20"/>
          <w:lang w:val="es-CR"/>
        </w:rPr>
        <w:t>la protección y conservación de ecosistemas</w:t>
      </w:r>
      <w:r w:rsidR="00CF6665" w:rsidRPr="000B482D">
        <w:rPr>
          <w:rFonts w:ascii="Verdana" w:hAnsi="Verdana"/>
          <w:sz w:val="20"/>
          <w:szCs w:val="20"/>
          <w:lang w:val="es-CR"/>
        </w:rPr>
        <w:t xml:space="preserve">. </w:t>
      </w:r>
      <w:r w:rsidR="0000501E" w:rsidRPr="000B482D">
        <w:rPr>
          <w:rFonts w:ascii="Verdana" w:hAnsi="Verdana"/>
          <w:sz w:val="20"/>
          <w:szCs w:val="20"/>
          <w:lang w:val="es-CR"/>
        </w:rPr>
        <w:t>Sin embargo, con fundamento en una concesión otorgada en 1958 por un período de 75 años, en</w:t>
      </w:r>
      <w:r w:rsidR="0000501E" w:rsidRPr="000B482D">
        <w:rPr>
          <w:rFonts w:ascii="Verdana" w:hAnsi="Verdana"/>
          <w:b/>
          <w:sz w:val="20"/>
          <w:szCs w:val="20"/>
          <w:lang w:val="es-CR"/>
        </w:rPr>
        <w:t xml:space="preserve"> </w:t>
      </w:r>
      <w:r w:rsidR="0000501E" w:rsidRPr="000B482D">
        <w:rPr>
          <w:rFonts w:ascii="Verdana" w:hAnsi="Verdana"/>
          <w:sz w:val="20"/>
          <w:szCs w:val="20"/>
          <w:lang w:val="es-CR"/>
        </w:rPr>
        <w:t xml:space="preserve">1997 la compañía </w:t>
      </w:r>
      <w:proofErr w:type="spellStart"/>
      <w:r w:rsidR="0000501E" w:rsidRPr="000B482D">
        <w:rPr>
          <w:rFonts w:ascii="Verdana" w:hAnsi="Verdana"/>
          <w:sz w:val="20"/>
          <w:szCs w:val="20"/>
          <w:lang w:val="es-CR"/>
        </w:rPr>
        <w:t>Suralco</w:t>
      </w:r>
      <w:proofErr w:type="spellEnd"/>
      <w:r w:rsidR="0000501E" w:rsidRPr="000B482D">
        <w:rPr>
          <w:rFonts w:ascii="Verdana" w:hAnsi="Verdana"/>
          <w:sz w:val="20"/>
          <w:szCs w:val="20"/>
          <w:lang w:val="es-CR"/>
        </w:rPr>
        <w:t xml:space="preserve"> comenzó a realizar actividades de minería a cielo abierto para la extracción de depósitos de bauxita en un espacio de entre 100 y 144 hectáreas, ubicado dentro de la Reserva </w:t>
      </w:r>
      <w:proofErr w:type="spellStart"/>
      <w:r w:rsidR="0000501E" w:rsidRPr="000B482D">
        <w:rPr>
          <w:rFonts w:ascii="Verdana" w:hAnsi="Verdana"/>
          <w:sz w:val="20"/>
          <w:szCs w:val="20"/>
          <w:lang w:val="es-CR"/>
        </w:rPr>
        <w:t>Wane</w:t>
      </w:r>
      <w:proofErr w:type="spellEnd"/>
      <w:r w:rsidR="0000501E" w:rsidRPr="000B482D">
        <w:rPr>
          <w:rFonts w:ascii="Verdana" w:hAnsi="Verdana"/>
          <w:sz w:val="20"/>
          <w:szCs w:val="20"/>
          <w:lang w:val="es-CR"/>
        </w:rPr>
        <w:t xml:space="preserve"> </w:t>
      </w:r>
      <w:proofErr w:type="spellStart"/>
      <w:r w:rsidR="0000501E" w:rsidRPr="000B482D">
        <w:rPr>
          <w:rFonts w:ascii="Verdana" w:hAnsi="Verdana"/>
          <w:sz w:val="20"/>
          <w:szCs w:val="20"/>
          <w:lang w:val="es-CR"/>
        </w:rPr>
        <w:t>Kreek</w:t>
      </w:r>
      <w:proofErr w:type="spellEnd"/>
      <w:r w:rsidR="00CF6665" w:rsidRPr="000B482D">
        <w:rPr>
          <w:rFonts w:ascii="Verdana" w:hAnsi="Verdana"/>
          <w:sz w:val="20"/>
          <w:szCs w:val="20"/>
          <w:lang w:val="es-CR"/>
        </w:rPr>
        <w:t xml:space="preserve">. </w:t>
      </w:r>
      <w:r w:rsidR="001D13C6" w:rsidRPr="000B482D">
        <w:rPr>
          <w:rFonts w:ascii="Verdana" w:hAnsi="Verdana"/>
          <w:sz w:val="20"/>
          <w:szCs w:val="20"/>
          <w:lang w:val="es-CR"/>
        </w:rPr>
        <w:t xml:space="preserve">El primer </w:t>
      </w:r>
      <w:r w:rsidR="008A0723">
        <w:rPr>
          <w:rFonts w:ascii="Verdana" w:hAnsi="Verdana"/>
          <w:sz w:val="20"/>
          <w:szCs w:val="20"/>
          <w:lang w:val="es-CR"/>
        </w:rPr>
        <w:t>“</w:t>
      </w:r>
      <w:r w:rsidR="001D13C6" w:rsidRPr="000B482D">
        <w:rPr>
          <w:rFonts w:ascii="Verdana" w:hAnsi="Verdana"/>
          <w:sz w:val="20"/>
          <w:szCs w:val="20"/>
          <w:lang w:val="es-CR"/>
        </w:rPr>
        <w:t xml:space="preserve">estudio de </w:t>
      </w:r>
      <w:r w:rsidR="008A0723">
        <w:rPr>
          <w:rFonts w:ascii="Verdana" w:hAnsi="Verdana"/>
          <w:sz w:val="20"/>
          <w:szCs w:val="20"/>
          <w:lang w:val="es-CR"/>
        </w:rPr>
        <w:t>sensibilidad</w:t>
      </w:r>
      <w:r w:rsidR="008A0723" w:rsidRPr="000B482D">
        <w:rPr>
          <w:rFonts w:ascii="Verdana" w:hAnsi="Verdana"/>
          <w:sz w:val="20"/>
          <w:szCs w:val="20"/>
          <w:lang w:val="es-CR"/>
        </w:rPr>
        <w:t xml:space="preserve"> </w:t>
      </w:r>
      <w:r w:rsidR="001D13C6" w:rsidRPr="000B482D">
        <w:rPr>
          <w:rFonts w:ascii="Verdana" w:hAnsi="Verdana"/>
          <w:sz w:val="20"/>
          <w:szCs w:val="20"/>
          <w:lang w:val="es-CR"/>
        </w:rPr>
        <w:t>ambiental</w:t>
      </w:r>
      <w:r w:rsidR="008A0723">
        <w:rPr>
          <w:rFonts w:ascii="Verdana" w:hAnsi="Verdana"/>
          <w:sz w:val="20"/>
          <w:szCs w:val="20"/>
          <w:lang w:val="es-CR"/>
        </w:rPr>
        <w:t>”</w:t>
      </w:r>
      <w:r w:rsidR="001D13C6" w:rsidRPr="000B482D">
        <w:rPr>
          <w:rFonts w:ascii="Verdana" w:hAnsi="Verdana"/>
          <w:sz w:val="20"/>
          <w:szCs w:val="20"/>
          <w:lang w:val="es-CR"/>
        </w:rPr>
        <w:t xml:space="preserve"> fue realizado en 2005, y en este se recomendó, entre otras cosas, concluir las actividades de explotación minera tan pronto </w:t>
      </w:r>
      <w:r w:rsidR="00EB53A9">
        <w:rPr>
          <w:rFonts w:ascii="Verdana" w:hAnsi="Verdana"/>
          <w:sz w:val="20"/>
          <w:szCs w:val="20"/>
          <w:lang w:val="es-CR"/>
        </w:rPr>
        <w:t>fuer</w:t>
      </w:r>
      <w:r w:rsidR="001D13C6" w:rsidRPr="000B482D">
        <w:rPr>
          <w:rFonts w:ascii="Verdana" w:hAnsi="Verdana"/>
          <w:sz w:val="20"/>
          <w:szCs w:val="20"/>
          <w:lang w:val="es-CR"/>
        </w:rPr>
        <w:t>a posible, y rehabilitar el daño ocasionado</w:t>
      </w:r>
      <w:r w:rsidR="00CF6665" w:rsidRPr="000B482D">
        <w:rPr>
          <w:rFonts w:ascii="Verdana" w:hAnsi="Verdana"/>
          <w:sz w:val="20"/>
          <w:szCs w:val="20"/>
          <w:lang w:val="es-CR"/>
        </w:rPr>
        <w:t>.</w:t>
      </w:r>
      <w:r w:rsidR="001D13C6" w:rsidRPr="000B482D">
        <w:rPr>
          <w:rFonts w:ascii="Verdana" w:hAnsi="Verdana"/>
          <w:sz w:val="20"/>
          <w:szCs w:val="20"/>
          <w:lang w:val="es-CR"/>
        </w:rPr>
        <w:t xml:space="preserve"> Como consecuencia de la minería en la </w:t>
      </w:r>
      <w:r w:rsidR="00CF6665" w:rsidRPr="000B482D">
        <w:rPr>
          <w:rFonts w:ascii="Verdana" w:hAnsi="Verdana"/>
          <w:sz w:val="20"/>
          <w:szCs w:val="20"/>
          <w:lang w:val="es-CR"/>
        </w:rPr>
        <w:t>r</w:t>
      </w:r>
      <w:r w:rsidR="001D13C6" w:rsidRPr="000B482D">
        <w:rPr>
          <w:rFonts w:ascii="Verdana" w:hAnsi="Verdana"/>
          <w:sz w:val="20"/>
          <w:szCs w:val="20"/>
          <w:lang w:val="es-CR"/>
        </w:rPr>
        <w:t xml:space="preserve">eserva, las actividades de caza y pesca, que eran tradicionales en la zona, se </w:t>
      </w:r>
      <w:r w:rsidR="00537270" w:rsidRPr="000B482D">
        <w:rPr>
          <w:rFonts w:ascii="Verdana" w:hAnsi="Verdana"/>
          <w:sz w:val="20"/>
          <w:szCs w:val="20"/>
          <w:lang w:val="es-CR"/>
        </w:rPr>
        <w:t>redujeron</w:t>
      </w:r>
      <w:r w:rsidR="001D13C6" w:rsidRPr="000B482D">
        <w:rPr>
          <w:rFonts w:ascii="Verdana" w:hAnsi="Verdana"/>
          <w:sz w:val="20"/>
          <w:szCs w:val="20"/>
          <w:lang w:val="es-CR"/>
        </w:rPr>
        <w:t xml:space="preserve"> considerablemente</w:t>
      </w:r>
      <w:r w:rsidR="00CF6665" w:rsidRPr="000B482D">
        <w:rPr>
          <w:rFonts w:ascii="Verdana" w:hAnsi="Verdana"/>
          <w:sz w:val="20"/>
          <w:szCs w:val="20"/>
          <w:lang w:val="es-CR"/>
        </w:rPr>
        <w:t>.</w:t>
      </w:r>
      <w:r w:rsidR="00537270" w:rsidRPr="000B482D">
        <w:rPr>
          <w:rFonts w:ascii="Verdana" w:hAnsi="Verdana"/>
          <w:sz w:val="20"/>
          <w:szCs w:val="20"/>
          <w:lang w:val="es-CR"/>
        </w:rPr>
        <w:t xml:space="preserve"> Las actividades de extracción de bauxita concluyeron en 2009, y en la actualidad </w:t>
      </w:r>
      <w:r w:rsidR="008A0723">
        <w:rPr>
          <w:rFonts w:ascii="Verdana" w:hAnsi="Verdana"/>
          <w:sz w:val="20"/>
          <w:szCs w:val="20"/>
          <w:lang w:val="es-CR"/>
        </w:rPr>
        <w:t xml:space="preserve">ciertas </w:t>
      </w:r>
      <w:r w:rsidR="00537270" w:rsidRPr="000B482D">
        <w:rPr>
          <w:rFonts w:ascii="Verdana" w:hAnsi="Verdana"/>
          <w:sz w:val="20"/>
          <w:szCs w:val="20"/>
          <w:lang w:val="es-CR"/>
        </w:rPr>
        <w:t>zona</w:t>
      </w:r>
      <w:r w:rsidR="008A0723">
        <w:rPr>
          <w:rFonts w:ascii="Verdana" w:hAnsi="Verdana"/>
          <w:sz w:val="20"/>
          <w:szCs w:val="20"/>
          <w:lang w:val="es-CR"/>
        </w:rPr>
        <w:t>s</w:t>
      </w:r>
      <w:r w:rsidR="00537270" w:rsidRPr="000B482D">
        <w:rPr>
          <w:rFonts w:ascii="Verdana" w:hAnsi="Verdana"/>
          <w:sz w:val="20"/>
          <w:szCs w:val="20"/>
          <w:lang w:val="es-CR"/>
        </w:rPr>
        <w:t xml:space="preserve"> se encuentra en una fase de rehabilitación forestal</w:t>
      </w:r>
      <w:r w:rsidR="00CF6665" w:rsidRPr="000B482D">
        <w:rPr>
          <w:rFonts w:ascii="Verdana" w:hAnsi="Verdana"/>
          <w:sz w:val="20"/>
          <w:szCs w:val="20"/>
          <w:lang w:val="es-CR"/>
        </w:rPr>
        <w:t>.</w:t>
      </w:r>
    </w:p>
    <w:p w14:paraId="063BEF27" w14:textId="77777777" w:rsidR="00537270" w:rsidRPr="000B482D" w:rsidRDefault="00537270" w:rsidP="000B482D">
      <w:pPr>
        <w:pStyle w:val="NoSpacing"/>
        <w:jc w:val="both"/>
        <w:rPr>
          <w:rFonts w:ascii="Verdana" w:hAnsi="Verdana"/>
          <w:sz w:val="20"/>
          <w:szCs w:val="20"/>
          <w:lang w:val="es-CR"/>
        </w:rPr>
      </w:pPr>
    </w:p>
    <w:p w14:paraId="44526576" w14:textId="421CFE7B" w:rsidR="00537270" w:rsidRDefault="00ED0702" w:rsidP="000B482D">
      <w:pPr>
        <w:pStyle w:val="NoSpacing"/>
        <w:jc w:val="both"/>
        <w:rPr>
          <w:rFonts w:ascii="Verdana" w:hAnsi="Verdana"/>
          <w:sz w:val="20"/>
          <w:szCs w:val="20"/>
          <w:lang w:val="es-ES"/>
        </w:rPr>
      </w:pPr>
      <w:r>
        <w:rPr>
          <w:rFonts w:ascii="Verdana" w:hAnsi="Verdana"/>
          <w:sz w:val="20"/>
          <w:szCs w:val="20"/>
          <w:lang w:val="es-ES"/>
        </w:rPr>
        <w:t>Por otra parte</w:t>
      </w:r>
      <w:r w:rsidR="00085E7F">
        <w:rPr>
          <w:rFonts w:ascii="Verdana" w:hAnsi="Verdana"/>
          <w:sz w:val="20"/>
          <w:szCs w:val="20"/>
          <w:lang w:val="es-ES"/>
        </w:rPr>
        <w:t>,</w:t>
      </w:r>
      <w:r>
        <w:rPr>
          <w:rFonts w:ascii="Verdana" w:hAnsi="Verdana"/>
          <w:sz w:val="20"/>
          <w:szCs w:val="20"/>
          <w:lang w:val="es-ES"/>
        </w:rPr>
        <w:t xml:space="preserve"> e</w:t>
      </w:r>
      <w:r w:rsidR="00537270" w:rsidRPr="000B482D">
        <w:rPr>
          <w:rFonts w:ascii="Verdana" w:hAnsi="Verdana"/>
          <w:sz w:val="20"/>
          <w:szCs w:val="20"/>
          <w:lang w:val="es-ES"/>
        </w:rPr>
        <w:t>n 1975 el Estado inició un proyecto de parcelación urbano denominado "</w:t>
      </w:r>
      <w:proofErr w:type="spellStart"/>
      <w:r w:rsidR="00537270" w:rsidRPr="000B482D">
        <w:rPr>
          <w:rFonts w:ascii="Verdana" w:hAnsi="Verdana"/>
          <w:sz w:val="20"/>
          <w:szCs w:val="20"/>
          <w:lang w:val="es-ES"/>
        </w:rPr>
        <w:t>Tuinstad</w:t>
      </w:r>
      <w:proofErr w:type="spellEnd"/>
      <w:r w:rsidR="00537270" w:rsidRPr="000B482D">
        <w:rPr>
          <w:rFonts w:ascii="Verdana" w:hAnsi="Verdana"/>
          <w:sz w:val="20"/>
          <w:szCs w:val="20"/>
          <w:lang w:val="es-ES"/>
        </w:rPr>
        <w:t xml:space="preserve"> Albina" (“Garden City Albina”) paralelo al río Marowijne, en las cercanías de los pueblos de </w:t>
      </w:r>
      <w:proofErr w:type="spellStart"/>
      <w:r w:rsidR="00537270" w:rsidRPr="000B482D">
        <w:rPr>
          <w:rFonts w:ascii="Verdana" w:hAnsi="Verdana"/>
          <w:sz w:val="20"/>
          <w:szCs w:val="20"/>
          <w:lang w:val="es-ES"/>
        </w:rPr>
        <w:t>Erowarte</w:t>
      </w:r>
      <w:proofErr w:type="spellEnd"/>
      <w:r w:rsidR="00537270" w:rsidRPr="000B482D">
        <w:rPr>
          <w:rFonts w:ascii="Verdana" w:hAnsi="Verdana"/>
          <w:sz w:val="20"/>
          <w:szCs w:val="20"/>
          <w:lang w:val="es-ES"/>
        </w:rPr>
        <w:t xml:space="preserve">, </w:t>
      </w:r>
      <w:proofErr w:type="spellStart"/>
      <w:r w:rsidR="00537270" w:rsidRPr="000B482D">
        <w:rPr>
          <w:rFonts w:ascii="Verdana" w:hAnsi="Verdana"/>
          <w:sz w:val="20"/>
          <w:szCs w:val="20"/>
          <w:lang w:val="es-ES"/>
        </w:rPr>
        <w:t>Tapuku</w:t>
      </w:r>
      <w:proofErr w:type="spellEnd"/>
      <w:r w:rsidR="00537270" w:rsidRPr="000B482D">
        <w:rPr>
          <w:rFonts w:ascii="Verdana" w:hAnsi="Verdana"/>
          <w:sz w:val="20"/>
          <w:szCs w:val="20"/>
          <w:lang w:val="es-ES"/>
        </w:rPr>
        <w:t xml:space="preserve">, </w:t>
      </w:r>
      <w:proofErr w:type="spellStart"/>
      <w:r w:rsidR="00537270" w:rsidRPr="000B482D">
        <w:rPr>
          <w:rFonts w:ascii="Verdana" w:hAnsi="Verdana"/>
          <w:sz w:val="20"/>
          <w:szCs w:val="20"/>
          <w:lang w:val="es-ES"/>
        </w:rPr>
        <w:t>Pierrekondre</w:t>
      </w:r>
      <w:proofErr w:type="spellEnd"/>
      <w:r w:rsidR="00537270" w:rsidRPr="000B482D">
        <w:rPr>
          <w:rFonts w:ascii="Verdana" w:hAnsi="Verdana"/>
          <w:sz w:val="20"/>
          <w:szCs w:val="20"/>
          <w:lang w:val="es-ES"/>
        </w:rPr>
        <w:t xml:space="preserve"> y </w:t>
      </w:r>
      <w:proofErr w:type="spellStart"/>
      <w:r w:rsidR="00537270" w:rsidRPr="000B482D">
        <w:rPr>
          <w:rFonts w:ascii="Verdana" w:hAnsi="Verdana"/>
          <w:sz w:val="20"/>
          <w:szCs w:val="20"/>
          <w:lang w:val="es-CR"/>
        </w:rPr>
        <w:t>Marijkedorp</w:t>
      </w:r>
      <w:proofErr w:type="spellEnd"/>
      <w:r>
        <w:rPr>
          <w:rFonts w:ascii="Verdana" w:hAnsi="Verdana"/>
          <w:sz w:val="20"/>
          <w:szCs w:val="20"/>
          <w:lang w:val="es-CR"/>
        </w:rPr>
        <w:t xml:space="preserve">, </w:t>
      </w:r>
      <w:r w:rsidR="00085E7F">
        <w:rPr>
          <w:rFonts w:ascii="Verdana" w:hAnsi="Verdana"/>
          <w:sz w:val="20"/>
          <w:szCs w:val="20"/>
          <w:lang w:val="es-CR"/>
        </w:rPr>
        <w:t xml:space="preserve">mediante </w:t>
      </w:r>
      <w:r>
        <w:rPr>
          <w:rFonts w:ascii="Verdana" w:hAnsi="Verdana"/>
          <w:sz w:val="20"/>
          <w:szCs w:val="20"/>
          <w:lang w:val="es-CR"/>
        </w:rPr>
        <w:t>el cual</w:t>
      </w:r>
      <w:r w:rsidR="00085E7F">
        <w:rPr>
          <w:rFonts w:ascii="Verdana" w:hAnsi="Verdana"/>
          <w:sz w:val="20"/>
          <w:szCs w:val="20"/>
          <w:lang w:val="es-CR"/>
        </w:rPr>
        <w:t xml:space="preserve"> se</w:t>
      </w:r>
      <w:r>
        <w:rPr>
          <w:rFonts w:ascii="Verdana" w:hAnsi="Verdana"/>
          <w:sz w:val="20"/>
          <w:szCs w:val="20"/>
          <w:lang w:val="es-CR"/>
        </w:rPr>
        <w:t xml:space="preserve"> otorg</w:t>
      </w:r>
      <w:r w:rsidR="00085E7F">
        <w:rPr>
          <w:rFonts w:ascii="Verdana" w:hAnsi="Verdana"/>
          <w:sz w:val="20"/>
          <w:szCs w:val="20"/>
          <w:lang w:val="es-CR"/>
        </w:rPr>
        <w:t>aron</w:t>
      </w:r>
      <w:r>
        <w:rPr>
          <w:rFonts w:ascii="Verdana" w:hAnsi="Verdana"/>
          <w:sz w:val="20"/>
          <w:szCs w:val="20"/>
          <w:lang w:val="es-CR"/>
        </w:rPr>
        <w:t xml:space="preserve"> títulos a terceros no indígenas</w:t>
      </w:r>
      <w:r w:rsidR="00085E7F">
        <w:rPr>
          <w:rFonts w:ascii="Verdana" w:hAnsi="Verdana"/>
          <w:sz w:val="20"/>
          <w:szCs w:val="20"/>
          <w:lang w:val="es-CR"/>
        </w:rPr>
        <w:t xml:space="preserve">, en áreas contiguas a </w:t>
      </w:r>
      <w:r w:rsidR="00537270" w:rsidRPr="000B482D">
        <w:rPr>
          <w:rFonts w:ascii="Verdana" w:hAnsi="Verdana"/>
          <w:sz w:val="20"/>
          <w:szCs w:val="20"/>
          <w:lang w:val="es-ES"/>
        </w:rPr>
        <w:t xml:space="preserve">las </w:t>
      </w:r>
      <w:r w:rsidR="008A0723">
        <w:rPr>
          <w:rFonts w:ascii="Verdana" w:hAnsi="Verdana"/>
          <w:sz w:val="20"/>
          <w:szCs w:val="20"/>
          <w:lang w:val="es-ES"/>
        </w:rPr>
        <w:t>viviendas</w:t>
      </w:r>
      <w:r w:rsidR="008A0723" w:rsidRPr="000B482D">
        <w:rPr>
          <w:rFonts w:ascii="Verdana" w:hAnsi="Verdana"/>
          <w:sz w:val="20"/>
          <w:szCs w:val="20"/>
          <w:lang w:val="es-ES"/>
        </w:rPr>
        <w:t xml:space="preserve"> </w:t>
      </w:r>
      <w:r w:rsidR="00537270" w:rsidRPr="000B482D">
        <w:rPr>
          <w:rFonts w:ascii="Verdana" w:hAnsi="Verdana"/>
          <w:sz w:val="20"/>
          <w:szCs w:val="20"/>
          <w:lang w:val="es-ES"/>
        </w:rPr>
        <w:t>de miembros de las comunidades indígenas</w:t>
      </w:r>
      <w:r w:rsidR="00CF6665" w:rsidRPr="000B482D">
        <w:rPr>
          <w:rFonts w:ascii="Verdana" w:hAnsi="Verdana"/>
          <w:sz w:val="20"/>
          <w:szCs w:val="20"/>
          <w:lang w:val="es-ES"/>
        </w:rPr>
        <w:t>.</w:t>
      </w:r>
    </w:p>
    <w:p w14:paraId="7F5C9157" w14:textId="77777777" w:rsidR="008A0723" w:rsidRPr="000B482D" w:rsidRDefault="008A0723" w:rsidP="000B482D">
      <w:pPr>
        <w:pStyle w:val="NoSpacing"/>
        <w:jc w:val="both"/>
        <w:rPr>
          <w:rFonts w:ascii="Verdana" w:hAnsi="Verdana"/>
          <w:sz w:val="20"/>
          <w:szCs w:val="20"/>
          <w:lang w:val="es-CR"/>
        </w:rPr>
      </w:pPr>
    </w:p>
    <w:p w14:paraId="3E70904C" w14:textId="5C914114" w:rsidR="008A0723" w:rsidRPr="000B482D" w:rsidRDefault="00ED0702" w:rsidP="008A0723">
      <w:pPr>
        <w:pStyle w:val="NoSpacing"/>
        <w:jc w:val="both"/>
        <w:rPr>
          <w:rFonts w:ascii="Verdana" w:hAnsi="Verdana"/>
          <w:sz w:val="20"/>
          <w:szCs w:val="20"/>
          <w:lang w:val="es-ES"/>
        </w:rPr>
      </w:pPr>
      <w:r w:rsidRPr="008048A4">
        <w:rPr>
          <w:rStyle w:val="Strong"/>
          <w:rFonts w:ascii="Verdana" w:hAnsi="Verdana"/>
          <w:b w:val="0"/>
          <w:color w:val="000000"/>
          <w:sz w:val="20"/>
          <w:szCs w:val="20"/>
          <w:shd w:val="clear" w:color="auto" w:fill="FFFFFF"/>
          <w:lang w:val="es-CR"/>
        </w:rPr>
        <w:t>Finalmente, l</w:t>
      </w:r>
      <w:r w:rsidR="008A0723" w:rsidRPr="008048A4">
        <w:rPr>
          <w:rStyle w:val="Strong"/>
          <w:rFonts w:ascii="Verdana" w:hAnsi="Verdana"/>
          <w:b w:val="0"/>
          <w:color w:val="000000"/>
          <w:sz w:val="20"/>
          <w:szCs w:val="20"/>
          <w:shd w:val="clear" w:color="auto" w:fill="FFFFFF"/>
          <w:lang w:val="es-CR"/>
        </w:rPr>
        <w:t xml:space="preserve">a Corte determinó que </w:t>
      </w:r>
      <w:r w:rsidR="008A0723" w:rsidRPr="008048A4">
        <w:rPr>
          <w:rStyle w:val="Strong"/>
          <w:rFonts w:ascii="Verdana" w:hAnsi="Verdana"/>
          <w:b w:val="0"/>
          <w:sz w:val="20"/>
          <w:szCs w:val="20"/>
          <w:lang w:val="es-ES"/>
        </w:rPr>
        <w:t xml:space="preserve">el ordenamiento interno de Surinam no reconoce la posibilidad de que los pueblos indígenas se constituyan como personas jurídicas, y en consecuencia carecen de capacidad para ostentar títulos de propiedad colectivos. </w:t>
      </w:r>
      <w:r w:rsidR="008A0723" w:rsidRPr="008048A4">
        <w:rPr>
          <w:rFonts w:ascii="Verdana" w:hAnsi="Verdana"/>
          <w:sz w:val="20"/>
          <w:szCs w:val="20"/>
          <w:lang w:val="es-CR"/>
        </w:rPr>
        <w:t xml:space="preserve">Asimismo, en cuanto a las acciones realizadas por los Pueblos </w:t>
      </w:r>
      <w:proofErr w:type="spellStart"/>
      <w:r w:rsidR="008A0723" w:rsidRPr="008048A4">
        <w:rPr>
          <w:rFonts w:ascii="Verdana" w:hAnsi="Verdana"/>
          <w:sz w:val="20"/>
          <w:szCs w:val="20"/>
          <w:lang w:val="es-CR"/>
        </w:rPr>
        <w:t>Kaliña</w:t>
      </w:r>
      <w:proofErr w:type="spellEnd"/>
      <w:r w:rsidR="008A0723" w:rsidRPr="008048A4">
        <w:rPr>
          <w:rFonts w:ascii="Verdana" w:hAnsi="Verdana"/>
          <w:sz w:val="20"/>
          <w:szCs w:val="20"/>
          <w:lang w:val="es-CR"/>
        </w:rPr>
        <w:t xml:space="preserve"> y </w:t>
      </w:r>
      <w:proofErr w:type="spellStart"/>
      <w:r w:rsidR="008A0723" w:rsidRPr="008048A4">
        <w:rPr>
          <w:rFonts w:ascii="Verdana" w:hAnsi="Verdana"/>
          <w:sz w:val="20"/>
          <w:szCs w:val="20"/>
          <w:lang w:val="es-CR"/>
        </w:rPr>
        <w:t>Lokono</w:t>
      </w:r>
      <w:proofErr w:type="spellEnd"/>
      <w:r w:rsidR="008A0723" w:rsidRPr="008048A4">
        <w:rPr>
          <w:rFonts w:ascii="Verdana" w:hAnsi="Verdana"/>
          <w:sz w:val="20"/>
          <w:szCs w:val="20"/>
          <w:lang w:val="es-CR"/>
        </w:rPr>
        <w:t xml:space="preserve"> para el reconocimiento de sus derechos, la Corte comprobó la ejecución de </w:t>
      </w:r>
      <w:r w:rsidR="008A0723" w:rsidRPr="008048A4">
        <w:rPr>
          <w:rFonts w:ascii="Verdana" w:hAnsi="Verdana"/>
          <w:sz w:val="20"/>
          <w:szCs w:val="20"/>
          <w:lang w:val="es-ES"/>
        </w:rPr>
        <w:t>distintas protestas sociales, peticiones administrativas y procedimientos judiciales relacionados con el territorio reclamado en el presente caso.</w:t>
      </w:r>
      <w:r w:rsidR="008A0723" w:rsidRPr="008048A4">
        <w:rPr>
          <w:rFonts w:ascii="Verdana" w:hAnsi="Verdana"/>
          <w:b/>
          <w:sz w:val="20"/>
          <w:szCs w:val="20"/>
          <w:lang w:val="es-ES"/>
        </w:rPr>
        <w:t xml:space="preserve"> </w:t>
      </w:r>
      <w:r w:rsidR="008A0723" w:rsidRPr="008048A4">
        <w:rPr>
          <w:rFonts w:ascii="Verdana" w:hAnsi="Verdana"/>
          <w:sz w:val="20"/>
          <w:szCs w:val="20"/>
          <w:lang w:val="es-ES"/>
        </w:rPr>
        <w:t xml:space="preserve">Al respecto, los procedimientos judiciales fueron desestimados </w:t>
      </w:r>
      <w:r w:rsidR="008A0723" w:rsidRPr="008048A4">
        <w:rPr>
          <w:rFonts w:ascii="Verdana" w:hAnsi="Verdana"/>
          <w:snapToGrid w:val="0"/>
          <w:sz w:val="20"/>
          <w:szCs w:val="20"/>
          <w:lang w:val="es-CR"/>
        </w:rPr>
        <w:t xml:space="preserve">en virtud de que los miembros de los pueblos indígenas carecían de capacidad legal como entidad colectiva, y no poseían un título de propiedad colectivo sobre el territorio reclamado. Asimismo, las peticiones presentadas por los Capitanes de los Pueblos </w:t>
      </w:r>
      <w:proofErr w:type="spellStart"/>
      <w:r w:rsidR="008A0723" w:rsidRPr="008048A4">
        <w:rPr>
          <w:rFonts w:ascii="Verdana" w:hAnsi="Verdana"/>
          <w:snapToGrid w:val="0"/>
          <w:sz w:val="20"/>
          <w:szCs w:val="20"/>
          <w:lang w:val="es-CR"/>
        </w:rPr>
        <w:t>Kaliña</w:t>
      </w:r>
      <w:proofErr w:type="spellEnd"/>
      <w:r w:rsidR="008A0723" w:rsidRPr="008048A4">
        <w:rPr>
          <w:rFonts w:ascii="Verdana" w:hAnsi="Verdana"/>
          <w:snapToGrid w:val="0"/>
          <w:sz w:val="20"/>
          <w:szCs w:val="20"/>
          <w:lang w:val="es-CR"/>
        </w:rPr>
        <w:t xml:space="preserve"> y </w:t>
      </w:r>
      <w:proofErr w:type="spellStart"/>
      <w:r w:rsidR="008A0723" w:rsidRPr="008048A4">
        <w:rPr>
          <w:rFonts w:ascii="Verdana" w:hAnsi="Verdana"/>
          <w:snapToGrid w:val="0"/>
          <w:sz w:val="20"/>
          <w:szCs w:val="20"/>
          <w:lang w:val="es-CR"/>
        </w:rPr>
        <w:t>Lokono</w:t>
      </w:r>
      <w:proofErr w:type="spellEnd"/>
      <w:r w:rsidR="008A0723" w:rsidRPr="008048A4">
        <w:rPr>
          <w:rFonts w:ascii="Verdana" w:hAnsi="Verdana"/>
          <w:snapToGrid w:val="0"/>
          <w:sz w:val="20"/>
          <w:szCs w:val="20"/>
          <w:lang w:val="es-CR"/>
        </w:rPr>
        <w:t xml:space="preserve"> ante el Presidente de Surinam, los </w:t>
      </w:r>
      <w:r w:rsidR="008A0723" w:rsidRPr="008048A4">
        <w:rPr>
          <w:rFonts w:ascii="Verdana" w:hAnsi="Verdana"/>
          <w:sz w:val="20"/>
          <w:szCs w:val="20"/>
          <w:lang w:val="es-ES"/>
        </w:rPr>
        <w:t>Ministros de Desarrollo Regional y Recursos Naturales y la Oficina de Tierras Estatales no obtuvieron respuesta.</w:t>
      </w:r>
    </w:p>
    <w:p w14:paraId="393C6DB1" w14:textId="77777777" w:rsidR="004B6E42" w:rsidRPr="000B482D" w:rsidRDefault="004B6E42" w:rsidP="000B482D">
      <w:pPr>
        <w:pStyle w:val="NoSpacing"/>
        <w:jc w:val="both"/>
        <w:rPr>
          <w:rFonts w:ascii="Verdana" w:hAnsi="Verdana"/>
          <w:sz w:val="20"/>
          <w:szCs w:val="20"/>
          <w:lang w:val="es-ES"/>
        </w:rPr>
      </w:pPr>
    </w:p>
    <w:p w14:paraId="073A6CAE" w14:textId="064C270F" w:rsidR="00A220B5" w:rsidRPr="00FB72FE" w:rsidRDefault="00A220B5" w:rsidP="00FB72FE">
      <w:pPr>
        <w:pStyle w:val="ListParagraph"/>
        <w:numPr>
          <w:ilvl w:val="0"/>
          <w:numId w:val="1"/>
        </w:numPr>
        <w:tabs>
          <w:tab w:val="left" w:pos="567"/>
          <w:tab w:val="left" w:pos="2128"/>
        </w:tabs>
        <w:contextualSpacing/>
        <w:jc w:val="both"/>
        <w:rPr>
          <w:b/>
          <w:lang w:val="es-MX"/>
        </w:rPr>
      </w:pPr>
      <w:r w:rsidRPr="00FB72FE">
        <w:rPr>
          <w:b/>
          <w:lang w:val="es-MX"/>
        </w:rPr>
        <w:t>Fondo</w:t>
      </w:r>
    </w:p>
    <w:p w14:paraId="29C5048C" w14:textId="77777777" w:rsidR="00FB72FE" w:rsidRPr="00FB72FE" w:rsidRDefault="00FB72FE" w:rsidP="00FB72FE">
      <w:pPr>
        <w:tabs>
          <w:tab w:val="left" w:pos="567"/>
          <w:tab w:val="left" w:pos="2128"/>
        </w:tabs>
        <w:ind w:left="360"/>
        <w:contextualSpacing/>
        <w:jc w:val="both"/>
        <w:rPr>
          <w:b/>
          <w:lang w:val="es-MX"/>
        </w:rPr>
      </w:pPr>
    </w:p>
    <w:p w14:paraId="1ECB4E20" w14:textId="64D6A904" w:rsidR="00A220B5" w:rsidRPr="000B482D" w:rsidRDefault="00A220B5" w:rsidP="000B482D">
      <w:pPr>
        <w:spacing w:after="0" w:line="240" w:lineRule="auto"/>
        <w:contextualSpacing/>
        <w:jc w:val="both"/>
        <w:rPr>
          <w:rFonts w:ascii="Verdana" w:hAnsi="Verdana"/>
          <w:sz w:val="20"/>
          <w:szCs w:val="20"/>
          <w:lang w:eastAsia="es-CR"/>
        </w:rPr>
      </w:pPr>
      <w:r w:rsidRPr="000B482D">
        <w:rPr>
          <w:rFonts w:ascii="Verdana" w:eastAsia="Batang" w:hAnsi="Verdana" w:cs="Times New Roman"/>
          <w:sz w:val="20"/>
          <w:szCs w:val="20"/>
          <w:lang w:eastAsia="es-MX"/>
        </w:rPr>
        <w:t xml:space="preserve">Respecto del </w:t>
      </w:r>
      <w:r w:rsidRPr="000B482D">
        <w:rPr>
          <w:rFonts w:ascii="Verdana" w:eastAsia="Batang" w:hAnsi="Verdana"/>
          <w:sz w:val="20"/>
          <w:szCs w:val="20"/>
          <w:lang w:eastAsia="es-MX"/>
        </w:rPr>
        <w:t xml:space="preserve">derecho </w:t>
      </w:r>
      <w:r w:rsidRPr="000B482D">
        <w:rPr>
          <w:rFonts w:ascii="Verdana" w:hAnsi="Verdana"/>
          <w:sz w:val="20"/>
          <w:szCs w:val="20"/>
          <w:lang w:eastAsia="es-CR"/>
        </w:rPr>
        <w:t xml:space="preserve">al reconocimiento de la personalidad jurídica, la Corte </w:t>
      </w:r>
      <w:r w:rsidR="00116E9B" w:rsidRPr="000B482D">
        <w:rPr>
          <w:rFonts w:ascii="Verdana" w:hAnsi="Verdana"/>
          <w:sz w:val="20"/>
          <w:szCs w:val="20"/>
          <w:lang w:eastAsia="es-CR"/>
        </w:rPr>
        <w:t>reiteró su jurisprudencia</w:t>
      </w:r>
      <w:r w:rsidR="00CF6665" w:rsidRPr="000B482D">
        <w:rPr>
          <w:rFonts w:ascii="Verdana" w:hAnsi="Verdana"/>
          <w:sz w:val="20"/>
          <w:szCs w:val="20"/>
          <w:lang w:eastAsia="es-CR"/>
        </w:rPr>
        <w:t xml:space="preserve"> </w:t>
      </w:r>
      <w:r w:rsidR="00116E9B" w:rsidRPr="000B482D">
        <w:rPr>
          <w:rFonts w:ascii="Verdana" w:hAnsi="Verdana"/>
          <w:sz w:val="20"/>
          <w:szCs w:val="20"/>
          <w:lang w:eastAsia="es-CR"/>
        </w:rPr>
        <w:t xml:space="preserve">en casos </w:t>
      </w:r>
      <w:r w:rsidRPr="000B482D">
        <w:rPr>
          <w:rFonts w:ascii="Verdana" w:hAnsi="Verdana"/>
          <w:sz w:val="20"/>
          <w:szCs w:val="20"/>
          <w:lang w:eastAsia="es-CR"/>
        </w:rPr>
        <w:t xml:space="preserve">previos de Surinam y determinó que siendo que </w:t>
      </w:r>
      <w:r w:rsidRPr="000B482D">
        <w:rPr>
          <w:rFonts w:ascii="Verdana" w:hAnsi="Verdana"/>
          <w:sz w:val="20"/>
          <w:szCs w:val="20"/>
        </w:rPr>
        <w:t>el ordenamiento jurídico interno de</w:t>
      </w:r>
      <w:r w:rsidR="00013239" w:rsidRPr="000B482D">
        <w:rPr>
          <w:rFonts w:ascii="Verdana" w:hAnsi="Verdana"/>
          <w:sz w:val="20"/>
          <w:szCs w:val="20"/>
        </w:rPr>
        <w:t>l Estado</w:t>
      </w:r>
      <w:r w:rsidRPr="000B482D">
        <w:rPr>
          <w:rFonts w:ascii="Verdana" w:hAnsi="Verdana"/>
          <w:sz w:val="20"/>
          <w:szCs w:val="20"/>
        </w:rPr>
        <w:t xml:space="preserve"> no reconoce el ejercicio de la personalidad jurídica de los pueblos indígenas y tribales de manera colectiva, el Estado ha violado el artículo 3 de la Convención Americana, en perjuicio de los Pueblos </w:t>
      </w:r>
      <w:proofErr w:type="spellStart"/>
      <w:r w:rsidRPr="000B482D">
        <w:rPr>
          <w:rFonts w:ascii="Verdana" w:hAnsi="Verdana"/>
          <w:sz w:val="20"/>
          <w:szCs w:val="20"/>
        </w:rPr>
        <w:t>Kaliña</w:t>
      </w:r>
      <w:proofErr w:type="spellEnd"/>
      <w:r w:rsidRPr="000B482D">
        <w:rPr>
          <w:rFonts w:ascii="Verdana" w:hAnsi="Verdana"/>
          <w:sz w:val="20"/>
          <w:szCs w:val="20"/>
        </w:rPr>
        <w:t xml:space="preserve"> y </w:t>
      </w:r>
      <w:proofErr w:type="spellStart"/>
      <w:r w:rsidRPr="000B482D">
        <w:rPr>
          <w:rFonts w:ascii="Verdana" w:hAnsi="Verdana"/>
          <w:sz w:val="20"/>
          <w:szCs w:val="20"/>
        </w:rPr>
        <w:t>Lokono</w:t>
      </w:r>
      <w:proofErr w:type="spellEnd"/>
      <w:r w:rsidRPr="000B482D">
        <w:rPr>
          <w:rFonts w:ascii="Verdana" w:hAnsi="Verdana"/>
          <w:sz w:val="20"/>
          <w:szCs w:val="20"/>
        </w:rPr>
        <w:t>, en relación con el artículo 2 de la misma</w:t>
      </w:r>
      <w:r w:rsidRPr="000B482D">
        <w:rPr>
          <w:rFonts w:ascii="Verdana" w:hAnsi="Verdana"/>
          <w:sz w:val="20"/>
          <w:szCs w:val="20"/>
          <w:lang w:val="es-ES"/>
        </w:rPr>
        <w:t>.</w:t>
      </w:r>
      <w:r w:rsidRPr="000B482D">
        <w:rPr>
          <w:rFonts w:ascii="Verdana" w:hAnsi="Verdana"/>
          <w:sz w:val="20"/>
          <w:szCs w:val="20"/>
          <w:lang w:val="es-MX"/>
        </w:rPr>
        <w:t xml:space="preserve"> Además</w:t>
      </w:r>
      <w:r w:rsidRPr="000B482D">
        <w:rPr>
          <w:rFonts w:ascii="Verdana" w:hAnsi="Verdana"/>
          <w:sz w:val="20"/>
          <w:szCs w:val="20"/>
        </w:rPr>
        <w:t xml:space="preserve">, para efectos del presente caso, la falta de este reconocimiento </w:t>
      </w:r>
      <w:r w:rsidR="00116E9B" w:rsidRPr="000B482D">
        <w:rPr>
          <w:rFonts w:ascii="Verdana" w:hAnsi="Verdana"/>
          <w:sz w:val="20"/>
          <w:szCs w:val="20"/>
        </w:rPr>
        <w:t>impactó</w:t>
      </w:r>
      <w:r w:rsidRPr="000B482D">
        <w:rPr>
          <w:rFonts w:ascii="Verdana" w:hAnsi="Verdana"/>
          <w:sz w:val="20"/>
          <w:szCs w:val="20"/>
        </w:rPr>
        <w:t xml:space="preserve"> en la violación de otros derechos reconocidos en los artículos 1.1, 21 y 25 de la Convención.</w:t>
      </w:r>
    </w:p>
    <w:p w14:paraId="7880E821" w14:textId="77777777" w:rsidR="00A220B5" w:rsidRPr="000B482D" w:rsidRDefault="00A220B5" w:rsidP="000B482D">
      <w:pPr>
        <w:spacing w:after="0" w:line="240" w:lineRule="auto"/>
        <w:contextualSpacing/>
        <w:jc w:val="both"/>
        <w:rPr>
          <w:rFonts w:ascii="Verdana" w:eastAsia="Batang" w:hAnsi="Verdana" w:cs="Times New Roman"/>
          <w:sz w:val="20"/>
          <w:szCs w:val="20"/>
          <w:lang w:eastAsia="es-MX"/>
        </w:rPr>
      </w:pPr>
    </w:p>
    <w:p w14:paraId="04563746" w14:textId="230496E1" w:rsidR="00952F8B" w:rsidRPr="000B482D" w:rsidRDefault="00A220B5" w:rsidP="000B482D">
      <w:pPr>
        <w:pStyle w:val="ListParagraph"/>
        <w:ind w:left="0"/>
        <w:contextualSpacing/>
        <w:jc w:val="both"/>
        <w:rPr>
          <w:b/>
          <w:lang w:val="es-ES"/>
        </w:rPr>
      </w:pPr>
      <w:r w:rsidRPr="000B482D">
        <w:rPr>
          <w:rFonts w:eastAsia="Batang"/>
          <w:lang w:eastAsia="es-MX"/>
        </w:rPr>
        <w:lastRenderedPageBreak/>
        <w:t xml:space="preserve">Respecto del derecho a la propiedad colectiva, </w:t>
      </w:r>
      <w:r w:rsidR="00952F8B" w:rsidRPr="000B482D">
        <w:rPr>
          <w:lang w:val="es-ES"/>
        </w:rPr>
        <w:t>la Corte concluyó que la falta de delimitación, demarcación y titulación de</w:t>
      </w:r>
      <w:r w:rsidR="00EB53A9">
        <w:rPr>
          <w:lang w:val="es-ES"/>
        </w:rPr>
        <w:t>l territorio de</w:t>
      </w:r>
      <w:r w:rsidR="00952F8B" w:rsidRPr="000B482D">
        <w:rPr>
          <w:lang w:val="es-ES"/>
        </w:rPr>
        <w:t xml:space="preserve"> los Pueblos </w:t>
      </w:r>
      <w:proofErr w:type="spellStart"/>
      <w:r w:rsidR="00952F8B" w:rsidRPr="000B482D">
        <w:rPr>
          <w:lang w:val="es-ES"/>
        </w:rPr>
        <w:t>Kaliña</w:t>
      </w:r>
      <w:proofErr w:type="spellEnd"/>
      <w:r w:rsidR="00952F8B" w:rsidRPr="000B482D">
        <w:rPr>
          <w:lang w:val="es-ES"/>
        </w:rPr>
        <w:t xml:space="preserve"> y </w:t>
      </w:r>
      <w:proofErr w:type="spellStart"/>
      <w:r w:rsidR="00952F8B" w:rsidRPr="000B482D">
        <w:rPr>
          <w:lang w:val="es-ES"/>
        </w:rPr>
        <w:t>Lokono</w:t>
      </w:r>
      <w:proofErr w:type="spellEnd"/>
      <w:r w:rsidR="00952F8B" w:rsidRPr="000B482D">
        <w:rPr>
          <w:lang w:val="es-ES"/>
        </w:rPr>
        <w:t xml:space="preserve"> por parte del Estado </w:t>
      </w:r>
      <w:r w:rsidR="00116E9B" w:rsidRPr="000B482D">
        <w:rPr>
          <w:lang w:val="es-ES"/>
        </w:rPr>
        <w:t>violó</w:t>
      </w:r>
      <w:r w:rsidR="00952F8B" w:rsidRPr="000B482D">
        <w:rPr>
          <w:lang w:val="es-ES"/>
        </w:rPr>
        <w:t xml:space="preserve"> el derecho a la propiedad colectiva, reconocido en el artículo 21 de la Convención Americana, y el deber de adoptar medidas de derecho interno, establecido en el artículo 2 de la misma,</w:t>
      </w:r>
      <w:r w:rsidR="00952F8B" w:rsidRPr="000B482D">
        <w:rPr>
          <w:b/>
          <w:lang w:val="es-ES"/>
        </w:rPr>
        <w:t xml:space="preserve"> </w:t>
      </w:r>
      <w:r w:rsidR="00952F8B" w:rsidRPr="000B482D">
        <w:rPr>
          <w:lang w:val="es-ES"/>
        </w:rPr>
        <w:t xml:space="preserve">en perjuicio de tales pueblos. Además, señaló que </w:t>
      </w:r>
      <w:r w:rsidR="001E71B2">
        <w:rPr>
          <w:lang w:val="es-ES"/>
        </w:rPr>
        <w:t xml:space="preserve">el Estado debe, </w:t>
      </w:r>
      <w:r w:rsidR="00952F8B" w:rsidRPr="000B482D">
        <w:rPr>
          <w:lang w:val="es-ES"/>
        </w:rPr>
        <w:t>mediante un proceso consultivo</w:t>
      </w:r>
      <w:r w:rsidR="00FA547E" w:rsidRPr="000B482D">
        <w:rPr>
          <w:lang w:val="es-ES"/>
        </w:rPr>
        <w:t>,</w:t>
      </w:r>
      <w:r w:rsidR="00952F8B" w:rsidRPr="000B482D">
        <w:rPr>
          <w:lang w:val="es-ES"/>
        </w:rPr>
        <w:t xml:space="preserve"> delimitar los territorios que le corresponden a los Pueblos </w:t>
      </w:r>
      <w:proofErr w:type="spellStart"/>
      <w:r w:rsidR="00952F8B" w:rsidRPr="000B482D">
        <w:rPr>
          <w:lang w:val="es-ES"/>
        </w:rPr>
        <w:t>Kaliña</w:t>
      </w:r>
      <w:proofErr w:type="spellEnd"/>
      <w:r w:rsidR="00952F8B" w:rsidRPr="000B482D">
        <w:rPr>
          <w:lang w:val="es-ES"/>
        </w:rPr>
        <w:t xml:space="preserve"> y </w:t>
      </w:r>
      <w:proofErr w:type="spellStart"/>
      <w:r w:rsidR="00952F8B" w:rsidRPr="000B482D">
        <w:rPr>
          <w:lang w:val="es-ES"/>
        </w:rPr>
        <w:t>Lokono</w:t>
      </w:r>
      <w:proofErr w:type="spellEnd"/>
      <w:r w:rsidR="00952F8B" w:rsidRPr="000B482D">
        <w:rPr>
          <w:lang w:val="es-ES"/>
        </w:rPr>
        <w:t xml:space="preserve">, para así proceder a demarcarlos y titularlos, garantizando su uso y goce efectivo. Para ello, </w:t>
      </w:r>
      <w:r w:rsidR="00C06C74" w:rsidRPr="000B482D">
        <w:rPr>
          <w:lang w:val="es-ES"/>
        </w:rPr>
        <w:t xml:space="preserve">señaló que </w:t>
      </w:r>
      <w:r w:rsidR="00952F8B" w:rsidRPr="000B482D">
        <w:rPr>
          <w:lang w:val="es-ES"/>
        </w:rPr>
        <w:t xml:space="preserve">el Estado también debe respetar los derechos que le puedan asistir a los pueblos </w:t>
      </w:r>
      <w:r w:rsidR="001E71B2">
        <w:rPr>
          <w:lang w:val="es-ES"/>
        </w:rPr>
        <w:t>maroons</w:t>
      </w:r>
      <w:r w:rsidR="00FB6428">
        <w:rPr>
          <w:lang w:val="es-ES"/>
        </w:rPr>
        <w:t xml:space="preserve"> </w:t>
      </w:r>
      <w:r w:rsidR="00952F8B" w:rsidRPr="000B482D">
        <w:rPr>
          <w:lang w:val="es-ES"/>
        </w:rPr>
        <w:t xml:space="preserve">o sus miembros en el área. </w:t>
      </w:r>
      <w:r w:rsidR="00C06C74" w:rsidRPr="000B482D">
        <w:rPr>
          <w:lang w:val="es-ES"/>
        </w:rPr>
        <w:t>La Corte dispuso que</w:t>
      </w:r>
      <w:r w:rsidR="00952F8B" w:rsidRPr="000B482D">
        <w:rPr>
          <w:lang w:val="es-ES"/>
        </w:rPr>
        <w:t xml:space="preserve"> el Estado </w:t>
      </w:r>
      <w:proofErr w:type="gramStart"/>
      <w:r w:rsidR="00952F8B" w:rsidRPr="000B482D">
        <w:rPr>
          <w:color w:val="000000"/>
        </w:rPr>
        <w:t>deberá</w:t>
      </w:r>
      <w:proofErr w:type="gramEnd"/>
      <w:r w:rsidR="00952F8B" w:rsidRPr="000B482D">
        <w:rPr>
          <w:color w:val="000000"/>
        </w:rPr>
        <w:t xml:space="preserve"> desarrollar, de común acuerdo con las comunidades indígenas y </w:t>
      </w:r>
      <w:r w:rsidR="00BB0AEB">
        <w:rPr>
          <w:color w:val="000000"/>
        </w:rPr>
        <w:t>maroons</w:t>
      </w:r>
      <w:r w:rsidR="00952F8B" w:rsidRPr="000B482D">
        <w:rPr>
          <w:color w:val="000000"/>
        </w:rPr>
        <w:t>, reglas de convivencia pacíficas y armoniosas en el territorio en cuestión</w:t>
      </w:r>
      <w:r w:rsidR="00952F8B" w:rsidRPr="000B482D">
        <w:rPr>
          <w:lang w:val="es-ES"/>
        </w:rPr>
        <w:t xml:space="preserve">. </w:t>
      </w:r>
    </w:p>
    <w:p w14:paraId="7A932083" w14:textId="77777777" w:rsidR="00952F8B" w:rsidRPr="000B482D" w:rsidRDefault="00952F8B" w:rsidP="000B482D">
      <w:pPr>
        <w:pStyle w:val="ListParagraph"/>
        <w:ind w:left="0"/>
        <w:contextualSpacing/>
        <w:jc w:val="both"/>
        <w:rPr>
          <w:b/>
          <w:lang w:val="es-ES"/>
        </w:rPr>
      </w:pPr>
    </w:p>
    <w:p w14:paraId="7953489C" w14:textId="14D4DF37" w:rsidR="00952F8B" w:rsidRPr="000B482D" w:rsidRDefault="00952F8B" w:rsidP="000B482D">
      <w:pPr>
        <w:pStyle w:val="ListParagraph"/>
        <w:ind w:left="0"/>
        <w:contextualSpacing/>
        <w:jc w:val="both"/>
        <w:rPr>
          <w:lang w:val="es-CR"/>
        </w:rPr>
      </w:pPr>
      <w:r w:rsidRPr="000B482D">
        <w:rPr>
          <w:lang w:val="es-MX"/>
        </w:rPr>
        <w:t xml:space="preserve">En relación con el derecho a solicitar la reivindicación del territorio ante la existencia de títulos individuales a favor de terceros no indígenas, </w:t>
      </w:r>
      <w:r w:rsidRPr="000B482D">
        <w:rPr>
          <w:lang w:val="es-CR"/>
        </w:rPr>
        <w:t>la Corte estimó que permanece vigente</w:t>
      </w:r>
      <w:r w:rsidRPr="000B482D" w:rsidDel="00D712F8">
        <w:rPr>
          <w:lang w:val="es-CR"/>
        </w:rPr>
        <w:t xml:space="preserve"> </w:t>
      </w:r>
      <w:r w:rsidRPr="000B482D">
        <w:rPr>
          <w:lang w:val="es-CR"/>
        </w:rPr>
        <w:t xml:space="preserve">este derecho de los 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003F758F" w:rsidRPr="000B482D">
        <w:rPr>
          <w:lang w:val="es-CR"/>
        </w:rPr>
        <w:t xml:space="preserve">, para lo cual el Estado debe ponderar </w:t>
      </w:r>
      <w:r w:rsidR="00C06C74" w:rsidRPr="000B482D">
        <w:rPr>
          <w:lang w:val="es-CR"/>
        </w:rPr>
        <w:t>los intereses territoriales particulares o estatales y los derechos territoriales de los miembros de las comunidades indígenas</w:t>
      </w:r>
      <w:r w:rsidR="003F758F" w:rsidRPr="000B482D">
        <w:rPr>
          <w:lang w:val="es-CR"/>
        </w:rPr>
        <w:t>.</w:t>
      </w:r>
      <w:r w:rsidRPr="000B482D">
        <w:rPr>
          <w:lang w:val="es-CR"/>
        </w:rPr>
        <w:t xml:space="preserve"> </w:t>
      </w:r>
    </w:p>
    <w:p w14:paraId="0B156EA7" w14:textId="77777777" w:rsidR="00952F8B" w:rsidRPr="000B482D" w:rsidRDefault="00952F8B" w:rsidP="000B482D">
      <w:pPr>
        <w:pStyle w:val="ListParagraph"/>
        <w:ind w:left="0"/>
        <w:contextualSpacing/>
        <w:jc w:val="both"/>
        <w:rPr>
          <w:lang w:val="es-MX"/>
        </w:rPr>
      </w:pPr>
    </w:p>
    <w:p w14:paraId="344912C9" w14:textId="400FAAF7" w:rsidR="00F060E7" w:rsidRPr="000B482D" w:rsidRDefault="00116E9B" w:rsidP="000B482D">
      <w:pPr>
        <w:pStyle w:val="ListParagraph"/>
        <w:ind w:left="0"/>
        <w:contextualSpacing/>
        <w:jc w:val="both"/>
        <w:rPr>
          <w:lang w:val="es-ES"/>
        </w:rPr>
      </w:pPr>
      <w:r w:rsidRPr="000B482D">
        <w:rPr>
          <w:lang w:val="es-ES"/>
        </w:rPr>
        <w:t>Por su parte, e</w:t>
      </w:r>
      <w:r w:rsidR="00F060E7" w:rsidRPr="000B482D">
        <w:rPr>
          <w:lang w:val="es-ES"/>
        </w:rPr>
        <w:t>l Tribunal notó que</w:t>
      </w:r>
      <w:r w:rsidR="0099648E">
        <w:rPr>
          <w:lang w:val="es-ES"/>
        </w:rPr>
        <w:t xml:space="preserve"> </w:t>
      </w:r>
      <w:r w:rsidR="00F060E7" w:rsidRPr="000B482D">
        <w:rPr>
          <w:lang w:val="es-ES"/>
        </w:rPr>
        <w:t xml:space="preserve">el establecimiento de reservas naturales y la expedición de </w:t>
      </w:r>
      <w:r w:rsidR="00C06C74" w:rsidRPr="000B482D">
        <w:rPr>
          <w:lang w:val="es-ES"/>
        </w:rPr>
        <w:t xml:space="preserve">una </w:t>
      </w:r>
      <w:r w:rsidR="00F060E7" w:rsidRPr="000B482D">
        <w:rPr>
          <w:lang w:val="es-ES"/>
        </w:rPr>
        <w:t>concesi</w:t>
      </w:r>
      <w:r w:rsidR="00C06C74" w:rsidRPr="000B482D">
        <w:rPr>
          <w:lang w:val="es-ES"/>
        </w:rPr>
        <w:t>ón</w:t>
      </w:r>
      <w:r w:rsidR="00F060E7" w:rsidRPr="000B482D">
        <w:rPr>
          <w:lang w:val="es-ES"/>
        </w:rPr>
        <w:t xml:space="preserve"> minera </w:t>
      </w:r>
      <w:r w:rsidR="001E71B2">
        <w:rPr>
          <w:lang w:val="es-ES"/>
        </w:rPr>
        <w:t>tuv</w:t>
      </w:r>
      <w:r w:rsidR="0099648E">
        <w:rPr>
          <w:lang w:val="es-ES"/>
        </w:rPr>
        <w:t>ieron</w:t>
      </w:r>
      <w:r w:rsidR="001E71B2">
        <w:rPr>
          <w:lang w:val="es-ES"/>
        </w:rPr>
        <w:t xml:space="preserve"> lugar </w:t>
      </w:r>
      <w:r w:rsidR="00F060E7" w:rsidRPr="000B482D">
        <w:rPr>
          <w:lang w:val="es-ES"/>
        </w:rPr>
        <w:t>antes de la ratificación de la Convención por parte de Surinam en el año 1987</w:t>
      </w:r>
      <w:r w:rsidR="00870AF8">
        <w:rPr>
          <w:lang w:val="es-ES"/>
        </w:rPr>
        <w:t xml:space="preserve"> y </w:t>
      </w:r>
      <w:r w:rsidR="00FB72FE">
        <w:rPr>
          <w:lang w:val="es-ES"/>
        </w:rPr>
        <w:t xml:space="preserve">del </w:t>
      </w:r>
      <w:r w:rsidR="00870AF8">
        <w:rPr>
          <w:lang w:val="es-ES"/>
        </w:rPr>
        <w:t>reconocimiento de la competencia contenciosa</w:t>
      </w:r>
      <w:r w:rsidR="00F060E7" w:rsidRPr="000B482D">
        <w:rPr>
          <w:lang w:val="es-ES"/>
        </w:rPr>
        <w:t xml:space="preserve">. </w:t>
      </w:r>
      <w:r w:rsidR="00380B6E" w:rsidRPr="000B482D">
        <w:rPr>
          <w:lang w:val="es-ES"/>
        </w:rPr>
        <w:t>Si bien</w:t>
      </w:r>
      <w:r w:rsidR="00F060E7" w:rsidRPr="000B482D">
        <w:rPr>
          <w:lang w:val="es-ES"/>
        </w:rPr>
        <w:t xml:space="preserve"> el Estado no interpuso una excepción preliminar al respecto, la Corte tomó en cuenta su competencia </w:t>
      </w:r>
      <w:proofErr w:type="spellStart"/>
      <w:r w:rsidR="00F060E7" w:rsidRPr="000B482D">
        <w:rPr>
          <w:i/>
          <w:lang w:val="es-ES"/>
        </w:rPr>
        <w:t>ratione</w:t>
      </w:r>
      <w:proofErr w:type="spellEnd"/>
      <w:r w:rsidR="00F060E7" w:rsidRPr="000B482D">
        <w:rPr>
          <w:i/>
          <w:lang w:val="es-ES"/>
        </w:rPr>
        <w:t xml:space="preserve"> </w:t>
      </w:r>
      <w:proofErr w:type="spellStart"/>
      <w:r w:rsidR="00F060E7" w:rsidRPr="000B482D">
        <w:rPr>
          <w:i/>
          <w:lang w:val="es-ES"/>
        </w:rPr>
        <w:t>temporis</w:t>
      </w:r>
      <w:proofErr w:type="spellEnd"/>
      <w:r w:rsidR="00F060E7" w:rsidRPr="000B482D">
        <w:rPr>
          <w:lang w:val="es-ES"/>
        </w:rPr>
        <w:t xml:space="preserve"> en relación con las respectivas controversias.</w:t>
      </w:r>
    </w:p>
    <w:p w14:paraId="293368D2" w14:textId="77777777" w:rsidR="00F060E7" w:rsidRPr="000B482D" w:rsidRDefault="00F060E7" w:rsidP="000B482D">
      <w:pPr>
        <w:pStyle w:val="ListParagraph"/>
        <w:ind w:left="0"/>
        <w:contextualSpacing/>
        <w:jc w:val="both"/>
        <w:rPr>
          <w:lang w:val="es-ES"/>
        </w:rPr>
      </w:pPr>
    </w:p>
    <w:p w14:paraId="5042B863" w14:textId="0302AEA4" w:rsidR="003F758F" w:rsidRPr="000B482D" w:rsidRDefault="003F758F" w:rsidP="000B482D">
      <w:pPr>
        <w:pStyle w:val="ListParagraph"/>
        <w:ind w:left="0"/>
        <w:contextualSpacing/>
        <w:jc w:val="both"/>
        <w:rPr>
          <w:rFonts w:cs="Arial"/>
          <w:lang w:val="es-ES"/>
        </w:rPr>
      </w:pPr>
      <w:r w:rsidRPr="000B482D">
        <w:rPr>
          <w:rFonts w:cs="Arial"/>
          <w:lang w:val="es-ES"/>
        </w:rPr>
        <w:t xml:space="preserve">Respecto del alegado mantenimiento de las reservas naturales en el territorio tradicional, la Corte determinó que le asiste a los Pueblos </w:t>
      </w:r>
      <w:proofErr w:type="spellStart"/>
      <w:r w:rsidRPr="000B482D">
        <w:rPr>
          <w:rFonts w:cs="Arial"/>
          <w:lang w:val="es-ES"/>
        </w:rPr>
        <w:t>Kaliña</w:t>
      </w:r>
      <w:proofErr w:type="spellEnd"/>
      <w:r w:rsidRPr="000B482D">
        <w:rPr>
          <w:rFonts w:cs="Arial"/>
          <w:lang w:val="es-ES"/>
        </w:rPr>
        <w:t xml:space="preserve"> y </w:t>
      </w:r>
      <w:proofErr w:type="spellStart"/>
      <w:r w:rsidRPr="000B482D">
        <w:rPr>
          <w:rFonts w:cs="Arial"/>
          <w:lang w:val="es-ES"/>
        </w:rPr>
        <w:t>Lokono</w:t>
      </w:r>
      <w:proofErr w:type="spellEnd"/>
      <w:r w:rsidRPr="000B482D">
        <w:rPr>
          <w:rFonts w:cs="Arial"/>
          <w:lang w:val="es-ES"/>
        </w:rPr>
        <w:t xml:space="preserve"> el derecho de solicitar en derecho interno, </w:t>
      </w:r>
      <w:r w:rsidR="00DF6258" w:rsidRPr="00DE0BF2">
        <w:rPr>
          <w:rFonts w:cs="Arial"/>
          <w:lang w:val="es-ES"/>
        </w:rPr>
        <w:t xml:space="preserve">la </w:t>
      </w:r>
      <w:r w:rsidR="00DF6258" w:rsidRPr="00DE0BF2">
        <w:rPr>
          <w:lang w:val="es-ES"/>
        </w:rPr>
        <w:t xml:space="preserve">posible </w:t>
      </w:r>
      <w:r w:rsidR="00DF6258" w:rsidRPr="00DE0BF2">
        <w:rPr>
          <w:rFonts w:cs="Arial"/>
          <w:lang w:val="es-ES"/>
        </w:rPr>
        <w:t xml:space="preserve">reivindicación de las partes correspondientes a su territorio tradicional </w:t>
      </w:r>
      <w:r w:rsidR="00DF6258" w:rsidRPr="00DF6258">
        <w:rPr>
          <w:rFonts w:cs="Arial"/>
          <w:lang w:val="es-ES"/>
        </w:rPr>
        <w:t>dentro de las reservas que son colindantes con el territorio que actualmente poseen</w:t>
      </w:r>
      <w:r w:rsidRPr="00DF6258">
        <w:rPr>
          <w:rFonts w:cs="Arial"/>
          <w:lang w:val="es-ES"/>
        </w:rPr>
        <w:t>,</w:t>
      </w:r>
      <w:r w:rsidRPr="000B482D">
        <w:rPr>
          <w:rFonts w:cs="Arial"/>
          <w:lang w:val="es-ES"/>
        </w:rPr>
        <w:t xml:space="preserve"> </w:t>
      </w:r>
      <w:r w:rsidRPr="000B482D">
        <w:rPr>
          <w:rFonts w:cs="Arial"/>
        </w:rPr>
        <w:t xml:space="preserve">frente a lo cual el Estado debe ponderar los derechos en juego, que en este caso </w:t>
      </w:r>
      <w:r w:rsidR="00A1350A" w:rsidRPr="000B482D">
        <w:rPr>
          <w:rFonts w:cs="Arial"/>
        </w:rPr>
        <w:t>serían</w:t>
      </w:r>
      <w:r w:rsidRPr="000B482D">
        <w:rPr>
          <w:rFonts w:cs="Arial"/>
        </w:rPr>
        <w:t xml:space="preserve"> la protección</w:t>
      </w:r>
      <w:r w:rsidR="00A1350A" w:rsidRPr="000B482D">
        <w:rPr>
          <w:rFonts w:cs="Arial"/>
        </w:rPr>
        <w:t xml:space="preserve"> de los</w:t>
      </w:r>
      <w:r w:rsidRPr="000B482D">
        <w:rPr>
          <w:rFonts w:cs="Arial"/>
        </w:rPr>
        <w:t xml:space="preserve"> </w:t>
      </w:r>
      <w:r w:rsidR="00A1350A" w:rsidRPr="000B482D">
        <w:rPr>
          <w:rFonts w:cs="Arial"/>
        </w:rPr>
        <w:t xml:space="preserve">derechos colectivos de los </w:t>
      </w:r>
      <w:r w:rsidR="00A1350A" w:rsidRPr="000B482D">
        <w:t xml:space="preserve">Pueblos </w:t>
      </w:r>
      <w:proofErr w:type="spellStart"/>
      <w:r w:rsidR="00A1350A" w:rsidRPr="000B482D">
        <w:t>Kaliña</w:t>
      </w:r>
      <w:proofErr w:type="spellEnd"/>
      <w:r w:rsidR="00A1350A" w:rsidRPr="000B482D">
        <w:t xml:space="preserve"> y </w:t>
      </w:r>
      <w:proofErr w:type="spellStart"/>
      <w:r w:rsidR="00A1350A" w:rsidRPr="000B482D">
        <w:t>Lokono</w:t>
      </w:r>
      <w:proofErr w:type="spellEnd"/>
      <w:r w:rsidR="00A1350A" w:rsidRPr="000B482D">
        <w:t xml:space="preserve"> y la protección </w:t>
      </w:r>
      <w:r w:rsidRPr="000B482D">
        <w:rPr>
          <w:rFonts w:cs="Arial"/>
        </w:rPr>
        <w:t>del medio ambiente como parte del interés general</w:t>
      </w:r>
      <w:r w:rsidR="0020091E" w:rsidRPr="000B482D">
        <w:rPr>
          <w:rFonts w:cs="Arial"/>
        </w:rPr>
        <w:t>.</w:t>
      </w:r>
    </w:p>
    <w:p w14:paraId="2AA87EE4" w14:textId="77777777" w:rsidR="00952F8B" w:rsidRPr="000B482D" w:rsidRDefault="00952F8B" w:rsidP="000B482D">
      <w:pPr>
        <w:spacing w:after="0" w:line="240" w:lineRule="auto"/>
        <w:contextualSpacing/>
        <w:jc w:val="both"/>
        <w:rPr>
          <w:rFonts w:ascii="Verdana" w:eastAsia="Batang" w:hAnsi="Verdana" w:cs="Times New Roman"/>
          <w:sz w:val="20"/>
          <w:szCs w:val="20"/>
          <w:lang w:val="es-ES" w:eastAsia="es-MX"/>
        </w:rPr>
      </w:pPr>
    </w:p>
    <w:p w14:paraId="1D18AAE6" w14:textId="6C759520" w:rsidR="003F758F" w:rsidRPr="000B482D" w:rsidRDefault="003F758F" w:rsidP="000B482D">
      <w:pPr>
        <w:pStyle w:val="ListParagraph"/>
        <w:ind w:left="0"/>
        <w:contextualSpacing/>
        <w:jc w:val="both"/>
      </w:pPr>
      <w:r w:rsidRPr="000B482D">
        <w:rPr>
          <w:rFonts w:eastAsia="Batang"/>
          <w:lang w:eastAsia="es-MX"/>
        </w:rPr>
        <w:t xml:space="preserve">En relación con las alegadas restricciones para los pueblos indígenas en las reservas naturales, la Corte </w:t>
      </w:r>
      <w:r w:rsidRPr="000B482D">
        <w:rPr>
          <w:rFonts w:cs="Arial"/>
          <w:lang w:val="es-ES"/>
        </w:rPr>
        <w:t xml:space="preserve">consideró relevante hacer referencia a la necesidad de compatibilizar la protección de las áreas protegidas con el adecuado uso y goce de los territorios tradicionales de los pueblos indígenas. </w:t>
      </w:r>
      <w:r w:rsidRPr="000B482D">
        <w:rPr>
          <w:rFonts w:cs="Arial"/>
        </w:rPr>
        <w:t xml:space="preserve">En este sentido, </w:t>
      </w:r>
      <w:r w:rsidRPr="000B482D">
        <w:t>la Corte estimó que un área protegida, consiste no solamente en la dimensión biológica, sino también en la sociocultural y que, por tanto, incorpora un enfoque interdisciplinario y participativo</w:t>
      </w:r>
      <w:r w:rsidR="0099648E">
        <w:t>.</w:t>
      </w:r>
      <w:r w:rsidRPr="000B482D">
        <w:t xml:space="preserve"> </w:t>
      </w:r>
    </w:p>
    <w:p w14:paraId="56610AA0" w14:textId="77777777" w:rsidR="003F758F" w:rsidRPr="000B482D" w:rsidRDefault="003F758F" w:rsidP="000B482D">
      <w:pPr>
        <w:pStyle w:val="ListParagraph"/>
        <w:ind w:left="0"/>
        <w:contextualSpacing/>
        <w:jc w:val="both"/>
      </w:pPr>
    </w:p>
    <w:p w14:paraId="5E8AF2F7" w14:textId="75E6E3D5" w:rsidR="003F758F" w:rsidRPr="000B482D" w:rsidRDefault="003F758F" w:rsidP="000B482D">
      <w:pPr>
        <w:pStyle w:val="ListParagraph"/>
        <w:ind w:left="0"/>
        <w:contextualSpacing/>
        <w:jc w:val="both"/>
        <w:rPr>
          <w:rFonts w:eastAsiaTheme="minorHAnsi"/>
        </w:rPr>
      </w:pPr>
      <w:r w:rsidRPr="000B482D">
        <w:rPr>
          <w:rFonts w:eastAsiaTheme="minorHAnsi"/>
        </w:rPr>
        <w:t xml:space="preserve">En vista de </w:t>
      </w:r>
      <w:r w:rsidR="00116E9B" w:rsidRPr="000B482D">
        <w:rPr>
          <w:rFonts w:eastAsiaTheme="minorHAnsi"/>
        </w:rPr>
        <w:t>ello</w:t>
      </w:r>
      <w:r w:rsidRPr="000B482D">
        <w:rPr>
          <w:rFonts w:eastAsiaTheme="minorHAnsi"/>
        </w:rPr>
        <w:t xml:space="preserve">, la Corte </w:t>
      </w:r>
      <w:r w:rsidR="00116E9B" w:rsidRPr="000B482D">
        <w:rPr>
          <w:rFonts w:eastAsiaTheme="minorHAnsi"/>
        </w:rPr>
        <w:t xml:space="preserve">concluyó </w:t>
      </w:r>
      <w:r w:rsidRPr="000B482D">
        <w:rPr>
          <w:rFonts w:eastAsiaTheme="minorHAnsi"/>
        </w:rPr>
        <w:t>que, en principio, existe una</w:t>
      </w:r>
      <w:r w:rsidRPr="000B482D">
        <w:t xml:space="preserve"> compatibilidad entre las áreas naturales protegidas y el derecho de los pueblos indígenas y tribales en la protección de los recursos naturales sobre sus territorios, destacando que los pueblos indígenas y tribales, por su interrelación con la naturaleza y formas de vida, pueden</w:t>
      </w:r>
      <w:r w:rsidR="00BD05A4" w:rsidRPr="000B482D">
        <w:t xml:space="preserve"> </w:t>
      </w:r>
      <w:r w:rsidRPr="000B482D">
        <w:t xml:space="preserve">contribuir de manera relevante </w:t>
      </w:r>
      <w:r w:rsidR="00BD05A4" w:rsidRPr="000B482D">
        <w:t>con</w:t>
      </w:r>
      <w:r w:rsidRPr="000B482D">
        <w:t xml:space="preserve"> dicha conservación. En este sentido, los criterios de: a) participación efectiva, b) acceso y uso de sus territorios tradicionales, y c)</w:t>
      </w:r>
      <w:r w:rsidR="00BD05A4" w:rsidRPr="000B482D">
        <w:t xml:space="preserve"> obtención de </w:t>
      </w:r>
      <w:r w:rsidRPr="000B482D">
        <w:t>beneficios de la conservación —todos ellos, siempre y cuando sean compatibles con la protección y utilización sostenible—, resultan elementos fundamentales para alcanzar dicha compatibilidad, la cual debe ser evaluada por el Estado. En consecuencia, es necesario que el Estado cuente con mecanismos adecuados para la implementación de tales criterios</w:t>
      </w:r>
      <w:r w:rsidRPr="000B482D">
        <w:rPr>
          <w:rFonts w:eastAsiaTheme="minorHAnsi"/>
        </w:rPr>
        <w:t xml:space="preserve"> como parte de la garantía de los </w:t>
      </w:r>
      <w:r w:rsidRPr="000B482D">
        <w:rPr>
          <w:rFonts w:eastAsiaTheme="minorHAnsi"/>
        </w:rPr>
        <w:lastRenderedPageBreak/>
        <w:t xml:space="preserve">pueblos indígenas y tribales a su vida digna e identidad cultural, en relación con la protección de los recursos naturales que se encuentren en sus territorios tradicionales. </w:t>
      </w:r>
    </w:p>
    <w:p w14:paraId="63F0C108" w14:textId="77777777" w:rsidR="00870AF8" w:rsidRDefault="00870AF8" w:rsidP="000B482D">
      <w:pPr>
        <w:pStyle w:val="ListParagraph"/>
        <w:ind w:left="0"/>
        <w:contextualSpacing/>
        <w:jc w:val="both"/>
      </w:pPr>
    </w:p>
    <w:p w14:paraId="1397DCDA" w14:textId="6D5B7C76" w:rsidR="00453715" w:rsidRPr="000B482D" w:rsidRDefault="00453715" w:rsidP="000B482D">
      <w:pPr>
        <w:pStyle w:val="ListParagraph"/>
        <w:ind w:left="0"/>
        <w:contextualSpacing/>
        <w:jc w:val="both"/>
        <w:rPr>
          <w:lang w:val="es-ES"/>
        </w:rPr>
      </w:pPr>
      <w:r w:rsidRPr="000B482D">
        <w:t>Respecto de las afectaciones en las reservas, la Corte estimó que, para efectos del presente caso, no se configuró la violación por la falta de control y manejo exclusivo de la</w:t>
      </w:r>
      <w:r w:rsidR="00C3462E" w:rsidRPr="000B482D">
        <w:t>s mismas</w:t>
      </w:r>
      <w:r w:rsidRPr="000B482D">
        <w:t xml:space="preserve"> p</w:t>
      </w:r>
      <w:r w:rsidR="00C3462E" w:rsidRPr="000B482D">
        <w:t>or</w:t>
      </w:r>
      <w:r w:rsidRPr="000B482D">
        <w:t xml:space="preserve"> los pueblos indígenas. Sin embargo, s</w:t>
      </w:r>
      <w:r w:rsidR="00C3462E" w:rsidRPr="000B482D">
        <w:t>í</w:t>
      </w:r>
      <w:r w:rsidRPr="000B482D">
        <w:t xml:space="preserve"> se verificó la falta de mecanismos expresos que garanti</w:t>
      </w:r>
      <w:r w:rsidR="00116E9B" w:rsidRPr="000B482D">
        <w:t>zar</w:t>
      </w:r>
      <w:r w:rsidR="00C3462E" w:rsidRPr="000B482D">
        <w:t>an</w:t>
      </w:r>
      <w:r w:rsidRPr="000B482D">
        <w:t xml:space="preserve"> el acceso, uso y la participación efectiva de los pueblos indígenas </w:t>
      </w:r>
      <w:proofErr w:type="spellStart"/>
      <w:r w:rsidRPr="000B482D">
        <w:t>Kaliña</w:t>
      </w:r>
      <w:proofErr w:type="spellEnd"/>
      <w:r w:rsidRPr="000B482D">
        <w:t xml:space="preserve"> y </w:t>
      </w:r>
      <w:proofErr w:type="spellStart"/>
      <w:r w:rsidRPr="000B482D">
        <w:t>Lokono</w:t>
      </w:r>
      <w:proofErr w:type="spellEnd"/>
      <w:r w:rsidRPr="000B482D">
        <w:t xml:space="preserve"> en la conservación de las referidas reservas y sus beneficios. Por tanto, </w:t>
      </w:r>
      <w:r w:rsidRPr="000B482D">
        <w:rPr>
          <w:rFonts w:cs="Arial"/>
          <w:lang w:val="es-ES"/>
        </w:rPr>
        <w:t xml:space="preserve">el Tribunal estimó que el </w:t>
      </w:r>
      <w:r w:rsidRPr="000B482D">
        <w:rPr>
          <w:lang w:val="es-ES"/>
        </w:rPr>
        <w:t xml:space="preserve">Estado vulneró los derechos a la propiedad colectiva, identidad cultural y participación en asuntos públicos de las víctimas, principalmente al impedir la participación efectiva y el acceso a parte de su territorio tradicional y recursos naturales en las </w:t>
      </w:r>
      <w:r w:rsidR="00085E7F">
        <w:rPr>
          <w:lang w:val="es-ES"/>
        </w:rPr>
        <w:t>r</w:t>
      </w:r>
      <w:r w:rsidRPr="000B482D">
        <w:rPr>
          <w:lang w:val="es-ES"/>
        </w:rPr>
        <w:t xml:space="preserve">eservas de </w:t>
      </w:r>
      <w:proofErr w:type="spellStart"/>
      <w:r w:rsidRPr="000B482D">
        <w:rPr>
          <w:lang w:val="es-ES"/>
        </w:rPr>
        <w:t>Galibi</w:t>
      </w:r>
      <w:proofErr w:type="spellEnd"/>
      <w:r w:rsidRPr="000B482D">
        <w:rPr>
          <w:lang w:val="es-ES"/>
        </w:rPr>
        <w:t xml:space="preserve"> y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así como al no garantizar de manera efectiva el territorio tradicional de las comunidades afectadas por la degradación del medio ambiente dentro de la </w:t>
      </w:r>
      <w:r w:rsidR="00F311AE" w:rsidRPr="000B482D">
        <w:rPr>
          <w:lang w:val="es-ES"/>
        </w:rPr>
        <w:t>R</w:t>
      </w:r>
      <w:r w:rsidRPr="000B482D">
        <w:rPr>
          <w:lang w:val="es-ES"/>
        </w:rPr>
        <w:t xml:space="preserve">eserva de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lo cual configuró la violación </w:t>
      </w:r>
      <w:r w:rsidRPr="000B482D">
        <w:rPr>
          <w:rFonts w:cs="Arial"/>
          <w:lang w:val="es-ES"/>
        </w:rPr>
        <w:t>de los</w:t>
      </w:r>
      <w:r w:rsidRPr="000B482D">
        <w:rPr>
          <w:lang w:val="es-ES"/>
        </w:rPr>
        <w:t xml:space="preserve"> artículo</w:t>
      </w:r>
      <w:r w:rsidR="00337098" w:rsidRPr="000B482D">
        <w:rPr>
          <w:lang w:val="es-ES"/>
        </w:rPr>
        <w:t>s</w:t>
      </w:r>
      <w:r w:rsidRPr="000B482D">
        <w:rPr>
          <w:lang w:val="es-ES"/>
        </w:rPr>
        <w:t xml:space="preserve"> </w:t>
      </w:r>
      <w:r w:rsidR="00C3462E" w:rsidRPr="000B482D">
        <w:rPr>
          <w:lang w:val="es-ES"/>
        </w:rPr>
        <w:t xml:space="preserve">2, </w:t>
      </w:r>
      <w:r w:rsidRPr="000B482D">
        <w:rPr>
          <w:lang w:val="es-ES"/>
        </w:rPr>
        <w:t>21</w:t>
      </w:r>
      <w:r w:rsidRPr="000B482D">
        <w:rPr>
          <w:rFonts w:cs="Arial"/>
          <w:lang w:val="es-ES"/>
        </w:rPr>
        <w:t xml:space="preserve"> y 23 de la Convención Americana, en relación con el artículo </w:t>
      </w:r>
      <w:r w:rsidRPr="000B482D">
        <w:rPr>
          <w:lang w:val="es-ES"/>
        </w:rPr>
        <w:t>1.1</w:t>
      </w:r>
      <w:r w:rsidRPr="000B482D">
        <w:rPr>
          <w:rFonts w:cs="Arial"/>
          <w:lang w:val="es-ES"/>
        </w:rPr>
        <w:t xml:space="preserve"> </w:t>
      </w:r>
      <w:r w:rsidRPr="000B482D">
        <w:rPr>
          <w:lang w:val="es-ES"/>
        </w:rPr>
        <w:t xml:space="preserve">de la misma, </w:t>
      </w:r>
      <w:r w:rsidRPr="000B482D">
        <w:t xml:space="preserve">en perjuicio los Pueblos </w:t>
      </w:r>
      <w:proofErr w:type="spellStart"/>
      <w:r w:rsidRPr="000B482D">
        <w:t>Kaliña</w:t>
      </w:r>
      <w:proofErr w:type="spellEnd"/>
      <w:r w:rsidRPr="000B482D">
        <w:t xml:space="preserve"> y </w:t>
      </w:r>
      <w:proofErr w:type="spellStart"/>
      <w:r w:rsidRPr="000B482D">
        <w:t>Lokono</w:t>
      </w:r>
      <w:proofErr w:type="spellEnd"/>
      <w:r w:rsidRPr="000B482D">
        <w:rPr>
          <w:lang w:val="es-ES"/>
        </w:rPr>
        <w:t xml:space="preserve"> y sus miembros. </w:t>
      </w:r>
    </w:p>
    <w:p w14:paraId="440058FC" w14:textId="77777777" w:rsidR="003F758F" w:rsidRPr="000B482D" w:rsidRDefault="003F758F" w:rsidP="000B482D">
      <w:pPr>
        <w:pStyle w:val="ListParagraph"/>
        <w:ind w:left="0"/>
        <w:contextualSpacing/>
        <w:jc w:val="both"/>
        <w:rPr>
          <w:lang w:val="es-ES"/>
        </w:rPr>
      </w:pPr>
    </w:p>
    <w:p w14:paraId="51A71B22" w14:textId="7D74B80B" w:rsidR="00C06C74" w:rsidRPr="000B482D" w:rsidRDefault="00453715" w:rsidP="000B482D">
      <w:pPr>
        <w:pStyle w:val="ListParagraph"/>
        <w:ind w:left="0"/>
        <w:contextualSpacing/>
        <w:jc w:val="both"/>
        <w:rPr>
          <w:lang w:val="es-ES"/>
        </w:rPr>
      </w:pPr>
      <w:r w:rsidRPr="000B482D">
        <w:rPr>
          <w:lang w:val="es-ES"/>
        </w:rPr>
        <w:t xml:space="preserve">Respecto de las garantías a la propiedad colectiva frente a la concesión minera dentro de la Reserva Natural </w:t>
      </w:r>
      <w:proofErr w:type="spellStart"/>
      <w:r w:rsidRPr="000B482D">
        <w:rPr>
          <w:lang w:val="es-ES"/>
        </w:rPr>
        <w:t>Wane</w:t>
      </w:r>
      <w:proofErr w:type="spellEnd"/>
      <w:r w:rsidRPr="000B482D">
        <w:rPr>
          <w:lang w:val="es-ES"/>
        </w:rPr>
        <w:t xml:space="preserve"> </w:t>
      </w:r>
      <w:proofErr w:type="spellStart"/>
      <w:r w:rsidRPr="000B482D">
        <w:rPr>
          <w:lang w:val="es-ES"/>
        </w:rPr>
        <w:t>Kreek</w:t>
      </w:r>
      <w:proofErr w:type="spellEnd"/>
      <w:r w:rsidRPr="000B482D">
        <w:rPr>
          <w:lang w:val="es-ES"/>
        </w:rPr>
        <w:t xml:space="preserve">, </w:t>
      </w:r>
      <w:r w:rsidR="00C06C74" w:rsidRPr="000B482D">
        <w:rPr>
          <w:lang w:val="es-MX"/>
        </w:rPr>
        <w:t xml:space="preserve">el Tribunal consideró que el deber del Estado </w:t>
      </w:r>
      <w:r w:rsidR="00F311AE" w:rsidRPr="000B482D">
        <w:rPr>
          <w:lang w:val="es-MX"/>
        </w:rPr>
        <w:t xml:space="preserve">de garantizar </w:t>
      </w:r>
      <w:r w:rsidR="00D0448C" w:rsidRPr="000B482D">
        <w:rPr>
          <w:lang w:val="es-MX"/>
        </w:rPr>
        <w:t xml:space="preserve">la participación efectiva, a través de un proceso de consulta, </w:t>
      </w:r>
      <w:r w:rsidR="00C06C74" w:rsidRPr="000B482D">
        <w:rPr>
          <w:lang w:val="es-MX"/>
        </w:rPr>
        <w:t xml:space="preserve">se actualiza de manera previa a la ejecución de acciones que podrían afectar de manera relevante los intereses de los pueblos indígenas y tribales, tales como las etapas de exploración y explotación o extracción. En el presente caso, si bien la concesión minera se </w:t>
      </w:r>
      <w:r w:rsidR="00962A8A" w:rsidRPr="000B482D">
        <w:rPr>
          <w:lang w:val="es-MX"/>
        </w:rPr>
        <w:t xml:space="preserve">otorgó </w:t>
      </w:r>
      <w:r w:rsidR="00C06C74" w:rsidRPr="000B482D">
        <w:rPr>
          <w:lang w:val="es-MX"/>
        </w:rPr>
        <w:t xml:space="preserve">en 1958, las actividades de extracción de bauxita se iniciaron en 1997, es decir 40 años después, momento en el cual ya se contaba con la determinación precisa del lugar donde se realizarían las actividades extractivas, respecto del resto del territorio previamente explorado. </w:t>
      </w:r>
      <w:r w:rsidR="00C06C74" w:rsidRPr="000B482D">
        <w:rPr>
          <w:lang w:val="es-CR"/>
        </w:rPr>
        <w:t>En este sentido, la garantía de participación efectiva debió llevarse a cabo de manera previa al inicio de la extracción o explotación minera, lo cual no ocurrió en el presente caso.</w:t>
      </w:r>
      <w:r w:rsidR="00C06C74" w:rsidRPr="000B482D">
        <w:rPr>
          <w:lang w:val="es-MX"/>
        </w:rPr>
        <w:t xml:space="preserve"> </w:t>
      </w:r>
    </w:p>
    <w:p w14:paraId="15C8C12A" w14:textId="77777777" w:rsidR="00C06C74" w:rsidRPr="000B482D" w:rsidRDefault="00C06C74" w:rsidP="000B482D">
      <w:pPr>
        <w:pStyle w:val="ListParagraph"/>
        <w:ind w:left="0"/>
        <w:contextualSpacing/>
        <w:jc w:val="both"/>
        <w:rPr>
          <w:lang w:val="es-ES"/>
        </w:rPr>
      </w:pPr>
    </w:p>
    <w:p w14:paraId="5C628174" w14:textId="69C2BB84" w:rsidR="00453715" w:rsidRPr="000B482D" w:rsidRDefault="00D0448C" w:rsidP="000B482D">
      <w:pPr>
        <w:pStyle w:val="ListParagraph"/>
        <w:ind w:left="0"/>
        <w:contextualSpacing/>
        <w:jc w:val="both"/>
        <w:rPr>
          <w:b/>
          <w:lang w:val="es-CR"/>
        </w:rPr>
      </w:pPr>
      <w:r w:rsidRPr="000B482D">
        <w:rPr>
          <w:lang w:val="es-CR"/>
        </w:rPr>
        <w:t xml:space="preserve">Al respecto, </w:t>
      </w:r>
      <w:r w:rsidR="00453715" w:rsidRPr="000B482D">
        <w:rPr>
          <w:lang w:val="es-CR"/>
        </w:rPr>
        <w:t>la Corte concluyó</w:t>
      </w:r>
      <w:r w:rsidR="00116E9B" w:rsidRPr="000B482D">
        <w:rPr>
          <w:lang w:val="es-CR"/>
        </w:rPr>
        <w:t xml:space="preserve"> que el Estado </w:t>
      </w:r>
      <w:r w:rsidR="00453715" w:rsidRPr="000B482D">
        <w:rPr>
          <w:lang w:val="es-CR"/>
        </w:rPr>
        <w:t>no garantizó la participación efectiva</w:t>
      </w:r>
      <w:r w:rsidR="00085E7F">
        <w:rPr>
          <w:lang w:val="es-CR"/>
        </w:rPr>
        <w:t>,</w:t>
      </w:r>
      <w:r w:rsidR="00453715" w:rsidRPr="000B482D">
        <w:rPr>
          <w:lang w:val="es-CR"/>
        </w:rPr>
        <w:t xml:space="preserve"> a través de un proceso de consulta a los Pueblos </w:t>
      </w:r>
      <w:proofErr w:type="spellStart"/>
      <w:r w:rsidR="00453715" w:rsidRPr="000B482D">
        <w:rPr>
          <w:lang w:val="es-CR"/>
        </w:rPr>
        <w:t>Kaliña</w:t>
      </w:r>
      <w:proofErr w:type="spellEnd"/>
      <w:r w:rsidR="00453715" w:rsidRPr="000B482D">
        <w:rPr>
          <w:lang w:val="es-CR"/>
        </w:rPr>
        <w:t xml:space="preserve"> y </w:t>
      </w:r>
      <w:proofErr w:type="spellStart"/>
      <w:r w:rsidR="00453715" w:rsidRPr="000B482D">
        <w:rPr>
          <w:lang w:val="es-CR"/>
        </w:rPr>
        <w:t>Lokono</w:t>
      </w:r>
      <w:proofErr w:type="spellEnd"/>
      <w:r w:rsidR="00453715" w:rsidRPr="000B482D">
        <w:rPr>
          <w:lang w:val="es-CR"/>
        </w:rPr>
        <w:t>. Asimismo, no se llevó a cabo un estudio de impacto ambiental y social ni se compartieron los beneficios del citado proyecto minero. De</w:t>
      </w:r>
      <w:r w:rsidR="005B2103">
        <w:rPr>
          <w:lang w:val="es-CR"/>
        </w:rPr>
        <w:t xml:space="preserve"> igual manera, Surinam no ha ado</w:t>
      </w:r>
      <w:r w:rsidR="00453715" w:rsidRPr="000B482D">
        <w:rPr>
          <w:lang w:val="es-CR"/>
        </w:rPr>
        <w:t>ptado mecanismos a fin de garantizar las salvaguardias anteriores</w:t>
      </w:r>
      <w:r w:rsidR="00453715" w:rsidRPr="000B482D">
        <w:t>. Con base en lo señalado,</w:t>
      </w:r>
      <w:r w:rsidR="00453715" w:rsidRPr="000B482D">
        <w:rPr>
          <w:lang w:val="es-CR"/>
        </w:rPr>
        <w:t xml:space="preserve"> el Estado violó los artículos 21 y 23 de la Convención, en relación con los artículos 1.1 y 2 de la misma, en perjuicio de los Pueblos </w:t>
      </w:r>
      <w:proofErr w:type="spellStart"/>
      <w:r w:rsidR="00453715" w:rsidRPr="000B482D">
        <w:rPr>
          <w:lang w:val="es-CR"/>
        </w:rPr>
        <w:t>Kaliña</w:t>
      </w:r>
      <w:proofErr w:type="spellEnd"/>
      <w:r w:rsidR="00453715" w:rsidRPr="000B482D">
        <w:rPr>
          <w:lang w:val="es-CR"/>
        </w:rPr>
        <w:t xml:space="preserve"> y </w:t>
      </w:r>
      <w:proofErr w:type="spellStart"/>
      <w:r w:rsidR="00453715" w:rsidRPr="000B482D">
        <w:rPr>
          <w:lang w:val="es-CR"/>
        </w:rPr>
        <w:t>Lokono</w:t>
      </w:r>
      <w:proofErr w:type="spellEnd"/>
      <w:r w:rsidR="00453715" w:rsidRPr="000B482D">
        <w:rPr>
          <w:lang w:val="es-CR"/>
        </w:rPr>
        <w:t xml:space="preserve"> y sus miembros. </w:t>
      </w:r>
    </w:p>
    <w:p w14:paraId="4A0D2B09" w14:textId="77777777" w:rsidR="00453715" w:rsidRPr="000B482D" w:rsidRDefault="00453715" w:rsidP="000B482D">
      <w:pPr>
        <w:pStyle w:val="ListParagraph"/>
        <w:ind w:left="0"/>
        <w:contextualSpacing/>
        <w:jc w:val="both"/>
        <w:rPr>
          <w:rFonts w:eastAsia="Batang"/>
          <w:lang w:val="es-CR" w:eastAsia="es-MX"/>
        </w:rPr>
      </w:pPr>
    </w:p>
    <w:p w14:paraId="7638E7AF" w14:textId="1D40BFBA" w:rsidR="004604DA" w:rsidRPr="000B482D" w:rsidRDefault="00453715" w:rsidP="000B482D">
      <w:pPr>
        <w:pStyle w:val="ListParagraph"/>
        <w:ind w:left="0"/>
        <w:contextualSpacing/>
        <w:jc w:val="both"/>
        <w:rPr>
          <w:lang w:val="es-ES"/>
        </w:rPr>
      </w:pPr>
      <w:r w:rsidRPr="000B482D">
        <w:rPr>
          <w:rFonts w:eastAsia="Batang"/>
          <w:lang w:val="es-ES" w:eastAsia="es-MX"/>
        </w:rPr>
        <w:t>Respecto de los recursos en la legislación interna para proteger los derechos colectivos,</w:t>
      </w:r>
      <w:r w:rsidRPr="000B482D">
        <w:rPr>
          <w:lang w:val="es-CR"/>
        </w:rPr>
        <w:t xml:space="preserve"> la Corte consideró que la normativa analizada en el presente caso no contempla recursos judiciales o administrativos </w:t>
      </w:r>
      <w:r w:rsidR="00F311AE" w:rsidRPr="000B482D">
        <w:rPr>
          <w:lang w:val="es-CR"/>
        </w:rPr>
        <w:t xml:space="preserve">adecuados y efectivos </w:t>
      </w:r>
      <w:r w:rsidRPr="000B482D">
        <w:rPr>
          <w:lang w:val="es-CR"/>
        </w:rPr>
        <w:t xml:space="preserve">mediante los cuales se establezcan procedimientos para la protección del derecho </w:t>
      </w:r>
      <w:r w:rsidR="00F311AE" w:rsidRPr="000B482D">
        <w:rPr>
          <w:lang w:val="es-CR"/>
        </w:rPr>
        <w:t>a la</w:t>
      </w:r>
      <w:r w:rsidRPr="000B482D">
        <w:rPr>
          <w:lang w:val="es-CR"/>
        </w:rPr>
        <w:t xml:space="preserve"> propiedad colectiva de los pueblos indígenas y tribales. </w:t>
      </w:r>
      <w:r w:rsidRPr="000B482D">
        <w:rPr>
          <w:lang w:val="es-ES"/>
        </w:rPr>
        <w:t xml:space="preserve">En este sentido, la Corte estimó que </w:t>
      </w:r>
      <w:r w:rsidRPr="000B482D">
        <w:rPr>
          <w:lang w:val="es-CR"/>
        </w:rPr>
        <w:t xml:space="preserve">conforme a la jurisprudencia del Tribunal, así como de otros estándares internacionales en la materia, los recursos internos, deben ser interpretados y aplicados con el fin de garantizar los derechos humanos de los pueblos indígenas, </w:t>
      </w:r>
      <w:r w:rsidR="00116E9B" w:rsidRPr="000B482D">
        <w:rPr>
          <w:lang w:val="es-CR"/>
        </w:rPr>
        <w:t xml:space="preserve">por lo cual el Tribunal desarrolló </w:t>
      </w:r>
      <w:r w:rsidRPr="000B482D">
        <w:rPr>
          <w:lang w:val="es-CR"/>
        </w:rPr>
        <w:t>diversos criterios</w:t>
      </w:r>
      <w:r w:rsidR="00116E9B" w:rsidRPr="000B482D">
        <w:rPr>
          <w:lang w:val="es-CR"/>
        </w:rPr>
        <w:t xml:space="preserve"> en la materia</w:t>
      </w:r>
      <w:r w:rsidRPr="000B482D">
        <w:rPr>
          <w:lang w:val="es-CR"/>
        </w:rPr>
        <w:t xml:space="preserve">. </w:t>
      </w:r>
      <w:r w:rsidR="00116E9B" w:rsidRPr="000B482D">
        <w:rPr>
          <w:lang w:val="es-CR"/>
        </w:rPr>
        <w:t>Asimismo,</w:t>
      </w:r>
      <w:r w:rsidR="00962A8A" w:rsidRPr="000B482D">
        <w:rPr>
          <w:lang w:val="es-CR"/>
        </w:rPr>
        <w:t xml:space="preserve"> el Tribunal consideró que</w:t>
      </w:r>
      <w:r w:rsidR="004604DA" w:rsidRPr="000B482D">
        <w:rPr>
          <w:lang w:val="es-CR"/>
        </w:rPr>
        <w:t xml:space="preserve"> los procedimientos judiciales y peticiones interpuestas no resultaron efectivos para tal efecto, y </w:t>
      </w:r>
      <w:r w:rsidR="00962A8A" w:rsidRPr="000B482D">
        <w:rPr>
          <w:lang w:val="es-CR"/>
        </w:rPr>
        <w:t xml:space="preserve">que </w:t>
      </w:r>
      <w:r w:rsidR="004604DA" w:rsidRPr="000B482D">
        <w:rPr>
          <w:lang w:val="es-CR"/>
        </w:rPr>
        <w:t xml:space="preserve">el Estado no otorgó la información </w:t>
      </w:r>
      <w:r w:rsidR="00F311AE" w:rsidRPr="000B482D">
        <w:rPr>
          <w:lang w:val="es-CR"/>
        </w:rPr>
        <w:t xml:space="preserve">pública </w:t>
      </w:r>
      <w:r w:rsidR="004604DA" w:rsidRPr="000B482D">
        <w:rPr>
          <w:lang w:val="es-CR"/>
        </w:rPr>
        <w:t>solicitada por los representantes ni fundamentó la imposibilidad de</w:t>
      </w:r>
      <w:r w:rsidR="008A0723">
        <w:rPr>
          <w:lang w:val="es-CR"/>
        </w:rPr>
        <w:t xml:space="preserve"> la</w:t>
      </w:r>
      <w:r w:rsidR="004604DA" w:rsidRPr="000B482D">
        <w:rPr>
          <w:lang w:val="es-CR"/>
        </w:rPr>
        <w:t xml:space="preserve"> entrega de la misma. Por ello, el Estado fue encontrado responsable por la violación del derecho a la protección judicial </w:t>
      </w:r>
      <w:r w:rsidR="004604DA" w:rsidRPr="000B482D">
        <w:rPr>
          <w:lang w:val="es-CR"/>
        </w:rPr>
        <w:lastRenderedPageBreak/>
        <w:t xml:space="preserve">establecido en el artículo 25 de la Convención Americana, </w:t>
      </w:r>
      <w:r w:rsidR="004604DA" w:rsidRPr="000B482D">
        <w:rPr>
          <w:lang w:val="es-ES"/>
        </w:rPr>
        <w:t xml:space="preserve">en relación con los artículos 1.1, 2 y 13 del mismo instrumento. </w:t>
      </w:r>
    </w:p>
    <w:p w14:paraId="001D289A" w14:textId="77777777" w:rsidR="004604DA" w:rsidRPr="000B482D" w:rsidRDefault="004604DA" w:rsidP="000B482D">
      <w:pPr>
        <w:pStyle w:val="ListParagraph"/>
        <w:ind w:left="0"/>
        <w:contextualSpacing/>
        <w:jc w:val="both"/>
        <w:rPr>
          <w:lang w:val="es-CR"/>
        </w:rPr>
      </w:pPr>
    </w:p>
    <w:p w14:paraId="79AB515E" w14:textId="0D89AA9B" w:rsidR="004604DA" w:rsidRDefault="004604DA" w:rsidP="00FB72FE">
      <w:pPr>
        <w:pStyle w:val="NoSpacing"/>
        <w:numPr>
          <w:ilvl w:val="0"/>
          <w:numId w:val="1"/>
        </w:numPr>
        <w:jc w:val="both"/>
        <w:rPr>
          <w:rFonts w:ascii="Verdana" w:hAnsi="Verdana"/>
          <w:b/>
          <w:sz w:val="20"/>
          <w:szCs w:val="20"/>
          <w:lang w:val="es-MX"/>
        </w:rPr>
      </w:pPr>
      <w:r w:rsidRPr="000B482D">
        <w:rPr>
          <w:rFonts w:ascii="Verdana" w:hAnsi="Verdana"/>
          <w:b/>
          <w:sz w:val="20"/>
          <w:szCs w:val="20"/>
          <w:lang w:val="es-MX"/>
        </w:rPr>
        <w:t>Reparaciones</w:t>
      </w:r>
    </w:p>
    <w:p w14:paraId="5808057B" w14:textId="77777777" w:rsidR="008A0723" w:rsidRPr="000B482D" w:rsidRDefault="008A0723" w:rsidP="000B482D">
      <w:pPr>
        <w:pStyle w:val="NoSpacing"/>
        <w:jc w:val="both"/>
        <w:rPr>
          <w:rFonts w:ascii="Verdana" w:hAnsi="Verdana"/>
          <w:b/>
          <w:sz w:val="20"/>
          <w:szCs w:val="20"/>
          <w:lang w:val="es-MX"/>
        </w:rPr>
      </w:pPr>
    </w:p>
    <w:p w14:paraId="67B37436" w14:textId="53D8AA87" w:rsidR="004604DA" w:rsidRPr="000B482D" w:rsidRDefault="004604DA" w:rsidP="000B482D">
      <w:pPr>
        <w:pStyle w:val="ListParagraph"/>
        <w:tabs>
          <w:tab w:val="left" w:pos="567"/>
          <w:tab w:val="left" w:pos="2128"/>
        </w:tabs>
        <w:ind w:left="0"/>
        <w:contextualSpacing/>
        <w:jc w:val="both"/>
        <w:rPr>
          <w:spacing w:val="-2"/>
          <w:lang w:val="es-CR"/>
        </w:rPr>
      </w:pPr>
      <w:r w:rsidRPr="000B482D">
        <w:rPr>
          <w:rFonts w:eastAsia="Batang"/>
          <w:lang w:val="es-CR" w:eastAsia="es-MX"/>
        </w:rPr>
        <w:t xml:space="preserve">En relación con las medidas de reparación integral ordenadas en el Fallo, la Corte estableció que su Sentencia constituye por sí misma una forma de reparación. Asimismo, ordenó que el Estado debe: i) como medida de </w:t>
      </w:r>
      <w:r w:rsidRPr="000B482D">
        <w:rPr>
          <w:rFonts w:eastAsia="Batang"/>
          <w:i/>
          <w:lang w:val="es-CR" w:eastAsia="es-MX"/>
        </w:rPr>
        <w:t>Restitución</w:t>
      </w:r>
      <w:r w:rsidRPr="000B482D">
        <w:rPr>
          <w:rFonts w:eastAsia="Batang"/>
          <w:lang w:val="es-CR" w:eastAsia="es-MX"/>
        </w:rPr>
        <w:t xml:space="preserve">: a) </w:t>
      </w:r>
      <w:r w:rsidRPr="000B482D">
        <w:rPr>
          <w:lang w:val="es-MX"/>
        </w:rPr>
        <w:t xml:space="preserve">otorgar a los Pueblos </w:t>
      </w:r>
      <w:proofErr w:type="spellStart"/>
      <w:r w:rsidRPr="000B482D">
        <w:rPr>
          <w:lang w:val="es-MX"/>
        </w:rPr>
        <w:t>Kaliña</w:t>
      </w:r>
      <w:proofErr w:type="spellEnd"/>
      <w:r w:rsidRPr="000B482D">
        <w:rPr>
          <w:lang w:val="es-MX"/>
        </w:rPr>
        <w:t xml:space="preserve"> y </w:t>
      </w:r>
      <w:proofErr w:type="spellStart"/>
      <w:r w:rsidRPr="000B482D">
        <w:rPr>
          <w:lang w:val="es-MX"/>
        </w:rPr>
        <w:t>Lokono</w:t>
      </w:r>
      <w:proofErr w:type="spellEnd"/>
      <w:r w:rsidRPr="000B482D">
        <w:rPr>
          <w:lang w:val="es-MX"/>
        </w:rPr>
        <w:t xml:space="preserve"> el reconocimiento legal de la personalidad jurídica colectiva; b) </w:t>
      </w:r>
      <w:r w:rsidRPr="000B482D">
        <w:rPr>
          <w:lang w:val="es-CR"/>
        </w:rPr>
        <w:t>delimitar, demarcar</w:t>
      </w:r>
      <w:r w:rsidR="00F311AE" w:rsidRPr="000B482D">
        <w:rPr>
          <w:lang w:val="es-CR"/>
        </w:rPr>
        <w:t xml:space="preserve"> y </w:t>
      </w:r>
      <w:r w:rsidRPr="000B482D">
        <w:rPr>
          <w:lang w:val="es-CR"/>
        </w:rPr>
        <w:t xml:space="preserve">otorgar título colectivo del territorio </w:t>
      </w:r>
      <w:r w:rsidR="00F311AE" w:rsidRPr="000B482D">
        <w:rPr>
          <w:lang w:val="es-CR"/>
        </w:rPr>
        <w:t>a los</w:t>
      </w:r>
      <w:r w:rsidRPr="000B482D">
        <w:rPr>
          <w:lang w:val="es-CR"/>
        </w:rPr>
        <w:t xml:space="preserve"> 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Pr="000B482D">
        <w:rPr>
          <w:lang w:val="es-CR"/>
        </w:rPr>
        <w:t>, así como gar</w:t>
      </w:r>
      <w:r w:rsidR="00116E9B" w:rsidRPr="000B482D">
        <w:rPr>
          <w:lang w:val="es-CR"/>
        </w:rPr>
        <w:t>antizar su uso y goce efectivo,</w:t>
      </w:r>
      <w:r w:rsidRPr="000B482D">
        <w:rPr>
          <w:lang w:val="es-CR"/>
        </w:rPr>
        <w:t xml:space="preserve"> tomando en cuenta los derechos que asisten a otros pueblos tribales en la zona; </w:t>
      </w:r>
      <w:r w:rsidR="00F311AE" w:rsidRPr="000B482D">
        <w:rPr>
          <w:lang w:val="es-CR"/>
        </w:rPr>
        <w:t>c</w:t>
      </w:r>
      <w:r w:rsidRPr="000B482D">
        <w:rPr>
          <w:lang w:val="es-CR"/>
        </w:rPr>
        <w:t xml:space="preserve">) </w:t>
      </w:r>
      <w:r w:rsidR="00085E7F">
        <w:rPr>
          <w:lang w:val="es-CR"/>
        </w:rPr>
        <w:t xml:space="preserve">determinar los derechos de propiedad que le asisten a los Pueblos </w:t>
      </w:r>
      <w:proofErr w:type="spellStart"/>
      <w:r w:rsidR="00085E7F">
        <w:rPr>
          <w:lang w:val="es-CR"/>
        </w:rPr>
        <w:t>Kaliña</w:t>
      </w:r>
      <w:proofErr w:type="spellEnd"/>
      <w:r w:rsidR="00085E7F">
        <w:rPr>
          <w:lang w:val="es-CR"/>
        </w:rPr>
        <w:t xml:space="preserve"> y </w:t>
      </w:r>
      <w:proofErr w:type="spellStart"/>
      <w:r w:rsidR="00085E7F">
        <w:rPr>
          <w:lang w:val="es-CR"/>
        </w:rPr>
        <w:t>Lokono</w:t>
      </w:r>
      <w:proofErr w:type="spellEnd"/>
      <w:r w:rsidR="00085E7F">
        <w:rPr>
          <w:lang w:val="es-CR"/>
        </w:rPr>
        <w:t>, respecto de otras tierras que se encuentre en propiedad de tercero</w:t>
      </w:r>
      <w:r w:rsidR="0095713D">
        <w:rPr>
          <w:lang w:val="es-CR"/>
        </w:rPr>
        <w:t>s</w:t>
      </w:r>
      <w:r w:rsidR="00085E7F">
        <w:rPr>
          <w:lang w:val="es-CR"/>
        </w:rPr>
        <w:t xml:space="preserve"> no indígenas </w:t>
      </w:r>
      <w:r w:rsidR="00085E7F" w:rsidRPr="003D7316">
        <w:rPr>
          <w:lang w:val="es-CR"/>
        </w:rPr>
        <w:t>ni tribales, sean de personas naturales</w:t>
      </w:r>
      <w:r w:rsidR="003D7316">
        <w:rPr>
          <w:lang w:val="es-CR"/>
        </w:rPr>
        <w:t xml:space="preserve"> o</w:t>
      </w:r>
      <w:r w:rsidR="00085E7F" w:rsidRPr="003D7316">
        <w:rPr>
          <w:lang w:val="es-CR"/>
        </w:rPr>
        <w:t xml:space="preserve"> jurídicas</w:t>
      </w:r>
      <w:r w:rsidRPr="003D7316">
        <w:rPr>
          <w:lang w:val="es-CR"/>
        </w:rPr>
        <w:t>;</w:t>
      </w:r>
      <w:r w:rsidRPr="000B482D">
        <w:rPr>
          <w:lang w:val="es-CR"/>
        </w:rPr>
        <w:t xml:space="preserve"> </w:t>
      </w:r>
      <w:r w:rsidR="00F311AE" w:rsidRPr="000B482D">
        <w:rPr>
          <w:lang w:val="es-CR"/>
        </w:rPr>
        <w:t>d</w:t>
      </w:r>
      <w:r w:rsidRPr="000B482D">
        <w:rPr>
          <w:lang w:val="es-CR"/>
        </w:rPr>
        <w:t>) adoptar las</w:t>
      </w:r>
      <w:r w:rsidRPr="000B482D">
        <w:rPr>
          <w:rFonts w:cs="Arial"/>
          <w:lang w:val="es-ES"/>
        </w:rPr>
        <w:t xml:space="preserve"> medidas adecuadas para que </w:t>
      </w:r>
      <w:r w:rsidRPr="000B482D">
        <w:rPr>
          <w:lang w:val="es-ES"/>
        </w:rPr>
        <w:t>se garantice el</w:t>
      </w:r>
      <w:r w:rsidRPr="000B482D">
        <w:rPr>
          <w:rFonts w:cs="Arial"/>
          <w:lang w:val="es-ES"/>
        </w:rPr>
        <w:t xml:space="preserve"> acceso, uso y participación efectiva en favor </w:t>
      </w:r>
      <w:r w:rsidRPr="000B482D">
        <w:rPr>
          <w:lang w:val="es-ES"/>
        </w:rPr>
        <w:t xml:space="preserve">de </w:t>
      </w:r>
      <w:r w:rsidRPr="000B482D">
        <w:rPr>
          <w:rFonts w:cs="Arial"/>
          <w:lang w:val="es-ES"/>
        </w:rPr>
        <w:t xml:space="preserve">los Pueblos </w:t>
      </w:r>
      <w:proofErr w:type="spellStart"/>
      <w:r w:rsidRPr="000B482D">
        <w:rPr>
          <w:rFonts w:cs="Arial"/>
          <w:lang w:val="es-ES"/>
        </w:rPr>
        <w:t>Kaliña</w:t>
      </w:r>
      <w:proofErr w:type="spellEnd"/>
      <w:r w:rsidRPr="000B482D">
        <w:rPr>
          <w:rFonts w:cs="Arial"/>
          <w:lang w:val="es-ES"/>
        </w:rPr>
        <w:t xml:space="preserve"> y </w:t>
      </w:r>
      <w:proofErr w:type="spellStart"/>
      <w:r w:rsidRPr="000B482D">
        <w:rPr>
          <w:rFonts w:cs="Arial"/>
          <w:lang w:val="es-ES"/>
        </w:rPr>
        <w:t>Lokono</w:t>
      </w:r>
      <w:proofErr w:type="spellEnd"/>
      <w:r w:rsidRPr="000B482D">
        <w:rPr>
          <w:lang w:val="es-ES"/>
        </w:rPr>
        <w:t xml:space="preserve"> en las reservas</w:t>
      </w:r>
      <w:r w:rsidRPr="000B482D">
        <w:rPr>
          <w:rFonts w:cs="Arial"/>
          <w:lang w:val="es-ES"/>
        </w:rPr>
        <w:t xml:space="preserve"> naturales de </w:t>
      </w:r>
      <w:proofErr w:type="spellStart"/>
      <w:r w:rsidRPr="000B482D">
        <w:rPr>
          <w:rFonts w:cs="Arial"/>
          <w:lang w:val="es-ES"/>
        </w:rPr>
        <w:t>Galibi</w:t>
      </w:r>
      <w:proofErr w:type="spellEnd"/>
      <w:r w:rsidRPr="000B482D">
        <w:rPr>
          <w:rFonts w:cs="Arial"/>
          <w:lang w:val="es-ES"/>
        </w:rPr>
        <w:t xml:space="preserve"> y </w:t>
      </w:r>
      <w:proofErr w:type="spellStart"/>
      <w:r w:rsidRPr="000B482D">
        <w:rPr>
          <w:rFonts w:cs="Arial"/>
          <w:lang w:val="es-ES"/>
        </w:rPr>
        <w:t>Wane</w:t>
      </w:r>
      <w:proofErr w:type="spellEnd"/>
      <w:r w:rsidRPr="000B482D">
        <w:rPr>
          <w:rFonts w:cs="Arial"/>
          <w:lang w:val="es-ES"/>
        </w:rPr>
        <w:t xml:space="preserve"> </w:t>
      </w:r>
      <w:proofErr w:type="spellStart"/>
      <w:r w:rsidRPr="000B482D">
        <w:rPr>
          <w:rFonts w:cs="Arial"/>
          <w:lang w:val="es-ES"/>
        </w:rPr>
        <w:t>Kreek</w:t>
      </w:r>
      <w:proofErr w:type="spellEnd"/>
      <w:r w:rsidRPr="000B482D">
        <w:rPr>
          <w:rFonts w:cs="Arial"/>
          <w:lang w:val="es-ES"/>
        </w:rPr>
        <w:t xml:space="preserve">; </w:t>
      </w:r>
      <w:r w:rsidR="00F311AE" w:rsidRPr="000B482D">
        <w:rPr>
          <w:rFonts w:cs="Arial"/>
          <w:lang w:val="es-ES"/>
        </w:rPr>
        <w:t>e</w:t>
      </w:r>
      <w:r w:rsidRPr="000B482D">
        <w:rPr>
          <w:rFonts w:cs="Arial"/>
          <w:lang w:val="es-ES"/>
        </w:rPr>
        <w:t xml:space="preserve">) </w:t>
      </w:r>
      <w:r w:rsidRPr="000B482D">
        <w:rPr>
          <w:lang w:val="es-CR"/>
        </w:rPr>
        <w:t xml:space="preserve">adoptar las medidas necesarias para que no se lleven a cabo actividades que puedan afectar el territorio tradicional, en particular en la reserva de </w:t>
      </w:r>
      <w:proofErr w:type="spellStart"/>
      <w:r w:rsidRPr="000B482D">
        <w:rPr>
          <w:lang w:val="es-CR"/>
        </w:rPr>
        <w:t>Wane</w:t>
      </w:r>
      <w:proofErr w:type="spellEnd"/>
      <w:r w:rsidRPr="000B482D">
        <w:rPr>
          <w:lang w:val="es-CR"/>
        </w:rPr>
        <w:t xml:space="preserve"> </w:t>
      </w:r>
      <w:proofErr w:type="spellStart"/>
      <w:r w:rsidRPr="000B482D">
        <w:rPr>
          <w:lang w:val="es-CR"/>
        </w:rPr>
        <w:t>Kreek</w:t>
      </w:r>
      <w:proofErr w:type="spellEnd"/>
      <w:r w:rsidRPr="000B482D">
        <w:rPr>
          <w:lang w:val="es-CR"/>
        </w:rPr>
        <w:t>, mientras no se garanticen los proceso referidos para la participación efectiva de los</w:t>
      </w:r>
      <w:r w:rsidRPr="000B482D">
        <w:rPr>
          <w:b/>
          <w:lang w:val="es-CR"/>
        </w:rPr>
        <w:t xml:space="preserve"> </w:t>
      </w:r>
      <w:r w:rsidRPr="000B482D">
        <w:rPr>
          <w:lang w:val="es-CR"/>
        </w:rPr>
        <w:t xml:space="preserve">Pueblos </w:t>
      </w:r>
      <w:proofErr w:type="spellStart"/>
      <w:r w:rsidRPr="000B482D">
        <w:rPr>
          <w:lang w:val="es-CR"/>
        </w:rPr>
        <w:t>Kaliña</w:t>
      </w:r>
      <w:proofErr w:type="spellEnd"/>
      <w:r w:rsidRPr="000B482D">
        <w:rPr>
          <w:lang w:val="es-CR"/>
        </w:rPr>
        <w:t xml:space="preserve"> y </w:t>
      </w:r>
      <w:proofErr w:type="spellStart"/>
      <w:r w:rsidRPr="000B482D">
        <w:rPr>
          <w:lang w:val="es-CR"/>
        </w:rPr>
        <w:t>Lokono</w:t>
      </w:r>
      <w:proofErr w:type="spellEnd"/>
      <w:r w:rsidRPr="000B482D">
        <w:rPr>
          <w:lang w:val="es-CR"/>
        </w:rPr>
        <w:t xml:space="preserve">, y </w:t>
      </w:r>
      <w:r w:rsidR="00F311AE" w:rsidRPr="000B482D">
        <w:rPr>
          <w:lang w:val="es-CR"/>
        </w:rPr>
        <w:t>f</w:t>
      </w:r>
      <w:r w:rsidRPr="000B482D">
        <w:rPr>
          <w:lang w:val="es-CR"/>
        </w:rPr>
        <w:t xml:space="preserve">) </w:t>
      </w:r>
      <w:r w:rsidRPr="000B482D">
        <w:t xml:space="preserve">poner en marcha los mecanismos necesarios de coordinación entre instituciones con el fin de velar por la efectividad de las medidas dispuestas; ii) como medida de </w:t>
      </w:r>
      <w:r w:rsidRPr="000B482D">
        <w:rPr>
          <w:i/>
        </w:rPr>
        <w:t>Rehabilitación</w:t>
      </w:r>
      <w:r w:rsidRPr="000B482D">
        <w:t xml:space="preserve">, </w:t>
      </w:r>
      <w:r w:rsidRPr="000B482D">
        <w:rPr>
          <w:lang w:val="es-PE"/>
        </w:rPr>
        <w:t xml:space="preserve">implementar las acciones suficientes y necesarias con el fin de rehabilitar la zona afectada en la Reserva Natural de </w:t>
      </w:r>
      <w:proofErr w:type="spellStart"/>
      <w:r w:rsidRPr="000B482D">
        <w:rPr>
          <w:lang w:val="es-PE"/>
        </w:rPr>
        <w:t>Wane</w:t>
      </w:r>
      <w:proofErr w:type="spellEnd"/>
      <w:r w:rsidRPr="000B482D">
        <w:rPr>
          <w:lang w:val="es-PE"/>
        </w:rPr>
        <w:t xml:space="preserve"> </w:t>
      </w:r>
      <w:proofErr w:type="spellStart"/>
      <w:r w:rsidRPr="000B482D">
        <w:rPr>
          <w:lang w:val="es-PE"/>
        </w:rPr>
        <w:t>Kreek</w:t>
      </w:r>
      <w:proofErr w:type="spellEnd"/>
      <w:r w:rsidRPr="000B482D">
        <w:rPr>
          <w:lang w:val="es-PE"/>
        </w:rPr>
        <w:t xml:space="preserve">; </w:t>
      </w:r>
      <w:r w:rsidRPr="000B482D">
        <w:t>i</w:t>
      </w:r>
      <w:r w:rsidR="00116E9B" w:rsidRPr="000B482D">
        <w:t>ii</w:t>
      </w:r>
      <w:r w:rsidRPr="000B482D">
        <w:t xml:space="preserve">) como </w:t>
      </w:r>
      <w:r w:rsidRPr="000B482D">
        <w:rPr>
          <w:i/>
        </w:rPr>
        <w:t>Compensación Colectiva</w:t>
      </w:r>
      <w:r w:rsidRPr="000B482D">
        <w:t xml:space="preserve">, </w:t>
      </w:r>
      <w:r w:rsidRPr="000B482D">
        <w:rPr>
          <w:rFonts w:cs="Verdana"/>
        </w:rPr>
        <w:t xml:space="preserve">crear un fondo de desarrollo comunitario a favor de los miembros de los Pueblos </w:t>
      </w:r>
      <w:proofErr w:type="spellStart"/>
      <w:r w:rsidRPr="000B482D">
        <w:rPr>
          <w:rFonts w:cs="Verdana"/>
        </w:rPr>
        <w:t>Kaliña</w:t>
      </w:r>
      <w:proofErr w:type="spellEnd"/>
      <w:r w:rsidRPr="000B482D">
        <w:rPr>
          <w:rFonts w:cs="Verdana"/>
        </w:rPr>
        <w:t xml:space="preserve"> y </w:t>
      </w:r>
      <w:proofErr w:type="spellStart"/>
      <w:r w:rsidRPr="000B482D">
        <w:rPr>
          <w:rFonts w:cs="Verdana"/>
        </w:rPr>
        <w:t>Lokono</w:t>
      </w:r>
      <w:proofErr w:type="spellEnd"/>
      <w:r w:rsidRPr="000B482D">
        <w:rPr>
          <w:rFonts w:cs="Verdana"/>
        </w:rPr>
        <w:t xml:space="preserve">; </w:t>
      </w:r>
      <w:r w:rsidR="00116E9B" w:rsidRPr="000B482D">
        <w:rPr>
          <w:rFonts w:cs="Verdana"/>
        </w:rPr>
        <w:t>i</w:t>
      </w:r>
      <w:r w:rsidRPr="000B482D">
        <w:rPr>
          <w:rFonts w:cs="Verdana"/>
        </w:rPr>
        <w:t xml:space="preserve">v) </w:t>
      </w:r>
      <w:r w:rsidRPr="000B482D">
        <w:rPr>
          <w:spacing w:val="-2"/>
          <w:lang w:val="es-CR"/>
        </w:rPr>
        <w:t xml:space="preserve">como medidas de </w:t>
      </w:r>
      <w:r w:rsidRPr="000B482D">
        <w:rPr>
          <w:i/>
          <w:spacing w:val="-2"/>
          <w:lang w:val="es-CR"/>
        </w:rPr>
        <w:t xml:space="preserve">Satisfacción, </w:t>
      </w:r>
      <w:r w:rsidRPr="000B482D">
        <w:t xml:space="preserve">realizar las publicaciones y </w:t>
      </w:r>
      <w:r w:rsidR="00F311AE" w:rsidRPr="000B482D">
        <w:t xml:space="preserve">la </w:t>
      </w:r>
      <w:r w:rsidRPr="000B482D">
        <w:t xml:space="preserve">transmisión radial; v) </w:t>
      </w:r>
      <w:r w:rsidRPr="000B482D">
        <w:rPr>
          <w:spacing w:val="-2"/>
          <w:lang w:val="es-CR"/>
        </w:rPr>
        <w:t xml:space="preserve">como </w:t>
      </w:r>
      <w:r w:rsidRPr="000B482D">
        <w:rPr>
          <w:i/>
          <w:spacing w:val="-2"/>
          <w:lang w:val="es-CR"/>
        </w:rPr>
        <w:t xml:space="preserve">Garantías de no repetición, </w:t>
      </w:r>
      <w:r w:rsidRPr="000B482D">
        <w:t xml:space="preserve">adoptar las medidas necesarias para </w:t>
      </w:r>
      <w:r w:rsidRPr="000B482D">
        <w:rPr>
          <w:lang w:val="es-MX"/>
        </w:rPr>
        <w:t>los pueblos indígenas y tribales en Surinam</w:t>
      </w:r>
      <w:r w:rsidRPr="000B482D">
        <w:rPr>
          <w:spacing w:val="-2"/>
          <w:lang w:val="es-CR"/>
        </w:rPr>
        <w:t xml:space="preserve"> en el sentido de: a) </w:t>
      </w:r>
      <w:r w:rsidRPr="000B482D">
        <w:rPr>
          <w:lang w:val="es-MX"/>
        </w:rPr>
        <w:t>reconocer la personalidad jurídica colectiva</w:t>
      </w:r>
      <w:r w:rsidR="0096718D" w:rsidRPr="000B482D">
        <w:rPr>
          <w:lang w:val="es-MX"/>
        </w:rPr>
        <w:t>;</w:t>
      </w:r>
      <w:r w:rsidRPr="000B482D">
        <w:rPr>
          <w:lang w:val="es-MX"/>
        </w:rPr>
        <w:t xml:space="preserve"> </w:t>
      </w:r>
      <w:r w:rsidR="0096718D" w:rsidRPr="000B482D">
        <w:rPr>
          <w:lang w:val="es-MX"/>
        </w:rPr>
        <w:t xml:space="preserve">b) </w:t>
      </w:r>
      <w:r w:rsidRPr="000B482D">
        <w:rPr>
          <w:lang w:val="es-CR"/>
        </w:rPr>
        <w:t>crear un mecanismo efectivo de delimitación, demarcación y titulación</w:t>
      </w:r>
      <w:r w:rsidR="0096718D" w:rsidRPr="000B482D">
        <w:rPr>
          <w:lang w:val="es-CR"/>
        </w:rPr>
        <w:t xml:space="preserve"> para sus territorios; c) crear o adecuar sus recursos internos con el fin de garantizar de manera efectiva el acceso a la justicia; d) garantizar procesos efectivos de participación para </w:t>
      </w:r>
      <w:r w:rsidR="00116E9B" w:rsidRPr="000B482D">
        <w:rPr>
          <w:lang w:val="es-CR"/>
        </w:rPr>
        <w:t>estos</w:t>
      </w:r>
      <w:r w:rsidR="0096718D" w:rsidRPr="000B482D">
        <w:rPr>
          <w:lang w:val="es-CR"/>
        </w:rPr>
        <w:t xml:space="preserve"> pueblos, la realización de estudios de impacto ambiental y social, y la </w:t>
      </w:r>
      <w:r w:rsidR="00116E9B" w:rsidRPr="000B482D">
        <w:rPr>
          <w:lang w:val="es-CR"/>
        </w:rPr>
        <w:t>repartición de beneficios</w:t>
      </w:r>
      <w:r w:rsidR="00F311AE" w:rsidRPr="000B482D">
        <w:rPr>
          <w:lang w:val="es-CR"/>
        </w:rPr>
        <w:t>, y</w:t>
      </w:r>
      <w:r w:rsidR="0096718D" w:rsidRPr="000B482D">
        <w:rPr>
          <w:lang w:val="es-CR"/>
        </w:rPr>
        <w:t xml:space="preserve"> e) </w:t>
      </w:r>
      <w:r w:rsidR="0096718D" w:rsidRPr="000B482D">
        <w:rPr>
          <w:lang w:val="es-ES"/>
        </w:rPr>
        <w:t xml:space="preserve">implementar los programas o cursos permanentes relacionados con los derechos humanos de los pueblos indígenas y tribales; </w:t>
      </w:r>
      <w:r w:rsidR="0096718D" w:rsidRPr="000B482D">
        <w:t>v</w:t>
      </w:r>
      <w:r w:rsidRPr="000B482D">
        <w:t>)</w:t>
      </w:r>
      <w:r w:rsidRPr="000B482D">
        <w:rPr>
          <w:spacing w:val="-2"/>
          <w:lang w:val="es-CR"/>
        </w:rPr>
        <w:t xml:space="preserve"> pagar el</w:t>
      </w:r>
      <w:r w:rsidR="0096718D" w:rsidRPr="000B482D">
        <w:rPr>
          <w:spacing w:val="-2"/>
          <w:lang w:val="es-CR"/>
        </w:rPr>
        <w:t xml:space="preserve"> reintegro de costas y gastos.</w:t>
      </w:r>
    </w:p>
    <w:p w14:paraId="6A7E3526" w14:textId="77777777" w:rsidR="004604DA" w:rsidRPr="000B482D" w:rsidRDefault="004604DA" w:rsidP="000B482D">
      <w:pPr>
        <w:pStyle w:val="NoSpacing"/>
        <w:jc w:val="both"/>
        <w:rPr>
          <w:rFonts w:ascii="Verdana" w:eastAsia="Batang" w:hAnsi="Verdana"/>
          <w:sz w:val="20"/>
          <w:szCs w:val="20"/>
          <w:lang w:val="es-CR" w:eastAsia="es-MX"/>
        </w:rPr>
      </w:pPr>
    </w:p>
    <w:p w14:paraId="0A4EBE7E" w14:textId="3FBA8A2E" w:rsidR="004604DA" w:rsidRDefault="004604DA" w:rsidP="000B482D">
      <w:pPr>
        <w:pStyle w:val="ListParagraph"/>
        <w:tabs>
          <w:tab w:val="left" w:pos="567"/>
          <w:tab w:val="left" w:pos="2128"/>
        </w:tabs>
        <w:ind w:left="0"/>
        <w:jc w:val="both"/>
      </w:pPr>
      <w:r w:rsidRPr="000B482D">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6C72164" w14:textId="77777777" w:rsidR="008A0723" w:rsidRPr="000B482D" w:rsidRDefault="008A0723" w:rsidP="000B482D">
      <w:pPr>
        <w:pStyle w:val="ListParagraph"/>
        <w:tabs>
          <w:tab w:val="left" w:pos="567"/>
          <w:tab w:val="left" w:pos="2128"/>
        </w:tabs>
        <w:ind w:left="0"/>
        <w:jc w:val="both"/>
        <w:rPr>
          <w:rFonts w:cs="Verdana"/>
          <w:spacing w:val="-2"/>
          <w:lang w:val="es-CR"/>
        </w:rPr>
      </w:pPr>
    </w:p>
    <w:p w14:paraId="77564BBE" w14:textId="2495DD1C" w:rsidR="009E4B3C" w:rsidRPr="000B482D" w:rsidRDefault="004604DA" w:rsidP="000B482D">
      <w:pPr>
        <w:pStyle w:val="NoSpacing"/>
        <w:jc w:val="both"/>
        <w:rPr>
          <w:rFonts w:ascii="Verdana" w:hAnsi="Verdana"/>
          <w:sz w:val="20"/>
          <w:szCs w:val="20"/>
          <w:lang w:val="es-PE"/>
        </w:rPr>
      </w:pPr>
      <w:r w:rsidRPr="000B482D">
        <w:rPr>
          <w:rFonts w:ascii="Verdana" w:eastAsia="Batang" w:hAnsi="Verdana"/>
          <w:sz w:val="20"/>
          <w:szCs w:val="20"/>
          <w:lang w:val="es-CR" w:eastAsia="es-MX"/>
        </w:rPr>
        <w:t>El texto íntegro de la Sentencia puede consultarse en el siguiente enlace:</w:t>
      </w:r>
      <w:r w:rsidR="00870AF8" w:rsidRPr="00870AF8">
        <w:rPr>
          <w:lang w:val="es-CR"/>
        </w:rPr>
        <w:t xml:space="preserve"> </w:t>
      </w:r>
      <w:hyperlink r:id="rId12" w:history="1">
        <w:r w:rsidR="00870AF8" w:rsidRPr="00870AF8">
          <w:rPr>
            <w:rStyle w:val="Hyperlink"/>
            <w:rFonts w:ascii="Verdana" w:hAnsi="Verdana"/>
            <w:sz w:val="20"/>
            <w:szCs w:val="20"/>
            <w:lang w:val="es-CR"/>
          </w:rPr>
          <w:t>http://www.corteidh.or.cr/casos.cfm</w:t>
        </w:r>
      </w:hyperlink>
      <w:r w:rsidR="00870AF8" w:rsidRPr="00870AF8">
        <w:rPr>
          <w:rFonts w:ascii="Verdana" w:hAnsi="Verdana"/>
          <w:sz w:val="20"/>
          <w:szCs w:val="20"/>
          <w:lang w:val="es-CR"/>
        </w:rPr>
        <w:t>.</w:t>
      </w:r>
    </w:p>
    <w:sectPr w:rsidR="009E4B3C" w:rsidRPr="000B482D" w:rsidSect="006B41DD">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315C" w14:textId="77777777" w:rsidR="00F24CD1" w:rsidRDefault="00F24CD1" w:rsidP="00001198">
      <w:pPr>
        <w:spacing w:after="0" w:line="240" w:lineRule="auto"/>
      </w:pPr>
      <w:r>
        <w:separator/>
      </w:r>
    </w:p>
  </w:endnote>
  <w:endnote w:type="continuationSeparator" w:id="0">
    <w:p w14:paraId="312A34E2" w14:textId="77777777" w:rsidR="00F24CD1" w:rsidRDefault="00F24CD1" w:rsidP="0000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E921" w14:textId="77777777" w:rsidR="006B41DD" w:rsidRDefault="006B4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301264"/>
      <w:docPartObj>
        <w:docPartGallery w:val="Page Numbers (Bottom of Page)"/>
        <w:docPartUnique/>
      </w:docPartObj>
    </w:sdtPr>
    <w:sdtEndPr>
      <w:rPr>
        <w:rFonts w:ascii="Verdana" w:hAnsi="Verdana"/>
        <w:sz w:val="20"/>
        <w:szCs w:val="20"/>
      </w:rPr>
    </w:sdtEndPr>
    <w:sdtContent>
      <w:p w14:paraId="411F0FAE" w14:textId="77777777" w:rsidR="00F311AE" w:rsidRPr="006B41DD" w:rsidRDefault="00F311AE">
        <w:pPr>
          <w:pStyle w:val="Footer"/>
          <w:jc w:val="center"/>
          <w:rPr>
            <w:rFonts w:ascii="Verdana" w:hAnsi="Verdana"/>
            <w:sz w:val="20"/>
            <w:szCs w:val="20"/>
          </w:rPr>
        </w:pPr>
        <w:r w:rsidRPr="006B41DD">
          <w:rPr>
            <w:rFonts w:ascii="Verdana" w:hAnsi="Verdana"/>
            <w:sz w:val="20"/>
            <w:szCs w:val="20"/>
          </w:rPr>
          <w:fldChar w:fldCharType="begin"/>
        </w:r>
        <w:r w:rsidRPr="006B41DD">
          <w:rPr>
            <w:rFonts w:ascii="Verdana" w:hAnsi="Verdana"/>
            <w:sz w:val="20"/>
            <w:szCs w:val="20"/>
          </w:rPr>
          <w:instrText>PAGE   \* MERGEFORMAT</w:instrText>
        </w:r>
        <w:r w:rsidRPr="006B41DD">
          <w:rPr>
            <w:rFonts w:ascii="Verdana" w:hAnsi="Verdana"/>
            <w:sz w:val="20"/>
            <w:szCs w:val="20"/>
          </w:rPr>
          <w:fldChar w:fldCharType="separate"/>
        </w:r>
        <w:r w:rsidR="00CE536B" w:rsidRPr="00CE536B">
          <w:rPr>
            <w:rFonts w:ascii="Verdana" w:hAnsi="Verdana"/>
            <w:noProof/>
            <w:sz w:val="20"/>
            <w:szCs w:val="20"/>
            <w:lang w:val="es-ES"/>
          </w:rPr>
          <w:t>5</w:t>
        </w:r>
        <w:r w:rsidRPr="006B41DD">
          <w:rPr>
            <w:rFonts w:ascii="Verdana" w:hAnsi="Verdana"/>
            <w:sz w:val="20"/>
            <w:szCs w:val="20"/>
          </w:rPr>
          <w:fldChar w:fldCharType="end"/>
        </w:r>
      </w:p>
    </w:sdtContent>
  </w:sdt>
  <w:p w14:paraId="5FA96D89" w14:textId="77777777" w:rsidR="00F311AE" w:rsidRDefault="00F31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5B0A" w14:textId="77777777" w:rsidR="006B41DD" w:rsidRDefault="006B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8213" w14:textId="77777777" w:rsidR="00F24CD1" w:rsidRDefault="00F24CD1" w:rsidP="00001198">
      <w:pPr>
        <w:spacing w:after="0" w:line="240" w:lineRule="auto"/>
      </w:pPr>
      <w:r>
        <w:separator/>
      </w:r>
    </w:p>
  </w:footnote>
  <w:footnote w:type="continuationSeparator" w:id="0">
    <w:p w14:paraId="471C1740" w14:textId="77777777" w:rsidR="00F24CD1" w:rsidRDefault="00F24CD1" w:rsidP="00001198">
      <w:pPr>
        <w:spacing w:after="0" w:line="240" w:lineRule="auto"/>
      </w:pPr>
      <w:r>
        <w:continuationSeparator/>
      </w:r>
    </w:p>
  </w:footnote>
  <w:footnote w:id="1">
    <w:p w14:paraId="1FE5A85B" w14:textId="77777777" w:rsidR="00F311AE" w:rsidRPr="00F5707A" w:rsidRDefault="00F311AE" w:rsidP="00001198">
      <w:pPr>
        <w:pStyle w:val="Default"/>
        <w:jc w:val="both"/>
        <w:rPr>
          <w:iCs/>
          <w:sz w:val="16"/>
          <w:szCs w:val="16"/>
          <w:lang w:val="es-ES"/>
        </w:rPr>
      </w:pPr>
      <w:r w:rsidRPr="00F5707A">
        <w:rPr>
          <w:rStyle w:val="FootnoteReference"/>
          <w:rFonts w:cs="Times New Roman"/>
          <w:color w:val="auto"/>
          <w:sz w:val="16"/>
          <w:szCs w:val="20"/>
          <w:lang w:val="es-ES_tradnl"/>
        </w:rPr>
        <w:sym w:font="Symbol" w:char="F02A"/>
      </w:r>
      <w:r w:rsidRPr="00F5707A">
        <w:rPr>
          <w:lang w:val="es-ES"/>
        </w:rPr>
        <w:t xml:space="preserve"> </w:t>
      </w:r>
      <w:r w:rsidRPr="00F5707A">
        <w:rPr>
          <w:sz w:val="16"/>
          <w:szCs w:val="16"/>
          <w:lang w:val="es-ES"/>
        </w:rPr>
        <w:t>Integrada por los siguientes jueces</w:t>
      </w:r>
      <w:r w:rsidRPr="004748D8">
        <w:rPr>
          <w:sz w:val="16"/>
          <w:szCs w:val="16"/>
          <w:lang w:val="es-ES"/>
        </w:rPr>
        <w:t xml:space="preserve">: </w:t>
      </w:r>
      <w:r w:rsidRPr="004748D8">
        <w:rPr>
          <w:iCs/>
          <w:sz w:val="16"/>
          <w:szCs w:val="16"/>
          <w:lang w:val="es-ES"/>
        </w:rPr>
        <w:t>Humberto Antonio Sierra Porto</w:t>
      </w:r>
      <w:r w:rsidRPr="004748D8">
        <w:rPr>
          <w:sz w:val="16"/>
          <w:szCs w:val="16"/>
          <w:lang w:val="es-ES"/>
        </w:rPr>
        <w:t xml:space="preserve">, Presidente; </w:t>
      </w:r>
      <w:r w:rsidRPr="004748D8">
        <w:rPr>
          <w:iCs/>
          <w:sz w:val="16"/>
          <w:szCs w:val="16"/>
          <w:lang w:val="es-ES"/>
        </w:rPr>
        <w:t>Roberto F. Caldas</w:t>
      </w:r>
      <w:r w:rsidRPr="004748D8">
        <w:rPr>
          <w:sz w:val="16"/>
          <w:szCs w:val="16"/>
          <w:lang w:val="es-ES"/>
        </w:rPr>
        <w:t xml:space="preserve">, Vicepresidente; Manuel E. Ventura Robles, Juez; </w:t>
      </w:r>
      <w:r w:rsidRPr="004748D8">
        <w:rPr>
          <w:bCs/>
          <w:sz w:val="16"/>
          <w:szCs w:val="16"/>
          <w:lang w:val="es-CR"/>
        </w:rPr>
        <w:t>Diego García-Sayán</w:t>
      </w:r>
      <w:r>
        <w:rPr>
          <w:bCs/>
          <w:sz w:val="16"/>
          <w:szCs w:val="16"/>
          <w:lang w:val="es-CR"/>
        </w:rPr>
        <w:t>, Juez;</w:t>
      </w:r>
      <w:r w:rsidRPr="004748D8">
        <w:rPr>
          <w:sz w:val="16"/>
          <w:szCs w:val="16"/>
          <w:lang w:val="es-ES"/>
        </w:rPr>
        <w:t xml:space="preserve"> </w:t>
      </w:r>
      <w:r w:rsidRPr="004748D8">
        <w:rPr>
          <w:bCs/>
          <w:sz w:val="16"/>
          <w:szCs w:val="16"/>
          <w:lang w:val="es-CR"/>
        </w:rPr>
        <w:t xml:space="preserve">Alberto Pérez </w:t>
      </w:r>
      <w:proofErr w:type="spellStart"/>
      <w:r w:rsidRPr="004748D8">
        <w:rPr>
          <w:bCs/>
          <w:sz w:val="16"/>
          <w:szCs w:val="16"/>
          <w:lang w:val="es-CR"/>
        </w:rPr>
        <w:t>Pérez</w:t>
      </w:r>
      <w:proofErr w:type="spellEnd"/>
      <w:r>
        <w:rPr>
          <w:bCs/>
          <w:sz w:val="16"/>
          <w:szCs w:val="16"/>
          <w:lang w:val="es-CR"/>
        </w:rPr>
        <w:t>, Juez;</w:t>
      </w:r>
      <w:r w:rsidRPr="004748D8">
        <w:rPr>
          <w:sz w:val="16"/>
          <w:szCs w:val="16"/>
          <w:lang w:val="es-ES"/>
        </w:rPr>
        <w:t xml:space="preserve"> Eduardo </w:t>
      </w:r>
      <w:proofErr w:type="spellStart"/>
      <w:r w:rsidRPr="004748D8">
        <w:rPr>
          <w:sz w:val="16"/>
          <w:szCs w:val="16"/>
          <w:lang w:val="es-ES"/>
        </w:rPr>
        <w:t>Vío</w:t>
      </w:r>
      <w:proofErr w:type="spellEnd"/>
      <w:r w:rsidRPr="004748D8">
        <w:rPr>
          <w:sz w:val="16"/>
          <w:szCs w:val="16"/>
          <w:lang w:val="es-ES"/>
        </w:rPr>
        <w:t xml:space="preserve"> Grossi, Juez</w:t>
      </w:r>
      <w:r w:rsidRPr="004748D8">
        <w:rPr>
          <w:iCs/>
          <w:sz w:val="16"/>
          <w:szCs w:val="16"/>
          <w:lang w:val="es-ES"/>
        </w:rPr>
        <w:t xml:space="preserve">, y Eduardo Ferrer Mac-Gregor Poisot, Juez.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63B1" w14:textId="77777777" w:rsidR="006B41DD" w:rsidRDefault="006B4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828B6" w14:textId="77777777" w:rsidR="006B41DD" w:rsidRDefault="006B4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FE18" w14:textId="77777777" w:rsidR="006B41DD" w:rsidRDefault="006B4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6ADE"/>
    <w:multiLevelType w:val="hybridMultilevel"/>
    <w:tmpl w:val="BA86209E"/>
    <w:lvl w:ilvl="0" w:tplc="E0A24ED6">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450298B"/>
    <w:multiLevelType w:val="hybridMultilevel"/>
    <w:tmpl w:val="EB7EDA34"/>
    <w:lvl w:ilvl="0" w:tplc="7B504664">
      <w:start w:val="1"/>
      <w:numFmt w:val="decimal"/>
      <w:lvlText w:val="%1."/>
      <w:lvlJc w:val="left"/>
      <w:pPr>
        <w:ind w:left="153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98"/>
    <w:rsid w:val="00001198"/>
    <w:rsid w:val="0000501E"/>
    <w:rsid w:val="00013239"/>
    <w:rsid w:val="0001509B"/>
    <w:rsid w:val="0007720D"/>
    <w:rsid w:val="00085E7F"/>
    <w:rsid w:val="000B482D"/>
    <w:rsid w:val="001138A8"/>
    <w:rsid w:val="00116E9B"/>
    <w:rsid w:val="00123062"/>
    <w:rsid w:val="001265F4"/>
    <w:rsid w:val="00184495"/>
    <w:rsid w:val="00185AFD"/>
    <w:rsid w:val="001D13C6"/>
    <w:rsid w:val="001E71B2"/>
    <w:rsid w:val="0020091E"/>
    <w:rsid w:val="002757B0"/>
    <w:rsid w:val="00337098"/>
    <w:rsid w:val="00350EB7"/>
    <w:rsid w:val="00375B2D"/>
    <w:rsid w:val="00380B6E"/>
    <w:rsid w:val="00386387"/>
    <w:rsid w:val="003C1E30"/>
    <w:rsid w:val="003D203C"/>
    <w:rsid w:val="003D7316"/>
    <w:rsid w:val="003F758F"/>
    <w:rsid w:val="00417005"/>
    <w:rsid w:val="00453715"/>
    <w:rsid w:val="004604DA"/>
    <w:rsid w:val="004844C3"/>
    <w:rsid w:val="004B6E42"/>
    <w:rsid w:val="00537270"/>
    <w:rsid w:val="00541286"/>
    <w:rsid w:val="005B2103"/>
    <w:rsid w:val="0064384C"/>
    <w:rsid w:val="006B41DD"/>
    <w:rsid w:val="006B77CA"/>
    <w:rsid w:val="00701FFF"/>
    <w:rsid w:val="008048A4"/>
    <w:rsid w:val="00870AF8"/>
    <w:rsid w:val="008772DF"/>
    <w:rsid w:val="008A0723"/>
    <w:rsid w:val="008A587E"/>
    <w:rsid w:val="008B5DBE"/>
    <w:rsid w:val="008C02FF"/>
    <w:rsid w:val="00913440"/>
    <w:rsid w:val="00931747"/>
    <w:rsid w:val="00952F8B"/>
    <w:rsid w:val="0095713D"/>
    <w:rsid w:val="00962A8A"/>
    <w:rsid w:val="0096718D"/>
    <w:rsid w:val="0099648E"/>
    <w:rsid w:val="009B1A3D"/>
    <w:rsid w:val="009C37DB"/>
    <w:rsid w:val="009E4217"/>
    <w:rsid w:val="009E4B3C"/>
    <w:rsid w:val="00A1350A"/>
    <w:rsid w:val="00A220B5"/>
    <w:rsid w:val="00B61EF1"/>
    <w:rsid w:val="00B97FD9"/>
    <w:rsid w:val="00BB0AEB"/>
    <w:rsid w:val="00BD05A4"/>
    <w:rsid w:val="00BE0A2A"/>
    <w:rsid w:val="00C01532"/>
    <w:rsid w:val="00C06C74"/>
    <w:rsid w:val="00C27051"/>
    <w:rsid w:val="00C3462E"/>
    <w:rsid w:val="00C404F4"/>
    <w:rsid w:val="00CD7FEC"/>
    <w:rsid w:val="00CE536B"/>
    <w:rsid w:val="00CF6665"/>
    <w:rsid w:val="00D03780"/>
    <w:rsid w:val="00D0448C"/>
    <w:rsid w:val="00DA53B4"/>
    <w:rsid w:val="00DF6258"/>
    <w:rsid w:val="00E13D78"/>
    <w:rsid w:val="00E87F66"/>
    <w:rsid w:val="00E96643"/>
    <w:rsid w:val="00EB53A9"/>
    <w:rsid w:val="00ED0702"/>
    <w:rsid w:val="00EE7811"/>
    <w:rsid w:val="00F0156A"/>
    <w:rsid w:val="00F060E7"/>
    <w:rsid w:val="00F1493B"/>
    <w:rsid w:val="00F24CD1"/>
    <w:rsid w:val="00F311AE"/>
    <w:rsid w:val="00F36684"/>
    <w:rsid w:val="00FA547E"/>
    <w:rsid w:val="00FB6428"/>
    <w:rsid w:val="00FB72FE"/>
    <w:rsid w:val="00FE174C"/>
    <w:rsid w:val="00FE1B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198"/>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001198"/>
    <w:rPr>
      <w:vertAlign w:val="superscript"/>
    </w:rPr>
  </w:style>
  <w:style w:type="paragraph" w:styleId="NoSpacing">
    <w:name w:val="No Spacing"/>
    <w:uiPriority w:val="1"/>
    <w:qFormat/>
    <w:rsid w:val="00001198"/>
    <w:pPr>
      <w:spacing w:after="0" w:line="240" w:lineRule="auto"/>
    </w:pPr>
    <w:rPr>
      <w:rFonts w:ascii="Calibri" w:eastAsia="Calibri" w:hAnsi="Calibri" w:cs="Times New Roman"/>
      <w:lang w:val="en-US"/>
    </w:rPr>
  </w:style>
  <w:style w:type="paragraph" w:styleId="ListParagraph">
    <w:name w:val="List Paragraph"/>
    <w:aliases w:val="Footnote,Párrafo de lista1,List Paragraph2,Lista vistosa - Énfasis 11"/>
    <w:basedOn w:val="Normal"/>
    <w:link w:val="ListParagraphChar"/>
    <w:uiPriority w:val="99"/>
    <w:qFormat/>
    <w:rsid w:val="00001198"/>
    <w:pPr>
      <w:spacing w:after="0" w:line="240" w:lineRule="auto"/>
      <w:ind w:left="720"/>
    </w:pPr>
    <w:rPr>
      <w:rFonts w:ascii="Verdana" w:eastAsia="Times New Roman" w:hAnsi="Verdana" w:cs="Times New Roman"/>
      <w:sz w:val="20"/>
      <w:szCs w:val="20"/>
      <w:lang w:val="es-ES_tradnl"/>
    </w:rPr>
  </w:style>
  <w:style w:type="character" w:customStyle="1" w:styleId="ListParagraphChar">
    <w:name w:val="List Paragraph Char"/>
    <w:aliases w:val="Footnote Char,Párrafo de lista1 Char,List Paragraph2 Char,Lista vistosa - Énfasis 11 Char"/>
    <w:basedOn w:val="DefaultParagraphFont"/>
    <w:link w:val="ListParagraph"/>
    <w:uiPriority w:val="99"/>
    <w:rsid w:val="00001198"/>
    <w:rPr>
      <w:rFonts w:ascii="Verdana" w:eastAsia="Times New Roman" w:hAnsi="Verdana" w:cs="Times New Roman"/>
      <w:sz w:val="20"/>
      <w:szCs w:val="20"/>
      <w:lang w:val="es-ES_tradnl"/>
    </w:rPr>
  </w:style>
  <w:style w:type="paragraph" w:customStyle="1" w:styleId="ListParagraph1">
    <w:name w:val="List Paragraph1"/>
    <w:aliases w:val="Colorful List - Accent 11"/>
    <w:basedOn w:val="Normal"/>
    <w:uiPriority w:val="99"/>
    <w:qFormat/>
    <w:rsid w:val="00A220B5"/>
    <w:pPr>
      <w:ind w:left="720"/>
    </w:pPr>
    <w:rPr>
      <w:rFonts w:ascii="Times New Roman" w:eastAsia="Times New Roman" w:hAnsi="Times New Roman" w:cs="Times New Roman"/>
      <w:sz w:val="24"/>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A220B5"/>
    <w:pPr>
      <w:tabs>
        <w:tab w:val="left" w:pos="567"/>
      </w:tabs>
      <w:spacing w:after="0" w:line="240" w:lineRule="auto"/>
      <w:jc w:val="both"/>
    </w:pPr>
    <w:rPr>
      <w:rFonts w:ascii="Verdana" w:eastAsia="Batang" w:hAnsi="Verdana" w:cs="Times New Roman"/>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A220B5"/>
    <w:rPr>
      <w:rFonts w:ascii="Verdana" w:eastAsia="Batang" w:hAnsi="Verdana" w:cs="Times New Roman"/>
      <w:sz w:val="16"/>
      <w:szCs w:val="16"/>
      <w:lang w:val="es-ES" w:eastAsia="es-ES"/>
    </w:rPr>
  </w:style>
  <w:style w:type="character" w:styleId="Hyperlink">
    <w:name w:val="Hyperlink"/>
    <w:aliases w:val="Heading 3 caso"/>
    <w:uiPriority w:val="99"/>
    <w:rsid w:val="003F758F"/>
    <w:rPr>
      <w:rFonts w:cs="Times New Roman"/>
      <w:color w:val="0000FF"/>
      <w:u w:val="single"/>
    </w:rPr>
  </w:style>
  <w:style w:type="character" w:customStyle="1" w:styleId="apple-converted-space">
    <w:name w:val="apple-converted-space"/>
    <w:basedOn w:val="DefaultParagraphFont"/>
    <w:rsid w:val="003F758F"/>
  </w:style>
  <w:style w:type="paragraph" w:styleId="Header">
    <w:name w:val="header"/>
    <w:basedOn w:val="Normal"/>
    <w:link w:val="HeaderChar"/>
    <w:uiPriority w:val="99"/>
    <w:unhideWhenUsed/>
    <w:rsid w:val="009671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96718D"/>
  </w:style>
  <w:style w:type="paragraph" w:styleId="Footer">
    <w:name w:val="footer"/>
    <w:basedOn w:val="Normal"/>
    <w:link w:val="FooterChar"/>
    <w:uiPriority w:val="99"/>
    <w:unhideWhenUsed/>
    <w:rsid w:val="009671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96718D"/>
  </w:style>
  <w:style w:type="character" w:customStyle="1" w:styleId="hps">
    <w:name w:val="hps"/>
    <w:basedOn w:val="DefaultParagraphFont"/>
    <w:rsid w:val="004B6E42"/>
  </w:style>
  <w:style w:type="paragraph" w:styleId="BalloonText">
    <w:name w:val="Balloon Text"/>
    <w:basedOn w:val="Normal"/>
    <w:link w:val="BalloonTextChar"/>
    <w:uiPriority w:val="99"/>
    <w:semiHidden/>
    <w:unhideWhenUsed/>
    <w:rsid w:val="009B1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3D"/>
    <w:rPr>
      <w:rFonts w:ascii="Tahoma" w:hAnsi="Tahoma" w:cs="Tahoma"/>
      <w:sz w:val="16"/>
      <w:szCs w:val="16"/>
    </w:rPr>
  </w:style>
  <w:style w:type="character" w:styleId="Strong">
    <w:name w:val="Strong"/>
    <w:basedOn w:val="DefaultParagraphFont"/>
    <w:uiPriority w:val="22"/>
    <w:qFormat/>
    <w:rsid w:val="00E87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rteidh.or.cr/casos.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57C5-0513-4216-8A65-528FCDEAB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6D3CB-E104-4B74-B692-1143DA072B2A}">
  <ds:schemaRefs>
    <ds:schemaRef ds:uri="http://schemas.microsoft.com/sharepoint/v3/contenttype/forms"/>
  </ds:schemaRefs>
</ds:datastoreItem>
</file>

<file path=customXml/itemProps3.xml><?xml version="1.0" encoding="utf-8"?>
<ds:datastoreItem xmlns:ds="http://schemas.openxmlformats.org/officeDocument/2006/customXml" ds:itemID="{AEE565A8-A4F6-4546-A055-E6DC12530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7CD7F1-6A4A-4F94-8D0E-0AD82F33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2592</Words>
  <Characters>14256</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2016-01-27T21:48:00Z</cp:lastPrinted>
  <dcterms:created xsi:type="dcterms:W3CDTF">2016-11-15T17:41:00Z</dcterms:created>
  <dcterms:modified xsi:type="dcterms:W3CDTF">2016-11-15T17:41:00Z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