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F3D3" w14:textId="77777777" w:rsidR="002A14F3" w:rsidRDefault="002A14F3" w:rsidP="000B482D">
      <w:pPr>
        <w:spacing w:after="0" w:line="240" w:lineRule="auto"/>
        <w:jc w:val="center"/>
        <w:rPr>
          <w:rFonts w:ascii="Verdana" w:hAnsi="Verdana"/>
          <w:b/>
          <w:snapToGrid w:val="0"/>
          <w:sz w:val="20"/>
          <w:szCs w:val="20"/>
          <w:lang w:val="en-US"/>
        </w:rPr>
      </w:pPr>
      <w:bookmarkStart w:id="0" w:name="_GoBack"/>
      <w:bookmarkEnd w:id="0"/>
    </w:p>
    <w:p w14:paraId="75EDA557" w14:textId="77777777" w:rsidR="002A14F3" w:rsidRDefault="002A14F3" w:rsidP="000B482D">
      <w:pPr>
        <w:spacing w:after="0" w:line="240" w:lineRule="auto"/>
        <w:jc w:val="center"/>
        <w:rPr>
          <w:rFonts w:ascii="Verdana" w:hAnsi="Verdana"/>
          <w:b/>
          <w:snapToGrid w:val="0"/>
          <w:sz w:val="20"/>
          <w:szCs w:val="20"/>
          <w:lang w:val="en-US"/>
        </w:rPr>
      </w:pPr>
    </w:p>
    <w:p w14:paraId="38ECE395" w14:textId="77777777" w:rsidR="002A14F3" w:rsidRDefault="002A14F3" w:rsidP="000B482D">
      <w:pPr>
        <w:spacing w:after="0" w:line="240" w:lineRule="auto"/>
        <w:jc w:val="center"/>
        <w:rPr>
          <w:rFonts w:ascii="Verdana" w:hAnsi="Verdana"/>
          <w:b/>
          <w:snapToGrid w:val="0"/>
          <w:sz w:val="20"/>
          <w:szCs w:val="20"/>
          <w:lang w:val="en-US"/>
        </w:rPr>
      </w:pPr>
    </w:p>
    <w:p w14:paraId="72E39109" w14:textId="77777777" w:rsidR="002A14F3" w:rsidRDefault="002A14F3" w:rsidP="000B482D">
      <w:pPr>
        <w:spacing w:after="0" w:line="240" w:lineRule="auto"/>
        <w:jc w:val="center"/>
        <w:rPr>
          <w:rFonts w:ascii="Verdana" w:hAnsi="Verdana"/>
          <w:b/>
          <w:snapToGrid w:val="0"/>
          <w:sz w:val="20"/>
          <w:szCs w:val="20"/>
          <w:lang w:val="en-US"/>
        </w:rPr>
      </w:pPr>
    </w:p>
    <w:p w14:paraId="1F3FF22B" w14:textId="77777777" w:rsidR="002A14F3" w:rsidRDefault="002A14F3" w:rsidP="000B482D">
      <w:pPr>
        <w:spacing w:after="0" w:line="240" w:lineRule="auto"/>
        <w:jc w:val="center"/>
        <w:rPr>
          <w:rFonts w:ascii="Verdana" w:hAnsi="Verdana"/>
          <w:b/>
          <w:snapToGrid w:val="0"/>
          <w:sz w:val="20"/>
          <w:szCs w:val="20"/>
          <w:lang w:val="en-US"/>
        </w:rPr>
      </w:pPr>
    </w:p>
    <w:p w14:paraId="733A24AC" w14:textId="77777777" w:rsidR="002A14F3" w:rsidRDefault="002A14F3" w:rsidP="000B482D">
      <w:pPr>
        <w:spacing w:after="0" w:line="240" w:lineRule="auto"/>
        <w:jc w:val="center"/>
        <w:rPr>
          <w:rFonts w:ascii="Verdana" w:hAnsi="Verdana"/>
          <w:b/>
          <w:snapToGrid w:val="0"/>
          <w:sz w:val="20"/>
          <w:szCs w:val="20"/>
          <w:lang w:val="en-US"/>
        </w:rPr>
      </w:pPr>
    </w:p>
    <w:p w14:paraId="189DDE83" w14:textId="77777777" w:rsidR="002A14F3" w:rsidRDefault="002A14F3" w:rsidP="000B482D">
      <w:pPr>
        <w:spacing w:after="0" w:line="240" w:lineRule="auto"/>
        <w:jc w:val="center"/>
        <w:rPr>
          <w:rFonts w:ascii="Verdana" w:hAnsi="Verdana"/>
          <w:b/>
          <w:snapToGrid w:val="0"/>
          <w:sz w:val="20"/>
          <w:szCs w:val="20"/>
          <w:lang w:val="en-US"/>
        </w:rPr>
      </w:pPr>
    </w:p>
    <w:p w14:paraId="41155894" w14:textId="18B8DDB6" w:rsidR="00001198" w:rsidRPr="00CE7CBF" w:rsidRDefault="00A37514" w:rsidP="000B482D">
      <w:pPr>
        <w:spacing w:after="0" w:line="240" w:lineRule="auto"/>
        <w:jc w:val="center"/>
        <w:rPr>
          <w:rStyle w:val="FootnoteReference"/>
          <w:rFonts w:ascii="Verdana" w:hAnsi="Verdana"/>
          <w:b/>
          <w:snapToGrid w:val="0"/>
          <w:sz w:val="20"/>
          <w:szCs w:val="20"/>
          <w:lang w:val="en-US"/>
        </w:rPr>
      </w:pPr>
      <w:r w:rsidRPr="00CE7CBF">
        <w:rPr>
          <w:rFonts w:ascii="Verdana" w:hAnsi="Verdana"/>
          <w:b/>
          <w:snapToGrid w:val="0"/>
          <w:sz w:val="20"/>
          <w:szCs w:val="20"/>
          <w:lang w:val="en-US"/>
        </w:rPr>
        <w:t>INTER-AMERICAN COURT OF HUMAN RIGHTS</w:t>
      </w:r>
      <w:r w:rsidR="00001198" w:rsidRPr="00CE7CBF">
        <w:rPr>
          <w:rStyle w:val="FootnoteReference"/>
          <w:rFonts w:ascii="Verdana" w:hAnsi="Verdana"/>
          <w:b/>
          <w:snapToGrid w:val="0"/>
          <w:sz w:val="20"/>
          <w:szCs w:val="20"/>
          <w:lang w:val="en-US"/>
        </w:rPr>
        <w:footnoteReference w:customMarkFollows="1" w:id="1"/>
        <w:sym w:font="Symbol" w:char="F02A"/>
      </w:r>
    </w:p>
    <w:p w14:paraId="6AF3FB8E" w14:textId="77777777" w:rsidR="00001198" w:rsidRPr="00CE7CBF" w:rsidRDefault="00001198" w:rsidP="000B482D">
      <w:pPr>
        <w:spacing w:after="0" w:line="240" w:lineRule="auto"/>
        <w:jc w:val="center"/>
        <w:rPr>
          <w:rFonts w:ascii="Verdana" w:hAnsi="Verdana"/>
          <w:b/>
          <w:snapToGrid w:val="0"/>
          <w:sz w:val="20"/>
          <w:szCs w:val="20"/>
          <w:lang w:val="en-US"/>
        </w:rPr>
      </w:pPr>
    </w:p>
    <w:p w14:paraId="2D0675F7" w14:textId="308D8EA7" w:rsidR="00001198" w:rsidRPr="00CE7CBF" w:rsidRDefault="00A37514" w:rsidP="000B482D">
      <w:pPr>
        <w:spacing w:after="0" w:line="240" w:lineRule="auto"/>
        <w:jc w:val="center"/>
        <w:rPr>
          <w:rFonts w:ascii="Verdana" w:hAnsi="Verdana"/>
          <w:b/>
          <w:i/>
          <w:sz w:val="20"/>
          <w:szCs w:val="20"/>
          <w:lang w:val="en-US"/>
        </w:rPr>
      </w:pPr>
      <w:r w:rsidRPr="00CE7CBF">
        <w:rPr>
          <w:rFonts w:ascii="Verdana" w:hAnsi="Verdana"/>
          <w:b/>
          <w:i/>
          <w:sz w:val="20"/>
          <w:szCs w:val="20"/>
          <w:lang w:val="en-US"/>
        </w:rPr>
        <w:t>CASE OF</w:t>
      </w:r>
      <w:r w:rsidR="00F72911" w:rsidRPr="00CE7CBF">
        <w:rPr>
          <w:rFonts w:ascii="Verdana" w:hAnsi="Verdana"/>
          <w:b/>
          <w:i/>
          <w:sz w:val="20"/>
          <w:szCs w:val="20"/>
          <w:lang w:val="en-US"/>
        </w:rPr>
        <w:t xml:space="preserve"> THE</w:t>
      </w:r>
      <w:r w:rsidR="00001198" w:rsidRPr="00CE7CBF">
        <w:rPr>
          <w:rFonts w:ascii="Verdana" w:hAnsi="Verdana"/>
          <w:b/>
          <w:i/>
          <w:sz w:val="20"/>
          <w:szCs w:val="20"/>
          <w:lang w:val="en-US"/>
        </w:rPr>
        <w:t xml:space="preserve"> </w:t>
      </w:r>
      <w:r w:rsidRPr="00CE7CBF">
        <w:rPr>
          <w:rFonts w:ascii="Verdana" w:hAnsi="Verdana"/>
          <w:b/>
          <w:i/>
          <w:sz w:val="20"/>
          <w:szCs w:val="20"/>
          <w:lang w:val="en-US"/>
        </w:rPr>
        <w:t>KALIÑA AND LOKONO PEOPLES V. SURINAME</w:t>
      </w:r>
    </w:p>
    <w:p w14:paraId="6BE8567A" w14:textId="77777777" w:rsidR="00001198" w:rsidRPr="00CE7CBF" w:rsidRDefault="00001198" w:rsidP="000B482D">
      <w:pPr>
        <w:spacing w:after="0" w:line="240" w:lineRule="auto"/>
        <w:jc w:val="center"/>
        <w:rPr>
          <w:rFonts w:ascii="Verdana" w:hAnsi="Verdana"/>
          <w:b/>
          <w:sz w:val="20"/>
          <w:szCs w:val="20"/>
          <w:lang w:val="en-US"/>
        </w:rPr>
      </w:pPr>
    </w:p>
    <w:p w14:paraId="4B4A66AD" w14:textId="084C669F" w:rsidR="00001198" w:rsidRPr="00CE7CBF" w:rsidRDefault="00A37514" w:rsidP="000B482D">
      <w:pPr>
        <w:spacing w:after="0" w:line="240" w:lineRule="auto"/>
        <w:jc w:val="center"/>
        <w:rPr>
          <w:rFonts w:ascii="Verdana" w:hAnsi="Verdana"/>
          <w:b/>
          <w:bCs/>
          <w:sz w:val="20"/>
          <w:szCs w:val="20"/>
          <w:lang w:val="en-US"/>
        </w:rPr>
      </w:pPr>
      <w:r w:rsidRPr="00CE7CBF">
        <w:rPr>
          <w:rFonts w:ascii="Verdana" w:hAnsi="Verdana"/>
          <w:b/>
          <w:bCs/>
          <w:sz w:val="20"/>
          <w:szCs w:val="20"/>
          <w:lang w:val="en-US"/>
        </w:rPr>
        <w:t>OFFICIAL SUMMARY ISSUED BY THE INTER-AMERICAN COURT</w:t>
      </w:r>
    </w:p>
    <w:p w14:paraId="0051EB52" w14:textId="77777777" w:rsidR="00001198" w:rsidRPr="00CE7CBF" w:rsidRDefault="00001198" w:rsidP="000B482D">
      <w:pPr>
        <w:spacing w:after="0" w:line="240" w:lineRule="auto"/>
        <w:jc w:val="center"/>
        <w:rPr>
          <w:rFonts w:ascii="Verdana" w:hAnsi="Verdana"/>
          <w:b/>
          <w:bCs/>
          <w:sz w:val="20"/>
          <w:szCs w:val="20"/>
          <w:lang w:val="en-US"/>
        </w:rPr>
      </w:pPr>
    </w:p>
    <w:p w14:paraId="61BD4E8D" w14:textId="795A470A" w:rsidR="00001198" w:rsidRPr="00CE7CBF" w:rsidRDefault="00A37514" w:rsidP="000B482D">
      <w:pPr>
        <w:spacing w:after="0" w:line="240" w:lineRule="auto"/>
        <w:jc w:val="center"/>
        <w:rPr>
          <w:rFonts w:ascii="Verdana" w:hAnsi="Verdana"/>
          <w:b/>
          <w:sz w:val="20"/>
          <w:szCs w:val="20"/>
          <w:lang w:val="en-US"/>
        </w:rPr>
      </w:pPr>
      <w:r w:rsidRPr="00CE7CBF">
        <w:rPr>
          <w:rFonts w:ascii="Verdana" w:hAnsi="Verdana"/>
          <w:b/>
          <w:sz w:val="20"/>
          <w:szCs w:val="20"/>
          <w:lang w:val="en-US"/>
        </w:rPr>
        <w:t xml:space="preserve">JUDGMENT OF NOVEMBER 25, </w:t>
      </w:r>
      <w:r w:rsidR="00001198" w:rsidRPr="00CE7CBF">
        <w:rPr>
          <w:rFonts w:ascii="Verdana" w:hAnsi="Verdana"/>
          <w:b/>
          <w:sz w:val="20"/>
          <w:szCs w:val="20"/>
          <w:lang w:val="en-US"/>
        </w:rPr>
        <w:t>2015</w:t>
      </w:r>
    </w:p>
    <w:p w14:paraId="367B660B" w14:textId="52C6F033" w:rsidR="00001198" w:rsidRPr="00CE7CBF" w:rsidRDefault="00A37514" w:rsidP="000B482D">
      <w:pPr>
        <w:spacing w:after="0" w:line="240" w:lineRule="auto"/>
        <w:jc w:val="center"/>
        <w:rPr>
          <w:rFonts w:ascii="Verdana" w:hAnsi="Verdana"/>
          <w:b/>
          <w:sz w:val="20"/>
          <w:szCs w:val="20"/>
          <w:lang w:val="en-US"/>
        </w:rPr>
      </w:pPr>
      <w:r w:rsidRPr="00CE7CBF">
        <w:rPr>
          <w:rFonts w:ascii="Verdana" w:hAnsi="Verdana"/>
          <w:b/>
          <w:i/>
          <w:sz w:val="20"/>
          <w:szCs w:val="20"/>
          <w:lang w:val="en-US"/>
        </w:rPr>
        <w:t xml:space="preserve">(Merits, </w:t>
      </w:r>
      <w:r w:rsidR="003115A4">
        <w:rPr>
          <w:rFonts w:ascii="Verdana" w:hAnsi="Verdana"/>
          <w:b/>
          <w:i/>
          <w:sz w:val="20"/>
          <w:szCs w:val="20"/>
          <w:lang w:val="en-US"/>
        </w:rPr>
        <w:t>R</w:t>
      </w:r>
      <w:r w:rsidRPr="00CE7CBF">
        <w:rPr>
          <w:rFonts w:ascii="Verdana" w:hAnsi="Verdana"/>
          <w:b/>
          <w:i/>
          <w:sz w:val="20"/>
          <w:szCs w:val="20"/>
          <w:lang w:val="en-US"/>
        </w:rPr>
        <w:t xml:space="preserve">eparations and </w:t>
      </w:r>
      <w:r w:rsidR="003115A4">
        <w:rPr>
          <w:rFonts w:ascii="Verdana" w:hAnsi="Verdana"/>
          <w:b/>
          <w:i/>
          <w:sz w:val="20"/>
          <w:szCs w:val="20"/>
          <w:lang w:val="en-US"/>
        </w:rPr>
        <w:t>C</w:t>
      </w:r>
      <w:r w:rsidRPr="00CE7CBF">
        <w:rPr>
          <w:rFonts w:ascii="Verdana" w:hAnsi="Verdana"/>
          <w:b/>
          <w:i/>
          <w:sz w:val="20"/>
          <w:szCs w:val="20"/>
          <w:lang w:val="en-US"/>
        </w:rPr>
        <w:t>osts</w:t>
      </w:r>
      <w:r w:rsidR="00001198" w:rsidRPr="00CE7CBF">
        <w:rPr>
          <w:rFonts w:ascii="Verdana" w:hAnsi="Verdana"/>
          <w:b/>
          <w:i/>
          <w:sz w:val="20"/>
          <w:szCs w:val="20"/>
          <w:lang w:val="en-US"/>
        </w:rPr>
        <w:t>)</w:t>
      </w:r>
    </w:p>
    <w:p w14:paraId="37068EA9" w14:textId="77777777" w:rsidR="00001198" w:rsidRPr="00CE7CBF" w:rsidRDefault="00001198" w:rsidP="000B482D">
      <w:pPr>
        <w:spacing w:after="0" w:line="240" w:lineRule="auto"/>
        <w:jc w:val="center"/>
        <w:rPr>
          <w:rFonts w:ascii="Verdana" w:hAnsi="Verdana"/>
          <w:b/>
          <w:i/>
          <w:sz w:val="20"/>
          <w:szCs w:val="20"/>
          <w:lang w:val="en-US"/>
        </w:rPr>
      </w:pPr>
    </w:p>
    <w:p w14:paraId="119BBAFF" w14:textId="28374030" w:rsidR="00001198" w:rsidRPr="00CE7CBF" w:rsidRDefault="00A37514" w:rsidP="000B482D">
      <w:pPr>
        <w:pStyle w:val="NoSpacing"/>
        <w:jc w:val="both"/>
        <w:rPr>
          <w:rFonts w:ascii="Verdana" w:hAnsi="Verdana"/>
          <w:sz w:val="20"/>
          <w:szCs w:val="20"/>
        </w:rPr>
      </w:pPr>
      <w:r w:rsidRPr="00CE7CBF">
        <w:rPr>
          <w:rFonts w:ascii="Verdana" w:hAnsi="Verdana"/>
          <w:sz w:val="20"/>
          <w:szCs w:val="20"/>
        </w:rPr>
        <w:t xml:space="preserve">On November 25, </w:t>
      </w:r>
      <w:r w:rsidR="00001198" w:rsidRPr="00CE7CBF">
        <w:rPr>
          <w:rFonts w:ascii="Verdana" w:hAnsi="Verdana"/>
          <w:sz w:val="20"/>
          <w:szCs w:val="20"/>
        </w:rPr>
        <w:t>2015</w:t>
      </w:r>
      <w:r w:rsidRPr="00CE7CBF">
        <w:rPr>
          <w:rFonts w:ascii="Verdana" w:hAnsi="Verdana"/>
          <w:sz w:val="20"/>
          <w:szCs w:val="20"/>
        </w:rPr>
        <w:t>,</w:t>
      </w:r>
      <w:r w:rsidR="00001198" w:rsidRPr="00CE7CBF">
        <w:rPr>
          <w:rFonts w:ascii="Verdana" w:hAnsi="Verdana"/>
          <w:sz w:val="20"/>
          <w:szCs w:val="20"/>
        </w:rPr>
        <w:t xml:space="preserve"> </w:t>
      </w:r>
      <w:r w:rsidRPr="00CE7CBF">
        <w:rPr>
          <w:rFonts w:ascii="Verdana" w:hAnsi="Verdana"/>
          <w:sz w:val="20"/>
          <w:szCs w:val="20"/>
        </w:rPr>
        <w:t>the Inter-American Court of Human Rights</w:t>
      </w:r>
      <w:r w:rsidR="00001198" w:rsidRPr="00CE7CBF">
        <w:rPr>
          <w:rFonts w:ascii="Verdana" w:hAnsi="Verdana"/>
          <w:sz w:val="20"/>
          <w:szCs w:val="20"/>
        </w:rPr>
        <w:t xml:space="preserve"> (</w:t>
      </w:r>
      <w:r w:rsidRPr="00CE7CBF">
        <w:rPr>
          <w:rFonts w:ascii="Verdana" w:hAnsi="Verdana"/>
          <w:sz w:val="20"/>
          <w:szCs w:val="20"/>
        </w:rPr>
        <w:t>hereinafter</w:t>
      </w:r>
      <w:r w:rsidR="00001198" w:rsidRPr="00CE7CBF">
        <w:rPr>
          <w:rFonts w:ascii="Verdana" w:hAnsi="Verdana"/>
          <w:sz w:val="20"/>
          <w:szCs w:val="20"/>
        </w:rPr>
        <w:t xml:space="preserve"> “</w:t>
      </w:r>
      <w:r w:rsidRPr="00CE7CBF">
        <w:rPr>
          <w:rFonts w:ascii="Verdana" w:hAnsi="Verdana"/>
          <w:sz w:val="20"/>
          <w:szCs w:val="20"/>
        </w:rPr>
        <w:t xml:space="preserve">the Inter-American Court” </w:t>
      </w:r>
      <w:r w:rsidR="00001198" w:rsidRPr="00CE7CBF">
        <w:rPr>
          <w:rFonts w:ascii="Verdana" w:hAnsi="Verdana"/>
          <w:sz w:val="20"/>
          <w:szCs w:val="20"/>
        </w:rPr>
        <w:t>o</w:t>
      </w:r>
      <w:r w:rsidRPr="00CE7CBF">
        <w:rPr>
          <w:rFonts w:ascii="Verdana" w:hAnsi="Verdana"/>
          <w:sz w:val="20"/>
          <w:szCs w:val="20"/>
        </w:rPr>
        <w:t>r</w:t>
      </w:r>
      <w:r w:rsidR="00001198" w:rsidRPr="00CE7CBF">
        <w:rPr>
          <w:rFonts w:ascii="Verdana" w:hAnsi="Verdana"/>
          <w:sz w:val="20"/>
          <w:szCs w:val="20"/>
        </w:rPr>
        <w:t xml:space="preserve"> “</w:t>
      </w:r>
      <w:r w:rsidRPr="00CE7CBF">
        <w:rPr>
          <w:rFonts w:ascii="Verdana" w:hAnsi="Verdana"/>
          <w:sz w:val="20"/>
          <w:szCs w:val="20"/>
        </w:rPr>
        <w:t>the Court</w:t>
      </w:r>
      <w:r w:rsidR="00001198" w:rsidRPr="00CE7CBF">
        <w:rPr>
          <w:rFonts w:ascii="Verdana" w:hAnsi="Verdana"/>
          <w:sz w:val="20"/>
          <w:szCs w:val="20"/>
        </w:rPr>
        <w:t>”) d</w:t>
      </w:r>
      <w:r w:rsidRPr="00CE7CBF">
        <w:rPr>
          <w:rFonts w:ascii="Verdana" w:hAnsi="Verdana"/>
          <w:sz w:val="20"/>
          <w:szCs w:val="20"/>
        </w:rPr>
        <w:t xml:space="preserve">elivered judgment in the case of the </w:t>
      </w:r>
      <w:proofErr w:type="spellStart"/>
      <w:r w:rsidRPr="00CE7CBF">
        <w:rPr>
          <w:rFonts w:ascii="Verdana" w:hAnsi="Verdana"/>
          <w:i/>
          <w:sz w:val="20"/>
          <w:szCs w:val="20"/>
        </w:rPr>
        <w:t>Kaliña</w:t>
      </w:r>
      <w:proofErr w:type="spellEnd"/>
      <w:r w:rsidRPr="00CE7CBF">
        <w:rPr>
          <w:rFonts w:ascii="Verdana" w:hAnsi="Verdana"/>
          <w:i/>
          <w:sz w:val="20"/>
          <w:szCs w:val="20"/>
        </w:rPr>
        <w:t xml:space="preserve"> and </w:t>
      </w:r>
      <w:proofErr w:type="spellStart"/>
      <w:r w:rsidRPr="00CE7CBF">
        <w:rPr>
          <w:rFonts w:ascii="Verdana" w:hAnsi="Verdana"/>
          <w:i/>
          <w:sz w:val="20"/>
          <w:szCs w:val="20"/>
        </w:rPr>
        <w:t>Lokono</w:t>
      </w:r>
      <w:proofErr w:type="spellEnd"/>
      <w:r w:rsidRPr="00CE7CBF">
        <w:rPr>
          <w:rFonts w:ascii="Verdana" w:hAnsi="Verdana"/>
          <w:i/>
          <w:sz w:val="20"/>
          <w:szCs w:val="20"/>
        </w:rPr>
        <w:t xml:space="preserve"> Peoples v. Suriname </w:t>
      </w:r>
      <w:r w:rsidRPr="00CE7CBF">
        <w:rPr>
          <w:rFonts w:ascii="Verdana" w:hAnsi="Verdana"/>
          <w:sz w:val="20"/>
          <w:szCs w:val="20"/>
        </w:rPr>
        <w:t xml:space="preserve">and </w:t>
      </w:r>
      <w:r w:rsidR="00001198" w:rsidRPr="00CE7CBF">
        <w:rPr>
          <w:rFonts w:ascii="Verdana" w:hAnsi="Verdana"/>
          <w:sz w:val="20"/>
          <w:szCs w:val="20"/>
        </w:rPr>
        <w:t>declar</w:t>
      </w:r>
      <w:r w:rsidRPr="00CE7CBF">
        <w:rPr>
          <w:rFonts w:ascii="Verdana" w:hAnsi="Verdana"/>
          <w:sz w:val="20"/>
          <w:szCs w:val="20"/>
        </w:rPr>
        <w:t>ed the State responsi</w:t>
      </w:r>
      <w:r w:rsidR="00001198" w:rsidRPr="00CE7CBF">
        <w:rPr>
          <w:rFonts w:ascii="Verdana" w:hAnsi="Verdana"/>
          <w:sz w:val="20"/>
          <w:szCs w:val="20"/>
        </w:rPr>
        <w:t xml:space="preserve">ble </w:t>
      </w:r>
      <w:r w:rsidRPr="00CE7CBF">
        <w:rPr>
          <w:rFonts w:ascii="Verdana" w:hAnsi="Verdana"/>
          <w:sz w:val="20"/>
          <w:szCs w:val="20"/>
        </w:rPr>
        <w:t>for the violation of the rights to recognition of juridical personality, to collective property, to political rights, and to cultural identity, and of the duty to adopt domestic legal</w:t>
      </w:r>
      <w:r w:rsidR="00F72911" w:rsidRPr="00CE7CBF">
        <w:rPr>
          <w:rFonts w:ascii="Verdana" w:hAnsi="Verdana"/>
          <w:sz w:val="20"/>
          <w:szCs w:val="20"/>
        </w:rPr>
        <w:t xml:space="preserve"> provisions. As a result of th</w:t>
      </w:r>
      <w:r w:rsidRPr="00CE7CBF">
        <w:rPr>
          <w:rFonts w:ascii="Verdana" w:hAnsi="Verdana"/>
          <w:sz w:val="20"/>
          <w:szCs w:val="20"/>
        </w:rPr>
        <w:t>e</w:t>
      </w:r>
      <w:r w:rsidR="008D207A" w:rsidRPr="00CE7CBF">
        <w:rPr>
          <w:rFonts w:ascii="Verdana" w:hAnsi="Verdana"/>
          <w:sz w:val="20"/>
          <w:szCs w:val="20"/>
        </w:rPr>
        <w:t xml:space="preserve">se violations, the </w:t>
      </w:r>
      <w:proofErr w:type="spellStart"/>
      <w:r w:rsidR="008D207A" w:rsidRPr="00CE7CBF">
        <w:rPr>
          <w:rFonts w:ascii="Verdana" w:hAnsi="Verdana"/>
          <w:sz w:val="20"/>
          <w:szCs w:val="20"/>
        </w:rPr>
        <w:t>Kaliña</w:t>
      </w:r>
      <w:proofErr w:type="spellEnd"/>
      <w:r w:rsidR="008D207A" w:rsidRPr="00CE7CBF">
        <w:rPr>
          <w:rFonts w:ascii="Verdana" w:hAnsi="Verdana"/>
          <w:sz w:val="20"/>
          <w:szCs w:val="20"/>
        </w:rPr>
        <w:t xml:space="preserve"> and </w:t>
      </w:r>
      <w:proofErr w:type="spellStart"/>
      <w:r w:rsidR="008D207A" w:rsidRPr="00CE7CBF">
        <w:rPr>
          <w:rFonts w:ascii="Verdana" w:hAnsi="Verdana"/>
          <w:sz w:val="20"/>
          <w:szCs w:val="20"/>
        </w:rPr>
        <w:t>Lokono</w:t>
      </w:r>
      <w:proofErr w:type="spellEnd"/>
      <w:r w:rsidRPr="00CE7CBF">
        <w:rPr>
          <w:rFonts w:ascii="Verdana" w:hAnsi="Verdana"/>
          <w:sz w:val="20"/>
          <w:szCs w:val="20"/>
        </w:rPr>
        <w:t xml:space="preserve"> peoples do not have a territory that is delimited, demarcated and titled in their favor, and part of the territory claimed is owned by third parties; their effective participation in the nature reserves </w:t>
      </w:r>
      <w:r w:rsidR="00F72911" w:rsidRPr="00CE7CBF">
        <w:rPr>
          <w:rFonts w:ascii="Verdana" w:hAnsi="Verdana"/>
          <w:sz w:val="20"/>
          <w:szCs w:val="20"/>
        </w:rPr>
        <w:t xml:space="preserve">that the State has </w:t>
      </w:r>
      <w:r w:rsidRPr="00CE7CBF">
        <w:rPr>
          <w:rFonts w:ascii="Verdana" w:hAnsi="Verdana"/>
          <w:sz w:val="20"/>
          <w:szCs w:val="20"/>
        </w:rPr>
        <w:t>established on part of this te</w:t>
      </w:r>
      <w:r w:rsidR="00F72911" w:rsidRPr="00CE7CBF">
        <w:rPr>
          <w:rFonts w:ascii="Verdana" w:hAnsi="Verdana"/>
          <w:sz w:val="20"/>
          <w:szCs w:val="20"/>
        </w:rPr>
        <w:t>rritory has not been guaranteed</w:t>
      </w:r>
      <w:r w:rsidRPr="00CE7CBF">
        <w:rPr>
          <w:rFonts w:ascii="Verdana" w:hAnsi="Verdana"/>
          <w:sz w:val="20"/>
          <w:szCs w:val="20"/>
        </w:rPr>
        <w:t xml:space="preserve"> and</w:t>
      </w:r>
      <w:r w:rsidR="00F72911" w:rsidRPr="00CE7CBF">
        <w:rPr>
          <w:rFonts w:ascii="Verdana" w:hAnsi="Verdana"/>
          <w:sz w:val="20"/>
          <w:szCs w:val="20"/>
        </w:rPr>
        <w:t xml:space="preserve">, </w:t>
      </w:r>
      <w:r w:rsidR="008D207A" w:rsidRPr="00CE7CBF">
        <w:rPr>
          <w:rFonts w:ascii="Verdana" w:hAnsi="Verdana"/>
          <w:sz w:val="20"/>
          <w:szCs w:val="20"/>
        </w:rPr>
        <w:t>with regard to</w:t>
      </w:r>
      <w:r w:rsidR="00F72911" w:rsidRPr="00CE7CBF">
        <w:rPr>
          <w:rFonts w:ascii="Verdana" w:hAnsi="Verdana"/>
          <w:sz w:val="20"/>
          <w:szCs w:val="20"/>
        </w:rPr>
        <w:t xml:space="preserve"> a mining project in one of the reserves,</w:t>
      </w:r>
      <w:r w:rsidRPr="00CE7CBF">
        <w:rPr>
          <w:rFonts w:ascii="Verdana" w:hAnsi="Verdana"/>
          <w:sz w:val="20"/>
          <w:szCs w:val="20"/>
        </w:rPr>
        <w:t xml:space="preserve"> their right to participation, </w:t>
      </w:r>
      <w:r w:rsidR="008D207A" w:rsidRPr="00CE7CBF">
        <w:rPr>
          <w:rFonts w:ascii="Verdana" w:hAnsi="Verdana"/>
          <w:sz w:val="20"/>
          <w:szCs w:val="20"/>
        </w:rPr>
        <w:t>by means of</w:t>
      </w:r>
      <w:r w:rsidRPr="00CE7CBF">
        <w:rPr>
          <w:rFonts w:ascii="Verdana" w:hAnsi="Verdana"/>
          <w:sz w:val="20"/>
          <w:szCs w:val="20"/>
        </w:rPr>
        <w:t xml:space="preserve"> a consultation pr</w:t>
      </w:r>
      <w:r w:rsidR="00F72911" w:rsidRPr="00CE7CBF">
        <w:rPr>
          <w:rFonts w:ascii="Verdana" w:hAnsi="Verdana"/>
          <w:sz w:val="20"/>
          <w:szCs w:val="20"/>
        </w:rPr>
        <w:t>ocess, has not been respected</w:t>
      </w:r>
      <w:r w:rsidRPr="00CE7CBF">
        <w:rPr>
          <w:rFonts w:ascii="Verdana" w:hAnsi="Verdana"/>
          <w:sz w:val="20"/>
          <w:szCs w:val="20"/>
        </w:rPr>
        <w:t>. The State has also violated the right to judicial protection in relation to the obligation to adopt domestic legal provisions and the right of access to information, since these peoples do not have appropriate or e</w:t>
      </w:r>
      <w:r w:rsidR="008D207A" w:rsidRPr="00CE7CBF">
        <w:rPr>
          <w:rFonts w:ascii="Verdana" w:hAnsi="Verdana"/>
          <w:sz w:val="20"/>
          <w:szCs w:val="20"/>
        </w:rPr>
        <w:t>ffective remedies to claim the said</w:t>
      </w:r>
      <w:r w:rsidRPr="00CE7CBF">
        <w:rPr>
          <w:rFonts w:ascii="Verdana" w:hAnsi="Verdana"/>
          <w:sz w:val="20"/>
          <w:szCs w:val="20"/>
        </w:rPr>
        <w:t xml:space="preserve"> rights. All the </w:t>
      </w:r>
      <w:r w:rsidR="00F72911" w:rsidRPr="00CE7CBF">
        <w:rPr>
          <w:rFonts w:ascii="Verdana" w:hAnsi="Verdana"/>
          <w:sz w:val="20"/>
          <w:szCs w:val="20"/>
        </w:rPr>
        <w:t>above</w:t>
      </w:r>
      <w:r w:rsidRPr="00CE7CBF">
        <w:rPr>
          <w:rFonts w:ascii="Verdana" w:hAnsi="Verdana"/>
          <w:sz w:val="20"/>
          <w:szCs w:val="20"/>
        </w:rPr>
        <w:t xml:space="preserve"> has prejudiced </w:t>
      </w:r>
      <w:r w:rsidRPr="00CE7CBF">
        <w:rPr>
          <w:rFonts w:ascii="Verdana" w:eastAsia="Batang" w:hAnsi="Verdana"/>
          <w:sz w:val="20"/>
          <w:szCs w:val="20"/>
          <w:lang w:eastAsia="es-MX"/>
        </w:rPr>
        <w:t xml:space="preserve">the </w:t>
      </w:r>
      <w:proofErr w:type="spellStart"/>
      <w:r w:rsidRPr="00CE7CBF">
        <w:rPr>
          <w:rFonts w:ascii="Verdana" w:eastAsia="Batang" w:hAnsi="Verdana"/>
          <w:sz w:val="20"/>
          <w:szCs w:val="20"/>
          <w:lang w:eastAsia="es-MX"/>
        </w:rPr>
        <w:t>Kaliña</w:t>
      </w:r>
      <w:proofErr w:type="spellEnd"/>
      <w:r w:rsidRPr="00CE7CBF">
        <w:rPr>
          <w:rFonts w:ascii="Verdana" w:eastAsia="Batang" w:hAnsi="Verdana"/>
          <w:sz w:val="20"/>
          <w:szCs w:val="20"/>
          <w:lang w:eastAsia="es-MX"/>
        </w:rPr>
        <w:t xml:space="preserve"> and </w:t>
      </w:r>
      <w:proofErr w:type="spellStart"/>
      <w:r w:rsidRPr="00CE7CBF">
        <w:rPr>
          <w:rFonts w:ascii="Verdana" w:eastAsia="Batang" w:hAnsi="Verdana"/>
          <w:sz w:val="20"/>
          <w:szCs w:val="20"/>
          <w:lang w:eastAsia="es-MX"/>
        </w:rPr>
        <w:t>Lokono</w:t>
      </w:r>
      <w:proofErr w:type="spellEnd"/>
      <w:r w:rsidRPr="00CE7CBF">
        <w:rPr>
          <w:rFonts w:ascii="Verdana" w:eastAsia="Batang" w:hAnsi="Verdana"/>
          <w:sz w:val="20"/>
          <w:szCs w:val="20"/>
          <w:lang w:eastAsia="es-MX"/>
        </w:rPr>
        <w:t xml:space="preserve"> peoples and their members.</w:t>
      </w:r>
    </w:p>
    <w:p w14:paraId="1E6174B2" w14:textId="77777777" w:rsidR="00001198" w:rsidRPr="00CE7CBF" w:rsidRDefault="00001198" w:rsidP="000B482D">
      <w:pPr>
        <w:pStyle w:val="NoSpacing"/>
        <w:jc w:val="both"/>
        <w:rPr>
          <w:rFonts w:ascii="Verdana" w:eastAsia="Batang" w:hAnsi="Verdana"/>
          <w:sz w:val="20"/>
          <w:szCs w:val="20"/>
          <w:lang w:eastAsia="es-MX"/>
        </w:rPr>
      </w:pPr>
    </w:p>
    <w:p w14:paraId="1BC6A303" w14:textId="43482CDC" w:rsidR="00001198" w:rsidRPr="00CE7CBF" w:rsidRDefault="00A37514" w:rsidP="000B482D">
      <w:pPr>
        <w:pStyle w:val="NoSpacing"/>
        <w:numPr>
          <w:ilvl w:val="0"/>
          <w:numId w:val="1"/>
        </w:numPr>
        <w:jc w:val="both"/>
        <w:rPr>
          <w:rFonts w:ascii="Verdana" w:hAnsi="Verdana"/>
          <w:b/>
          <w:sz w:val="20"/>
          <w:szCs w:val="20"/>
        </w:rPr>
      </w:pPr>
      <w:r w:rsidRPr="00CE7CBF">
        <w:rPr>
          <w:rFonts w:ascii="Verdana" w:hAnsi="Verdana"/>
          <w:b/>
          <w:sz w:val="20"/>
          <w:szCs w:val="20"/>
        </w:rPr>
        <w:t>Facts</w:t>
      </w:r>
    </w:p>
    <w:p w14:paraId="5206BB1E" w14:textId="77777777" w:rsidR="008772DF" w:rsidRPr="00CE7CBF" w:rsidRDefault="008772DF" w:rsidP="000B482D">
      <w:pPr>
        <w:pStyle w:val="NoSpacing"/>
        <w:jc w:val="both"/>
        <w:rPr>
          <w:rFonts w:ascii="Verdana" w:hAnsi="Verdana"/>
          <w:b/>
          <w:sz w:val="20"/>
          <w:szCs w:val="20"/>
        </w:rPr>
      </w:pPr>
    </w:p>
    <w:p w14:paraId="019193E4" w14:textId="036450DD" w:rsidR="00A37514" w:rsidRPr="00CE7CBF" w:rsidRDefault="00A37514" w:rsidP="000B482D">
      <w:pPr>
        <w:pStyle w:val="NoSpacing"/>
        <w:jc w:val="both"/>
        <w:rPr>
          <w:rFonts w:ascii="Verdana" w:hAnsi="Verdana"/>
          <w:sz w:val="20"/>
          <w:szCs w:val="20"/>
        </w:rPr>
      </w:pPr>
      <w:r w:rsidRPr="00CE7CBF">
        <w:rPr>
          <w:rFonts w:ascii="Verdana" w:hAnsi="Verdana"/>
          <w:sz w:val="20"/>
          <w:szCs w:val="20"/>
        </w:rPr>
        <w:t xml:space="preserve">The </w:t>
      </w:r>
      <w:proofErr w:type="spellStart"/>
      <w:r w:rsidRPr="00CE7CBF">
        <w:rPr>
          <w:rFonts w:ascii="Verdana" w:hAnsi="Verdana"/>
          <w:sz w:val="20"/>
          <w:szCs w:val="20"/>
        </w:rPr>
        <w:t>Kaliña</w:t>
      </w:r>
      <w:proofErr w:type="spellEnd"/>
      <w:r w:rsidRPr="00CE7CBF">
        <w:rPr>
          <w:rFonts w:ascii="Verdana" w:hAnsi="Verdana"/>
          <w:sz w:val="20"/>
          <w:szCs w:val="20"/>
        </w:rPr>
        <w:t xml:space="preserve"> and </w:t>
      </w:r>
      <w:proofErr w:type="spellStart"/>
      <w:r w:rsidRPr="00CE7CBF">
        <w:rPr>
          <w:rFonts w:ascii="Verdana" w:hAnsi="Verdana"/>
          <w:sz w:val="20"/>
          <w:szCs w:val="20"/>
        </w:rPr>
        <w:t>Lokono</w:t>
      </w:r>
      <w:proofErr w:type="spellEnd"/>
      <w:r w:rsidRPr="00CE7CBF">
        <w:rPr>
          <w:rFonts w:ascii="Verdana" w:hAnsi="Verdana"/>
          <w:sz w:val="20"/>
          <w:szCs w:val="20"/>
        </w:rPr>
        <w:t xml:space="preserve"> peoples are known as the “Lower </w:t>
      </w:r>
      <w:proofErr w:type="spellStart"/>
      <w:r w:rsidRPr="00CE7CBF">
        <w:rPr>
          <w:rFonts w:ascii="Verdana" w:hAnsi="Verdana"/>
          <w:sz w:val="20"/>
          <w:szCs w:val="20"/>
        </w:rPr>
        <w:t>Marowijne</w:t>
      </w:r>
      <w:proofErr w:type="spellEnd"/>
      <w:r w:rsidRPr="00CE7CBF">
        <w:rPr>
          <w:rFonts w:ascii="Verdana" w:hAnsi="Verdana"/>
          <w:sz w:val="20"/>
          <w:szCs w:val="20"/>
        </w:rPr>
        <w:t xml:space="preserve"> Peoples.” The communities that are parties to this case consist of eight villages. The villages of the </w:t>
      </w:r>
      <w:proofErr w:type="spellStart"/>
      <w:r w:rsidRPr="00CE7CBF">
        <w:rPr>
          <w:rFonts w:ascii="Verdana" w:hAnsi="Verdana"/>
          <w:sz w:val="20"/>
          <w:szCs w:val="20"/>
        </w:rPr>
        <w:t>Kaliña</w:t>
      </w:r>
      <w:proofErr w:type="spellEnd"/>
      <w:r w:rsidRPr="00CE7CBF">
        <w:rPr>
          <w:rFonts w:ascii="Verdana" w:hAnsi="Verdana"/>
          <w:sz w:val="20"/>
          <w:szCs w:val="20"/>
        </w:rPr>
        <w:t xml:space="preserve"> people are </w:t>
      </w:r>
      <w:proofErr w:type="spellStart"/>
      <w:r w:rsidRPr="00CE7CBF">
        <w:rPr>
          <w:rFonts w:ascii="Verdana" w:hAnsi="Verdana"/>
          <w:sz w:val="20"/>
          <w:szCs w:val="20"/>
        </w:rPr>
        <w:t>Christiaankondre</w:t>
      </w:r>
      <w:proofErr w:type="spellEnd"/>
      <w:r w:rsidRPr="00CE7CBF">
        <w:rPr>
          <w:rFonts w:ascii="Verdana" w:hAnsi="Verdana"/>
          <w:sz w:val="20"/>
          <w:szCs w:val="20"/>
        </w:rPr>
        <w:t xml:space="preserve">, </w:t>
      </w:r>
      <w:proofErr w:type="spellStart"/>
      <w:r w:rsidRPr="00CE7CBF">
        <w:rPr>
          <w:rFonts w:ascii="Verdana" w:hAnsi="Verdana"/>
          <w:sz w:val="20"/>
          <w:szCs w:val="20"/>
        </w:rPr>
        <w:t>Langamankondre</w:t>
      </w:r>
      <w:proofErr w:type="spellEnd"/>
      <w:r w:rsidRPr="00CE7CBF">
        <w:rPr>
          <w:rFonts w:ascii="Verdana" w:hAnsi="Verdana"/>
          <w:sz w:val="20"/>
          <w:szCs w:val="20"/>
        </w:rPr>
        <w:t xml:space="preserve">, </w:t>
      </w:r>
      <w:proofErr w:type="spellStart"/>
      <w:r w:rsidRPr="00CE7CBF">
        <w:rPr>
          <w:rFonts w:ascii="Verdana" w:hAnsi="Verdana"/>
          <w:sz w:val="20"/>
          <w:szCs w:val="20"/>
        </w:rPr>
        <w:t>Pierrekondre</w:t>
      </w:r>
      <w:proofErr w:type="spellEnd"/>
      <w:r w:rsidRPr="00CE7CBF">
        <w:rPr>
          <w:rFonts w:ascii="Verdana" w:hAnsi="Verdana"/>
          <w:sz w:val="20"/>
          <w:szCs w:val="20"/>
        </w:rPr>
        <w:t xml:space="preserve">, </w:t>
      </w:r>
      <w:proofErr w:type="spellStart"/>
      <w:r w:rsidRPr="00CE7CBF">
        <w:rPr>
          <w:rFonts w:ascii="Verdana" w:hAnsi="Verdana"/>
          <w:sz w:val="20"/>
          <w:szCs w:val="20"/>
        </w:rPr>
        <w:t>Bigiston</w:t>
      </w:r>
      <w:proofErr w:type="spellEnd"/>
      <w:r w:rsidRPr="00CE7CBF">
        <w:rPr>
          <w:rFonts w:ascii="Verdana" w:hAnsi="Verdana"/>
          <w:sz w:val="20"/>
          <w:szCs w:val="20"/>
        </w:rPr>
        <w:t xml:space="preserve">, </w:t>
      </w:r>
      <w:proofErr w:type="spellStart"/>
      <w:r w:rsidRPr="00CE7CBF">
        <w:rPr>
          <w:rFonts w:ascii="Verdana" w:hAnsi="Verdana"/>
          <w:sz w:val="20"/>
          <w:szCs w:val="20"/>
        </w:rPr>
        <w:t>Erowarte</w:t>
      </w:r>
      <w:proofErr w:type="spellEnd"/>
      <w:r w:rsidRPr="00CE7CBF">
        <w:rPr>
          <w:rFonts w:ascii="Verdana" w:hAnsi="Verdana"/>
          <w:sz w:val="20"/>
          <w:szCs w:val="20"/>
        </w:rPr>
        <w:t xml:space="preserve"> and </w:t>
      </w:r>
      <w:proofErr w:type="spellStart"/>
      <w:r w:rsidRPr="00CE7CBF">
        <w:rPr>
          <w:rFonts w:ascii="Verdana" w:hAnsi="Verdana"/>
          <w:sz w:val="20"/>
          <w:szCs w:val="20"/>
        </w:rPr>
        <w:t>Tapuku</w:t>
      </w:r>
      <w:proofErr w:type="spellEnd"/>
      <w:r w:rsidR="000859F4">
        <w:rPr>
          <w:rFonts w:ascii="Verdana" w:hAnsi="Verdana"/>
          <w:sz w:val="20"/>
          <w:szCs w:val="20"/>
        </w:rPr>
        <w:t>,</w:t>
      </w:r>
      <w:r w:rsidRPr="00CE7CBF">
        <w:rPr>
          <w:rFonts w:ascii="Verdana" w:hAnsi="Verdana"/>
          <w:sz w:val="20"/>
          <w:szCs w:val="20"/>
        </w:rPr>
        <w:t xml:space="preserve"> while the two villages of the </w:t>
      </w:r>
      <w:proofErr w:type="spellStart"/>
      <w:r w:rsidRPr="00CE7CBF">
        <w:rPr>
          <w:rFonts w:ascii="Verdana" w:hAnsi="Verdana"/>
          <w:sz w:val="20"/>
          <w:szCs w:val="20"/>
        </w:rPr>
        <w:t>Lokono</w:t>
      </w:r>
      <w:proofErr w:type="spellEnd"/>
      <w:r w:rsidRPr="00CE7CBF">
        <w:rPr>
          <w:rFonts w:ascii="Verdana" w:hAnsi="Verdana"/>
          <w:sz w:val="20"/>
          <w:szCs w:val="20"/>
        </w:rPr>
        <w:t xml:space="preserve"> people are </w:t>
      </w:r>
      <w:proofErr w:type="spellStart"/>
      <w:r w:rsidRPr="00CE7CBF">
        <w:rPr>
          <w:rFonts w:ascii="Verdana" w:hAnsi="Verdana"/>
          <w:sz w:val="20"/>
          <w:szCs w:val="20"/>
        </w:rPr>
        <w:t>Marijkedorp</w:t>
      </w:r>
      <w:proofErr w:type="spellEnd"/>
      <w:r w:rsidRPr="00CE7CBF">
        <w:rPr>
          <w:rFonts w:ascii="Verdana" w:hAnsi="Verdana"/>
          <w:sz w:val="20"/>
          <w:szCs w:val="20"/>
        </w:rPr>
        <w:t xml:space="preserve"> (or Wan Shi Sha) and </w:t>
      </w:r>
      <w:proofErr w:type="spellStart"/>
      <w:r w:rsidRPr="00CE7CBF">
        <w:rPr>
          <w:rFonts w:ascii="Verdana" w:hAnsi="Verdana"/>
          <w:sz w:val="20"/>
          <w:szCs w:val="20"/>
        </w:rPr>
        <w:t>Alfonsdorp</w:t>
      </w:r>
      <w:proofErr w:type="spellEnd"/>
      <w:r w:rsidRPr="00CE7CBF">
        <w:rPr>
          <w:rFonts w:ascii="Verdana" w:hAnsi="Verdana"/>
          <w:sz w:val="20"/>
          <w:szCs w:val="20"/>
        </w:rPr>
        <w:t>.</w:t>
      </w:r>
    </w:p>
    <w:p w14:paraId="755F9397" w14:textId="77777777" w:rsidR="00E87F66" w:rsidRPr="00CE7CBF" w:rsidRDefault="00E87F66" w:rsidP="000B482D">
      <w:pPr>
        <w:pStyle w:val="NoSpacing"/>
        <w:jc w:val="both"/>
        <w:rPr>
          <w:rFonts w:ascii="Verdana" w:hAnsi="Verdana"/>
          <w:sz w:val="20"/>
          <w:szCs w:val="20"/>
        </w:rPr>
      </w:pPr>
    </w:p>
    <w:p w14:paraId="31CA6842" w14:textId="55C8652C" w:rsidR="00E87F66" w:rsidRPr="00CE7CBF" w:rsidRDefault="00A37514" w:rsidP="000B482D">
      <w:pPr>
        <w:pStyle w:val="NoSpacing"/>
        <w:jc w:val="both"/>
        <w:rPr>
          <w:rFonts w:ascii="Verdana" w:hAnsi="Verdana"/>
          <w:sz w:val="20"/>
          <w:szCs w:val="20"/>
        </w:rPr>
      </w:pPr>
      <w:r w:rsidRPr="00CE7CBF">
        <w:rPr>
          <w:rFonts w:ascii="Verdana" w:hAnsi="Verdana"/>
          <w:sz w:val="20"/>
          <w:szCs w:val="20"/>
        </w:rPr>
        <w:t>The representatives</w:t>
      </w:r>
      <w:r w:rsidR="008772DF" w:rsidRPr="00CE7CBF">
        <w:rPr>
          <w:rFonts w:ascii="Verdana" w:hAnsi="Verdana"/>
          <w:sz w:val="20"/>
          <w:szCs w:val="20"/>
        </w:rPr>
        <w:t xml:space="preserve"> </w:t>
      </w:r>
      <w:r w:rsidRPr="00CE7CBF">
        <w:rPr>
          <w:rFonts w:ascii="Verdana" w:hAnsi="Verdana"/>
          <w:sz w:val="20"/>
          <w:szCs w:val="20"/>
        </w:rPr>
        <w:t xml:space="preserve">indicated that the traditional territory of the </w:t>
      </w:r>
      <w:proofErr w:type="spellStart"/>
      <w:r w:rsidRPr="00CE7CBF">
        <w:rPr>
          <w:rFonts w:ascii="Verdana" w:hAnsi="Verdana"/>
          <w:sz w:val="20"/>
          <w:szCs w:val="20"/>
        </w:rPr>
        <w:t>Kaliña</w:t>
      </w:r>
      <w:proofErr w:type="spellEnd"/>
      <w:r w:rsidRPr="00CE7CBF">
        <w:rPr>
          <w:rFonts w:ascii="Verdana" w:hAnsi="Verdana"/>
          <w:sz w:val="20"/>
          <w:szCs w:val="20"/>
        </w:rPr>
        <w:t xml:space="preserve"> and </w:t>
      </w:r>
      <w:proofErr w:type="spellStart"/>
      <w:r w:rsidRPr="00CE7CBF">
        <w:rPr>
          <w:rFonts w:ascii="Verdana" w:hAnsi="Verdana"/>
          <w:sz w:val="20"/>
          <w:szCs w:val="20"/>
        </w:rPr>
        <w:t>Lokono</w:t>
      </w:r>
      <w:proofErr w:type="spellEnd"/>
      <w:r w:rsidRPr="00CE7CBF">
        <w:rPr>
          <w:rFonts w:ascii="Verdana" w:hAnsi="Verdana"/>
          <w:sz w:val="20"/>
          <w:szCs w:val="20"/>
        </w:rPr>
        <w:t xml:space="preserve"> peoples covers an area of around 133,945 hectares. However, the Court noted that different parts of the territory claimed by </w:t>
      </w:r>
      <w:r w:rsidRPr="00CE7CBF">
        <w:rPr>
          <w:rStyle w:val="Strong"/>
          <w:rFonts w:ascii="Verdana" w:hAnsi="Verdana"/>
          <w:b w:val="0"/>
          <w:sz w:val="20"/>
          <w:szCs w:val="20"/>
        </w:rPr>
        <w:t xml:space="preserve">the </w:t>
      </w:r>
      <w:proofErr w:type="spellStart"/>
      <w:r w:rsidRPr="00CE7CBF">
        <w:rPr>
          <w:rStyle w:val="Strong"/>
          <w:rFonts w:ascii="Verdana" w:hAnsi="Verdana"/>
          <w:b w:val="0"/>
          <w:sz w:val="20"/>
          <w:szCs w:val="20"/>
        </w:rPr>
        <w:t>Kaliña</w:t>
      </w:r>
      <w:proofErr w:type="spellEnd"/>
      <w:r w:rsidRPr="00CE7CBF">
        <w:rPr>
          <w:rStyle w:val="Strong"/>
          <w:rFonts w:ascii="Verdana" w:hAnsi="Verdana"/>
          <w:b w:val="0"/>
          <w:sz w:val="20"/>
          <w:szCs w:val="20"/>
        </w:rPr>
        <w:t xml:space="preserve"> and </w:t>
      </w:r>
      <w:proofErr w:type="spellStart"/>
      <w:r w:rsidRPr="00CE7CBF">
        <w:rPr>
          <w:rStyle w:val="Strong"/>
          <w:rFonts w:ascii="Verdana" w:hAnsi="Verdana"/>
          <w:b w:val="0"/>
          <w:sz w:val="20"/>
          <w:szCs w:val="20"/>
        </w:rPr>
        <w:t>Lokono</w:t>
      </w:r>
      <w:proofErr w:type="spellEnd"/>
      <w:r w:rsidRPr="00CE7CBF">
        <w:rPr>
          <w:rStyle w:val="Strong"/>
          <w:rFonts w:ascii="Verdana" w:hAnsi="Verdana"/>
          <w:b w:val="0"/>
          <w:sz w:val="20"/>
          <w:szCs w:val="20"/>
        </w:rPr>
        <w:t xml:space="preserve"> peoples adjoin settlements of the </w:t>
      </w:r>
      <w:proofErr w:type="spellStart"/>
      <w:r w:rsidRPr="00CE7CBF">
        <w:rPr>
          <w:rStyle w:val="Strong"/>
          <w:rFonts w:ascii="Verdana" w:hAnsi="Verdana"/>
          <w:b w:val="0"/>
          <w:sz w:val="20"/>
          <w:szCs w:val="20"/>
        </w:rPr>
        <w:t>N’djuka</w:t>
      </w:r>
      <w:proofErr w:type="spellEnd"/>
      <w:r w:rsidRPr="00CE7CBF">
        <w:rPr>
          <w:rStyle w:val="Strong"/>
          <w:rFonts w:ascii="Verdana" w:hAnsi="Verdana"/>
          <w:b w:val="0"/>
          <w:sz w:val="20"/>
          <w:szCs w:val="20"/>
        </w:rPr>
        <w:t xml:space="preserve"> Maroon tribe. In this regard, the Court verified that several Maroon territories and settlements were excluded from the claims of the </w:t>
      </w:r>
      <w:proofErr w:type="spellStart"/>
      <w:r w:rsidRPr="00CE7CBF">
        <w:rPr>
          <w:rStyle w:val="Strong"/>
          <w:rFonts w:ascii="Verdana" w:hAnsi="Verdana"/>
          <w:b w:val="0"/>
          <w:sz w:val="20"/>
          <w:szCs w:val="20"/>
        </w:rPr>
        <w:t>Kaliña</w:t>
      </w:r>
      <w:proofErr w:type="spellEnd"/>
      <w:r w:rsidRPr="00CE7CBF">
        <w:rPr>
          <w:rStyle w:val="Strong"/>
          <w:rFonts w:ascii="Verdana" w:hAnsi="Verdana"/>
          <w:b w:val="0"/>
          <w:sz w:val="20"/>
          <w:szCs w:val="20"/>
        </w:rPr>
        <w:t xml:space="preserve"> and </w:t>
      </w:r>
      <w:proofErr w:type="spellStart"/>
      <w:r w:rsidRPr="00CE7CBF">
        <w:rPr>
          <w:rStyle w:val="Strong"/>
          <w:rFonts w:ascii="Verdana" w:hAnsi="Verdana"/>
          <w:b w:val="0"/>
          <w:sz w:val="20"/>
          <w:szCs w:val="20"/>
        </w:rPr>
        <w:t>Lokono</w:t>
      </w:r>
      <w:proofErr w:type="spellEnd"/>
      <w:r w:rsidRPr="00CE7CBF">
        <w:rPr>
          <w:rStyle w:val="Strong"/>
          <w:rFonts w:ascii="Verdana" w:hAnsi="Verdana"/>
          <w:b w:val="0"/>
          <w:sz w:val="20"/>
          <w:szCs w:val="20"/>
        </w:rPr>
        <w:t xml:space="preserve"> peoples</w:t>
      </w:r>
      <w:r w:rsidR="008A0723" w:rsidRPr="00CE7CBF">
        <w:rPr>
          <w:rStyle w:val="Strong"/>
          <w:rFonts w:ascii="Verdana" w:hAnsi="Verdana"/>
          <w:b w:val="0"/>
          <w:sz w:val="20"/>
          <w:szCs w:val="20"/>
        </w:rPr>
        <w:t>.</w:t>
      </w:r>
    </w:p>
    <w:p w14:paraId="0D566E8F" w14:textId="77777777" w:rsidR="00123062" w:rsidRPr="00CE7CBF" w:rsidRDefault="00123062" w:rsidP="000B482D">
      <w:pPr>
        <w:pStyle w:val="NoSpacing"/>
        <w:jc w:val="both"/>
        <w:rPr>
          <w:rFonts w:ascii="Verdana" w:hAnsi="Verdana"/>
          <w:sz w:val="20"/>
          <w:szCs w:val="20"/>
        </w:rPr>
      </w:pPr>
    </w:p>
    <w:p w14:paraId="20DEF503" w14:textId="7FB6D023" w:rsidR="00E13D78" w:rsidRPr="00CE7CBF" w:rsidRDefault="00A37514" w:rsidP="000B482D">
      <w:pPr>
        <w:pStyle w:val="NoSpacing"/>
        <w:jc w:val="both"/>
        <w:rPr>
          <w:rFonts w:ascii="Verdana" w:hAnsi="Verdana"/>
          <w:sz w:val="20"/>
          <w:szCs w:val="20"/>
        </w:rPr>
      </w:pPr>
      <w:r w:rsidRPr="00CE7CBF">
        <w:rPr>
          <w:rFonts w:ascii="Verdana" w:hAnsi="Verdana"/>
          <w:sz w:val="20"/>
          <w:szCs w:val="20"/>
        </w:rPr>
        <w:t>In addition, three nature reserves were established within the territory in dispute in this case, namely: (</w:t>
      </w:r>
      <w:proofErr w:type="spellStart"/>
      <w:r w:rsidRPr="00CE7CBF">
        <w:rPr>
          <w:rFonts w:ascii="Verdana" w:hAnsi="Verdana"/>
          <w:sz w:val="20"/>
          <w:szCs w:val="20"/>
        </w:rPr>
        <w:t>i</w:t>
      </w:r>
      <w:proofErr w:type="spellEnd"/>
      <w:r w:rsidRPr="00CE7CBF">
        <w:rPr>
          <w:rFonts w:ascii="Verdana" w:hAnsi="Verdana"/>
          <w:sz w:val="20"/>
          <w:szCs w:val="20"/>
        </w:rPr>
        <w:t xml:space="preserve">) the </w:t>
      </w:r>
      <w:proofErr w:type="spellStart"/>
      <w:r w:rsidRPr="00CE7CBF">
        <w:rPr>
          <w:rFonts w:ascii="Verdana" w:hAnsi="Verdana" w:cs="Arial"/>
          <w:sz w:val="20"/>
          <w:szCs w:val="20"/>
        </w:rPr>
        <w:t>Wia</w:t>
      </w:r>
      <w:proofErr w:type="spellEnd"/>
      <w:r w:rsidRPr="00CE7CBF">
        <w:rPr>
          <w:rFonts w:ascii="Verdana" w:hAnsi="Verdana" w:cs="Arial"/>
          <w:sz w:val="20"/>
          <w:szCs w:val="20"/>
        </w:rPr>
        <w:t xml:space="preserve"> </w:t>
      </w:r>
      <w:proofErr w:type="spellStart"/>
      <w:proofErr w:type="gramStart"/>
      <w:r w:rsidRPr="00CE7CBF">
        <w:rPr>
          <w:rFonts w:ascii="Verdana" w:hAnsi="Verdana" w:cs="Arial"/>
          <w:sz w:val="20"/>
          <w:szCs w:val="20"/>
        </w:rPr>
        <w:t>Wia</w:t>
      </w:r>
      <w:proofErr w:type="spellEnd"/>
      <w:proofErr w:type="gramEnd"/>
      <w:r w:rsidRPr="00CE7CBF">
        <w:rPr>
          <w:rFonts w:ascii="Verdana" w:hAnsi="Verdana" w:cs="Arial"/>
          <w:sz w:val="20"/>
          <w:szCs w:val="20"/>
        </w:rPr>
        <w:t xml:space="preserve"> Nature Reserve in 1966; (ii) the </w:t>
      </w:r>
      <w:proofErr w:type="spellStart"/>
      <w:r w:rsidRPr="00CE7CBF">
        <w:rPr>
          <w:rFonts w:ascii="Verdana" w:hAnsi="Verdana" w:cs="Arial"/>
          <w:sz w:val="20"/>
          <w:szCs w:val="20"/>
        </w:rPr>
        <w:t>Galibi</w:t>
      </w:r>
      <w:proofErr w:type="spellEnd"/>
      <w:r w:rsidRPr="00CE7CBF">
        <w:rPr>
          <w:rFonts w:ascii="Verdana" w:hAnsi="Verdana" w:cs="Arial"/>
          <w:sz w:val="20"/>
          <w:szCs w:val="20"/>
        </w:rPr>
        <w:t xml:space="preserve"> Nature </w:t>
      </w:r>
      <w:r w:rsidRPr="00CE7CBF">
        <w:rPr>
          <w:rFonts w:ascii="Verdana" w:hAnsi="Verdana" w:cs="Arial"/>
          <w:sz w:val="20"/>
          <w:szCs w:val="20"/>
        </w:rPr>
        <w:lastRenderedPageBreak/>
        <w:t>Reserve in 1969</w:t>
      </w:r>
      <w:r w:rsidR="000859F4">
        <w:rPr>
          <w:rFonts w:ascii="Verdana" w:hAnsi="Verdana" w:cs="Arial"/>
          <w:sz w:val="20"/>
          <w:szCs w:val="20"/>
        </w:rPr>
        <w:t>;</w:t>
      </w:r>
      <w:r w:rsidRPr="00CE7CBF">
        <w:rPr>
          <w:rFonts w:ascii="Verdana" w:hAnsi="Verdana" w:cs="Arial"/>
          <w:sz w:val="20"/>
          <w:szCs w:val="20"/>
        </w:rPr>
        <w:t xml:space="preserve"> and (iii) the Wane Kreek Nature Reserve in 1986. Together, these </w:t>
      </w:r>
      <w:proofErr w:type="gramStart"/>
      <w:r w:rsidRPr="00CE7CBF">
        <w:rPr>
          <w:rFonts w:ascii="Verdana" w:hAnsi="Verdana" w:cs="Arial"/>
          <w:sz w:val="20"/>
          <w:szCs w:val="20"/>
        </w:rPr>
        <w:t>reserves</w:t>
      </w:r>
      <w:r w:rsidR="00ED0A79">
        <w:rPr>
          <w:rFonts w:ascii="Verdana" w:hAnsi="Verdana" w:cs="Arial"/>
          <w:sz w:val="20"/>
          <w:szCs w:val="20"/>
        </w:rPr>
        <w:t>,</w:t>
      </w:r>
      <w:proofErr w:type="gramEnd"/>
      <w:r w:rsidR="00ED0A79">
        <w:rPr>
          <w:rFonts w:ascii="Verdana" w:hAnsi="Verdana" w:cs="Arial"/>
          <w:sz w:val="20"/>
          <w:szCs w:val="20"/>
        </w:rPr>
        <w:t xml:space="preserve"> </w:t>
      </w:r>
      <w:r w:rsidR="000859F4">
        <w:rPr>
          <w:rFonts w:ascii="Verdana" w:hAnsi="Verdana" w:cs="Arial"/>
          <w:sz w:val="20"/>
          <w:szCs w:val="20"/>
        </w:rPr>
        <w:t>allegedly</w:t>
      </w:r>
      <w:r w:rsidRPr="00CE7CBF">
        <w:rPr>
          <w:rFonts w:ascii="Verdana" w:hAnsi="Verdana" w:cs="Arial"/>
          <w:sz w:val="20"/>
          <w:szCs w:val="20"/>
        </w:rPr>
        <w:t xml:space="preserve"> cover approximately 59,800 hectares of the </w:t>
      </w:r>
      <w:r w:rsidR="000859F4">
        <w:rPr>
          <w:rFonts w:ascii="Verdana" w:hAnsi="Verdana" w:cs="Arial"/>
          <w:sz w:val="20"/>
          <w:szCs w:val="20"/>
        </w:rPr>
        <w:t>land</w:t>
      </w:r>
      <w:r w:rsidR="000859F4" w:rsidRPr="00CE7CBF">
        <w:rPr>
          <w:rFonts w:ascii="Verdana" w:hAnsi="Verdana" w:cs="Arial"/>
          <w:sz w:val="20"/>
          <w:szCs w:val="20"/>
        </w:rPr>
        <w:t xml:space="preserve"> </w:t>
      </w:r>
      <w:r w:rsidRPr="00CE7CBF">
        <w:rPr>
          <w:rFonts w:ascii="Verdana" w:hAnsi="Verdana" w:cs="Arial"/>
          <w:sz w:val="20"/>
          <w:szCs w:val="20"/>
        </w:rPr>
        <w:t xml:space="preserve">claimed as ancestral </w:t>
      </w:r>
      <w:r w:rsidR="000859F4">
        <w:rPr>
          <w:rFonts w:ascii="Verdana" w:hAnsi="Verdana" w:cs="Arial"/>
          <w:sz w:val="20"/>
          <w:szCs w:val="20"/>
        </w:rPr>
        <w:t xml:space="preserve">territory </w:t>
      </w:r>
      <w:r w:rsidRPr="00CE7CBF">
        <w:rPr>
          <w:rFonts w:ascii="Verdana" w:hAnsi="Verdana" w:cs="Arial"/>
          <w:sz w:val="20"/>
          <w:szCs w:val="20"/>
        </w:rPr>
        <w:t xml:space="preserve">by </w:t>
      </w:r>
      <w:r w:rsidRPr="00CE7CBF">
        <w:rPr>
          <w:rFonts w:ascii="Verdana" w:hAnsi="Verdana"/>
          <w:sz w:val="20"/>
          <w:szCs w:val="20"/>
        </w:rPr>
        <w:t xml:space="preserve">the </w:t>
      </w:r>
      <w:proofErr w:type="spellStart"/>
      <w:r w:rsidRPr="00CE7CBF">
        <w:rPr>
          <w:rFonts w:ascii="Verdana" w:hAnsi="Verdana"/>
          <w:sz w:val="20"/>
          <w:szCs w:val="20"/>
        </w:rPr>
        <w:t>Kaliña</w:t>
      </w:r>
      <w:proofErr w:type="spellEnd"/>
      <w:r w:rsidRPr="00CE7CBF">
        <w:rPr>
          <w:rFonts w:ascii="Verdana" w:hAnsi="Verdana"/>
          <w:sz w:val="20"/>
          <w:szCs w:val="20"/>
        </w:rPr>
        <w:t xml:space="preserve"> and </w:t>
      </w:r>
      <w:proofErr w:type="spellStart"/>
      <w:r w:rsidRPr="00CE7CBF">
        <w:rPr>
          <w:rFonts w:ascii="Verdana" w:hAnsi="Verdana"/>
          <w:sz w:val="20"/>
          <w:szCs w:val="20"/>
        </w:rPr>
        <w:t>Lokono</w:t>
      </w:r>
      <w:proofErr w:type="spellEnd"/>
      <w:r w:rsidRPr="00CE7CBF">
        <w:rPr>
          <w:rFonts w:ascii="Verdana" w:hAnsi="Verdana"/>
          <w:sz w:val="20"/>
          <w:szCs w:val="20"/>
        </w:rPr>
        <w:t xml:space="preserve"> peoples</w:t>
      </w:r>
      <w:r w:rsidR="00CF6665" w:rsidRPr="00CE7CBF">
        <w:rPr>
          <w:rFonts w:ascii="Verdana" w:hAnsi="Verdana"/>
          <w:sz w:val="20"/>
          <w:szCs w:val="20"/>
        </w:rPr>
        <w:t>.</w:t>
      </w:r>
    </w:p>
    <w:p w14:paraId="17125C23" w14:textId="77777777" w:rsidR="00E13D78" w:rsidRPr="00CE7CBF" w:rsidRDefault="00E13D78" w:rsidP="000B482D">
      <w:pPr>
        <w:pStyle w:val="NoSpacing"/>
        <w:jc w:val="both"/>
        <w:rPr>
          <w:rFonts w:ascii="Verdana" w:hAnsi="Verdana"/>
          <w:sz w:val="20"/>
          <w:szCs w:val="20"/>
        </w:rPr>
      </w:pPr>
    </w:p>
    <w:p w14:paraId="36655CC5" w14:textId="34FF58A1" w:rsidR="00E13D78" w:rsidRPr="00CE7CBF" w:rsidRDefault="00A37514" w:rsidP="000B482D">
      <w:pPr>
        <w:pStyle w:val="NoSpacing"/>
        <w:jc w:val="both"/>
        <w:rPr>
          <w:rFonts w:ascii="Verdana" w:hAnsi="Verdana"/>
          <w:sz w:val="20"/>
          <w:szCs w:val="20"/>
        </w:rPr>
      </w:pPr>
      <w:r w:rsidRPr="00CE7CBF">
        <w:rPr>
          <w:rFonts w:ascii="Verdana" w:hAnsi="Verdana"/>
          <w:sz w:val="20"/>
          <w:szCs w:val="20"/>
        </w:rPr>
        <w:t>The</w:t>
      </w:r>
      <w:r w:rsidR="003D203C" w:rsidRPr="00CE7CBF">
        <w:rPr>
          <w:rFonts w:ascii="Verdana" w:hAnsi="Verdana"/>
          <w:sz w:val="20"/>
          <w:szCs w:val="20"/>
        </w:rPr>
        <w:t xml:space="preserve"> </w:t>
      </w:r>
      <w:proofErr w:type="spellStart"/>
      <w:proofErr w:type="gramStart"/>
      <w:r w:rsidR="003D203C" w:rsidRPr="00CE7CBF">
        <w:rPr>
          <w:rFonts w:ascii="Verdana" w:hAnsi="Verdana"/>
          <w:sz w:val="20"/>
          <w:szCs w:val="20"/>
        </w:rPr>
        <w:t>Wia</w:t>
      </w:r>
      <w:proofErr w:type="spellEnd"/>
      <w:r w:rsidR="003D203C" w:rsidRPr="00CE7CBF">
        <w:rPr>
          <w:rFonts w:ascii="Verdana" w:hAnsi="Verdana"/>
          <w:sz w:val="20"/>
          <w:szCs w:val="20"/>
        </w:rPr>
        <w:t xml:space="preserve"> </w:t>
      </w:r>
      <w:proofErr w:type="spellStart"/>
      <w:r w:rsidR="003D203C" w:rsidRPr="00CE7CBF">
        <w:rPr>
          <w:rFonts w:ascii="Verdana" w:hAnsi="Verdana"/>
          <w:sz w:val="20"/>
          <w:szCs w:val="20"/>
        </w:rPr>
        <w:t>Wia</w:t>
      </w:r>
      <w:proofErr w:type="spellEnd"/>
      <w:proofErr w:type="gramEnd"/>
      <w:r w:rsidRPr="00CE7CBF">
        <w:rPr>
          <w:rFonts w:ascii="Verdana" w:hAnsi="Verdana"/>
          <w:sz w:val="20"/>
          <w:szCs w:val="20"/>
        </w:rPr>
        <w:t xml:space="preserve"> and </w:t>
      </w:r>
      <w:proofErr w:type="spellStart"/>
      <w:r w:rsidR="003D203C" w:rsidRPr="00CE7CBF">
        <w:rPr>
          <w:rFonts w:ascii="Verdana" w:hAnsi="Verdana"/>
          <w:sz w:val="20"/>
          <w:szCs w:val="20"/>
        </w:rPr>
        <w:t>Galibi</w:t>
      </w:r>
      <w:proofErr w:type="spellEnd"/>
      <w:r w:rsidRPr="00CE7CBF">
        <w:rPr>
          <w:rFonts w:ascii="Verdana" w:hAnsi="Verdana"/>
          <w:sz w:val="20"/>
          <w:szCs w:val="20"/>
        </w:rPr>
        <w:t xml:space="preserve"> Nature Reserves were established to protect the sea turtle nesting beaches. During certain periods, members of the indigenous communities were</w:t>
      </w:r>
      <w:r w:rsidR="003D203C" w:rsidRPr="00CE7CBF">
        <w:rPr>
          <w:rFonts w:ascii="Verdana" w:hAnsi="Verdana"/>
          <w:sz w:val="20"/>
          <w:szCs w:val="20"/>
        </w:rPr>
        <w:t xml:space="preserve"> </w:t>
      </w:r>
      <w:r w:rsidRPr="00CE7CBF">
        <w:rPr>
          <w:rFonts w:ascii="Verdana" w:hAnsi="Verdana"/>
          <w:sz w:val="20"/>
          <w:szCs w:val="20"/>
        </w:rPr>
        <w:t xml:space="preserve">prevented from accessing the </w:t>
      </w:r>
      <w:proofErr w:type="spellStart"/>
      <w:r w:rsidRPr="00CE7CBF">
        <w:rPr>
          <w:rFonts w:ascii="Verdana" w:hAnsi="Verdana"/>
          <w:sz w:val="20"/>
          <w:szCs w:val="20"/>
        </w:rPr>
        <w:t>Galibi</w:t>
      </w:r>
      <w:proofErr w:type="spellEnd"/>
      <w:r w:rsidRPr="00CE7CBF">
        <w:rPr>
          <w:rFonts w:ascii="Verdana" w:hAnsi="Verdana"/>
          <w:sz w:val="20"/>
          <w:szCs w:val="20"/>
        </w:rPr>
        <w:t xml:space="preserve"> Nature Reserve owing to an increase in the theft of turtle eggs, and military posts were established at the access points</w:t>
      </w:r>
      <w:r w:rsidR="00CF6665" w:rsidRPr="00CE7CBF">
        <w:rPr>
          <w:rFonts w:ascii="Verdana" w:hAnsi="Verdana"/>
          <w:sz w:val="20"/>
          <w:szCs w:val="20"/>
        </w:rPr>
        <w:t>.</w:t>
      </w:r>
    </w:p>
    <w:p w14:paraId="6E4AD26C" w14:textId="77777777" w:rsidR="00E13D78" w:rsidRPr="00CE7CBF" w:rsidRDefault="00E13D78" w:rsidP="000B482D">
      <w:pPr>
        <w:pStyle w:val="NoSpacing"/>
        <w:jc w:val="both"/>
        <w:rPr>
          <w:rFonts w:ascii="Verdana" w:hAnsi="Verdana"/>
          <w:sz w:val="20"/>
          <w:szCs w:val="20"/>
        </w:rPr>
      </w:pPr>
    </w:p>
    <w:p w14:paraId="02E3C7F6" w14:textId="235BD07E" w:rsidR="00A37514" w:rsidRPr="00CE7CBF" w:rsidRDefault="00A37514" w:rsidP="000B482D">
      <w:pPr>
        <w:pStyle w:val="NoSpacing"/>
        <w:jc w:val="both"/>
        <w:rPr>
          <w:rFonts w:ascii="Verdana" w:hAnsi="Verdana"/>
          <w:sz w:val="20"/>
          <w:szCs w:val="20"/>
        </w:rPr>
      </w:pPr>
      <w:r w:rsidRPr="00CE7CBF">
        <w:rPr>
          <w:rFonts w:ascii="Verdana" w:hAnsi="Verdana"/>
          <w:sz w:val="20"/>
          <w:szCs w:val="20"/>
        </w:rPr>
        <w:t>The</w:t>
      </w:r>
      <w:r w:rsidR="003D203C" w:rsidRPr="00CE7CBF">
        <w:rPr>
          <w:rFonts w:ascii="Verdana" w:hAnsi="Verdana"/>
          <w:sz w:val="20"/>
          <w:szCs w:val="20"/>
        </w:rPr>
        <w:t xml:space="preserve"> Wane Kreek</w:t>
      </w:r>
      <w:r w:rsidRPr="00CE7CBF">
        <w:rPr>
          <w:rFonts w:ascii="Verdana" w:hAnsi="Verdana"/>
          <w:sz w:val="20"/>
          <w:szCs w:val="20"/>
        </w:rPr>
        <w:t xml:space="preserve"> Nature Reserve was established to protect and conserve ecosystems. However, based on a 75-year concession granted in 1958, </w:t>
      </w:r>
      <w:proofErr w:type="spellStart"/>
      <w:r w:rsidRPr="00CE7CBF">
        <w:rPr>
          <w:rFonts w:ascii="Verdana" w:hAnsi="Verdana"/>
          <w:sz w:val="20"/>
          <w:szCs w:val="20"/>
        </w:rPr>
        <w:t>Suralco</w:t>
      </w:r>
      <w:proofErr w:type="spellEnd"/>
      <w:r w:rsidRPr="00CE7CBF">
        <w:rPr>
          <w:rFonts w:ascii="Verdana" w:hAnsi="Verdana"/>
          <w:sz w:val="20"/>
          <w:szCs w:val="20"/>
        </w:rPr>
        <w:t xml:space="preserve"> began open-cast bauxite mining operations in 1997 over an area of between 100 and 144 hectares, located within the nature reserve. The first “environmental sensitivity analysis” was made in 2005 and, among other matters, it recommended concluding the mining exploitation operations as soon as possible and </w:t>
      </w:r>
      <w:r w:rsidR="008D207A" w:rsidRPr="00CE7CBF">
        <w:rPr>
          <w:rFonts w:ascii="Verdana" w:hAnsi="Verdana"/>
          <w:sz w:val="20"/>
          <w:szCs w:val="20"/>
        </w:rPr>
        <w:t>remediating</w:t>
      </w:r>
      <w:r w:rsidRPr="00CE7CBF">
        <w:rPr>
          <w:rFonts w:ascii="Verdana" w:hAnsi="Verdana"/>
          <w:sz w:val="20"/>
          <w:szCs w:val="20"/>
        </w:rPr>
        <w:t xml:space="preserve"> the damage caused. As a result of the mining operations in the reserve, hunting and fishing, which were traditional activities in the area, declined significantly. The bauxite mining operations ceased in 2009 and, today, some areas are being reforested.</w:t>
      </w:r>
    </w:p>
    <w:p w14:paraId="063BEF27" w14:textId="77777777" w:rsidR="00537270" w:rsidRPr="00CE7CBF" w:rsidRDefault="00537270" w:rsidP="000B482D">
      <w:pPr>
        <w:pStyle w:val="NoSpacing"/>
        <w:jc w:val="both"/>
        <w:rPr>
          <w:rFonts w:ascii="Verdana" w:hAnsi="Verdana"/>
          <w:sz w:val="20"/>
          <w:szCs w:val="20"/>
        </w:rPr>
      </w:pPr>
    </w:p>
    <w:p w14:paraId="44526576" w14:textId="549A744D" w:rsidR="00537270" w:rsidRPr="00CE7CBF" w:rsidRDefault="00A37514" w:rsidP="000B482D">
      <w:pPr>
        <w:pStyle w:val="NoSpacing"/>
        <w:jc w:val="both"/>
        <w:rPr>
          <w:rFonts w:ascii="Verdana" w:hAnsi="Verdana"/>
          <w:sz w:val="20"/>
          <w:szCs w:val="20"/>
        </w:rPr>
      </w:pPr>
      <w:r w:rsidRPr="00CE7CBF">
        <w:rPr>
          <w:rFonts w:ascii="Verdana" w:hAnsi="Verdana"/>
          <w:sz w:val="20"/>
          <w:szCs w:val="20"/>
        </w:rPr>
        <w:t xml:space="preserve">Meanwhile, in </w:t>
      </w:r>
      <w:r w:rsidR="00537270" w:rsidRPr="00CE7CBF">
        <w:rPr>
          <w:rFonts w:ascii="Verdana" w:hAnsi="Verdana"/>
          <w:sz w:val="20"/>
          <w:szCs w:val="20"/>
        </w:rPr>
        <w:t>197</w:t>
      </w:r>
      <w:r w:rsidR="000859F4">
        <w:rPr>
          <w:rFonts w:ascii="Verdana" w:hAnsi="Verdana"/>
          <w:sz w:val="20"/>
          <w:szCs w:val="20"/>
        </w:rPr>
        <w:t>5,</w:t>
      </w:r>
      <w:r w:rsidR="00537270" w:rsidRPr="00CE7CBF">
        <w:rPr>
          <w:rFonts w:ascii="Verdana" w:hAnsi="Verdana"/>
          <w:sz w:val="20"/>
          <w:szCs w:val="20"/>
        </w:rPr>
        <w:t xml:space="preserve"> </w:t>
      </w:r>
      <w:r w:rsidRPr="00CE7CBF">
        <w:rPr>
          <w:rFonts w:ascii="Verdana" w:hAnsi="Verdana"/>
          <w:sz w:val="20"/>
          <w:szCs w:val="20"/>
        </w:rPr>
        <w:t>the State</w:t>
      </w:r>
      <w:r w:rsidR="00537270" w:rsidRPr="00CE7CBF">
        <w:rPr>
          <w:rFonts w:ascii="Verdana" w:hAnsi="Verdana"/>
          <w:sz w:val="20"/>
          <w:szCs w:val="20"/>
        </w:rPr>
        <w:t xml:space="preserve"> </w:t>
      </w:r>
      <w:r w:rsidRPr="00CE7CBF">
        <w:rPr>
          <w:rFonts w:ascii="Verdana" w:hAnsi="Verdana"/>
          <w:sz w:val="20"/>
          <w:szCs w:val="20"/>
        </w:rPr>
        <w:t xml:space="preserve">initiated an urban </w:t>
      </w:r>
      <w:r w:rsidR="00CE7CBF" w:rsidRPr="00CE7CBF">
        <w:rPr>
          <w:rFonts w:ascii="Verdana" w:hAnsi="Verdana"/>
          <w:sz w:val="20"/>
          <w:szCs w:val="20"/>
        </w:rPr>
        <w:t>subdivision</w:t>
      </w:r>
      <w:r w:rsidRPr="00CE7CBF">
        <w:rPr>
          <w:rFonts w:ascii="Verdana" w:hAnsi="Verdana"/>
          <w:sz w:val="20"/>
          <w:szCs w:val="20"/>
        </w:rPr>
        <w:t xml:space="preserve"> project called </w:t>
      </w:r>
      <w:r w:rsidR="00537270" w:rsidRPr="00CE7CBF">
        <w:rPr>
          <w:rFonts w:ascii="Verdana" w:hAnsi="Verdana"/>
          <w:sz w:val="20"/>
          <w:szCs w:val="20"/>
        </w:rPr>
        <w:t>"</w:t>
      </w:r>
      <w:proofErr w:type="spellStart"/>
      <w:r w:rsidR="00537270" w:rsidRPr="00CE7CBF">
        <w:rPr>
          <w:rFonts w:ascii="Verdana" w:hAnsi="Verdana"/>
          <w:sz w:val="20"/>
          <w:szCs w:val="20"/>
        </w:rPr>
        <w:t>Tuinstad</w:t>
      </w:r>
      <w:proofErr w:type="spellEnd"/>
      <w:r w:rsidR="00537270" w:rsidRPr="00CE7CBF">
        <w:rPr>
          <w:rFonts w:ascii="Verdana" w:hAnsi="Verdana"/>
          <w:sz w:val="20"/>
          <w:szCs w:val="20"/>
        </w:rPr>
        <w:t xml:space="preserve"> Albina" (“Garden City Albina”) </w:t>
      </w:r>
      <w:r w:rsidRPr="00CE7CBF">
        <w:rPr>
          <w:rFonts w:ascii="Verdana" w:hAnsi="Verdana"/>
          <w:sz w:val="20"/>
          <w:szCs w:val="20"/>
        </w:rPr>
        <w:t xml:space="preserve">parallel to the </w:t>
      </w:r>
      <w:proofErr w:type="spellStart"/>
      <w:r w:rsidR="00537270" w:rsidRPr="00CE7CBF">
        <w:rPr>
          <w:rFonts w:ascii="Verdana" w:hAnsi="Verdana"/>
          <w:sz w:val="20"/>
          <w:szCs w:val="20"/>
        </w:rPr>
        <w:t>Marowijne</w:t>
      </w:r>
      <w:proofErr w:type="spellEnd"/>
      <w:r w:rsidRPr="00CE7CBF">
        <w:rPr>
          <w:rFonts w:ascii="Verdana" w:hAnsi="Verdana"/>
          <w:sz w:val="20"/>
          <w:szCs w:val="20"/>
        </w:rPr>
        <w:t xml:space="preserve"> River, near the villages of </w:t>
      </w:r>
      <w:proofErr w:type="spellStart"/>
      <w:r w:rsidR="00537270" w:rsidRPr="00CE7CBF">
        <w:rPr>
          <w:rFonts w:ascii="Verdana" w:hAnsi="Verdana"/>
          <w:sz w:val="20"/>
          <w:szCs w:val="20"/>
        </w:rPr>
        <w:t>Erowarte</w:t>
      </w:r>
      <w:proofErr w:type="spellEnd"/>
      <w:r w:rsidR="00537270" w:rsidRPr="00CE7CBF">
        <w:rPr>
          <w:rFonts w:ascii="Verdana" w:hAnsi="Verdana"/>
          <w:sz w:val="20"/>
          <w:szCs w:val="20"/>
        </w:rPr>
        <w:t xml:space="preserve">, </w:t>
      </w:r>
      <w:proofErr w:type="spellStart"/>
      <w:r w:rsidR="00537270" w:rsidRPr="00CE7CBF">
        <w:rPr>
          <w:rFonts w:ascii="Verdana" w:hAnsi="Verdana"/>
          <w:sz w:val="20"/>
          <w:szCs w:val="20"/>
        </w:rPr>
        <w:t>Tapuku</w:t>
      </w:r>
      <w:proofErr w:type="spellEnd"/>
      <w:r w:rsidR="00537270" w:rsidRPr="00CE7CBF">
        <w:rPr>
          <w:rFonts w:ascii="Verdana" w:hAnsi="Verdana"/>
          <w:sz w:val="20"/>
          <w:szCs w:val="20"/>
        </w:rPr>
        <w:t xml:space="preserve">, </w:t>
      </w:r>
      <w:proofErr w:type="spellStart"/>
      <w:r w:rsidR="00537270" w:rsidRPr="00CE7CBF">
        <w:rPr>
          <w:rFonts w:ascii="Verdana" w:hAnsi="Verdana"/>
          <w:sz w:val="20"/>
          <w:szCs w:val="20"/>
        </w:rPr>
        <w:t>Pierrekondre</w:t>
      </w:r>
      <w:proofErr w:type="spellEnd"/>
      <w:r w:rsidRPr="00CE7CBF">
        <w:rPr>
          <w:rFonts w:ascii="Verdana" w:hAnsi="Verdana"/>
          <w:sz w:val="20"/>
          <w:szCs w:val="20"/>
        </w:rPr>
        <w:t xml:space="preserve"> and </w:t>
      </w:r>
      <w:proofErr w:type="spellStart"/>
      <w:r w:rsidR="00537270" w:rsidRPr="00CE7CBF">
        <w:rPr>
          <w:rFonts w:ascii="Verdana" w:hAnsi="Verdana"/>
          <w:sz w:val="20"/>
          <w:szCs w:val="20"/>
        </w:rPr>
        <w:t>Marijkedorp</w:t>
      </w:r>
      <w:proofErr w:type="spellEnd"/>
      <w:r w:rsidR="00ED0702" w:rsidRPr="00CE7CBF">
        <w:rPr>
          <w:rFonts w:ascii="Verdana" w:hAnsi="Verdana"/>
          <w:sz w:val="20"/>
          <w:szCs w:val="20"/>
        </w:rPr>
        <w:t>,</w:t>
      </w:r>
      <w:r w:rsidRPr="00CE7CBF">
        <w:rPr>
          <w:rFonts w:ascii="Verdana" w:hAnsi="Verdana"/>
          <w:sz w:val="20"/>
          <w:szCs w:val="20"/>
        </w:rPr>
        <w:t xml:space="preserve"> </w:t>
      </w:r>
      <w:r w:rsidR="00074B4D">
        <w:rPr>
          <w:rFonts w:ascii="Verdana" w:hAnsi="Verdana"/>
          <w:sz w:val="20"/>
          <w:szCs w:val="20"/>
        </w:rPr>
        <w:t xml:space="preserve">in which </w:t>
      </w:r>
      <w:r w:rsidRPr="00CE7CBF">
        <w:rPr>
          <w:rFonts w:ascii="Verdana" w:hAnsi="Verdana"/>
          <w:sz w:val="20"/>
          <w:szCs w:val="20"/>
        </w:rPr>
        <w:t>property titles</w:t>
      </w:r>
      <w:r w:rsidR="00074B4D">
        <w:rPr>
          <w:rFonts w:ascii="Verdana" w:hAnsi="Verdana"/>
          <w:sz w:val="20"/>
          <w:szCs w:val="20"/>
        </w:rPr>
        <w:t xml:space="preserve"> were granted</w:t>
      </w:r>
      <w:r w:rsidRPr="00CE7CBF">
        <w:rPr>
          <w:rFonts w:ascii="Verdana" w:hAnsi="Verdana"/>
          <w:sz w:val="20"/>
          <w:szCs w:val="20"/>
        </w:rPr>
        <w:t xml:space="preserve"> to non-indigenous third parties on land that was</w:t>
      </w:r>
      <w:r w:rsidR="00074B4D">
        <w:rPr>
          <w:rFonts w:ascii="Verdana" w:hAnsi="Verdana"/>
          <w:sz w:val="20"/>
          <w:szCs w:val="20"/>
        </w:rPr>
        <w:t xml:space="preserve"> contiguous to</w:t>
      </w:r>
      <w:r w:rsidRPr="00CE7CBF">
        <w:rPr>
          <w:rFonts w:ascii="Verdana" w:hAnsi="Verdana"/>
          <w:sz w:val="20"/>
          <w:szCs w:val="20"/>
        </w:rPr>
        <w:t xml:space="preserve"> the homes of members of the indigenous communities. </w:t>
      </w:r>
    </w:p>
    <w:p w14:paraId="7F5C9157" w14:textId="77777777" w:rsidR="008A0723" w:rsidRPr="00CE7CBF" w:rsidRDefault="008A0723" w:rsidP="000B482D">
      <w:pPr>
        <w:pStyle w:val="NoSpacing"/>
        <w:jc w:val="both"/>
        <w:rPr>
          <w:rFonts w:ascii="Verdana" w:hAnsi="Verdana"/>
          <w:sz w:val="20"/>
          <w:szCs w:val="20"/>
        </w:rPr>
      </w:pPr>
    </w:p>
    <w:p w14:paraId="68550488" w14:textId="561BDB11" w:rsidR="00A37514" w:rsidRPr="00CE7CBF" w:rsidRDefault="00A37514" w:rsidP="008A0723">
      <w:pPr>
        <w:pStyle w:val="NoSpacing"/>
        <w:jc w:val="both"/>
        <w:rPr>
          <w:rStyle w:val="Strong"/>
          <w:rFonts w:ascii="Verdana" w:hAnsi="Verdana"/>
          <w:b w:val="0"/>
          <w:color w:val="000000"/>
          <w:sz w:val="20"/>
          <w:szCs w:val="20"/>
          <w:shd w:val="clear" w:color="auto" w:fill="FFFFFF"/>
        </w:rPr>
      </w:pPr>
      <w:r w:rsidRPr="00CE7CBF">
        <w:rPr>
          <w:rStyle w:val="Strong"/>
          <w:rFonts w:ascii="Verdana" w:hAnsi="Verdana"/>
          <w:b w:val="0"/>
          <w:color w:val="000000"/>
          <w:sz w:val="20"/>
          <w:szCs w:val="20"/>
          <w:shd w:val="clear" w:color="auto" w:fill="FFFFFF"/>
        </w:rPr>
        <w:t xml:space="preserve">Lastly, the Court determined that Suriname’s domestic law does not recognize the possibility that indigenous peoples may </w:t>
      </w:r>
      <w:r w:rsidR="00E84784" w:rsidRPr="00CE7CBF">
        <w:rPr>
          <w:rStyle w:val="Strong"/>
          <w:rFonts w:ascii="Verdana" w:hAnsi="Verdana"/>
          <w:b w:val="0"/>
          <w:color w:val="000000"/>
          <w:sz w:val="20"/>
          <w:szCs w:val="20"/>
          <w:shd w:val="clear" w:color="auto" w:fill="FFFFFF"/>
        </w:rPr>
        <w:t xml:space="preserve">constitute themselves as legal entities and, consequently, they are unable to hold collective property titles. Also, with regard to the steps taken by </w:t>
      </w:r>
      <w:r w:rsidR="00E84784" w:rsidRPr="00CE7CBF">
        <w:rPr>
          <w:rFonts w:ascii="Verdana" w:hAnsi="Verdana"/>
          <w:sz w:val="20"/>
          <w:szCs w:val="20"/>
        </w:rPr>
        <w:t xml:space="preserve">the </w:t>
      </w:r>
      <w:proofErr w:type="spellStart"/>
      <w:r w:rsidR="00E84784" w:rsidRPr="00CE7CBF">
        <w:rPr>
          <w:rFonts w:ascii="Verdana" w:hAnsi="Verdana"/>
          <w:sz w:val="20"/>
          <w:szCs w:val="20"/>
        </w:rPr>
        <w:t>Kaliña</w:t>
      </w:r>
      <w:proofErr w:type="spellEnd"/>
      <w:r w:rsidR="00E84784" w:rsidRPr="00CE7CBF">
        <w:rPr>
          <w:rFonts w:ascii="Verdana" w:hAnsi="Verdana"/>
          <w:sz w:val="20"/>
          <w:szCs w:val="20"/>
        </w:rPr>
        <w:t xml:space="preserve"> and </w:t>
      </w:r>
      <w:proofErr w:type="spellStart"/>
      <w:r w:rsidR="00E84784" w:rsidRPr="00CE7CBF">
        <w:rPr>
          <w:rFonts w:ascii="Verdana" w:hAnsi="Verdana"/>
          <w:sz w:val="20"/>
          <w:szCs w:val="20"/>
        </w:rPr>
        <w:t>Lokono</w:t>
      </w:r>
      <w:proofErr w:type="spellEnd"/>
      <w:r w:rsidR="00E84784" w:rsidRPr="00CE7CBF">
        <w:rPr>
          <w:rFonts w:ascii="Verdana" w:hAnsi="Verdana"/>
          <w:sz w:val="20"/>
          <w:szCs w:val="20"/>
        </w:rPr>
        <w:t xml:space="preserve"> peoples to obtain recognition of their rights, the Court verified that they had undertaken various social protests </w:t>
      </w:r>
      <w:r w:rsidR="008D207A" w:rsidRPr="00CE7CBF">
        <w:rPr>
          <w:rFonts w:ascii="Verdana" w:hAnsi="Verdana"/>
          <w:sz w:val="20"/>
          <w:szCs w:val="20"/>
        </w:rPr>
        <w:t>and filed administrative petitions</w:t>
      </w:r>
      <w:r w:rsidR="00E84784" w:rsidRPr="00CE7CBF">
        <w:rPr>
          <w:rFonts w:ascii="Verdana" w:hAnsi="Verdana"/>
          <w:sz w:val="20"/>
          <w:szCs w:val="20"/>
        </w:rPr>
        <w:t xml:space="preserve"> and judicial proceedings </w:t>
      </w:r>
      <w:r w:rsidR="008D207A" w:rsidRPr="00CE7CBF">
        <w:rPr>
          <w:rFonts w:ascii="Verdana" w:hAnsi="Verdana"/>
          <w:sz w:val="20"/>
          <w:szCs w:val="20"/>
        </w:rPr>
        <w:t>in relation to</w:t>
      </w:r>
      <w:r w:rsidR="00E84784" w:rsidRPr="00CE7CBF">
        <w:rPr>
          <w:rFonts w:ascii="Verdana" w:hAnsi="Verdana"/>
          <w:sz w:val="20"/>
          <w:szCs w:val="20"/>
        </w:rPr>
        <w:t xml:space="preserve"> the territory claimed in this case. The judicial proceedings </w:t>
      </w:r>
      <w:r w:rsidR="008D207A" w:rsidRPr="00CE7CBF">
        <w:rPr>
          <w:rFonts w:ascii="Verdana" w:hAnsi="Verdana"/>
          <w:sz w:val="20"/>
          <w:szCs w:val="20"/>
        </w:rPr>
        <w:t>were</w:t>
      </w:r>
      <w:r w:rsidR="00E84784" w:rsidRPr="00CE7CBF">
        <w:rPr>
          <w:rFonts w:ascii="Verdana" w:hAnsi="Verdana"/>
          <w:sz w:val="20"/>
          <w:szCs w:val="20"/>
        </w:rPr>
        <w:t xml:space="preserve"> dismissed because the members of the indigenous peoples lacked legal standing as a collective entity and did not possess a collective property</w:t>
      </w:r>
      <w:r w:rsidR="008D207A" w:rsidRPr="00CE7CBF">
        <w:rPr>
          <w:rFonts w:ascii="Verdana" w:hAnsi="Verdana"/>
          <w:sz w:val="20"/>
          <w:szCs w:val="20"/>
        </w:rPr>
        <w:t xml:space="preserve"> title to the territory claimed,</w:t>
      </w:r>
      <w:r w:rsidR="00E84784" w:rsidRPr="00CE7CBF">
        <w:rPr>
          <w:rFonts w:ascii="Verdana" w:hAnsi="Verdana"/>
          <w:sz w:val="20"/>
          <w:szCs w:val="20"/>
        </w:rPr>
        <w:t xml:space="preserve"> </w:t>
      </w:r>
      <w:r w:rsidR="008D207A" w:rsidRPr="00CE7CBF">
        <w:rPr>
          <w:rFonts w:ascii="Verdana" w:hAnsi="Verdana"/>
          <w:sz w:val="20"/>
          <w:szCs w:val="20"/>
        </w:rPr>
        <w:t>and</w:t>
      </w:r>
      <w:r w:rsidR="00E84784" w:rsidRPr="00CE7CBF">
        <w:rPr>
          <w:rFonts w:ascii="Verdana" w:hAnsi="Verdana"/>
          <w:sz w:val="20"/>
          <w:szCs w:val="20"/>
        </w:rPr>
        <w:t xml:space="preserve"> the petitions presented by the captains of the </w:t>
      </w:r>
      <w:proofErr w:type="spellStart"/>
      <w:r w:rsidR="00E84784" w:rsidRPr="00CE7CBF">
        <w:rPr>
          <w:rFonts w:ascii="Verdana" w:hAnsi="Verdana"/>
          <w:sz w:val="20"/>
          <w:szCs w:val="20"/>
        </w:rPr>
        <w:t>Kaliña</w:t>
      </w:r>
      <w:proofErr w:type="spellEnd"/>
      <w:r w:rsidR="00E84784" w:rsidRPr="00CE7CBF">
        <w:rPr>
          <w:rFonts w:ascii="Verdana" w:hAnsi="Verdana"/>
          <w:sz w:val="20"/>
          <w:szCs w:val="20"/>
        </w:rPr>
        <w:t xml:space="preserve"> and </w:t>
      </w:r>
      <w:proofErr w:type="spellStart"/>
      <w:r w:rsidR="00E84784" w:rsidRPr="00CE7CBF">
        <w:rPr>
          <w:rFonts w:ascii="Verdana" w:hAnsi="Verdana"/>
          <w:sz w:val="20"/>
          <w:szCs w:val="20"/>
        </w:rPr>
        <w:t>Lokono</w:t>
      </w:r>
      <w:proofErr w:type="spellEnd"/>
      <w:r w:rsidR="00E84784" w:rsidRPr="00CE7CBF">
        <w:rPr>
          <w:rFonts w:ascii="Verdana" w:hAnsi="Verdana"/>
          <w:sz w:val="20"/>
          <w:szCs w:val="20"/>
        </w:rPr>
        <w:t xml:space="preserve"> peoples to the President of Suriname, the Ministers of Regional Development and Natural Resources, and the State Lands Office were not answered.</w:t>
      </w:r>
    </w:p>
    <w:p w14:paraId="393C6DB1" w14:textId="77777777" w:rsidR="004B6E42" w:rsidRPr="00CE7CBF" w:rsidRDefault="004B6E42" w:rsidP="000B482D">
      <w:pPr>
        <w:pStyle w:val="NoSpacing"/>
        <w:jc w:val="both"/>
        <w:rPr>
          <w:rFonts w:ascii="Verdana" w:hAnsi="Verdana"/>
          <w:sz w:val="20"/>
          <w:szCs w:val="20"/>
        </w:rPr>
      </w:pPr>
    </w:p>
    <w:p w14:paraId="073A6CAE" w14:textId="44081E35" w:rsidR="00A220B5" w:rsidRPr="003115A4" w:rsidRDefault="00E84784" w:rsidP="003115A4">
      <w:pPr>
        <w:pStyle w:val="ListParagraph"/>
        <w:numPr>
          <w:ilvl w:val="0"/>
          <w:numId w:val="1"/>
        </w:numPr>
        <w:tabs>
          <w:tab w:val="left" w:pos="567"/>
          <w:tab w:val="left" w:pos="2128"/>
        </w:tabs>
        <w:contextualSpacing/>
        <w:jc w:val="both"/>
        <w:rPr>
          <w:b/>
          <w:lang w:val="en-US"/>
        </w:rPr>
      </w:pPr>
      <w:r w:rsidRPr="003115A4">
        <w:rPr>
          <w:b/>
          <w:lang w:val="en-US"/>
        </w:rPr>
        <w:t>Merits</w:t>
      </w:r>
    </w:p>
    <w:p w14:paraId="676813C5" w14:textId="77777777" w:rsidR="00A220B5" w:rsidRPr="00CE7CBF" w:rsidRDefault="00A220B5" w:rsidP="000B482D">
      <w:pPr>
        <w:spacing w:after="0" w:line="240" w:lineRule="auto"/>
        <w:contextualSpacing/>
        <w:jc w:val="both"/>
        <w:rPr>
          <w:rFonts w:ascii="Verdana" w:eastAsia="Batang" w:hAnsi="Verdana" w:cs="Times New Roman"/>
          <w:sz w:val="20"/>
          <w:szCs w:val="20"/>
          <w:lang w:val="en-US" w:eastAsia="es-MX"/>
        </w:rPr>
      </w:pPr>
    </w:p>
    <w:p w14:paraId="1ECB4E20" w14:textId="1272875B" w:rsidR="00A220B5" w:rsidRPr="00CE7CBF" w:rsidRDefault="00E84784" w:rsidP="000B482D">
      <w:pPr>
        <w:spacing w:after="0" w:line="240" w:lineRule="auto"/>
        <w:contextualSpacing/>
        <w:jc w:val="both"/>
        <w:rPr>
          <w:rFonts w:ascii="Verdana" w:eastAsia="Batang" w:hAnsi="Verdana" w:cs="Times New Roman"/>
          <w:sz w:val="20"/>
          <w:szCs w:val="20"/>
          <w:lang w:val="en-US" w:eastAsia="es-MX"/>
        </w:rPr>
      </w:pPr>
      <w:r w:rsidRPr="00CE7CBF">
        <w:rPr>
          <w:rFonts w:ascii="Verdana" w:eastAsia="Batang" w:hAnsi="Verdana" w:cs="Times New Roman"/>
          <w:sz w:val="20"/>
          <w:szCs w:val="20"/>
          <w:lang w:val="en-US" w:eastAsia="es-MX"/>
        </w:rPr>
        <w:t xml:space="preserve">Regarding the right to recognition of juridical personality, the Court reiterated its case law in previous cases concerning Suriname and determined that since the State’s domestic law did not recognize the collective legal personality of the indigenous and tribal peoples, the State had violated Article 3 </w:t>
      </w:r>
      <w:r w:rsidRPr="00CE7CBF">
        <w:rPr>
          <w:rFonts w:ascii="Verdana" w:hAnsi="Verdana"/>
          <w:sz w:val="20"/>
          <w:szCs w:val="20"/>
          <w:lang w:val="en-US"/>
        </w:rPr>
        <w:t>of the American Convention</w:t>
      </w:r>
      <w:r w:rsidR="008D207A" w:rsidRPr="00CE7CBF">
        <w:rPr>
          <w:rFonts w:ascii="Verdana" w:hAnsi="Verdana"/>
          <w:sz w:val="20"/>
          <w:szCs w:val="20"/>
          <w:lang w:val="en-US"/>
        </w:rPr>
        <w:t>, in relation to Article 2 of this instrument,</w:t>
      </w:r>
      <w:r w:rsidRPr="00CE7CBF">
        <w:rPr>
          <w:rFonts w:ascii="Verdana" w:hAnsi="Verdana"/>
          <w:sz w:val="20"/>
          <w:szCs w:val="20"/>
          <w:lang w:val="en-US"/>
        </w:rPr>
        <w:t xml:space="preserve"> to the detriment of</w:t>
      </w:r>
      <w:r w:rsidR="00A220B5" w:rsidRPr="00CE7CBF">
        <w:rPr>
          <w:rFonts w:ascii="Verdana" w:hAnsi="Verdana"/>
          <w:sz w:val="20"/>
          <w:szCs w:val="20"/>
          <w:lang w:val="en-US"/>
        </w:rPr>
        <w:t xml:space="preserve"> </w:t>
      </w:r>
      <w:r w:rsidR="00A37514" w:rsidRPr="00CE7CBF">
        <w:rPr>
          <w:rFonts w:ascii="Verdana" w:hAnsi="Verdana"/>
          <w:sz w:val="20"/>
          <w:szCs w:val="20"/>
          <w:lang w:val="en-US"/>
        </w:rPr>
        <w:t xml:space="preserve">the </w:t>
      </w:r>
      <w:proofErr w:type="spellStart"/>
      <w:r w:rsidR="00A37514" w:rsidRPr="00CE7CBF">
        <w:rPr>
          <w:rFonts w:ascii="Verdana" w:hAnsi="Verdana"/>
          <w:sz w:val="20"/>
          <w:szCs w:val="20"/>
          <w:lang w:val="en-US"/>
        </w:rPr>
        <w:t>Kaliña</w:t>
      </w:r>
      <w:proofErr w:type="spellEnd"/>
      <w:r w:rsidR="000859F4">
        <w:rPr>
          <w:rFonts w:ascii="Verdana" w:hAnsi="Verdana"/>
          <w:sz w:val="20"/>
          <w:szCs w:val="20"/>
          <w:lang w:val="en-US"/>
        </w:rPr>
        <w:t>. This also</w:t>
      </w:r>
      <w:r w:rsidR="00A37514" w:rsidRPr="00CE7CBF">
        <w:rPr>
          <w:rFonts w:ascii="Verdana" w:hAnsi="Verdana"/>
          <w:sz w:val="20"/>
          <w:szCs w:val="20"/>
          <w:lang w:val="en-US"/>
        </w:rPr>
        <w:t xml:space="preserve"> </w:t>
      </w:r>
      <w:r w:rsidR="00CE7CBF">
        <w:rPr>
          <w:rFonts w:ascii="Verdana" w:hAnsi="Verdana"/>
          <w:sz w:val="20"/>
          <w:szCs w:val="20"/>
          <w:lang w:val="en-US"/>
        </w:rPr>
        <w:t>led to</w:t>
      </w:r>
      <w:r w:rsidRPr="00CE7CBF">
        <w:rPr>
          <w:rFonts w:ascii="Verdana" w:hAnsi="Verdana"/>
          <w:sz w:val="20"/>
          <w:szCs w:val="20"/>
          <w:lang w:val="en-US"/>
        </w:rPr>
        <w:t xml:space="preserve"> the violation of other rights recognized in Articles 1(</w:t>
      </w:r>
      <w:r w:rsidR="00A220B5" w:rsidRPr="00CE7CBF">
        <w:rPr>
          <w:rFonts w:ascii="Verdana" w:hAnsi="Verdana"/>
          <w:sz w:val="20"/>
          <w:szCs w:val="20"/>
          <w:lang w:val="en-US"/>
        </w:rPr>
        <w:t>1</w:t>
      </w:r>
      <w:r w:rsidRPr="00CE7CBF">
        <w:rPr>
          <w:rFonts w:ascii="Verdana" w:hAnsi="Verdana"/>
          <w:sz w:val="20"/>
          <w:szCs w:val="20"/>
          <w:lang w:val="en-US"/>
        </w:rPr>
        <w:t>)</w:t>
      </w:r>
      <w:r w:rsidR="00A220B5" w:rsidRPr="00CE7CBF">
        <w:rPr>
          <w:rFonts w:ascii="Verdana" w:hAnsi="Verdana"/>
          <w:sz w:val="20"/>
          <w:szCs w:val="20"/>
          <w:lang w:val="en-US"/>
        </w:rPr>
        <w:t>, 21</w:t>
      </w:r>
      <w:r w:rsidR="00A37514" w:rsidRPr="00CE7CBF">
        <w:rPr>
          <w:rFonts w:ascii="Verdana" w:hAnsi="Verdana"/>
          <w:sz w:val="20"/>
          <w:szCs w:val="20"/>
          <w:lang w:val="en-US"/>
        </w:rPr>
        <w:t xml:space="preserve"> and </w:t>
      </w:r>
      <w:r w:rsidR="00A220B5" w:rsidRPr="00CE7CBF">
        <w:rPr>
          <w:rFonts w:ascii="Verdana" w:hAnsi="Verdana"/>
          <w:sz w:val="20"/>
          <w:szCs w:val="20"/>
          <w:lang w:val="en-US"/>
        </w:rPr>
        <w:t xml:space="preserve">25 </w:t>
      </w:r>
      <w:r w:rsidRPr="00CE7CBF">
        <w:rPr>
          <w:rFonts w:ascii="Verdana" w:hAnsi="Verdana"/>
          <w:sz w:val="20"/>
          <w:szCs w:val="20"/>
          <w:lang w:val="en-US"/>
        </w:rPr>
        <w:t>of the Convention</w:t>
      </w:r>
      <w:r w:rsidR="00A220B5" w:rsidRPr="00CE7CBF">
        <w:rPr>
          <w:rFonts w:ascii="Verdana" w:hAnsi="Verdana"/>
          <w:sz w:val="20"/>
          <w:szCs w:val="20"/>
          <w:lang w:val="en-US"/>
        </w:rPr>
        <w:t>.</w:t>
      </w:r>
    </w:p>
    <w:p w14:paraId="7880E821" w14:textId="77777777" w:rsidR="00A220B5" w:rsidRPr="00CE7CBF" w:rsidRDefault="00A220B5" w:rsidP="000B482D">
      <w:pPr>
        <w:spacing w:after="0" w:line="240" w:lineRule="auto"/>
        <w:contextualSpacing/>
        <w:jc w:val="both"/>
        <w:rPr>
          <w:rFonts w:ascii="Verdana" w:eastAsia="Batang" w:hAnsi="Verdana" w:cs="Times New Roman"/>
          <w:sz w:val="20"/>
          <w:szCs w:val="20"/>
          <w:lang w:val="en-US" w:eastAsia="es-MX"/>
        </w:rPr>
      </w:pPr>
    </w:p>
    <w:p w14:paraId="04563746" w14:textId="2004CB52" w:rsidR="00952F8B" w:rsidRPr="00CE7CBF" w:rsidRDefault="00E84784" w:rsidP="000B482D">
      <w:pPr>
        <w:pStyle w:val="ListParagraph"/>
        <w:ind w:left="0"/>
        <w:contextualSpacing/>
        <w:jc w:val="both"/>
        <w:rPr>
          <w:b/>
          <w:lang w:val="en-US"/>
        </w:rPr>
      </w:pPr>
      <w:r w:rsidRPr="00CE7CBF">
        <w:rPr>
          <w:rFonts w:eastAsia="Batang"/>
          <w:lang w:val="en-US" w:eastAsia="es-MX"/>
        </w:rPr>
        <w:t xml:space="preserve">With regard to the right to collective ownership, the Court concluded that the State’s failure to delimit, demarcate and grant title to the territory of </w:t>
      </w:r>
      <w:r w:rsidR="00A37514" w:rsidRPr="00CE7CBF">
        <w:rPr>
          <w:lang w:val="en-US"/>
        </w:rPr>
        <w:t xml:space="preserve">the </w:t>
      </w:r>
      <w:proofErr w:type="spellStart"/>
      <w:r w:rsidR="00A37514" w:rsidRPr="00CE7CBF">
        <w:rPr>
          <w:lang w:val="en-US"/>
        </w:rPr>
        <w:t>Kaliña</w:t>
      </w:r>
      <w:proofErr w:type="spellEnd"/>
      <w:r w:rsidR="00A37514" w:rsidRPr="00CE7CBF">
        <w:rPr>
          <w:lang w:val="en-US"/>
        </w:rPr>
        <w:t xml:space="preserve"> and </w:t>
      </w:r>
      <w:proofErr w:type="spellStart"/>
      <w:r w:rsidR="00A37514" w:rsidRPr="00CE7CBF">
        <w:rPr>
          <w:lang w:val="en-US"/>
        </w:rPr>
        <w:t>Lokono</w:t>
      </w:r>
      <w:proofErr w:type="spellEnd"/>
      <w:r w:rsidR="00A37514" w:rsidRPr="00CE7CBF">
        <w:rPr>
          <w:lang w:val="en-US"/>
        </w:rPr>
        <w:t xml:space="preserve"> peoples</w:t>
      </w:r>
      <w:r w:rsidR="00952F8B" w:rsidRPr="00CE7CBF">
        <w:rPr>
          <w:lang w:val="en-US"/>
        </w:rPr>
        <w:t xml:space="preserve"> </w:t>
      </w:r>
      <w:r w:rsidRPr="00CE7CBF">
        <w:rPr>
          <w:lang w:val="en-US"/>
        </w:rPr>
        <w:t>violated the right to collective property recognized in Article</w:t>
      </w:r>
      <w:r w:rsidR="00952F8B" w:rsidRPr="00CE7CBF">
        <w:rPr>
          <w:lang w:val="en-US"/>
        </w:rPr>
        <w:t xml:space="preserve"> 21 </w:t>
      </w:r>
      <w:r w:rsidRPr="00CE7CBF">
        <w:rPr>
          <w:lang w:val="en-US"/>
        </w:rPr>
        <w:t>of the American Convention</w:t>
      </w:r>
      <w:r w:rsidR="00952F8B" w:rsidRPr="00CE7CBF">
        <w:rPr>
          <w:lang w:val="en-US"/>
        </w:rPr>
        <w:t>,</w:t>
      </w:r>
      <w:r w:rsidR="00A37514" w:rsidRPr="00CE7CBF">
        <w:rPr>
          <w:lang w:val="en-US"/>
        </w:rPr>
        <w:t xml:space="preserve"> </w:t>
      </w:r>
      <w:r w:rsidR="000859F4">
        <w:rPr>
          <w:lang w:val="en-US"/>
        </w:rPr>
        <w:t>as well as</w:t>
      </w:r>
      <w:r w:rsidR="00A37514" w:rsidRPr="00CE7CBF">
        <w:rPr>
          <w:lang w:val="en-US"/>
        </w:rPr>
        <w:t xml:space="preserve"> </w:t>
      </w:r>
      <w:r w:rsidRPr="00CE7CBF">
        <w:rPr>
          <w:lang w:val="en-US"/>
        </w:rPr>
        <w:t>the duty to adopt domestic legal provisions established in Article</w:t>
      </w:r>
      <w:r w:rsidR="00952F8B" w:rsidRPr="00CE7CBF">
        <w:rPr>
          <w:lang w:val="en-US"/>
        </w:rPr>
        <w:t xml:space="preserve"> 2 </w:t>
      </w:r>
      <w:r w:rsidRPr="00CE7CBF">
        <w:rPr>
          <w:lang w:val="en-US"/>
        </w:rPr>
        <w:t xml:space="preserve">thereof, to the detriment of these peoples. It also indicated that the State should, through a consultation process, delimit the territories that correspond to </w:t>
      </w:r>
      <w:r w:rsidR="00A37514" w:rsidRPr="00CE7CBF">
        <w:rPr>
          <w:lang w:val="en-US"/>
        </w:rPr>
        <w:t xml:space="preserve">the </w:t>
      </w:r>
      <w:proofErr w:type="spellStart"/>
      <w:r w:rsidR="00A37514" w:rsidRPr="00CE7CBF">
        <w:rPr>
          <w:lang w:val="en-US"/>
        </w:rPr>
        <w:t>Kaliña</w:t>
      </w:r>
      <w:proofErr w:type="spellEnd"/>
      <w:r w:rsidR="00A37514" w:rsidRPr="00CE7CBF">
        <w:rPr>
          <w:lang w:val="en-US"/>
        </w:rPr>
        <w:t xml:space="preserve"> and </w:t>
      </w:r>
      <w:proofErr w:type="spellStart"/>
      <w:r w:rsidR="00A37514" w:rsidRPr="00CE7CBF">
        <w:rPr>
          <w:lang w:val="en-US"/>
        </w:rPr>
        <w:t>Lokono</w:t>
      </w:r>
      <w:proofErr w:type="spellEnd"/>
      <w:r w:rsidR="00A37514" w:rsidRPr="00CE7CBF">
        <w:rPr>
          <w:lang w:val="en-US"/>
        </w:rPr>
        <w:t xml:space="preserve"> peoples</w:t>
      </w:r>
      <w:r w:rsidR="00952F8B" w:rsidRPr="00CE7CBF">
        <w:rPr>
          <w:lang w:val="en-US"/>
        </w:rPr>
        <w:t>,</w:t>
      </w:r>
      <w:r w:rsidRPr="00CE7CBF">
        <w:rPr>
          <w:lang w:val="en-US"/>
        </w:rPr>
        <w:t xml:space="preserve"> </w:t>
      </w:r>
      <w:r w:rsidR="00ED7DBD" w:rsidRPr="00CE7CBF">
        <w:rPr>
          <w:lang w:val="en-US"/>
        </w:rPr>
        <w:t xml:space="preserve">and also </w:t>
      </w:r>
      <w:r w:rsidRPr="00CE7CBF">
        <w:rPr>
          <w:lang w:val="en-US"/>
        </w:rPr>
        <w:t xml:space="preserve">demarcate and grant title to </w:t>
      </w:r>
      <w:r w:rsidRPr="00CE7CBF">
        <w:rPr>
          <w:lang w:val="en-US"/>
        </w:rPr>
        <w:lastRenderedPageBreak/>
        <w:t xml:space="preserve">these territories, guaranteeing the peoples </w:t>
      </w:r>
      <w:r w:rsidR="00ED7DBD" w:rsidRPr="00CE7CBF">
        <w:rPr>
          <w:lang w:val="en-US"/>
        </w:rPr>
        <w:t>the</w:t>
      </w:r>
      <w:r w:rsidR="000859F4">
        <w:rPr>
          <w:lang w:val="en-US"/>
        </w:rPr>
        <w:t>ir</w:t>
      </w:r>
      <w:r w:rsidR="00ED7DBD" w:rsidRPr="00CE7CBF">
        <w:rPr>
          <w:lang w:val="en-US"/>
        </w:rPr>
        <w:t xml:space="preserve"> </w:t>
      </w:r>
      <w:r w:rsidRPr="00CE7CBF">
        <w:rPr>
          <w:lang w:val="en-US"/>
        </w:rPr>
        <w:t xml:space="preserve">effective use and enjoyment. To this end, the Court indicated that the State should also respect the rights of the Maroon </w:t>
      </w:r>
      <w:r w:rsidR="00ED7DBD" w:rsidRPr="00CE7CBF">
        <w:rPr>
          <w:lang w:val="en-US"/>
        </w:rPr>
        <w:t>communities</w:t>
      </w:r>
      <w:r w:rsidRPr="00CE7CBF">
        <w:rPr>
          <w:lang w:val="en-US"/>
        </w:rPr>
        <w:t xml:space="preserve"> or</w:t>
      </w:r>
      <w:r w:rsidR="00ED7DBD" w:rsidRPr="00CE7CBF">
        <w:rPr>
          <w:lang w:val="en-US"/>
        </w:rPr>
        <w:t xml:space="preserve"> their </w:t>
      </w:r>
      <w:r w:rsidR="00CE7CBF" w:rsidRPr="00CE7CBF">
        <w:rPr>
          <w:lang w:val="en-US"/>
        </w:rPr>
        <w:t>members</w:t>
      </w:r>
      <w:r w:rsidR="00ED7DBD" w:rsidRPr="00CE7CBF">
        <w:rPr>
          <w:lang w:val="en-US"/>
        </w:rPr>
        <w:t xml:space="preserve"> in the area</w:t>
      </w:r>
      <w:r w:rsidRPr="00CE7CBF">
        <w:rPr>
          <w:lang w:val="en-US"/>
        </w:rPr>
        <w:t xml:space="preserve">. The Court also decided that </w:t>
      </w:r>
      <w:r w:rsidR="00A37514" w:rsidRPr="00CE7CBF">
        <w:rPr>
          <w:lang w:val="en-US"/>
        </w:rPr>
        <w:t>the State</w:t>
      </w:r>
      <w:r w:rsidR="00952F8B" w:rsidRPr="00CE7CBF">
        <w:rPr>
          <w:lang w:val="en-US"/>
        </w:rPr>
        <w:t xml:space="preserve"> </w:t>
      </w:r>
      <w:r w:rsidRPr="00CE7CBF">
        <w:rPr>
          <w:lang w:val="en-US"/>
        </w:rPr>
        <w:t xml:space="preserve">should </w:t>
      </w:r>
      <w:r w:rsidR="00ED7DBD" w:rsidRPr="00CE7CBF">
        <w:rPr>
          <w:lang w:val="en-US"/>
        </w:rPr>
        <w:t>establish</w:t>
      </w:r>
      <w:r w:rsidRPr="00CE7CBF">
        <w:rPr>
          <w:color w:val="000000"/>
          <w:lang w:val="en-US"/>
        </w:rPr>
        <w:t xml:space="preserve"> </w:t>
      </w:r>
      <w:r w:rsidRPr="00CE7CBF">
        <w:rPr>
          <w:lang w:val="en-US"/>
        </w:rPr>
        <w:t>rules for peaceful and harmonious coexistence in the territory in question</w:t>
      </w:r>
      <w:r w:rsidR="00ED7DBD" w:rsidRPr="00CE7CBF">
        <w:rPr>
          <w:lang w:val="en-US"/>
        </w:rPr>
        <w:t>,</w:t>
      </w:r>
      <w:r w:rsidR="00ED7DBD" w:rsidRPr="00CE7CBF">
        <w:rPr>
          <w:color w:val="000000"/>
          <w:lang w:val="en-US"/>
        </w:rPr>
        <w:t xml:space="preserve"> by mutual agreement with </w:t>
      </w:r>
      <w:r w:rsidR="00ED7DBD" w:rsidRPr="00CE7CBF">
        <w:rPr>
          <w:lang w:val="en-US"/>
        </w:rPr>
        <w:t>the indigenous peoples and the Maroons</w:t>
      </w:r>
      <w:r w:rsidRPr="00CE7CBF">
        <w:rPr>
          <w:lang w:val="en-US"/>
        </w:rPr>
        <w:t>.</w:t>
      </w:r>
    </w:p>
    <w:p w14:paraId="6514AF41" w14:textId="07C60C6A" w:rsidR="00E84784" w:rsidRPr="00CE7CBF" w:rsidRDefault="00E84784" w:rsidP="000B482D">
      <w:pPr>
        <w:pStyle w:val="ListParagraph"/>
        <w:ind w:left="0"/>
        <w:contextualSpacing/>
        <w:jc w:val="both"/>
        <w:rPr>
          <w:lang w:val="en-US"/>
        </w:rPr>
      </w:pPr>
      <w:r w:rsidRPr="00CE7CBF">
        <w:rPr>
          <w:lang w:val="en-US"/>
        </w:rPr>
        <w:t xml:space="preserve">Regarding the right to request the restitution of the territory in view of the existence of individual property titles issued to non-indigenous third parties, the Court found that this right of the </w:t>
      </w:r>
      <w:proofErr w:type="spellStart"/>
      <w:r w:rsidRPr="00CE7CBF">
        <w:rPr>
          <w:lang w:val="en-US"/>
        </w:rPr>
        <w:t>Kaliña</w:t>
      </w:r>
      <w:proofErr w:type="spellEnd"/>
      <w:r w:rsidRPr="00CE7CBF">
        <w:rPr>
          <w:lang w:val="en-US"/>
        </w:rPr>
        <w:t xml:space="preserve"> and </w:t>
      </w:r>
      <w:proofErr w:type="spellStart"/>
      <w:r w:rsidRPr="00CE7CBF">
        <w:rPr>
          <w:lang w:val="en-US"/>
        </w:rPr>
        <w:t>Lokono</w:t>
      </w:r>
      <w:proofErr w:type="spellEnd"/>
      <w:r w:rsidRPr="00CE7CBF">
        <w:rPr>
          <w:lang w:val="en-US"/>
        </w:rPr>
        <w:t xml:space="preserve"> peoples</w:t>
      </w:r>
      <w:r w:rsidR="00ED7DBD" w:rsidRPr="00CE7CBF">
        <w:rPr>
          <w:lang w:val="en-US"/>
        </w:rPr>
        <w:t xml:space="preserve"> remained</w:t>
      </w:r>
      <w:r w:rsidRPr="00CE7CBF">
        <w:rPr>
          <w:lang w:val="en-US"/>
        </w:rPr>
        <w:t xml:space="preserve"> valid, and that the State </w:t>
      </w:r>
      <w:r w:rsidR="00ED7DBD" w:rsidRPr="00CE7CBF">
        <w:rPr>
          <w:lang w:val="en-US"/>
        </w:rPr>
        <w:t>should</w:t>
      </w:r>
      <w:r w:rsidRPr="00CE7CBF">
        <w:rPr>
          <w:lang w:val="en-US"/>
        </w:rPr>
        <w:t xml:space="preserve"> therefore weigh the private or State territorial interests against the territorial rights of the members of the indigenous communities.</w:t>
      </w:r>
    </w:p>
    <w:p w14:paraId="0B156EA7" w14:textId="77777777" w:rsidR="00952F8B" w:rsidRPr="00CE7CBF" w:rsidRDefault="00952F8B" w:rsidP="000B482D">
      <w:pPr>
        <w:pStyle w:val="ListParagraph"/>
        <w:ind w:left="0"/>
        <w:contextualSpacing/>
        <w:jc w:val="both"/>
        <w:rPr>
          <w:lang w:val="en-US"/>
        </w:rPr>
      </w:pPr>
    </w:p>
    <w:p w14:paraId="344912C9" w14:textId="72F8D909" w:rsidR="00F060E7" w:rsidRPr="00CE7CBF" w:rsidRDefault="00E84784" w:rsidP="000B482D">
      <w:pPr>
        <w:pStyle w:val="ListParagraph"/>
        <w:ind w:left="0"/>
        <w:contextualSpacing/>
        <w:jc w:val="both"/>
        <w:rPr>
          <w:lang w:val="en-US"/>
        </w:rPr>
      </w:pPr>
      <w:r w:rsidRPr="0061337D">
        <w:rPr>
          <w:lang w:val="en-US"/>
        </w:rPr>
        <w:t>The Court noted that the establishment of nature reserves and the granting of a mining concession occurred before Suriname acceded to the Convention</w:t>
      </w:r>
      <w:r w:rsidR="00ED7DBD" w:rsidRPr="0061337D">
        <w:rPr>
          <w:lang w:val="en-US"/>
        </w:rPr>
        <w:t xml:space="preserve"> </w:t>
      </w:r>
      <w:r w:rsidR="00ED7DBD" w:rsidRPr="00E61850">
        <w:rPr>
          <w:lang w:val="en-US"/>
        </w:rPr>
        <w:t>and accepted the Court’s contentious jurisdiction</w:t>
      </w:r>
      <w:r w:rsidRPr="0061337D">
        <w:rPr>
          <w:lang w:val="en-US"/>
        </w:rPr>
        <w:t xml:space="preserve"> in 1987. Although the State did not file a preliminary objection in this regard, the Court took into account i</w:t>
      </w:r>
      <w:r w:rsidR="00ED7DBD" w:rsidRPr="0061337D">
        <w:rPr>
          <w:lang w:val="en-US"/>
        </w:rPr>
        <w:t>t</w:t>
      </w:r>
      <w:r w:rsidRPr="0061337D">
        <w:rPr>
          <w:lang w:val="en-US"/>
        </w:rPr>
        <w:t xml:space="preserve">s </w:t>
      </w:r>
      <w:r w:rsidR="000859F4">
        <w:rPr>
          <w:lang w:val="en-US"/>
        </w:rPr>
        <w:t>jurisdiction</w:t>
      </w:r>
      <w:r w:rsidR="000859F4" w:rsidRPr="0061337D">
        <w:rPr>
          <w:lang w:val="en-US"/>
        </w:rPr>
        <w:t xml:space="preserve"> </w:t>
      </w:r>
      <w:proofErr w:type="spellStart"/>
      <w:r w:rsidR="00F060E7" w:rsidRPr="0061337D">
        <w:rPr>
          <w:i/>
          <w:lang w:val="en-US"/>
        </w:rPr>
        <w:t>ratione</w:t>
      </w:r>
      <w:proofErr w:type="spellEnd"/>
      <w:r w:rsidR="00F060E7" w:rsidRPr="0061337D">
        <w:rPr>
          <w:i/>
          <w:lang w:val="en-US"/>
        </w:rPr>
        <w:t xml:space="preserve"> </w:t>
      </w:r>
      <w:proofErr w:type="spellStart"/>
      <w:r w:rsidR="00F060E7" w:rsidRPr="0061337D">
        <w:rPr>
          <w:i/>
          <w:lang w:val="en-US"/>
        </w:rPr>
        <w:t>temporis</w:t>
      </w:r>
      <w:proofErr w:type="spellEnd"/>
      <w:r w:rsidRPr="0061337D">
        <w:rPr>
          <w:lang w:val="en-US"/>
        </w:rPr>
        <w:t xml:space="preserve"> i</w:t>
      </w:r>
      <w:r w:rsidR="00F060E7" w:rsidRPr="0061337D">
        <w:rPr>
          <w:lang w:val="en-US"/>
        </w:rPr>
        <w:t>n</w:t>
      </w:r>
      <w:r w:rsidRPr="0061337D">
        <w:rPr>
          <w:lang w:val="en-US"/>
        </w:rPr>
        <w:t xml:space="preserve"> relation to the respective disputes.</w:t>
      </w:r>
      <w:r w:rsidRPr="00CE7CBF">
        <w:rPr>
          <w:lang w:val="en-US"/>
        </w:rPr>
        <w:t xml:space="preserve"> </w:t>
      </w:r>
    </w:p>
    <w:p w14:paraId="293368D2" w14:textId="77777777" w:rsidR="00F060E7" w:rsidRPr="00CE7CBF" w:rsidRDefault="00F060E7" w:rsidP="000B482D">
      <w:pPr>
        <w:pStyle w:val="ListParagraph"/>
        <w:ind w:left="0"/>
        <w:contextualSpacing/>
        <w:jc w:val="both"/>
        <w:rPr>
          <w:lang w:val="en-US"/>
        </w:rPr>
      </w:pPr>
    </w:p>
    <w:p w14:paraId="5042B863" w14:textId="27C2C006" w:rsidR="003F758F" w:rsidRPr="00CE7CBF" w:rsidRDefault="003F758F" w:rsidP="000B482D">
      <w:pPr>
        <w:pStyle w:val="ListParagraph"/>
        <w:ind w:left="0"/>
        <w:contextualSpacing/>
        <w:jc w:val="both"/>
        <w:rPr>
          <w:rFonts w:cs="Arial"/>
          <w:lang w:val="en-US"/>
        </w:rPr>
      </w:pPr>
      <w:r w:rsidRPr="00CE7CBF">
        <w:rPr>
          <w:rFonts w:cs="Arial"/>
          <w:lang w:val="en-US"/>
        </w:rPr>
        <w:t>Re</w:t>
      </w:r>
      <w:r w:rsidR="00E84784" w:rsidRPr="00CE7CBF">
        <w:rPr>
          <w:rFonts w:cs="Arial"/>
          <w:lang w:val="en-US"/>
        </w:rPr>
        <w:t>garding the alleged maintenance of the nature reserves in the traditional territory, the Court determined that</w:t>
      </w:r>
      <w:r w:rsidRPr="00CE7CBF">
        <w:rPr>
          <w:rFonts w:cs="Arial"/>
          <w:lang w:val="en-US"/>
        </w:rPr>
        <w:t xml:space="preserve"> </w:t>
      </w:r>
      <w:r w:rsidR="00A37514" w:rsidRPr="00CE7CBF">
        <w:rPr>
          <w:rFonts w:cs="Arial"/>
          <w:lang w:val="en-US"/>
        </w:rPr>
        <w:t xml:space="preserve">the </w:t>
      </w:r>
      <w:proofErr w:type="spellStart"/>
      <w:r w:rsidR="00A37514" w:rsidRPr="00CE7CBF">
        <w:rPr>
          <w:rFonts w:cs="Arial"/>
          <w:lang w:val="en-US"/>
        </w:rPr>
        <w:t>Kaliña</w:t>
      </w:r>
      <w:proofErr w:type="spellEnd"/>
      <w:r w:rsidR="00A37514" w:rsidRPr="00CE7CBF">
        <w:rPr>
          <w:rFonts w:cs="Arial"/>
          <w:lang w:val="en-US"/>
        </w:rPr>
        <w:t xml:space="preserve"> and </w:t>
      </w:r>
      <w:proofErr w:type="spellStart"/>
      <w:r w:rsidR="00A37514" w:rsidRPr="00CE7CBF">
        <w:rPr>
          <w:rFonts w:cs="Arial"/>
          <w:lang w:val="en-US"/>
        </w:rPr>
        <w:t>Lokono</w:t>
      </w:r>
      <w:proofErr w:type="spellEnd"/>
      <w:r w:rsidR="00A37514" w:rsidRPr="00CE7CBF">
        <w:rPr>
          <w:rFonts w:cs="Arial"/>
          <w:lang w:val="en-US"/>
        </w:rPr>
        <w:t xml:space="preserve"> peoples</w:t>
      </w:r>
      <w:r w:rsidRPr="00CE7CBF">
        <w:rPr>
          <w:rFonts w:cs="Arial"/>
          <w:lang w:val="en-US"/>
        </w:rPr>
        <w:t xml:space="preserve"> </w:t>
      </w:r>
      <w:r w:rsidR="00E84784" w:rsidRPr="00CE7CBF">
        <w:rPr>
          <w:rFonts w:cs="Arial"/>
          <w:lang w:val="en-US"/>
        </w:rPr>
        <w:t>had the right to claim</w:t>
      </w:r>
      <w:r w:rsidR="007D410A" w:rsidRPr="007D410A">
        <w:rPr>
          <w:rFonts w:cs="Arial"/>
          <w:lang w:val="en-US"/>
        </w:rPr>
        <w:t>,</w:t>
      </w:r>
      <w:r w:rsidR="00E84784" w:rsidRPr="0042060F">
        <w:rPr>
          <w:rFonts w:cs="Arial"/>
          <w:lang w:val="en-US"/>
        </w:rPr>
        <w:t xml:space="preserve"> </w:t>
      </w:r>
      <w:r w:rsidR="007D410A" w:rsidRPr="0042060F">
        <w:rPr>
          <w:rFonts w:cs="Arial"/>
          <w:lang w:val="en-US"/>
        </w:rPr>
        <w:t>under domestic law, the possible restitution of the parts of their traditional territory within the nature reserves that adjoin the territory that they currently possess</w:t>
      </w:r>
      <w:r w:rsidR="00E84784" w:rsidRPr="0042060F">
        <w:rPr>
          <w:rFonts w:cs="Arial"/>
          <w:lang w:val="en-US"/>
        </w:rPr>
        <w:t xml:space="preserve"> </w:t>
      </w:r>
      <w:r w:rsidR="00E84784" w:rsidRPr="00CE7CBF">
        <w:rPr>
          <w:rFonts w:cs="Arial"/>
          <w:lang w:val="en-US"/>
        </w:rPr>
        <w:t xml:space="preserve">and, in this regard, the State must </w:t>
      </w:r>
      <w:r w:rsidR="00ED7DBD" w:rsidRPr="00CE7CBF">
        <w:rPr>
          <w:rFonts w:cs="Arial"/>
          <w:lang w:val="en-US"/>
        </w:rPr>
        <w:t>weigh</w:t>
      </w:r>
      <w:r w:rsidR="00E84784" w:rsidRPr="00CE7CBF">
        <w:rPr>
          <w:rFonts w:cs="Arial"/>
          <w:lang w:val="en-US"/>
        </w:rPr>
        <w:t xml:space="preserve"> the rights involved, </w:t>
      </w:r>
      <w:r w:rsidR="000859F4">
        <w:rPr>
          <w:rFonts w:cs="Arial"/>
          <w:lang w:val="en-US"/>
        </w:rPr>
        <w:t>that is,</w:t>
      </w:r>
      <w:r w:rsidR="00E84784" w:rsidRPr="00CE7CBF">
        <w:rPr>
          <w:rFonts w:cs="Arial"/>
          <w:lang w:val="en-US"/>
        </w:rPr>
        <w:t xml:space="preserve"> the collective rights of the </w:t>
      </w:r>
      <w:proofErr w:type="spellStart"/>
      <w:r w:rsidR="00E84784" w:rsidRPr="00CE7CBF">
        <w:rPr>
          <w:rFonts w:cs="Arial"/>
          <w:lang w:val="en-US"/>
        </w:rPr>
        <w:t>Kaliña</w:t>
      </w:r>
      <w:proofErr w:type="spellEnd"/>
      <w:r w:rsidR="00E84784" w:rsidRPr="00CE7CBF">
        <w:rPr>
          <w:rFonts w:cs="Arial"/>
          <w:lang w:val="en-US"/>
        </w:rPr>
        <w:t xml:space="preserve"> and </w:t>
      </w:r>
      <w:proofErr w:type="spellStart"/>
      <w:r w:rsidR="00E84784" w:rsidRPr="00CE7CBF">
        <w:rPr>
          <w:rFonts w:cs="Arial"/>
          <w:lang w:val="en-US"/>
        </w:rPr>
        <w:t>Lokono</w:t>
      </w:r>
      <w:proofErr w:type="spellEnd"/>
      <w:r w:rsidR="00E84784" w:rsidRPr="00CE7CBF">
        <w:rPr>
          <w:rFonts w:cs="Arial"/>
          <w:lang w:val="en-US"/>
        </w:rPr>
        <w:t xml:space="preserve"> peoples against the protection of the environment as part of the public interest</w:t>
      </w:r>
      <w:r w:rsidR="0020091E" w:rsidRPr="00CE7CBF">
        <w:rPr>
          <w:rFonts w:cs="Arial"/>
          <w:lang w:val="en-US"/>
        </w:rPr>
        <w:t>.</w:t>
      </w:r>
    </w:p>
    <w:p w14:paraId="2AA87EE4" w14:textId="77777777" w:rsidR="00952F8B" w:rsidRPr="00CE7CBF" w:rsidRDefault="00952F8B" w:rsidP="000B482D">
      <w:pPr>
        <w:spacing w:after="0" w:line="240" w:lineRule="auto"/>
        <w:contextualSpacing/>
        <w:jc w:val="both"/>
        <w:rPr>
          <w:rFonts w:ascii="Verdana" w:eastAsia="Batang" w:hAnsi="Verdana" w:cs="Times New Roman"/>
          <w:sz w:val="20"/>
          <w:szCs w:val="20"/>
          <w:lang w:val="en-US" w:eastAsia="es-MX"/>
        </w:rPr>
      </w:pPr>
    </w:p>
    <w:p w14:paraId="2A21D71E" w14:textId="36A256CB" w:rsidR="00E84784" w:rsidRPr="00CE7CBF" w:rsidRDefault="00E84784" w:rsidP="000B482D">
      <w:pPr>
        <w:pStyle w:val="ListParagraph"/>
        <w:ind w:left="0"/>
        <w:contextualSpacing/>
        <w:jc w:val="both"/>
        <w:rPr>
          <w:rFonts w:cs="Arial"/>
          <w:lang w:val="en-US"/>
        </w:rPr>
      </w:pPr>
      <w:r w:rsidRPr="00CE7CBF">
        <w:rPr>
          <w:rFonts w:eastAsia="Batang"/>
          <w:lang w:val="en-US" w:eastAsia="es-MX"/>
        </w:rPr>
        <w:t xml:space="preserve">In relation to the alleged restrictions faced by the indigenous peoples in the nature reserves, the Court considered </w:t>
      </w:r>
      <w:proofErr w:type="spellStart"/>
      <w:r w:rsidR="000859F4">
        <w:rPr>
          <w:rFonts w:eastAsia="Batang"/>
          <w:lang w:val="en-US" w:eastAsia="es-MX"/>
        </w:rPr>
        <w:t>importante</w:t>
      </w:r>
      <w:proofErr w:type="spellEnd"/>
      <w:r w:rsidR="000859F4">
        <w:rPr>
          <w:rFonts w:eastAsia="Batang"/>
          <w:lang w:val="en-US" w:eastAsia="es-MX"/>
        </w:rPr>
        <w:t xml:space="preserve"> </w:t>
      </w:r>
      <w:r w:rsidRPr="00CE7CBF">
        <w:rPr>
          <w:rFonts w:eastAsia="Batang"/>
          <w:lang w:val="en-US" w:eastAsia="es-MX"/>
        </w:rPr>
        <w:t>to refer to the need to</w:t>
      </w:r>
      <w:r w:rsidRPr="00CE7CBF">
        <w:rPr>
          <w:rFonts w:cs="Arial"/>
          <w:lang w:val="en-US"/>
        </w:rPr>
        <w:t xml:space="preserve"> </w:t>
      </w:r>
      <w:r w:rsidR="00ED7DBD" w:rsidRPr="00CE7CBF">
        <w:rPr>
          <w:rFonts w:cs="Arial"/>
          <w:lang w:val="en-US"/>
        </w:rPr>
        <w:t>ensure</w:t>
      </w:r>
      <w:r w:rsidRPr="00CE7CBF">
        <w:rPr>
          <w:rFonts w:cs="Arial"/>
          <w:lang w:val="en-US"/>
        </w:rPr>
        <w:t xml:space="preserve"> compa</w:t>
      </w:r>
      <w:r w:rsidR="00ED7DBD" w:rsidRPr="00CE7CBF">
        <w:rPr>
          <w:rFonts w:cs="Arial"/>
          <w:lang w:val="en-US"/>
        </w:rPr>
        <w:t>tibility between</w:t>
      </w:r>
      <w:r w:rsidRPr="00CE7CBF">
        <w:rPr>
          <w:rFonts w:cs="Arial"/>
          <w:lang w:val="en-US"/>
        </w:rPr>
        <w:t xml:space="preserve"> the safeguard of protected areas </w:t>
      </w:r>
      <w:r w:rsidR="00ED7DBD" w:rsidRPr="00CE7CBF">
        <w:rPr>
          <w:rFonts w:cs="Arial"/>
          <w:lang w:val="en-US"/>
        </w:rPr>
        <w:t>and</w:t>
      </w:r>
      <w:r w:rsidRPr="00CE7CBF">
        <w:rPr>
          <w:rFonts w:cs="Arial"/>
          <w:lang w:val="en-US"/>
        </w:rPr>
        <w:t xml:space="preserve"> the adequate use and enjoyment of the traditional territories of indigenous peoples. Thus, the Court found that a protected area consisted not only of its biological dimension, but also of its socio-cultural dimension and that, therefore, an interdisciplinary and participatory approach</w:t>
      </w:r>
      <w:r w:rsidR="00ED7DBD" w:rsidRPr="00CE7CBF">
        <w:rPr>
          <w:rFonts w:cs="Arial"/>
          <w:lang w:val="en-US"/>
        </w:rPr>
        <w:t xml:space="preserve"> was required</w:t>
      </w:r>
      <w:r w:rsidRPr="00CE7CBF">
        <w:rPr>
          <w:rFonts w:cs="Arial"/>
          <w:lang w:val="en-US"/>
        </w:rPr>
        <w:t>.</w:t>
      </w:r>
    </w:p>
    <w:p w14:paraId="56610AA0" w14:textId="77777777" w:rsidR="003F758F" w:rsidRPr="00CE7CBF" w:rsidRDefault="003F758F" w:rsidP="000B482D">
      <w:pPr>
        <w:pStyle w:val="ListParagraph"/>
        <w:ind w:left="0"/>
        <w:contextualSpacing/>
        <w:jc w:val="both"/>
        <w:rPr>
          <w:lang w:val="en-US"/>
        </w:rPr>
      </w:pPr>
    </w:p>
    <w:p w14:paraId="3B972547" w14:textId="4B5FFB61" w:rsidR="00E84784" w:rsidRPr="00CE7CBF" w:rsidRDefault="00E84784" w:rsidP="000B482D">
      <w:pPr>
        <w:pStyle w:val="ListParagraph"/>
        <w:ind w:left="0"/>
        <w:contextualSpacing/>
        <w:jc w:val="both"/>
        <w:rPr>
          <w:rFonts w:eastAsiaTheme="minorHAnsi"/>
          <w:lang w:val="en-US"/>
        </w:rPr>
      </w:pPr>
      <w:r w:rsidRPr="00CE7CBF">
        <w:rPr>
          <w:lang w:val="en-US"/>
        </w:rPr>
        <w:t>Accordingly,</w:t>
      </w:r>
      <w:r w:rsidRPr="00CE7CBF">
        <w:rPr>
          <w:rFonts w:eastAsiaTheme="minorHAnsi"/>
          <w:lang w:val="en-US"/>
        </w:rPr>
        <w:t xml:space="preserve"> the Court concluded that, in principle, the protection of natural areas and the right </w:t>
      </w:r>
      <w:r w:rsidRPr="00CE7CBF">
        <w:rPr>
          <w:lang w:val="en-US"/>
        </w:rPr>
        <w:t>of the indigenous and tribal peoples to the protection of the natural resources in their territorie</w:t>
      </w:r>
      <w:r w:rsidR="00ED7DBD" w:rsidRPr="00CE7CBF">
        <w:rPr>
          <w:lang w:val="en-US"/>
        </w:rPr>
        <w:t>s we</w:t>
      </w:r>
      <w:r w:rsidRPr="00CE7CBF">
        <w:rPr>
          <w:lang w:val="en-US"/>
        </w:rPr>
        <w:t xml:space="preserve">re compatible, and </w:t>
      </w:r>
      <w:r w:rsidR="000859F4">
        <w:rPr>
          <w:lang w:val="en-US"/>
        </w:rPr>
        <w:t xml:space="preserve">it </w:t>
      </w:r>
      <w:r w:rsidRPr="00CE7CBF">
        <w:rPr>
          <w:lang w:val="en-US"/>
        </w:rPr>
        <w:t>emphasized that, owing to their interrelationship with nature and their ways of life, the indigenous and tribal peoples can make a</w:t>
      </w:r>
      <w:r w:rsidR="000859F4">
        <w:rPr>
          <w:lang w:val="en-US"/>
        </w:rPr>
        <w:t>n important</w:t>
      </w:r>
      <w:r w:rsidRPr="00CE7CBF">
        <w:rPr>
          <w:lang w:val="en-US"/>
        </w:rPr>
        <w:t xml:space="preserve"> contribution to </w:t>
      </w:r>
      <w:r w:rsidR="00ED7DBD" w:rsidRPr="00CE7CBF">
        <w:rPr>
          <w:lang w:val="en-US"/>
        </w:rPr>
        <w:t>nature</w:t>
      </w:r>
      <w:r w:rsidRPr="00CE7CBF">
        <w:rPr>
          <w:lang w:val="en-US"/>
        </w:rPr>
        <w:t xml:space="preserve"> conservation. Thus, the criteria of: (a) effective participation; (b) ac</w:t>
      </w:r>
      <w:r w:rsidR="00ED7DBD" w:rsidRPr="00CE7CBF">
        <w:rPr>
          <w:lang w:val="en-US"/>
        </w:rPr>
        <w:t>c</w:t>
      </w:r>
      <w:r w:rsidRPr="00CE7CBF">
        <w:rPr>
          <w:lang w:val="en-US"/>
        </w:rPr>
        <w:t>ess and use of their traditional territories</w:t>
      </w:r>
      <w:r w:rsidR="000859F4">
        <w:rPr>
          <w:lang w:val="en-US"/>
        </w:rPr>
        <w:t>;</w:t>
      </w:r>
      <w:r w:rsidRPr="00CE7CBF">
        <w:rPr>
          <w:lang w:val="en-US"/>
        </w:rPr>
        <w:t xml:space="preserve"> and (c) the possibility of obtaining benefits from conservation – all of the foregoing provided </w:t>
      </w:r>
      <w:r w:rsidR="00ED7DBD" w:rsidRPr="00CE7CBF">
        <w:rPr>
          <w:lang w:val="en-US"/>
        </w:rPr>
        <w:t>they were</w:t>
      </w:r>
      <w:r w:rsidRPr="00CE7CBF">
        <w:rPr>
          <w:lang w:val="en-US"/>
        </w:rPr>
        <w:t xml:space="preserve"> compatible with protection and sustainable use - were es</w:t>
      </w:r>
      <w:r w:rsidR="00ED7DBD" w:rsidRPr="00CE7CBF">
        <w:rPr>
          <w:lang w:val="en-US"/>
        </w:rPr>
        <w:t>sential elements to achieve the</w:t>
      </w:r>
      <w:r w:rsidRPr="00CE7CBF">
        <w:rPr>
          <w:lang w:val="en-US"/>
        </w:rPr>
        <w:t xml:space="preserve"> compatibility that should be evaluated by the State. </w:t>
      </w:r>
      <w:r w:rsidRPr="00427BDE">
        <w:rPr>
          <w:rFonts w:eastAsiaTheme="minorHAnsi"/>
          <w:lang w:val="en-US"/>
        </w:rPr>
        <w:t>Consequently,</w:t>
      </w:r>
      <w:r w:rsidRPr="00427BDE">
        <w:rPr>
          <w:lang w:val="en-US"/>
        </w:rPr>
        <w:t xml:space="preserve"> the State must have adeq</w:t>
      </w:r>
      <w:r w:rsidR="00E67176" w:rsidRPr="00427BDE">
        <w:rPr>
          <w:lang w:val="en-US"/>
        </w:rPr>
        <w:t>uate mechanisms to implement tho</w:t>
      </w:r>
      <w:r w:rsidRPr="004A06BB">
        <w:rPr>
          <w:lang w:val="en-US"/>
        </w:rPr>
        <w:t xml:space="preserve">se criteria as </w:t>
      </w:r>
      <w:r w:rsidR="00427BDE" w:rsidRPr="00D218B4">
        <w:rPr>
          <w:lang w:val="en-US"/>
        </w:rPr>
        <w:t xml:space="preserve">a means of </w:t>
      </w:r>
      <w:r w:rsidR="004A06BB" w:rsidRPr="002A14F3">
        <w:rPr>
          <w:lang w:val="en-US"/>
        </w:rPr>
        <w:t xml:space="preserve">guaranteeing </w:t>
      </w:r>
      <w:r w:rsidR="00427BDE" w:rsidRPr="00D218B4">
        <w:rPr>
          <w:lang w:val="en-US"/>
        </w:rPr>
        <w:t>the right to</w:t>
      </w:r>
      <w:r w:rsidRPr="00427BDE">
        <w:rPr>
          <w:rFonts w:eastAsiaTheme="minorHAnsi"/>
          <w:lang w:val="en-US"/>
        </w:rPr>
        <w:t xml:space="preserve"> a </w:t>
      </w:r>
      <w:r w:rsidR="00427BDE" w:rsidRPr="00D218B4">
        <w:rPr>
          <w:rFonts w:eastAsiaTheme="minorHAnsi"/>
          <w:lang w:val="en-US"/>
        </w:rPr>
        <w:t xml:space="preserve">dignified </w:t>
      </w:r>
      <w:r w:rsidRPr="00427BDE">
        <w:rPr>
          <w:rFonts w:eastAsiaTheme="minorHAnsi"/>
          <w:lang w:val="en-US"/>
        </w:rPr>
        <w:t xml:space="preserve">life and </w:t>
      </w:r>
      <w:r w:rsidR="004A06BB">
        <w:rPr>
          <w:rFonts w:eastAsiaTheme="minorHAnsi"/>
          <w:lang w:val="en-US"/>
        </w:rPr>
        <w:t>to</w:t>
      </w:r>
      <w:r w:rsidRPr="00427BDE">
        <w:rPr>
          <w:rFonts w:eastAsiaTheme="minorHAnsi"/>
          <w:lang w:val="en-US"/>
        </w:rPr>
        <w:t xml:space="preserve"> cultural identity</w:t>
      </w:r>
      <w:r w:rsidRPr="004A06BB">
        <w:rPr>
          <w:lang w:val="en-US"/>
        </w:rPr>
        <w:t xml:space="preserve"> to </w:t>
      </w:r>
      <w:r w:rsidRPr="004A06BB">
        <w:rPr>
          <w:rFonts w:eastAsiaTheme="minorHAnsi"/>
          <w:lang w:val="en-US"/>
        </w:rPr>
        <w:t xml:space="preserve">the indigenous and tribal peoples in relation to the protection of the natural resources </w:t>
      </w:r>
      <w:r w:rsidR="00E67176" w:rsidRPr="004A06BB">
        <w:rPr>
          <w:rFonts w:eastAsiaTheme="minorHAnsi"/>
          <w:lang w:val="en-US"/>
        </w:rPr>
        <w:t>in</w:t>
      </w:r>
      <w:r w:rsidRPr="004A06BB">
        <w:rPr>
          <w:rFonts w:eastAsiaTheme="minorHAnsi"/>
          <w:lang w:val="en-US"/>
        </w:rPr>
        <w:t xml:space="preserve"> their traditional territories.</w:t>
      </w:r>
    </w:p>
    <w:p w14:paraId="68166718" w14:textId="77777777" w:rsidR="00E84784" w:rsidRPr="00CE7CBF" w:rsidRDefault="00E84784" w:rsidP="000B482D">
      <w:pPr>
        <w:pStyle w:val="ListParagraph"/>
        <w:ind w:left="0"/>
        <w:contextualSpacing/>
        <w:jc w:val="both"/>
        <w:rPr>
          <w:rFonts w:eastAsiaTheme="minorHAnsi"/>
          <w:lang w:val="en-US"/>
        </w:rPr>
      </w:pPr>
    </w:p>
    <w:p w14:paraId="440058FC" w14:textId="1AC24CC5" w:rsidR="003F758F" w:rsidRPr="00CE7CBF" w:rsidRDefault="00E84784" w:rsidP="000B482D">
      <w:pPr>
        <w:pStyle w:val="ListParagraph"/>
        <w:ind w:left="0"/>
        <w:contextualSpacing/>
        <w:jc w:val="both"/>
        <w:rPr>
          <w:lang w:val="en-US"/>
        </w:rPr>
      </w:pPr>
      <w:r w:rsidRPr="00CE7CBF">
        <w:rPr>
          <w:lang w:val="en-US"/>
        </w:rPr>
        <w:t>Regarding the adverse</w:t>
      </w:r>
      <w:r w:rsidR="00E67176" w:rsidRPr="00CE7CBF">
        <w:rPr>
          <w:lang w:val="en-US"/>
        </w:rPr>
        <w:t xml:space="preserve"> effects</w:t>
      </w:r>
      <w:r w:rsidRPr="00CE7CBF">
        <w:rPr>
          <w:lang w:val="en-US"/>
        </w:rPr>
        <w:t xml:space="preserve"> in the nature reserves, the Court found that, </w:t>
      </w:r>
      <w:r w:rsidR="000859F4">
        <w:rPr>
          <w:lang w:val="en-US"/>
        </w:rPr>
        <w:t xml:space="preserve">in </w:t>
      </w:r>
      <w:r w:rsidRPr="00CE7CBF">
        <w:rPr>
          <w:lang w:val="en-US"/>
        </w:rPr>
        <w:t xml:space="preserve">this case, no violation had been constituted by the lack of exclusive management and monitoring of the nature reserves by the indigenous peoples. However, the Court did verify the absence of explicit mechanisms that guaranteed the access, use and effective participation of the </w:t>
      </w:r>
      <w:proofErr w:type="spellStart"/>
      <w:r w:rsidRPr="00CE7CBF">
        <w:rPr>
          <w:lang w:val="en-US"/>
        </w:rPr>
        <w:t>Kaliña</w:t>
      </w:r>
      <w:proofErr w:type="spellEnd"/>
      <w:r w:rsidRPr="00CE7CBF">
        <w:rPr>
          <w:lang w:val="en-US"/>
        </w:rPr>
        <w:t xml:space="preserve"> and </w:t>
      </w:r>
      <w:proofErr w:type="spellStart"/>
      <w:r w:rsidRPr="00CE7CBF">
        <w:rPr>
          <w:lang w:val="en-US"/>
        </w:rPr>
        <w:t>Lokono</w:t>
      </w:r>
      <w:proofErr w:type="spellEnd"/>
      <w:r w:rsidRPr="00CE7CBF">
        <w:rPr>
          <w:lang w:val="en-US"/>
        </w:rPr>
        <w:t xml:space="preserve"> indigenous peoples in the conservation of the nature reserves</w:t>
      </w:r>
      <w:r w:rsidR="00E67176" w:rsidRPr="00CE7CBF">
        <w:rPr>
          <w:lang w:val="en-US"/>
        </w:rPr>
        <w:t xml:space="preserve"> </w:t>
      </w:r>
      <w:r w:rsidRPr="00CE7CBF">
        <w:rPr>
          <w:lang w:val="en-US"/>
        </w:rPr>
        <w:t>and the benefits</w:t>
      </w:r>
      <w:r w:rsidR="000859F4">
        <w:rPr>
          <w:lang w:val="en-US"/>
        </w:rPr>
        <w:t xml:space="preserve"> derived therefrom</w:t>
      </w:r>
      <w:r w:rsidRPr="00CE7CBF">
        <w:rPr>
          <w:lang w:val="en-US"/>
        </w:rPr>
        <w:t xml:space="preserve">. Therefore, the Court found </w:t>
      </w:r>
      <w:r w:rsidRPr="00CE7CBF">
        <w:rPr>
          <w:lang w:val="en-US"/>
        </w:rPr>
        <w:lastRenderedPageBreak/>
        <w:t xml:space="preserve">that the State had violated the rights to collective property, cultural identity and participation in public affairs of the victims, mainly by </w:t>
      </w:r>
      <w:r w:rsidRPr="00CE7CBF">
        <w:rPr>
          <w:rFonts w:cs="Arial"/>
          <w:lang w:val="en-US"/>
        </w:rPr>
        <w:t>preventing their effective participation and the</w:t>
      </w:r>
      <w:r w:rsidR="00E67176" w:rsidRPr="00CE7CBF">
        <w:rPr>
          <w:rFonts w:cs="Arial"/>
          <w:lang w:val="en-US"/>
        </w:rPr>
        <w:t>ir</w:t>
      </w:r>
      <w:r w:rsidRPr="00CE7CBF">
        <w:rPr>
          <w:rFonts w:cs="Arial"/>
          <w:lang w:val="en-US"/>
        </w:rPr>
        <w:t xml:space="preserve"> access to </w:t>
      </w:r>
      <w:r w:rsidR="00E67176" w:rsidRPr="00CE7CBF">
        <w:rPr>
          <w:rFonts w:cs="Arial"/>
          <w:lang w:val="en-US"/>
        </w:rPr>
        <w:t>some of</w:t>
      </w:r>
      <w:r w:rsidRPr="00CE7CBF">
        <w:rPr>
          <w:rFonts w:cs="Arial"/>
          <w:lang w:val="en-US"/>
        </w:rPr>
        <w:t xml:space="preserve"> their </w:t>
      </w:r>
      <w:r w:rsidRPr="00CE7CBF">
        <w:rPr>
          <w:lang w:val="en-US"/>
        </w:rPr>
        <w:t xml:space="preserve">traditional territory and natural resources in the </w:t>
      </w:r>
      <w:proofErr w:type="spellStart"/>
      <w:r w:rsidRPr="00CE7CBF">
        <w:rPr>
          <w:lang w:val="en-US"/>
        </w:rPr>
        <w:t>Galibi</w:t>
      </w:r>
      <w:proofErr w:type="spellEnd"/>
      <w:r w:rsidRPr="00CE7CBF">
        <w:rPr>
          <w:lang w:val="en-US"/>
        </w:rPr>
        <w:t xml:space="preserve"> and Wane Kreek Nature Reserves</w:t>
      </w:r>
      <w:r w:rsidR="000859F4">
        <w:rPr>
          <w:lang w:val="en-US"/>
        </w:rPr>
        <w:t xml:space="preserve">. The State also failed to </w:t>
      </w:r>
      <w:r w:rsidRPr="00CE7CBF">
        <w:rPr>
          <w:lang w:val="en-US"/>
        </w:rPr>
        <w:t>guarantee, effectively, the traditional territory of the communities affected by the environmental degradation within the Wane Kreek Nature Reserve</w:t>
      </w:r>
      <w:r w:rsidR="000859F4">
        <w:rPr>
          <w:lang w:val="en-US"/>
        </w:rPr>
        <w:t xml:space="preserve">. All of this </w:t>
      </w:r>
      <w:r w:rsidRPr="00CE7CBF">
        <w:rPr>
          <w:lang w:val="en-US"/>
        </w:rPr>
        <w:t xml:space="preserve">constituted a violation </w:t>
      </w:r>
      <w:r w:rsidRPr="00CE7CBF">
        <w:rPr>
          <w:rFonts w:cs="Arial"/>
          <w:lang w:val="en-US"/>
        </w:rPr>
        <w:t>of</w:t>
      </w:r>
      <w:r w:rsidRPr="00CE7CBF">
        <w:rPr>
          <w:lang w:val="en-US"/>
        </w:rPr>
        <w:t xml:space="preserve"> Articles 2,</w:t>
      </w:r>
      <w:r w:rsidRPr="00CE7CBF">
        <w:rPr>
          <w:rFonts w:cs="Arial"/>
          <w:lang w:val="en-US"/>
        </w:rPr>
        <w:t xml:space="preserve"> 21 and 23 of the American Convention, in relation to Article 1(1) </w:t>
      </w:r>
      <w:r w:rsidRPr="00CE7CBF">
        <w:rPr>
          <w:lang w:val="en-US"/>
        </w:rPr>
        <w:t xml:space="preserve">thereof, to the detriment of the </w:t>
      </w:r>
      <w:proofErr w:type="spellStart"/>
      <w:r w:rsidRPr="00CE7CBF">
        <w:rPr>
          <w:lang w:val="en-US"/>
        </w:rPr>
        <w:t>Kaliña</w:t>
      </w:r>
      <w:proofErr w:type="spellEnd"/>
      <w:r w:rsidRPr="00CE7CBF">
        <w:rPr>
          <w:lang w:val="en-US"/>
        </w:rPr>
        <w:t xml:space="preserve"> and </w:t>
      </w:r>
      <w:proofErr w:type="spellStart"/>
      <w:r w:rsidRPr="00CE7CBF">
        <w:rPr>
          <w:lang w:val="en-US"/>
        </w:rPr>
        <w:t>Lokono</w:t>
      </w:r>
      <w:proofErr w:type="spellEnd"/>
      <w:r w:rsidRPr="00CE7CBF">
        <w:rPr>
          <w:lang w:val="en-US"/>
        </w:rPr>
        <w:t xml:space="preserve"> peoples and their members.</w:t>
      </w:r>
    </w:p>
    <w:p w14:paraId="0D4970A4" w14:textId="77777777" w:rsidR="0061337D" w:rsidRDefault="0061337D" w:rsidP="000B482D">
      <w:pPr>
        <w:pStyle w:val="ListParagraph"/>
        <w:ind w:left="0"/>
        <w:contextualSpacing/>
        <w:jc w:val="both"/>
        <w:rPr>
          <w:lang w:val="en-US"/>
        </w:rPr>
      </w:pPr>
    </w:p>
    <w:p w14:paraId="25B687E5" w14:textId="63A4C988" w:rsidR="00E84784" w:rsidRPr="00CE7CBF" w:rsidRDefault="00453715" w:rsidP="000B482D">
      <w:pPr>
        <w:pStyle w:val="ListParagraph"/>
        <w:ind w:left="0"/>
        <w:contextualSpacing/>
        <w:jc w:val="both"/>
        <w:rPr>
          <w:lang w:val="en-US"/>
        </w:rPr>
      </w:pPr>
      <w:r w:rsidRPr="00CE7CBF">
        <w:rPr>
          <w:lang w:val="en-US"/>
        </w:rPr>
        <w:t>Re</w:t>
      </w:r>
      <w:r w:rsidR="00E84784" w:rsidRPr="00CE7CBF">
        <w:rPr>
          <w:lang w:val="en-US"/>
        </w:rPr>
        <w:t xml:space="preserve">garding the right to collective property in relation to the mining concession within </w:t>
      </w:r>
      <w:r w:rsidR="00CE7CBF" w:rsidRPr="00CE7CBF">
        <w:rPr>
          <w:lang w:val="en-US"/>
        </w:rPr>
        <w:t>the Wane</w:t>
      </w:r>
      <w:r w:rsidRPr="00CE7CBF">
        <w:rPr>
          <w:lang w:val="en-US"/>
        </w:rPr>
        <w:t xml:space="preserve"> Kreek</w:t>
      </w:r>
      <w:r w:rsidR="00E84784" w:rsidRPr="00CE7CBF">
        <w:rPr>
          <w:lang w:val="en-US"/>
        </w:rPr>
        <w:t xml:space="preserve"> Nature Reserve</w:t>
      </w:r>
      <w:r w:rsidRPr="00CE7CBF">
        <w:rPr>
          <w:lang w:val="en-US"/>
        </w:rPr>
        <w:t xml:space="preserve">, </w:t>
      </w:r>
      <w:r w:rsidR="00A37514" w:rsidRPr="00CE7CBF">
        <w:rPr>
          <w:lang w:val="en-US"/>
        </w:rPr>
        <w:t>the Court</w:t>
      </w:r>
      <w:r w:rsidR="00E84784" w:rsidRPr="00CE7CBF">
        <w:rPr>
          <w:lang w:val="en-US"/>
        </w:rPr>
        <w:t xml:space="preserve"> </w:t>
      </w:r>
      <w:r w:rsidR="00427BDE">
        <w:rPr>
          <w:lang w:val="en-US"/>
        </w:rPr>
        <w:t>held</w:t>
      </w:r>
      <w:r w:rsidR="00427BDE" w:rsidRPr="00CE7CBF">
        <w:rPr>
          <w:lang w:val="en-US"/>
        </w:rPr>
        <w:t xml:space="preserve"> </w:t>
      </w:r>
      <w:r w:rsidR="00E84784" w:rsidRPr="00CE7CBF">
        <w:rPr>
          <w:lang w:val="en-US"/>
        </w:rPr>
        <w:t xml:space="preserve">that the State’s obligation to ensure effective participation, through a consultation process, </w:t>
      </w:r>
      <w:r w:rsidR="00427BDE">
        <w:rPr>
          <w:lang w:val="en-US"/>
        </w:rPr>
        <w:t>applied</w:t>
      </w:r>
      <w:r w:rsidR="00217ECE">
        <w:rPr>
          <w:lang w:val="en-US"/>
        </w:rPr>
        <w:t xml:space="preserve"> </w:t>
      </w:r>
      <w:r w:rsidR="00E67176" w:rsidRPr="00CE7CBF">
        <w:rPr>
          <w:lang w:val="en-US"/>
        </w:rPr>
        <w:t>before</w:t>
      </w:r>
      <w:r w:rsidR="00217ECE">
        <w:rPr>
          <w:lang w:val="en-US"/>
        </w:rPr>
        <w:t xml:space="preserve"> any action was taken</w:t>
      </w:r>
      <w:r w:rsidR="00E84784" w:rsidRPr="00CE7CBF">
        <w:rPr>
          <w:lang w:val="en-US"/>
        </w:rPr>
        <w:t xml:space="preserve"> that could have a</w:t>
      </w:r>
      <w:r w:rsidR="00427BDE">
        <w:rPr>
          <w:lang w:val="en-US"/>
        </w:rPr>
        <w:t xml:space="preserve">n important </w:t>
      </w:r>
      <w:r w:rsidR="00E84784" w:rsidRPr="00CE7CBF">
        <w:rPr>
          <w:lang w:val="en-US"/>
        </w:rPr>
        <w:t>impact on the interest</w:t>
      </w:r>
      <w:r w:rsidR="00E67176" w:rsidRPr="00CE7CBF">
        <w:rPr>
          <w:lang w:val="en-US"/>
        </w:rPr>
        <w:t>s</w:t>
      </w:r>
      <w:r w:rsidR="00E84784" w:rsidRPr="00CE7CBF">
        <w:rPr>
          <w:lang w:val="en-US"/>
        </w:rPr>
        <w:t xml:space="preserve"> of the indigenous and tribal peoples, such as the exploration and exploitation or extracting stages. In this case, although the mining concession was granted in 1958, the bauxite extraction operations began in 1997 – that is, 40 years later – </w:t>
      </w:r>
      <w:r w:rsidR="00427BDE">
        <w:rPr>
          <w:lang w:val="en-US"/>
        </w:rPr>
        <w:t>when</w:t>
      </w:r>
      <w:r w:rsidR="00E84784" w:rsidRPr="00CE7CBF">
        <w:rPr>
          <w:lang w:val="en-US"/>
        </w:rPr>
        <w:t xml:space="preserve"> the company had determined the precise place where the extraction operations would be implemented in relation to the rest of the territory that had previously been explored. Thus, the guarantee of effective participation should have been put in practice before the start of the mining extraction or exploitation operations, which did not happen in this case.</w:t>
      </w:r>
    </w:p>
    <w:p w14:paraId="15C8C12A" w14:textId="77777777" w:rsidR="00C06C74" w:rsidRPr="00CE7CBF" w:rsidRDefault="00C06C74" w:rsidP="000B482D">
      <w:pPr>
        <w:pStyle w:val="ListParagraph"/>
        <w:ind w:left="0"/>
        <w:contextualSpacing/>
        <w:jc w:val="both"/>
        <w:rPr>
          <w:lang w:val="en-US"/>
        </w:rPr>
      </w:pPr>
    </w:p>
    <w:p w14:paraId="5C628174" w14:textId="45B9489F" w:rsidR="00453715" w:rsidRPr="00CE7CBF" w:rsidRDefault="00E84784" w:rsidP="000B482D">
      <w:pPr>
        <w:pStyle w:val="ListParagraph"/>
        <w:ind w:left="0"/>
        <w:contextualSpacing/>
        <w:jc w:val="both"/>
        <w:rPr>
          <w:b/>
          <w:lang w:val="en-US"/>
        </w:rPr>
      </w:pPr>
      <w:r w:rsidRPr="00CE7CBF">
        <w:rPr>
          <w:lang w:val="en-US"/>
        </w:rPr>
        <w:t>In this regard, the Court concluded that the State had failed to ensure the effective participation</w:t>
      </w:r>
      <w:r w:rsidR="00427BDE">
        <w:rPr>
          <w:lang w:val="en-US"/>
        </w:rPr>
        <w:t>,</w:t>
      </w:r>
      <w:r w:rsidRPr="00CE7CBF">
        <w:rPr>
          <w:lang w:val="en-US"/>
        </w:rPr>
        <w:t xml:space="preserve"> by means of a </w:t>
      </w:r>
      <w:r w:rsidRPr="00CE7CBF">
        <w:rPr>
          <w:color w:val="000000"/>
          <w:lang w:val="en-US" w:eastAsia="es-CR"/>
        </w:rPr>
        <w:t xml:space="preserve">consultation process, of the </w:t>
      </w:r>
      <w:proofErr w:type="spellStart"/>
      <w:r w:rsidRPr="00CE7CBF">
        <w:rPr>
          <w:color w:val="000000"/>
          <w:lang w:val="en-US" w:eastAsia="es-CR"/>
        </w:rPr>
        <w:t>Kaliña</w:t>
      </w:r>
      <w:proofErr w:type="spellEnd"/>
      <w:r w:rsidRPr="00CE7CBF">
        <w:rPr>
          <w:color w:val="000000"/>
          <w:lang w:val="en-US" w:eastAsia="es-CR"/>
        </w:rPr>
        <w:t xml:space="preserve"> and </w:t>
      </w:r>
      <w:proofErr w:type="spellStart"/>
      <w:r w:rsidRPr="00CE7CBF">
        <w:rPr>
          <w:color w:val="000000"/>
          <w:lang w:val="en-US" w:eastAsia="es-CR"/>
        </w:rPr>
        <w:t>Lokono</w:t>
      </w:r>
      <w:proofErr w:type="spellEnd"/>
      <w:r w:rsidRPr="00CE7CBF">
        <w:rPr>
          <w:color w:val="000000"/>
          <w:lang w:val="en-US" w:eastAsia="es-CR"/>
        </w:rPr>
        <w:t xml:space="preserve"> peoples.  Moreover, no social and environmental impact assessment was made and the benefits of the mining project were not shared. Similarly, Suriname has not adopted mechanisms to ensure the above-mentioned safeguards. Consequently, </w:t>
      </w:r>
      <w:r w:rsidRPr="00CE7CBF">
        <w:rPr>
          <w:lang w:val="en-US"/>
        </w:rPr>
        <w:t xml:space="preserve">the State has violated Articles 21 and 23 of the Convention, in relation to Articles 1(1) and 2 of this instrument, to the detriment of the </w:t>
      </w:r>
      <w:proofErr w:type="spellStart"/>
      <w:r w:rsidRPr="00CE7CBF">
        <w:rPr>
          <w:lang w:val="en-US"/>
        </w:rPr>
        <w:t>Kaliña</w:t>
      </w:r>
      <w:proofErr w:type="spellEnd"/>
      <w:r w:rsidRPr="00CE7CBF">
        <w:rPr>
          <w:lang w:val="en-US"/>
        </w:rPr>
        <w:t xml:space="preserve"> and </w:t>
      </w:r>
      <w:proofErr w:type="spellStart"/>
      <w:r w:rsidRPr="00CE7CBF">
        <w:rPr>
          <w:lang w:val="en-US"/>
        </w:rPr>
        <w:t>Lokono</w:t>
      </w:r>
      <w:proofErr w:type="spellEnd"/>
      <w:r w:rsidRPr="00CE7CBF">
        <w:rPr>
          <w:lang w:val="en-US"/>
        </w:rPr>
        <w:t xml:space="preserve"> peoples and their members</w:t>
      </w:r>
      <w:r w:rsidR="00453715" w:rsidRPr="00CE7CBF">
        <w:rPr>
          <w:lang w:val="en-US"/>
        </w:rPr>
        <w:t xml:space="preserve">. </w:t>
      </w:r>
    </w:p>
    <w:p w14:paraId="4A0D2B09" w14:textId="77777777" w:rsidR="00453715" w:rsidRPr="00CE7CBF" w:rsidRDefault="00453715" w:rsidP="000B482D">
      <w:pPr>
        <w:pStyle w:val="ListParagraph"/>
        <w:ind w:left="0"/>
        <w:contextualSpacing/>
        <w:jc w:val="both"/>
        <w:rPr>
          <w:rFonts w:eastAsia="Batang"/>
          <w:lang w:val="en-US" w:eastAsia="es-MX"/>
        </w:rPr>
      </w:pPr>
    </w:p>
    <w:p w14:paraId="7638E7AF" w14:textId="64D0C96A" w:rsidR="004604DA" w:rsidRPr="00CE7CBF" w:rsidRDefault="00453715" w:rsidP="000B482D">
      <w:pPr>
        <w:pStyle w:val="ListParagraph"/>
        <w:ind w:left="0"/>
        <w:contextualSpacing/>
        <w:jc w:val="both"/>
        <w:rPr>
          <w:lang w:val="en-US"/>
        </w:rPr>
      </w:pPr>
      <w:r w:rsidRPr="00CE7CBF">
        <w:rPr>
          <w:rFonts w:eastAsia="Batang"/>
          <w:lang w:val="en-US" w:eastAsia="es-MX"/>
        </w:rPr>
        <w:t>Re</w:t>
      </w:r>
      <w:r w:rsidR="00E84784" w:rsidRPr="00CE7CBF">
        <w:rPr>
          <w:rFonts w:eastAsia="Batang"/>
          <w:lang w:val="en-US" w:eastAsia="es-MX"/>
        </w:rPr>
        <w:t>garding the remedies under domestic law to protect collective right</w:t>
      </w:r>
      <w:r w:rsidR="001744EA" w:rsidRPr="00CE7CBF">
        <w:rPr>
          <w:rFonts w:eastAsia="Batang"/>
          <w:lang w:val="en-US" w:eastAsia="es-MX"/>
        </w:rPr>
        <w:t xml:space="preserve">s, the Court </w:t>
      </w:r>
      <w:r w:rsidR="00427BDE">
        <w:rPr>
          <w:rFonts w:eastAsia="Batang"/>
          <w:lang w:val="en-US" w:eastAsia="es-MX"/>
        </w:rPr>
        <w:t>held</w:t>
      </w:r>
      <w:r w:rsidR="00427BDE" w:rsidRPr="00CE7CBF">
        <w:rPr>
          <w:rFonts w:eastAsia="Batang"/>
          <w:lang w:val="en-US" w:eastAsia="es-MX"/>
        </w:rPr>
        <w:t xml:space="preserve"> </w:t>
      </w:r>
      <w:r w:rsidR="001744EA" w:rsidRPr="00CE7CBF">
        <w:rPr>
          <w:rFonts w:eastAsia="Batang"/>
          <w:lang w:val="en-US" w:eastAsia="es-MX"/>
        </w:rPr>
        <w:t>that</w:t>
      </w:r>
      <w:r w:rsidR="00E84784" w:rsidRPr="00CE7CBF">
        <w:rPr>
          <w:rFonts w:eastAsia="Batang"/>
          <w:lang w:val="en-US" w:eastAsia="es-MX"/>
        </w:rPr>
        <w:t xml:space="preserve"> </w:t>
      </w:r>
      <w:r w:rsidR="001744EA" w:rsidRPr="00CE7CBF">
        <w:rPr>
          <w:lang w:val="en-US"/>
        </w:rPr>
        <w:t xml:space="preserve">the norms analyzed in this case do not include appropriate and effective administrative or judicial remedies establishing procedures </w:t>
      </w:r>
      <w:r w:rsidR="00217ECE">
        <w:rPr>
          <w:lang w:val="en-US"/>
        </w:rPr>
        <w:t>to protect</w:t>
      </w:r>
      <w:r w:rsidR="001744EA" w:rsidRPr="00CE7CBF">
        <w:rPr>
          <w:lang w:val="en-US"/>
        </w:rPr>
        <w:t xml:space="preserve"> the right to collective property of indigenous and tribal peoples. Thus, the Court found that pursuant to its case law, as well as other relevant international standards, domestic remedies should be interpreted and applied to ensure the human rights of the indigenous peoples, and</w:t>
      </w:r>
      <w:r w:rsidR="00427BDE">
        <w:rPr>
          <w:lang w:val="en-US"/>
        </w:rPr>
        <w:t xml:space="preserve"> it</w:t>
      </w:r>
      <w:r w:rsidR="001744EA" w:rsidRPr="00CE7CBF">
        <w:rPr>
          <w:lang w:val="en-US"/>
        </w:rPr>
        <w:t xml:space="preserve"> </w:t>
      </w:r>
      <w:r w:rsidR="00E67176" w:rsidRPr="00CE7CBF">
        <w:rPr>
          <w:lang w:val="en-US"/>
        </w:rPr>
        <w:t>specified</w:t>
      </w:r>
      <w:r w:rsidR="001744EA" w:rsidRPr="00CE7CBF">
        <w:rPr>
          <w:lang w:val="en-US"/>
        </w:rPr>
        <w:t xml:space="preserve"> various criteria on the matter. The Court also </w:t>
      </w:r>
      <w:r w:rsidR="00427BDE">
        <w:rPr>
          <w:lang w:val="en-US"/>
        </w:rPr>
        <w:t>found</w:t>
      </w:r>
      <w:r w:rsidR="00427BDE" w:rsidRPr="00CE7CBF">
        <w:rPr>
          <w:lang w:val="en-US"/>
        </w:rPr>
        <w:t xml:space="preserve"> </w:t>
      </w:r>
      <w:r w:rsidR="001744EA" w:rsidRPr="00CE7CBF">
        <w:rPr>
          <w:lang w:val="en-US"/>
        </w:rPr>
        <w:t>that the judicial proceedings and the petitions filed had not been effective and that the State had not provided the public information requeste</w:t>
      </w:r>
      <w:r w:rsidR="00E67176" w:rsidRPr="00CE7CBF">
        <w:rPr>
          <w:lang w:val="en-US"/>
        </w:rPr>
        <w:t>d</w:t>
      </w:r>
      <w:r w:rsidR="001744EA" w:rsidRPr="00CE7CBF">
        <w:rPr>
          <w:lang w:val="en-US"/>
        </w:rPr>
        <w:t xml:space="preserve"> by the representatives or justified the impossibility of handing </w:t>
      </w:r>
      <w:r w:rsidR="00427BDE">
        <w:rPr>
          <w:lang w:val="en-US"/>
        </w:rPr>
        <w:t>it</w:t>
      </w:r>
      <w:r w:rsidR="00427BDE" w:rsidRPr="00CE7CBF">
        <w:rPr>
          <w:lang w:val="en-US"/>
        </w:rPr>
        <w:t xml:space="preserve"> </w:t>
      </w:r>
      <w:r w:rsidR="001744EA" w:rsidRPr="00CE7CBF">
        <w:rPr>
          <w:lang w:val="en-US"/>
        </w:rPr>
        <w:t>over. Therefore, the State was found responsible for the violation of the right to judicial protection established in Article 25 of the American Convention, in relation to Articles 1(1), 2 and 13 of this instrument</w:t>
      </w:r>
      <w:r w:rsidR="004604DA" w:rsidRPr="00CE7CBF">
        <w:rPr>
          <w:lang w:val="en-US"/>
        </w:rPr>
        <w:t xml:space="preserve">. </w:t>
      </w:r>
    </w:p>
    <w:p w14:paraId="001D289A" w14:textId="77777777" w:rsidR="004604DA" w:rsidRPr="00CE7CBF" w:rsidRDefault="004604DA" w:rsidP="000B482D">
      <w:pPr>
        <w:pStyle w:val="ListParagraph"/>
        <w:ind w:left="0"/>
        <w:contextualSpacing/>
        <w:jc w:val="both"/>
        <w:rPr>
          <w:lang w:val="en-US"/>
        </w:rPr>
      </w:pPr>
    </w:p>
    <w:p w14:paraId="79AB515E" w14:textId="05F9D905" w:rsidR="004604DA" w:rsidRDefault="004604DA" w:rsidP="003115A4">
      <w:pPr>
        <w:pStyle w:val="NoSpacing"/>
        <w:numPr>
          <w:ilvl w:val="0"/>
          <w:numId w:val="1"/>
        </w:numPr>
        <w:jc w:val="both"/>
        <w:rPr>
          <w:rFonts w:ascii="Verdana" w:hAnsi="Verdana"/>
          <w:b/>
          <w:sz w:val="20"/>
          <w:szCs w:val="20"/>
        </w:rPr>
      </w:pPr>
      <w:r w:rsidRPr="00CE7CBF">
        <w:rPr>
          <w:rFonts w:ascii="Verdana" w:hAnsi="Verdana"/>
          <w:b/>
          <w:sz w:val="20"/>
          <w:szCs w:val="20"/>
        </w:rPr>
        <w:t>Repara</w:t>
      </w:r>
      <w:r w:rsidR="001744EA" w:rsidRPr="00CE7CBF">
        <w:rPr>
          <w:rFonts w:ascii="Verdana" w:hAnsi="Verdana"/>
          <w:b/>
          <w:sz w:val="20"/>
          <w:szCs w:val="20"/>
        </w:rPr>
        <w:t>tions</w:t>
      </w:r>
    </w:p>
    <w:p w14:paraId="5808057B" w14:textId="77777777" w:rsidR="008A0723" w:rsidRPr="00CE7CBF" w:rsidRDefault="008A0723" w:rsidP="000B482D">
      <w:pPr>
        <w:pStyle w:val="NoSpacing"/>
        <w:jc w:val="both"/>
        <w:rPr>
          <w:rFonts w:ascii="Verdana" w:hAnsi="Verdana"/>
          <w:b/>
          <w:sz w:val="20"/>
          <w:szCs w:val="20"/>
        </w:rPr>
      </w:pPr>
    </w:p>
    <w:p w14:paraId="273FD50F" w14:textId="234B7BA5" w:rsidR="0005554F" w:rsidRPr="00CE7CBF" w:rsidRDefault="00DC10FC" w:rsidP="000B482D">
      <w:pPr>
        <w:pStyle w:val="ListParagraph"/>
        <w:tabs>
          <w:tab w:val="left" w:pos="567"/>
          <w:tab w:val="left" w:pos="2128"/>
        </w:tabs>
        <w:ind w:left="0"/>
        <w:contextualSpacing/>
        <w:jc w:val="both"/>
        <w:rPr>
          <w:lang w:val="en-US"/>
        </w:rPr>
      </w:pPr>
      <w:r w:rsidRPr="00CE7CBF">
        <w:rPr>
          <w:rFonts w:eastAsia="Batang"/>
          <w:lang w:val="en-US" w:eastAsia="es-MX"/>
        </w:rPr>
        <w:t xml:space="preserve">With regard to the measures of integral reparation ordered in the judgment, the Court established that its judgment constituted, of itself, a form of reparation. It also </w:t>
      </w:r>
      <w:r w:rsidR="00E67176" w:rsidRPr="00CE7CBF">
        <w:rPr>
          <w:rFonts w:eastAsia="Batang"/>
          <w:lang w:val="en-US" w:eastAsia="es-MX"/>
        </w:rPr>
        <w:t>ordered that the State: (</w:t>
      </w:r>
      <w:proofErr w:type="spellStart"/>
      <w:r w:rsidR="00E67176" w:rsidRPr="00CE7CBF">
        <w:rPr>
          <w:rFonts w:eastAsia="Batang"/>
          <w:lang w:val="en-US" w:eastAsia="es-MX"/>
        </w:rPr>
        <w:t>i</w:t>
      </w:r>
      <w:proofErr w:type="spellEnd"/>
      <w:r w:rsidR="00E67176" w:rsidRPr="00CE7CBF">
        <w:rPr>
          <w:rFonts w:eastAsia="Batang"/>
          <w:lang w:val="en-US" w:eastAsia="es-MX"/>
        </w:rPr>
        <w:t>) as</w:t>
      </w:r>
      <w:r w:rsidRPr="00CE7CBF">
        <w:rPr>
          <w:rFonts w:eastAsia="Batang"/>
          <w:lang w:val="en-US" w:eastAsia="es-MX"/>
        </w:rPr>
        <w:t xml:space="preserve"> measures of </w:t>
      </w:r>
      <w:r w:rsidRPr="00CE7CBF">
        <w:rPr>
          <w:rFonts w:eastAsia="Batang"/>
          <w:i/>
          <w:lang w:val="en-US" w:eastAsia="es-MX"/>
        </w:rPr>
        <w:t>restitution</w:t>
      </w:r>
      <w:r w:rsidRPr="00CE7CBF">
        <w:rPr>
          <w:rFonts w:eastAsia="Batang"/>
          <w:lang w:val="en-US" w:eastAsia="es-MX"/>
        </w:rPr>
        <w:t xml:space="preserve">: (a) </w:t>
      </w:r>
      <w:r w:rsidRPr="00CE7CBF">
        <w:rPr>
          <w:rFonts w:eastAsia="MS Mincho" w:cs="Verdana"/>
          <w:w w:val="95"/>
          <w:lang w:val="en-US"/>
        </w:rPr>
        <w:t xml:space="preserve">grant </w:t>
      </w:r>
      <w:r w:rsidRPr="00CE7CBF">
        <w:rPr>
          <w:lang w:val="en-US"/>
        </w:rPr>
        <w:t xml:space="preserve">the </w:t>
      </w:r>
      <w:proofErr w:type="spellStart"/>
      <w:r w:rsidRPr="00CE7CBF">
        <w:rPr>
          <w:lang w:val="en-US"/>
        </w:rPr>
        <w:t>Kaliña</w:t>
      </w:r>
      <w:proofErr w:type="spellEnd"/>
      <w:r w:rsidRPr="00CE7CBF">
        <w:rPr>
          <w:lang w:val="en-US"/>
        </w:rPr>
        <w:t xml:space="preserve"> and </w:t>
      </w:r>
      <w:proofErr w:type="spellStart"/>
      <w:r w:rsidRPr="00CE7CBF">
        <w:rPr>
          <w:lang w:val="en-US"/>
        </w:rPr>
        <w:t>Lokono</w:t>
      </w:r>
      <w:proofErr w:type="spellEnd"/>
      <w:r w:rsidRPr="00CE7CBF">
        <w:rPr>
          <w:lang w:val="en-US"/>
        </w:rPr>
        <w:t xml:space="preserve"> peoples legal recognition of collective juridical personality; (b)</w:t>
      </w:r>
      <w:r w:rsidR="0005554F" w:rsidRPr="00CE7CBF">
        <w:rPr>
          <w:lang w:val="en-US"/>
        </w:rPr>
        <w:t xml:space="preserve"> </w:t>
      </w:r>
      <w:r w:rsidR="0005554F" w:rsidRPr="00CE7CBF">
        <w:rPr>
          <w:rFonts w:eastAsia="MS Mincho" w:cs="Verdana"/>
          <w:w w:val="95"/>
          <w:lang w:val="en-US"/>
        </w:rPr>
        <w:t xml:space="preserve">delimit, demarcate and grant collective title </w:t>
      </w:r>
      <w:r w:rsidR="0005554F" w:rsidRPr="00CE7CBF">
        <w:rPr>
          <w:lang w:val="en-US"/>
        </w:rPr>
        <w:t xml:space="preserve">to the territory of the members of the </w:t>
      </w:r>
      <w:proofErr w:type="spellStart"/>
      <w:r w:rsidR="0005554F" w:rsidRPr="00CE7CBF">
        <w:rPr>
          <w:lang w:val="en-US"/>
        </w:rPr>
        <w:t>Kaliña</w:t>
      </w:r>
      <w:proofErr w:type="spellEnd"/>
      <w:r w:rsidR="0005554F" w:rsidRPr="00CE7CBF">
        <w:rPr>
          <w:lang w:val="en-US"/>
        </w:rPr>
        <w:t xml:space="preserve"> and </w:t>
      </w:r>
      <w:proofErr w:type="spellStart"/>
      <w:r w:rsidR="0005554F" w:rsidRPr="00CE7CBF">
        <w:rPr>
          <w:lang w:val="en-US"/>
        </w:rPr>
        <w:t>Lokono</w:t>
      </w:r>
      <w:proofErr w:type="spellEnd"/>
      <w:r w:rsidR="0005554F" w:rsidRPr="00CE7CBF">
        <w:rPr>
          <w:lang w:val="en-US"/>
        </w:rPr>
        <w:t xml:space="preserve"> peoples, and ensure their effective use and enjoyment, taking into account the rights of other tribal peoples in the area; </w:t>
      </w:r>
      <w:r w:rsidR="0005554F" w:rsidRPr="001521B8">
        <w:rPr>
          <w:lang w:val="en-US"/>
        </w:rPr>
        <w:t xml:space="preserve">(c) </w:t>
      </w:r>
      <w:r w:rsidR="00074B4D" w:rsidRPr="00D218B4">
        <w:rPr>
          <w:lang w:val="en-US"/>
        </w:rPr>
        <w:t xml:space="preserve">determine the territorial rights of the </w:t>
      </w:r>
      <w:proofErr w:type="spellStart"/>
      <w:r w:rsidR="00074B4D" w:rsidRPr="00D218B4">
        <w:rPr>
          <w:lang w:val="en-US"/>
        </w:rPr>
        <w:t>Kaliña</w:t>
      </w:r>
      <w:proofErr w:type="spellEnd"/>
      <w:r w:rsidR="00074B4D" w:rsidRPr="00D218B4">
        <w:rPr>
          <w:lang w:val="en-US"/>
        </w:rPr>
        <w:t xml:space="preserve"> and </w:t>
      </w:r>
      <w:proofErr w:type="spellStart"/>
      <w:r w:rsidR="00074B4D" w:rsidRPr="00D218B4">
        <w:rPr>
          <w:lang w:val="en-US"/>
        </w:rPr>
        <w:t>Lokono</w:t>
      </w:r>
      <w:proofErr w:type="spellEnd"/>
      <w:r w:rsidR="00074B4D" w:rsidRPr="00D218B4">
        <w:rPr>
          <w:lang w:val="en-US"/>
        </w:rPr>
        <w:t xml:space="preserve"> </w:t>
      </w:r>
      <w:r w:rsidR="00074B4D" w:rsidRPr="00D218B4">
        <w:rPr>
          <w:lang w:val="en-US"/>
        </w:rPr>
        <w:lastRenderedPageBreak/>
        <w:t xml:space="preserve">peoples </w:t>
      </w:r>
      <w:r w:rsidR="0005554F" w:rsidRPr="001521B8">
        <w:rPr>
          <w:lang w:val="en-US"/>
        </w:rPr>
        <w:t xml:space="preserve">in cases in which the land claimed is owned by </w:t>
      </w:r>
      <w:r w:rsidR="001521B8" w:rsidRPr="00D218B4">
        <w:rPr>
          <w:lang w:val="en-US"/>
        </w:rPr>
        <w:t xml:space="preserve">the State or </w:t>
      </w:r>
      <w:r w:rsidR="00074B4D" w:rsidRPr="00D218B4">
        <w:rPr>
          <w:lang w:val="en-US"/>
        </w:rPr>
        <w:t xml:space="preserve">by </w:t>
      </w:r>
      <w:r w:rsidR="001521B8" w:rsidRPr="00D218B4">
        <w:rPr>
          <w:lang w:val="en-US"/>
        </w:rPr>
        <w:t>non-indigenous and</w:t>
      </w:r>
      <w:r w:rsidR="00074B4D" w:rsidRPr="00D218B4">
        <w:rPr>
          <w:lang w:val="en-US"/>
        </w:rPr>
        <w:t xml:space="preserve"> non-tribal </w:t>
      </w:r>
      <w:r w:rsidR="0005554F" w:rsidRPr="001521B8">
        <w:rPr>
          <w:lang w:val="en-US"/>
        </w:rPr>
        <w:t>third parties</w:t>
      </w:r>
      <w:r w:rsidR="001521B8" w:rsidRPr="00D218B4">
        <w:rPr>
          <w:lang w:val="en-US"/>
        </w:rPr>
        <w:t>, whet</w:t>
      </w:r>
      <w:r w:rsidR="00427BDE">
        <w:rPr>
          <w:lang w:val="en-US"/>
        </w:rPr>
        <w:t>h</w:t>
      </w:r>
      <w:r w:rsidR="001521B8" w:rsidRPr="00D218B4">
        <w:rPr>
          <w:lang w:val="en-US"/>
        </w:rPr>
        <w:t>er natural or legal persons</w:t>
      </w:r>
      <w:r w:rsidR="0005554F" w:rsidRPr="001521B8">
        <w:rPr>
          <w:lang w:val="en-US"/>
        </w:rPr>
        <w:t>;</w:t>
      </w:r>
      <w:r w:rsidR="00074B4D" w:rsidRPr="001521B8">
        <w:rPr>
          <w:lang w:val="en-US"/>
        </w:rPr>
        <w:t xml:space="preserve"> </w:t>
      </w:r>
      <w:r w:rsidR="0005554F" w:rsidRPr="001521B8">
        <w:rPr>
          <w:lang w:val="en-US"/>
        </w:rPr>
        <w:t>(d</w:t>
      </w:r>
      <w:r w:rsidR="0005554F" w:rsidRPr="00CE7CBF">
        <w:rPr>
          <w:lang w:val="en-US"/>
        </w:rPr>
        <w:t xml:space="preserve">) take the appropriate measures to ensure the access, use and participation </w:t>
      </w:r>
      <w:r w:rsidR="0005554F" w:rsidRPr="00CE7CBF">
        <w:rPr>
          <w:rFonts w:cs="Arial"/>
          <w:lang w:val="en-US"/>
        </w:rPr>
        <w:t xml:space="preserve">of the </w:t>
      </w:r>
      <w:proofErr w:type="spellStart"/>
      <w:r w:rsidR="0005554F" w:rsidRPr="00CE7CBF">
        <w:rPr>
          <w:rFonts w:cs="Arial"/>
          <w:lang w:val="en-US"/>
        </w:rPr>
        <w:t>Kaliña</w:t>
      </w:r>
      <w:proofErr w:type="spellEnd"/>
      <w:r w:rsidR="0005554F" w:rsidRPr="00CE7CBF">
        <w:rPr>
          <w:rFonts w:cs="Arial"/>
          <w:lang w:val="en-US"/>
        </w:rPr>
        <w:t xml:space="preserve"> and </w:t>
      </w:r>
      <w:proofErr w:type="spellStart"/>
      <w:r w:rsidR="0005554F" w:rsidRPr="00CE7CBF">
        <w:rPr>
          <w:rFonts w:cs="Arial"/>
          <w:lang w:val="en-US"/>
        </w:rPr>
        <w:t>Lokono</w:t>
      </w:r>
      <w:proofErr w:type="spellEnd"/>
      <w:r w:rsidR="0005554F" w:rsidRPr="00CE7CBF">
        <w:rPr>
          <w:rFonts w:cs="Arial"/>
          <w:lang w:val="en-US"/>
        </w:rPr>
        <w:t xml:space="preserve"> peoples</w:t>
      </w:r>
      <w:r w:rsidR="0005554F" w:rsidRPr="00CE7CBF">
        <w:rPr>
          <w:lang w:val="en-US"/>
        </w:rPr>
        <w:t xml:space="preserve"> in the </w:t>
      </w:r>
      <w:proofErr w:type="spellStart"/>
      <w:r w:rsidR="0005554F" w:rsidRPr="00CE7CBF">
        <w:rPr>
          <w:rFonts w:cs="Arial"/>
          <w:lang w:val="en-US"/>
        </w:rPr>
        <w:t>Galibi</w:t>
      </w:r>
      <w:proofErr w:type="spellEnd"/>
      <w:r w:rsidR="0005554F" w:rsidRPr="00CE7CBF">
        <w:rPr>
          <w:rFonts w:cs="Arial"/>
          <w:lang w:val="en-US"/>
        </w:rPr>
        <w:t xml:space="preserve"> and Wane Kreek Nature Reserves; (e) </w:t>
      </w:r>
      <w:r w:rsidR="0005554F" w:rsidRPr="00CE7CBF">
        <w:rPr>
          <w:lang w:val="en-US"/>
        </w:rPr>
        <w:t xml:space="preserve">take the necessary measures to ensure that no activities are carried out that could have an impact on the traditional territory, in particular in the Wane Kreek Nature Reserve, while the above-mentioned processes for the effective participation of the </w:t>
      </w:r>
      <w:proofErr w:type="spellStart"/>
      <w:r w:rsidR="0005554F" w:rsidRPr="00CE7CBF">
        <w:rPr>
          <w:lang w:val="en-US"/>
        </w:rPr>
        <w:t>Kaliña</w:t>
      </w:r>
      <w:proofErr w:type="spellEnd"/>
      <w:r w:rsidR="0005554F" w:rsidRPr="00CE7CBF">
        <w:rPr>
          <w:lang w:val="en-US"/>
        </w:rPr>
        <w:t xml:space="preserve"> and </w:t>
      </w:r>
      <w:proofErr w:type="spellStart"/>
      <w:r w:rsidR="0005554F" w:rsidRPr="00CE7CBF">
        <w:rPr>
          <w:lang w:val="en-US"/>
        </w:rPr>
        <w:t>Lokono</w:t>
      </w:r>
      <w:proofErr w:type="spellEnd"/>
      <w:r w:rsidR="0005554F" w:rsidRPr="00CE7CBF">
        <w:rPr>
          <w:lang w:val="en-US"/>
        </w:rPr>
        <w:t xml:space="preserve"> peoples have not been guaranteed, and (f) implement the necessary inter-institutional coordination mechanisms in order to ensure that the measures established are effective; (</w:t>
      </w:r>
      <w:r w:rsidR="004604DA" w:rsidRPr="00CE7CBF">
        <w:rPr>
          <w:lang w:val="en-US"/>
        </w:rPr>
        <w:t xml:space="preserve">ii) </w:t>
      </w:r>
      <w:r w:rsidR="0005554F" w:rsidRPr="00CE7CBF">
        <w:rPr>
          <w:lang w:val="en-US"/>
        </w:rPr>
        <w:t>as a measure of</w:t>
      </w:r>
      <w:r w:rsidR="004604DA" w:rsidRPr="00CE7CBF">
        <w:rPr>
          <w:lang w:val="en-US"/>
        </w:rPr>
        <w:t xml:space="preserve"> </w:t>
      </w:r>
      <w:r w:rsidR="0005554F" w:rsidRPr="00CE7CBF">
        <w:rPr>
          <w:i/>
          <w:lang w:val="en-US"/>
        </w:rPr>
        <w:t>r</w:t>
      </w:r>
      <w:r w:rsidR="004604DA" w:rsidRPr="00CE7CBF">
        <w:rPr>
          <w:i/>
          <w:lang w:val="en-US"/>
        </w:rPr>
        <w:t>ehabilit</w:t>
      </w:r>
      <w:r w:rsidR="0005554F" w:rsidRPr="00CE7CBF">
        <w:rPr>
          <w:i/>
          <w:lang w:val="en-US"/>
        </w:rPr>
        <w:t>ation</w:t>
      </w:r>
      <w:r w:rsidR="004604DA" w:rsidRPr="00CE7CBF">
        <w:rPr>
          <w:lang w:val="en-US"/>
        </w:rPr>
        <w:t xml:space="preserve">, </w:t>
      </w:r>
      <w:r w:rsidR="009F09D1" w:rsidRPr="00CE7CBF">
        <w:rPr>
          <w:lang w:val="en-US"/>
        </w:rPr>
        <w:t>imp</w:t>
      </w:r>
      <w:r w:rsidR="0005554F" w:rsidRPr="00CE7CBF">
        <w:rPr>
          <w:lang w:val="en-US"/>
        </w:rPr>
        <w:t>lement the sufficient and necessary measures to rehabilitate the affected area in the Wane Kreek Nature Reserve</w:t>
      </w:r>
      <w:r w:rsidR="004604DA" w:rsidRPr="00CE7CBF">
        <w:rPr>
          <w:lang w:val="en-US"/>
        </w:rPr>
        <w:t xml:space="preserve">; </w:t>
      </w:r>
      <w:r w:rsidR="009F09D1" w:rsidRPr="00CE7CBF">
        <w:rPr>
          <w:lang w:val="en-US"/>
        </w:rPr>
        <w:t>(</w:t>
      </w:r>
      <w:r w:rsidR="004604DA" w:rsidRPr="00CE7CBF">
        <w:rPr>
          <w:lang w:val="en-US"/>
        </w:rPr>
        <w:t>i</w:t>
      </w:r>
      <w:r w:rsidR="00116E9B" w:rsidRPr="00CE7CBF">
        <w:rPr>
          <w:lang w:val="en-US"/>
        </w:rPr>
        <w:t>ii</w:t>
      </w:r>
      <w:r w:rsidR="004604DA" w:rsidRPr="00CE7CBF">
        <w:rPr>
          <w:lang w:val="en-US"/>
        </w:rPr>
        <w:t xml:space="preserve">) </w:t>
      </w:r>
      <w:r w:rsidR="0005554F" w:rsidRPr="00CE7CBF">
        <w:rPr>
          <w:lang w:val="en-US"/>
        </w:rPr>
        <w:t>as</w:t>
      </w:r>
      <w:r w:rsidR="004604DA" w:rsidRPr="00CE7CBF">
        <w:rPr>
          <w:lang w:val="en-US"/>
        </w:rPr>
        <w:t xml:space="preserve"> </w:t>
      </w:r>
      <w:r w:rsidR="0005554F" w:rsidRPr="00CE7CBF">
        <w:rPr>
          <w:i/>
          <w:lang w:val="en-US"/>
        </w:rPr>
        <w:t>collective compensation</w:t>
      </w:r>
      <w:r w:rsidR="004604DA" w:rsidRPr="00CE7CBF">
        <w:rPr>
          <w:lang w:val="en-US"/>
        </w:rPr>
        <w:t xml:space="preserve">, </w:t>
      </w:r>
      <w:r w:rsidR="0005554F" w:rsidRPr="00CE7CBF">
        <w:rPr>
          <w:rFonts w:cs="Verdana"/>
          <w:lang w:val="en-US"/>
        </w:rPr>
        <w:t xml:space="preserve">create a community development fund for the members of the </w:t>
      </w:r>
      <w:proofErr w:type="spellStart"/>
      <w:r w:rsidR="0005554F" w:rsidRPr="00CE7CBF">
        <w:rPr>
          <w:rFonts w:cs="Verdana"/>
          <w:lang w:val="en-US"/>
        </w:rPr>
        <w:t>Kaliña</w:t>
      </w:r>
      <w:proofErr w:type="spellEnd"/>
      <w:r w:rsidR="0005554F" w:rsidRPr="00CE7CBF">
        <w:rPr>
          <w:rFonts w:cs="Verdana"/>
          <w:lang w:val="en-US"/>
        </w:rPr>
        <w:t xml:space="preserve"> and </w:t>
      </w:r>
      <w:proofErr w:type="spellStart"/>
      <w:r w:rsidR="0005554F" w:rsidRPr="00CE7CBF">
        <w:rPr>
          <w:rFonts w:cs="Verdana"/>
          <w:lang w:val="en-US"/>
        </w:rPr>
        <w:t>Lokono</w:t>
      </w:r>
      <w:proofErr w:type="spellEnd"/>
      <w:r w:rsidR="0005554F" w:rsidRPr="00CE7CBF">
        <w:rPr>
          <w:rFonts w:cs="Verdana"/>
          <w:lang w:val="en-US"/>
        </w:rPr>
        <w:t xml:space="preserve"> peoples</w:t>
      </w:r>
      <w:r w:rsidR="004604DA" w:rsidRPr="00CE7CBF">
        <w:rPr>
          <w:rFonts w:cs="Verdana"/>
          <w:lang w:val="en-US"/>
        </w:rPr>
        <w:t xml:space="preserve">; </w:t>
      </w:r>
      <w:r w:rsidR="009F09D1" w:rsidRPr="00CE7CBF">
        <w:rPr>
          <w:rFonts w:cs="Verdana"/>
          <w:lang w:val="en-US"/>
        </w:rPr>
        <w:t>(</w:t>
      </w:r>
      <w:r w:rsidR="00116E9B" w:rsidRPr="00CE7CBF">
        <w:rPr>
          <w:rFonts w:cs="Verdana"/>
          <w:lang w:val="en-US"/>
        </w:rPr>
        <w:t>i</w:t>
      </w:r>
      <w:r w:rsidR="004604DA" w:rsidRPr="00CE7CBF">
        <w:rPr>
          <w:rFonts w:cs="Verdana"/>
          <w:lang w:val="en-US"/>
        </w:rPr>
        <w:t xml:space="preserve">v) </w:t>
      </w:r>
      <w:r w:rsidR="0005554F" w:rsidRPr="00CE7CBF">
        <w:rPr>
          <w:spacing w:val="-2"/>
          <w:lang w:val="en-US"/>
        </w:rPr>
        <w:t>as measures of</w:t>
      </w:r>
      <w:r w:rsidR="004604DA" w:rsidRPr="00CE7CBF">
        <w:rPr>
          <w:spacing w:val="-2"/>
          <w:lang w:val="en-US"/>
        </w:rPr>
        <w:t xml:space="preserve"> </w:t>
      </w:r>
      <w:r w:rsidR="0005554F" w:rsidRPr="00CE7CBF">
        <w:rPr>
          <w:i/>
          <w:spacing w:val="-2"/>
          <w:lang w:val="en-US"/>
        </w:rPr>
        <w:t>satisfactio</w:t>
      </w:r>
      <w:r w:rsidR="004604DA" w:rsidRPr="00CE7CBF">
        <w:rPr>
          <w:i/>
          <w:spacing w:val="-2"/>
          <w:lang w:val="en-US"/>
        </w:rPr>
        <w:t xml:space="preserve">n, </w:t>
      </w:r>
      <w:r w:rsidR="00427BDE" w:rsidRPr="00D218B4">
        <w:rPr>
          <w:rFonts w:eastAsia="MS Mincho" w:cs="Verdana"/>
          <w:w w:val="95"/>
          <w:lang w:val="en-US"/>
        </w:rPr>
        <w:t>issued</w:t>
      </w:r>
      <w:r w:rsidR="0005554F" w:rsidRPr="00CE7CBF">
        <w:rPr>
          <w:rFonts w:eastAsia="MS Mincho" w:cs="Verdana"/>
          <w:w w:val="95"/>
          <w:lang w:val="en-US"/>
        </w:rPr>
        <w:t xml:space="preserve"> the publications and the radio broadcast</w:t>
      </w:r>
      <w:r w:rsidR="004604DA" w:rsidRPr="00CE7CBF">
        <w:rPr>
          <w:lang w:val="en-US"/>
        </w:rPr>
        <w:t xml:space="preserve">; </w:t>
      </w:r>
      <w:r w:rsidR="0005554F" w:rsidRPr="00CE7CBF">
        <w:rPr>
          <w:lang w:val="en-US"/>
        </w:rPr>
        <w:t>(</w:t>
      </w:r>
      <w:r w:rsidR="004604DA" w:rsidRPr="00CE7CBF">
        <w:rPr>
          <w:lang w:val="en-US"/>
        </w:rPr>
        <w:t xml:space="preserve">v) </w:t>
      </w:r>
      <w:r w:rsidR="0005554F" w:rsidRPr="00CE7CBF">
        <w:rPr>
          <w:spacing w:val="-2"/>
          <w:lang w:val="en-US"/>
        </w:rPr>
        <w:t>as</w:t>
      </w:r>
      <w:r w:rsidR="004604DA" w:rsidRPr="00CE7CBF">
        <w:rPr>
          <w:spacing w:val="-2"/>
          <w:lang w:val="en-US"/>
        </w:rPr>
        <w:t xml:space="preserve"> </w:t>
      </w:r>
      <w:r w:rsidR="0005554F" w:rsidRPr="00CE7CBF">
        <w:rPr>
          <w:i/>
          <w:spacing w:val="-2"/>
          <w:lang w:val="en-US"/>
        </w:rPr>
        <w:t>guarantees of</w:t>
      </w:r>
      <w:r w:rsidR="004604DA" w:rsidRPr="00CE7CBF">
        <w:rPr>
          <w:i/>
          <w:spacing w:val="-2"/>
          <w:lang w:val="en-US"/>
        </w:rPr>
        <w:t xml:space="preserve"> no</w:t>
      </w:r>
      <w:r w:rsidR="0005554F" w:rsidRPr="00CE7CBF">
        <w:rPr>
          <w:i/>
          <w:spacing w:val="-2"/>
          <w:lang w:val="en-US"/>
        </w:rPr>
        <w:t>n-repetitio</w:t>
      </w:r>
      <w:r w:rsidR="004604DA" w:rsidRPr="00CE7CBF">
        <w:rPr>
          <w:i/>
          <w:spacing w:val="-2"/>
          <w:lang w:val="en-US"/>
        </w:rPr>
        <w:t xml:space="preserve">n, </w:t>
      </w:r>
      <w:r w:rsidR="0005554F" w:rsidRPr="00CE7CBF">
        <w:rPr>
          <w:lang w:val="en-US"/>
        </w:rPr>
        <w:t xml:space="preserve">take the necessary measures </w:t>
      </w:r>
      <w:r w:rsidR="009F09D1" w:rsidRPr="00CE7CBF">
        <w:rPr>
          <w:lang w:val="en-US"/>
        </w:rPr>
        <w:t>in favor of</w:t>
      </w:r>
      <w:r w:rsidR="0005554F" w:rsidRPr="00CE7CBF">
        <w:rPr>
          <w:lang w:val="en-US"/>
        </w:rPr>
        <w:t xml:space="preserve"> the indigenous and tribal peoples in Suriname to: (</w:t>
      </w:r>
      <w:r w:rsidR="004604DA" w:rsidRPr="00CE7CBF">
        <w:rPr>
          <w:spacing w:val="-2"/>
          <w:lang w:val="en-US"/>
        </w:rPr>
        <w:t xml:space="preserve">a) </w:t>
      </w:r>
      <w:r w:rsidR="009F09D1" w:rsidRPr="00CE7CBF">
        <w:rPr>
          <w:lang w:val="en-US"/>
        </w:rPr>
        <w:t>recognize</w:t>
      </w:r>
      <w:r w:rsidR="0005554F" w:rsidRPr="00CE7CBF">
        <w:rPr>
          <w:lang w:val="en-US"/>
        </w:rPr>
        <w:t xml:space="preserve"> collective juridical personality</w:t>
      </w:r>
      <w:r w:rsidR="0096718D" w:rsidRPr="00CE7CBF">
        <w:rPr>
          <w:lang w:val="en-US"/>
        </w:rPr>
        <w:t>;</w:t>
      </w:r>
      <w:r w:rsidR="004604DA" w:rsidRPr="00CE7CBF">
        <w:rPr>
          <w:lang w:val="en-US"/>
        </w:rPr>
        <w:t xml:space="preserve"> </w:t>
      </w:r>
      <w:r w:rsidR="0005554F" w:rsidRPr="00CE7CBF">
        <w:rPr>
          <w:lang w:val="en-US"/>
        </w:rPr>
        <w:t>(</w:t>
      </w:r>
      <w:r w:rsidR="0096718D" w:rsidRPr="00CE7CBF">
        <w:rPr>
          <w:lang w:val="en-US"/>
        </w:rPr>
        <w:t xml:space="preserve">b) </w:t>
      </w:r>
      <w:r w:rsidR="0005554F" w:rsidRPr="00CE7CBF">
        <w:rPr>
          <w:lang w:val="en-US"/>
        </w:rPr>
        <w:t>establish an effective mechanism for delimiting, demarcating and titling their territories</w:t>
      </w:r>
      <w:r w:rsidR="0096718D" w:rsidRPr="00CE7CBF">
        <w:rPr>
          <w:lang w:val="en-US"/>
        </w:rPr>
        <w:t xml:space="preserve">; </w:t>
      </w:r>
      <w:r w:rsidR="0005554F" w:rsidRPr="00CE7CBF">
        <w:rPr>
          <w:lang w:val="en-US"/>
        </w:rPr>
        <w:t>(</w:t>
      </w:r>
      <w:r w:rsidR="0096718D" w:rsidRPr="00CE7CBF">
        <w:rPr>
          <w:lang w:val="en-US"/>
        </w:rPr>
        <w:t xml:space="preserve">c) </w:t>
      </w:r>
      <w:r w:rsidR="0005554F" w:rsidRPr="00CE7CBF">
        <w:rPr>
          <w:rFonts w:cs="Verdana"/>
          <w:lang w:val="en-US"/>
        </w:rPr>
        <w:t>establish domestic remedies, or adapt those that exist, in order to ensure effective collective access to justice</w:t>
      </w:r>
      <w:r w:rsidR="0005554F" w:rsidRPr="00CE7CBF">
        <w:rPr>
          <w:lang w:val="en-US"/>
        </w:rPr>
        <w:t xml:space="preserve">; (d) ensure </w:t>
      </w:r>
      <w:r w:rsidR="0005554F" w:rsidRPr="00CE7CBF">
        <w:rPr>
          <w:rFonts w:cs="Verdana"/>
          <w:lang w:val="en-US"/>
        </w:rPr>
        <w:t xml:space="preserve">effective participation processes for these peoples, </w:t>
      </w:r>
      <w:r w:rsidR="0005554F" w:rsidRPr="00CE7CBF">
        <w:rPr>
          <w:lang w:val="en-US"/>
        </w:rPr>
        <w:t>the execution of social and environmental impact assessments, and the distribution of benefits</w:t>
      </w:r>
      <w:r w:rsidR="00427BDE">
        <w:rPr>
          <w:lang w:val="en-US"/>
        </w:rPr>
        <w:t>;</w:t>
      </w:r>
      <w:r w:rsidR="0005554F" w:rsidRPr="00CE7CBF">
        <w:rPr>
          <w:lang w:val="en-US"/>
        </w:rPr>
        <w:t xml:space="preserve"> and (e) implement permanent programs or courses on the human rights of the indigenous and tribal peoples; (v</w:t>
      </w:r>
      <w:r w:rsidR="00427BDE">
        <w:rPr>
          <w:lang w:val="en-US"/>
        </w:rPr>
        <w:t>i</w:t>
      </w:r>
      <w:r w:rsidR="0005554F" w:rsidRPr="00CE7CBF">
        <w:rPr>
          <w:lang w:val="en-US"/>
        </w:rPr>
        <w:t>)</w:t>
      </w:r>
      <w:r w:rsidR="001521B8">
        <w:rPr>
          <w:lang w:val="en-US"/>
        </w:rPr>
        <w:t xml:space="preserve"> </w:t>
      </w:r>
      <w:r w:rsidR="0005554F" w:rsidRPr="00CE7CBF">
        <w:rPr>
          <w:lang w:val="en-US"/>
        </w:rPr>
        <w:t>reimburse costs and expenses.</w:t>
      </w:r>
    </w:p>
    <w:p w14:paraId="6A7E3526" w14:textId="77777777" w:rsidR="004604DA" w:rsidRPr="00CE7CBF" w:rsidRDefault="004604DA" w:rsidP="000B482D">
      <w:pPr>
        <w:pStyle w:val="NoSpacing"/>
        <w:jc w:val="both"/>
        <w:rPr>
          <w:rFonts w:ascii="Verdana" w:eastAsia="Batang" w:hAnsi="Verdana"/>
          <w:sz w:val="20"/>
          <w:szCs w:val="20"/>
          <w:lang w:eastAsia="es-MX"/>
        </w:rPr>
      </w:pPr>
    </w:p>
    <w:p w14:paraId="2A154827" w14:textId="2E0E9C42" w:rsidR="0005554F" w:rsidRPr="00CE7CBF" w:rsidRDefault="00A37514" w:rsidP="000B482D">
      <w:pPr>
        <w:pStyle w:val="ListParagraph"/>
        <w:tabs>
          <w:tab w:val="left" w:pos="567"/>
          <w:tab w:val="left" w:pos="2128"/>
        </w:tabs>
        <w:ind w:left="0"/>
        <w:jc w:val="both"/>
        <w:rPr>
          <w:lang w:val="en-US"/>
        </w:rPr>
      </w:pPr>
      <w:r w:rsidRPr="00CE7CBF">
        <w:rPr>
          <w:lang w:val="en-US"/>
        </w:rPr>
        <w:t>The Court</w:t>
      </w:r>
      <w:r w:rsidR="004604DA" w:rsidRPr="00CE7CBF">
        <w:rPr>
          <w:lang w:val="en-US"/>
        </w:rPr>
        <w:t xml:space="preserve"> </w:t>
      </w:r>
      <w:r w:rsidR="0005554F" w:rsidRPr="00CE7CBF">
        <w:rPr>
          <w:lang w:val="en-US"/>
        </w:rPr>
        <w:t>will monitor full compliance with the Judgment, in execution of its authority and in compliance with its obligations under the American Convention on Human Rights, and will consider this case concluded when the State has complied fully with its provisions</w:t>
      </w:r>
      <w:r w:rsidR="00B07819">
        <w:rPr>
          <w:lang w:val="en-US"/>
        </w:rPr>
        <w:t>.</w:t>
      </w:r>
    </w:p>
    <w:p w14:paraId="46C72164" w14:textId="77777777" w:rsidR="008A0723" w:rsidRPr="00CE7CBF" w:rsidRDefault="008A0723" w:rsidP="000B482D">
      <w:pPr>
        <w:pStyle w:val="ListParagraph"/>
        <w:tabs>
          <w:tab w:val="left" w:pos="567"/>
          <w:tab w:val="left" w:pos="2128"/>
        </w:tabs>
        <w:ind w:left="0"/>
        <w:jc w:val="both"/>
        <w:rPr>
          <w:rFonts w:cs="Verdana"/>
          <w:spacing w:val="-2"/>
          <w:lang w:val="en-US"/>
        </w:rPr>
      </w:pPr>
    </w:p>
    <w:p w14:paraId="77564BBE" w14:textId="1D210A34" w:rsidR="009E4B3C" w:rsidRPr="00CE7CBF" w:rsidRDefault="0005554F" w:rsidP="000B482D">
      <w:pPr>
        <w:pStyle w:val="NoSpacing"/>
        <w:jc w:val="both"/>
        <w:rPr>
          <w:rFonts w:ascii="Verdana" w:hAnsi="Verdana"/>
          <w:sz w:val="20"/>
          <w:szCs w:val="20"/>
        </w:rPr>
      </w:pPr>
      <w:r w:rsidRPr="00CE7CBF">
        <w:rPr>
          <w:rFonts w:ascii="Verdana" w:eastAsia="Batang" w:hAnsi="Verdana"/>
          <w:sz w:val="20"/>
          <w:szCs w:val="20"/>
          <w:lang w:eastAsia="es-MX"/>
        </w:rPr>
        <w:t xml:space="preserve">The complete text of the judgment may be consulted at the following link: </w:t>
      </w:r>
      <w:hyperlink r:id="rId12" w:history="1">
        <w:r w:rsidR="003C1E30" w:rsidRPr="00CE7CBF">
          <w:rPr>
            <w:rStyle w:val="Hyperlink"/>
            <w:rFonts w:ascii="Verdana" w:hAnsi="Verdana"/>
            <w:sz w:val="20"/>
            <w:szCs w:val="20"/>
          </w:rPr>
          <w:t>http://www.corteidh.or.cr/casos.cfm</w:t>
        </w:r>
      </w:hyperlink>
      <w:r w:rsidR="003C1E30" w:rsidRPr="00CE7CBF">
        <w:rPr>
          <w:rFonts w:ascii="Verdana" w:hAnsi="Verdana"/>
          <w:sz w:val="20"/>
          <w:szCs w:val="20"/>
        </w:rPr>
        <w:t>.</w:t>
      </w:r>
    </w:p>
    <w:sectPr w:rsidR="009E4B3C" w:rsidRPr="00CE7CBF" w:rsidSect="000B1FD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31FA" w14:textId="77777777" w:rsidR="00E51510" w:rsidRDefault="00E51510" w:rsidP="00001198">
      <w:pPr>
        <w:spacing w:after="0" w:line="240" w:lineRule="auto"/>
      </w:pPr>
      <w:r>
        <w:separator/>
      </w:r>
    </w:p>
  </w:endnote>
  <w:endnote w:type="continuationSeparator" w:id="0">
    <w:p w14:paraId="32883B0E" w14:textId="77777777" w:rsidR="00E51510" w:rsidRDefault="00E51510" w:rsidP="0000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01264"/>
      <w:docPartObj>
        <w:docPartGallery w:val="Page Numbers (Bottom of Page)"/>
        <w:docPartUnique/>
      </w:docPartObj>
    </w:sdtPr>
    <w:sdtEndPr>
      <w:rPr>
        <w:rFonts w:ascii="Verdana" w:hAnsi="Verdana"/>
        <w:sz w:val="20"/>
        <w:szCs w:val="20"/>
      </w:rPr>
    </w:sdtEndPr>
    <w:sdtContent>
      <w:p w14:paraId="411F0FAE" w14:textId="77777777" w:rsidR="00F311AE" w:rsidRPr="000B1FD2" w:rsidRDefault="00F311AE">
        <w:pPr>
          <w:pStyle w:val="Footer"/>
          <w:jc w:val="center"/>
          <w:rPr>
            <w:rFonts w:ascii="Verdana" w:hAnsi="Verdana"/>
            <w:sz w:val="20"/>
            <w:szCs w:val="20"/>
          </w:rPr>
        </w:pPr>
        <w:r w:rsidRPr="000B1FD2">
          <w:rPr>
            <w:rFonts w:ascii="Verdana" w:hAnsi="Verdana"/>
            <w:sz w:val="20"/>
            <w:szCs w:val="20"/>
          </w:rPr>
          <w:fldChar w:fldCharType="begin"/>
        </w:r>
        <w:r w:rsidRPr="000B1FD2">
          <w:rPr>
            <w:rFonts w:ascii="Verdana" w:hAnsi="Verdana"/>
            <w:sz w:val="20"/>
            <w:szCs w:val="20"/>
          </w:rPr>
          <w:instrText>PAGE   \* MERGEFORMAT</w:instrText>
        </w:r>
        <w:r w:rsidRPr="000B1FD2">
          <w:rPr>
            <w:rFonts w:ascii="Verdana" w:hAnsi="Verdana"/>
            <w:sz w:val="20"/>
            <w:szCs w:val="20"/>
          </w:rPr>
          <w:fldChar w:fldCharType="separate"/>
        </w:r>
        <w:r w:rsidR="00F65BA3" w:rsidRPr="00F65BA3">
          <w:rPr>
            <w:rFonts w:ascii="Verdana" w:hAnsi="Verdana"/>
            <w:noProof/>
            <w:sz w:val="20"/>
            <w:szCs w:val="20"/>
            <w:lang w:val="es-ES"/>
          </w:rPr>
          <w:t>5</w:t>
        </w:r>
        <w:r w:rsidRPr="000B1FD2">
          <w:rPr>
            <w:rFonts w:ascii="Verdana" w:hAnsi="Verdana"/>
            <w:sz w:val="20"/>
            <w:szCs w:val="20"/>
          </w:rPr>
          <w:fldChar w:fldCharType="end"/>
        </w:r>
      </w:p>
    </w:sdtContent>
  </w:sdt>
  <w:p w14:paraId="5FA96D89" w14:textId="77777777" w:rsidR="00F311AE" w:rsidRDefault="00F3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71398" w14:textId="77777777" w:rsidR="00E51510" w:rsidRDefault="00E51510" w:rsidP="00001198">
      <w:pPr>
        <w:spacing w:after="0" w:line="240" w:lineRule="auto"/>
      </w:pPr>
      <w:r>
        <w:separator/>
      </w:r>
    </w:p>
  </w:footnote>
  <w:footnote w:type="continuationSeparator" w:id="0">
    <w:p w14:paraId="01F83DFC" w14:textId="77777777" w:rsidR="00E51510" w:rsidRDefault="00E51510" w:rsidP="00001198">
      <w:pPr>
        <w:spacing w:after="0" w:line="240" w:lineRule="auto"/>
      </w:pPr>
      <w:r>
        <w:continuationSeparator/>
      </w:r>
    </w:p>
  </w:footnote>
  <w:footnote w:id="1">
    <w:p w14:paraId="1FE5A85B" w14:textId="3C91140D" w:rsidR="00F311AE" w:rsidRPr="00F5707A" w:rsidRDefault="00F311AE" w:rsidP="00001198">
      <w:pPr>
        <w:pStyle w:val="Default"/>
        <w:jc w:val="both"/>
        <w:rPr>
          <w:iCs/>
          <w:sz w:val="16"/>
          <w:szCs w:val="16"/>
          <w:lang w:val="es-ES"/>
        </w:rPr>
      </w:pPr>
      <w:r w:rsidRPr="00F5707A">
        <w:rPr>
          <w:rStyle w:val="FootnoteReference"/>
          <w:rFonts w:cs="Times New Roman"/>
          <w:color w:val="auto"/>
          <w:sz w:val="16"/>
          <w:szCs w:val="20"/>
          <w:lang w:val="es-ES_tradnl"/>
        </w:rPr>
        <w:sym w:font="Symbol" w:char="F02A"/>
      </w:r>
      <w:r w:rsidRPr="00F5707A">
        <w:rPr>
          <w:lang w:val="es-ES"/>
        </w:rPr>
        <w:t xml:space="preserve"> </w:t>
      </w:r>
      <w:proofErr w:type="gramStart"/>
      <w:r w:rsidR="00A37514" w:rsidRPr="00CE7CBF">
        <w:rPr>
          <w:sz w:val="16"/>
          <w:szCs w:val="16"/>
        </w:rPr>
        <w:t xml:space="preserve">Composed of the following judges: </w:t>
      </w:r>
      <w:r w:rsidRPr="00CE7CBF">
        <w:rPr>
          <w:iCs/>
          <w:sz w:val="16"/>
          <w:szCs w:val="16"/>
        </w:rPr>
        <w:t>Humberto Antonio Sierra Porto</w:t>
      </w:r>
      <w:r w:rsidR="00A37514" w:rsidRPr="00CE7CBF">
        <w:rPr>
          <w:sz w:val="16"/>
          <w:szCs w:val="16"/>
        </w:rPr>
        <w:t>, President</w:t>
      </w:r>
      <w:r w:rsidR="000859F4">
        <w:rPr>
          <w:sz w:val="16"/>
          <w:szCs w:val="16"/>
        </w:rPr>
        <w:t>,</w:t>
      </w:r>
      <w:r w:rsidRPr="00CE7CBF">
        <w:rPr>
          <w:sz w:val="16"/>
          <w:szCs w:val="16"/>
        </w:rPr>
        <w:t xml:space="preserve"> </w:t>
      </w:r>
      <w:r w:rsidRPr="00CE7CBF">
        <w:rPr>
          <w:iCs/>
          <w:sz w:val="16"/>
          <w:szCs w:val="16"/>
        </w:rPr>
        <w:t>Roberto F. Caldas</w:t>
      </w:r>
      <w:r w:rsidRPr="00CE7CBF">
        <w:rPr>
          <w:sz w:val="16"/>
          <w:szCs w:val="16"/>
        </w:rPr>
        <w:t>, Vice</w:t>
      </w:r>
      <w:r w:rsidR="00A37514" w:rsidRPr="00CE7CBF">
        <w:rPr>
          <w:sz w:val="16"/>
          <w:szCs w:val="16"/>
        </w:rPr>
        <w:t xml:space="preserve"> President</w:t>
      </w:r>
      <w:r w:rsidR="000859F4">
        <w:rPr>
          <w:sz w:val="16"/>
          <w:szCs w:val="16"/>
        </w:rPr>
        <w:t>,</w:t>
      </w:r>
      <w:r w:rsidR="00A37514" w:rsidRPr="00CE7CBF">
        <w:rPr>
          <w:sz w:val="16"/>
          <w:szCs w:val="16"/>
        </w:rPr>
        <w:t xml:space="preserve"> Manuel E. Ventura Robles,</w:t>
      </w:r>
      <w:r w:rsidRPr="00CE7CBF">
        <w:rPr>
          <w:sz w:val="16"/>
          <w:szCs w:val="16"/>
        </w:rPr>
        <w:t xml:space="preserve"> </w:t>
      </w:r>
      <w:r w:rsidRPr="00CE7CBF">
        <w:rPr>
          <w:bCs/>
          <w:sz w:val="16"/>
          <w:szCs w:val="16"/>
        </w:rPr>
        <w:t>Diego García-</w:t>
      </w:r>
      <w:proofErr w:type="spellStart"/>
      <w:r w:rsidRPr="00CE7CBF">
        <w:rPr>
          <w:bCs/>
          <w:sz w:val="16"/>
          <w:szCs w:val="16"/>
        </w:rPr>
        <w:t>Sayán</w:t>
      </w:r>
      <w:proofErr w:type="spellEnd"/>
      <w:r w:rsidR="00A37514" w:rsidRPr="00CE7CBF">
        <w:rPr>
          <w:bCs/>
          <w:sz w:val="16"/>
          <w:szCs w:val="16"/>
        </w:rPr>
        <w:t>,</w:t>
      </w:r>
      <w:r w:rsidRPr="00CE7CBF">
        <w:rPr>
          <w:sz w:val="16"/>
          <w:szCs w:val="16"/>
        </w:rPr>
        <w:t xml:space="preserve"> </w:t>
      </w:r>
      <w:r w:rsidRPr="00CE7CBF">
        <w:rPr>
          <w:bCs/>
          <w:sz w:val="16"/>
          <w:szCs w:val="16"/>
        </w:rPr>
        <w:t xml:space="preserve">Alberto Pérez </w:t>
      </w:r>
      <w:proofErr w:type="spellStart"/>
      <w:r w:rsidRPr="00CE7CBF">
        <w:rPr>
          <w:bCs/>
          <w:sz w:val="16"/>
          <w:szCs w:val="16"/>
        </w:rPr>
        <w:t>Pérez</w:t>
      </w:r>
      <w:proofErr w:type="spellEnd"/>
      <w:r w:rsidRPr="00CE7CBF">
        <w:rPr>
          <w:bCs/>
          <w:sz w:val="16"/>
          <w:szCs w:val="16"/>
        </w:rPr>
        <w:t xml:space="preserve">, </w:t>
      </w:r>
      <w:r w:rsidRPr="00CE7CBF">
        <w:rPr>
          <w:sz w:val="16"/>
          <w:szCs w:val="16"/>
        </w:rPr>
        <w:t xml:space="preserve">Eduardo </w:t>
      </w:r>
      <w:proofErr w:type="spellStart"/>
      <w:r w:rsidRPr="00CE7CBF">
        <w:rPr>
          <w:sz w:val="16"/>
          <w:szCs w:val="16"/>
        </w:rPr>
        <w:t>Vío</w:t>
      </w:r>
      <w:proofErr w:type="spellEnd"/>
      <w:r w:rsidRPr="00CE7CBF">
        <w:rPr>
          <w:sz w:val="16"/>
          <w:szCs w:val="16"/>
        </w:rPr>
        <w:t xml:space="preserve"> </w:t>
      </w:r>
      <w:proofErr w:type="spellStart"/>
      <w:r w:rsidRPr="00CE7CBF">
        <w:rPr>
          <w:sz w:val="16"/>
          <w:szCs w:val="16"/>
        </w:rPr>
        <w:t>Grossi</w:t>
      </w:r>
      <w:proofErr w:type="spellEnd"/>
      <w:r w:rsidRPr="00CE7CBF">
        <w:rPr>
          <w:sz w:val="16"/>
          <w:szCs w:val="16"/>
        </w:rPr>
        <w:t xml:space="preserve">, </w:t>
      </w:r>
      <w:r w:rsidR="00A37514" w:rsidRPr="00CE7CBF">
        <w:rPr>
          <w:iCs/>
          <w:sz w:val="16"/>
          <w:szCs w:val="16"/>
        </w:rPr>
        <w:t xml:space="preserve">and </w:t>
      </w:r>
      <w:r w:rsidRPr="00CE7CBF">
        <w:rPr>
          <w:iCs/>
          <w:sz w:val="16"/>
          <w:szCs w:val="16"/>
        </w:rPr>
        <w:t>Ed</w:t>
      </w:r>
      <w:r w:rsidR="00A37514" w:rsidRPr="00CE7CBF">
        <w:rPr>
          <w:iCs/>
          <w:sz w:val="16"/>
          <w:szCs w:val="16"/>
        </w:rPr>
        <w:t>uardo Ferrer Mac-Gregor Poisot.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6ADE"/>
    <w:multiLevelType w:val="hybridMultilevel"/>
    <w:tmpl w:val="BA86209E"/>
    <w:lvl w:ilvl="0" w:tplc="E0A24ED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450298B"/>
    <w:multiLevelType w:val="hybridMultilevel"/>
    <w:tmpl w:val="EB7EDA34"/>
    <w:lvl w:ilvl="0" w:tplc="7B504664">
      <w:start w:val="1"/>
      <w:numFmt w:val="decimal"/>
      <w:lvlText w:val="%1."/>
      <w:lvlJc w:val="left"/>
      <w:pPr>
        <w:ind w:left="153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98"/>
    <w:rsid w:val="00001198"/>
    <w:rsid w:val="0000501E"/>
    <w:rsid w:val="00013239"/>
    <w:rsid w:val="0005554F"/>
    <w:rsid w:val="00074B4D"/>
    <w:rsid w:val="0007720D"/>
    <w:rsid w:val="000859F4"/>
    <w:rsid w:val="000B1FD2"/>
    <w:rsid w:val="000B482D"/>
    <w:rsid w:val="001138A8"/>
    <w:rsid w:val="00116E9B"/>
    <w:rsid w:val="00123062"/>
    <w:rsid w:val="001265F4"/>
    <w:rsid w:val="001521B8"/>
    <w:rsid w:val="001744EA"/>
    <w:rsid w:val="00184495"/>
    <w:rsid w:val="00185AFD"/>
    <w:rsid w:val="001D13C6"/>
    <w:rsid w:val="001E71B2"/>
    <w:rsid w:val="0020091E"/>
    <w:rsid w:val="00217ECE"/>
    <w:rsid w:val="00243434"/>
    <w:rsid w:val="002757B0"/>
    <w:rsid w:val="002A14F3"/>
    <w:rsid w:val="003115A4"/>
    <w:rsid w:val="00337098"/>
    <w:rsid w:val="00350EB7"/>
    <w:rsid w:val="00375B2D"/>
    <w:rsid w:val="00380227"/>
    <w:rsid w:val="00380B6E"/>
    <w:rsid w:val="00386387"/>
    <w:rsid w:val="003A5C9B"/>
    <w:rsid w:val="003C1E30"/>
    <w:rsid w:val="003D203C"/>
    <w:rsid w:val="003F758F"/>
    <w:rsid w:val="00417005"/>
    <w:rsid w:val="0042060F"/>
    <w:rsid w:val="00427BDE"/>
    <w:rsid w:val="00453715"/>
    <w:rsid w:val="004604DA"/>
    <w:rsid w:val="004844C3"/>
    <w:rsid w:val="004A06BB"/>
    <w:rsid w:val="004B6E42"/>
    <w:rsid w:val="004E0D62"/>
    <w:rsid w:val="00537270"/>
    <w:rsid w:val="00541286"/>
    <w:rsid w:val="00587BE2"/>
    <w:rsid w:val="0061337D"/>
    <w:rsid w:val="0064384C"/>
    <w:rsid w:val="006F7FC7"/>
    <w:rsid w:val="00701FFF"/>
    <w:rsid w:val="007D410A"/>
    <w:rsid w:val="008048A4"/>
    <w:rsid w:val="008772DF"/>
    <w:rsid w:val="008A0723"/>
    <w:rsid w:val="008A587E"/>
    <w:rsid w:val="008C02FF"/>
    <w:rsid w:val="008D207A"/>
    <w:rsid w:val="00913440"/>
    <w:rsid w:val="00931747"/>
    <w:rsid w:val="00952F8B"/>
    <w:rsid w:val="00962A8A"/>
    <w:rsid w:val="0096718D"/>
    <w:rsid w:val="0099648E"/>
    <w:rsid w:val="009B1A3D"/>
    <w:rsid w:val="009C37DB"/>
    <w:rsid w:val="009E4217"/>
    <w:rsid w:val="009E4B3C"/>
    <w:rsid w:val="009F09D1"/>
    <w:rsid w:val="00A1350A"/>
    <w:rsid w:val="00A220B5"/>
    <w:rsid w:val="00A37514"/>
    <w:rsid w:val="00AA1313"/>
    <w:rsid w:val="00B07819"/>
    <w:rsid w:val="00B61EF1"/>
    <w:rsid w:val="00B97FD9"/>
    <w:rsid w:val="00BA68B2"/>
    <w:rsid w:val="00BB0AEB"/>
    <w:rsid w:val="00BD05A4"/>
    <w:rsid w:val="00BE0A2A"/>
    <w:rsid w:val="00C01532"/>
    <w:rsid w:val="00C06C74"/>
    <w:rsid w:val="00C27051"/>
    <w:rsid w:val="00C3462E"/>
    <w:rsid w:val="00C404F4"/>
    <w:rsid w:val="00C626E5"/>
    <w:rsid w:val="00CD7FEC"/>
    <w:rsid w:val="00CE7CBF"/>
    <w:rsid w:val="00CF6665"/>
    <w:rsid w:val="00D03780"/>
    <w:rsid w:val="00D0448C"/>
    <w:rsid w:val="00D218B4"/>
    <w:rsid w:val="00DC10FC"/>
    <w:rsid w:val="00E13D78"/>
    <w:rsid w:val="00E51510"/>
    <w:rsid w:val="00E61850"/>
    <w:rsid w:val="00E67176"/>
    <w:rsid w:val="00E84784"/>
    <w:rsid w:val="00E87F66"/>
    <w:rsid w:val="00E96643"/>
    <w:rsid w:val="00EB53A9"/>
    <w:rsid w:val="00ED0702"/>
    <w:rsid w:val="00ED0A79"/>
    <w:rsid w:val="00ED7DBD"/>
    <w:rsid w:val="00EE33B6"/>
    <w:rsid w:val="00EE7811"/>
    <w:rsid w:val="00F060E7"/>
    <w:rsid w:val="00F1493B"/>
    <w:rsid w:val="00F311AE"/>
    <w:rsid w:val="00F36684"/>
    <w:rsid w:val="00F37093"/>
    <w:rsid w:val="00F65BA3"/>
    <w:rsid w:val="00F72911"/>
    <w:rsid w:val="00FA547E"/>
    <w:rsid w:val="00FB6428"/>
    <w:rsid w:val="00FE1B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198"/>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001198"/>
    <w:rPr>
      <w:vertAlign w:val="superscript"/>
    </w:rPr>
  </w:style>
  <w:style w:type="paragraph" w:styleId="NoSpacing">
    <w:name w:val="No Spacing"/>
    <w:uiPriority w:val="1"/>
    <w:qFormat/>
    <w:rsid w:val="00001198"/>
    <w:pPr>
      <w:spacing w:after="0" w:line="240" w:lineRule="auto"/>
    </w:pPr>
    <w:rPr>
      <w:rFonts w:ascii="Calibri" w:eastAsia="Calibri" w:hAnsi="Calibri" w:cs="Times New Roman"/>
      <w:lang w:val="en-US"/>
    </w:rPr>
  </w:style>
  <w:style w:type="paragraph" w:styleId="ListParagraph">
    <w:name w:val="List Paragraph"/>
    <w:aliases w:val="Footnote,Párrafo de lista1,List Paragraph2,Lista vistosa - Énfasis 11"/>
    <w:basedOn w:val="Normal"/>
    <w:link w:val="ListParagraphChar"/>
    <w:uiPriority w:val="99"/>
    <w:qFormat/>
    <w:rsid w:val="00001198"/>
    <w:pPr>
      <w:spacing w:after="0" w:line="240" w:lineRule="auto"/>
      <w:ind w:left="720"/>
    </w:pPr>
    <w:rPr>
      <w:rFonts w:ascii="Verdana" w:eastAsia="Times New Roman" w:hAnsi="Verdana" w:cs="Times New Roman"/>
      <w:sz w:val="20"/>
      <w:szCs w:val="20"/>
      <w:lang w:val="es-ES_tradnl"/>
    </w:rPr>
  </w:style>
  <w:style w:type="character" w:customStyle="1" w:styleId="ListParagraphChar">
    <w:name w:val="List Paragraph Char"/>
    <w:aliases w:val="Footnote Char,Párrafo de lista1 Char,List Paragraph2 Char,Lista vistosa - Énfasis 11 Char"/>
    <w:basedOn w:val="DefaultParagraphFont"/>
    <w:link w:val="ListParagraph"/>
    <w:uiPriority w:val="99"/>
    <w:rsid w:val="00001198"/>
    <w:rPr>
      <w:rFonts w:ascii="Verdana" w:eastAsia="Times New Roman" w:hAnsi="Verdana" w:cs="Times New Roman"/>
      <w:sz w:val="20"/>
      <w:szCs w:val="20"/>
      <w:lang w:val="es-ES_tradnl"/>
    </w:rPr>
  </w:style>
  <w:style w:type="paragraph" w:customStyle="1" w:styleId="ListParagraph1">
    <w:name w:val="List Paragraph1"/>
    <w:aliases w:val="Colorful List - Accent 11"/>
    <w:basedOn w:val="Normal"/>
    <w:uiPriority w:val="99"/>
    <w:qFormat/>
    <w:rsid w:val="00A220B5"/>
    <w:pPr>
      <w:ind w:left="720"/>
    </w:pPr>
    <w:rPr>
      <w:rFonts w:ascii="Times New Roman" w:eastAsia="Times New Roman" w:hAnsi="Times New Roman" w:cs="Times New Roman"/>
      <w:sz w:val="24"/>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A220B5"/>
    <w:pPr>
      <w:tabs>
        <w:tab w:val="left" w:pos="567"/>
      </w:tabs>
      <w:spacing w:after="0" w:line="240" w:lineRule="auto"/>
      <w:jc w:val="both"/>
    </w:pPr>
    <w:rPr>
      <w:rFonts w:ascii="Verdana" w:eastAsia="Batang" w:hAnsi="Verdana" w:cs="Times New Roman"/>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A220B5"/>
    <w:rPr>
      <w:rFonts w:ascii="Verdana" w:eastAsia="Batang" w:hAnsi="Verdana" w:cs="Times New Roman"/>
      <w:sz w:val="16"/>
      <w:szCs w:val="16"/>
      <w:lang w:val="es-ES" w:eastAsia="es-ES"/>
    </w:rPr>
  </w:style>
  <w:style w:type="character" w:styleId="Hyperlink">
    <w:name w:val="Hyperlink"/>
    <w:aliases w:val="Heading 3 caso"/>
    <w:uiPriority w:val="99"/>
    <w:rsid w:val="003F758F"/>
    <w:rPr>
      <w:rFonts w:cs="Times New Roman"/>
      <w:color w:val="0000FF"/>
      <w:u w:val="single"/>
    </w:rPr>
  </w:style>
  <w:style w:type="character" w:customStyle="1" w:styleId="apple-converted-space">
    <w:name w:val="apple-converted-space"/>
    <w:basedOn w:val="DefaultParagraphFont"/>
    <w:rsid w:val="003F758F"/>
  </w:style>
  <w:style w:type="paragraph" w:styleId="Header">
    <w:name w:val="header"/>
    <w:basedOn w:val="Normal"/>
    <w:link w:val="HeaderChar"/>
    <w:uiPriority w:val="99"/>
    <w:unhideWhenUsed/>
    <w:rsid w:val="009671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6718D"/>
  </w:style>
  <w:style w:type="paragraph" w:styleId="Footer">
    <w:name w:val="footer"/>
    <w:basedOn w:val="Normal"/>
    <w:link w:val="FooterChar"/>
    <w:uiPriority w:val="99"/>
    <w:unhideWhenUsed/>
    <w:rsid w:val="009671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6718D"/>
  </w:style>
  <w:style w:type="character" w:customStyle="1" w:styleId="hps">
    <w:name w:val="hps"/>
    <w:basedOn w:val="DefaultParagraphFont"/>
    <w:rsid w:val="004B6E42"/>
  </w:style>
  <w:style w:type="paragraph" w:styleId="BalloonText">
    <w:name w:val="Balloon Text"/>
    <w:basedOn w:val="Normal"/>
    <w:link w:val="BalloonTextChar"/>
    <w:uiPriority w:val="99"/>
    <w:semiHidden/>
    <w:unhideWhenUsed/>
    <w:rsid w:val="009B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3D"/>
    <w:rPr>
      <w:rFonts w:ascii="Tahoma" w:hAnsi="Tahoma" w:cs="Tahoma"/>
      <w:sz w:val="16"/>
      <w:szCs w:val="16"/>
    </w:rPr>
  </w:style>
  <w:style w:type="character" w:styleId="Strong">
    <w:name w:val="Strong"/>
    <w:basedOn w:val="DefaultParagraphFont"/>
    <w:uiPriority w:val="22"/>
    <w:qFormat/>
    <w:rsid w:val="00E87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198"/>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001198"/>
    <w:rPr>
      <w:vertAlign w:val="superscript"/>
    </w:rPr>
  </w:style>
  <w:style w:type="paragraph" w:styleId="NoSpacing">
    <w:name w:val="No Spacing"/>
    <w:uiPriority w:val="1"/>
    <w:qFormat/>
    <w:rsid w:val="00001198"/>
    <w:pPr>
      <w:spacing w:after="0" w:line="240" w:lineRule="auto"/>
    </w:pPr>
    <w:rPr>
      <w:rFonts w:ascii="Calibri" w:eastAsia="Calibri" w:hAnsi="Calibri" w:cs="Times New Roman"/>
      <w:lang w:val="en-US"/>
    </w:rPr>
  </w:style>
  <w:style w:type="paragraph" w:styleId="ListParagraph">
    <w:name w:val="List Paragraph"/>
    <w:aliases w:val="Footnote,Párrafo de lista1,List Paragraph2,Lista vistosa - Énfasis 11"/>
    <w:basedOn w:val="Normal"/>
    <w:link w:val="ListParagraphChar"/>
    <w:uiPriority w:val="99"/>
    <w:qFormat/>
    <w:rsid w:val="00001198"/>
    <w:pPr>
      <w:spacing w:after="0" w:line="240" w:lineRule="auto"/>
      <w:ind w:left="720"/>
    </w:pPr>
    <w:rPr>
      <w:rFonts w:ascii="Verdana" w:eastAsia="Times New Roman" w:hAnsi="Verdana" w:cs="Times New Roman"/>
      <w:sz w:val="20"/>
      <w:szCs w:val="20"/>
      <w:lang w:val="es-ES_tradnl"/>
    </w:rPr>
  </w:style>
  <w:style w:type="character" w:customStyle="1" w:styleId="ListParagraphChar">
    <w:name w:val="List Paragraph Char"/>
    <w:aliases w:val="Footnote Char,Párrafo de lista1 Char,List Paragraph2 Char,Lista vistosa - Énfasis 11 Char"/>
    <w:basedOn w:val="DefaultParagraphFont"/>
    <w:link w:val="ListParagraph"/>
    <w:uiPriority w:val="99"/>
    <w:rsid w:val="00001198"/>
    <w:rPr>
      <w:rFonts w:ascii="Verdana" w:eastAsia="Times New Roman" w:hAnsi="Verdana" w:cs="Times New Roman"/>
      <w:sz w:val="20"/>
      <w:szCs w:val="20"/>
      <w:lang w:val="es-ES_tradnl"/>
    </w:rPr>
  </w:style>
  <w:style w:type="paragraph" w:customStyle="1" w:styleId="ListParagraph1">
    <w:name w:val="List Paragraph1"/>
    <w:aliases w:val="Colorful List - Accent 11"/>
    <w:basedOn w:val="Normal"/>
    <w:uiPriority w:val="99"/>
    <w:qFormat/>
    <w:rsid w:val="00A220B5"/>
    <w:pPr>
      <w:ind w:left="720"/>
    </w:pPr>
    <w:rPr>
      <w:rFonts w:ascii="Times New Roman" w:eastAsia="Times New Roman" w:hAnsi="Times New Roman" w:cs="Times New Roman"/>
      <w:sz w:val="24"/>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A220B5"/>
    <w:pPr>
      <w:tabs>
        <w:tab w:val="left" w:pos="567"/>
      </w:tabs>
      <w:spacing w:after="0" w:line="240" w:lineRule="auto"/>
      <w:jc w:val="both"/>
    </w:pPr>
    <w:rPr>
      <w:rFonts w:ascii="Verdana" w:eastAsia="Batang" w:hAnsi="Verdana" w:cs="Times New Roman"/>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A220B5"/>
    <w:rPr>
      <w:rFonts w:ascii="Verdana" w:eastAsia="Batang" w:hAnsi="Verdana" w:cs="Times New Roman"/>
      <w:sz w:val="16"/>
      <w:szCs w:val="16"/>
      <w:lang w:val="es-ES" w:eastAsia="es-ES"/>
    </w:rPr>
  </w:style>
  <w:style w:type="character" w:styleId="Hyperlink">
    <w:name w:val="Hyperlink"/>
    <w:aliases w:val="Heading 3 caso"/>
    <w:uiPriority w:val="99"/>
    <w:rsid w:val="003F758F"/>
    <w:rPr>
      <w:rFonts w:cs="Times New Roman"/>
      <w:color w:val="0000FF"/>
      <w:u w:val="single"/>
    </w:rPr>
  </w:style>
  <w:style w:type="character" w:customStyle="1" w:styleId="apple-converted-space">
    <w:name w:val="apple-converted-space"/>
    <w:basedOn w:val="DefaultParagraphFont"/>
    <w:rsid w:val="003F758F"/>
  </w:style>
  <w:style w:type="paragraph" w:styleId="Header">
    <w:name w:val="header"/>
    <w:basedOn w:val="Normal"/>
    <w:link w:val="HeaderChar"/>
    <w:uiPriority w:val="99"/>
    <w:unhideWhenUsed/>
    <w:rsid w:val="009671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6718D"/>
  </w:style>
  <w:style w:type="paragraph" w:styleId="Footer">
    <w:name w:val="footer"/>
    <w:basedOn w:val="Normal"/>
    <w:link w:val="FooterChar"/>
    <w:uiPriority w:val="99"/>
    <w:unhideWhenUsed/>
    <w:rsid w:val="009671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6718D"/>
  </w:style>
  <w:style w:type="character" w:customStyle="1" w:styleId="hps">
    <w:name w:val="hps"/>
    <w:basedOn w:val="DefaultParagraphFont"/>
    <w:rsid w:val="004B6E42"/>
  </w:style>
  <w:style w:type="paragraph" w:styleId="BalloonText">
    <w:name w:val="Balloon Text"/>
    <w:basedOn w:val="Normal"/>
    <w:link w:val="BalloonTextChar"/>
    <w:uiPriority w:val="99"/>
    <w:semiHidden/>
    <w:unhideWhenUsed/>
    <w:rsid w:val="009B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3D"/>
    <w:rPr>
      <w:rFonts w:ascii="Tahoma" w:hAnsi="Tahoma" w:cs="Tahoma"/>
      <w:sz w:val="16"/>
      <w:szCs w:val="16"/>
    </w:rPr>
  </w:style>
  <w:style w:type="character" w:styleId="Strong">
    <w:name w:val="Strong"/>
    <w:basedOn w:val="DefaultParagraphFont"/>
    <w:uiPriority w:val="22"/>
    <w:qFormat/>
    <w:rsid w:val="00E8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rteidh.or.cr/casos.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65A8-A4F6-4546-A055-E6DC1253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6D3CB-E104-4B74-B692-1143DA072B2A}">
  <ds:schemaRefs>
    <ds:schemaRef ds:uri="http://schemas.microsoft.com/sharepoint/v3/contenttype/forms"/>
  </ds:schemaRefs>
</ds:datastoreItem>
</file>

<file path=customXml/itemProps3.xml><?xml version="1.0" encoding="utf-8"?>
<ds:datastoreItem xmlns:ds="http://schemas.openxmlformats.org/officeDocument/2006/customXml" ds:itemID="{A3FE57C5-0513-4216-8A65-528FCDEAB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E2D497-AC24-4466-BF7B-457015B5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2459</Words>
  <Characters>13528</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2016-01-28T18:07:00Z</cp:lastPrinted>
  <dcterms:created xsi:type="dcterms:W3CDTF">2016-11-15T18:32:00Z</dcterms:created>
  <dcterms:modified xsi:type="dcterms:W3CDTF">2016-11-15T18:32:00Z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