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B7" w:rsidRDefault="00672AB7" w:rsidP="00E63FBF">
      <w:pPr>
        <w:jc w:val="center"/>
        <w:rPr>
          <w:rFonts w:ascii="Verdana" w:eastAsia="Helvetica" w:hAnsi="Verdana"/>
          <w:b/>
          <w:color w:val="000000"/>
          <w:sz w:val="20"/>
          <w:szCs w:val="20"/>
          <w:lang w:val="es-ES"/>
        </w:rPr>
      </w:pPr>
    </w:p>
    <w:p w:rsidR="00672AB7" w:rsidRDefault="00672AB7" w:rsidP="00E63FBF">
      <w:pPr>
        <w:jc w:val="center"/>
        <w:rPr>
          <w:rFonts w:ascii="Verdana" w:eastAsia="Helvetica" w:hAnsi="Verdana"/>
          <w:b/>
          <w:color w:val="000000"/>
          <w:sz w:val="20"/>
          <w:szCs w:val="20"/>
          <w:lang w:val="es-ES"/>
        </w:rPr>
      </w:pPr>
    </w:p>
    <w:p w:rsidR="00672AB7" w:rsidRDefault="00672AB7" w:rsidP="00E63FBF">
      <w:pPr>
        <w:jc w:val="center"/>
        <w:rPr>
          <w:rFonts w:ascii="Verdana" w:eastAsia="Helvetica" w:hAnsi="Verdana"/>
          <w:b/>
          <w:color w:val="000000"/>
          <w:sz w:val="20"/>
          <w:szCs w:val="20"/>
          <w:lang w:val="es-ES"/>
        </w:rPr>
      </w:pPr>
    </w:p>
    <w:p w:rsidR="00E63FBF" w:rsidRPr="00E63FBF" w:rsidRDefault="00E63FBF" w:rsidP="00E63FBF">
      <w:pPr>
        <w:jc w:val="center"/>
        <w:rPr>
          <w:rFonts w:ascii="Verdana" w:hAnsi="Verdana" w:cs="Verdana"/>
          <w:b/>
          <w:bCs/>
          <w:caps/>
          <w:snapToGrid w:val="0"/>
          <w:sz w:val="20"/>
          <w:szCs w:val="20"/>
          <w:lang w:val="es-ES" w:eastAsia="es-ES"/>
        </w:rPr>
      </w:pPr>
      <w:bookmarkStart w:id="0" w:name="_GoBack"/>
      <w:bookmarkEnd w:id="0"/>
      <w:r w:rsidRPr="00E63FBF">
        <w:rPr>
          <w:rFonts w:ascii="Verdana" w:hAnsi="Verdana" w:cs="Verdana"/>
          <w:b/>
          <w:bCs/>
          <w:snapToGrid w:val="0"/>
          <w:sz w:val="20"/>
          <w:szCs w:val="20"/>
          <w:lang w:val="es-ES" w:eastAsia="es-ES"/>
        </w:rPr>
        <w:t>CORTE INTERAMERICANA DE DERECHOS HUMANOS</w:t>
      </w:r>
      <w:r w:rsidRPr="00E63FBF">
        <w:rPr>
          <w:rStyle w:val="FootnoteReference"/>
          <w:rFonts w:ascii="Verdana" w:hAnsi="Verdana"/>
          <w:b/>
          <w:snapToGrid w:val="0"/>
          <w:sz w:val="20"/>
          <w:szCs w:val="20"/>
          <w:lang w:val="es-ES"/>
        </w:rPr>
        <w:footnoteReference w:customMarkFollows="1" w:id="1"/>
        <w:sym w:font="Symbol" w:char="F02A"/>
      </w:r>
    </w:p>
    <w:p w:rsidR="00E63FBF" w:rsidRPr="00E63FBF" w:rsidRDefault="00E63FBF" w:rsidP="00E63FBF">
      <w:pPr>
        <w:pStyle w:val="Title"/>
        <w:ind w:right="-138"/>
        <w:jc w:val="left"/>
        <w:rPr>
          <w:rFonts w:eastAsia="MS Mincho"/>
          <w:noProof w:val="0"/>
        </w:rPr>
      </w:pPr>
    </w:p>
    <w:p w:rsidR="00E63FBF" w:rsidRPr="00E63FBF" w:rsidRDefault="00E63FBF" w:rsidP="00E63FBF">
      <w:pPr>
        <w:pStyle w:val="Title"/>
        <w:ind w:left="-142" w:right="-138"/>
        <w:rPr>
          <w:rFonts w:eastAsia="MS Mincho"/>
          <w:noProof w:val="0"/>
        </w:rPr>
      </w:pPr>
      <w:r w:rsidRPr="00E63FBF">
        <w:rPr>
          <w:rFonts w:eastAsia="MS Mincho"/>
          <w:noProof w:val="0"/>
        </w:rPr>
        <w:t xml:space="preserve">CASO MALDONADO ORDOÑEZ </w:t>
      </w:r>
      <w:r w:rsidRPr="00E63FBF">
        <w:rPr>
          <w:rFonts w:eastAsia="MS Mincho"/>
          <w:i/>
          <w:noProof w:val="0"/>
        </w:rPr>
        <w:t>VS</w:t>
      </w:r>
      <w:r w:rsidRPr="00E63FBF">
        <w:rPr>
          <w:rFonts w:eastAsia="MS Mincho"/>
          <w:noProof w:val="0"/>
        </w:rPr>
        <w:t>. GUATEMALA</w:t>
      </w:r>
    </w:p>
    <w:p w:rsidR="00E63FBF" w:rsidRPr="00E63FBF" w:rsidRDefault="00E63FBF" w:rsidP="00E63FBF">
      <w:pPr>
        <w:pStyle w:val="Title"/>
        <w:ind w:left="-142" w:right="-138"/>
        <w:rPr>
          <w:rFonts w:eastAsia="MS Mincho"/>
          <w:noProof w:val="0"/>
        </w:rPr>
      </w:pPr>
    </w:p>
    <w:p w:rsidR="00E63FBF" w:rsidRPr="00E63FBF" w:rsidRDefault="00E63FBF" w:rsidP="00E63FBF">
      <w:pPr>
        <w:pStyle w:val="Title"/>
        <w:ind w:left="-142" w:right="-138"/>
        <w:rPr>
          <w:rFonts w:eastAsia="MS Mincho"/>
          <w:noProof w:val="0"/>
        </w:rPr>
      </w:pPr>
      <w:r w:rsidRPr="00E63FBF">
        <w:rPr>
          <w:rFonts w:eastAsia="MS Mincho"/>
          <w:noProof w:val="0"/>
        </w:rPr>
        <w:t>SENTENCIA DE 3 DE MAYO DE 2016</w:t>
      </w:r>
    </w:p>
    <w:p w:rsidR="00E63FBF" w:rsidRPr="00E63FBF" w:rsidRDefault="00E63FBF" w:rsidP="00E63FBF">
      <w:pPr>
        <w:jc w:val="center"/>
        <w:rPr>
          <w:rFonts w:ascii="Verdana" w:hAnsi="Verdana" w:cs="Verdana"/>
          <w:b/>
          <w:bCs/>
          <w:snapToGrid w:val="0"/>
          <w:sz w:val="20"/>
          <w:szCs w:val="20"/>
          <w:lang w:val="es-ES" w:eastAsia="es-ES"/>
        </w:rPr>
      </w:pPr>
      <w:r w:rsidRPr="00E63FBF">
        <w:rPr>
          <w:rFonts w:ascii="Verdana" w:hAnsi="Verdana"/>
          <w:b/>
          <w:sz w:val="20"/>
          <w:szCs w:val="20"/>
          <w:lang w:val="es-ES"/>
        </w:rPr>
        <w:t>(Excepción Preliminar, Fondo, Reparaciones y Costas)</w:t>
      </w:r>
    </w:p>
    <w:p w:rsidR="00E63FBF" w:rsidRPr="00E63FBF" w:rsidRDefault="00E63FBF" w:rsidP="00E63FBF">
      <w:pPr>
        <w:jc w:val="center"/>
        <w:rPr>
          <w:rFonts w:ascii="Verdana" w:hAnsi="Verdana" w:cs="Verdana"/>
          <w:b/>
          <w:bCs/>
          <w:snapToGrid w:val="0"/>
          <w:sz w:val="20"/>
          <w:szCs w:val="20"/>
          <w:lang w:val="es-ES" w:eastAsia="es-ES"/>
        </w:rPr>
      </w:pPr>
    </w:p>
    <w:p w:rsidR="00E63FBF" w:rsidRPr="00E63FBF" w:rsidRDefault="00E63FBF" w:rsidP="00E63FBF">
      <w:pPr>
        <w:jc w:val="center"/>
        <w:rPr>
          <w:rFonts w:ascii="Verdana" w:hAnsi="Verdana" w:cs="Verdana"/>
          <w:b/>
          <w:bCs/>
          <w:caps/>
          <w:snapToGrid w:val="0"/>
          <w:sz w:val="20"/>
          <w:szCs w:val="20"/>
          <w:lang w:val="es-ES" w:eastAsia="es-ES"/>
        </w:rPr>
      </w:pPr>
      <w:r w:rsidRPr="00E63FBF">
        <w:rPr>
          <w:rFonts w:ascii="Verdana" w:hAnsi="Verdana" w:cs="Verdana"/>
          <w:b/>
          <w:bCs/>
          <w:snapToGrid w:val="0"/>
          <w:sz w:val="20"/>
          <w:szCs w:val="20"/>
          <w:lang w:val="es-ES" w:eastAsia="es-ES"/>
        </w:rPr>
        <w:t>RESUMEN OFICIAL EMI</w:t>
      </w:r>
      <w:r w:rsidR="00F17C31">
        <w:rPr>
          <w:rFonts w:ascii="Verdana" w:hAnsi="Verdana" w:cs="Verdana"/>
          <w:b/>
          <w:bCs/>
          <w:snapToGrid w:val="0"/>
          <w:sz w:val="20"/>
          <w:szCs w:val="20"/>
          <w:lang w:val="es-ES" w:eastAsia="es-ES"/>
        </w:rPr>
        <w:t>TIDO POR LA CORTE INTERAMERICANA</w:t>
      </w:r>
    </w:p>
    <w:p w:rsidR="00E63FBF" w:rsidRPr="00E63FBF" w:rsidRDefault="00E63FBF" w:rsidP="00E63FBF">
      <w:pPr>
        <w:jc w:val="center"/>
        <w:outlineLvl w:val="0"/>
        <w:rPr>
          <w:rFonts w:ascii="Verdana" w:hAnsi="Verdana" w:cs="Verdana"/>
          <w:b/>
          <w:bCs/>
          <w:snapToGrid w:val="0"/>
          <w:sz w:val="20"/>
          <w:szCs w:val="20"/>
          <w:lang w:val="es-ES" w:eastAsia="es-ES"/>
        </w:rPr>
      </w:pPr>
    </w:p>
    <w:p w:rsidR="00E63FBF" w:rsidRPr="00E63FBF" w:rsidRDefault="00E63FBF" w:rsidP="00E63FBF">
      <w:pPr>
        <w:pStyle w:val="PrrafodeSentencia"/>
        <w:rPr>
          <w:rFonts w:cs="Times New Roman"/>
          <w:sz w:val="20"/>
          <w:szCs w:val="20"/>
        </w:rPr>
      </w:pPr>
      <w:r w:rsidRPr="00E63FBF">
        <w:rPr>
          <w:sz w:val="20"/>
          <w:szCs w:val="20"/>
        </w:rPr>
        <w:t>El 3 de mayo de 2016 la Corte Interamericana de Derechos Humanos dictó Sentencia</w:t>
      </w:r>
      <w:r w:rsidR="00A45971">
        <w:rPr>
          <w:sz w:val="20"/>
          <w:szCs w:val="20"/>
        </w:rPr>
        <w:t xml:space="preserve"> en el caso Maldonado Ordoñez Vs. Guatemala</w:t>
      </w:r>
      <w:r w:rsidRPr="00E63FBF">
        <w:rPr>
          <w:sz w:val="20"/>
          <w:szCs w:val="20"/>
        </w:rPr>
        <w:t>, mediante la cual declaró responsab</w:t>
      </w:r>
      <w:r w:rsidR="00E66F03">
        <w:rPr>
          <w:sz w:val="20"/>
          <w:szCs w:val="20"/>
        </w:rPr>
        <w:t xml:space="preserve">le internacionalmente al Estado </w:t>
      </w:r>
      <w:r w:rsidR="001B6B9C">
        <w:rPr>
          <w:sz w:val="20"/>
          <w:szCs w:val="20"/>
        </w:rPr>
        <w:t xml:space="preserve">guatemalteco </w:t>
      </w:r>
      <w:r w:rsidR="00E25AEA">
        <w:rPr>
          <w:sz w:val="20"/>
          <w:szCs w:val="20"/>
        </w:rPr>
        <w:t>por la violación del</w:t>
      </w:r>
      <w:r w:rsidRPr="00E63FBF">
        <w:rPr>
          <w:sz w:val="20"/>
          <w:szCs w:val="20"/>
        </w:rPr>
        <w:t xml:space="preserve">: i) </w:t>
      </w:r>
      <w:r w:rsidRPr="00E63FBF">
        <w:rPr>
          <w:sz w:val="20"/>
          <w:szCs w:val="20"/>
          <w:lang w:val="es-ES"/>
        </w:rPr>
        <w:t>derecho a conocer el fundamento de la acusación, contenido en el artículo 8.2.b de la Convención Americana; ii) derecho a la defensa, contenido en el artículo 8.2.c de la Convención Americana, y iii) deber de motivación y al principio de legalidad, contenidos en los artículos 8.1</w:t>
      </w:r>
      <w:r w:rsidR="0070465A">
        <w:rPr>
          <w:sz w:val="20"/>
          <w:szCs w:val="20"/>
          <w:lang w:val="es-ES"/>
        </w:rPr>
        <w:t xml:space="preserve"> y 9 de la Convención Americana</w:t>
      </w:r>
      <w:r w:rsidRPr="00E63FBF">
        <w:rPr>
          <w:sz w:val="20"/>
          <w:szCs w:val="20"/>
          <w:lang w:val="es-ES"/>
        </w:rPr>
        <w:t>. Asimismo, la Corte declaró la responsabilidad del Estado por la violación del derecho a l</w:t>
      </w:r>
      <w:r w:rsidRPr="00196A9A">
        <w:rPr>
          <w:sz w:val="20"/>
          <w:szCs w:val="20"/>
          <w:lang w:val="es-ES"/>
        </w:rPr>
        <w:t>a protección judicial</w:t>
      </w:r>
      <w:r w:rsidR="002977D7" w:rsidRPr="00196A9A">
        <w:rPr>
          <w:sz w:val="20"/>
          <w:szCs w:val="20"/>
          <w:lang w:val="es-ES"/>
        </w:rPr>
        <w:t xml:space="preserve"> y e</w:t>
      </w:r>
      <w:r w:rsidRPr="00196A9A">
        <w:rPr>
          <w:sz w:val="20"/>
          <w:szCs w:val="20"/>
          <w:lang w:val="es-ES"/>
        </w:rPr>
        <w:t>l deber de adoptar disposiciones de derecho interno, contenidos en l</w:t>
      </w:r>
      <w:r w:rsidRPr="00E63FBF">
        <w:rPr>
          <w:sz w:val="20"/>
          <w:szCs w:val="20"/>
          <w:lang w:val="es-ES"/>
        </w:rPr>
        <w:t>os artículos 25 y 2 de la Convención Americana, en relación con el artículo 1.1 del mismo instrumento</w:t>
      </w:r>
      <w:r w:rsidR="00F66A92">
        <w:rPr>
          <w:sz w:val="20"/>
          <w:szCs w:val="20"/>
          <w:lang w:val="es-ES"/>
        </w:rPr>
        <w:t xml:space="preserve">, </w:t>
      </w:r>
      <w:r w:rsidR="00AF0FA0">
        <w:rPr>
          <w:sz w:val="20"/>
          <w:szCs w:val="20"/>
          <w:lang w:val="es-ES"/>
        </w:rPr>
        <w:t xml:space="preserve">todo </w:t>
      </w:r>
      <w:r w:rsidR="00F66A92">
        <w:rPr>
          <w:sz w:val="20"/>
          <w:szCs w:val="20"/>
          <w:lang w:val="es-ES"/>
        </w:rPr>
        <w:t xml:space="preserve">lo anterior </w:t>
      </w:r>
      <w:r w:rsidR="00F66A92" w:rsidRPr="00D57DF8">
        <w:rPr>
          <w:sz w:val="20"/>
          <w:szCs w:val="20"/>
          <w:lang w:val="es-ES"/>
        </w:rPr>
        <w:t xml:space="preserve">en perjuicio de la señora Olga </w:t>
      </w:r>
      <w:r w:rsidR="00F66A92">
        <w:rPr>
          <w:sz w:val="20"/>
          <w:szCs w:val="20"/>
          <w:lang w:val="es-ES"/>
        </w:rPr>
        <w:t xml:space="preserve">Yolanda </w:t>
      </w:r>
      <w:r w:rsidR="00F66A92" w:rsidRPr="00D57DF8">
        <w:rPr>
          <w:sz w:val="20"/>
          <w:szCs w:val="20"/>
          <w:lang w:val="es-ES"/>
        </w:rPr>
        <w:t>Maldonado</w:t>
      </w:r>
      <w:r w:rsidR="00F66A92">
        <w:rPr>
          <w:sz w:val="20"/>
          <w:szCs w:val="20"/>
          <w:lang w:val="es-ES"/>
        </w:rPr>
        <w:t xml:space="preserve"> Ordóñez. </w:t>
      </w:r>
      <w:r w:rsidR="00BF2733">
        <w:rPr>
          <w:sz w:val="20"/>
          <w:szCs w:val="20"/>
          <w:lang w:val="es-ES"/>
        </w:rPr>
        <w:t>Por último, la Corte ordenó al Estado la adopción de diversas medidas de reparación.</w:t>
      </w:r>
    </w:p>
    <w:p w:rsidR="00E63FBF" w:rsidRPr="00225DDB" w:rsidRDefault="00E63FBF" w:rsidP="00E63FBF">
      <w:pPr>
        <w:pStyle w:val="ListParagraph"/>
        <w:numPr>
          <w:ilvl w:val="0"/>
          <w:numId w:val="1"/>
        </w:numPr>
        <w:spacing w:before="240" w:after="240"/>
        <w:ind w:left="1134"/>
        <w:jc w:val="both"/>
        <w:rPr>
          <w:rFonts w:ascii="Verdana" w:hAnsi="Verdana"/>
          <w:b/>
          <w:sz w:val="20"/>
          <w:szCs w:val="20"/>
        </w:rPr>
      </w:pPr>
      <w:r w:rsidRPr="00225DDB">
        <w:rPr>
          <w:rFonts w:ascii="Verdana" w:hAnsi="Verdana"/>
          <w:b/>
          <w:sz w:val="20"/>
          <w:szCs w:val="20"/>
        </w:rPr>
        <w:t>Hechos</w:t>
      </w:r>
    </w:p>
    <w:p w:rsidR="00225DDB" w:rsidRPr="00225DDB" w:rsidRDefault="00225DDB" w:rsidP="00225DDB">
      <w:pPr>
        <w:spacing w:after="200"/>
        <w:contextualSpacing/>
        <w:jc w:val="both"/>
        <w:rPr>
          <w:rFonts w:ascii="Verdana" w:hAnsi="Verdana"/>
          <w:sz w:val="20"/>
          <w:szCs w:val="20"/>
          <w:lang w:val="es-CR"/>
        </w:rPr>
      </w:pPr>
      <w:r w:rsidRPr="00225DDB">
        <w:rPr>
          <w:rFonts w:ascii="Verdana" w:hAnsi="Verdana"/>
          <w:sz w:val="20"/>
          <w:szCs w:val="20"/>
          <w:lang w:val="es-CR"/>
        </w:rPr>
        <w:t xml:space="preserve">Olga Yolanda Maldonado Ordóñez </w:t>
      </w:r>
      <w:r w:rsidR="00780594">
        <w:rPr>
          <w:rFonts w:ascii="Verdana" w:hAnsi="Verdana"/>
          <w:sz w:val="20"/>
          <w:szCs w:val="20"/>
          <w:lang w:val="es-CR"/>
        </w:rPr>
        <w:t xml:space="preserve">comenzó a laborar en </w:t>
      </w:r>
      <w:r w:rsidRPr="00225DDB">
        <w:rPr>
          <w:rFonts w:ascii="Verdana" w:hAnsi="Verdana"/>
          <w:sz w:val="20"/>
          <w:szCs w:val="20"/>
          <w:lang w:val="es-CR"/>
        </w:rPr>
        <w:t>1992 en la Procuraduría de los Derechos Humanos de Guatemala</w:t>
      </w:r>
      <w:r w:rsidR="00F74238">
        <w:rPr>
          <w:rFonts w:ascii="Verdana" w:hAnsi="Verdana"/>
          <w:sz w:val="20"/>
          <w:szCs w:val="20"/>
          <w:lang w:val="es-CR"/>
        </w:rPr>
        <w:t>. En un inicio la señora Maldonado trabajó</w:t>
      </w:r>
      <w:r w:rsidRPr="00225DDB">
        <w:rPr>
          <w:rFonts w:ascii="Verdana" w:hAnsi="Verdana"/>
          <w:sz w:val="20"/>
          <w:szCs w:val="20"/>
          <w:lang w:val="es-CR"/>
        </w:rPr>
        <w:t xml:space="preserve"> como Técnica </w:t>
      </w:r>
      <w:r w:rsidR="00F74238">
        <w:rPr>
          <w:rFonts w:ascii="Verdana" w:hAnsi="Verdana"/>
          <w:sz w:val="20"/>
          <w:szCs w:val="20"/>
          <w:lang w:val="es-CR"/>
        </w:rPr>
        <w:t>en el departamento de educación;</w:t>
      </w:r>
      <w:r w:rsidRPr="00225DDB">
        <w:rPr>
          <w:rFonts w:ascii="Verdana" w:hAnsi="Verdana"/>
          <w:sz w:val="20"/>
          <w:szCs w:val="20"/>
          <w:lang w:val="es-CR"/>
        </w:rPr>
        <w:t xml:space="preserve"> </w:t>
      </w:r>
      <w:r w:rsidR="00F74238">
        <w:rPr>
          <w:rFonts w:ascii="Verdana" w:hAnsi="Verdana"/>
          <w:sz w:val="20"/>
          <w:szCs w:val="20"/>
          <w:lang w:val="es-CR"/>
        </w:rPr>
        <w:t>p</w:t>
      </w:r>
      <w:r w:rsidRPr="00225DDB">
        <w:rPr>
          <w:rFonts w:ascii="Verdana" w:hAnsi="Verdana"/>
          <w:sz w:val="20"/>
          <w:szCs w:val="20"/>
          <w:lang w:val="es-CR"/>
        </w:rPr>
        <w:t>osteriorme</w:t>
      </w:r>
      <w:r w:rsidR="00F74238">
        <w:rPr>
          <w:rFonts w:ascii="Verdana" w:hAnsi="Verdana"/>
          <w:sz w:val="20"/>
          <w:szCs w:val="20"/>
          <w:lang w:val="es-CR"/>
        </w:rPr>
        <w:t xml:space="preserve">nte </w:t>
      </w:r>
      <w:r w:rsidRPr="00225DDB">
        <w:rPr>
          <w:rFonts w:ascii="Verdana" w:hAnsi="Verdana"/>
          <w:sz w:val="20"/>
          <w:szCs w:val="20"/>
          <w:lang w:val="es-CR"/>
        </w:rPr>
        <w:t xml:space="preserve">tuvo el cargo titular de Educadora </w:t>
      </w:r>
      <w:r w:rsidR="00906B5B">
        <w:rPr>
          <w:rFonts w:ascii="Verdana" w:hAnsi="Verdana"/>
          <w:sz w:val="20"/>
          <w:szCs w:val="20"/>
          <w:lang w:val="es-CR"/>
        </w:rPr>
        <w:t xml:space="preserve">en el departamento </w:t>
      </w:r>
      <w:r w:rsidRPr="00225DDB">
        <w:rPr>
          <w:rFonts w:ascii="Verdana" w:hAnsi="Verdana"/>
          <w:sz w:val="20"/>
          <w:szCs w:val="20"/>
          <w:lang w:val="es-CR"/>
        </w:rPr>
        <w:t>de Quetzaltenango</w:t>
      </w:r>
      <w:r w:rsidR="00F74238">
        <w:rPr>
          <w:rFonts w:ascii="Verdana" w:hAnsi="Verdana"/>
          <w:sz w:val="20"/>
          <w:szCs w:val="20"/>
          <w:lang w:val="es-CR"/>
        </w:rPr>
        <w:t xml:space="preserve">, </w:t>
      </w:r>
      <w:r w:rsidR="00906B5B">
        <w:rPr>
          <w:rFonts w:ascii="Verdana" w:hAnsi="Verdana"/>
          <w:sz w:val="20"/>
          <w:szCs w:val="20"/>
          <w:lang w:val="es-CR"/>
        </w:rPr>
        <w:t xml:space="preserve">y </w:t>
      </w:r>
      <w:r w:rsidR="00F74238">
        <w:rPr>
          <w:rFonts w:ascii="Verdana" w:hAnsi="Verdana"/>
          <w:sz w:val="20"/>
          <w:szCs w:val="20"/>
          <w:lang w:val="es-CR"/>
        </w:rPr>
        <w:t>finalmente</w:t>
      </w:r>
      <w:r w:rsidRPr="00225DDB">
        <w:rPr>
          <w:rFonts w:ascii="Verdana" w:hAnsi="Verdana"/>
          <w:sz w:val="20"/>
          <w:szCs w:val="20"/>
          <w:lang w:val="es-CR"/>
        </w:rPr>
        <w:t xml:space="preserve"> ocupó el cargo interino de Auxiliar Departamental del Procurador de los Derechos Humanos en el departamento de Quiché.</w:t>
      </w:r>
    </w:p>
    <w:p w:rsidR="00225DDB" w:rsidRPr="00225DDB" w:rsidRDefault="00225DDB" w:rsidP="00225DDB">
      <w:pPr>
        <w:rPr>
          <w:rFonts w:ascii="Verdana" w:hAnsi="Verdana"/>
          <w:sz w:val="20"/>
          <w:szCs w:val="20"/>
          <w:lang w:val="es-CR"/>
        </w:rPr>
      </w:pPr>
    </w:p>
    <w:p w:rsidR="00225DDB" w:rsidRDefault="00225DDB" w:rsidP="00225DDB">
      <w:pPr>
        <w:spacing w:after="200"/>
        <w:contextualSpacing/>
        <w:jc w:val="both"/>
        <w:rPr>
          <w:rFonts w:ascii="Verdana" w:hAnsi="Verdana"/>
          <w:sz w:val="20"/>
          <w:szCs w:val="20"/>
          <w:lang w:val="es-CR"/>
        </w:rPr>
      </w:pPr>
      <w:r w:rsidRPr="00225DDB">
        <w:rPr>
          <w:rFonts w:ascii="Verdana" w:hAnsi="Verdana"/>
          <w:sz w:val="20"/>
          <w:szCs w:val="20"/>
          <w:lang w:val="es-CR"/>
        </w:rPr>
        <w:t>El 21 de febrero de 2000</w:t>
      </w:r>
      <w:r w:rsidR="00CB646C">
        <w:rPr>
          <w:rFonts w:ascii="Verdana" w:hAnsi="Verdana"/>
          <w:sz w:val="20"/>
          <w:szCs w:val="20"/>
          <w:lang w:val="es-CR"/>
        </w:rPr>
        <w:t xml:space="preserve"> tres</w:t>
      </w:r>
      <w:r w:rsidRPr="00225DDB">
        <w:rPr>
          <w:rFonts w:ascii="Verdana" w:hAnsi="Verdana"/>
          <w:sz w:val="20"/>
          <w:szCs w:val="20"/>
          <w:lang w:val="es-CR"/>
        </w:rPr>
        <w:t xml:space="preserve"> hermanos de la </w:t>
      </w:r>
      <w:r w:rsidR="00CB646C">
        <w:rPr>
          <w:rFonts w:ascii="Verdana" w:hAnsi="Verdana"/>
          <w:sz w:val="20"/>
          <w:szCs w:val="20"/>
          <w:lang w:val="es-CR"/>
        </w:rPr>
        <w:t>señora Maldonado</w:t>
      </w:r>
      <w:r w:rsidRPr="00225DDB">
        <w:rPr>
          <w:rFonts w:ascii="Verdana" w:hAnsi="Verdana"/>
          <w:sz w:val="20"/>
          <w:szCs w:val="20"/>
          <w:lang w:val="es-CR"/>
        </w:rPr>
        <w:t xml:space="preserve">, presentaron un escrito ante el Procurador de los Derechos Humanos, mediante el cual formularon acusaciones contra </w:t>
      </w:r>
      <w:r w:rsidR="00AF0FA0">
        <w:rPr>
          <w:rFonts w:ascii="Verdana" w:hAnsi="Verdana"/>
          <w:sz w:val="20"/>
          <w:szCs w:val="20"/>
          <w:lang w:val="es-CR"/>
        </w:rPr>
        <w:t>el</w:t>
      </w:r>
      <w:r w:rsidRPr="00225DDB">
        <w:rPr>
          <w:rFonts w:ascii="Verdana" w:hAnsi="Verdana"/>
          <w:sz w:val="20"/>
          <w:szCs w:val="20"/>
          <w:lang w:val="es-CR"/>
        </w:rPr>
        <w:t>la</w:t>
      </w:r>
      <w:r w:rsidR="000C620D">
        <w:rPr>
          <w:rFonts w:ascii="Verdana" w:hAnsi="Verdana"/>
          <w:sz w:val="20"/>
          <w:szCs w:val="20"/>
          <w:lang w:val="es-CR"/>
        </w:rPr>
        <w:t>,</w:t>
      </w:r>
      <w:r w:rsidRPr="00225DDB">
        <w:rPr>
          <w:rFonts w:ascii="Verdana" w:hAnsi="Verdana"/>
          <w:sz w:val="20"/>
          <w:szCs w:val="20"/>
          <w:lang w:val="es-CR"/>
        </w:rPr>
        <w:t xml:space="preserve"> relacionadas con la presunta falsificación de</w:t>
      </w:r>
      <w:r w:rsidR="00CB646C">
        <w:rPr>
          <w:rFonts w:ascii="Verdana" w:hAnsi="Verdana"/>
          <w:sz w:val="20"/>
          <w:szCs w:val="20"/>
          <w:lang w:val="es-CR"/>
        </w:rPr>
        <w:t xml:space="preserve"> una Escritura Pública</w:t>
      </w:r>
      <w:r w:rsidRPr="00225DDB">
        <w:rPr>
          <w:rFonts w:ascii="Verdana" w:hAnsi="Verdana"/>
          <w:sz w:val="20"/>
          <w:szCs w:val="20"/>
          <w:lang w:val="es-CR"/>
        </w:rPr>
        <w:t xml:space="preserve"> y solicitaron que le fuera impuesta una “sanción moral”.</w:t>
      </w:r>
    </w:p>
    <w:p w:rsidR="009C4310" w:rsidRDefault="009C4310" w:rsidP="00225DDB">
      <w:pPr>
        <w:spacing w:after="200"/>
        <w:contextualSpacing/>
        <w:jc w:val="both"/>
        <w:rPr>
          <w:rFonts w:ascii="Verdana" w:hAnsi="Verdana"/>
          <w:sz w:val="20"/>
          <w:szCs w:val="20"/>
          <w:lang w:val="es-CR"/>
        </w:rPr>
      </w:pPr>
    </w:p>
    <w:p w:rsidR="009C4310" w:rsidRDefault="009C4310" w:rsidP="009C4310">
      <w:pPr>
        <w:spacing w:after="200"/>
        <w:contextualSpacing/>
        <w:jc w:val="both"/>
        <w:rPr>
          <w:rFonts w:ascii="Verdana" w:hAnsi="Verdana"/>
          <w:sz w:val="20"/>
          <w:szCs w:val="20"/>
          <w:lang w:val="es-CR"/>
        </w:rPr>
      </w:pPr>
      <w:r w:rsidRPr="009C4310">
        <w:rPr>
          <w:rFonts w:ascii="Verdana" w:hAnsi="Verdana"/>
          <w:sz w:val="20"/>
          <w:szCs w:val="20"/>
          <w:lang w:val="es-CR"/>
        </w:rPr>
        <w:t>El</w:t>
      </w:r>
      <w:r>
        <w:rPr>
          <w:rFonts w:ascii="Verdana" w:hAnsi="Verdana"/>
          <w:sz w:val="20"/>
          <w:szCs w:val="20"/>
          <w:lang w:val="es-CR"/>
        </w:rPr>
        <w:t xml:space="preserve"> 5 de abril de 2000 </w:t>
      </w:r>
      <w:r w:rsidR="00AF0FA0">
        <w:rPr>
          <w:rFonts w:ascii="Verdana" w:hAnsi="Verdana"/>
          <w:sz w:val="20"/>
          <w:szCs w:val="20"/>
          <w:lang w:val="es-CR"/>
        </w:rPr>
        <w:t>el Procurador de los Derechos Humanos</w:t>
      </w:r>
      <w:r w:rsidRPr="009C4310">
        <w:rPr>
          <w:rFonts w:ascii="Verdana" w:hAnsi="Verdana"/>
          <w:sz w:val="20"/>
          <w:szCs w:val="20"/>
          <w:lang w:val="es-CR"/>
        </w:rPr>
        <w:t xml:space="preserve"> informó a la </w:t>
      </w:r>
      <w:r w:rsidRPr="00225DDB">
        <w:rPr>
          <w:rFonts w:ascii="Verdana" w:hAnsi="Verdana"/>
          <w:sz w:val="20"/>
          <w:szCs w:val="20"/>
          <w:lang w:val="es-CR"/>
        </w:rPr>
        <w:t>señora Maldonado</w:t>
      </w:r>
      <w:r w:rsidRPr="009C4310">
        <w:rPr>
          <w:rFonts w:ascii="Verdana" w:hAnsi="Verdana"/>
          <w:sz w:val="20"/>
          <w:szCs w:val="20"/>
          <w:lang w:val="es-CR"/>
        </w:rPr>
        <w:t xml:space="preserve"> de la denuncia presentada por sus hermanos</w:t>
      </w:r>
      <w:r>
        <w:rPr>
          <w:rFonts w:ascii="Verdana" w:hAnsi="Verdana"/>
          <w:sz w:val="20"/>
          <w:szCs w:val="20"/>
          <w:lang w:val="es-CR"/>
        </w:rPr>
        <w:t xml:space="preserve"> y</w:t>
      </w:r>
      <w:r w:rsidRPr="009C4310">
        <w:rPr>
          <w:rFonts w:ascii="Verdana" w:hAnsi="Verdana"/>
          <w:sz w:val="20"/>
          <w:szCs w:val="20"/>
          <w:lang w:val="es-CR"/>
        </w:rPr>
        <w:t xml:space="preserve"> le notificó la “causal de despido”, contenida en el artículo 74, numerales 4 y 15 del Reglamento de Personal del Procurador de los Derechos Humanos</w:t>
      </w:r>
      <w:r>
        <w:rPr>
          <w:rFonts w:ascii="Verdana" w:hAnsi="Verdana"/>
          <w:sz w:val="20"/>
          <w:szCs w:val="20"/>
          <w:lang w:val="es-CR"/>
        </w:rPr>
        <w:t>.</w:t>
      </w:r>
      <w:r w:rsidRPr="009C4310">
        <w:rPr>
          <w:rFonts w:ascii="Verdana" w:hAnsi="Verdana"/>
          <w:sz w:val="20"/>
          <w:szCs w:val="20"/>
          <w:lang w:val="es-CR"/>
        </w:rPr>
        <w:t xml:space="preserve"> </w:t>
      </w:r>
      <w:r>
        <w:rPr>
          <w:rFonts w:ascii="Verdana" w:hAnsi="Verdana"/>
          <w:sz w:val="20"/>
          <w:szCs w:val="20"/>
          <w:lang w:val="es-CR"/>
        </w:rPr>
        <w:t>Además</w:t>
      </w:r>
      <w:r w:rsidRPr="009C4310">
        <w:rPr>
          <w:rFonts w:ascii="Verdana" w:hAnsi="Verdana"/>
          <w:sz w:val="20"/>
          <w:szCs w:val="20"/>
          <w:lang w:val="es-CR"/>
        </w:rPr>
        <w:t xml:space="preserve"> se le indicó que tenía derecho a presentar documentos o pruebas de descargo </w:t>
      </w:r>
      <w:r>
        <w:rPr>
          <w:rFonts w:ascii="Verdana" w:hAnsi="Verdana"/>
          <w:sz w:val="20"/>
          <w:szCs w:val="20"/>
          <w:lang w:val="es-CR"/>
        </w:rPr>
        <w:t>en</w:t>
      </w:r>
      <w:r w:rsidRPr="009C4310">
        <w:rPr>
          <w:rFonts w:ascii="Verdana" w:hAnsi="Verdana"/>
          <w:sz w:val="20"/>
          <w:szCs w:val="20"/>
          <w:lang w:val="es-CR"/>
        </w:rPr>
        <w:t xml:space="preserve"> un plazo de dos días. La señora Maldonado presentó un escrito de descargo y prueba documental el mismo día 5 de abril de 2000, en el cual señaló que los hechos denunciados en su contra eran falsos. El 16 de mayo de 2000 el Procurador de los Derechos Humanos emitió el Acuerdo No. 81-2000 mediante el cual resolvió destituir a la señora Maldonado del cargo interino de Auxiliar Departamental, destitución que “se hacía extensiva al cargo de Educadora”</w:t>
      </w:r>
      <w:r w:rsidR="00E82CDF">
        <w:rPr>
          <w:rFonts w:ascii="Verdana" w:hAnsi="Verdana"/>
          <w:sz w:val="20"/>
          <w:szCs w:val="20"/>
          <w:lang w:val="es-CR"/>
        </w:rPr>
        <w:t xml:space="preserve">. </w:t>
      </w:r>
    </w:p>
    <w:p w:rsidR="008F56E3" w:rsidRDefault="008F56E3" w:rsidP="009C4310">
      <w:pPr>
        <w:spacing w:after="200"/>
        <w:contextualSpacing/>
        <w:jc w:val="both"/>
        <w:rPr>
          <w:rFonts w:ascii="Verdana" w:hAnsi="Verdana"/>
          <w:sz w:val="20"/>
          <w:szCs w:val="20"/>
          <w:lang w:val="es-CR"/>
        </w:rPr>
      </w:pPr>
    </w:p>
    <w:p w:rsidR="008F56E3" w:rsidRDefault="008F56E3" w:rsidP="00330F1E">
      <w:pPr>
        <w:contextualSpacing/>
        <w:jc w:val="both"/>
        <w:rPr>
          <w:rFonts w:ascii="Verdana" w:hAnsi="Verdana"/>
          <w:sz w:val="20"/>
          <w:szCs w:val="20"/>
          <w:lang w:val="es-CR"/>
        </w:rPr>
      </w:pPr>
      <w:r w:rsidRPr="008F56E3">
        <w:rPr>
          <w:rFonts w:ascii="Verdana" w:hAnsi="Verdana"/>
          <w:sz w:val="20"/>
          <w:szCs w:val="20"/>
          <w:lang w:val="es-CR"/>
        </w:rPr>
        <w:t xml:space="preserve">El 2 de junio de 2000 la </w:t>
      </w:r>
      <w:r w:rsidR="00A9028B">
        <w:rPr>
          <w:rFonts w:ascii="Verdana" w:hAnsi="Verdana"/>
          <w:sz w:val="20"/>
          <w:szCs w:val="20"/>
          <w:lang w:val="es-CR"/>
        </w:rPr>
        <w:t>señora Maldonado</w:t>
      </w:r>
      <w:r w:rsidRPr="008F56E3">
        <w:rPr>
          <w:rFonts w:ascii="Verdana" w:hAnsi="Verdana"/>
          <w:sz w:val="20"/>
          <w:szCs w:val="20"/>
          <w:lang w:val="es-CR"/>
        </w:rPr>
        <w:t xml:space="preserve"> interpuso un recurso de revisión ante el Procurador de los Derechos Humanos, solicitando que se revocara el Acuerdo No. 81-2000 que había resuelto su destitución y, en consecuencia, su inmediata reposición a los cargos que venía desempeñando. En los fundamentos del recurso la señora Maldonado señaló que su destitución obedecía a causales de índole familiar que no guardaban relación con la comisión de alguna falta al servicio en sus labores como funcionaria de la Procuraduría de los Derechos Humanos. El 16 de junio de 2000 el recurso de revisión interpuesto fue declarado sin lugar debido a que</w:t>
      </w:r>
      <w:r w:rsidR="00B334C2">
        <w:rPr>
          <w:rFonts w:ascii="Verdana" w:hAnsi="Verdana"/>
          <w:sz w:val="20"/>
          <w:szCs w:val="20"/>
          <w:lang w:val="es-CR"/>
        </w:rPr>
        <w:t xml:space="preserve"> el Procurador consideró que</w:t>
      </w:r>
      <w:r w:rsidR="00E46FD5">
        <w:rPr>
          <w:rFonts w:ascii="Verdana" w:hAnsi="Verdana"/>
          <w:sz w:val="20"/>
          <w:szCs w:val="20"/>
          <w:lang w:val="es-CR"/>
        </w:rPr>
        <w:t xml:space="preserve"> </w:t>
      </w:r>
      <w:r w:rsidRPr="008F56E3">
        <w:rPr>
          <w:rFonts w:ascii="Verdana" w:hAnsi="Verdana"/>
          <w:sz w:val="20"/>
          <w:szCs w:val="20"/>
          <w:lang w:val="es-CR"/>
        </w:rPr>
        <w:t xml:space="preserve">las causas que motivaron </w:t>
      </w:r>
      <w:r w:rsidR="00E46FD5">
        <w:rPr>
          <w:rFonts w:ascii="Verdana" w:hAnsi="Verdana"/>
          <w:sz w:val="20"/>
          <w:szCs w:val="20"/>
          <w:lang w:val="es-CR"/>
        </w:rPr>
        <w:t>la</w:t>
      </w:r>
      <w:r w:rsidRPr="008F56E3">
        <w:rPr>
          <w:rFonts w:ascii="Verdana" w:hAnsi="Verdana"/>
          <w:sz w:val="20"/>
          <w:szCs w:val="20"/>
          <w:lang w:val="es-CR"/>
        </w:rPr>
        <w:t xml:space="preserve"> destitución </w:t>
      </w:r>
      <w:r w:rsidR="00E46FD5">
        <w:rPr>
          <w:rFonts w:ascii="Verdana" w:hAnsi="Verdana"/>
          <w:sz w:val="20"/>
          <w:szCs w:val="20"/>
          <w:lang w:val="es-CR"/>
        </w:rPr>
        <w:t>eran</w:t>
      </w:r>
      <w:r w:rsidRPr="008F56E3">
        <w:rPr>
          <w:rFonts w:ascii="Verdana" w:hAnsi="Verdana"/>
          <w:sz w:val="20"/>
          <w:szCs w:val="20"/>
          <w:lang w:val="es-CR"/>
        </w:rPr>
        <w:t xml:space="preserve"> de índole familiar, </w:t>
      </w:r>
      <w:r w:rsidR="00CE235E">
        <w:rPr>
          <w:rFonts w:ascii="Verdana" w:hAnsi="Verdana"/>
          <w:sz w:val="20"/>
          <w:szCs w:val="20"/>
          <w:lang w:val="es-CR"/>
        </w:rPr>
        <w:t>“</w:t>
      </w:r>
      <w:r w:rsidRPr="008F56E3">
        <w:rPr>
          <w:rFonts w:ascii="Verdana" w:hAnsi="Verdana"/>
          <w:sz w:val="20"/>
          <w:szCs w:val="20"/>
          <w:lang w:val="es-CR"/>
        </w:rPr>
        <w:t>por lo que resultan aplicables los numerales 4 y 15 del artículo 74 del Reglamento de Personal del Procurador</w:t>
      </w:r>
      <w:r w:rsidR="00CE235E">
        <w:rPr>
          <w:rFonts w:ascii="Verdana" w:hAnsi="Verdana"/>
          <w:sz w:val="20"/>
          <w:szCs w:val="20"/>
          <w:lang w:val="es-CR"/>
        </w:rPr>
        <w:t>”</w:t>
      </w:r>
      <w:r w:rsidRPr="008F56E3">
        <w:rPr>
          <w:rFonts w:ascii="Verdana" w:hAnsi="Verdana"/>
          <w:sz w:val="20"/>
          <w:szCs w:val="20"/>
          <w:lang w:val="es-CR"/>
        </w:rPr>
        <w:t xml:space="preserve">, agregando </w:t>
      </w:r>
      <w:r w:rsidR="000A3331">
        <w:rPr>
          <w:rFonts w:ascii="Verdana" w:hAnsi="Verdana"/>
          <w:sz w:val="20"/>
          <w:szCs w:val="20"/>
          <w:lang w:val="es-CR"/>
        </w:rPr>
        <w:t xml:space="preserve">que </w:t>
      </w:r>
      <w:r w:rsidRPr="008F56E3">
        <w:rPr>
          <w:rFonts w:ascii="Verdana" w:hAnsi="Verdana"/>
          <w:sz w:val="20"/>
          <w:szCs w:val="20"/>
          <w:lang w:val="es-CR"/>
        </w:rPr>
        <w:t xml:space="preserve">el sólo hecho de la presentación de denuncias en contra </w:t>
      </w:r>
      <w:r w:rsidR="00CE235E">
        <w:rPr>
          <w:rFonts w:ascii="Verdana" w:hAnsi="Verdana"/>
          <w:sz w:val="20"/>
          <w:szCs w:val="20"/>
          <w:lang w:val="es-CR"/>
        </w:rPr>
        <w:t xml:space="preserve">de </w:t>
      </w:r>
      <w:r w:rsidR="00CE235E" w:rsidRPr="008F56E3">
        <w:rPr>
          <w:rFonts w:ascii="Verdana" w:hAnsi="Verdana"/>
          <w:sz w:val="20"/>
          <w:szCs w:val="20"/>
          <w:lang w:val="es-CR"/>
        </w:rPr>
        <w:t xml:space="preserve">la señora Maldonado </w:t>
      </w:r>
      <w:r w:rsidRPr="008F56E3">
        <w:rPr>
          <w:rFonts w:ascii="Verdana" w:hAnsi="Verdana"/>
          <w:sz w:val="20"/>
          <w:szCs w:val="20"/>
          <w:lang w:val="es-CR"/>
        </w:rPr>
        <w:t>refleja</w:t>
      </w:r>
      <w:r w:rsidR="000A3331">
        <w:rPr>
          <w:rFonts w:ascii="Verdana" w:hAnsi="Verdana"/>
          <w:sz w:val="20"/>
          <w:szCs w:val="20"/>
          <w:lang w:val="es-CR"/>
        </w:rPr>
        <w:t>ba</w:t>
      </w:r>
      <w:r w:rsidRPr="008F56E3">
        <w:rPr>
          <w:rFonts w:ascii="Verdana" w:hAnsi="Verdana"/>
          <w:sz w:val="20"/>
          <w:szCs w:val="20"/>
          <w:lang w:val="es-CR"/>
        </w:rPr>
        <w:t xml:space="preserve"> </w:t>
      </w:r>
      <w:r w:rsidR="000A3331">
        <w:rPr>
          <w:rFonts w:ascii="Verdana" w:hAnsi="Verdana"/>
          <w:sz w:val="20"/>
          <w:szCs w:val="20"/>
          <w:lang w:val="es-CR"/>
        </w:rPr>
        <w:t>una</w:t>
      </w:r>
      <w:r w:rsidRPr="008F56E3">
        <w:rPr>
          <w:rFonts w:ascii="Verdana" w:hAnsi="Verdana"/>
          <w:sz w:val="20"/>
          <w:szCs w:val="20"/>
          <w:lang w:val="es-CR"/>
        </w:rPr>
        <w:t xml:space="preserve"> conducta no deseada para quienes </w:t>
      </w:r>
      <w:r w:rsidR="000A3331">
        <w:rPr>
          <w:rFonts w:ascii="Verdana" w:hAnsi="Verdana"/>
          <w:sz w:val="20"/>
          <w:szCs w:val="20"/>
          <w:lang w:val="es-CR"/>
        </w:rPr>
        <w:t>defienden</w:t>
      </w:r>
      <w:r w:rsidRPr="008F56E3">
        <w:rPr>
          <w:rFonts w:ascii="Verdana" w:hAnsi="Verdana"/>
          <w:sz w:val="20"/>
          <w:szCs w:val="20"/>
          <w:lang w:val="es-CR"/>
        </w:rPr>
        <w:t xml:space="preserve"> los derechos humanos. </w:t>
      </w:r>
    </w:p>
    <w:p w:rsidR="00330F1E" w:rsidRDefault="00330F1E" w:rsidP="008F56E3">
      <w:pPr>
        <w:spacing w:after="200"/>
        <w:contextualSpacing/>
        <w:jc w:val="both"/>
        <w:rPr>
          <w:rFonts w:ascii="Verdana" w:hAnsi="Verdana"/>
          <w:sz w:val="20"/>
          <w:szCs w:val="20"/>
          <w:lang w:val="es-CR"/>
        </w:rPr>
      </w:pPr>
    </w:p>
    <w:p w:rsidR="00330F1E" w:rsidRPr="00330F1E" w:rsidRDefault="005B36D5" w:rsidP="00330F1E">
      <w:pPr>
        <w:spacing w:after="200"/>
        <w:contextualSpacing/>
        <w:jc w:val="both"/>
        <w:rPr>
          <w:rFonts w:ascii="Verdana" w:hAnsi="Verdana"/>
          <w:sz w:val="20"/>
          <w:szCs w:val="20"/>
          <w:lang w:val="es-CR"/>
        </w:rPr>
      </w:pPr>
      <w:r>
        <w:rPr>
          <w:rFonts w:ascii="Verdana" w:hAnsi="Verdana"/>
          <w:sz w:val="20"/>
          <w:szCs w:val="20"/>
          <w:lang w:val="es-CR"/>
        </w:rPr>
        <w:t>De acuerdo a lo que establecía</w:t>
      </w:r>
      <w:r w:rsidR="00330F1E" w:rsidRPr="00330F1E">
        <w:rPr>
          <w:rFonts w:ascii="Verdana" w:hAnsi="Verdana"/>
          <w:sz w:val="20"/>
          <w:szCs w:val="20"/>
          <w:lang w:val="es-CR"/>
        </w:rPr>
        <w:t xml:space="preserve"> el artículo 80 del Reglamento de Personal del Procurador el 20 de junio de 2000 la </w:t>
      </w:r>
      <w:r w:rsidRPr="008F56E3">
        <w:rPr>
          <w:rFonts w:ascii="Verdana" w:hAnsi="Verdana"/>
          <w:sz w:val="20"/>
          <w:szCs w:val="20"/>
          <w:lang w:val="es-CR"/>
        </w:rPr>
        <w:t>señora Maldonado</w:t>
      </w:r>
      <w:r w:rsidR="00330F1E" w:rsidRPr="00330F1E">
        <w:rPr>
          <w:rFonts w:ascii="Verdana" w:hAnsi="Verdana"/>
          <w:sz w:val="20"/>
          <w:szCs w:val="20"/>
          <w:lang w:val="es-CR"/>
        </w:rPr>
        <w:t xml:space="preserve"> presentó un recurso de apelación ante la Sala Segunda de la Corte de Apelacione</w:t>
      </w:r>
      <w:r>
        <w:rPr>
          <w:rFonts w:ascii="Verdana" w:hAnsi="Verdana"/>
          <w:sz w:val="20"/>
          <w:szCs w:val="20"/>
          <w:lang w:val="es-CR"/>
        </w:rPr>
        <w:t>s de Trabajo y Previsión Social</w:t>
      </w:r>
      <w:r w:rsidR="00330F1E" w:rsidRPr="00330F1E">
        <w:rPr>
          <w:rFonts w:ascii="Verdana" w:hAnsi="Verdana"/>
          <w:sz w:val="20"/>
          <w:szCs w:val="20"/>
          <w:lang w:val="es-CR"/>
        </w:rPr>
        <w:t xml:space="preserve"> contra la denegatoria del recurso de revisión. En el recurso de apelación la señora Maldonado señaló que no existía en el expediente de su destitución ningún hecho o acto que constituyera alguna de las causales contempladas en los numerales 4 y 15 del artículo 74 del Reglament</w:t>
      </w:r>
      <w:r>
        <w:rPr>
          <w:rFonts w:ascii="Verdana" w:hAnsi="Verdana"/>
          <w:sz w:val="20"/>
          <w:szCs w:val="20"/>
          <w:lang w:val="es-CR"/>
        </w:rPr>
        <w:t xml:space="preserve">o de Personal del Procurador.  </w:t>
      </w:r>
      <w:r w:rsidR="00330F1E" w:rsidRPr="00330F1E">
        <w:rPr>
          <w:rFonts w:ascii="Verdana" w:hAnsi="Verdana"/>
          <w:sz w:val="20"/>
          <w:szCs w:val="20"/>
          <w:lang w:val="es-CR"/>
        </w:rPr>
        <w:t xml:space="preserve">El 26 de junio de 2000 la Sala Segunda de la Corte de Apelaciones resolvió abstenerse de entrar a conocer el asunto por carecer de competencia para pronunciarse.  </w:t>
      </w:r>
    </w:p>
    <w:p w:rsidR="00330F1E" w:rsidRPr="00385595" w:rsidRDefault="00330F1E" w:rsidP="00330F1E">
      <w:pPr>
        <w:rPr>
          <w:rFonts w:ascii="Verdana" w:hAnsi="Verdana"/>
          <w:sz w:val="20"/>
          <w:szCs w:val="20"/>
          <w:lang w:val="es-CR"/>
        </w:rPr>
      </w:pPr>
    </w:p>
    <w:p w:rsidR="00385595" w:rsidRPr="00385595" w:rsidRDefault="00385595" w:rsidP="00385595">
      <w:pPr>
        <w:spacing w:after="200"/>
        <w:contextualSpacing/>
        <w:jc w:val="both"/>
        <w:rPr>
          <w:rFonts w:ascii="Verdana" w:hAnsi="Verdana"/>
          <w:sz w:val="20"/>
          <w:szCs w:val="20"/>
          <w:lang w:val="es-CR"/>
        </w:rPr>
      </w:pPr>
      <w:r w:rsidRPr="00385595">
        <w:rPr>
          <w:rFonts w:ascii="Verdana" w:hAnsi="Verdana"/>
          <w:sz w:val="20"/>
          <w:szCs w:val="20"/>
          <w:lang w:val="es-CR"/>
        </w:rPr>
        <w:t>El 23 de agosto de 2000 la señora Maldonado presentó un recurso de inconstitucionalidad en el caso concreto ante la Sala Segunda de la Corte de Apelaciones, que actuaba en funciones de Tribunal Constitucional</w:t>
      </w:r>
      <w:r>
        <w:rPr>
          <w:rFonts w:ascii="Verdana" w:hAnsi="Verdana"/>
          <w:sz w:val="20"/>
          <w:szCs w:val="20"/>
          <w:lang w:val="es-CR"/>
        </w:rPr>
        <w:t xml:space="preserve">, en contra de la </w:t>
      </w:r>
      <w:r w:rsidRPr="00385595">
        <w:rPr>
          <w:rFonts w:ascii="Verdana" w:hAnsi="Verdana"/>
          <w:sz w:val="20"/>
          <w:szCs w:val="20"/>
          <w:lang w:val="es-CR"/>
        </w:rPr>
        <w:t>decisión de la Sala Segunda de la Corte de Apelaciones de declararse incompetente para conocer el recurso de apelación interpuesto.</w:t>
      </w:r>
      <w:r>
        <w:rPr>
          <w:rFonts w:ascii="Verdana" w:hAnsi="Verdana"/>
          <w:sz w:val="20"/>
          <w:szCs w:val="20"/>
          <w:lang w:val="es-CR"/>
        </w:rPr>
        <w:t xml:space="preserve"> </w:t>
      </w:r>
      <w:r w:rsidRPr="00385595">
        <w:rPr>
          <w:rFonts w:ascii="Verdana" w:hAnsi="Verdana"/>
          <w:sz w:val="20"/>
          <w:szCs w:val="20"/>
          <w:lang w:val="es-CR"/>
        </w:rPr>
        <w:t>El 6 de septiembre de 2000 la Sala Seg</w:t>
      </w:r>
      <w:r w:rsidR="00AF0FA0">
        <w:rPr>
          <w:rFonts w:ascii="Verdana" w:hAnsi="Verdana"/>
          <w:sz w:val="20"/>
          <w:szCs w:val="20"/>
          <w:lang w:val="es-CR"/>
        </w:rPr>
        <w:t>unda de la Corte de Apelaciones</w:t>
      </w:r>
      <w:r w:rsidRPr="00385595">
        <w:rPr>
          <w:rFonts w:ascii="Verdana" w:hAnsi="Verdana"/>
          <w:sz w:val="20"/>
          <w:szCs w:val="20"/>
          <w:lang w:val="es-CR"/>
        </w:rPr>
        <w:t xml:space="preserve"> declaró improcedente el recurso de inconstitucionalidad</w:t>
      </w:r>
      <w:r>
        <w:rPr>
          <w:rFonts w:ascii="Verdana" w:hAnsi="Verdana"/>
          <w:sz w:val="20"/>
          <w:szCs w:val="20"/>
          <w:lang w:val="es-CR"/>
        </w:rPr>
        <w:t xml:space="preserve"> y</w:t>
      </w:r>
      <w:r w:rsidRPr="00385595">
        <w:rPr>
          <w:rFonts w:ascii="Verdana" w:hAnsi="Verdana"/>
          <w:sz w:val="20"/>
          <w:szCs w:val="20"/>
          <w:lang w:val="es-CR"/>
        </w:rPr>
        <w:t xml:space="preserve"> consideró que no se advertía violación de un precepto constitucional. </w:t>
      </w:r>
    </w:p>
    <w:p w:rsidR="00385595" w:rsidRPr="00385595" w:rsidRDefault="00385595" w:rsidP="00385595">
      <w:pPr>
        <w:rPr>
          <w:rFonts w:ascii="Verdana" w:hAnsi="Verdana"/>
          <w:sz w:val="20"/>
          <w:szCs w:val="20"/>
          <w:lang w:val="es-CR"/>
        </w:rPr>
      </w:pPr>
    </w:p>
    <w:p w:rsidR="005B36D5" w:rsidRPr="00646AF9" w:rsidRDefault="00385595" w:rsidP="005B36D5">
      <w:pPr>
        <w:spacing w:after="200"/>
        <w:contextualSpacing/>
        <w:jc w:val="both"/>
        <w:rPr>
          <w:rFonts w:ascii="Verdana" w:hAnsi="Verdana"/>
          <w:sz w:val="20"/>
          <w:szCs w:val="20"/>
          <w:lang w:val="es-CR"/>
        </w:rPr>
      </w:pPr>
      <w:r w:rsidRPr="00385595">
        <w:rPr>
          <w:rFonts w:ascii="Verdana" w:hAnsi="Verdana"/>
          <w:sz w:val="20"/>
          <w:szCs w:val="20"/>
          <w:lang w:val="es-CR"/>
        </w:rPr>
        <w:t>El 8 de septiembre de 2000 la señora Maldonado presentó un recurso de apelación ante la Sala Segunda de la Corte de Apelaciones, constituida como Tribunal Constitucional, en contra de la resolución que declaró la improcedencia de la acción de inconstitucionalidad. Ese recurso fue recibido por la Sala Segunda de la Corte de Apelaciones y remitido a l</w:t>
      </w:r>
      <w:r w:rsidR="008B78D4">
        <w:rPr>
          <w:rFonts w:ascii="Verdana" w:hAnsi="Verdana"/>
          <w:sz w:val="20"/>
          <w:szCs w:val="20"/>
          <w:lang w:val="es-CR"/>
        </w:rPr>
        <w:t xml:space="preserve">a Corte de Constitucionalidad. </w:t>
      </w:r>
      <w:r w:rsidRPr="00385595">
        <w:rPr>
          <w:rFonts w:ascii="Verdana" w:hAnsi="Verdana"/>
          <w:sz w:val="20"/>
          <w:szCs w:val="20"/>
          <w:lang w:val="es-CR"/>
        </w:rPr>
        <w:t xml:space="preserve">El 9 de octubre de 2001 la Corte de Constitucionalidad determinó la improcedencia de la apelación. </w:t>
      </w:r>
    </w:p>
    <w:p w:rsidR="00E63FBF" w:rsidRDefault="00FD1DC2" w:rsidP="00133CE8">
      <w:pPr>
        <w:pStyle w:val="ListParagraph"/>
        <w:numPr>
          <w:ilvl w:val="0"/>
          <w:numId w:val="1"/>
        </w:numPr>
        <w:spacing w:after="200"/>
        <w:ind w:left="1170"/>
        <w:contextualSpacing/>
        <w:jc w:val="both"/>
        <w:rPr>
          <w:rFonts w:ascii="Verdana" w:hAnsi="Verdana"/>
          <w:b/>
          <w:sz w:val="20"/>
          <w:szCs w:val="20"/>
          <w:lang w:val="es-ES"/>
        </w:rPr>
      </w:pPr>
      <w:r w:rsidRPr="0034438D">
        <w:rPr>
          <w:rFonts w:ascii="Verdana" w:hAnsi="Verdana"/>
          <w:b/>
          <w:sz w:val="20"/>
          <w:szCs w:val="20"/>
          <w:lang w:val="es-ES"/>
        </w:rPr>
        <w:t>Excepción</w:t>
      </w:r>
      <w:r w:rsidR="00E63FBF" w:rsidRPr="0034438D">
        <w:rPr>
          <w:rFonts w:ascii="Verdana" w:hAnsi="Verdana"/>
          <w:b/>
          <w:sz w:val="20"/>
          <w:szCs w:val="20"/>
          <w:lang w:val="es-ES"/>
        </w:rPr>
        <w:t xml:space="preserve"> Preliminar</w:t>
      </w:r>
    </w:p>
    <w:p w:rsidR="00044C49" w:rsidRPr="0034438D" w:rsidRDefault="00044C49" w:rsidP="00044C49">
      <w:pPr>
        <w:pStyle w:val="ListParagraph"/>
        <w:spacing w:after="200"/>
        <w:ind w:left="1170"/>
        <w:contextualSpacing/>
        <w:jc w:val="both"/>
        <w:rPr>
          <w:rFonts w:ascii="Verdana" w:hAnsi="Verdana"/>
          <w:b/>
          <w:sz w:val="20"/>
          <w:szCs w:val="20"/>
          <w:lang w:val="es-ES"/>
        </w:rPr>
      </w:pPr>
    </w:p>
    <w:p w:rsidR="00E63FBF" w:rsidRDefault="00E63FBF" w:rsidP="00E63FBF">
      <w:pPr>
        <w:pStyle w:val="ListParagraph"/>
        <w:spacing w:before="240" w:after="240"/>
        <w:ind w:left="0"/>
        <w:jc w:val="both"/>
        <w:rPr>
          <w:rFonts w:ascii="Verdana" w:hAnsi="Verdana"/>
          <w:sz w:val="20"/>
          <w:szCs w:val="20"/>
        </w:rPr>
      </w:pPr>
      <w:r>
        <w:rPr>
          <w:rFonts w:ascii="Verdana" w:hAnsi="Verdana"/>
          <w:sz w:val="20"/>
          <w:szCs w:val="20"/>
        </w:rPr>
        <w:t xml:space="preserve">En </w:t>
      </w:r>
      <w:r w:rsidR="00960E0E">
        <w:rPr>
          <w:rFonts w:ascii="Verdana" w:hAnsi="Verdana"/>
          <w:sz w:val="20"/>
          <w:szCs w:val="20"/>
        </w:rPr>
        <w:t>est</w:t>
      </w:r>
      <w:r>
        <w:rPr>
          <w:rFonts w:ascii="Verdana" w:hAnsi="Verdana"/>
          <w:sz w:val="20"/>
          <w:szCs w:val="20"/>
        </w:rPr>
        <w:t>e caso el Estado prese</w:t>
      </w:r>
      <w:r w:rsidRPr="000467B4">
        <w:rPr>
          <w:rFonts w:ascii="Verdana" w:hAnsi="Verdana"/>
          <w:sz w:val="20"/>
          <w:szCs w:val="20"/>
        </w:rPr>
        <w:t xml:space="preserve">ntó </w:t>
      </w:r>
      <w:r w:rsidR="00FD1DC2" w:rsidRPr="000467B4">
        <w:rPr>
          <w:rFonts w:ascii="Verdana" w:hAnsi="Verdana"/>
          <w:sz w:val="20"/>
          <w:szCs w:val="20"/>
        </w:rPr>
        <w:t>una</w:t>
      </w:r>
      <w:r w:rsidRPr="000467B4">
        <w:rPr>
          <w:rFonts w:ascii="Verdana" w:hAnsi="Verdana"/>
          <w:sz w:val="20"/>
          <w:szCs w:val="20"/>
        </w:rPr>
        <w:t xml:space="preserve"> </w:t>
      </w:r>
      <w:r w:rsidR="00FD1DC2" w:rsidRPr="000467B4">
        <w:rPr>
          <w:rFonts w:ascii="Verdana" w:hAnsi="Verdana"/>
          <w:sz w:val="20"/>
          <w:szCs w:val="20"/>
        </w:rPr>
        <w:t>excepción</w:t>
      </w:r>
      <w:r w:rsidRPr="000467B4">
        <w:rPr>
          <w:rFonts w:ascii="Verdana" w:hAnsi="Verdana"/>
          <w:sz w:val="20"/>
          <w:szCs w:val="20"/>
        </w:rPr>
        <w:t xml:space="preserve"> preliminar</w:t>
      </w:r>
      <w:r w:rsidR="000467B4" w:rsidRPr="000467B4">
        <w:rPr>
          <w:rFonts w:ascii="Verdana" w:hAnsi="Verdana"/>
          <w:sz w:val="20"/>
          <w:szCs w:val="20"/>
        </w:rPr>
        <w:t xml:space="preserve"> con relación a la alegada falta de agotamiento de recursos internos</w:t>
      </w:r>
      <w:r w:rsidRPr="000467B4">
        <w:rPr>
          <w:rFonts w:ascii="Verdana" w:hAnsi="Verdana"/>
          <w:sz w:val="20"/>
          <w:szCs w:val="20"/>
        </w:rPr>
        <w:t xml:space="preserve">. </w:t>
      </w:r>
    </w:p>
    <w:p w:rsidR="004B7C29" w:rsidRDefault="00E25AEA" w:rsidP="004B7C29">
      <w:pPr>
        <w:jc w:val="both"/>
        <w:rPr>
          <w:rFonts w:ascii="Verdana" w:hAnsi="Verdana"/>
          <w:sz w:val="20"/>
          <w:szCs w:val="20"/>
          <w:lang w:val="es-ES"/>
        </w:rPr>
      </w:pPr>
      <w:r>
        <w:rPr>
          <w:rFonts w:ascii="Verdana" w:hAnsi="Verdana"/>
          <w:sz w:val="20"/>
          <w:szCs w:val="20"/>
          <w:lang w:val="es-CR"/>
        </w:rPr>
        <w:t>L</w:t>
      </w:r>
      <w:r w:rsidR="004B7C29" w:rsidRPr="004B7C29">
        <w:rPr>
          <w:rFonts w:ascii="Verdana" w:hAnsi="Verdana"/>
          <w:sz w:val="20"/>
          <w:szCs w:val="20"/>
          <w:lang w:val="es-ES"/>
        </w:rPr>
        <w:t xml:space="preserve">a Corte observó que </w:t>
      </w:r>
      <w:r w:rsidR="004B7C29" w:rsidRPr="004B7C29">
        <w:rPr>
          <w:rFonts w:ascii="Verdana" w:hAnsi="Verdana"/>
          <w:sz w:val="20"/>
          <w:szCs w:val="20"/>
          <w:lang w:val="es-CR"/>
        </w:rPr>
        <w:t xml:space="preserve">en el presente caso la excepción preliminar planteada fue interpuesta por el Estado </w:t>
      </w:r>
      <w:r w:rsidR="004B7C29" w:rsidRPr="004B7C29">
        <w:rPr>
          <w:rFonts w:ascii="Verdana" w:hAnsi="Verdana"/>
          <w:sz w:val="20"/>
          <w:szCs w:val="20"/>
          <w:lang w:val="es-ES"/>
        </w:rPr>
        <w:t>durante la etapa de admisibilidad</w:t>
      </w:r>
      <w:r w:rsidR="004B7C29" w:rsidRPr="004B7C29">
        <w:rPr>
          <w:rFonts w:ascii="Verdana" w:hAnsi="Verdana"/>
          <w:sz w:val="20"/>
          <w:szCs w:val="20"/>
          <w:lang w:val="es-CR"/>
        </w:rPr>
        <w:t xml:space="preserve"> ante la Comisión. Respecto a los recursos señalados en el procedimiento ante la Comisión, la Corte </w:t>
      </w:r>
      <w:r w:rsidR="002444B8">
        <w:rPr>
          <w:rFonts w:ascii="Verdana" w:hAnsi="Verdana"/>
          <w:sz w:val="20"/>
          <w:szCs w:val="20"/>
          <w:lang w:val="es-CR"/>
        </w:rPr>
        <w:t>notó</w:t>
      </w:r>
      <w:r w:rsidR="004B7C29" w:rsidRPr="004B7C29">
        <w:rPr>
          <w:rFonts w:ascii="Verdana" w:hAnsi="Verdana"/>
          <w:sz w:val="20"/>
          <w:szCs w:val="20"/>
          <w:lang w:val="es-CR"/>
        </w:rPr>
        <w:t xml:space="preserve"> que el alegato del Estado sobre la determinación del recurso idóneo que debió agotar la señora Maldonado, </w:t>
      </w:r>
      <w:r w:rsidR="007841D8">
        <w:rPr>
          <w:rFonts w:ascii="Verdana" w:hAnsi="Verdana"/>
          <w:sz w:val="20"/>
          <w:szCs w:val="20"/>
          <w:lang w:val="es-CR"/>
        </w:rPr>
        <w:t>cambió</w:t>
      </w:r>
      <w:r w:rsidR="004B7C29" w:rsidRPr="004B7C29">
        <w:rPr>
          <w:rFonts w:ascii="Verdana" w:hAnsi="Verdana"/>
          <w:sz w:val="20"/>
          <w:szCs w:val="20"/>
          <w:lang w:val="es-CR"/>
        </w:rPr>
        <w:t xml:space="preserve"> a lo largo del trámite ante el sistema interamericano y </w:t>
      </w:r>
      <w:r w:rsidR="007841D8">
        <w:rPr>
          <w:rFonts w:ascii="Verdana" w:hAnsi="Verdana"/>
          <w:sz w:val="20"/>
          <w:szCs w:val="20"/>
          <w:lang w:val="es-CR"/>
        </w:rPr>
        <w:t>fueron</w:t>
      </w:r>
      <w:r w:rsidR="004B7C29" w:rsidRPr="004B7C29">
        <w:rPr>
          <w:rFonts w:ascii="Verdana" w:hAnsi="Verdana"/>
          <w:sz w:val="20"/>
          <w:szCs w:val="20"/>
          <w:lang w:val="es-CR"/>
        </w:rPr>
        <w:t xml:space="preserve"> señaladas diversas vías como las </w:t>
      </w:r>
      <w:r w:rsidR="00AF0FA0">
        <w:rPr>
          <w:rFonts w:ascii="Verdana" w:hAnsi="Verdana"/>
          <w:sz w:val="20"/>
          <w:szCs w:val="20"/>
          <w:lang w:val="es-CR"/>
        </w:rPr>
        <w:t xml:space="preserve">supuestamente </w:t>
      </w:r>
      <w:r w:rsidR="004B7C29" w:rsidRPr="004B7C29">
        <w:rPr>
          <w:rFonts w:ascii="Verdana" w:hAnsi="Verdana"/>
          <w:sz w:val="20"/>
          <w:szCs w:val="20"/>
          <w:lang w:val="es-CR"/>
        </w:rPr>
        <w:t xml:space="preserve">adecuadas para </w:t>
      </w:r>
      <w:r w:rsidR="00AF0FA0">
        <w:rPr>
          <w:rFonts w:ascii="Verdana" w:hAnsi="Verdana"/>
          <w:sz w:val="20"/>
          <w:szCs w:val="20"/>
          <w:lang w:val="es-CR"/>
        </w:rPr>
        <w:t xml:space="preserve">su </w:t>
      </w:r>
      <w:r w:rsidR="004B7C29" w:rsidRPr="004B7C29">
        <w:rPr>
          <w:rFonts w:ascii="Verdana" w:hAnsi="Verdana"/>
          <w:sz w:val="20"/>
          <w:szCs w:val="20"/>
          <w:lang w:val="es-CR"/>
        </w:rPr>
        <w:t xml:space="preserve">reclamo </w:t>
      </w:r>
      <w:r w:rsidR="007841D8">
        <w:rPr>
          <w:rFonts w:ascii="Verdana" w:hAnsi="Verdana"/>
          <w:sz w:val="20"/>
          <w:szCs w:val="20"/>
          <w:lang w:val="es-CR"/>
        </w:rPr>
        <w:t>sin que resultara</w:t>
      </w:r>
      <w:r w:rsidR="004B7C29" w:rsidRPr="004B7C29">
        <w:rPr>
          <w:rFonts w:ascii="Verdana" w:hAnsi="Verdana"/>
          <w:sz w:val="20"/>
          <w:szCs w:val="20"/>
          <w:lang w:val="es-CR"/>
        </w:rPr>
        <w:t xml:space="preserve"> claro cuáles eran los recursos que la víctima </w:t>
      </w:r>
      <w:r w:rsidR="00AF0FA0" w:rsidRPr="004B7C29">
        <w:rPr>
          <w:rFonts w:ascii="Verdana" w:hAnsi="Verdana"/>
          <w:sz w:val="20"/>
          <w:szCs w:val="20"/>
          <w:lang w:val="es-CR"/>
        </w:rPr>
        <w:t xml:space="preserve">debía agotar </w:t>
      </w:r>
      <w:r w:rsidR="004B7C29" w:rsidRPr="004B7C29">
        <w:rPr>
          <w:rFonts w:ascii="Verdana" w:hAnsi="Verdana"/>
          <w:sz w:val="20"/>
          <w:szCs w:val="20"/>
          <w:lang w:val="es-CR"/>
        </w:rPr>
        <w:t>en la jurisdicción interna.</w:t>
      </w:r>
      <w:r w:rsidR="004B7C29" w:rsidRPr="004B7C29">
        <w:rPr>
          <w:rFonts w:ascii="Verdana" w:hAnsi="Verdana"/>
          <w:sz w:val="20"/>
          <w:szCs w:val="20"/>
          <w:lang w:val="es-ES"/>
        </w:rPr>
        <w:t xml:space="preserve"> </w:t>
      </w:r>
    </w:p>
    <w:p w:rsidR="00E70345" w:rsidRDefault="00E70345" w:rsidP="004B7C29">
      <w:pPr>
        <w:jc w:val="both"/>
        <w:rPr>
          <w:rFonts w:ascii="Verdana" w:hAnsi="Verdana"/>
          <w:sz w:val="20"/>
          <w:szCs w:val="20"/>
          <w:lang w:val="es-ES"/>
        </w:rPr>
      </w:pPr>
    </w:p>
    <w:p w:rsidR="00E63FBF" w:rsidRPr="00F460DE" w:rsidRDefault="00E70345" w:rsidP="00DB232F">
      <w:pPr>
        <w:jc w:val="both"/>
        <w:rPr>
          <w:rFonts w:ascii="Verdana" w:hAnsi="Verdana"/>
          <w:sz w:val="20"/>
          <w:szCs w:val="20"/>
          <w:lang w:val="es-CR"/>
        </w:rPr>
      </w:pPr>
      <w:r>
        <w:rPr>
          <w:rFonts w:ascii="Verdana" w:hAnsi="Verdana"/>
          <w:sz w:val="20"/>
          <w:szCs w:val="20"/>
          <w:lang w:val="es-CR"/>
        </w:rPr>
        <w:t>En lo que respecta a</w:t>
      </w:r>
      <w:r w:rsidRPr="004B7C29">
        <w:rPr>
          <w:rFonts w:ascii="Verdana" w:hAnsi="Verdana"/>
          <w:sz w:val="20"/>
          <w:szCs w:val="20"/>
          <w:lang w:val="es-CR"/>
        </w:rPr>
        <w:t xml:space="preserve"> los argumentos relativos </w:t>
      </w:r>
      <w:r>
        <w:rPr>
          <w:rFonts w:ascii="Verdana" w:hAnsi="Verdana"/>
          <w:sz w:val="20"/>
          <w:szCs w:val="20"/>
          <w:lang w:val="es-CR"/>
        </w:rPr>
        <w:t xml:space="preserve">al agotamiento de los recursos previstos en </w:t>
      </w:r>
      <w:r w:rsidRPr="004B7C29">
        <w:rPr>
          <w:rFonts w:ascii="Verdana" w:hAnsi="Verdana"/>
          <w:sz w:val="20"/>
          <w:szCs w:val="20"/>
          <w:lang w:val="es-CR"/>
        </w:rPr>
        <w:t>la vía ordinaria laboral</w:t>
      </w:r>
      <w:r w:rsidR="00F460DE">
        <w:rPr>
          <w:rFonts w:ascii="Verdana" w:hAnsi="Verdana"/>
          <w:sz w:val="20"/>
          <w:szCs w:val="20"/>
          <w:lang w:val="es-CR"/>
        </w:rPr>
        <w:t xml:space="preserve"> presentados por el Estado por primera vez ante la Corte, se </w:t>
      </w:r>
      <w:r>
        <w:rPr>
          <w:rFonts w:ascii="Verdana" w:hAnsi="Verdana"/>
          <w:sz w:val="20"/>
          <w:szCs w:val="20"/>
          <w:lang w:val="es-CR"/>
        </w:rPr>
        <w:t xml:space="preserve">determinó </w:t>
      </w:r>
      <w:r>
        <w:rPr>
          <w:rFonts w:ascii="Verdana" w:hAnsi="Verdana"/>
          <w:sz w:val="20"/>
          <w:szCs w:val="20"/>
          <w:lang w:val="es-CR"/>
        </w:rPr>
        <w:lastRenderedPageBreak/>
        <w:t xml:space="preserve">que </w:t>
      </w:r>
      <w:r w:rsidR="00093260">
        <w:rPr>
          <w:rFonts w:ascii="Verdana" w:hAnsi="Verdana"/>
          <w:sz w:val="20"/>
          <w:szCs w:val="20"/>
          <w:lang w:val="es-CR"/>
        </w:rPr>
        <w:t xml:space="preserve">dichos argumentos </w:t>
      </w:r>
      <w:r>
        <w:rPr>
          <w:rFonts w:ascii="Verdana" w:hAnsi="Verdana"/>
          <w:sz w:val="20"/>
          <w:szCs w:val="20"/>
          <w:lang w:val="es-CR"/>
        </w:rPr>
        <w:t xml:space="preserve">eran </w:t>
      </w:r>
      <w:r w:rsidRPr="004B7C29">
        <w:rPr>
          <w:rFonts w:ascii="Verdana" w:hAnsi="Verdana"/>
          <w:sz w:val="20"/>
          <w:szCs w:val="20"/>
          <w:lang w:val="es-CR"/>
        </w:rPr>
        <w:t>extemporáneos.</w:t>
      </w:r>
      <w:r w:rsidR="00F460DE">
        <w:rPr>
          <w:rFonts w:ascii="Verdana" w:hAnsi="Verdana"/>
          <w:sz w:val="20"/>
          <w:szCs w:val="20"/>
          <w:lang w:val="es-CR"/>
        </w:rPr>
        <w:t xml:space="preserve"> </w:t>
      </w:r>
      <w:r w:rsidR="004B7C29" w:rsidRPr="004B7C29">
        <w:rPr>
          <w:rFonts w:ascii="Verdana" w:hAnsi="Verdana"/>
          <w:sz w:val="20"/>
          <w:szCs w:val="20"/>
          <w:lang w:val="es-ES"/>
        </w:rPr>
        <w:t>En consecuencia, la Corte desestimó la excepción de falta de agotamiento de recursos internos.</w:t>
      </w:r>
    </w:p>
    <w:p w:rsidR="00E63FBF" w:rsidRDefault="00E63FBF" w:rsidP="00E63FBF">
      <w:pPr>
        <w:pStyle w:val="ListParagraph"/>
        <w:numPr>
          <w:ilvl w:val="0"/>
          <w:numId w:val="1"/>
        </w:numPr>
        <w:spacing w:before="240" w:after="240"/>
        <w:ind w:left="1134"/>
        <w:jc w:val="both"/>
        <w:rPr>
          <w:rFonts w:ascii="Verdana" w:hAnsi="Verdana"/>
          <w:b/>
          <w:sz w:val="20"/>
          <w:szCs w:val="20"/>
        </w:rPr>
      </w:pPr>
      <w:r>
        <w:rPr>
          <w:rFonts w:ascii="Verdana" w:hAnsi="Verdana"/>
          <w:b/>
          <w:sz w:val="20"/>
          <w:szCs w:val="20"/>
        </w:rPr>
        <w:t>Fondo</w:t>
      </w:r>
    </w:p>
    <w:p w:rsidR="00C46C17" w:rsidRPr="00FA36D6" w:rsidRDefault="00C46C17" w:rsidP="00E63FBF">
      <w:pPr>
        <w:pStyle w:val="PrrafodeSentencia"/>
        <w:rPr>
          <w:sz w:val="20"/>
          <w:szCs w:val="20"/>
        </w:rPr>
      </w:pPr>
      <w:r w:rsidRPr="00FA36D6">
        <w:rPr>
          <w:sz w:val="20"/>
          <w:szCs w:val="20"/>
        </w:rPr>
        <w:t>Atendiendo la naturaleza sancionatoria del proceso de destitución de la señora Maldonado y al resultado del mismo, la Corte consideró que las garantías procesales contempladas en el artículo 8 de la Convención Americana hacen parte del elenco de garantías mínimas que debieron ser respetadas para adoptar una decisión que no fuera arbitraria y resultara ajustada al debido proceso.</w:t>
      </w:r>
    </w:p>
    <w:p w:rsidR="008360F8" w:rsidRPr="00FA36D6" w:rsidRDefault="008360F8" w:rsidP="008360F8">
      <w:pPr>
        <w:contextualSpacing/>
        <w:jc w:val="both"/>
        <w:rPr>
          <w:rFonts w:ascii="Verdana" w:hAnsi="Verdana"/>
          <w:sz w:val="20"/>
          <w:szCs w:val="20"/>
          <w:lang w:val="es-ES"/>
        </w:rPr>
      </w:pPr>
      <w:r w:rsidRPr="00FA36D6">
        <w:rPr>
          <w:rFonts w:ascii="Verdana" w:hAnsi="Verdana"/>
          <w:sz w:val="20"/>
          <w:szCs w:val="20"/>
          <w:lang w:val="es-ES"/>
        </w:rPr>
        <w:t>Con relación al derecho a contar con una comunicación previa y detallada de la acusación y</w:t>
      </w:r>
      <w:r w:rsidR="007E36A2">
        <w:rPr>
          <w:rFonts w:ascii="Verdana" w:hAnsi="Verdana"/>
          <w:sz w:val="20"/>
          <w:szCs w:val="20"/>
          <w:lang w:val="es-ES"/>
        </w:rPr>
        <w:t xml:space="preserve"> el</w:t>
      </w:r>
      <w:r w:rsidRPr="00FA36D6">
        <w:rPr>
          <w:rFonts w:ascii="Verdana" w:hAnsi="Verdana"/>
          <w:sz w:val="20"/>
          <w:szCs w:val="20"/>
          <w:lang w:val="es-ES"/>
        </w:rPr>
        <w:t xml:space="preserve"> derecho a la defensa, la Corte consideró que era necesario que, por lo menos, se suministrara a la señora Maldonado información que fuera clara respecto de la motivación del proceso de destitución, así como una mínima referencia a la relación existente entre los hechos respecto de los cuales se aplicaría la sanción disciplinaria y la norma supuestamente infringida.</w:t>
      </w:r>
    </w:p>
    <w:p w:rsidR="008360F8" w:rsidRPr="00FA36D6" w:rsidRDefault="008360F8" w:rsidP="008360F8">
      <w:pPr>
        <w:contextualSpacing/>
        <w:rPr>
          <w:rFonts w:ascii="Verdana" w:hAnsi="Verdana"/>
          <w:sz w:val="20"/>
          <w:szCs w:val="20"/>
          <w:lang w:val="es-ES"/>
        </w:rPr>
      </w:pPr>
    </w:p>
    <w:p w:rsidR="008360F8" w:rsidRDefault="00F460DE" w:rsidP="008360F8">
      <w:pPr>
        <w:pStyle w:val="Header"/>
        <w:tabs>
          <w:tab w:val="clear" w:pos="4419"/>
          <w:tab w:val="clear" w:pos="8838"/>
        </w:tabs>
        <w:contextualSpacing/>
        <w:rPr>
          <w:rFonts w:cs="Arial"/>
          <w:szCs w:val="20"/>
        </w:rPr>
      </w:pPr>
      <w:r>
        <w:rPr>
          <w:rFonts w:cs="Arial"/>
          <w:szCs w:val="20"/>
        </w:rPr>
        <w:t>De igual modo se establecio que</w:t>
      </w:r>
      <w:r w:rsidR="008360F8" w:rsidRPr="00FA36D6">
        <w:rPr>
          <w:rFonts w:cs="Arial"/>
          <w:szCs w:val="20"/>
        </w:rPr>
        <w:t xml:space="preserve"> en la notificación de su despido no resultaba claro el motivo específico por el cual la señora Maldonado estaba siendo objeto de un proceso disciplinario; en consecuencia</w:t>
      </w:r>
      <w:r w:rsidR="00E25AEA">
        <w:rPr>
          <w:rFonts w:cs="Arial"/>
          <w:szCs w:val="20"/>
        </w:rPr>
        <w:t>,</w:t>
      </w:r>
      <w:r w:rsidR="008360F8" w:rsidRPr="00FA36D6">
        <w:rPr>
          <w:rFonts w:cs="Arial"/>
          <w:szCs w:val="20"/>
        </w:rPr>
        <w:t xml:space="preserve"> </w:t>
      </w:r>
      <w:r>
        <w:rPr>
          <w:rFonts w:cs="Arial"/>
          <w:szCs w:val="20"/>
        </w:rPr>
        <w:t xml:space="preserve">ésta </w:t>
      </w:r>
      <w:r w:rsidR="008360F8" w:rsidRPr="00FA36D6">
        <w:rPr>
          <w:rFonts w:cs="Arial"/>
          <w:szCs w:val="20"/>
        </w:rPr>
        <w:t xml:space="preserve">no contó con información detallada de las razones por las cuales podría ser destituida de su trabajo. Esta falta de información constituyó una violación a la garantía de contar con información previa y detallada del proceso iniciado en su contra, contenida en el artículo 8.2.b de la Convención Americana. Además, los medios para la preparación de la defensa de la señora Maldonado no fueron adecuados como consecuencia de la falta </w:t>
      </w:r>
      <w:r w:rsidR="007E36A2">
        <w:rPr>
          <w:rFonts w:cs="Arial"/>
          <w:szCs w:val="20"/>
        </w:rPr>
        <w:t xml:space="preserve">de </w:t>
      </w:r>
      <w:r w:rsidR="008360F8" w:rsidRPr="00FA36D6">
        <w:rPr>
          <w:rFonts w:cs="Arial"/>
          <w:szCs w:val="20"/>
        </w:rPr>
        <w:t xml:space="preserve">claridad respecto del motivo específico por el cual se iniciaba el proceso de destitución en su contra. Lo anterior constituyó una </w:t>
      </w:r>
      <w:r w:rsidR="007E36A2">
        <w:rPr>
          <w:rFonts w:cs="Arial"/>
          <w:szCs w:val="20"/>
        </w:rPr>
        <w:t>violación</w:t>
      </w:r>
      <w:r w:rsidR="008360F8" w:rsidRPr="00FA36D6">
        <w:rPr>
          <w:rFonts w:cs="Arial"/>
          <w:szCs w:val="20"/>
        </w:rPr>
        <w:t xml:space="preserve"> adicional a su derecho a la defensa, contenido en el artículo 8.2.c de la Convención Americana</w:t>
      </w:r>
      <w:r w:rsidR="00FA36D6" w:rsidRPr="00FA36D6">
        <w:rPr>
          <w:rFonts w:cs="Arial"/>
          <w:szCs w:val="20"/>
        </w:rPr>
        <w:t>.</w:t>
      </w:r>
    </w:p>
    <w:p w:rsidR="007B5320" w:rsidRDefault="007B5320" w:rsidP="008360F8">
      <w:pPr>
        <w:pStyle w:val="Header"/>
        <w:tabs>
          <w:tab w:val="clear" w:pos="4419"/>
          <w:tab w:val="clear" w:pos="8838"/>
        </w:tabs>
        <w:contextualSpacing/>
        <w:rPr>
          <w:rFonts w:cs="Arial"/>
          <w:szCs w:val="20"/>
        </w:rPr>
      </w:pPr>
    </w:p>
    <w:p w:rsidR="004049DE" w:rsidRDefault="007B5320" w:rsidP="007B5320">
      <w:pPr>
        <w:pStyle w:val="Header"/>
        <w:tabs>
          <w:tab w:val="clear" w:pos="4419"/>
          <w:tab w:val="clear" w:pos="8838"/>
        </w:tabs>
        <w:contextualSpacing/>
      </w:pPr>
      <w:r>
        <w:rPr>
          <w:rFonts w:cs="Arial"/>
          <w:szCs w:val="20"/>
        </w:rPr>
        <w:t>Con relación al d</w:t>
      </w:r>
      <w:r w:rsidRPr="007B5320">
        <w:rPr>
          <w:lang w:val="es-ES"/>
        </w:rPr>
        <w:t>eber de motivación</w:t>
      </w:r>
      <w:r w:rsidR="004049DE">
        <w:rPr>
          <w:lang w:val="es-ES"/>
        </w:rPr>
        <w:t>, l</w:t>
      </w:r>
      <w:r w:rsidR="004049DE">
        <w:t>a Corte consideró que no existió una motivación que estuviera debidamente justificada y razonada para la destitución de la señora Maldonado. No fue señalado con claridad la manera en que la conducta de la señora Maldonado se ajustaría al supuesto de las normas invocadas como fundamento de la destitución y n</w:t>
      </w:r>
      <w:r w:rsidR="007E36A2">
        <w:t>o se realizó ningún análisis de</w:t>
      </w:r>
      <w:r w:rsidR="004049DE">
        <w:t>l</w:t>
      </w:r>
      <w:r w:rsidR="007E36A2">
        <w:t xml:space="preserve"> contenido</w:t>
      </w:r>
      <w:r w:rsidR="004049DE">
        <w:t xml:space="preserve"> </w:t>
      </w:r>
      <w:r w:rsidR="007E36A2">
        <w:t>de</w:t>
      </w:r>
      <w:r w:rsidR="004049DE">
        <w:t xml:space="preserve"> dichas normas. Lo anterior constituyó una violación al deber de motivación </w:t>
      </w:r>
      <w:r w:rsidR="007E36A2">
        <w:t>previsto</w:t>
      </w:r>
      <w:r w:rsidR="004049DE">
        <w:t xml:space="preserve"> en el artículo 8.1 de la Convención Americana, en relación con el artículo 1.1 de la misma, en perjuicio de la señora Maldonado. </w:t>
      </w:r>
    </w:p>
    <w:p w:rsidR="004049DE" w:rsidRDefault="004049DE" w:rsidP="007B5320">
      <w:pPr>
        <w:pStyle w:val="Header"/>
        <w:tabs>
          <w:tab w:val="clear" w:pos="4419"/>
          <w:tab w:val="clear" w:pos="8838"/>
        </w:tabs>
        <w:contextualSpacing/>
      </w:pPr>
    </w:p>
    <w:p w:rsidR="007B5320" w:rsidRDefault="004049DE" w:rsidP="007B5320">
      <w:pPr>
        <w:pStyle w:val="Header"/>
        <w:tabs>
          <w:tab w:val="clear" w:pos="4419"/>
          <w:tab w:val="clear" w:pos="8838"/>
        </w:tabs>
        <w:contextualSpacing/>
      </w:pPr>
      <w:r>
        <w:t xml:space="preserve">En lo que respecta al principio de legalidad, la Corte concluyó que la señora Maldonado fue destituida por una conducta que no se encontraba tipificada en el Reglamento del Personal del Procurador de Derechos Humanos como </w:t>
      </w:r>
      <w:r w:rsidRPr="001B4641">
        <w:t xml:space="preserve">infracción disciplinaria y que además no correspondía a la conducta descrita en los numerales 4 y 15 del artículo 74 </w:t>
      </w:r>
      <w:r>
        <w:t xml:space="preserve">de dicho Reglamento, </w:t>
      </w:r>
      <w:r w:rsidRPr="001B4641">
        <w:t xml:space="preserve">ni en el artículo 77 literal d) del Código de Trabajo de Guatemala, disposiciones que </w:t>
      </w:r>
      <w:r w:rsidR="00EA37F7">
        <w:t>fueron</w:t>
      </w:r>
      <w:r w:rsidRPr="001B4641">
        <w:t xml:space="preserve"> invocadas para justificar la sanción impuesta. </w:t>
      </w:r>
      <w:r w:rsidR="00EA37F7">
        <w:t xml:space="preserve">Por lo anterior, la Corte determinó que </w:t>
      </w:r>
      <w:r w:rsidR="007E36A2">
        <w:t xml:space="preserve">existió </w:t>
      </w:r>
      <w:r w:rsidR="00EA37F7">
        <w:t xml:space="preserve">una </w:t>
      </w:r>
      <w:r w:rsidRPr="001B4641">
        <w:t xml:space="preserve">vulneración del artículo 9 </w:t>
      </w:r>
      <w:r w:rsidR="00F460DE">
        <w:t xml:space="preserve">(Principio de Legalidad) </w:t>
      </w:r>
      <w:r w:rsidRPr="001B4641">
        <w:t>de la Convención</w:t>
      </w:r>
      <w:r>
        <w:t xml:space="preserve"> Americana</w:t>
      </w:r>
      <w:r w:rsidRPr="00702F6F">
        <w:t>, en relación con el artículo 1.1 de la misma, en perjuicio de la señora Maldonado</w:t>
      </w:r>
      <w:r>
        <w:t>.</w:t>
      </w:r>
    </w:p>
    <w:p w:rsidR="007D27B3" w:rsidRDefault="007D27B3" w:rsidP="007B5320">
      <w:pPr>
        <w:pStyle w:val="Header"/>
        <w:tabs>
          <w:tab w:val="clear" w:pos="4419"/>
          <w:tab w:val="clear" w:pos="8838"/>
        </w:tabs>
        <w:contextualSpacing/>
      </w:pPr>
    </w:p>
    <w:p w:rsidR="007D27B3" w:rsidRDefault="007D27B3" w:rsidP="007B5320">
      <w:pPr>
        <w:pStyle w:val="Header"/>
        <w:tabs>
          <w:tab w:val="clear" w:pos="4419"/>
          <w:tab w:val="clear" w:pos="8838"/>
        </w:tabs>
        <w:contextualSpacing/>
        <w:rPr>
          <w:szCs w:val="20"/>
          <w:lang w:val="es-CR"/>
        </w:rPr>
      </w:pPr>
      <w:r>
        <w:t xml:space="preserve">Finalmente, en lo relativo al derecho a la protección judicial, </w:t>
      </w:r>
      <w:r>
        <w:rPr>
          <w:szCs w:val="20"/>
          <w:lang w:val="es-CR"/>
        </w:rPr>
        <w:t>l</w:t>
      </w:r>
      <w:r w:rsidRPr="007B54B7">
        <w:rPr>
          <w:szCs w:val="20"/>
          <w:lang w:val="es-CR"/>
        </w:rPr>
        <w:t>a Corte consider</w:t>
      </w:r>
      <w:r>
        <w:rPr>
          <w:szCs w:val="20"/>
          <w:lang w:val="es-CR"/>
        </w:rPr>
        <w:t>ó</w:t>
      </w:r>
      <w:r w:rsidRPr="007B54B7">
        <w:rPr>
          <w:szCs w:val="20"/>
          <w:lang w:val="es-CR"/>
        </w:rPr>
        <w:t xml:space="preserve"> que </w:t>
      </w:r>
      <w:r>
        <w:rPr>
          <w:szCs w:val="20"/>
          <w:lang w:val="es-CR"/>
        </w:rPr>
        <w:t>la</w:t>
      </w:r>
      <w:r w:rsidRPr="007B54B7">
        <w:rPr>
          <w:szCs w:val="20"/>
          <w:lang w:val="es-CR"/>
        </w:rPr>
        <w:t xml:space="preserve"> confusión y contradicción </w:t>
      </w:r>
      <w:r>
        <w:rPr>
          <w:szCs w:val="20"/>
          <w:lang w:val="es-CR"/>
        </w:rPr>
        <w:t xml:space="preserve">existente </w:t>
      </w:r>
      <w:r w:rsidRPr="007B54B7">
        <w:rPr>
          <w:szCs w:val="20"/>
          <w:lang w:val="es-CR"/>
        </w:rPr>
        <w:t xml:space="preserve">en la normativa interna colocó a la señora Maldonado en una situación de desprotección, al no poder contar con un recurso </w:t>
      </w:r>
      <w:r w:rsidRPr="001B4641">
        <w:rPr>
          <w:szCs w:val="20"/>
          <w:lang w:val="es-CR"/>
        </w:rPr>
        <w:t xml:space="preserve">sencillo y efectivo como consecuencia de una normativa contradictoria. La señora Maldonado presentó los recursos que señalaba el Reglamento de Personal del Procurador y los tribunales los rechazaron debido a una contradicción entre diferentes cuerpos normativos que regulaban la materia.  </w:t>
      </w:r>
    </w:p>
    <w:p w:rsidR="007D27B3" w:rsidRDefault="007D27B3" w:rsidP="007B5320">
      <w:pPr>
        <w:pStyle w:val="Header"/>
        <w:tabs>
          <w:tab w:val="clear" w:pos="4419"/>
          <w:tab w:val="clear" w:pos="8838"/>
        </w:tabs>
        <w:contextualSpacing/>
        <w:rPr>
          <w:szCs w:val="20"/>
          <w:lang w:val="es-CR"/>
        </w:rPr>
      </w:pPr>
    </w:p>
    <w:p w:rsidR="007D27B3" w:rsidRPr="007B5320" w:rsidRDefault="007D27B3" w:rsidP="007B5320">
      <w:pPr>
        <w:pStyle w:val="Header"/>
        <w:tabs>
          <w:tab w:val="clear" w:pos="4419"/>
          <w:tab w:val="clear" w:pos="8838"/>
        </w:tabs>
        <w:contextualSpacing/>
        <w:rPr>
          <w:rFonts w:cs="Arial"/>
          <w:szCs w:val="20"/>
        </w:rPr>
      </w:pPr>
      <w:r>
        <w:rPr>
          <w:szCs w:val="20"/>
          <w:lang w:val="es-CR"/>
        </w:rPr>
        <w:lastRenderedPageBreak/>
        <w:t>Por lo anterior, la Corte concluyó que l</w:t>
      </w:r>
      <w:r w:rsidRPr="001B4641">
        <w:rPr>
          <w:szCs w:val="20"/>
          <w:lang w:val="es-CR"/>
        </w:rPr>
        <w:t>a señora Maldonado no tuvo acceso efectivo y de manera sencilla</w:t>
      </w:r>
      <w:r w:rsidRPr="007B54B7">
        <w:rPr>
          <w:b/>
          <w:szCs w:val="20"/>
          <w:lang w:val="es-CR"/>
        </w:rPr>
        <w:t xml:space="preserve"> </w:t>
      </w:r>
      <w:r w:rsidRPr="007B54B7">
        <w:rPr>
          <w:szCs w:val="20"/>
          <w:lang w:val="es-CR"/>
        </w:rPr>
        <w:t>a la protección judicial como consecuencia de la falta de certeza y de claridad respecto a los recursos idóneos que debía presentar frente a su destitución. Lo anterior constituyó una violación al derecho a la protección judicial y al deber de adoptar disposiciones de derecho interno, contenido en los artículos 25</w:t>
      </w:r>
      <w:r w:rsidR="00F460DE">
        <w:rPr>
          <w:szCs w:val="20"/>
          <w:lang w:val="es-CR"/>
        </w:rPr>
        <w:t xml:space="preserve"> (Derecho a la Protección Judicial)</w:t>
      </w:r>
      <w:r w:rsidRPr="007B54B7">
        <w:rPr>
          <w:szCs w:val="20"/>
          <w:lang w:val="es-CR"/>
        </w:rPr>
        <w:t xml:space="preserve"> y 2</w:t>
      </w:r>
      <w:r w:rsidR="00F460DE">
        <w:rPr>
          <w:szCs w:val="20"/>
          <w:lang w:val="es-CR"/>
        </w:rPr>
        <w:t xml:space="preserve"> (Deber de Adoptar Disposiciones de Derecho Interno)</w:t>
      </w:r>
      <w:r w:rsidRPr="007B54B7">
        <w:rPr>
          <w:szCs w:val="20"/>
          <w:lang w:val="es-CR"/>
        </w:rPr>
        <w:t xml:space="preserve"> de la Convención Americana, en relación con el artículo 1.1 del mismo instrumento.</w:t>
      </w:r>
    </w:p>
    <w:p w:rsidR="007B5320" w:rsidRPr="007B5320" w:rsidRDefault="007B5320" w:rsidP="008360F8">
      <w:pPr>
        <w:pStyle w:val="Header"/>
        <w:tabs>
          <w:tab w:val="clear" w:pos="4419"/>
          <w:tab w:val="clear" w:pos="8838"/>
        </w:tabs>
        <w:contextualSpacing/>
        <w:rPr>
          <w:rFonts w:cs="Arial"/>
          <w:szCs w:val="20"/>
          <w:lang w:val="es-ES"/>
        </w:rPr>
      </w:pPr>
    </w:p>
    <w:p w:rsidR="00E63FBF" w:rsidRPr="00576536" w:rsidRDefault="00E63FBF" w:rsidP="00E63FBF">
      <w:pPr>
        <w:pStyle w:val="ListParagraph"/>
        <w:numPr>
          <w:ilvl w:val="0"/>
          <w:numId w:val="1"/>
        </w:numPr>
        <w:spacing w:before="240" w:after="240"/>
        <w:ind w:left="1134"/>
        <w:jc w:val="both"/>
        <w:rPr>
          <w:rFonts w:ascii="Verdana" w:hAnsi="Verdana"/>
          <w:b/>
          <w:sz w:val="20"/>
          <w:szCs w:val="20"/>
        </w:rPr>
      </w:pPr>
      <w:r w:rsidRPr="00576536">
        <w:rPr>
          <w:rFonts w:ascii="Verdana" w:hAnsi="Verdana"/>
          <w:b/>
          <w:sz w:val="20"/>
          <w:szCs w:val="20"/>
        </w:rPr>
        <w:t>Reparaciones</w:t>
      </w:r>
    </w:p>
    <w:p w:rsidR="00E63FBF" w:rsidRPr="00576536" w:rsidRDefault="00E63FBF" w:rsidP="00E63FBF">
      <w:pPr>
        <w:pStyle w:val="PrrafodeSentencia"/>
        <w:rPr>
          <w:sz w:val="20"/>
          <w:szCs w:val="20"/>
        </w:rPr>
      </w:pPr>
      <w:r w:rsidRPr="00576536">
        <w:rPr>
          <w:sz w:val="20"/>
          <w:szCs w:val="20"/>
        </w:rPr>
        <w:t xml:space="preserve">Con respecto a las reparaciones, </w:t>
      </w:r>
      <w:r w:rsidRPr="00576536">
        <w:rPr>
          <w:rFonts w:cs="Verdana"/>
          <w:sz w:val="20"/>
          <w:szCs w:val="20"/>
          <w:lang w:val="es-MX"/>
        </w:rPr>
        <w:t xml:space="preserve">la Corte estableció que su Sentencia constituye </w:t>
      </w:r>
      <w:r w:rsidRPr="00576536">
        <w:rPr>
          <w:rFonts w:cs="Verdana"/>
          <w:i/>
          <w:sz w:val="20"/>
          <w:szCs w:val="20"/>
          <w:lang w:val="es-MX"/>
        </w:rPr>
        <w:t>per se</w:t>
      </w:r>
      <w:r w:rsidRPr="00576536">
        <w:rPr>
          <w:rFonts w:cs="Verdana"/>
          <w:sz w:val="20"/>
          <w:szCs w:val="20"/>
          <w:lang w:val="es-MX"/>
        </w:rPr>
        <w:t xml:space="preserve"> una forma de reparación y, adicionalmente, </w:t>
      </w:r>
      <w:r w:rsidRPr="00576536">
        <w:rPr>
          <w:sz w:val="20"/>
          <w:szCs w:val="20"/>
        </w:rPr>
        <w:t xml:space="preserve">ordenó al Estado: i) publicar la Sentencia de la Corte Interamericana y su resumen; ii) </w:t>
      </w:r>
      <w:r w:rsidR="00576536" w:rsidRPr="00576536">
        <w:rPr>
          <w:sz w:val="20"/>
          <w:szCs w:val="20"/>
          <w:lang w:val="es-CO"/>
        </w:rPr>
        <w:t>eliminar  del ”record laboral” o de cualquier otro registro de antecedentes de la señora Maldonado el procedimiento de destitución</w:t>
      </w:r>
      <w:r w:rsidR="00576536" w:rsidRPr="00576536">
        <w:rPr>
          <w:sz w:val="20"/>
          <w:szCs w:val="20"/>
        </w:rPr>
        <w:t xml:space="preserve">; </w:t>
      </w:r>
      <w:r w:rsidRPr="00576536">
        <w:rPr>
          <w:sz w:val="20"/>
          <w:szCs w:val="20"/>
        </w:rPr>
        <w:t xml:space="preserve">iii) </w:t>
      </w:r>
      <w:r w:rsidR="00576536" w:rsidRPr="00576536">
        <w:rPr>
          <w:rFonts w:cs="Times New Roman"/>
          <w:sz w:val="20"/>
          <w:szCs w:val="20"/>
          <w:lang w:bidi="en-US"/>
        </w:rPr>
        <w:t>precisar o regular, con claridad, a través de medidas legislativas o de otro carácter, la vía recursiva, el procedimiento y la competencia judicial para la revisión jurisdiccional de toda sanción o medida de carácter administrativo disciplinario del Procurador de los Derechos Humanos</w:t>
      </w:r>
      <w:r w:rsidR="000C3FD5">
        <w:rPr>
          <w:rFonts w:cs="Times New Roman"/>
          <w:sz w:val="20"/>
          <w:szCs w:val="20"/>
          <w:lang w:bidi="en-US"/>
        </w:rPr>
        <w:t>, y</w:t>
      </w:r>
      <w:r w:rsidR="00576536" w:rsidRPr="00576536">
        <w:rPr>
          <w:rFonts w:cs="Times New Roman"/>
          <w:sz w:val="20"/>
          <w:szCs w:val="20"/>
          <w:lang w:bidi="en-US"/>
        </w:rPr>
        <w:t xml:space="preserve"> iv) </w:t>
      </w:r>
      <w:r w:rsidRPr="00576536">
        <w:rPr>
          <w:rFonts w:cs="Verdana"/>
          <w:sz w:val="20"/>
          <w:szCs w:val="20"/>
        </w:rPr>
        <w:t>pagar la cantidad fijada en la Sentencia por concepto de daño</w:t>
      </w:r>
      <w:r w:rsidR="000C3FD5">
        <w:rPr>
          <w:rFonts w:cs="Verdana"/>
          <w:sz w:val="20"/>
          <w:szCs w:val="20"/>
        </w:rPr>
        <w:t xml:space="preserve"> material e</w:t>
      </w:r>
      <w:r w:rsidRPr="00576536">
        <w:rPr>
          <w:rFonts w:cs="Verdana"/>
          <w:sz w:val="20"/>
          <w:szCs w:val="20"/>
        </w:rPr>
        <w:t xml:space="preserve"> inmaterial y por reintegro de costas y gastos. </w:t>
      </w:r>
    </w:p>
    <w:p w:rsidR="00E63FBF" w:rsidRDefault="00E63FBF" w:rsidP="00E63FBF">
      <w:pPr>
        <w:pStyle w:val="Body1"/>
        <w:jc w:val="both"/>
        <w:rPr>
          <w:rFonts w:ascii="Verdana" w:eastAsia="Helvetica" w:hAnsi="Verdana"/>
          <w:sz w:val="20"/>
          <w:szCs w:val="18"/>
          <w:lang w:val="es-ES"/>
        </w:rPr>
      </w:pPr>
    </w:p>
    <w:p w:rsidR="00E63FBF" w:rsidRDefault="00E63FBF" w:rsidP="00E63FBF">
      <w:pPr>
        <w:jc w:val="center"/>
        <w:rPr>
          <w:rFonts w:ascii="Verdana" w:hAnsi="Verdana" w:cs="Verdana"/>
          <w:sz w:val="20"/>
          <w:szCs w:val="20"/>
          <w:lang w:val="es-MX"/>
        </w:rPr>
      </w:pPr>
      <w:r>
        <w:rPr>
          <w:rFonts w:ascii="Verdana" w:hAnsi="Verdana" w:cs="Verdana"/>
          <w:sz w:val="20"/>
          <w:szCs w:val="20"/>
          <w:lang w:val="es-CR"/>
        </w:rPr>
        <w:t>-----</w:t>
      </w:r>
    </w:p>
    <w:p w:rsidR="00E63FBF" w:rsidRDefault="00E63FBF" w:rsidP="00E63FBF">
      <w:pPr>
        <w:jc w:val="both"/>
        <w:rPr>
          <w:rFonts w:ascii="Verdana" w:hAnsi="Verdana" w:cs="Verdana"/>
          <w:sz w:val="20"/>
          <w:szCs w:val="20"/>
          <w:lang w:val="es-CR"/>
        </w:rPr>
      </w:pPr>
    </w:p>
    <w:p w:rsidR="00E63FBF" w:rsidRDefault="00E63FBF" w:rsidP="00E63FBF">
      <w:pPr>
        <w:jc w:val="both"/>
        <w:rPr>
          <w:rFonts w:ascii="Verdana" w:hAnsi="Verdana"/>
          <w:sz w:val="20"/>
          <w:szCs w:val="20"/>
          <w:lang w:val="es-CR"/>
        </w:rPr>
      </w:pPr>
      <w:r>
        <w:rPr>
          <w:rFonts w:ascii="Verdana" w:hAnsi="Verdana" w:cs="Verdana"/>
          <w:sz w:val="20"/>
          <w:szCs w:val="20"/>
          <w:lang w:val="es-CR"/>
        </w:rPr>
        <w:t xml:space="preserve">La Corte Interamericana de Derechos Humanos supervisará el cumplimiento íntegro de la Sentencia, </w:t>
      </w:r>
      <w:r>
        <w:rPr>
          <w:rFonts w:ascii="Verdana" w:hAnsi="Verdana"/>
          <w:sz w:val="20"/>
          <w:szCs w:val="20"/>
          <w:lang w:val="es-ES"/>
        </w:rPr>
        <w:t xml:space="preserve">en ejercicio de sus atribuciones y en cumplimiento de sus deberes conforme a la Convención Americana sobre Derechos Humanos, </w:t>
      </w:r>
      <w:r>
        <w:rPr>
          <w:rFonts w:ascii="Verdana" w:hAnsi="Verdana" w:cs="Verdana"/>
          <w:sz w:val="20"/>
          <w:szCs w:val="20"/>
          <w:lang w:val="es-CR"/>
        </w:rPr>
        <w:t xml:space="preserve">y dará por concluido el caso una vez que el Estado haya dado cabal cumplimiento a lo dispuesto en la Sentencia. </w:t>
      </w:r>
    </w:p>
    <w:p w:rsidR="00E63FBF" w:rsidRDefault="00E63FBF" w:rsidP="00E63FBF">
      <w:pPr>
        <w:jc w:val="center"/>
        <w:outlineLvl w:val="0"/>
        <w:rPr>
          <w:rFonts w:ascii="Verdana" w:eastAsia="Helvetica" w:hAnsi="Verdana"/>
          <w:color w:val="000000"/>
          <w:sz w:val="20"/>
          <w:szCs w:val="18"/>
          <w:lang w:val="es-MX"/>
        </w:rPr>
      </w:pPr>
    </w:p>
    <w:p w:rsidR="00E63FBF" w:rsidRDefault="00E63FBF" w:rsidP="00E63FBF">
      <w:pPr>
        <w:spacing w:before="120" w:after="120"/>
        <w:jc w:val="both"/>
        <w:rPr>
          <w:rFonts w:ascii="Verdana" w:hAnsi="Verdana"/>
          <w:sz w:val="20"/>
          <w:szCs w:val="20"/>
          <w:lang w:val="es-CR"/>
        </w:rPr>
      </w:pPr>
      <w:r>
        <w:rPr>
          <w:rFonts w:ascii="Verdana" w:hAnsi="Verdana"/>
          <w:sz w:val="20"/>
          <w:szCs w:val="20"/>
          <w:lang w:val="es-CR"/>
        </w:rPr>
        <w:t>El texto íntegro de la Sentencia puede consultarse en el siguiente enlace:</w:t>
      </w:r>
      <w:r>
        <w:rPr>
          <w:rFonts w:ascii="Verdana" w:hAnsi="Verdana"/>
          <w:sz w:val="20"/>
          <w:szCs w:val="20"/>
          <w:lang w:val="es-ES"/>
        </w:rPr>
        <w:t xml:space="preserve"> </w:t>
      </w:r>
      <w:hyperlink r:id="rId8" w:history="1">
        <w:r w:rsidRPr="00F17C31">
          <w:rPr>
            <w:rStyle w:val="Hyperlink"/>
            <w:rFonts w:ascii="Verdana" w:hAnsi="Verdana"/>
            <w:sz w:val="20"/>
            <w:szCs w:val="20"/>
            <w:lang w:val="es-MX"/>
          </w:rPr>
          <w:t>http://www.corteidh.or.cr/casos.cfm</w:t>
        </w:r>
      </w:hyperlink>
    </w:p>
    <w:p w:rsidR="00E63FBF" w:rsidRDefault="00E63FBF" w:rsidP="00E63FBF">
      <w:pPr>
        <w:jc w:val="both"/>
        <w:rPr>
          <w:rFonts w:ascii="Verdana" w:hAnsi="Verdana"/>
          <w:sz w:val="20"/>
          <w:szCs w:val="18"/>
          <w:lang w:val="es-CR"/>
        </w:rPr>
      </w:pPr>
    </w:p>
    <w:p w:rsidR="00AF0FA0" w:rsidRPr="00E63FBF" w:rsidRDefault="00AF0FA0">
      <w:pPr>
        <w:rPr>
          <w:lang w:val="es-CR"/>
        </w:rPr>
      </w:pPr>
    </w:p>
    <w:sectPr w:rsidR="00AF0FA0" w:rsidRPr="00E63F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6F" w:rsidRDefault="00857F6F" w:rsidP="00E63FBF">
      <w:r>
        <w:separator/>
      </w:r>
    </w:p>
  </w:endnote>
  <w:endnote w:type="continuationSeparator" w:id="0">
    <w:p w:rsidR="00857F6F" w:rsidRDefault="00857F6F" w:rsidP="00E6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6F" w:rsidRDefault="00857F6F" w:rsidP="00E63FBF">
      <w:r>
        <w:separator/>
      </w:r>
    </w:p>
  </w:footnote>
  <w:footnote w:type="continuationSeparator" w:id="0">
    <w:p w:rsidR="00857F6F" w:rsidRDefault="00857F6F" w:rsidP="00E63FBF">
      <w:r>
        <w:continuationSeparator/>
      </w:r>
    </w:p>
  </w:footnote>
  <w:footnote w:id="1">
    <w:p w:rsidR="00AF0FA0" w:rsidRPr="004E0156" w:rsidRDefault="00AF0FA0" w:rsidP="004E0156">
      <w:pPr>
        <w:pStyle w:val="citaindirecta"/>
        <w:ind w:left="0" w:right="-138"/>
        <w:rPr>
          <w:noProof w:val="0"/>
          <w:sz w:val="16"/>
          <w:szCs w:val="16"/>
        </w:rPr>
      </w:pPr>
      <w:r w:rsidRPr="004E0156">
        <w:rPr>
          <w:rStyle w:val="FootnoteReference"/>
          <w:rFonts w:ascii="Verdana" w:hAnsi="Verdana"/>
          <w:sz w:val="16"/>
          <w:szCs w:val="16"/>
        </w:rPr>
        <w:sym w:font="Symbol" w:char="F02A"/>
      </w:r>
      <w:r w:rsidRPr="004E0156">
        <w:rPr>
          <w:sz w:val="16"/>
          <w:szCs w:val="16"/>
          <w:lang w:val="es-ES"/>
        </w:rPr>
        <w:t xml:space="preserve"> </w:t>
      </w:r>
      <w:r w:rsidRPr="004E0156">
        <w:rPr>
          <w:sz w:val="16"/>
          <w:szCs w:val="16"/>
          <w:lang w:val="es-ES"/>
        </w:rPr>
        <w:tab/>
        <w:t xml:space="preserve">Integrada por los siguientes jueces: Roberto F. Caldas, Presidente; Eduardo Ferrer Mac-Gregor Poisot, Vicepresidente; Eduardo Vio Grossi, Juez; </w:t>
      </w:r>
      <w:r w:rsidRPr="004E0156">
        <w:rPr>
          <w:noProof w:val="0"/>
          <w:sz w:val="16"/>
          <w:szCs w:val="16"/>
        </w:rPr>
        <w:t>Humberto Antonio Sierra Porto, Juez;</w:t>
      </w:r>
      <w:r w:rsidRPr="004E0156">
        <w:rPr>
          <w:sz w:val="16"/>
          <w:szCs w:val="16"/>
        </w:rPr>
        <w:t xml:space="preserve"> </w:t>
      </w:r>
      <w:r w:rsidRPr="004E0156">
        <w:rPr>
          <w:noProof w:val="0"/>
          <w:sz w:val="16"/>
          <w:szCs w:val="16"/>
        </w:rPr>
        <w:t>Elizabeth Odio Benito, Juez;</w:t>
      </w:r>
      <w:r w:rsidRPr="004E0156">
        <w:rPr>
          <w:sz w:val="16"/>
          <w:szCs w:val="16"/>
        </w:rPr>
        <w:t xml:space="preserve"> </w:t>
      </w:r>
      <w:r w:rsidRPr="004E0156">
        <w:rPr>
          <w:noProof w:val="0"/>
          <w:sz w:val="16"/>
          <w:szCs w:val="16"/>
        </w:rPr>
        <w:t>Eugenio Raúl Zaffaroni, Juez, y L. Patricio Pazmiño Freire, Juez</w:t>
      </w:r>
      <w:r w:rsidRPr="004E0156">
        <w:rPr>
          <w:sz w:val="16"/>
          <w:szCs w:val="16"/>
          <w:lang w:val="es-ES"/>
        </w:rPr>
        <w:t xml:space="preserve">. Presente, además el Secretario </w:t>
      </w:r>
      <w:r>
        <w:rPr>
          <w:sz w:val="16"/>
          <w:szCs w:val="16"/>
          <w:lang w:val="es-ES"/>
        </w:rPr>
        <w:t>P</w:t>
      </w:r>
      <w:r w:rsidRPr="004E0156">
        <w:rPr>
          <w:sz w:val="16"/>
          <w:szCs w:val="16"/>
          <w:lang w:val="es-ES"/>
        </w:rPr>
        <w:t>ablo Saavedra Alessandri y la Secretaria Ad</w:t>
      </w:r>
      <w:r>
        <w:rPr>
          <w:sz w:val="16"/>
          <w:szCs w:val="16"/>
          <w:lang w:val="es-ES"/>
        </w:rPr>
        <w:t>junta Emilia Segares Rodríguez.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287"/>
    <w:multiLevelType w:val="hybridMultilevel"/>
    <w:tmpl w:val="A5D2F0E0"/>
    <w:lvl w:ilvl="0" w:tplc="6EAE83CE">
      <w:start w:val="1"/>
      <w:numFmt w:val="upperRoman"/>
      <w:lvlText w:val="%1."/>
      <w:lvlJc w:val="left"/>
      <w:pPr>
        <w:ind w:left="2496" w:hanging="720"/>
      </w:pPr>
    </w:lvl>
    <w:lvl w:ilvl="1" w:tplc="0C0A0019">
      <w:start w:val="1"/>
      <w:numFmt w:val="lowerLetter"/>
      <w:lvlText w:val="%2."/>
      <w:lvlJc w:val="left"/>
      <w:pPr>
        <w:ind w:left="2856" w:hanging="360"/>
      </w:pPr>
    </w:lvl>
    <w:lvl w:ilvl="2" w:tplc="0C0A001B">
      <w:start w:val="1"/>
      <w:numFmt w:val="lowerRoman"/>
      <w:lvlText w:val="%3."/>
      <w:lvlJc w:val="right"/>
      <w:pPr>
        <w:ind w:left="3576" w:hanging="180"/>
      </w:pPr>
    </w:lvl>
    <w:lvl w:ilvl="3" w:tplc="0C0A000F">
      <w:start w:val="1"/>
      <w:numFmt w:val="decimal"/>
      <w:lvlText w:val="%4."/>
      <w:lvlJc w:val="left"/>
      <w:pPr>
        <w:ind w:left="4296" w:hanging="360"/>
      </w:pPr>
    </w:lvl>
    <w:lvl w:ilvl="4" w:tplc="0C0A0019">
      <w:start w:val="1"/>
      <w:numFmt w:val="lowerLetter"/>
      <w:lvlText w:val="%5."/>
      <w:lvlJc w:val="left"/>
      <w:pPr>
        <w:ind w:left="5016" w:hanging="360"/>
      </w:pPr>
    </w:lvl>
    <w:lvl w:ilvl="5" w:tplc="0C0A001B">
      <w:start w:val="1"/>
      <w:numFmt w:val="lowerRoman"/>
      <w:lvlText w:val="%6."/>
      <w:lvlJc w:val="right"/>
      <w:pPr>
        <w:ind w:left="5736" w:hanging="180"/>
      </w:pPr>
    </w:lvl>
    <w:lvl w:ilvl="6" w:tplc="0C0A000F">
      <w:start w:val="1"/>
      <w:numFmt w:val="decimal"/>
      <w:lvlText w:val="%7."/>
      <w:lvlJc w:val="left"/>
      <w:pPr>
        <w:ind w:left="6456" w:hanging="360"/>
      </w:pPr>
    </w:lvl>
    <w:lvl w:ilvl="7" w:tplc="0C0A0019">
      <w:start w:val="1"/>
      <w:numFmt w:val="lowerLetter"/>
      <w:lvlText w:val="%8."/>
      <w:lvlJc w:val="left"/>
      <w:pPr>
        <w:ind w:left="7176" w:hanging="360"/>
      </w:pPr>
    </w:lvl>
    <w:lvl w:ilvl="8" w:tplc="0C0A001B">
      <w:start w:val="1"/>
      <w:numFmt w:val="lowerRoman"/>
      <w:lvlText w:val="%9."/>
      <w:lvlJc w:val="right"/>
      <w:pPr>
        <w:ind w:left="7896" w:hanging="180"/>
      </w:pPr>
    </w:lvl>
  </w:abstractNum>
  <w:abstractNum w:abstractNumId="1">
    <w:nsid w:val="76753A80"/>
    <w:multiLevelType w:val="hybridMultilevel"/>
    <w:tmpl w:val="7D8C0044"/>
    <w:lvl w:ilvl="0" w:tplc="94E238B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BF"/>
    <w:rsid w:val="00044C49"/>
    <w:rsid w:val="000467B4"/>
    <w:rsid w:val="00093260"/>
    <w:rsid w:val="000A3331"/>
    <w:rsid w:val="000C3FD5"/>
    <w:rsid w:val="000C620D"/>
    <w:rsid w:val="00133CE8"/>
    <w:rsid w:val="00141EB9"/>
    <w:rsid w:val="00196A9A"/>
    <w:rsid w:val="001B6B9C"/>
    <w:rsid w:val="00225DDB"/>
    <w:rsid w:val="002444B8"/>
    <w:rsid w:val="002977D7"/>
    <w:rsid w:val="00330F1E"/>
    <w:rsid w:val="0034438D"/>
    <w:rsid w:val="00385595"/>
    <w:rsid w:val="004049DE"/>
    <w:rsid w:val="004B7C29"/>
    <w:rsid w:val="004E0156"/>
    <w:rsid w:val="005661FE"/>
    <w:rsid w:val="00576536"/>
    <w:rsid w:val="005B36D5"/>
    <w:rsid w:val="00646AF9"/>
    <w:rsid w:val="00647911"/>
    <w:rsid w:val="006561B2"/>
    <w:rsid w:val="00672AB7"/>
    <w:rsid w:val="00687424"/>
    <w:rsid w:val="006E7971"/>
    <w:rsid w:val="0070465A"/>
    <w:rsid w:val="007211C2"/>
    <w:rsid w:val="00780594"/>
    <w:rsid w:val="007841D8"/>
    <w:rsid w:val="007B5320"/>
    <w:rsid w:val="007D27B3"/>
    <w:rsid w:val="007E36A2"/>
    <w:rsid w:val="008360F8"/>
    <w:rsid w:val="00857F6F"/>
    <w:rsid w:val="008758ED"/>
    <w:rsid w:val="008B78D4"/>
    <w:rsid w:val="008F56E3"/>
    <w:rsid w:val="00906B5B"/>
    <w:rsid w:val="00960E0E"/>
    <w:rsid w:val="009C4310"/>
    <w:rsid w:val="00A355A1"/>
    <w:rsid w:val="00A45971"/>
    <w:rsid w:val="00A9028B"/>
    <w:rsid w:val="00AF0FA0"/>
    <w:rsid w:val="00B334C2"/>
    <w:rsid w:val="00B369ED"/>
    <w:rsid w:val="00B406A0"/>
    <w:rsid w:val="00BF2733"/>
    <w:rsid w:val="00C46C17"/>
    <w:rsid w:val="00C714AC"/>
    <w:rsid w:val="00CB646C"/>
    <w:rsid w:val="00CE235E"/>
    <w:rsid w:val="00D00F56"/>
    <w:rsid w:val="00D76F9A"/>
    <w:rsid w:val="00D94877"/>
    <w:rsid w:val="00D96219"/>
    <w:rsid w:val="00DB232F"/>
    <w:rsid w:val="00DC68DA"/>
    <w:rsid w:val="00E25AEA"/>
    <w:rsid w:val="00E46FD5"/>
    <w:rsid w:val="00E63FBF"/>
    <w:rsid w:val="00E66F03"/>
    <w:rsid w:val="00E70345"/>
    <w:rsid w:val="00E82CDF"/>
    <w:rsid w:val="00EA37F7"/>
    <w:rsid w:val="00F17C31"/>
    <w:rsid w:val="00F3417C"/>
    <w:rsid w:val="00F460DE"/>
    <w:rsid w:val="00F66A92"/>
    <w:rsid w:val="00F74238"/>
    <w:rsid w:val="00F82559"/>
    <w:rsid w:val="00FA36D6"/>
    <w:rsid w:val="00FD1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BF"/>
    <w:pPr>
      <w:spacing w:after="0" w:line="240" w:lineRule="auto"/>
    </w:pPr>
    <w:rPr>
      <w:rFonts w:ascii="Times New Roman" w:eastAsia="Times New Roman" w:hAnsi="Times New Roman" w:cs="Times New Roman"/>
      <w:sz w:val="24"/>
      <w:szCs w:val="24"/>
    </w:rPr>
  </w:style>
  <w:style w:type="paragraph" w:styleId="Heading2">
    <w:name w:val="heading 2"/>
    <w:next w:val="Body1"/>
    <w:link w:val="Heading2Char"/>
    <w:uiPriority w:val="99"/>
    <w:semiHidden/>
    <w:unhideWhenUsed/>
    <w:qFormat/>
    <w:rsid w:val="00E63FBF"/>
    <w:pPr>
      <w:keepNext/>
      <w:spacing w:after="0" w:line="240" w:lineRule="auto"/>
      <w:jc w:val="center"/>
      <w:outlineLvl w:val="1"/>
    </w:pPr>
    <w:rPr>
      <w:rFonts w:ascii="Helvetica" w:eastAsia="ヒラギノ角ゴ Pro W3" w:hAnsi="Helvetica" w:cs="Times New Roman"/>
      <w:b/>
      <w:color w:val="000000"/>
      <w:sz w:val="20"/>
      <w:szCs w:val="20"/>
      <w:lang w:val="es-CR" w:eastAsia="es-MX"/>
    </w:rPr>
  </w:style>
  <w:style w:type="paragraph" w:styleId="Heading8">
    <w:name w:val="heading 8"/>
    <w:basedOn w:val="Normal"/>
    <w:next w:val="Normal"/>
    <w:link w:val="Heading8Char"/>
    <w:uiPriority w:val="9"/>
    <w:semiHidden/>
    <w:unhideWhenUsed/>
    <w:qFormat/>
    <w:rsid w:val="007B532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3FBF"/>
    <w:pPr>
      <w:jc w:val="center"/>
    </w:pPr>
    <w:rPr>
      <w:rFonts w:ascii="Verdana" w:hAnsi="Verdana"/>
      <w:b/>
      <w:noProof/>
      <w:sz w:val="20"/>
      <w:szCs w:val="20"/>
      <w:lang w:val="es-ES_tradnl"/>
    </w:rPr>
  </w:style>
  <w:style w:type="character" w:customStyle="1" w:styleId="TitleChar">
    <w:name w:val="Title Char"/>
    <w:basedOn w:val="DefaultParagraphFont"/>
    <w:link w:val="Title"/>
    <w:rsid w:val="00E63FBF"/>
    <w:rPr>
      <w:rFonts w:ascii="Verdana" w:eastAsia="Times New Roman" w:hAnsi="Verdana" w:cs="Times New Roman"/>
      <w:b/>
      <w:noProof/>
      <w:sz w:val="20"/>
      <w:szCs w:val="20"/>
      <w:lang w:val="es-ES_tradnl"/>
    </w:rPr>
  </w:style>
  <w:style w:type="paragraph" w:styleId="Subtitle">
    <w:name w:val="Subtitle"/>
    <w:basedOn w:val="Normal"/>
    <w:next w:val="Normal"/>
    <w:link w:val="SubtitleChar"/>
    <w:uiPriority w:val="11"/>
    <w:qFormat/>
    <w:rsid w:val="00E63FBF"/>
    <w:pPr>
      <w:numPr>
        <w:ilvl w:val="1"/>
      </w:numPr>
      <w:jc w:val="center"/>
    </w:pPr>
    <w:rPr>
      <w:rFonts w:ascii="Verdana" w:hAnsi="Verdana"/>
      <w:b/>
      <w:i/>
      <w:iCs/>
      <w:noProof/>
      <w:spacing w:val="15"/>
      <w:sz w:val="20"/>
      <w:lang w:val="es-ES_tradnl"/>
    </w:rPr>
  </w:style>
  <w:style w:type="character" w:customStyle="1" w:styleId="SubtitleChar">
    <w:name w:val="Subtitle Char"/>
    <w:basedOn w:val="DefaultParagraphFont"/>
    <w:link w:val="Subtitle"/>
    <w:uiPriority w:val="11"/>
    <w:rsid w:val="00E63FBF"/>
    <w:rPr>
      <w:rFonts w:ascii="Verdana" w:eastAsia="Times New Roman" w:hAnsi="Verdana" w:cs="Times New Roman"/>
      <w:b/>
      <w:i/>
      <w:iCs/>
      <w:noProof/>
      <w:spacing w:val="15"/>
      <w:sz w:val="20"/>
      <w:szCs w:val="24"/>
      <w:lang w:val="es-ES_tradnl"/>
    </w:rPr>
  </w:style>
  <w:style w:type="character" w:customStyle="1" w:styleId="Heading2Char">
    <w:name w:val="Heading 2 Char"/>
    <w:basedOn w:val="DefaultParagraphFont"/>
    <w:link w:val="Heading2"/>
    <w:uiPriority w:val="99"/>
    <w:semiHidden/>
    <w:rsid w:val="00E63FBF"/>
    <w:rPr>
      <w:rFonts w:ascii="Helvetica" w:eastAsia="ヒラギノ角ゴ Pro W3" w:hAnsi="Helvetica" w:cs="Times New Roman"/>
      <w:b/>
      <w:color w:val="000000"/>
      <w:sz w:val="20"/>
      <w:szCs w:val="20"/>
      <w:lang w:val="es-CR" w:eastAsia="es-MX"/>
    </w:rPr>
  </w:style>
  <w:style w:type="character" w:styleId="Hyperlink">
    <w:name w:val="Hyperlink"/>
    <w:uiPriority w:val="99"/>
    <w:semiHidden/>
    <w:unhideWhenUsed/>
    <w:rsid w:val="00E63FBF"/>
    <w:rPr>
      <w:color w:val="0000FF"/>
      <w:u w:val="single"/>
    </w:rPr>
  </w:style>
  <w:style w:type="paragraph" w:customStyle="1" w:styleId="Body1">
    <w:name w:val="Body 1"/>
    <w:rsid w:val="00E63FBF"/>
    <w:pPr>
      <w:spacing w:after="0" w:line="240" w:lineRule="auto"/>
      <w:outlineLvl w:val="0"/>
    </w:pPr>
    <w:rPr>
      <w:rFonts w:ascii="Helvetica" w:eastAsia="ヒラギノ角ゴ Pro W3" w:hAnsi="Helvetica" w:cs="Times New Roman"/>
      <w:color w:val="000000"/>
      <w:sz w:val="24"/>
      <w:szCs w:val="20"/>
      <w:lang w:eastAsia="es-MX"/>
    </w:rPr>
  </w:style>
  <w:style w:type="character" w:customStyle="1" w:styleId="PrrafodeSentenciaChar">
    <w:name w:val="*. Párrafo de Sentencia Char"/>
    <w:link w:val="PrrafodeSentencia"/>
    <w:locked/>
    <w:rsid w:val="00E63FBF"/>
    <w:rPr>
      <w:rFonts w:ascii="Verdana" w:eastAsia="Batang" w:hAnsi="Verdana"/>
      <w:lang w:val="es-CL" w:eastAsia="es-MX"/>
    </w:rPr>
  </w:style>
  <w:style w:type="paragraph" w:customStyle="1" w:styleId="PrrafodeSentencia">
    <w:name w:val="*. Párrafo de Sentencia"/>
    <w:basedOn w:val="Normal"/>
    <w:link w:val="PrrafodeSentenciaChar"/>
    <w:autoRedefine/>
    <w:qFormat/>
    <w:rsid w:val="00E63FBF"/>
    <w:pPr>
      <w:spacing w:before="120" w:after="120"/>
      <w:jc w:val="both"/>
    </w:pPr>
    <w:rPr>
      <w:rFonts w:ascii="Verdana" w:eastAsia="Batang" w:hAnsi="Verdana" w:cstheme="minorBidi"/>
      <w:sz w:val="22"/>
      <w:szCs w:val="22"/>
      <w:lang w:val="es-CL" w:eastAsia="es-MX"/>
    </w:rPr>
  </w:style>
  <w:style w:type="paragraph" w:customStyle="1" w:styleId="Default">
    <w:name w:val="Default"/>
    <w:rsid w:val="00E63FBF"/>
    <w:pPr>
      <w:autoSpaceDE w:val="0"/>
      <w:autoSpaceDN w:val="0"/>
      <w:adjustRightInd w:val="0"/>
      <w:spacing w:after="0" w:line="240" w:lineRule="auto"/>
      <w:ind w:left="1080"/>
      <w:jc w:val="both"/>
    </w:pPr>
    <w:rPr>
      <w:rFonts w:ascii="Verdana" w:eastAsia="Times New Roman" w:hAnsi="Verdana" w:cs="Univers"/>
      <w:color w:val="000000"/>
      <w:lang w:val="es-ES_tradnl"/>
    </w:rPr>
  </w:style>
  <w:style w:type="paragraph" w:styleId="ListParagraph">
    <w:name w:val="List Paragraph"/>
    <w:aliases w:val="Footnote"/>
    <w:basedOn w:val="Normal"/>
    <w:uiPriority w:val="34"/>
    <w:qFormat/>
    <w:rsid w:val="00E63FBF"/>
    <w:pPr>
      <w:ind w:left="720"/>
    </w:pPr>
    <w:rPr>
      <w:rFonts w:eastAsia="Calibri"/>
      <w:lang w:val="es-ES_tradnl"/>
    </w:rPr>
  </w:style>
  <w:style w:type="character" w:styleId="FootnoteReference">
    <w:name w:val="footnote reference"/>
    <w:aliases w:val="Footnotes refss,Texto de nota al pie,Appel note de bas de page,Footnote number,referencia nota al pie,BVI fnr,f,4_G,16 Point,Superscript 6 Point,Ref. de nota al pi,Appel note de bas de...,Ref. de nota al pie 2,Texto nota al pie"/>
    <w:uiPriority w:val="99"/>
    <w:unhideWhenUsed/>
    <w:qFormat/>
    <w:rsid w:val="00E63FBF"/>
    <w:rPr>
      <w:rFonts w:ascii="Times New Roman" w:hAnsi="Times New Roman" w:cs="Times New Roman" w:hint="default"/>
      <w:vertAlign w:val="superscript"/>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
    <w:basedOn w:val="Normal"/>
    <w:link w:val="FootnoteTextChar1"/>
    <w:unhideWhenUsed/>
    <w:qFormat/>
    <w:rsid w:val="00225DDB"/>
    <w:pPr>
      <w:spacing w:before="120" w:after="120"/>
      <w:jc w:val="both"/>
    </w:pPr>
    <w:rPr>
      <w:rFonts w:ascii="Verdana" w:eastAsia="Batang" w:hAnsi="Verdana"/>
      <w:noProof/>
      <w:sz w:val="16"/>
      <w:szCs w:val="20"/>
      <w:lang w:val="es-ES_tradnl" w:eastAsia="x-none"/>
    </w:rPr>
  </w:style>
  <w:style w:type="character" w:customStyle="1" w:styleId="FootnoteTextChar">
    <w:name w:val="Footnote Text Char"/>
    <w:basedOn w:val="DefaultParagraphFont"/>
    <w:uiPriority w:val="99"/>
    <w:semiHidden/>
    <w:rsid w:val="00225DDB"/>
    <w:rPr>
      <w:rFonts w:ascii="Times New Roman" w:eastAsia="Times New Roman" w:hAnsi="Times New Roman" w:cs="Times New Roman"/>
      <w:sz w:val="20"/>
      <w:szCs w:val="20"/>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
    <w:link w:val="FootnoteText"/>
    <w:rsid w:val="00225DDB"/>
    <w:rPr>
      <w:rFonts w:ascii="Verdana" w:eastAsia="Batang" w:hAnsi="Verdana" w:cs="Times New Roman"/>
      <w:noProof/>
      <w:sz w:val="16"/>
      <w:szCs w:val="20"/>
      <w:lang w:val="es-ES_tradnl" w:eastAsia="x-none"/>
    </w:rPr>
  </w:style>
  <w:style w:type="paragraph" w:styleId="Header">
    <w:name w:val="header"/>
    <w:basedOn w:val="Normal"/>
    <w:link w:val="HeaderChar"/>
    <w:uiPriority w:val="99"/>
    <w:unhideWhenUsed/>
    <w:rsid w:val="008360F8"/>
    <w:pPr>
      <w:tabs>
        <w:tab w:val="center" w:pos="4419"/>
        <w:tab w:val="right" w:pos="8838"/>
      </w:tabs>
      <w:jc w:val="both"/>
    </w:pPr>
    <w:rPr>
      <w:rFonts w:ascii="Verdana" w:eastAsia="Batang" w:hAnsi="Verdana" w:cs="Times"/>
      <w:noProof/>
      <w:sz w:val="20"/>
      <w:lang w:val="es-ES_tradnl"/>
    </w:rPr>
  </w:style>
  <w:style w:type="character" w:customStyle="1" w:styleId="HeaderChar">
    <w:name w:val="Header Char"/>
    <w:basedOn w:val="DefaultParagraphFont"/>
    <w:link w:val="Header"/>
    <w:uiPriority w:val="99"/>
    <w:rsid w:val="008360F8"/>
    <w:rPr>
      <w:rFonts w:ascii="Verdana" w:eastAsia="Batang" w:hAnsi="Verdana" w:cs="Times"/>
      <w:noProof/>
      <w:sz w:val="20"/>
      <w:szCs w:val="24"/>
      <w:lang w:val="es-ES_tradnl"/>
    </w:rPr>
  </w:style>
  <w:style w:type="character" w:customStyle="1" w:styleId="Heading8Char">
    <w:name w:val="Heading 8 Char"/>
    <w:basedOn w:val="DefaultParagraphFont"/>
    <w:link w:val="Heading8"/>
    <w:uiPriority w:val="9"/>
    <w:semiHidden/>
    <w:rsid w:val="007B5320"/>
    <w:rPr>
      <w:rFonts w:asciiTheme="majorHAnsi" w:eastAsiaTheme="majorEastAsia" w:hAnsiTheme="majorHAnsi" w:cstheme="majorBidi"/>
      <w:color w:val="404040" w:themeColor="text1" w:themeTint="BF"/>
      <w:sz w:val="20"/>
      <w:szCs w:val="20"/>
    </w:rPr>
  </w:style>
  <w:style w:type="paragraph" w:customStyle="1" w:styleId="citaindirecta">
    <w:name w:val="cita indirecta"/>
    <w:basedOn w:val="Normal"/>
    <w:uiPriority w:val="99"/>
    <w:rsid w:val="004E0156"/>
    <w:pPr>
      <w:ind w:left="708"/>
      <w:jc w:val="both"/>
    </w:pPr>
    <w:rPr>
      <w:rFonts w:ascii="Verdana" w:hAnsi="Verdana"/>
      <w:noProof/>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BF"/>
    <w:pPr>
      <w:spacing w:after="0" w:line="240" w:lineRule="auto"/>
    </w:pPr>
    <w:rPr>
      <w:rFonts w:ascii="Times New Roman" w:eastAsia="Times New Roman" w:hAnsi="Times New Roman" w:cs="Times New Roman"/>
      <w:sz w:val="24"/>
      <w:szCs w:val="24"/>
    </w:rPr>
  </w:style>
  <w:style w:type="paragraph" w:styleId="Heading2">
    <w:name w:val="heading 2"/>
    <w:next w:val="Body1"/>
    <w:link w:val="Heading2Char"/>
    <w:uiPriority w:val="99"/>
    <w:semiHidden/>
    <w:unhideWhenUsed/>
    <w:qFormat/>
    <w:rsid w:val="00E63FBF"/>
    <w:pPr>
      <w:keepNext/>
      <w:spacing w:after="0" w:line="240" w:lineRule="auto"/>
      <w:jc w:val="center"/>
      <w:outlineLvl w:val="1"/>
    </w:pPr>
    <w:rPr>
      <w:rFonts w:ascii="Helvetica" w:eastAsia="ヒラギノ角ゴ Pro W3" w:hAnsi="Helvetica" w:cs="Times New Roman"/>
      <w:b/>
      <w:color w:val="000000"/>
      <w:sz w:val="20"/>
      <w:szCs w:val="20"/>
      <w:lang w:val="es-CR" w:eastAsia="es-MX"/>
    </w:rPr>
  </w:style>
  <w:style w:type="paragraph" w:styleId="Heading8">
    <w:name w:val="heading 8"/>
    <w:basedOn w:val="Normal"/>
    <w:next w:val="Normal"/>
    <w:link w:val="Heading8Char"/>
    <w:uiPriority w:val="9"/>
    <w:semiHidden/>
    <w:unhideWhenUsed/>
    <w:qFormat/>
    <w:rsid w:val="007B532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3FBF"/>
    <w:pPr>
      <w:jc w:val="center"/>
    </w:pPr>
    <w:rPr>
      <w:rFonts w:ascii="Verdana" w:hAnsi="Verdana"/>
      <w:b/>
      <w:noProof/>
      <w:sz w:val="20"/>
      <w:szCs w:val="20"/>
      <w:lang w:val="es-ES_tradnl"/>
    </w:rPr>
  </w:style>
  <w:style w:type="character" w:customStyle="1" w:styleId="TitleChar">
    <w:name w:val="Title Char"/>
    <w:basedOn w:val="DefaultParagraphFont"/>
    <w:link w:val="Title"/>
    <w:rsid w:val="00E63FBF"/>
    <w:rPr>
      <w:rFonts w:ascii="Verdana" w:eastAsia="Times New Roman" w:hAnsi="Verdana" w:cs="Times New Roman"/>
      <w:b/>
      <w:noProof/>
      <w:sz w:val="20"/>
      <w:szCs w:val="20"/>
      <w:lang w:val="es-ES_tradnl"/>
    </w:rPr>
  </w:style>
  <w:style w:type="paragraph" w:styleId="Subtitle">
    <w:name w:val="Subtitle"/>
    <w:basedOn w:val="Normal"/>
    <w:next w:val="Normal"/>
    <w:link w:val="SubtitleChar"/>
    <w:uiPriority w:val="11"/>
    <w:qFormat/>
    <w:rsid w:val="00E63FBF"/>
    <w:pPr>
      <w:numPr>
        <w:ilvl w:val="1"/>
      </w:numPr>
      <w:jc w:val="center"/>
    </w:pPr>
    <w:rPr>
      <w:rFonts w:ascii="Verdana" w:hAnsi="Verdana"/>
      <w:b/>
      <w:i/>
      <w:iCs/>
      <w:noProof/>
      <w:spacing w:val="15"/>
      <w:sz w:val="20"/>
      <w:lang w:val="es-ES_tradnl"/>
    </w:rPr>
  </w:style>
  <w:style w:type="character" w:customStyle="1" w:styleId="SubtitleChar">
    <w:name w:val="Subtitle Char"/>
    <w:basedOn w:val="DefaultParagraphFont"/>
    <w:link w:val="Subtitle"/>
    <w:uiPriority w:val="11"/>
    <w:rsid w:val="00E63FBF"/>
    <w:rPr>
      <w:rFonts w:ascii="Verdana" w:eastAsia="Times New Roman" w:hAnsi="Verdana" w:cs="Times New Roman"/>
      <w:b/>
      <w:i/>
      <w:iCs/>
      <w:noProof/>
      <w:spacing w:val="15"/>
      <w:sz w:val="20"/>
      <w:szCs w:val="24"/>
      <w:lang w:val="es-ES_tradnl"/>
    </w:rPr>
  </w:style>
  <w:style w:type="character" w:customStyle="1" w:styleId="Heading2Char">
    <w:name w:val="Heading 2 Char"/>
    <w:basedOn w:val="DefaultParagraphFont"/>
    <w:link w:val="Heading2"/>
    <w:uiPriority w:val="99"/>
    <w:semiHidden/>
    <w:rsid w:val="00E63FBF"/>
    <w:rPr>
      <w:rFonts w:ascii="Helvetica" w:eastAsia="ヒラギノ角ゴ Pro W3" w:hAnsi="Helvetica" w:cs="Times New Roman"/>
      <w:b/>
      <w:color w:val="000000"/>
      <w:sz w:val="20"/>
      <w:szCs w:val="20"/>
      <w:lang w:val="es-CR" w:eastAsia="es-MX"/>
    </w:rPr>
  </w:style>
  <w:style w:type="character" w:styleId="Hyperlink">
    <w:name w:val="Hyperlink"/>
    <w:uiPriority w:val="99"/>
    <w:semiHidden/>
    <w:unhideWhenUsed/>
    <w:rsid w:val="00E63FBF"/>
    <w:rPr>
      <w:color w:val="0000FF"/>
      <w:u w:val="single"/>
    </w:rPr>
  </w:style>
  <w:style w:type="paragraph" w:customStyle="1" w:styleId="Body1">
    <w:name w:val="Body 1"/>
    <w:rsid w:val="00E63FBF"/>
    <w:pPr>
      <w:spacing w:after="0" w:line="240" w:lineRule="auto"/>
      <w:outlineLvl w:val="0"/>
    </w:pPr>
    <w:rPr>
      <w:rFonts w:ascii="Helvetica" w:eastAsia="ヒラギノ角ゴ Pro W3" w:hAnsi="Helvetica" w:cs="Times New Roman"/>
      <w:color w:val="000000"/>
      <w:sz w:val="24"/>
      <w:szCs w:val="20"/>
      <w:lang w:eastAsia="es-MX"/>
    </w:rPr>
  </w:style>
  <w:style w:type="character" w:customStyle="1" w:styleId="PrrafodeSentenciaChar">
    <w:name w:val="*. Párrafo de Sentencia Char"/>
    <w:link w:val="PrrafodeSentencia"/>
    <w:locked/>
    <w:rsid w:val="00E63FBF"/>
    <w:rPr>
      <w:rFonts w:ascii="Verdana" w:eastAsia="Batang" w:hAnsi="Verdana"/>
      <w:lang w:val="es-CL" w:eastAsia="es-MX"/>
    </w:rPr>
  </w:style>
  <w:style w:type="paragraph" w:customStyle="1" w:styleId="PrrafodeSentencia">
    <w:name w:val="*. Párrafo de Sentencia"/>
    <w:basedOn w:val="Normal"/>
    <w:link w:val="PrrafodeSentenciaChar"/>
    <w:autoRedefine/>
    <w:qFormat/>
    <w:rsid w:val="00E63FBF"/>
    <w:pPr>
      <w:spacing w:before="120" w:after="120"/>
      <w:jc w:val="both"/>
    </w:pPr>
    <w:rPr>
      <w:rFonts w:ascii="Verdana" w:eastAsia="Batang" w:hAnsi="Verdana" w:cstheme="minorBidi"/>
      <w:sz w:val="22"/>
      <w:szCs w:val="22"/>
      <w:lang w:val="es-CL" w:eastAsia="es-MX"/>
    </w:rPr>
  </w:style>
  <w:style w:type="paragraph" w:customStyle="1" w:styleId="Default">
    <w:name w:val="Default"/>
    <w:rsid w:val="00E63FBF"/>
    <w:pPr>
      <w:autoSpaceDE w:val="0"/>
      <w:autoSpaceDN w:val="0"/>
      <w:adjustRightInd w:val="0"/>
      <w:spacing w:after="0" w:line="240" w:lineRule="auto"/>
      <w:ind w:left="1080"/>
      <w:jc w:val="both"/>
    </w:pPr>
    <w:rPr>
      <w:rFonts w:ascii="Verdana" w:eastAsia="Times New Roman" w:hAnsi="Verdana" w:cs="Univers"/>
      <w:color w:val="000000"/>
      <w:lang w:val="es-ES_tradnl"/>
    </w:rPr>
  </w:style>
  <w:style w:type="paragraph" w:styleId="ListParagraph">
    <w:name w:val="List Paragraph"/>
    <w:aliases w:val="Footnote"/>
    <w:basedOn w:val="Normal"/>
    <w:uiPriority w:val="34"/>
    <w:qFormat/>
    <w:rsid w:val="00E63FBF"/>
    <w:pPr>
      <w:ind w:left="720"/>
    </w:pPr>
    <w:rPr>
      <w:rFonts w:eastAsia="Calibri"/>
      <w:lang w:val="es-ES_tradnl"/>
    </w:rPr>
  </w:style>
  <w:style w:type="character" w:styleId="FootnoteReference">
    <w:name w:val="footnote reference"/>
    <w:aliases w:val="Footnotes refss,Texto de nota al pie,Appel note de bas de page,Footnote number,referencia nota al pie,BVI fnr,f,4_G,16 Point,Superscript 6 Point,Ref. de nota al pi,Appel note de bas de...,Ref. de nota al pie 2,Texto nota al pie"/>
    <w:uiPriority w:val="99"/>
    <w:unhideWhenUsed/>
    <w:qFormat/>
    <w:rsid w:val="00E63FBF"/>
    <w:rPr>
      <w:rFonts w:ascii="Times New Roman" w:hAnsi="Times New Roman" w:cs="Times New Roman" w:hint="default"/>
      <w:vertAlign w:val="superscript"/>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
    <w:basedOn w:val="Normal"/>
    <w:link w:val="FootnoteTextChar1"/>
    <w:unhideWhenUsed/>
    <w:qFormat/>
    <w:rsid w:val="00225DDB"/>
    <w:pPr>
      <w:spacing w:before="120" w:after="120"/>
      <w:jc w:val="both"/>
    </w:pPr>
    <w:rPr>
      <w:rFonts w:ascii="Verdana" w:eastAsia="Batang" w:hAnsi="Verdana"/>
      <w:noProof/>
      <w:sz w:val="16"/>
      <w:szCs w:val="20"/>
      <w:lang w:val="es-ES_tradnl" w:eastAsia="x-none"/>
    </w:rPr>
  </w:style>
  <w:style w:type="character" w:customStyle="1" w:styleId="FootnoteTextChar">
    <w:name w:val="Footnote Text Char"/>
    <w:basedOn w:val="DefaultParagraphFont"/>
    <w:uiPriority w:val="99"/>
    <w:semiHidden/>
    <w:rsid w:val="00225DDB"/>
    <w:rPr>
      <w:rFonts w:ascii="Times New Roman" w:eastAsia="Times New Roman" w:hAnsi="Times New Roman" w:cs="Times New Roman"/>
      <w:sz w:val="20"/>
      <w:szCs w:val="20"/>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
    <w:link w:val="FootnoteText"/>
    <w:rsid w:val="00225DDB"/>
    <w:rPr>
      <w:rFonts w:ascii="Verdana" w:eastAsia="Batang" w:hAnsi="Verdana" w:cs="Times New Roman"/>
      <w:noProof/>
      <w:sz w:val="16"/>
      <w:szCs w:val="20"/>
      <w:lang w:val="es-ES_tradnl" w:eastAsia="x-none"/>
    </w:rPr>
  </w:style>
  <w:style w:type="paragraph" w:styleId="Header">
    <w:name w:val="header"/>
    <w:basedOn w:val="Normal"/>
    <w:link w:val="HeaderChar"/>
    <w:uiPriority w:val="99"/>
    <w:unhideWhenUsed/>
    <w:rsid w:val="008360F8"/>
    <w:pPr>
      <w:tabs>
        <w:tab w:val="center" w:pos="4419"/>
        <w:tab w:val="right" w:pos="8838"/>
      </w:tabs>
      <w:jc w:val="both"/>
    </w:pPr>
    <w:rPr>
      <w:rFonts w:ascii="Verdana" w:eastAsia="Batang" w:hAnsi="Verdana" w:cs="Times"/>
      <w:noProof/>
      <w:sz w:val="20"/>
      <w:lang w:val="es-ES_tradnl"/>
    </w:rPr>
  </w:style>
  <w:style w:type="character" w:customStyle="1" w:styleId="HeaderChar">
    <w:name w:val="Header Char"/>
    <w:basedOn w:val="DefaultParagraphFont"/>
    <w:link w:val="Header"/>
    <w:uiPriority w:val="99"/>
    <w:rsid w:val="008360F8"/>
    <w:rPr>
      <w:rFonts w:ascii="Verdana" w:eastAsia="Batang" w:hAnsi="Verdana" w:cs="Times"/>
      <w:noProof/>
      <w:sz w:val="20"/>
      <w:szCs w:val="24"/>
      <w:lang w:val="es-ES_tradnl"/>
    </w:rPr>
  </w:style>
  <w:style w:type="character" w:customStyle="1" w:styleId="Heading8Char">
    <w:name w:val="Heading 8 Char"/>
    <w:basedOn w:val="DefaultParagraphFont"/>
    <w:link w:val="Heading8"/>
    <w:uiPriority w:val="9"/>
    <w:semiHidden/>
    <w:rsid w:val="007B5320"/>
    <w:rPr>
      <w:rFonts w:asciiTheme="majorHAnsi" w:eastAsiaTheme="majorEastAsia" w:hAnsiTheme="majorHAnsi" w:cstheme="majorBidi"/>
      <w:color w:val="404040" w:themeColor="text1" w:themeTint="BF"/>
      <w:sz w:val="20"/>
      <w:szCs w:val="20"/>
    </w:rPr>
  </w:style>
  <w:style w:type="paragraph" w:customStyle="1" w:styleId="citaindirecta">
    <w:name w:val="cita indirecta"/>
    <w:basedOn w:val="Normal"/>
    <w:uiPriority w:val="99"/>
    <w:rsid w:val="004E0156"/>
    <w:pPr>
      <w:ind w:left="708"/>
      <w:jc w:val="both"/>
    </w:pPr>
    <w:rPr>
      <w:rFonts w:ascii="Verdana" w:hAnsi="Verdana"/>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idh.or.cr/casos.cf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1861</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4</cp:revision>
  <cp:lastPrinted>2016-06-23T21:59:00Z</cp:lastPrinted>
  <dcterms:created xsi:type="dcterms:W3CDTF">2016-06-23T21:54:00Z</dcterms:created>
  <dcterms:modified xsi:type="dcterms:W3CDTF">2016-06-23T22:13:00Z</dcterms:modified>
</cp:coreProperties>
</file>