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530AA" w14:textId="77777777" w:rsidR="00CB4035" w:rsidRDefault="00CB4035" w:rsidP="008F5D36">
      <w:pPr>
        <w:jc w:val="center"/>
        <w:rPr>
          <w:b/>
          <w:lang w:val="es-CR" w:eastAsia="es-CR"/>
        </w:rPr>
      </w:pPr>
      <w:bookmarkStart w:id="0" w:name="_Toc304195580"/>
      <w:bookmarkStart w:id="1" w:name="_Toc435523338"/>
      <w:bookmarkStart w:id="2" w:name="_Toc435540837"/>
    </w:p>
    <w:p w14:paraId="0D8C81A9" w14:textId="11158C05" w:rsidR="00127C78" w:rsidRDefault="00127C78" w:rsidP="008F5D36">
      <w:pPr>
        <w:jc w:val="center"/>
        <w:rPr>
          <w:b/>
          <w:lang w:val="es-CR" w:eastAsia="es-CR"/>
        </w:rPr>
      </w:pPr>
    </w:p>
    <w:p w14:paraId="02A96194" w14:textId="2CFBE88B" w:rsidR="00AC0ABA" w:rsidRDefault="00AC0ABA" w:rsidP="008F5D36">
      <w:pPr>
        <w:jc w:val="center"/>
        <w:rPr>
          <w:b/>
          <w:lang w:val="es-CR" w:eastAsia="es-CR"/>
        </w:rPr>
      </w:pPr>
    </w:p>
    <w:p w14:paraId="5714F642" w14:textId="5A38330B" w:rsidR="00AC0ABA" w:rsidRDefault="00AC0ABA" w:rsidP="008F5D36">
      <w:pPr>
        <w:jc w:val="center"/>
        <w:rPr>
          <w:b/>
          <w:lang w:val="es-CR" w:eastAsia="es-CR"/>
        </w:rPr>
      </w:pPr>
    </w:p>
    <w:p w14:paraId="390B0A82" w14:textId="779EEB13" w:rsidR="00AC0ABA" w:rsidRDefault="00AC0ABA" w:rsidP="008F5D36">
      <w:pPr>
        <w:jc w:val="center"/>
        <w:rPr>
          <w:b/>
          <w:lang w:val="es-CR" w:eastAsia="es-CR"/>
        </w:rPr>
      </w:pPr>
    </w:p>
    <w:p w14:paraId="26AD2D8B" w14:textId="5CB8E7DD" w:rsidR="00AC0ABA" w:rsidRDefault="00AC0ABA" w:rsidP="008F5D36">
      <w:pPr>
        <w:jc w:val="center"/>
        <w:rPr>
          <w:b/>
          <w:lang w:val="es-CR" w:eastAsia="es-CR"/>
        </w:rPr>
      </w:pPr>
    </w:p>
    <w:p w14:paraId="3CA3F63B" w14:textId="792A1351" w:rsidR="00AC0ABA" w:rsidRDefault="00AC0ABA" w:rsidP="008F5D36">
      <w:pPr>
        <w:jc w:val="center"/>
        <w:rPr>
          <w:b/>
          <w:lang w:val="es-CR" w:eastAsia="es-CR"/>
        </w:rPr>
      </w:pPr>
    </w:p>
    <w:p w14:paraId="5E33FB1E" w14:textId="0B358EEF" w:rsidR="00AC0ABA" w:rsidRDefault="00AC0ABA" w:rsidP="008F5D36">
      <w:pPr>
        <w:jc w:val="center"/>
        <w:rPr>
          <w:b/>
          <w:lang w:val="es-CR" w:eastAsia="es-CR"/>
        </w:rPr>
      </w:pPr>
    </w:p>
    <w:p w14:paraId="20B922EB" w14:textId="797D5EC5" w:rsidR="00AC0ABA" w:rsidRDefault="00AC0ABA" w:rsidP="008F5D36">
      <w:pPr>
        <w:jc w:val="center"/>
        <w:rPr>
          <w:b/>
          <w:lang w:val="es-CR" w:eastAsia="es-CR"/>
        </w:rPr>
      </w:pPr>
    </w:p>
    <w:p w14:paraId="59A99DC2" w14:textId="77777777" w:rsidR="00AC0ABA" w:rsidRDefault="00AC0ABA" w:rsidP="008F5D36">
      <w:pPr>
        <w:jc w:val="center"/>
        <w:rPr>
          <w:b/>
          <w:lang w:val="es-CR" w:eastAsia="es-CR"/>
        </w:rPr>
      </w:pPr>
      <w:bookmarkStart w:id="3" w:name="_GoBack"/>
      <w:bookmarkEnd w:id="3"/>
    </w:p>
    <w:p w14:paraId="1A8E8987" w14:textId="42466A0B" w:rsidR="008F5D36" w:rsidRPr="008F5D36" w:rsidRDefault="008F5D36" w:rsidP="008F5D36">
      <w:pPr>
        <w:jc w:val="center"/>
        <w:rPr>
          <w:b/>
          <w:lang w:val="es-CR" w:eastAsia="es-CR"/>
        </w:rPr>
      </w:pPr>
      <w:r w:rsidRPr="008F5D36">
        <w:rPr>
          <w:b/>
          <w:lang w:val="es-CR" w:eastAsia="es-CR"/>
        </w:rPr>
        <w:t>CORTE INTERAMERICANA DE DERECHOS HUMANOS</w:t>
      </w:r>
      <w:bookmarkEnd w:id="0"/>
      <w:bookmarkEnd w:id="1"/>
      <w:bookmarkEnd w:id="2"/>
      <w:r w:rsidR="00A55E89" w:rsidRPr="005C5833">
        <w:rPr>
          <w:rStyle w:val="Refdenotaalpie"/>
          <w:rFonts w:eastAsia="Calibri" w:cs="Calibri"/>
          <w:b/>
          <w:szCs w:val="20"/>
          <w:lang w:val="es-CR"/>
        </w:rPr>
        <w:footnoteReference w:customMarkFollows="1" w:id="1"/>
        <w:t>*</w:t>
      </w:r>
    </w:p>
    <w:p w14:paraId="693EBF81" w14:textId="77777777" w:rsidR="008F5D36" w:rsidRPr="008F5D36" w:rsidRDefault="008F5D36" w:rsidP="008F5D36">
      <w:pPr>
        <w:jc w:val="center"/>
        <w:rPr>
          <w:b/>
          <w:snapToGrid w:val="0"/>
          <w:lang w:val="es-CR"/>
        </w:rPr>
      </w:pPr>
    </w:p>
    <w:p w14:paraId="2745B24C" w14:textId="33F916DD" w:rsidR="008F5D36" w:rsidRPr="008F5D36" w:rsidRDefault="008F5D36" w:rsidP="008F5D36">
      <w:pPr>
        <w:jc w:val="center"/>
        <w:rPr>
          <w:b/>
          <w:lang w:val="es-CR" w:eastAsia="es-CR"/>
        </w:rPr>
      </w:pPr>
      <w:bookmarkStart w:id="4" w:name="_Toc304195581"/>
      <w:bookmarkStart w:id="5" w:name="_Toc435523339"/>
      <w:bookmarkStart w:id="6" w:name="_Toc435540838"/>
      <w:r w:rsidRPr="00BA7153">
        <w:rPr>
          <w:b/>
          <w:lang w:val="es-CR" w:eastAsia="es-CR"/>
        </w:rPr>
        <w:t xml:space="preserve">CASO </w:t>
      </w:r>
      <w:r w:rsidR="00F14BC4">
        <w:rPr>
          <w:b/>
          <w:lang w:val="es-CR" w:eastAsia="es-CR"/>
        </w:rPr>
        <w:t>FLOR FREIRE</w:t>
      </w:r>
      <w:r w:rsidRPr="00BA7153">
        <w:rPr>
          <w:b/>
          <w:lang w:val="es-CR" w:eastAsia="es-CR"/>
        </w:rPr>
        <w:t xml:space="preserve"> </w:t>
      </w:r>
      <w:r w:rsidRPr="00F14BC4">
        <w:rPr>
          <w:b/>
          <w:i/>
          <w:lang w:val="es-CR" w:eastAsia="es-CR"/>
        </w:rPr>
        <w:t>VS</w:t>
      </w:r>
      <w:r w:rsidRPr="00BA7153">
        <w:rPr>
          <w:b/>
          <w:lang w:val="es-CR" w:eastAsia="es-CR"/>
        </w:rPr>
        <w:t>. ECUADOR</w:t>
      </w:r>
      <w:bookmarkEnd w:id="4"/>
      <w:bookmarkEnd w:id="5"/>
      <w:bookmarkEnd w:id="6"/>
    </w:p>
    <w:p w14:paraId="37D5DFCE" w14:textId="77777777" w:rsidR="008F5D36" w:rsidRPr="008F5D36" w:rsidRDefault="008F5D36" w:rsidP="008F5D36">
      <w:pPr>
        <w:jc w:val="center"/>
        <w:rPr>
          <w:b/>
          <w:snapToGrid w:val="0"/>
          <w:lang w:val="es-CR"/>
        </w:rPr>
      </w:pPr>
    </w:p>
    <w:p w14:paraId="22F7C5A4" w14:textId="36C732DC" w:rsidR="008F5D36" w:rsidRPr="008F5D36" w:rsidRDefault="00F14BC4" w:rsidP="008F5D36">
      <w:pPr>
        <w:jc w:val="center"/>
        <w:rPr>
          <w:b/>
          <w:snapToGrid w:val="0"/>
          <w:lang w:val="es-CR"/>
        </w:rPr>
      </w:pPr>
      <w:bookmarkStart w:id="7" w:name="_Toc304195582"/>
      <w:bookmarkStart w:id="8" w:name="_Toc435523340"/>
      <w:bookmarkStart w:id="9" w:name="_Toc435540839"/>
      <w:r>
        <w:rPr>
          <w:b/>
          <w:snapToGrid w:val="0"/>
          <w:lang w:val="es-CR"/>
        </w:rPr>
        <w:t xml:space="preserve">SENTENCIA DE </w:t>
      </w:r>
      <w:r w:rsidR="00B01BB9">
        <w:rPr>
          <w:b/>
          <w:snapToGrid w:val="0"/>
          <w:lang w:val="es-CR"/>
        </w:rPr>
        <w:t>31</w:t>
      </w:r>
      <w:r w:rsidR="008F5D36" w:rsidRPr="008F5D36">
        <w:rPr>
          <w:b/>
          <w:snapToGrid w:val="0"/>
          <w:lang w:val="es-CR"/>
        </w:rPr>
        <w:t xml:space="preserve"> DE </w:t>
      </w:r>
      <w:r w:rsidR="00B01BB9">
        <w:rPr>
          <w:b/>
          <w:snapToGrid w:val="0"/>
          <w:lang w:val="es-CR"/>
        </w:rPr>
        <w:t xml:space="preserve">AGOSTO </w:t>
      </w:r>
      <w:r w:rsidR="008F5D36" w:rsidRPr="008F5D36">
        <w:rPr>
          <w:b/>
          <w:snapToGrid w:val="0"/>
          <w:lang w:val="es-CR"/>
        </w:rPr>
        <w:t>DE 201</w:t>
      </w:r>
      <w:bookmarkEnd w:id="7"/>
      <w:bookmarkEnd w:id="8"/>
      <w:bookmarkEnd w:id="9"/>
      <w:r w:rsidR="00B01BB9">
        <w:rPr>
          <w:b/>
          <w:snapToGrid w:val="0"/>
          <w:lang w:val="es-CR"/>
        </w:rPr>
        <w:t>6</w:t>
      </w:r>
    </w:p>
    <w:p w14:paraId="1665FC52" w14:textId="77777777" w:rsidR="008F5D36" w:rsidRPr="008F5D36" w:rsidRDefault="008F5D36" w:rsidP="008F5D36">
      <w:pPr>
        <w:jc w:val="center"/>
        <w:rPr>
          <w:b/>
          <w:snapToGrid w:val="0"/>
          <w:lang w:val="es-CR"/>
        </w:rPr>
      </w:pPr>
    </w:p>
    <w:p w14:paraId="618DA42A" w14:textId="58060D18" w:rsidR="008F5D36" w:rsidRPr="008F5D36" w:rsidRDefault="008F5D36" w:rsidP="008F5D36">
      <w:pPr>
        <w:jc w:val="center"/>
        <w:rPr>
          <w:b/>
          <w:caps/>
          <w:snapToGrid w:val="0"/>
          <w:lang w:val="es-CR"/>
        </w:rPr>
      </w:pPr>
      <w:bookmarkStart w:id="10" w:name="_Toc304195583"/>
      <w:bookmarkStart w:id="11" w:name="_Toc435523341"/>
      <w:bookmarkStart w:id="12" w:name="_Toc435540840"/>
      <w:r w:rsidRPr="008F5D36">
        <w:rPr>
          <w:b/>
          <w:snapToGrid w:val="0"/>
          <w:lang w:val="es-CR"/>
        </w:rPr>
        <w:t>(</w:t>
      </w:r>
      <w:r w:rsidRPr="008F5D36">
        <w:rPr>
          <w:b/>
          <w:i/>
          <w:snapToGrid w:val="0"/>
          <w:lang w:val="es-CR"/>
        </w:rPr>
        <w:t>Excepci</w:t>
      </w:r>
      <w:r w:rsidR="00B01BB9">
        <w:rPr>
          <w:b/>
          <w:i/>
          <w:snapToGrid w:val="0"/>
          <w:lang w:val="es-CR"/>
        </w:rPr>
        <w:t>ón Preliminar</w:t>
      </w:r>
      <w:r w:rsidRPr="008F5D36">
        <w:rPr>
          <w:b/>
          <w:i/>
          <w:snapToGrid w:val="0"/>
          <w:lang w:val="es-CR"/>
        </w:rPr>
        <w:t>, Fondo, Reparaciones y Costas</w:t>
      </w:r>
      <w:r w:rsidRPr="008F5D36">
        <w:rPr>
          <w:b/>
          <w:snapToGrid w:val="0"/>
          <w:lang w:val="es-CR"/>
        </w:rPr>
        <w:t>)</w:t>
      </w:r>
      <w:bookmarkEnd w:id="10"/>
      <w:bookmarkEnd w:id="11"/>
      <w:bookmarkEnd w:id="12"/>
    </w:p>
    <w:p w14:paraId="11DFB8F3" w14:textId="77777777" w:rsidR="008F5D36" w:rsidRPr="008F5D36" w:rsidRDefault="008F5D36" w:rsidP="008F5D36">
      <w:pPr>
        <w:rPr>
          <w:lang w:val="es-CR" w:eastAsia="es-CR"/>
        </w:rPr>
      </w:pPr>
    </w:p>
    <w:p w14:paraId="4EC70603" w14:textId="77777777" w:rsidR="008F5D36" w:rsidRPr="008F5D36" w:rsidRDefault="008F5D36" w:rsidP="008F5D36">
      <w:pPr>
        <w:jc w:val="both"/>
        <w:rPr>
          <w:rFonts w:eastAsia="Calibri"/>
          <w:b/>
          <w:szCs w:val="20"/>
          <w:lang w:val="es-CR" w:eastAsia="es-ES"/>
        </w:rPr>
      </w:pPr>
    </w:p>
    <w:p w14:paraId="443E82B9" w14:textId="77777777" w:rsidR="008F5D36" w:rsidRPr="0095153D" w:rsidRDefault="008F5D36" w:rsidP="008F5D36">
      <w:pPr>
        <w:jc w:val="center"/>
        <w:rPr>
          <w:rFonts w:eastAsia="Calibri"/>
          <w:b/>
          <w:szCs w:val="20"/>
          <w:lang w:val="es-ES_tradnl" w:eastAsia="es-ES"/>
        </w:rPr>
      </w:pPr>
      <w:r w:rsidRPr="0095153D">
        <w:rPr>
          <w:rFonts w:eastAsia="Calibri"/>
          <w:b/>
          <w:szCs w:val="20"/>
          <w:lang w:val="es-ES_tradnl" w:eastAsia="es-ES"/>
        </w:rPr>
        <w:t>RESUMEN OFICIAL EMITIDO POR LA CORTE INTERAMERICANA</w:t>
      </w:r>
    </w:p>
    <w:p w14:paraId="2D29C0AF" w14:textId="77777777" w:rsidR="008F5D36" w:rsidRPr="0095153D" w:rsidRDefault="008F5D36" w:rsidP="008F5D36">
      <w:pPr>
        <w:rPr>
          <w:rFonts w:eastAsia="Calibri"/>
          <w:b/>
          <w:szCs w:val="20"/>
          <w:lang w:val="es-ES_tradnl" w:eastAsia="es-ES"/>
        </w:rPr>
      </w:pPr>
    </w:p>
    <w:p w14:paraId="4C9A2756" w14:textId="6E4D809A" w:rsidR="008F5D36" w:rsidRPr="00AF45A6" w:rsidRDefault="008F5D36" w:rsidP="008F5D36">
      <w:pPr>
        <w:jc w:val="both"/>
        <w:rPr>
          <w:bCs/>
          <w:lang w:val="es-ES"/>
        </w:rPr>
      </w:pPr>
      <w:r w:rsidRPr="0095153D">
        <w:rPr>
          <w:szCs w:val="20"/>
          <w:lang w:val="es-CO"/>
        </w:rPr>
        <w:t xml:space="preserve">El </w:t>
      </w:r>
      <w:r w:rsidR="00B01BB9">
        <w:rPr>
          <w:szCs w:val="20"/>
          <w:lang w:val="es-CO"/>
        </w:rPr>
        <w:t>31</w:t>
      </w:r>
      <w:r>
        <w:rPr>
          <w:szCs w:val="20"/>
          <w:lang w:val="es-CO"/>
        </w:rPr>
        <w:t xml:space="preserve"> de </w:t>
      </w:r>
      <w:r w:rsidR="00B01BB9">
        <w:rPr>
          <w:szCs w:val="20"/>
          <w:lang w:val="es-CO"/>
        </w:rPr>
        <w:t xml:space="preserve">agosto </w:t>
      </w:r>
      <w:r w:rsidR="00F14BC4">
        <w:rPr>
          <w:szCs w:val="20"/>
          <w:lang w:val="es-CO"/>
        </w:rPr>
        <w:t>de 201</w:t>
      </w:r>
      <w:r w:rsidR="00B01BB9">
        <w:rPr>
          <w:szCs w:val="20"/>
          <w:lang w:val="es-CO"/>
        </w:rPr>
        <w:t>6</w:t>
      </w:r>
      <w:r w:rsidRPr="0095153D">
        <w:rPr>
          <w:szCs w:val="20"/>
          <w:lang w:val="es-CO"/>
        </w:rPr>
        <w:t xml:space="preserve"> la Corte Interamericana de Derechos Humanos (en adelante “la Corte Interamericana”, “la Corte” o “este Tribunal”) dictó una Sen</w:t>
      </w:r>
      <w:r w:rsidR="00B01BB9">
        <w:rPr>
          <w:szCs w:val="20"/>
          <w:lang w:val="es-CO"/>
        </w:rPr>
        <w:t>tencia mediante la cual declaró</w:t>
      </w:r>
      <w:r w:rsidRPr="0095153D">
        <w:rPr>
          <w:szCs w:val="20"/>
          <w:lang w:val="es-CO"/>
        </w:rPr>
        <w:t xml:space="preserve"> </w:t>
      </w:r>
      <w:r w:rsidR="00F14BC4">
        <w:rPr>
          <w:szCs w:val="20"/>
          <w:lang w:val="es-CO"/>
        </w:rPr>
        <w:t>responsable internacionalmente al</w:t>
      </w:r>
      <w:r w:rsidRPr="0095153D">
        <w:rPr>
          <w:szCs w:val="20"/>
          <w:lang w:val="es-CO"/>
        </w:rPr>
        <w:t xml:space="preserve"> Estado de</w:t>
      </w:r>
      <w:r w:rsidR="003877C6">
        <w:rPr>
          <w:szCs w:val="20"/>
          <w:lang w:val="es-CO"/>
        </w:rPr>
        <w:t>l</w:t>
      </w:r>
      <w:r w:rsidRPr="0095153D">
        <w:rPr>
          <w:szCs w:val="20"/>
          <w:lang w:val="es-CO"/>
        </w:rPr>
        <w:t xml:space="preserve"> </w:t>
      </w:r>
      <w:r>
        <w:rPr>
          <w:szCs w:val="20"/>
          <w:lang w:val="es-CO"/>
        </w:rPr>
        <w:t>Ecuador</w:t>
      </w:r>
      <w:r w:rsidRPr="0095153D">
        <w:rPr>
          <w:szCs w:val="20"/>
          <w:lang w:val="es-CO"/>
        </w:rPr>
        <w:t xml:space="preserve"> por </w:t>
      </w:r>
      <w:r w:rsidR="001B6ABD">
        <w:rPr>
          <w:rFonts w:cs="Arial"/>
          <w:lang w:val="es-CR"/>
        </w:rPr>
        <w:t>la violación</w:t>
      </w:r>
      <w:r w:rsidR="00F14BC4">
        <w:rPr>
          <w:rFonts w:cs="Arial"/>
          <w:lang w:val="es-CR"/>
        </w:rPr>
        <w:t xml:space="preserve">: i) </w:t>
      </w:r>
      <w:r w:rsidR="00B01BB9">
        <w:rPr>
          <w:rFonts w:cs="Arial"/>
          <w:lang w:val="es-CR"/>
        </w:rPr>
        <w:t xml:space="preserve">del </w:t>
      </w:r>
      <w:r w:rsidR="00F14BC4">
        <w:rPr>
          <w:rFonts w:cs="Arial"/>
          <w:lang w:val="es-CR"/>
        </w:rPr>
        <w:t xml:space="preserve">derecho </w:t>
      </w:r>
      <w:r w:rsidR="00F14BC4" w:rsidRPr="00F14BC4">
        <w:rPr>
          <w:szCs w:val="20"/>
          <w:lang w:val="es-CR"/>
        </w:rPr>
        <w:t xml:space="preserve">a la igualdad </w:t>
      </w:r>
      <w:r w:rsidR="00B01BB9">
        <w:rPr>
          <w:szCs w:val="20"/>
          <w:lang w:val="es-CR"/>
        </w:rPr>
        <w:t xml:space="preserve">ante la ley </w:t>
      </w:r>
      <w:r w:rsidR="00F14BC4" w:rsidRPr="00F14BC4">
        <w:rPr>
          <w:szCs w:val="20"/>
          <w:lang w:val="es-CR"/>
        </w:rPr>
        <w:t xml:space="preserve">y </w:t>
      </w:r>
      <w:r w:rsidR="00B01BB9">
        <w:rPr>
          <w:szCs w:val="20"/>
          <w:lang w:val="es-CR"/>
        </w:rPr>
        <w:t>la prohibición de</w:t>
      </w:r>
      <w:r w:rsidR="00F14BC4" w:rsidRPr="00F14BC4">
        <w:rPr>
          <w:szCs w:val="20"/>
          <w:lang w:val="es-CR"/>
        </w:rPr>
        <w:t xml:space="preserve"> discriminación </w:t>
      </w:r>
      <w:r w:rsidR="00B01BB9">
        <w:rPr>
          <w:szCs w:val="20"/>
          <w:lang w:val="es-CR"/>
        </w:rPr>
        <w:t xml:space="preserve">reconocidos </w:t>
      </w:r>
      <w:r w:rsidR="00F14BC4" w:rsidRPr="00F14BC4">
        <w:rPr>
          <w:szCs w:val="20"/>
          <w:lang w:val="es-CR"/>
        </w:rPr>
        <w:t>en el artículo 24 de la Convención</w:t>
      </w:r>
      <w:r w:rsidR="00F14BC4">
        <w:rPr>
          <w:szCs w:val="20"/>
          <w:lang w:val="es-CR"/>
        </w:rPr>
        <w:t xml:space="preserve"> American</w:t>
      </w:r>
      <w:r w:rsidR="00B01BB9">
        <w:rPr>
          <w:szCs w:val="20"/>
          <w:lang w:val="es-CR"/>
        </w:rPr>
        <w:t>a, en relación con los artículos 1.1 y 2 del mismo tratado</w:t>
      </w:r>
      <w:r w:rsidR="00F14BC4">
        <w:rPr>
          <w:szCs w:val="20"/>
          <w:lang w:val="es-CR"/>
        </w:rPr>
        <w:t xml:space="preserve">; ii) </w:t>
      </w:r>
      <w:r w:rsidR="00B01BB9">
        <w:rPr>
          <w:szCs w:val="20"/>
          <w:lang w:val="es-ES_tradnl"/>
        </w:rPr>
        <w:t xml:space="preserve">del </w:t>
      </w:r>
      <w:r w:rsidR="00A82363" w:rsidRPr="001B6ABD">
        <w:rPr>
          <w:szCs w:val="20"/>
          <w:lang w:val="es-ES_tradnl"/>
        </w:rPr>
        <w:t xml:space="preserve">derecho a la honra y </w:t>
      </w:r>
      <w:r w:rsidR="00B01BB9">
        <w:rPr>
          <w:szCs w:val="20"/>
          <w:lang w:val="es-ES_tradnl"/>
        </w:rPr>
        <w:t xml:space="preserve">a </w:t>
      </w:r>
      <w:r w:rsidR="00A82363" w:rsidRPr="001B6ABD">
        <w:rPr>
          <w:szCs w:val="20"/>
          <w:lang w:val="es-ES_tradnl"/>
        </w:rPr>
        <w:t xml:space="preserve">la dignidad, </w:t>
      </w:r>
      <w:r w:rsidR="00B01BB9">
        <w:rPr>
          <w:szCs w:val="20"/>
          <w:lang w:val="es-ES_tradnl"/>
        </w:rPr>
        <w:t xml:space="preserve">reconocido </w:t>
      </w:r>
      <w:r w:rsidR="00A82363" w:rsidRPr="001B6ABD">
        <w:rPr>
          <w:szCs w:val="20"/>
          <w:lang w:val="es-ES_tradnl"/>
        </w:rPr>
        <w:t>en el artículo 11.1 de la Convención</w:t>
      </w:r>
      <w:r w:rsidR="00A82363">
        <w:rPr>
          <w:szCs w:val="20"/>
          <w:lang w:val="es-ES_tradnl"/>
        </w:rPr>
        <w:t xml:space="preserve"> Americana</w:t>
      </w:r>
      <w:r w:rsidR="001B6ABD">
        <w:rPr>
          <w:szCs w:val="20"/>
          <w:lang w:val="es-ES_tradnl"/>
        </w:rPr>
        <w:t xml:space="preserve">, </w:t>
      </w:r>
      <w:r w:rsidR="00B01BB9">
        <w:rPr>
          <w:szCs w:val="20"/>
          <w:lang w:val="es-ES_tradnl"/>
        </w:rPr>
        <w:t xml:space="preserve">en relación con el artículo 1.1 del mismo tratado, </w:t>
      </w:r>
      <w:r w:rsidR="001B6ABD">
        <w:rPr>
          <w:szCs w:val="20"/>
          <w:lang w:val="es-ES_tradnl"/>
        </w:rPr>
        <w:t xml:space="preserve">y iii) </w:t>
      </w:r>
      <w:r w:rsidR="00A82363">
        <w:rPr>
          <w:szCs w:val="20"/>
          <w:lang w:val="es-CR"/>
        </w:rPr>
        <w:t xml:space="preserve">de </w:t>
      </w:r>
      <w:r w:rsidR="00A82363" w:rsidRPr="00293E96">
        <w:rPr>
          <w:szCs w:val="20"/>
          <w:lang w:val="es-ES_tradnl"/>
        </w:rPr>
        <w:t xml:space="preserve">la garantía de imparcialidad </w:t>
      </w:r>
      <w:r w:rsidR="00B01BB9">
        <w:rPr>
          <w:szCs w:val="20"/>
          <w:lang w:val="es-ES_tradnl"/>
        </w:rPr>
        <w:t xml:space="preserve">reconocida </w:t>
      </w:r>
      <w:r w:rsidR="00A82363">
        <w:rPr>
          <w:szCs w:val="20"/>
          <w:lang w:val="es-ES_tradnl"/>
        </w:rPr>
        <w:t>en el</w:t>
      </w:r>
      <w:r w:rsidR="00A82363" w:rsidRPr="00293E96">
        <w:rPr>
          <w:szCs w:val="20"/>
          <w:lang w:val="es-ES_tradnl"/>
        </w:rPr>
        <w:t xml:space="preserve"> artículo 8.1 de la Convención</w:t>
      </w:r>
      <w:r w:rsidR="00A82363">
        <w:rPr>
          <w:szCs w:val="20"/>
          <w:lang w:val="es-ES_tradnl"/>
        </w:rPr>
        <w:t xml:space="preserve"> Americana</w:t>
      </w:r>
      <w:r w:rsidR="004476F4">
        <w:rPr>
          <w:szCs w:val="20"/>
          <w:lang w:val="es-ES_tradnl"/>
        </w:rPr>
        <w:t>,</w:t>
      </w:r>
      <w:r w:rsidR="001B6ABD">
        <w:rPr>
          <w:bCs/>
          <w:lang w:val="es-CR"/>
        </w:rPr>
        <w:t xml:space="preserve"> </w:t>
      </w:r>
      <w:r w:rsidR="00B01BB9">
        <w:rPr>
          <w:bCs/>
          <w:lang w:val="es-CR"/>
        </w:rPr>
        <w:t xml:space="preserve">en relación con el artículo 1.1 del mismo tratado. Dichas violaciones se dieron en el </w:t>
      </w:r>
      <w:r w:rsidR="001B6ABD">
        <w:rPr>
          <w:bCs/>
          <w:lang w:val="es-CR"/>
        </w:rPr>
        <w:t xml:space="preserve">marco </w:t>
      </w:r>
      <w:r w:rsidR="00B01BB9">
        <w:rPr>
          <w:bCs/>
          <w:lang w:val="es-CR"/>
        </w:rPr>
        <w:t xml:space="preserve">de un </w:t>
      </w:r>
      <w:r w:rsidR="001003B9">
        <w:rPr>
          <w:bCs/>
          <w:lang w:val="es-CR"/>
        </w:rPr>
        <w:t>proceso</w:t>
      </w:r>
      <w:r w:rsidR="001B6ABD">
        <w:rPr>
          <w:bCs/>
          <w:lang w:val="es-CR"/>
        </w:rPr>
        <w:t xml:space="preserve"> </w:t>
      </w:r>
      <w:r w:rsidR="00493B0E">
        <w:rPr>
          <w:bCs/>
          <w:lang w:val="es-CR"/>
        </w:rPr>
        <w:t>disciplin</w:t>
      </w:r>
      <w:r w:rsidR="001003B9">
        <w:rPr>
          <w:bCs/>
          <w:lang w:val="es-CR"/>
        </w:rPr>
        <w:t xml:space="preserve">ario </w:t>
      </w:r>
      <w:r w:rsidR="00B01BB9">
        <w:rPr>
          <w:bCs/>
          <w:lang w:val="es-CR"/>
        </w:rPr>
        <w:t xml:space="preserve">militar </w:t>
      </w:r>
      <w:r w:rsidR="004476F4">
        <w:rPr>
          <w:bCs/>
          <w:lang w:val="es-CR"/>
        </w:rPr>
        <w:t xml:space="preserve">en contra del señor Homero Flor Freire, </w:t>
      </w:r>
      <w:r w:rsidR="00B01BB9">
        <w:rPr>
          <w:bCs/>
          <w:lang w:val="es-CR"/>
        </w:rPr>
        <w:t xml:space="preserve">que resultó </w:t>
      </w:r>
      <w:r w:rsidR="001003B9">
        <w:rPr>
          <w:bCs/>
          <w:lang w:val="es-CR"/>
        </w:rPr>
        <w:t xml:space="preserve">en </w:t>
      </w:r>
      <w:r w:rsidR="00B01BB9">
        <w:rPr>
          <w:bCs/>
          <w:lang w:val="es-CR"/>
        </w:rPr>
        <w:t xml:space="preserve">su </w:t>
      </w:r>
      <w:r w:rsidR="001003B9">
        <w:rPr>
          <w:bCs/>
          <w:lang w:val="es-CR"/>
        </w:rPr>
        <w:t>separación</w:t>
      </w:r>
      <w:r w:rsidR="00E21247">
        <w:rPr>
          <w:bCs/>
          <w:lang w:val="es-CR"/>
        </w:rPr>
        <w:t xml:space="preserve"> </w:t>
      </w:r>
      <w:r w:rsidR="001003B9">
        <w:rPr>
          <w:bCs/>
          <w:lang w:val="es-CR"/>
        </w:rPr>
        <w:t>de la Fuerza Terrestre ecuatorian</w:t>
      </w:r>
      <w:r w:rsidR="003877C6">
        <w:rPr>
          <w:bCs/>
          <w:lang w:val="es-CR"/>
        </w:rPr>
        <w:t>a</w:t>
      </w:r>
      <w:r w:rsidR="001003B9">
        <w:rPr>
          <w:bCs/>
          <w:lang w:val="es-CR"/>
        </w:rPr>
        <w:t xml:space="preserve"> por supuestamente haber cometido actos </w:t>
      </w:r>
      <w:r w:rsidR="00B01BB9">
        <w:rPr>
          <w:bCs/>
          <w:lang w:val="es-CR"/>
        </w:rPr>
        <w:t xml:space="preserve">sexuales </w:t>
      </w:r>
      <w:r w:rsidR="001003B9">
        <w:rPr>
          <w:bCs/>
          <w:lang w:val="es-CR"/>
        </w:rPr>
        <w:t>homosexuales dentro de</w:t>
      </w:r>
      <w:r w:rsidR="00CC53D0">
        <w:rPr>
          <w:bCs/>
          <w:lang w:val="es-CR"/>
        </w:rPr>
        <w:t xml:space="preserve"> las instalaciones militares</w:t>
      </w:r>
      <w:r w:rsidR="004476F4">
        <w:rPr>
          <w:bCs/>
          <w:lang w:val="es-CR"/>
        </w:rPr>
        <w:t xml:space="preserve">. </w:t>
      </w:r>
      <w:r w:rsidR="00623607">
        <w:rPr>
          <w:bCs/>
          <w:lang w:val="es-CR"/>
        </w:rPr>
        <w:t xml:space="preserve">La Corte concluyó que la </w:t>
      </w:r>
      <w:r w:rsidR="004476F4">
        <w:rPr>
          <w:bCs/>
          <w:lang w:val="es-CR"/>
        </w:rPr>
        <w:t xml:space="preserve">separación </w:t>
      </w:r>
      <w:r w:rsidR="00623607">
        <w:rPr>
          <w:bCs/>
          <w:lang w:val="es-CR"/>
        </w:rPr>
        <w:t xml:space="preserve">del señor Flor Freire de las Fuerzas Armadas, por estos motivos, </w:t>
      </w:r>
      <w:r w:rsidR="00623607" w:rsidRPr="00623607">
        <w:rPr>
          <w:lang w:val="es-CR"/>
        </w:rPr>
        <w:t>constituyó un acto discriminatorio</w:t>
      </w:r>
      <w:r w:rsidR="00623607">
        <w:rPr>
          <w:bCs/>
          <w:lang w:val="es-CR"/>
        </w:rPr>
        <w:t xml:space="preserve"> en la medida en que </w:t>
      </w:r>
      <w:r w:rsidR="004476F4">
        <w:rPr>
          <w:bCs/>
          <w:lang w:val="es-CR"/>
        </w:rPr>
        <w:t xml:space="preserve">se basó en </w:t>
      </w:r>
      <w:r w:rsidR="00623607" w:rsidRPr="00623607">
        <w:rPr>
          <w:lang w:val="es-CR"/>
        </w:rPr>
        <w:t xml:space="preserve">la aplicación al señor Flor Freire </w:t>
      </w:r>
      <w:r w:rsidR="00623607">
        <w:rPr>
          <w:lang w:val="es-CR"/>
        </w:rPr>
        <w:t xml:space="preserve">de normas internas que </w:t>
      </w:r>
      <w:r w:rsidR="00623607" w:rsidRPr="00623607">
        <w:rPr>
          <w:lang w:val="es-CR"/>
        </w:rPr>
        <w:t>sancionaba</w:t>
      </w:r>
      <w:r w:rsidR="00623607">
        <w:rPr>
          <w:lang w:val="es-CR"/>
        </w:rPr>
        <w:t>n</w:t>
      </w:r>
      <w:r w:rsidR="00623607" w:rsidRPr="00623607">
        <w:rPr>
          <w:lang w:val="es-CR"/>
        </w:rPr>
        <w:t xml:space="preserve"> de forma más gravosa los “actos de homosexualismo”,</w:t>
      </w:r>
      <w:r w:rsidR="00623607">
        <w:rPr>
          <w:lang w:val="es-CR"/>
        </w:rPr>
        <w:t xml:space="preserve"> en comparación con los actos sexuales no homosexuales. </w:t>
      </w:r>
    </w:p>
    <w:p w14:paraId="50E3EB61" w14:textId="77777777" w:rsidR="008F5D36" w:rsidRPr="0095153D" w:rsidRDefault="008F5D36" w:rsidP="008F5D36">
      <w:pPr>
        <w:jc w:val="both"/>
        <w:rPr>
          <w:szCs w:val="20"/>
          <w:lang w:val="es-CO"/>
        </w:rPr>
      </w:pPr>
    </w:p>
    <w:p w14:paraId="52C9B99C" w14:textId="390FE174" w:rsidR="008F5D36" w:rsidRPr="0095153D" w:rsidRDefault="00E81A1E" w:rsidP="008F5D36">
      <w:pPr>
        <w:keepNext/>
        <w:keepLines/>
        <w:numPr>
          <w:ilvl w:val="0"/>
          <w:numId w:val="1"/>
        </w:numPr>
        <w:jc w:val="both"/>
        <w:outlineLvl w:val="0"/>
        <w:rPr>
          <w:rFonts w:eastAsia="MS Gothic"/>
          <w:b/>
          <w:bCs/>
          <w:szCs w:val="20"/>
          <w:lang w:val="es-MX" w:eastAsia="es-ES"/>
        </w:rPr>
      </w:pPr>
      <w:r>
        <w:rPr>
          <w:rFonts w:eastAsia="MS Gothic"/>
          <w:b/>
          <w:bCs/>
          <w:szCs w:val="20"/>
          <w:lang w:val="es-MX" w:eastAsia="es-ES"/>
        </w:rPr>
        <w:t>Excepción</w:t>
      </w:r>
      <w:r w:rsidR="0065066D">
        <w:rPr>
          <w:rFonts w:eastAsia="MS Gothic"/>
          <w:b/>
          <w:bCs/>
          <w:szCs w:val="20"/>
          <w:lang w:val="es-MX" w:eastAsia="es-ES"/>
        </w:rPr>
        <w:t xml:space="preserve"> pre</w:t>
      </w:r>
      <w:r>
        <w:rPr>
          <w:rFonts w:eastAsia="MS Gothic"/>
          <w:b/>
          <w:bCs/>
          <w:szCs w:val="20"/>
          <w:lang w:val="es-MX" w:eastAsia="es-ES"/>
        </w:rPr>
        <w:t>liminar</w:t>
      </w:r>
    </w:p>
    <w:p w14:paraId="1FE2798E" w14:textId="77777777" w:rsidR="008F5D36" w:rsidRPr="0095153D" w:rsidRDefault="008F5D36" w:rsidP="008F5D36">
      <w:pPr>
        <w:jc w:val="both"/>
        <w:rPr>
          <w:szCs w:val="20"/>
          <w:lang w:val="es-CO"/>
        </w:rPr>
      </w:pPr>
    </w:p>
    <w:p w14:paraId="47E42DBF" w14:textId="654E7287" w:rsidR="00A54BA1" w:rsidRPr="00A54BA1" w:rsidRDefault="00D94E46" w:rsidP="00A54BA1">
      <w:pPr>
        <w:jc w:val="both"/>
        <w:rPr>
          <w:szCs w:val="20"/>
          <w:lang w:val="es-CR"/>
        </w:rPr>
      </w:pPr>
      <w:r>
        <w:rPr>
          <w:szCs w:val="20"/>
          <w:lang w:val="es-CO"/>
        </w:rPr>
        <w:t>E</w:t>
      </w:r>
      <w:r w:rsidR="008F5D36" w:rsidRPr="0095153D">
        <w:rPr>
          <w:szCs w:val="20"/>
          <w:lang w:val="es-CO"/>
        </w:rPr>
        <w:t xml:space="preserve">l Estado interpuso </w:t>
      </w:r>
      <w:r w:rsidR="00E81A1E">
        <w:rPr>
          <w:szCs w:val="20"/>
          <w:lang w:val="es-CO"/>
        </w:rPr>
        <w:t>una excepción</w:t>
      </w:r>
      <w:r w:rsidR="008F5D36" w:rsidRPr="0095153D">
        <w:rPr>
          <w:szCs w:val="20"/>
          <w:lang w:val="es-CO"/>
        </w:rPr>
        <w:t xml:space="preserve"> preliminar</w:t>
      </w:r>
      <w:r w:rsidR="00E81A1E">
        <w:rPr>
          <w:szCs w:val="20"/>
          <w:lang w:val="es-CO"/>
        </w:rPr>
        <w:t xml:space="preserve"> por la presunta falta de agotamiento </w:t>
      </w:r>
      <w:r w:rsidR="00127C78">
        <w:rPr>
          <w:szCs w:val="20"/>
          <w:lang w:val="es-CO"/>
        </w:rPr>
        <w:t xml:space="preserve">de un </w:t>
      </w:r>
      <w:r w:rsidR="00267364">
        <w:rPr>
          <w:szCs w:val="20"/>
          <w:lang w:val="es-CO"/>
        </w:rPr>
        <w:t>recurso intern</w:t>
      </w:r>
      <w:r w:rsidR="00127C78">
        <w:rPr>
          <w:szCs w:val="20"/>
          <w:lang w:val="es-CO"/>
        </w:rPr>
        <w:t>o</w:t>
      </w:r>
      <w:r w:rsidR="00267364">
        <w:rPr>
          <w:szCs w:val="20"/>
          <w:lang w:val="es-CO"/>
        </w:rPr>
        <w:t>. De acuerdo a</w:t>
      </w:r>
      <w:r w:rsidR="00653517">
        <w:rPr>
          <w:szCs w:val="20"/>
          <w:lang w:val="es-CO"/>
        </w:rPr>
        <w:t>l</w:t>
      </w:r>
      <w:r w:rsidR="00267364">
        <w:rPr>
          <w:szCs w:val="20"/>
          <w:lang w:val="es-CO"/>
        </w:rPr>
        <w:t xml:space="preserve"> Ecuador, el recurso idóneo frente a la baja del señor Flor Freire era un </w:t>
      </w:r>
      <w:r w:rsidR="00E81A1E">
        <w:rPr>
          <w:szCs w:val="20"/>
          <w:lang w:val="es-CO"/>
        </w:rPr>
        <w:t>recurso contencioso administrativo</w:t>
      </w:r>
      <w:r w:rsidR="00A54BA1">
        <w:rPr>
          <w:szCs w:val="20"/>
          <w:lang w:val="es-CO"/>
        </w:rPr>
        <w:t xml:space="preserve"> </w:t>
      </w:r>
      <w:r w:rsidR="00267364">
        <w:rPr>
          <w:szCs w:val="20"/>
          <w:lang w:val="es-CO"/>
        </w:rPr>
        <w:t>de plena jurisdi</w:t>
      </w:r>
      <w:r w:rsidR="00653517">
        <w:rPr>
          <w:szCs w:val="20"/>
          <w:lang w:val="es-CO"/>
        </w:rPr>
        <w:t>cción, que no fue interpuesto en el presente caso.</w:t>
      </w:r>
      <w:r w:rsidR="00267364">
        <w:rPr>
          <w:szCs w:val="20"/>
          <w:lang w:val="es-CR"/>
        </w:rPr>
        <w:t xml:space="preserve"> </w:t>
      </w:r>
      <w:r w:rsidR="00127C78">
        <w:rPr>
          <w:szCs w:val="20"/>
          <w:lang w:val="es-CR"/>
        </w:rPr>
        <w:t>Sin embargo, e</w:t>
      </w:r>
      <w:r w:rsidR="00653517">
        <w:rPr>
          <w:szCs w:val="20"/>
          <w:lang w:val="es-CR"/>
        </w:rPr>
        <w:t>ste</w:t>
      </w:r>
      <w:r w:rsidR="001879F6">
        <w:rPr>
          <w:szCs w:val="20"/>
          <w:lang w:val="es-CR"/>
        </w:rPr>
        <w:t xml:space="preserve"> Tribunal </w:t>
      </w:r>
      <w:r w:rsidR="00653517">
        <w:rPr>
          <w:szCs w:val="20"/>
          <w:lang w:val="es-CR"/>
        </w:rPr>
        <w:t xml:space="preserve">constató que </w:t>
      </w:r>
      <w:r w:rsidR="00A54BA1" w:rsidRPr="00A54BA1">
        <w:rPr>
          <w:szCs w:val="20"/>
          <w:lang w:val="es-CR"/>
        </w:rPr>
        <w:t xml:space="preserve">el Estado no presentó elementos que permitieran descartar </w:t>
      </w:r>
      <w:r w:rsidR="003B623F">
        <w:rPr>
          <w:szCs w:val="20"/>
          <w:lang w:val="es-CR"/>
        </w:rPr>
        <w:t>los</w:t>
      </w:r>
      <w:r w:rsidR="00653517">
        <w:rPr>
          <w:szCs w:val="20"/>
          <w:lang w:val="es-CR"/>
        </w:rPr>
        <w:t xml:space="preserve"> </w:t>
      </w:r>
      <w:r w:rsidR="00A54BA1" w:rsidRPr="00A54BA1">
        <w:rPr>
          <w:szCs w:val="20"/>
          <w:lang w:val="es-CR"/>
        </w:rPr>
        <w:t xml:space="preserve">cuestionamientos </w:t>
      </w:r>
      <w:r w:rsidR="00653517">
        <w:rPr>
          <w:szCs w:val="20"/>
          <w:lang w:val="es-CR"/>
        </w:rPr>
        <w:t>d</w:t>
      </w:r>
      <w:r w:rsidR="00A54BA1" w:rsidRPr="00A54BA1">
        <w:rPr>
          <w:szCs w:val="20"/>
          <w:lang w:val="es-CR"/>
        </w:rPr>
        <w:t>el representante</w:t>
      </w:r>
      <w:r w:rsidR="003B623F">
        <w:rPr>
          <w:szCs w:val="20"/>
          <w:lang w:val="es-CR"/>
        </w:rPr>
        <w:t xml:space="preserve"> sobre la disponibilidad del recurso</w:t>
      </w:r>
      <w:r w:rsidR="003B623F" w:rsidRPr="003B623F">
        <w:rPr>
          <w:szCs w:val="20"/>
          <w:lang w:val="es-CO"/>
        </w:rPr>
        <w:t xml:space="preserve"> </w:t>
      </w:r>
      <w:r w:rsidR="003B623F">
        <w:rPr>
          <w:szCs w:val="20"/>
          <w:lang w:val="es-CR"/>
        </w:rPr>
        <w:t>contencioso administrativo</w:t>
      </w:r>
      <w:r w:rsidR="00A54BA1" w:rsidRPr="00A54BA1">
        <w:rPr>
          <w:szCs w:val="20"/>
          <w:lang w:val="es-CR"/>
        </w:rPr>
        <w:t>.</w:t>
      </w:r>
      <w:r w:rsidR="001879F6">
        <w:rPr>
          <w:szCs w:val="20"/>
          <w:lang w:val="es-CR"/>
        </w:rPr>
        <w:t xml:space="preserve"> </w:t>
      </w:r>
      <w:r w:rsidR="00653517">
        <w:rPr>
          <w:szCs w:val="20"/>
          <w:lang w:val="es-CR"/>
        </w:rPr>
        <w:t xml:space="preserve">Por tanto, concluyó que </w:t>
      </w:r>
      <w:r w:rsidR="00127C78">
        <w:rPr>
          <w:szCs w:val="20"/>
          <w:lang w:val="es-CR"/>
        </w:rPr>
        <w:t xml:space="preserve">Ecuador </w:t>
      </w:r>
      <w:r w:rsidR="00653517">
        <w:rPr>
          <w:szCs w:val="20"/>
          <w:lang w:val="es-CR"/>
        </w:rPr>
        <w:t xml:space="preserve">no cumplió con su carga probatoria con respecto a la disponibilidad, idoneidad y efectividad del recurso y, en consecuencia, </w:t>
      </w:r>
      <w:r w:rsidR="001879F6">
        <w:rPr>
          <w:szCs w:val="20"/>
          <w:lang w:val="es-CR"/>
        </w:rPr>
        <w:t>desestimó la excepción preliminar.</w:t>
      </w:r>
    </w:p>
    <w:p w14:paraId="1F726ABF" w14:textId="77777777" w:rsidR="008F5D36" w:rsidRPr="0095153D" w:rsidRDefault="008F5D36" w:rsidP="008F5D36">
      <w:pPr>
        <w:jc w:val="both"/>
        <w:rPr>
          <w:szCs w:val="20"/>
          <w:lang w:val="es-CO"/>
        </w:rPr>
      </w:pPr>
    </w:p>
    <w:p w14:paraId="0375F0BD" w14:textId="77777777" w:rsidR="008F5D36" w:rsidRPr="0095153D" w:rsidRDefault="008F5D36" w:rsidP="008F5D36">
      <w:pPr>
        <w:keepNext/>
        <w:keepLines/>
        <w:numPr>
          <w:ilvl w:val="0"/>
          <w:numId w:val="1"/>
        </w:numPr>
        <w:jc w:val="both"/>
        <w:outlineLvl w:val="1"/>
        <w:rPr>
          <w:rFonts w:eastAsia="MS Gothic"/>
          <w:b/>
          <w:bCs/>
          <w:szCs w:val="20"/>
          <w:lang w:val="es-MX" w:eastAsia="es-ES"/>
        </w:rPr>
      </w:pPr>
      <w:r w:rsidRPr="0095153D">
        <w:rPr>
          <w:rFonts w:eastAsia="MS Gothic"/>
          <w:b/>
          <w:bCs/>
          <w:szCs w:val="20"/>
          <w:lang w:val="es-MX" w:eastAsia="es-ES"/>
        </w:rPr>
        <w:lastRenderedPageBreak/>
        <w:t>Hechos</w:t>
      </w:r>
    </w:p>
    <w:p w14:paraId="65DC5126" w14:textId="77777777" w:rsidR="00C253E1" w:rsidRPr="0095153D" w:rsidRDefault="00C253E1" w:rsidP="00C253E1">
      <w:pPr>
        <w:jc w:val="both"/>
        <w:rPr>
          <w:szCs w:val="20"/>
          <w:lang w:val="es-CR"/>
        </w:rPr>
      </w:pPr>
    </w:p>
    <w:p w14:paraId="6BB4B6B8" w14:textId="58B9228A" w:rsidR="00F7063F" w:rsidRPr="00C253E1" w:rsidRDefault="00E94178" w:rsidP="00C36DF5">
      <w:pPr>
        <w:pStyle w:val="Prrafodelista"/>
        <w:numPr>
          <w:ilvl w:val="0"/>
          <w:numId w:val="2"/>
        </w:numPr>
        <w:tabs>
          <w:tab w:val="left" w:pos="1418"/>
        </w:tabs>
        <w:ind w:left="1418" w:hanging="284"/>
        <w:jc w:val="both"/>
        <w:rPr>
          <w:b/>
          <w:szCs w:val="20"/>
          <w:lang w:val="es-ES_tradnl"/>
        </w:rPr>
      </w:pPr>
      <w:r w:rsidRPr="00C253E1">
        <w:rPr>
          <w:b/>
          <w:lang w:val="es-CR"/>
        </w:rPr>
        <w:t>Los acontecimientos del 19 de noviembre de 2000</w:t>
      </w:r>
    </w:p>
    <w:p w14:paraId="0ED29759" w14:textId="77777777" w:rsidR="00F7063F" w:rsidRPr="00F7063F" w:rsidRDefault="00F7063F" w:rsidP="00F7063F">
      <w:pPr>
        <w:rPr>
          <w:lang w:val="es-CR"/>
        </w:rPr>
      </w:pPr>
    </w:p>
    <w:p w14:paraId="58EC8EA9" w14:textId="3FD5C84B" w:rsidR="005A1A14" w:rsidRPr="00B901D9" w:rsidRDefault="005A1A14" w:rsidP="00B901D9">
      <w:pPr>
        <w:widowControl w:val="0"/>
        <w:tabs>
          <w:tab w:val="left" w:pos="567"/>
        </w:tabs>
        <w:suppressAutoHyphens/>
        <w:adjustRightInd w:val="0"/>
        <w:spacing w:line="0" w:lineRule="atLeast"/>
        <w:jc w:val="both"/>
        <w:rPr>
          <w:szCs w:val="20"/>
          <w:lang w:val="es-ES" w:eastAsia="es-CR"/>
        </w:rPr>
      </w:pPr>
      <w:r>
        <w:rPr>
          <w:lang w:val="es-MX"/>
        </w:rPr>
        <w:t>El señor Flor Freire ingresó a la Fuerza Terrestre en el año 1992</w:t>
      </w:r>
      <w:r w:rsidR="00C36DF5">
        <w:rPr>
          <w:lang w:val="es-MX"/>
        </w:rPr>
        <w:t xml:space="preserve">. Al momento de </w:t>
      </w:r>
      <w:r>
        <w:rPr>
          <w:lang w:val="es-MX"/>
        </w:rPr>
        <w:t xml:space="preserve">su separación </w:t>
      </w:r>
      <w:r w:rsidR="00C36DF5">
        <w:rPr>
          <w:lang w:val="es-MX"/>
        </w:rPr>
        <w:t xml:space="preserve">tenía el grado de Teniente y </w:t>
      </w:r>
      <w:r>
        <w:rPr>
          <w:lang w:val="es-MX"/>
        </w:rPr>
        <w:t>prestaba servicios en la Cuart</w:t>
      </w:r>
      <w:r w:rsidR="00C36DF5">
        <w:rPr>
          <w:lang w:val="es-MX"/>
        </w:rPr>
        <w:t>a</w:t>
      </w:r>
      <w:r>
        <w:rPr>
          <w:lang w:val="es-MX"/>
        </w:rPr>
        <w:t xml:space="preserve"> Zona Militar.</w:t>
      </w:r>
      <w:r w:rsidR="00B901D9">
        <w:rPr>
          <w:lang w:val="es-MX"/>
        </w:rPr>
        <w:t xml:space="preserve"> </w:t>
      </w:r>
    </w:p>
    <w:p w14:paraId="0D1F305C" w14:textId="77777777" w:rsidR="005A1A14" w:rsidRDefault="005A1A14" w:rsidP="00B532EC">
      <w:pPr>
        <w:tabs>
          <w:tab w:val="left" w:pos="0"/>
          <w:tab w:val="left" w:pos="567"/>
        </w:tabs>
        <w:autoSpaceDE w:val="0"/>
        <w:autoSpaceDN w:val="0"/>
        <w:contextualSpacing/>
        <w:jc w:val="both"/>
        <w:rPr>
          <w:lang w:val="es-MX"/>
        </w:rPr>
      </w:pPr>
    </w:p>
    <w:p w14:paraId="63740CF7" w14:textId="56E5EEB6" w:rsidR="00E94178" w:rsidRPr="00184834" w:rsidRDefault="00230ACA" w:rsidP="00B532EC">
      <w:pPr>
        <w:tabs>
          <w:tab w:val="left" w:pos="0"/>
          <w:tab w:val="left" w:pos="567"/>
        </w:tabs>
        <w:autoSpaceDE w:val="0"/>
        <w:autoSpaceDN w:val="0"/>
        <w:contextualSpacing/>
        <w:jc w:val="both"/>
        <w:rPr>
          <w:lang w:val="es-MX"/>
        </w:rPr>
      </w:pPr>
      <w:r>
        <w:rPr>
          <w:lang w:val="es-MX"/>
        </w:rPr>
        <w:t>E</w:t>
      </w:r>
      <w:r w:rsidR="005A1A14">
        <w:rPr>
          <w:lang w:val="es-MX"/>
        </w:rPr>
        <w:t>l 19 de noviembre de 2000</w:t>
      </w:r>
      <w:r>
        <w:rPr>
          <w:lang w:val="es-MX"/>
        </w:rPr>
        <w:t>,</w:t>
      </w:r>
      <w:r w:rsidR="005A1A14">
        <w:rPr>
          <w:lang w:val="es-MX"/>
        </w:rPr>
        <w:t xml:space="preserve"> </w:t>
      </w:r>
      <w:r>
        <w:rPr>
          <w:lang w:val="es-MX"/>
        </w:rPr>
        <w:t xml:space="preserve">en las instalaciones del Fuerte Militar Amazonas, ocurrieron los hechos </w:t>
      </w:r>
      <w:r w:rsidR="005A1A14">
        <w:rPr>
          <w:lang w:val="es-MX"/>
        </w:rPr>
        <w:t xml:space="preserve">que </w:t>
      </w:r>
      <w:r w:rsidR="00036013">
        <w:rPr>
          <w:lang w:val="es-MX"/>
        </w:rPr>
        <w:t>dieron origen</w:t>
      </w:r>
      <w:r w:rsidR="005A1A14">
        <w:rPr>
          <w:lang w:val="es-MX"/>
        </w:rPr>
        <w:t xml:space="preserve"> al </w:t>
      </w:r>
      <w:r>
        <w:rPr>
          <w:lang w:val="es-MX"/>
        </w:rPr>
        <w:t xml:space="preserve">procedimiento disciplinario </w:t>
      </w:r>
      <w:r w:rsidR="005A1A14">
        <w:rPr>
          <w:lang w:val="es-MX"/>
        </w:rPr>
        <w:t xml:space="preserve">militar </w:t>
      </w:r>
      <w:r>
        <w:rPr>
          <w:lang w:val="es-MX"/>
        </w:rPr>
        <w:t xml:space="preserve">que resultó </w:t>
      </w:r>
      <w:r w:rsidR="00036013">
        <w:rPr>
          <w:lang w:val="es-MX"/>
        </w:rPr>
        <w:t>en</w:t>
      </w:r>
      <w:r w:rsidR="005A1A14">
        <w:rPr>
          <w:lang w:val="es-MX"/>
        </w:rPr>
        <w:t xml:space="preserve"> la baja del </w:t>
      </w:r>
      <w:r>
        <w:rPr>
          <w:lang w:val="es-MX"/>
        </w:rPr>
        <w:t>s</w:t>
      </w:r>
      <w:r w:rsidR="005A1A14">
        <w:rPr>
          <w:lang w:val="es-MX"/>
        </w:rPr>
        <w:t>eñor Flor Freire</w:t>
      </w:r>
      <w:r>
        <w:rPr>
          <w:lang w:val="es-MX"/>
        </w:rPr>
        <w:t xml:space="preserve">. Al respecto, </w:t>
      </w:r>
      <w:r w:rsidR="00036013">
        <w:rPr>
          <w:lang w:val="es-MX"/>
        </w:rPr>
        <w:t>se han presentado dos versiones distintas</w:t>
      </w:r>
      <w:r>
        <w:rPr>
          <w:lang w:val="es-MX"/>
        </w:rPr>
        <w:t xml:space="preserve">: (i) por un lado, de acuerdo a distintos </w:t>
      </w:r>
      <w:r w:rsidR="00036013">
        <w:rPr>
          <w:lang w:val="es-MX"/>
        </w:rPr>
        <w:t>testimonios</w:t>
      </w:r>
      <w:r w:rsidR="00744157">
        <w:rPr>
          <w:lang w:val="es-MX"/>
        </w:rPr>
        <w:t xml:space="preserve">, </w:t>
      </w:r>
      <w:r w:rsidR="00036013">
        <w:rPr>
          <w:lang w:val="es-MX"/>
        </w:rPr>
        <w:t xml:space="preserve">el </w:t>
      </w:r>
      <w:r>
        <w:rPr>
          <w:lang w:val="es-MX"/>
        </w:rPr>
        <w:t xml:space="preserve">señor </w:t>
      </w:r>
      <w:r w:rsidR="00036013">
        <w:rPr>
          <w:lang w:val="es-MX"/>
        </w:rPr>
        <w:t>Flor Freire habría sido visto teniendo relaciones sexuales en su habitación</w:t>
      </w:r>
      <w:r w:rsidR="00ED6341">
        <w:rPr>
          <w:lang w:val="es-MX"/>
        </w:rPr>
        <w:t xml:space="preserve"> con </w:t>
      </w:r>
      <w:r>
        <w:rPr>
          <w:lang w:val="es-MX"/>
        </w:rPr>
        <w:t>un soldado</w:t>
      </w:r>
      <w:r w:rsidR="00744157">
        <w:rPr>
          <w:lang w:val="es-MX"/>
        </w:rPr>
        <w:t>;</w:t>
      </w:r>
      <w:r>
        <w:rPr>
          <w:lang w:val="es-MX"/>
        </w:rPr>
        <w:t xml:space="preserve"> (ii) </w:t>
      </w:r>
      <w:r w:rsidR="00EB08CE">
        <w:rPr>
          <w:lang w:val="es-MX"/>
        </w:rPr>
        <w:t xml:space="preserve">por otro lado, </w:t>
      </w:r>
      <w:r w:rsidR="003B623F">
        <w:rPr>
          <w:lang w:val="es-MX"/>
        </w:rPr>
        <w:t>d</w:t>
      </w:r>
      <w:r w:rsidR="00744157">
        <w:rPr>
          <w:lang w:val="es-MX"/>
        </w:rPr>
        <w:t xml:space="preserve">e acuerdo al señor Flor Freire, </w:t>
      </w:r>
      <w:r w:rsidR="00194B6B">
        <w:rPr>
          <w:lang w:val="es-MX"/>
        </w:rPr>
        <w:t>en la madrugada d</w:t>
      </w:r>
      <w:r w:rsidR="00ED6341">
        <w:rPr>
          <w:lang w:val="es-MX"/>
        </w:rPr>
        <w:t xml:space="preserve">el 19 de noviembre de 2000 </w:t>
      </w:r>
      <w:r w:rsidR="00194B6B">
        <w:rPr>
          <w:lang w:val="es-MX"/>
        </w:rPr>
        <w:t>se encontraba cumpliendo con las funciones de Oficial de la Policía Militar</w:t>
      </w:r>
      <w:r w:rsidR="00744157">
        <w:rPr>
          <w:lang w:val="es-MX"/>
        </w:rPr>
        <w:t>,</w:t>
      </w:r>
      <w:r w:rsidR="00194B6B">
        <w:rPr>
          <w:lang w:val="es-MX"/>
        </w:rPr>
        <w:t xml:space="preserve"> </w:t>
      </w:r>
      <w:r w:rsidR="00744157">
        <w:rPr>
          <w:lang w:val="es-MX"/>
        </w:rPr>
        <w:t xml:space="preserve">cuando presenció a </w:t>
      </w:r>
      <w:r w:rsidR="00194B6B">
        <w:rPr>
          <w:lang w:val="es-MX"/>
        </w:rPr>
        <w:t>un soldado en estado de embriaguez</w:t>
      </w:r>
      <w:r w:rsidR="00744157">
        <w:rPr>
          <w:lang w:val="es-MX"/>
        </w:rPr>
        <w:t xml:space="preserve">, </w:t>
      </w:r>
      <w:r w:rsidR="00184834">
        <w:rPr>
          <w:lang w:val="es-MX"/>
        </w:rPr>
        <w:t xml:space="preserve">en una fiesta </w:t>
      </w:r>
      <w:r w:rsidR="00744157">
        <w:rPr>
          <w:lang w:val="es-MX"/>
        </w:rPr>
        <w:t>e</w:t>
      </w:r>
      <w:r w:rsidR="00CB4035">
        <w:rPr>
          <w:lang w:val="es-MX"/>
        </w:rPr>
        <w:t>n las afueras del Coliseo Mayor, por lo cual</w:t>
      </w:r>
      <w:r w:rsidR="00744157">
        <w:rPr>
          <w:lang w:val="es-MX"/>
        </w:rPr>
        <w:t xml:space="preserve"> </w:t>
      </w:r>
      <w:r w:rsidR="00194B6B">
        <w:rPr>
          <w:lang w:val="es-MX"/>
        </w:rPr>
        <w:t>decidió trasladar</w:t>
      </w:r>
      <w:r w:rsidR="00744157">
        <w:rPr>
          <w:lang w:val="es-MX"/>
        </w:rPr>
        <w:t>lo</w:t>
      </w:r>
      <w:r w:rsidR="00194B6B">
        <w:rPr>
          <w:lang w:val="es-MX"/>
        </w:rPr>
        <w:t xml:space="preserve"> al recinto militar</w:t>
      </w:r>
      <w:r w:rsidR="00184834">
        <w:rPr>
          <w:lang w:val="es-MX"/>
        </w:rPr>
        <w:t>. Sin embargo, cuando</w:t>
      </w:r>
      <w:r w:rsidR="00194B6B">
        <w:rPr>
          <w:lang w:val="es-MX"/>
        </w:rPr>
        <w:t xml:space="preserve"> </w:t>
      </w:r>
      <w:r w:rsidR="00184834">
        <w:rPr>
          <w:lang w:val="es-MX"/>
        </w:rPr>
        <w:t xml:space="preserve">el soldado intentó regresar a la fiesta optó por llevarlo a </w:t>
      </w:r>
      <w:r w:rsidR="00450CBF">
        <w:rPr>
          <w:lang w:val="es-MX"/>
        </w:rPr>
        <w:t xml:space="preserve">su habitación para que durmiera en una cama adicional. </w:t>
      </w:r>
      <w:r w:rsidR="00C97DBA">
        <w:rPr>
          <w:lang w:val="es-MX"/>
        </w:rPr>
        <w:t xml:space="preserve">Poco después, un Mayor habría entrado </w:t>
      </w:r>
      <w:r w:rsidR="00744157">
        <w:rPr>
          <w:lang w:val="es-MX"/>
        </w:rPr>
        <w:t>a la habitación, orden</w:t>
      </w:r>
      <w:r w:rsidR="00127C78">
        <w:rPr>
          <w:lang w:val="es-MX"/>
        </w:rPr>
        <w:t>a</w:t>
      </w:r>
      <w:r w:rsidR="00744157">
        <w:rPr>
          <w:lang w:val="es-MX"/>
        </w:rPr>
        <w:t>n</w:t>
      </w:r>
      <w:r w:rsidR="00127C78">
        <w:rPr>
          <w:lang w:val="es-MX"/>
        </w:rPr>
        <w:t>do al señor Flor Freire</w:t>
      </w:r>
      <w:r w:rsidR="00E94178">
        <w:rPr>
          <w:lang w:val="es-MX"/>
        </w:rPr>
        <w:t xml:space="preserve"> </w:t>
      </w:r>
      <w:r w:rsidR="00127C78">
        <w:rPr>
          <w:lang w:val="es-MX"/>
        </w:rPr>
        <w:t xml:space="preserve">entregar </w:t>
      </w:r>
      <w:r w:rsidR="00E94178">
        <w:rPr>
          <w:lang w:val="es-MX"/>
        </w:rPr>
        <w:t>su arma e</w:t>
      </w:r>
      <w:r w:rsidR="00C97DBA">
        <w:rPr>
          <w:lang w:val="es-MX"/>
        </w:rPr>
        <w:t xml:space="preserve"> informándole que testigos lo habían visto en situación de </w:t>
      </w:r>
      <w:r w:rsidR="00744157">
        <w:rPr>
          <w:lang w:val="es-MX"/>
        </w:rPr>
        <w:t>“</w:t>
      </w:r>
      <w:r w:rsidR="00C97DBA">
        <w:rPr>
          <w:lang w:val="es-MX"/>
        </w:rPr>
        <w:t>homosexualismo</w:t>
      </w:r>
      <w:r w:rsidR="00744157">
        <w:rPr>
          <w:lang w:val="es-MX"/>
        </w:rPr>
        <w:t>”</w:t>
      </w:r>
      <w:r w:rsidR="00C97DBA">
        <w:rPr>
          <w:lang w:val="es-MX"/>
        </w:rPr>
        <w:t>.</w:t>
      </w:r>
      <w:r w:rsidR="00C97DBA" w:rsidRPr="00CB4035">
        <w:rPr>
          <w:lang w:val="es-MX"/>
        </w:rPr>
        <w:t xml:space="preserve"> </w:t>
      </w:r>
    </w:p>
    <w:p w14:paraId="23C727CC" w14:textId="77777777" w:rsidR="00C253E1" w:rsidRPr="0095153D" w:rsidRDefault="00C253E1" w:rsidP="00C253E1">
      <w:pPr>
        <w:jc w:val="both"/>
        <w:rPr>
          <w:szCs w:val="20"/>
          <w:lang w:val="es-CR"/>
        </w:rPr>
      </w:pPr>
    </w:p>
    <w:p w14:paraId="773F5268" w14:textId="72AA76B6" w:rsidR="00C36DF5" w:rsidRPr="00C36DF5" w:rsidRDefault="00C36DF5" w:rsidP="00C36DF5">
      <w:pPr>
        <w:pStyle w:val="Prrafodelista"/>
        <w:numPr>
          <w:ilvl w:val="0"/>
          <w:numId w:val="2"/>
        </w:numPr>
        <w:tabs>
          <w:tab w:val="left" w:pos="1418"/>
        </w:tabs>
        <w:ind w:left="1418" w:hanging="284"/>
        <w:jc w:val="both"/>
        <w:rPr>
          <w:b/>
          <w:szCs w:val="20"/>
          <w:lang w:val="es-ES_tradnl"/>
        </w:rPr>
      </w:pPr>
      <w:bookmarkStart w:id="13" w:name="_Toc304195602"/>
      <w:bookmarkStart w:id="14" w:name="_Toc437435502"/>
      <w:r>
        <w:rPr>
          <w:b/>
          <w:lang w:val="es-CR"/>
        </w:rPr>
        <w:t>Proce</w:t>
      </w:r>
      <w:r w:rsidR="00EB08CE">
        <w:rPr>
          <w:b/>
          <w:lang w:val="es-CR"/>
        </w:rPr>
        <w:t>so</w:t>
      </w:r>
      <w:r w:rsidR="00FE7363" w:rsidRPr="00C253E1">
        <w:rPr>
          <w:b/>
          <w:lang w:val="es-CR"/>
        </w:rPr>
        <w:t xml:space="preserve"> disciplinario de información sumaria</w:t>
      </w:r>
      <w:bookmarkEnd w:id="13"/>
      <w:bookmarkEnd w:id="14"/>
      <w:r w:rsidR="00175A27" w:rsidRPr="00C253E1">
        <w:rPr>
          <w:b/>
          <w:lang w:val="es-CR"/>
        </w:rPr>
        <w:t xml:space="preserve"> </w:t>
      </w:r>
    </w:p>
    <w:p w14:paraId="54FED04F" w14:textId="77777777" w:rsidR="001E0B84" w:rsidRDefault="001E0B84" w:rsidP="001E0B84">
      <w:pPr>
        <w:pStyle w:val="PrrafodeSentencia"/>
        <w:tabs>
          <w:tab w:val="left" w:pos="567"/>
        </w:tabs>
        <w:spacing w:before="0" w:after="0"/>
        <w:ind w:firstLine="0"/>
      </w:pPr>
      <w:bookmarkStart w:id="15" w:name="_Ref454242034"/>
    </w:p>
    <w:p w14:paraId="705CC218" w14:textId="6A91522A" w:rsidR="00811ACA" w:rsidRDefault="003B623F" w:rsidP="00296A37">
      <w:pPr>
        <w:pStyle w:val="PrrafodeSentencia"/>
        <w:tabs>
          <w:tab w:val="left" w:pos="567"/>
        </w:tabs>
        <w:spacing w:before="0" w:after="0"/>
        <w:ind w:firstLine="0"/>
      </w:pPr>
      <w:r>
        <w:rPr>
          <w:lang w:val="es-MX"/>
        </w:rPr>
        <w:t>A</w:t>
      </w:r>
      <w:r w:rsidR="001E0B84">
        <w:rPr>
          <w:lang w:val="es-MX"/>
        </w:rPr>
        <w:t>l día siguiente de estos hechos, el Comandante de la Cuarta Zona Militar solicitó al señor Flor Freire entregar funciones y responsabilidades en la Fuerza Terrestre ecuatoriana.</w:t>
      </w:r>
      <w:r w:rsidR="009C2D25">
        <w:rPr>
          <w:lang w:val="es-MX"/>
        </w:rPr>
        <w:t xml:space="preserve"> </w:t>
      </w:r>
      <w:r w:rsidR="00296A37">
        <w:rPr>
          <w:lang w:val="es-MX"/>
        </w:rPr>
        <w:t xml:space="preserve">Posteriormente, </w:t>
      </w:r>
      <w:r w:rsidR="00296A37" w:rsidRPr="00296A37">
        <w:rPr>
          <w:lang w:val="es-CR"/>
        </w:rPr>
        <w:t xml:space="preserve">el 13 de diciembre de 2000 </w:t>
      </w:r>
      <w:r w:rsidR="00296A37">
        <w:rPr>
          <w:lang w:val="es-CR"/>
        </w:rPr>
        <w:t xml:space="preserve">dicho </w:t>
      </w:r>
      <w:r w:rsidR="00296A37" w:rsidRPr="00296A37">
        <w:rPr>
          <w:lang w:val="es-CR"/>
        </w:rPr>
        <w:t>Comandante solicitó al señor Flor Freire entregar las responsabilidades a su cargo y la habitación que ocupaba.</w:t>
      </w:r>
      <w:r w:rsidR="00296A37">
        <w:t xml:space="preserve"> </w:t>
      </w:r>
    </w:p>
    <w:p w14:paraId="59097727" w14:textId="77777777" w:rsidR="00811ACA" w:rsidRDefault="00811ACA" w:rsidP="00296A37">
      <w:pPr>
        <w:pStyle w:val="PrrafodeSentencia"/>
        <w:tabs>
          <w:tab w:val="left" w:pos="567"/>
        </w:tabs>
        <w:spacing w:before="0" w:after="0"/>
        <w:ind w:firstLine="0"/>
      </w:pPr>
    </w:p>
    <w:p w14:paraId="06CEB702" w14:textId="66E907BF" w:rsidR="001E0B84" w:rsidRPr="002424A2" w:rsidRDefault="00296A37" w:rsidP="00296A37">
      <w:pPr>
        <w:pStyle w:val="PrrafodeSentencia"/>
        <w:tabs>
          <w:tab w:val="left" w:pos="567"/>
        </w:tabs>
        <w:spacing w:before="0" w:after="0"/>
        <w:ind w:firstLine="0"/>
      </w:pPr>
      <w:r>
        <w:t xml:space="preserve">Sin embargo, de forma paralela y previa, </w:t>
      </w:r>
      <w:r w:rsidR="001E0B84">
        <w:t xml:space="preserve">el 22 de noviembre de 2000 </w:t>
      </w:r>
      <w:r>
        <w:rPr>
          <w:lang w:val="es-MX"/>
        </w:rPr>
        <w:t xml:space="preserve">el Comandante de la Cuarta Zona Militar </w:t>
      </w:r>
      <w:r w:rsidR="001E0B84">
        <w:t xml:space="preserve">lo puso </w:t>
      </w:r>
      <w:r w:rsidR="001E0B84">
        <w:rPr>
          <w:lang w:val="es-MX"/>
        </w:rPr>
        <w:t>a disposición del Juzgado Primero de lo Penal, para el inicio de un procedimiento disciplinario de información sumaria en su contra</w:t>
      </w:r>
      <w:r w:rsidR="009C2D25">
        <w:rPr>
          <w:lang w:val="es-MX"/>
        </w:rPr>
        <w:t>,</w:t>
      </w:r>
      <w:r w:rsidR="001E0B84">
        <w:rPr>
          <w:lang w:val="es-MX"/>
        </w:rPr>
        <w:t xml:space="preserve"> </w:t>
      </w:r>
      <w:r w:rsidR="001E0B84" w:rsidRPr="002424A2">
        <w:t xml:space="preserve">como consecuencia de los hechos </w:t>
      </w:r>
      <w:r w:rsidR="001E0B84">
        <w:t>d</w:t>
      </w:r>
      <w:r w:rsidR="001E0B84" w:rsidRPr="002424A2">
        <w:t>el 19 de noviembre de 2000.</w:t>
      </w:r>
      <w:r w:rsidR="00811ACA">
        <w:t xml:space="preserve"> </w:t>
      </w:r>
      <w:r w:rsidR="001E0B84">
        <w:t xml:space="preserve">La información sumaria era un procedimiento </w:t>
      </w:r>
      <w:r w:rsidR="009C2D25">
        <w:t xml:space="preserve">de investigación </w:t>
      </w:r>
      <w:r w:rsidR="001E0B84">
        <w:t>administrativo</w:t>
      </w:r>
      <w:r w:rsidR="009C2D25">
        <w:t xml:space="preserve"> cuyo propósito era la determinación de responsabilidades disciplinarias del personal de las Fuerzas Armadas ecuatorianas. </w:t>
      </w:r>
    </w:p>
    <w:bookmarkEnd w:id="15"/>
    <w:p w14:paraId="0C253E40" w14:textId="77777777" w:rsidR="009C2D25" w:rsidRDefault="009C2D25" w:rsidP="00C36DF5">
      <w:pPr>
        <w:tabs>
          <w:tab w:val="left" w:pos="0"/>
        </w:tabs>
        <w:autoSpaceDE w:val="0"/>
        <w:autoSpaceDN w:val="0"/>
        <w:contextualSpacing/>
        <w:jc w:val="both"/>
        <w:rPr>
          <w:lang w:val="es-MX"/>
        </w:rPr>
      </w:pPr>
    </w:p>
    <w:p w14:paraId="3AF64DDC" w14:textId="7CCFB450" w:rsidR="009C2D25" w:rsidRDefault="00296A37" w:rsidP="00C36DF5">
      <w:pPr>
        <w:tabs>
          <w:tab w:val="left" w:pos="0"/>
        </w:tabs>
        <w:autoSpaceDE w:val="0"/>
        <w:autoSpaceDN w:val="0"/>
        <w:contextualSpacing/>
        <w:jc w:val="both"/>
        <w:rPr>
          <w:lang w:val="es-ES"/>
        </w:rPr>
      </w:pPr>
      <w:r>
        <w:rPr>
          <w:lang w:val="es-MX"/>
        </w:rPr>
        <w:t>En enero de 2001</w:t>
      </w:r>
      <w:r w:rsidR="00C36DF5">
        <w:rPr>
          <w:lang w:val="es-MX"/>
        </w:rPr>
        <w:t xml:space="preserve">, después de ordenar varias diligencias, </w:t>
      </w:r>
      <w:r w:rsidR="005F134C">
        <w:rPr>
          <w:lang w:val="es-ES"/>
        </w:rPr>
        <w:t xml:space="preserve">el Juzgado Primero de lo Penal, encargado de </w:t>
      </w:r>
      <w:r w:rsidR="00127C78">
        <w:rPr>
          <w:lang w:val="es-ES"/>
        </w:rPr>
        <w:t xml:space="preserve">la </w:t>
      </w:r>
      <w:r w:rsidR="005F134C">
        <w:rPr>
          <w:lang w:val="es-ES"/>
        </w:rPr>
        <w:t xml:space="preserve">etapa investigativa en dicho procedimiento, </w:t>
      </w:r>
      <w:r w:rsidR="00C36DF5" w:rsidRPr="00E75CC4">
        <w:rPr>
          <w:lang w:val="es-ES"/>
        </w:rPr>
        <w:t>propuso que se declarara la responsabilidad disciplinaria del señor Flor Freire y que se le pusiera a disponibilidad, previo a la baja, con base en lo establecido en el artículo 117 del Reglamento de Disciplina Militar</w:t>
      </w:r>
      <w:r w:rsidR="00C36DF5">
        <w:rPr>
          <w:lang w:val="es-ES"/>
        </w:rPr>
        <w:t xml:space="preserve">. </w:t>
      </w:r>
      <w:r w:rsidR="009C2D25">
        <w:rPr>
          <w:lang w:val="es-ES"/>
        </w:rPr>
        <w:t>El referido artículo 117 establecía que:</w:t>
      </w:r>
    </w:p>
    <w:p w14:paraId="1AD9EC87" w14:textId="77777777" w:rsidR="009C2D25" w:rsidRDefault="009C2D25" w:rsidP="009C2D25">
      <w:pPr>
        <w:pStyle w:val="Prrafodelista"/>
        <w:rPr>
          <w:szCs w:val="20"/>
          <w:lang w:val="es-ES"/>
        </w:rPr>
      </w:pPr>
    </w:p>
    <w:p w14:paraId="5A308D9E" w14:textId="3CF87962" w:rsidR="009C2D25" w:rsidRDefault="009C2D25" w:rsidP="00CB4035">
      <w:pPr>
        <w:autoSpaceDE w:val="0"/>
        <w:autoSpaceDN w:val="0"/>
        <w:ind w:left="567" w:right="530"/>
        <w:jc w:val="both"/>
        <w:rPr>
          <w:rFonts w:cs="Helvetica"/>
          <w:sz w:val="18"/>
          <w:szCs w:val="18"/>
          <w:lang w:val="es-ES"/>
        </w:rPr>
      </w:pPr>
      <w:r w:rsidRPr="00E81FEB">
        <w:rPr>
          <w:rFonts w:cs="Helvetica"/>
          <w:sz w:val="18"/>
          <w:szCs w:val="18"/>
          <w:lang w:val="es-ES"/>
        </w:rPr>
        <w:t>Los miembros de las Fuerzas Armadas que sean sorprendidos en actos de homosexualidad o en hechos relacionados con tenencia, uso indebido, tráfico y comercialización de drogas o estupefacientes dentro o fuera del servicio, se sujetarán a lo previsto en artículo 87, Lit. (i) de la Ley de Personal de las Fuerzas Armadas [que establece que el militar será dado de baja ‘[p]</w:t>
      </w:r>
      <w:proofErr w:type="spellStart"/>
      <w:r w:rsidRPr="00E81FEB">
        <w:rPr>
          <w:rFonts w:cs="Helvetica"/>
          <w:sz w:val="18"/>
          <w:szCs w:val="18"/>
          <w:lang w:val="es-ES"/>
        </w:rPr>
        <w:t>or</w:t>
      </w:r>
      <w:proofErr w:type="spellEnd"/>
      <w:r w:rsidRPr="00E81FEB">
        <w:rPr>
          <w:rFonts w:cs="Helvetica"/>
          <w:sz w:val="18"/>
          <w:szCs w:val="18"/>
          <w:lang w:val="es-ES"/>
        </w:rPr>
        <w:t xml:space="preserve"> convenir al buen servicio, sea por mala conducta o por incompetencia profesional del militar’], sin perjuicio de que sean puestos a órdenes de los Jueces comunes para su Juzgamiento conforme a la Ley de la materia. […]</w:t>
      </w:r>
    </w:p>
    <w:p w14:paraId="3FB92620" w14:textId="77777777" w:rsidR="009C2D25" w:rsidRPr="009C2D25" w:rsidRDefault="009C2D25" w:rsidP="009C2D25">
      <w:pPr>
        <w:autoSpaceDE w:val="0"/>
        <w:autoSpaceDN w:val="0"/>
        <w:ind w:left="567" w:right="720"/>
        <w:jc w:val="both"/>
        <w:rPr>
          <w:rFonts w:cs="Helvetica"/>
          <w:sz w:val="18"/>
          <w:szCs w:val="18"/>
          <w:lang w:val="es-ES"/>
        </w:rPr>
      </w:pPr>
    </w:p>
    <w:p w14:paraId="2953B02F" w14:textId="47455C9E" w:rsidR="00C36DF5" w:rsidRDefault="00C36DF5" w:rsidP="00C36DF5">
      <w:pPr>
        <w:tabs>
          <w:tab w:val="left" w:pos="0"/>
        </w:tabs>
        <w:autoSpaceDE w:val="0"/>
        <w:autoSpaceDN w:val="0"/>
        <w:contextualSpacing/>
        <w:jc w:val="both"/>
        <w:rPr>
          <w:lang w:val="es-ES"/>
        </w:rPr>
      </w:pPr>
      <w:r>
        <w:rPr>
          <w:lang w:val="es-ES"/>
        </w:rPr>
        <w:t>Posteriormente, el asunto pasó al conocimiento del Comandante de la Cuarta Zona Militar, a quien correspondía actuar como Juzgado de Derecho</w:t>
      </w:r>
      <w:r w:rsidR="005F134C">
        <w:rPr>
          <w:lang w:val="es-ES"/>
        </w:rPr>
        <w:t xml:space="preserve"> en la etapa resolutiva de dicho procedimiento</w:t>
      </w:r>
      <w:r>
        <w:rPr>
          <w:lang w:val="es-ES"/>
        </w:rPr>
        <w:t>.</w:t>
      </w:r>
      <w:r w:rsidR="00296A37">
        <w:rPr>
          <w:lang w:val="es-ES"/>
        </w:rPr>
        <w:t xml:space="preserve"> El 17 de enero de 2001</w:t>
      </w:r>
      <w:r>
        <w:rPr>
          <w:lang w:val="es-ES"/>
        </w:rPr>
        <w:t xml:space="preserve"> el Juzgado de Derecho resolvió acoger el proyecto de resolución del Juzgado Primero de lo Penal. Esta decisión dio por establecido que el 19 de noviembre de 2000</w:t>
      </w:r>
      <w:r w:rsidR="00296A37">
        <w:rPr>
          <w:lang w:val="es-ES"/>
        </w:rPr>
        <w:t xml:space="preserve"> </w:t>
      </w:r>
      <w:r>
        <w:rPr>
          <w:lang w:val="es-ES"/>
        </w:rPr>
        <w:t xml:space="preserve">el señor Flor Freire y </w:t>
      </w:r>
      <w:r w:rsidR="00296A37">
        <w:rPr>
          <w:lang w:val="es-ES"/>
        </w:rPr>
        <w:t xml:space="preserve">otro soldado </w:t>
      </w:r>
      <w:r>
        <w:rPr>
          <w:lang w:val="es-ES"/>
        </w:rPr>
        <w:t>ingresaron al dormitorio del primero de ellos, donde fueron vist</w:t>
      </w:r>
      <w:r w:rsidR="00296A37">
        <w:rPr>
          <w:lang w:val="es-ES"/>
        </w:rPr>
        <w:t>os teniendo relaciones sexuales</w:t>
      </w:r>
      <w:r>
        <w:rPr>
          <w:lang w:val="es-ES"/>
        </w:rPr>
        <w:t xml:space="preserve">. </w:t>
      </w:r>
      <w:r w:rsidR="00296A37">
        <w:rPr>
          <w:lang w:val="es-ES"/>
        </w:rPr>
        <w:t xml:space="preserve">En consecuencia, </w:t>
      </w:r>
      <w:r>
        <w:rPr>
          <w:lang w:val="es-ES"/>
        </w:rPr>
        <w:t xml:space="preserve">el Juzgado determinó que el señor Flor Freire había incurrido en la infracción prevista en el artículo 117 del Reglamento de Disciplina Militar, </w:t>
      </w:r>
      <w:r w:rsidR="00296A37">
        <w:rPr>
          <w:lang w:val="es-ES"/>
        </w:rPr>
        <w:t xml:space="preserve">por lo cual correspondía </w:t>
      </w:r>
      <w:r w:rsidR="00296A37">
        <w:rPr>
          <w:lang w:val="es-CR"/>
        </w:rPr>
        <w:t xml:space="preserve">la </w:t>
      </w:r>
      <w:r w:rsidR="00296A37" w:rsidRPr="00296A37">
        <w:rPr>
          <w:lang w:val="es-CR"/>
        </w:rPr>
        <w:t xml:space="preserve">calificación de su “mala conducta” </w:t>
      </w:r>
      <w:r w:rsidR="00296A37" w:rsidRPr="00296A37">
        <w:rPr>
          <w:lang w:val="es-CR"/>
        </w:rPr>
        <w:lastRenderedPageBreak/>
        <w:t xml:space="preserve">por el Consejo de Oficiales Subalternos </w:t>
      </w:r>
      <w:r w:rsidR="00626F35">
        <w:rPr>
          <w:lang w:val="es-CR"/>
        </w:rPr>
        <w:t xml:space="preserve">y que </w:t>
      </w:r>
      <w:r w:rsidR="00296A37" w:rsidRPr="004F6B7F">
        <w:rPr>
          <w:lang w:val="es-ES" w:eastAsia="es-CR"/>
        </w:rPr>
        <w:t xml:space="preserve">el </w:t>
      </w:r>
      <w:r w:rsidR="00296A37">
        <w:rPr>
          <w:lang w:val="es-ES" w:eastAsia="es-CR"/>
        </w:rPr>
        <w:t>señor F</w:t>
      </w:r>
      <w:r w:rsidR="00296A37" w:rsidRPr="004F6B7F">
        <w:rPr>
          <w:lang w:val="es-ES" w:eastAsia="es-CR"/>
        </w:rPr>
        <w:t xml:space="preserve">lor </w:t>
      </w:r>
      <w:r w:rsidR="00296A37">
        <w:rPr>
          <w:lang w:val="es-ES" w:eastAsia="es-CR"/>
        </w:rPr>
        <w:t xml:space="preserve">Freire </w:t>
      </w:r>
      <w:r w:rsidR="00626F35">
        <w:rPr>
          <w:lang w:val="es-ES" w:eastAsia="es-CR"/>
        </w:rPr>
        <w:t xml:space="preserve">fuera </w:t>
      </w:r>
      <w:r w:rsidR="00296A37" w:rsidRPr="00296A37">
        <w:rPr>
          <w:lang w:val="es-CR"/>
        </w:rPr>
        <w:t xml:space="preserve">puesto en </w:t>
      </w:r>
      <w:r w:rsidR="00626F35" w:rsidRPr="00296A37">
        <w:rPr>
          <w:lang w:val="es-CR"/>
        </w:rPr>
        <w:t xml:space="preserve">disponibilidad </w:t>
      </w:r>
      <w:r w:rsidR="00296A37" w:rsidRPr="00296A37">
        <w:rPr>
          <w:lang w:val="es-CR"/>
        </w:rPr>
        <w:t xml:space="preserve">previo a </w:t>
      </w:r>
      <w:r w:rsidR="00626F35">
        <w:rPr>
          <w:lang w:val="es-CR"/>
        </w:rPr>
        <w:t xml:space="preserve">su </w:t>
      </w:r>
      <w:r w:rsidR="00296A37" w:rsidRPr="00296A37">
        <w:rPr>
          <w:lang w:val="es-CR"/>
        </w:rPr>
        <w:t xml:space="preserve">baja </w:t>
      </w:r>
      <w:r w:rsidR="00626F35">
        <w:rPr>
          <w:lang w:val="es-CR"/>
        </w:rPr>
        <w:t>por dicha “</w:t>
      </w:r>
      <w:r w:rsidR="00296A37" w:rsidRPr="00296A37">
        <w:rPr>
          <w:lang w:val="es-CR"/>
        </w:rPr>
        <w:t>mala conducta”</w:t>
      </w:r>
      <w:r>
        <w:rPr>
          <w:lang w:val="es-ES"/>
        </w:rPr>
        <w:t xml:space="preserve">. </w:t>
      </w:r>
    </w:p>
    <w:p w14:paraId="0A9AD451" w14:textId="77777777" w:rsidR="00C36DF5" w:rsidRDefault="00C36DF5" w:rsidP="00C36DF5">
      <w:pPr>
        <w:tabs>
          <w:tab w:val="left" w:pos="0"/>
        </w:tabs>
        <w:autoSpaceDE w:val="0"/>
        <w:autoSpaceDN w:val="0"/>
        <w:contextualSpacing/>
        <w:jc w:val="both"/>
        <w:rPr>
          <w:lang w:val="es-ES"/>
        </w:rPr>
      </w:pPr>
    </w:p>
    <w:p w14:paraId="5C05B29F" w14:textId="0F294970" w:rsidR="00C36DF5" w:rsidRPr="00626F35" w:rsidRDefault="00626F35" w:rsidP="00626F35">
      <w:pPr>
        <w:tabs>
          <w:tab w:val="left" w:pos="0"/>
        </w:tabs>
        <w:autoSpaceDE w:val="0"/>
        <w:autoSpaceDN w:val="0"/>
        <w:contextualSpacing/>
        <w:jc w:val="both"/>
        <w:rPr>
          <w:szCs w:val="20"/>
          <w:lang w:val="es-ES"/>
        </w:rPr>
      </w:pPr>
      <w:r w:rsidRPr="00626F35">
        <w:rPr>
          <w:szCs w:val="20"/>
          <w:lang w:val="es-ES"/>
        </w:rPr>
        <w:t xml:space="preserve">En la época de los hechos, la Constitución Política del Ecuador en vigor reconocía el derecho a la igualdad ante la ley sin discriminación, incluyendo por la orientación sexual de una persona. No obstante, la resolución del Juzgado de Derecho </w:t>
      </w:r>
      <w:r w:rsidR="00C36DF5" w:rsidRPr="00626F35">
        <w:rPr>
          <w:szCs w:val="20"/>
          <w:lang w:val="es-ES"/>
        </w:rPr>
        <w:t xml:space="preserve">sostuvo </w:t>
      </w:r>
      <w:r w:rsidRPr="00626F35">
        <w:rPr>
          <w:szCs w:val="20"/>
          <w:lang w:val="es-ES"/>
        </w:rPr>
        <w:t xml:space="preserve">que el artículo 117 del Reglamento de Disciplina Militar era compatible </w:t>
      </w:r>
      <w:r w:rsidR="00C36DF5" w:rsidRPr="00626F35">
        <w:rPr>
          <w:szCs w:val="20"/>
          <w:lang w:val="es-ES"/>
        </w:rPr>
        <w:t xml:space="preserve">con el derecho de tomar decisiones libres y responsables sobre </w:t>
      </w:r>
      <w:r w:rsidRPr="00626F35">
        <w:rPr>
          <w:szCs w:val="20"/>
          <w:lang w:val="es-ES"/>
        </w:rPr>
        <w:t xml:space="preserve">la </w:t>
      </w:r>
      <w:r w:rsidR="00C36DF5" w:rsidRPr="00626F35">
        <w:rPr>
          <w:szCs w:val="20"/>
          <w:lang w:val="es-ES"/>
        </w:rPr>
        <w:t xml:space="preserve">vida sexual, contenido en el </w:t>
      </w:r>
      <w:r w:rsidR="00221658">
        <w:rPr>
          <w:szCs w:val="20"/>
          <w:lang w:val="es-ES"/>
        </w:rPr>
        <w:t>artículo</w:t>
      </w:r>
      <w:r w:rsidR="00C36DF5" w:rsidRPr="00626F35">
        <w:rPr>
          <w:szCs w:val="20"/>
          <w:lang w:val="es-ES"/>
        </w:rPr>
        <w:t xml:space="preserve"> 23 de la Constitución,</w:t>
      </w:r>
      <w:r w:rsidRPr="00626F35">
        <w:rPr>
          <w:szCs w:val="20"/>
          <w:lang w:val="es-ES"/>
        </w:rPr>
        <w:t xml:space="preserve"> </w:t>
      </w:r>
      <w:r w:rsidRPr="00626F35">
        <w:rPr>
          <w:szCs w:val="20"/>
          <w:lang w:val="es-ES" w:eastAsia="es-CR"/>
        </w:rPr>
        <w:t>“</w:t>
      </w:r>
      <w:r w:rsidR="00C36DF5" w:rsidRPr="00626F35">
        <w:rPr>
          <w:szCs w:val="20"/>
          <w:lang w:val="es-ES" w:eastAsia="es-CR"/>
        </w:rPr>
        <w:t xml:space="preserve">por el carácter especial de la legislación militar, </w:t>
      </w:r>
      <w:r w:rsidRPr="00626F35">
        <w:rPr>
          <w:szCs w:val="20"/>
          <w:lang w:val="es-ES" w:eastAsia="es-CR"/>
        </w:rPr>
        <w:t xml:space="preserve">[y] </w:t>
      </w:r>
      <w:r w:rsidR="00C36DF5" w:rsidRPr="00626F35">
        <w:rPr>
          <w:szCs w:val="20"/>
          <w:lang w:val="es-ES" w:eastAsia="es-CR"/>
        </w:rPr>
        <w:t>su filosofía y misión constitucional, […] todo lo cual no es compatible con la conducta y comportamient</w:t>
      </w:r>
      <w:r w:rsidRPr="00626F35">
        <w:rPr>
          <w:szCs w:val="20"/>
          <w:lang w:val="es-ES" w:eastAsia="es-CR"/>
        </w:rPr>
        <w:t>o adoptado por los investigados”</w:t>
      </w:r>
      <w:r w:rsidR="00C36DF5" w:rsidRPr="00626F35">
        <w:rPr>
          <w:szCs w:val="20"/>
          <w:lang w:val="es-ES" w:eastAsia="es-CR"/>
        </w:rPr>
        <w:t xml:space="preserve">. </w:t>
      </w:r>
    </w:p>
    <w:p w14:paraId="61A26CBB" w14:textId="77777777" w:rsidR="00C36DF5" w:rsidRPr="00C607D3" w:rsidRDefault="00C36DF5" w:rsidP="00C36DF5">
      <w:pPr>
        <w:widowControl w:val="0"/>
        <w:adjustRightInd w:val="0"/>
        <w:spacing w:line="0" w:lineRule="atLeast"/>
        <w:jc w:val="both"/>
        <w:rPr>
          <w:szCs w:val="20"/>
          <w:lang w:val="es-ES" w:eastAsia="es-CR"/>
        </w:rPr>
      </w:pPr>
    </w:p>
    <w:p w14:paraId="20C79ACA" w14:textId="03C7C22A" w:rsidR="00C36DF5" w:rsidRDefault="00626F35" w:rsidP="00C36DF5">
      <w:pPr>
        <w:widowControl w:val="0"/>
        <w:tabs>
          <w:tab w:val="left" w:pos="567"/>
        </w:tabs>
        <w:suppressAutoHyphens/>
        <w:adjustRightInd w:val="0"/>
        <w:spacing w:line="0" w:lineRule="atLeast"/>
        <w:jc w:val="both"/>
        <w:rPr>
          <w:szCs w:val="20"/>
          <w:lang w:val="es-ES" w:eastAsia="es-CR"/>
        </w:rPr>
      </w:pPr>
      <w:r>
        <w:rPr>
          <w:szCs w:val="20"/>
          <w:lang w:val="es-ES" w:eastAsia="es-CR"/>
        </w:rPr>
        <w:t>E</w:t>
      </w:r>
      <w:r w:rsidR="00C36DF5" w:rsidRPr="00175A27">
        <w:rPr>
          <w:szCs w:val="20"/>
          <w:lang w:val="es-ES" w:eastAsia="es-CR"/>
        </w:rPr>
        <w:t xml:space="preserve">l señor Flor Freire </w:t>
      </w:r>
      <w:r>
        <w:rPr>
          <w:szCs w:val="20"/>
          <w:lang w:val="es-ES" w:eastAsia="es-CR"/>
        </w:rPr>
        <w:t>apeló dicha decisión. Sin embargo, e</w:t>
      </w:r>
      <w:r w:rsidR="00C36DF5">
        <w:rPr>
          <w:szCs w:val="20"/>
          <w:lang w:val="es-ES" w:eastAsia="es-CR"/>
        </w:rPr>
        <w:t xml:space="preserve">l 3 de mayo de 2001 </w:t>
      </w:r>
      <w:r>
        <w:rPr>
          <w:szCs w:val="20"/>
          <w:lang w:val="es-ES" w:eastAsia="es-CR"/>
        </w:rPr>
        <w:t>el</w:t>
      </w:r>
      <w:r w:rsidR="00C36DF5">
        <w:rPr>
          <w:szCs w:val="20"/>
          <w:lang w:val="es-ES" w:eastAsia="es-CR"/>
        </w:rPr>
        <w:t xml:space="preserve"> </w:t>
      </w:r>
      <w:r w:rsidRPr="00344F5D">
        <w:rPr>
          <w:szCs w:val="20"/>
          <w:lang w:val="es-ES"/>
        </w:rPr>
        <w:t xml:space="preserve">Consejo de Oficiales Subalternos </w:t>
      </w:r>
      <w:r w:rsidR="00C36DF5">
        <w:rPr>
          <w:szCs w:val="20"/>
          <w:lang w:val="es-ES" w:eastAsia="es-CR"/>
        </w:rPr>
        <w:t>resolvió aceptar la solicitud del Juzgado de Derecho</w:t>
      </w:r>
      <w:r>
        <w:rPr>
          <w:szCs w:val="20"/>
          <w:lang w:val="es-ES" w:eastAsia="es-CR"/>
        </w:rPr>
        <w:t xml:space="preserve">, considerando que carecía </w:t>
      </w:r>
      <w:r w:rsidR="00C36DF5">
        <w:rPr>
          <w:szCs w:val="20"/>
          <w:lang w:val="es-ES" w:eastAsia="es-CR"/>
        </w:rPr>
        <w:t>de fundamentos jurídicos que permitieran un pronunciamiento en contrario</w:t>
      </w:r>
      <w:r>
        <w:rPr>
          <w:szCs w:val="20"/>
          <w:lang w:val="es-ES" w:eastAsia="es-CR"/>
        </w:rPr>
        <w:t>. En virtud de ello,</w:t>
      </w:r>
      <w:r w:rsidR="00C36DF5">
        <w:rPr>
          <w:szCs w:val="20"/>
          <w:lang w:val="es-ES" w:eastAsia="es-CR"/>
        </w:rPr>
        <w:t xml:space="preserve"> dispuso la colocación en disponibilidad previa a la baja del Teniente Flor Freire. </w:t>
      </w:r>
      <w:r>
        <w:rPr>
          <w:szCs w:val="20"/>
          <w:lang w:val="es-ES" w:eastAsia="es-CR"/>
        </w:rPr>
        <w:t xml:space="preserve">Luego de que </w:t>
      </w:r>
      <w:r w:rsidR="00C36DF5">
        <w:rPr>
          <w:szCs w:val="20"/>
          <w:lang w:val="es-ES" w:eastAsia="es-CR"/>
        </w:rPr>
        <w:t xml:space="preserve">el Consejo de Oficiales </w:t>
      </w:r>
      <w:r>
        <w:rPr>
          <w:szCs w:val="20"/>
          <w:lang w:val="es-ES" w:eastAsia="es-CR"/>
        </w:rPr>
        <w:t>S</w:t>
      </w:r>
      <w:r w:rsidR="00C36DF5">
        <w:rPr>
          <w:szCs w:val="20"/>
          <w:lang w:val="es-ES" w:eastAsia="es-CR"/>
        </w:rPr>
        <w:t xml:space="preserve">ubalternos </w:t>
      </w:r>
      <w:r>
        <w:rPr>
          <w:szCs w:val="20"/>
          <w:lang w:val="es-ES" w:eastAsia="es-CR"/>
        </w:rPr>
        <w:t xml:space="preserve">negara </w:t>
      </w:r>
      <w:r w:rsidR="005A6812">
        <w:rPr>
          <w:szCs w:val="20"/>
          <w:lang w:val="es-ES" w:eastAsia="es-CR"/>
        </w:rPr>
        <w:t xml:space="preserve">una </w:t>
      </w:r>
      <w:r>
        <w:rPr>
          <w:szCs w:val="20"/>
          <w:lang w:val="es-ES" w:eastAsia="es-CR"/>
        </w:rPr>
        <w:t xml:space="preserve">solicitud de reconsideración, </w:t>
      </w:r>
      <w:r w:rsidR="00C36DF5">
        <w:rPr>
          <w:szCs w:val="20"/>
          <w:lang w:val="es-ES" w:eastAsia="es-CR"/>
        </w:rPr>
        <w:t xml:space="preserve">el </w:t>
      </w:r>
      <w:r w:rsidR="00811ACA">
        <w:rPr>
          <w:szCs w:val="20"/>
          <w:lang w:val="es-ES" w:eastAsia="es-CR"/>
        </w:rPr>
        <w:t xml:space="preserve">18 de junio de 2001 el </w:t>
      </w:r>
      <w:r w:rsidR="00C36DF5">
        <w:rPr>
          <w:szCs w:val="20"/>
          <w:lang w:val="es-ES" w:eastAsia="es-CR"/>
        </w:rPr>
        <w:t xml:space="preserve">Consejo de Oficiales Superiores desechó </w:t>
      </w:r>
      <w:r w:rsidR="00811ACA">
        <w:rPr>
          <w:szCs w:val="20"/>
          <w:lang w:val="es-ES" w:eastAsia="es-CR"/>
        </w:rPr>
        <w:t>una nueva</w:t>
      </w:r>
      <w:r>
        <w:rPr>
          <w:szCs w:val="20"/>
          <w:lang w:val="es-ES" w:eastAsia="es-CR"/>
        </w:rPr>
        <w:t xml:space="preserve"> </w:t>
      </w:r>
      <w:r w:rsidR="00C36DF5">
        <w:rPr>
          <w:szCs w:val="20"/>
          <w:lang w:val="es-ES" w:eastAsia="es-CR"/>
        </w:rPr>
        <w:t>apelación “por falta de argumentos ju</w:t>
      </w:r>
      <w:r>
        <w:rPr>
          <w:szCs w:val="20"/>
          <w:lang w:val="es-ES" w:eastAsia="es-CR"/>
        </w:rPr>
        <w:t xml:space="preserve">rídicos </w:t>
      </w:r>
      <w:r w:rsidR="00C36DF5">
        <w:rPr>
          <w:szCs w:val="20"/>
          <w:lang w:val="es-ES" w:eastAsia="es-CR"/>
        </w:rPr>
        <w:t xml:space="preserve">que </w:t>
      </w:r>
      <w:proofErr w:type="spellStart"/>
      <w:r w:rsidR="00C36DF5">
        <w:rPr>
          <w:szCs w:val="20"/>
          <w:lang w:val="es-ES" w:eastAsia="es-CR"/>
        </w:rPr>
        <w:t>permit</w:t>
      </w:r>
      <w:proofErr w:type="spellEnd"/>
      <w:r w:rsidR="00C36DF5">
        <w:rPr>
          <w:szCs w:val="20"/>
          <w:lang w:val="es-ES" w:eastAsia="es-CR"/>
        </w:rPr>
        <w:t>[</w:t>
      </w:r>
      <w:proofErr w:type="spellStart"/>
      <w:r w:rsidR="00C36DF5">
        <w:rPr>
          <w:szCs w:val="20"/>
          <w:lang w:val="es-ES" w:eastAsia="es-CR"/>
        </w:rPr>
        <w:t>ieran</w:t>
      </w:r>
      <w:proofErr w:type="spellEnd"/>
      <w:r w:rsidR="00C36DF5">
        <w:rPr>
          <w:szCs w:val="20"/>
          <w:lang w:val="es-ES" w:eastAsia="es-CR"/>
        </w:rPr>
        <w:t>] un</w:t>
      </w:r>
      <w:r>
        <w:rPr>
          <w:szCs w:val="20"/>
          <w:lang w:val="es-ES" w:eastAsia="es-CR"/>
        </w:rPr>
        <w:t xml:space="preserve"> pronunciamiento en contrario”, </w:t>
      </w:r>
      <w:r w:rsidR="00C36DF5">
        <w:rPr>
          <w:szCs w:val="20"/>
          <w:lang w:val="es-ES" w:eastAsia="es-CR"/>
        </w:rPr>
        <w:t xml:space="preserve">confirmando </w:t>
      </w:r>
      <w:r w:rsidR="005A6812">
        <w:rPr>
          <w:szCs w:val="20"/>
          <w:lang w:val="es-ES" w:eastAsia="es-CR"/>
        </w:rPr>
        <w:t xml:space="preserve">así </w:t>
      </w:r>
      <w:r w:rsidR="00C36DF5">
        <w:rPr>
          <w:szCs w:val="20"/>
          <w:lang w:val="es-ES" w:eastAsia="es-CR"/>
        </w:rPr>
        <w:t>en todos sus términos la resolución del Consejo de Oficiales Subalternos.</w:t>
      </w:r>
    </w:p>
    <w:p w14:paraId="3A636D9F" w14:textId="77777777" w:rsidR="00C36DF5" w:rsidRPr="00C36DF5" w:rsidRDefault="00C36DF5" w:rsidP="00C36DF5">
      <w:pPr>
        <w:pStyle w:val="Prrafodelista"/>
        <w:tabs>
          <w:tab w:val="left" w:pos="1418"/>
        </w:tabs>
        <w:ind w:left="1418"/>
        <w:jc w:val="both"/>
        <w:rPr>
          <w:b/>
          <w:szCs w:val="20"/>
          <w:lang w:val="es-ES"/>
        </w:rPr>
      </w:pPr>
    </w:p>
    <w:p w14:paraId="30776F94" w14:textId="5BA36B86" w:rsidR="00AC4E2E" w:rsidRPr="00C36DF5" w:rsidRDefault="00AC4E2E" w:rsidP="00C36DF5">
      <w:pPr>
        <w:pStyle w:val="Prrafodelista"/>
        <w:numPr>
          <w:ilvl w:val="0"/>
          <w:numId w:val="2"/>
        </w:numPr>
        <w:tabs>
          <w:tab w:val="left" w:pos="1418"/>
        </w:tabs>
        <w:ind w:left="1418" w:hanging="284"/>
        <w:jc w:val="both"/>
        <w:rPr>
          <w:b/>
          <w:szCs w:val="20"/>
          <w:lang w:val="es-ES_tradnl"/>
        </w:rPr>
      </w:pPr>
      <w:proofErr w:type="spellStart"/>
      <w:r w:rsidRPr="00C36DF5">
        <w:rPr>
          <w:b/>
        </w:rPr>
        <w:t>Proceso</w:t>
      </w:r>
      <w:proofErr w:type="spellEnd"/>
      <w:r w:rsidRPr="00C36DF5">
        <w:rPr>
          <w:b/>
        </w:rPr>
        <w:t xml:space="preserve"> de Amparo </w:t>
      </w:r>
      <w:r w:rsidR="00EB08CE" w:rsidRPr="00C36DF5">
        <w:rPr>
          <w:b/>
        </w:rPr>
        <w:t>Constitutional</w:t>
      </w:r>
    </w:p>
    <w:p w14:paraId="710056C8" w14:textId="77777777" w:rsidR="00AC4E2E" w:rsidRPr="00777AC3" w:rsidRDefault="00AC4E2E" w:rsidP="00AC4E2E">
      <w:pPr>
        <w:rPr>
          <w:lang w:val="es-CR"/>
        </w:rPr>
      </w:pPr>
    </w:p>
    <w:p w14:paraId="484F0EFA" w14:textId="6409F491" w:rsidR="00C36DF5" w:rsidRDefault="00C36DF5" w:rsidP="00C36DF5">
      <w:pPr>
        <w:widowControl w:val="0"/>
        <w:tabs>
          <w:tab w:val="left" w:pos="567"/>
        </w:tabs>
        <w:suppressAutoHyphens/>
        <w:adjustRightInd w:val="0"/>
        <w:spacing w:line="0" w:lineRule="atLeast"/>
        <w:jc w:val="both"/>
        <w:rPr>
          <w:szCs w:val="20"/>
          <w:lang w:val="es-ES"/>
        </w:rPr>
      </w:pPr>
      <w:bookmarkStart w:id="16" w:name="_Toc431584636"/>
      <w:bookmarkStart w:id="17" w:name="_Toc431585058"/>
      <w:bookmarkStart w:id="18" w:name="_Toc431646575"/>
      <w:bookmarkStart w:id="19" w:name="_Toc431834654"/>
      <w:r>
        <w:rPr>
          <w:szCs w:val="20"/>
          <w:lang w:val="es-CR" w:eastAsia="es-CR"/>
        </w:rPr>
        <w:t>Paralelamente, el 23 de enero de 2001 el señor Flor Freire presentó un recurso de amparo constitucional</w:t>
      </w:r>
      <w:r>
        <w:rPr>
          <w:szCs w:val="20"/>
          <w:lang w:val="es-ES"/>
        </w:rPr>
        <w:t xml:space="preserve">, solicitando la suspensión del proceso de información sumaria y de los efectos de la resolución del Juzgado de Derecho de 17 de enero de 2001. </w:t>
      </w:r>
    </w:p>
    <w:p w14:paraId="1BFE57AD" w14:textId="77777777" w:rsidR="00C36DF5" w:rsidRDefault="00C36DF5" w:rsidP="00C36DF5">
      <w:pPr>
        <w:widowControl w:val="0"/>
        <w:tabs>
          <w:tab w:val="left" w:pos="567"/>
        </w:tabs>
        <w:suppressAutoHyphens/>
        <w:adjustRightInd w:val="0"/>
        <w:spacing w:line="0" w:lineRule="atLeast"/>
        <w:jc w:val="both"/>
        <w:rPr>
          <w:szCs w:val="20"/>
          <w:lang w:val="es-ES"/>
        </w:rPr>
      </w:pPr>
    </w:p>
    <w:p w14:paraId="07764CEF" w14:textId="6B5C3F3F" w:rsidR="00C36DF5" w:rsidRDefault="00C36DF5" w:rsidP="00C36DF5">
      <w:pPr>
        <w:widowControl w:val="0"/>
        <w:tabs>
          <w:tab w:val="left" w:pos="567"/>
        </w:tabs>
        <w:suppressAutoHyphens/>
        <w:adjustRightInd w:val="0"/>
        <w:spacing w:line="0" w:lineRule="atLeast"/>
        <w:jc w:val="both"/>
        <w:rPr>
          <w:szCs w:val="20"/>
          <w:lang w:val="es-ES"/>
        </w:rPr>
      </w:pPr>
      <w:r>
        <w:rPr>
          <w:szCs w:val="20"/>
          <w:lang w:val="es-ES"/>
        </w:rPr>
        <w:t>En su demanda, alegó</w:t>
      </w:r>
      <w:r w:rsidR="00127C78">
        <w:rPr>
          <w:szCs w:val="20"/>
          <w:lang w:val="es-ES"/>
        </w:rPr>
        <w:t>,</w:t>
      </w:r>
      <w:r>
        <w:rPr>
          <w:szCs w:val="20"/>
          <w:lang w:val="es-ES"/>
        </w:rPr>
        <w:t xml:space="preserve"> </w:t>
      </w:r>
      <w:r w:rsidRPr="001D4E76">
        <w:rPr>
          <w:i/>
          <w:szCs w:val="20"/>
          <w:lang w:val="es-ES"/>
        </w:rPr>
        <w:t xml:space="preserve">inter </w:t>
      </w:r>
      <w:proofErr w:type="spellStart"/>
      <w:r w:rsidRPr="001D4E76">
        <w:rPr>
          <w:i/>
          <w:szCs w:val="20"/>
          <w:lang w:val="es-ES"/>
        </w:rPr>
        <w:t>alia</w:t>
      </w:r>
      <w:proofErr w:type="spellEnd"/>
      <w:r w:rsidR="00127C78">
        <w:rPr>
          <w:i/>
          <w:szCs w:val="20"/>
          <w:lang w:val="es-ES"/>
        </w:rPr>
        <w:t>,</w:t>
      </w:r>
      <w:r>
        <w:rPr>
          <w:i/>
          <w:szCs w:val="20"/>
          <w:lang w:val="es-ES"/>
        </w:rPr>
        <w:t xml:space="preserve"> </w:t>
      </w:r>
      <w:r>
        <w:rPr>
          <w:szCs w:val="20"/>
          <w:lang w:val="es-ES"/>
        </w:rPr>
        <w:t xml:space="preserve">que el delito de homosexualismo había sido declarado inconstitucional mediante resolución del Tribunal Constitucional de 27 de noviembre de 1997, por lo que no se le podía sancionar por una conducta  que, conforme al ordenamiento jurídico vigente, no estaba penalizada. Asimismo, planteó que, durante el proceso de información sumaria, se habían cometido varias irregularidades que afectaron su derecho a la defensa y al debido proceso. </w:t>
      </w:r>
    </w:p>
    <w:p w14:paraId="74AB3FDB" w14:textId="77777777" w:rsidR="00C36DF5" w:rsidRPr="007E7D2D" w:rsidRDefault="00C36DF5" w:rsidP="00C36DF5">
      <w:pPr>
        <w:widowControl w:val="0"/>
        <w:tabs>
          <w:tab w:val="left" w:pos="567"/>
        </w:tabs>
        <w:suppressAutoHyphens/>
        <w:adjustRightInd w:val="0"/>
        <w:spacing w:line="0" w:lineRule="atLeast"/>
        <w:jc w:val="both"/>
        <w:rPr>
          <w:szCs w:val="20"/>
          <w:lang w:val="es-ES" w:eastAsia="es-CR"/>
        </w:rPr>
      </w:pPr>
    </w:p>
    <w:p w14:paraId="6B960E1C" w14:textId="59855865" w:rsidR="00C36DF5" w:rsidRDefault="00C36DF5" w:rsidP="00C36DF5">
      <w:pPr>
        <w:widowControl w:val="0"/>
        <w:tabs>
          <w:tab w:val="left" w:pos="567"/>
        </w:tabs>
        <w:suppressAutoHyphens/>
        <w:adjustRightInd w:val="0"/>
        <w:spacing w:line="0" w:lineRule="atLeast"/>
        <w:jc w:val="both"/>
        <w:rPr>
          <w:szCs w:val="20"/>
          <w:lang w:val="es-ES" w:eastAsia="es-CR"/>
        </w:rPr>
      </w:pPr>
      <w:r w:rsidRPr="007E7D2D">
        <w:rPr>
          <w:szCs w:val="20"/>
          <w:lang w:val="es-ES" w:eastAsia="es-CR"/>
        </w:rPr>
        <w:t>El 18 de julio de 2001 el Juzgado Sexto de lo Civil de Pichincha resolvió negar el recurso de amparo</w:t>
      </w:r>
      <w:r w:rsidR="000B46F1">
        <w:rPr>
          <w:szCs w:val="20"/>
          <w:lang w:val="es-ES" w:eastAsia="es-CR"/>
        </w:rPr>
        <w:t>.</w:t>
      </w:r>
      <w:r>
        <w:rPr>
          <w:szCs w:val="20"/>
          <w:lang w:val="es-ES" w:eastAsia="es-CR"/>
        </w:rPr>
        <w:t xml:space="preserve"> </w:t>
      </w:r>
      <w:r w:rsidR="000B46F1">
        <w:rPr>
          <w:szCs w:val="20"/>
          <w:lang w:val="es-ES" w:eastAsia="es-CR"/>
        </w:rPr>
        <w:t xml:space="preserve">De acuerdo a dicho juzgado, </w:t>
      </w:r>
      <w:r w:rsidRPr="007E7D2D">
        <w:rPr>
          <w:szCs w:val="20"/>
          <w:lang w:val="es-ES" w:eastAsia="es-CR"/>
        </w:rPr>
        <w:t>la acción de amparo resultaba improcedente porque</w:t>
      </w:r>
      <w:r w:rsidR="000B46F1">
        <w:rPr>
          <w:szCs w:val="20"/>
          <w:lang w:val="es-ES" w:eastAsia="es-CR"/>
        </w:rPr>
        <w:t>:</w:t>
      </w:r>
      <w:r w:rsidRPr="007E7D2D">
        <w:rPr>
          <w:szCs w:val="20"/>
          <w:lang w:val="es-ES" w:eastAsia="es-CR"/>
        </w:rPr>
        <w:t xml:space="preserve"> </w:t>
      </w:r>
      <w:r w:rsidR="000B46F1">
        <w:rPr>
          <w:szCs w:val="20"/>
          <w:lang w:val="es-ES" w:eastAsia="es-CR"/>
        </w:rPr>
        <w:t xml:space="preserve">(i) la solicitud para que se suspendiera la información sumaria </w:t>
      </w:r>
      <w:r w:rsidRPr="007E7D2D">
        <w:rPr>
          <w:szCs w:val="20"/>
          <w:lang w:val="es-ES" w:eastAsia="es-CR"/>
        </w:rPr>
        <w:t xml:space="preserve">no estaba dirigida contra </w:t>
      </w:r>
      <w:r w:rsidR="000B46F1" w:rsidRPr="007E7D2D">
        <w:rPr>
          <w:szCs w:val="20"/>
          <w:lang w:val="es-ES" w:eastAsia="es-CR"/>
        </w:rPr>
        <w:t xml:space="preserve">un acto administrativo </w:t>
      </w:r>
      <w:r w:rsidRPr="007E7D2D">
        <w:rPr>
          <w:szCs w:val="20"/>
          <w:lang w:val="es-ES" w:eastAsia="es-CR"/>
        </w:rPr>
        <w:t xml:space="preserve">en sí mismo </w:t>
      </w:r>
      <w:r w:rsidR="000B46F1">
        <w:rPr>
          <w:szCs w:val="20"/>
          <w:lang w:val="es-ES" w:eastAsia="es-CR"/>
        </w:rPr>
        <w:t xml:space="preserve">sino contra </w:t>
      </w:r>
      <w:r w:rsidR="000B46F1" w:rsidRPr="007E7D2D">
        <w:rPr>
          <w:szCs w:val="20"/>
          <w:lang w:val="es-ES" w:eastAsia="es-CR"/>
        </w:rPr>
        <w:t>un proceso de carácter investigativo</w:t>
      </w:r>
      <w:r w:rsidR="000B46F1">
        <w:rPr>
          <w:szCs w:val="20"/>
          <w:lang w:val="es-ES" w:eastAsia="es-CR"/>
        </w:rPr>
        <w:t>, y (ii)</w:t>
      </w:r>
      <w:r w:rsidRPr="007E7D2D">
        <w:rPr>
          <w:szCs w:val="20"/>
          <w:lang w:val="es-ES" w:eastAsia="es-CR"/>
        </w:rPr>
        <w:t xml:space="preserve"> </w:t>
      </w:r>
      <w:r w:rsidR="000B46F1">
        <w:rPr>
          <w:szCs w:val="20"/>
          <w:lang w:val="es-ES" w:eastAsia="es-CR"/>
        </w:rPr>
        <w:t xml:space="preserve">porque </w:t>
      </w:r>
      <w:r w:rsidRPr="007E7D2D">
        <w:rPr>
          <w:szCs w:val="20"/>
          <w:lang w:val="es-ES" w:eastAsia="es-CR"/>
        </w:rPr>
        <w:t xml:space="preserve">la resolución de 17 de enero de 2001 del Juzgado de Derecho </w:t>
      </w:r>
      <w:r w:rsidR="000B46F1">
        <w:rPr>
          <w:szCs w:val="20"/>
          <w:lang w:val="es-ES" w:eastAsia="es-CR"/>
        </w:rPr>
        <w:t>era “</w:t>
      </w:r>
      <w:r w:rsidRPr="007E7D2D">
        <w:rPr>
          <w:szCs w:val="20"/>
          <w:lang w:val="es-ES" w:eastAsia="es-CR"/>
        </w:rPr>
        <w:t>una decisión judicial emanada de la autoridad jurisdiccional penal militar</w:t>
      </w:r>
      <w:r w:rsidR="000B46F1">
        <w:rPr>
          <w:szCs w:val="20"/>
          <w:lang w:val="es-ES" w:eastAsia="es-CR"/>
        </w:rPr>
        <w:t xml:space="preserve">” que </w:t>
      </w:r>
      <w:r w:rsidRPr="007E7D2D">
        <w:rPr>
          <w:szCs w:val="20"/>
          <w:lang w:val="es-ES" w:eastAsia="es-CR"/>
        </w:rPr>
        <w:t>podía ser impugnada ante otras instancias</w:t>
      </w:r>
      <w:r>
        <w:rPr>
          <w:szCs w:val="20"/>
          <w:lang w:val="es-ES" w:eastAsia="es-CR"/>
        </w:rPr>
        <w:t xml:space="preserve">. </w:t>
      </w:r>
    </w:p>
    <w:p w14:paraId="76A847EC" w14:textId="77777777" w:rsidR="00C36DF5" w:rsidRDefault="00C36DF5" w:rsidP="00C36DF5">
      <w:pPr>
        <w:widowControl w:val="0"/>
        <w:tabs>
          <w:tab w:val="left" w:pos="567"/>
        </w:tabs>
        <w:suppressAutoHyphens/>
        <w:adjustRightInd w:val="0"/>
        <w:spacing w:line="0" w:lineRule="atLeast"/>
        <w:jc w:val="both"/>
        <w:rPr>
          <w:szCs w:val="20"/>
          <w:lang w:val="es-ES" w:eastAsia="es-CR"/>
        </w:rPr>
      </w:pPr>
    </w:p>
    <w:p w14:paraId="21A10E06" w14:textId="76B227FC" w:rsidR="00C36DF5" w:rsidRPr="00C95463" w:rsidRDefault="000B46F1" w:rsidP="000B46F1">
      <w:pPr>
        <w:widowControl w:val="0"/>
        <w:tabs>
          <w:tab w:val="left" w:pos="567"/>
        </w:tabs>
        <w:suppressAutoHyphens/>
        <w:adjustRightInd w:val="0"/>
        <w:spacing w:line="0" w:lineRule="atLeast"/>
        <w:jc w:val="both"/>
        <w:rPr>
          <w:szCs w:val="20"/>
          <w:lang w:val="es-ES" w:eastAsia="es-CR"/>
        </w:rPr>
      </w:pPr>
      <w:r>
        <w:rPr>
          <w:szCs w:val="20"/>
          <w:lang w:val="es-ES" w:eastAsia="es-CR"/>
        </w:rPr>
        <w:t>E</w:t>
      </w:r>
      <w:r w:rsidR="00C36DF5">
        <w:rPr>
          <w:szCs w:val="20"/>
          <w:lang w:val="es-ES" w:eastAsia="es-CR"/>
        </w:rPr>
        <w:t xml:space="preserve">l señor Flor Freire apeló dicha decisión, </w:t>
      </w:r>
      <w:r>
        <w:rPr>
          <w:szCs w:val="20"/>
          <w:lang w:val="es-ES" w:eastAsia="es-CR"/>
        </w:rPr>
        <w:t>pero el 4 de febrero de 2002</w:t>
      </w:r>
      <w:r w:rsidR="00C36DF5" w:rsidRPr="000E619D">
        <w:rPr>
          <w:szCs w:val="20"/>
          <w:lang w:val="es-ES" w:eastAsia="es-CR"/>
        </w:rPr>
        <w:t xml:space="preserve"> la Segunda Sala del Tribunal Constitucional declaró improcedente el r</w:t>
      </w:r>
      <w:r w:rsidR="00C36DF5">
        <w:rPr>
          <w:szCs w:val="20"/>
          <w:lang w:val="es-ES" w:eastAsia="es-CR"/>
        </w:rPr>
        <w:t xml:space="preserve">ecurso. </w:t>
      </w:r>
      <w:r w:rsidR="00D6208D">
        <w:rPr>
          <w:szCs w:val="20"/>
          <w:lang w:val="es-ES" w:eastAsia="es-CR"/>
        </w:rPr>
        <w:t>Dicho</w:t>
      </w:r>
      <w:r w:rsidR="00C36DF5">
        <w:rPr>
          <w:szCs w:val="20"/>
          <w:lang w:val="es-ES" w:eastAsia="es-CR"/>
        </w:rPr>
        <w:t xml:space="preserve"> Tribunal consideró</w:t>
      </w:r>
      <w:r w:rsidR="00C7346A">
        <w:rPr>
          <w:szCs w:val="20"/>
          <w:lang w:val="es-ES" w:eastAsia="es-CR"/>
        </w:rPr>
        <w:t xml:space="preserve">, </w:t>
      </w:r>
      <w:r w:rsidR="00C7346A" w:rsidRPr="00C7346A">
        <w:rPr>
          <w:i/>
          <w:szCs w:val="20"/>
          <w:lang w:val="es-ES" w:eastAsia="es-CR"/>
        </w:rPr>
        <w:t xml:space="preserve">inter </w:t>
      </w:r>
      <w:proofErr w:type="spellStart"/>
      <w:r w:rsidR="00C7346A" w:rsidRPr="00C7346A">
        <w:rPr>
          <w:i/>
          <w:szCs w:val="20"/>
          <w:lang w:val="es-ES" w:eastAsia="es-CR"/>
        </w:rPr>
        <w:t>alia</w:t>
      </w:r>
      <w:proofErr w:type="spellEnd"/>
      <w:r w:rsidR="00C7346A">
        <w:rPr>
          <w:szCs w:val="20"/>
          <w:lang w:val="es-ES" w:eastAsia="es-CR"/>
        </w:rPr>
        <w:t>,</w:t>
      </w:r>
      <w:r w:rsidR="00C36DF5" w:rsidRPr="000E619D">
        <w:rPr>
          <w:szCs w:val="20"/>
          <w:lang w:val="es-ES" w:eastAsia="es-CR"/>
        </w:rPr>
        <w:t xml:space="preserve"> que la decisión del Juzgado de Derecho dentro del proceso de información sumaria se sustentó en el principio de legalidad establecido </w:t>
      </w:r>
      <w:r w:rsidR="00C36DF5">
        <w:rPr>
          <w:szCs w:val="20"/>
          <w:lang w:val="es-ES" w:eastAsia="es-CR"/>
        </w:rPr>
        <w:t>en</w:t>
      </w:r>
      <w:r w:rsidR="00221658">
        <w:rPr>
          <w:szCs w:val="20"/>
          <w:lang w:val="es-ES" w:eastAsia="es-CR"/>
        </w:rPr>
        <w:t xml:space="preserve"> el artículo </w:t>
      </w:r>
      <w:r w:rsidR="00C36DF5">
        <w:rPr>
          <w:szCs w:val="20"/>
          <w:lang w:val="es-ES" w:eastAsia="es-CR"/>
        </w:rPr>
        <w:t>119 de</w:t>
      </w:r>
      <w:r w:rsidR="00C36DF5" w:rsidRPr="000E619D">
        <w:rPr>
          <w:szCs w:val="20"/>
          <w:lang w:val="es-ES" w:eastAsia="es-CR"/>
        </w:rPr>
        <w:t xml:space="preserve"> la Constitución ecuatoriana, en concordancia con su artículo 187,</w:t>
      </w:r>
      <w:r w:rsidR="00C36DF5">
        <w:rPr>
          <w:szCs w:val="20"/>
          <w:lang w:val="es-ES" w:eastAsia="es-CR"/>
        </w:rPr>
        <w:t xml:space="preserve"> que establece el</w:t>
      </w:r>
      <w:r w:rsidR="00C36DF5" w:rsidRPr="000E619D">
        <w:rPr>
          <w:szCs w:val="20"/>
          <w:lang w:val="es-ES" w:eastAsia="es-CR"/>
        </w:rPr>
        <w:t xml:space="preserve"> fuero especial </w:t>
      </w:r>
      <w:r w:rsidR="00C36DF5">
        <w:rPr>
          <w:szCs w:val="20"/>
          <w:lang w:val="es-ES" w:eastAsia="es-CR"/>
        </w:rPr>
        <w:t>para los miembros de la Fuerza Pública. De esta forma, concluyó</w:t>
      </w:r>
      <w:r w:rsidR="00C36DF5" w:rsidRPr="000E619D">
        <w:rPr>
          <w:szCs w:val="20"/>
          <w:lang w:val="es-ES" w:eastAsia="es-CR"/>
        </w:rPr>
        <w:t xml:space="preserve"> que el Juzgado de Derecho no incurrió en un acto ilegítimo al dictar la decisión del 17 de enero de 2001 y que al ser este el “acto administrativo” que se impugnaba, no se había logrado demostrar una violación constitucional en perjuicio del señor Flor Freire.</w:t>
      </w:r>
    </w:p>
    <w:p w14:paraId="3AA3B2F4" w14:textId="77777777" w:rsidR="00C36DF5" w:rsidRDefault="00C36DF5" w:rsidP="00C36DF5">
      <w:pPr>
        <w:pStyle w:val="PrrafodeSentencia"/>
        <w:spacing w:before="0" w:after="0"/>
        <w:ind w:firstLine="0"/>
        <w:rPr>
          <w:lang w:val="es-ES"/>
        </w:rPr>
      </w:pPr>
    </w:p>
    <w:p w14:paraId="303E31DE" w14:textId="4AFF0778" w:rsidR="00230ACA" w:rsidRPr="00B901D9" w:rsidRDefault="00D6208D" w:rsidP="00230ACA">
      <w:pPr>
        <w:widowControl w:val="0"/>
        <w:tabs>
          <w:tab w:val="left" w:pos="567"/>
        </w:tabs>
        <w:suppressAutoHyphens/>
        <w:adjustRightInd w:val="0"/>
        <w:spacing w:line="0" w:lineRule="atLeast"/>
        <w:jc w:val="both"/>
        <w:rPr>
          <w:szCs w:val="20"/>
          <w:lang w:val="es-ES" w:eastAsia="es-CR"/>
        </w:rPr>
      </w:pPr>
      <w:r>
        <w:rPr>
          <w:szCs w:val="20"/>
          <w:lang w:val="es-ES" w:eastAsia="es-CR"/>
        </w:rPr>
        <w:t xml:space="preserve">El señor Flor Freire </w:t>
      </w:r>
      <w:r w:rsidR="00230ACA" w:rsidRPr="000E619D">
        <w:rPr>
          <w:szCs w:val="20"/>
          <w:lang w:val="es-ES" w:eastAsia="es-CR"/>
        </w:rPr>
        <w:t>permaneció en servicio activo dentro de la Fuerza Terrestre ecuatoriana hasta el 18 de enero de 2002, fecha en la cual se hizo efectiva la baja</w:t>
      </w:r>
      <w:r w:rsidR="00127C78">
        <w:rPr>
          <w:szCs w:val="20"/>
          <w:lang w:val="es-ES" w:eastAsia="es-CR"/>
        </w:rPr>
        <w:t>,</w:t>
      </w:r>
      <w:r w:rsidR="00230ACA" w:rsidRPr="000E619D">
        <w:rPr>
          <w:szCs w:val="20"/>
          <w:lang w:val="es-ES" w:eastAsia="es-CR"/>
        </w:rPr>
        <w:t xml:space="preserve"> luego de seis meses en</w:t>
      </w:r>
      <w:r w:rsidR="00230ACA">
        <w:rPr>
          <w:szCs w:val="20"/>
          <w:lang w:val="es-ES" w:eastAsia="es-CR"/>
        </w:rPr>
        <w:t xml:space="preserve"> situación de disponibilidad</w:t>
      </w:r>
      <w:r w:rsidR="00230ACA" w:rsidRPr="000E619D">
        <w:rPr>
          <w:szCs w:val="20"/>
          <w:lang w:val="es-ES" w:eastAsia="es-CR"/>
        </w:rPr>
        <w:t>. A partir de esta fecha</w:t>
      </w:r>
      <w:r w:rsidR="00230ACA">
        <w:rPr>
          <w:szCs w:val="20"/>
          <w:lang w:val="es-ES" w:eastAsia="es-CR"/>
        </w:rPr>
        <w:t>,</w:t>
      </w:r>
      <w:r w:rsidR="00230ACA" w:rsidRPr="000E619D">
        <w:rPr>
          <w:szCs w:val="20"/>
          <w:lang w:val="es-ES" w:eastAsia="es-CR"/>
        </w:rPr>
        <w:t xml:space="preserve"> el señor Flor Freire ha estado en servicio pasivo de acuerdo a la Ley de </w:t>
      </w:r>
      <w:r w:rsidR="00230ACA">
        <w:rPr>
          <w:szCs w:val="20"/>
          <w:lang w:val="es-ES" w:eastAsia="es-CR"/>
        </w:rPr>
        <w:t>Personal de las Fuerzas Armadas</w:t>
      </w:r>
      <w:r w:rsidR="00230ACA" w:rsidRPr="000E619D">
        <w:rPr>
          <w:szCs w:val="20"/>
          <w:lang w:val="es-ES" w:eastAsia="es-CR"/>
        </w:rPr>
        <w:t>.</w:t>
      </w:r>
    </w:p>
    <w:p w14:paraId="0771B520" w14:textId="77777777" w:rsidR="00230ACA" w:rsidRPr="00C95463" w:rsidRDefault="00230ACA" w:rsidP="00C36DF5">
      <w:pPr>
        <w:pStyle w:val="PrrafodeSentencia"/>
        <w:spacing w:before="0" w:after="0"/>
        <w:ind w:firstLine="0"/>
        <w:rPr>
          <w:lang w:val="es-ES"/>
        </w:rPr>
      </w:pPr>
    </w:p>
    <w:p w14:paraId="35150C04" w14:textId="77777777" w:rsidR="00C36DF5" w:rsidRPr="0095153D" w:rsidRDefault="00C36DF5" w:rsidP="00C36DF5">
      <w:pPr>
        <w:keepNext/>
        <w:keepLines/>
        <w:numPr>
          <w:ilvl w:val="0"/>
          <w:numId w:val="1"/>
        </w:numPr>
        <w:jc w:val="both"/>
        <w:outlineLvl w:val="1"/>
        <w:rPr>
          <w:rFonts w:eastAsia="MS Gothic"/>
          <w:b/>
          <w:bCs/>
          <w:szCs w:val="20"/>
          <w:lang w:val="es-MX" w:eastAsia="es-ES"/>
        </w:rPr>
      </w:pPr>
      <w:r w:rsidRPr="0095153D">
        <w:rPr>
          <w:rFonts w:eastAsia="MS Gothic"/>
          <w:b/>
          <w:bCs/>
          <w:szCs w:val="20"/>
          <w:lang w:val="es-MX" w:eastAsia="es-ES"/>
        </w:rPr>
        <w:lastRenderedPageBreak/>
        <w:t>Fondo</w:t>
      </w:r>
    </w:p>
    <w:p w14:paraId="3AF3907C" w14:textId="77777777" w:rsidR="00C253E1" w:rsidRPr="0095153D" w:rsidRDefault="00C253E1" w:rsidP="00C253E1">
      <w:pPr>
        <w:jc w:val="both"/>
        <w:rPr>
          <w:szCs w:val="20"/>
          <w:lang w:val="es-CR"/>
        </w:rPr>
      </w:pPr>
    </w:p>
    <w:p w14:paraId="32AF626E" w14:textId="123DE8CA" w:rsidR="008F5D36" w:rsidRPr="00DA3A57" w:rsidRDefault="00446002" w:rsidP="00C36DF5">
      <w:pPr>
        <w:pStyle w:val="Prrafodelista"/>
        <w:numPr>
          <w:ilvl w:val="0"/>
          <w:numId w:val="20"/>
        </w:numPr>
        <w:tabs>
          <w:tab w:val="left" w:pos="1418"/>
        </w:tabs>
        <w:ind w:left="1418" w:hanging="283"/>
        <w:jc w:val="both"/>
        <w:rPr>
          <w:b/>
          <w:szCs w:val="20"/>
          <w:lang w:val="es-ES_tradnl"/>
        </w:rPr>
      </w:pPr>
      <w:r w:rsidRPr="00DA3A57">
        <w:rPr>
          <w:b/>
          <w:lang w:val="es-CR"/>
        </w:rPr>
        <w:t xml:space="preserve">Derecho </w:t>
      </w:r>
      <w:r w:rsidR="00BF756B" w:rsidRPr="00DA3A57">
        <w:rPr>
          <w:b/>
          <w:lang w:val="es-CR"/>
        </w:rPr>
        <w:t xml:space="preserve">a la igualdad </w:t>
      </w:r>
      <w:r w:rsidR="00562EE3">
        <w:rPr>
          <w:b/>
          <w:lang w:val="es-CR"/>
        </w:rPr>
        <w:t xml:space="preserve">ante la ley </w:t>
      </w:r>
      <w:r w:rsidR="00BF756B" w:rsidRPr="00DA3A57">
        <w:rPr>
          <w:b/>
          <w:lang w:val="es-CR"/>
        </w:rPr>
        <w:t>y prohibición de discriminación, en relación con la obligación de respetar y garantizar los derechos y el deber de adoptar d</w:t>
      </w:r>
      <w:r w:rsidR="00562EE3">
        <w:rPr>
          <w:b/>
          <w:lang w:val="es-CR"/>
        </w:rPr>
        <w:t>isposiciones de derecho interno</w:t>
      </w:r>
      <w:r w:rsidR="008F5D36" w:rsidRPr="00DA3A57">
        <w:rPr>
          <w:b/>
          <w:szCs w:val="20"/>
          <w:lang w:val="es-ES_tradnl"/>
        </w:rPr>
        <w:t xml:space="preserve"> </w:t>
      </w:r>
      <w:bookmarkEnd w:id="16"/>
      <w:bookmarkEnd w:id="17"/>
      <w:bookmarkEnd w:id="18"/>
      <w:bookmarkEnd w:id="19"/>
    </w:p>
    <w:p w14:paraId="0D5FEC35" w14:textId="77777777" w:rsidR="008F5D36" w:rsidRDefault="008F5D36" w:rsidP="008F5D36">
      <w:pPr>
        <w:jc w:val="both"/>
        <w:rPr>
          <w:szCs w:val="20"/>
          <w:lang w:val="es-CO"/>
        </w:rPr>
      </w:pPr>
    </w:p>
    <w:p w14:paraId="537C34B0" w14:textId="6D866DCF" w:rsidR="004F76AE" w:rsidRDefault="004F76AE" w:rsidP="008F5D36">
      <w:pPr>
        <w:jc w:val="both"/>
        <w:rPr>
          <w:lang w:val="es-CR"/>
        </w:rPr>
      </w:pPr>
      <w:r>
        <w:rPr>
          <w:lang w:val="es-CR"/>
        </w:rPr>
        <w:t>De manera preliminar, l</w:t>
      </w:r>
      <w:r w:rsidR="00BF756B">
        <w:rPr>
          <w:lang w:val="es-CR"/>
        </w:rPr>
        <w:t>a Corte recordó</w:t>
      </w:r>
      <w:r w:rsidR="00BF756B" w:rsidRPr="00BF756B">
        <w:rPr>
          <w:lang w:val="es-CR"/>
        </w:rPr>
        <w:t xml:space="preserve"> que </w:t>
      </w:r>
      <w:r w:rsidR="00BF756B" w:rsidRPr="00664C3A">
        <w:rPr>
          <w:lang w:val="es-CR"/>
        </w:rPr>
        <w:t>la orientación sexual de una persona se encuentra ligada al concepto de libertad y la posibilidad de toda persona de autodeterminarse y escoger libremente las circunstancias que le dan sentido a su existencia, conforme a sus propias opciones y convicciones</w:t>
      </w:r>
      <w:r w:rsidR="00BF756B">
        <w:rPr>
          <w:lang w:val="es-CR"/>
        </w:rPr>
        <w:t>, por lo que</w:t>
      </w:r>
      <w:r w:rsidR="00BF756B" w:rsidRPr="00664C3A">
        <w:rPr>
          <w:lang w:val="es-CR"/>
        </w:rPr>
        <w:t xml:space="preserve"> la orientación sexual de una persona dependerá de cómo </w:t>
      </w:r>
      <w:r w:rsidR="00BF756B">
        <w:rPr>
          <w:lang w:val="es-CR"/>
        </w:rPr>
        <w:t>e</w:t>
      </w:r>
      <w:r w:rsidR="00BF756B" w:rsidRPr="00664C3A">
        <w:rPr>
          <w:lang w:val="es-CR"/>
        </w:rPr>
        <w:t>sta se auto</w:t>
      </w:r>
      <w:r w:rsidR="00BF756B">
        <w:rPr>
          <w:lang w:val="es-CR"/>
        </w:rPr>
        <w:t>identifique</w:t>
      </w:r>
      <w:r w:rsidR="00BF756B" w:rsidRPr="00664C3A">
        <w:rPr>
          <w:lang w:val="es-CR"/>
        </w:rPr>
        <w:t xml:space="preserve">. </w:t>
      </w:r>
      <w:r>
        <w:rPr>
          <w:lang w:val="es-CR"/>
        </w:rPr>
        <w:t xml:space="preserve">En el presente caso, </w:t>
      </w:r>
      <w:r w:rsidRPr="004F76AE">
        <w:rPr>
          <w:lang w:val="es-CR"/>
        </w:rPr>
        <w:t xml:space="preserve">el señor Flor Freire </w:t>
      </w:r>
      <w:r>
        <w:rPr>
          <w:lang w:val="es-CR"/>
        </w:rPr>
        <w:t xml:space="preserve">ha negado reiteradamente </w:t>
      </w:r>
      <w:r w:rsidRPr="004F76AE">
        <w:rPr>
          <w:lang w:val="es-CR"/>
        </w:rPr>
        <w:t>la ocurrencia del acto sexual con otro hombre y ha afirmado de manera consistente que no se identifica como homosexual</w:t>
      </w:r>
      <w:r>
        <w:rPr>
          <w:lang w:val="es-CR"/>
        </w:rPr>
        <w:t>.</w:t>
      </w:r>
      <w:r w:rsidRPr="004F76AE">
        <w:rPr>
          <w:lang w:val="es-CR"/>
        </w:rPr>
        <w:t xml:space="preserve"> </w:t>
      </w:r>
      <w:r w:rsidRPr="00664C3A">
        <w:rPr>
          <w:lang w:val="es-CR"/>
        </w:rPr>
        <w:t xml:space="preserve">Por tanto, para </w:t>
      </w:r>
      <w:r>
        <w:rPr>
          <w:lang w:val="es-CR"/>
        </w:rPr>
        <w:t xml:space="preserve">la Corte, </w:t>
      </w:r>
      <w:r w:rsidRPr="00664C3A">
        <w:rPr>
          <w:lang w:val="es-CR"/>
        </w:rPr>
        <w:t>la manera como el señor Flor Freire se identifica es lo único relevante al momento de definir su orientación sexual.</w:t>
      </w:r>
    </w:p>
    <w:p w14:paraId="54593D85" w14:textId="77777777" w:rsidR="004F76AE" w:rsidRDefault="004F76AE" w:rsidP="008F5D36">
      <w:pPr>
        <w:jc w:val="both"/>
        <w:rPr>
          <w:lang w:val="es-CR"/>
        </w:rPr>
      </w:pPr>
    </w:p>
    <w:p w14:paraId="64C88B1E" w14:textId="22E36CCD" w:rsidR="00BF756B" w:rsidRDefault="00BF756B" w:rsidP="008F5D36">
      <w:pPr>
        <w:jc w:val="both"/>
        <w:rPr>
          <w:lang w:val="es-ES"/>
        </w:rPr>
      </w:pPr>
      <w:r>
        <w:rPr>
          <w:lang w:val="es-CR"/>
        </w:rPr>
        <w:t xml:space="preserve">No obstante, </w:t>
      </w:r>
      <w:r w:rsidRPr="00664C3A">
        <w:rPr>
          <w:lang w:val="es-CR"/>
        </w:rPr>
        <w:t xml:space="preserve">a efectos de la decisión en el presente caso, </w:t>
      </w:r>
      <w:r w:rsidR="004F76AE">
        <w:rPr>
          <w:lang w:val="es-CR"/>
        </w:rPr>
        <w:t xml:space="preserve">el Tribunal advirtió que era </w:t>
      </w:r>
      <w:r>
        <w:rPr>
          <w:lang w:val="es-CR"/>
        </w:rPr>
        <w:t>necesario</w:t>
      </w:r>
      <w:r w:rsidRPr="00664C3A">
        <w:rPr>
          <w:lang w:val="es-ES"/>
        </w:rPr>
        <w:t xml:space="preserve"> dilucidar si hubo discriminación contra la presunta víctima en el proceso de separación de las fuerzas armadas en virtud de una orientación sexual diversa, fuera esta real o percibida.</w:t>
      </w:r>
    </w:p>
    <w:p w14:paraId="18A29D8D" w14:textId="77777777" w:rsidR="00F77E26" w:rsidRDefault="00F77E26" w:rsidP="00F77E26">
      <w:pPr>
        <w:pStyle w:val="PrrafodeSentencia"/>
        <w:tabs>
          <w:tab w:val="left" w:pos="567"/>
        </w:tabs>
        <w:spacing w:before="0" w:after="0"/>
        <w:ind w:firstLine="0"/>
        <w:rPr>
          <w:rFonts w:eastAsia="Times New Roman"/>
          <w:spacing w:val="0"/>
          <w:szCs w:val="24"/>
          <w:lang w:val="es-ES" w:eastAsia="en-US"/>
        </w:rPr>
      </w:pPr>
    </w:p>
    <w:p w14:paraId="705CE48A" w14:textId="4CF33A8A" w:rsidR="009A11F6" w:rsidRPr="000312DE" w:rsidRDefault="00F77E26" w:rsidP="000312DE">
      <w:pPr>
        <w:pStyle w:val="PrrafodeSentencia"/>
        <w:tabs>
          <w:tab w:val="left" w:pos="567"/>
        </w:tabs>
        <w:spacing w:before="0" w:after="0"/>
        <w:ind w:firstLine="0"/>
        <w:rPr>
          <w:lang w:val="es-CO"/>
        </w:rPr>
      </w:pPr>
      <w:r>
        <w:t xml:space="preserve">Al respecto, </w:t>
      </w:r>
      <w:r>
        <w:rPr>
          <w:lang w:val="es-CO"/>
        </w:rPr>
        <w:t xml:space="preserve">la </w:t>
      </w:r>
      <w:r w:rsidRPr="00437BE3">
        <w:rPr>
          <w:lang w:val="es-CO"/>
        </w:rPr>
        <w:t xml:space="preserve">Corte </w:t>
      </w:r>
      <w:r>
        <w:rPr>
          <w:lang w:val="es-CO"/>
        </w:rPr>
        <w:t xml:space="preserve">recordó </w:t>
      </w:r>
      <w:r w:rsidRPr="00437BE3">
        <w:rPr>
          <w:lang w:val="es-CO"/>
        </w:rPr>
        <w:t>que</w:t>
      </w:r>
      <w:r w:rsidRPr="00437BE3">
        <w:t xml:space="preserve"> la orientación sexual de las personas </w:t>
      </w:r>
      <w:r>
        <w:t>es una categoría protegida</w:t>
      </w:r>
      <w:r w:rsidRPr="00437BE3">
        <w:t xml:space="preserve"> por la Convención. En consecuencia, </w:t>
      </w:r>
      <w:r w:rsidRPr="00437BE3">
        <w:rPr>
          <w:lang w:val="es-CO"/>
        </w:rPr>
        <w:t>ninguna</w:t>
      </w:r>
      <w:r w:rsidRPr="00437BE3">
        <w:t xml:space="preserve"> norma, decisión o práctica de derecho interno, sea por parte de autoridades estatales o por particulares, pueden disminuir o restringir, de modo alguno, los derechos de una persona a partir de su orientación sexual, sea esta real o percibida</w:t>
      </w:r>
      <w:r>
        <w:t xml:space="preserve">, pues ello </w:t>
      </w:r>
      <w:r w:rsidRPr="00437BE3">
        <w:t>sería contrario a lo establecido en el artículo 1.1 de la Convención Americana.</w:t>
      </w:r>
      <w:r>
        <w:t xml:space="preserve"> </w:t>
      </w:r>
      <w:r>
        <w:rPr>
          <w:lang w:val="es-CO"/>
        </w:rPr>
        <w:t xml:space="preserve">Asimismo, </w:t>
      </w:r>
      <w:r w:rsidR="000312DE">
        <w:t>el</w:t>
      </w:r>
      <w:r w:rsidR="009A11F6" w:rsidRPr="00437BE3">
        <w:t xml:space="preserve"> Tribunal </w:t>
      </w:r>
      <w:r>
        <w:t xml:space="preserve">reiteró que ello </w:t>
      </w:r>
      <w:r w:rsidR="009A11F6" w:rsidRPr="00437BE3">
        <w:t>no se limita a la condición de homosexual en sí misma, sino que incluye su expresión y las consecuencias necesarias en el proyecto de vida de las personas. En este sentido, los actos sexuales son una manera de expresar la orientación sexual de la persona, por lo que se encuentra</w:t>
      </w:r>
      <w:r w:rsidR="009A11F6">
        <w:t>n</w:t>
      </w:r>
      <w:r w:rsidR="009A11F6" w:rsidRPr="00437BE3">
        <w:t xml:space="preserve"> protegido</w:t>
      </w:r>
      <w:r w:rsidR="009A11F6">
        <w:t>s</w:t>
      </w:r>
      <w:r w:rsidR="009A11F6" w:rsidRPr="00437BE3">
        <w:t xml:space="preserve"> dentro del mismo derecho a la no discriminación por orientación sexual</w:t>
      </w:r>
      <w:r w:rsidR="000312DE">
        <w:t>.</w:t>
      </w:r>
      <w:r w:rsidR="000312DE">
        <w:rPr>
          <w:color w:val="4F81BD" w:themeColor="accent1"/>
        </w:rPr>
        <w:t xml:space="preserve"> </w:t>
      </w:r>
    </w:p>
    <w:p w14:paraId="606143EB" w14:textId="257EFB10" w:rsidR="009A11F6" w:rsidRPr="000312DE" w:rsidRDefault="009A11F6" w:rsidP="000312DE">
      <w:pPr>
        <w:pStyle w:val="PrrafodeSentencia"/>
        <w:spacing w:before="0" w:after="0"/>
        <w:ind w:firstLine="0"/>
        <w:rPr>
          <w:szCs w:val="16"/>
          <w:lang w:val="es-CO"/>
        </w:rPr>
      </w:pPr>
      <w:r w:rsidRPr="00437BE3">
        <w:t xml:space="preserve">  </w:t>
      </w:r>
    </w:p>
    <w:p w14:paraId="6FA5E363" w14:textId="3BF255A6" w:rsidR="00CD6DB6" w:rsidRPr="00CD6DB6" w:rsidRDefault="00F77E26" w:rsidP="00CD6DB6">
      <w:pPr>
        <w:tabs>
          <w:tab w:val="left" w:pos="0"/>
        </w:tabs>
        <w:autoSpaceDE w:val="0"/>
        <w:autoSpaceDN w:val="0"/>
        <w:contextualSpacing/>
        <w:jc w:val="both"/>
        <w:rPr>
          <w:lang w:val="es-CO"/>
        </w:rPr>
      </w:pPr>
      <w:r>
        <w:rPr>
          <w:lang w:val="es-ES"/>
        </w:rPr>
        <w:t>L</w:t>
      </w:r>
      <w:r w:rsidR="00CD6DB6" w:rsidRPr="00CD6DB6">
        <w:rPr>
          <w:lang w:val="es-ES"/>
        </w:rPr>
        <w:t xml:space="preserve">a Corte constató que </w:t>
      </w:r>
      <w:r>
        <w:rPr>
          <w:lang w:val="es-CO"/>
        </w:rPr>
        <w:t>e</w:t>
      </w:r>
      <w:r w:rsidRPr="00641BB5">
        <w:rPr>
          <w:lang w:val="es-CO"/>
        </w:rPr>
        <w:t xml:space="preserve">l Reglamento de Disciplina Militar </w:t>
      </w:r>
      <w:r>
        <w:rPr>
          <w:lang w:val="es-CO"/>
        </w:rPr>
        <w:t>vigente a la fecha de los hechos regulaba de dos maneras distintas la comisión de actos sexuales</w:t>
      </w:r>
      <w:r w:rsidRPr="00F77E26">
        <w:rPr>
          <w:lang w:val="es-CO"/>
        </w:rPr>
        <w:t xml:space="preserve"> </w:t>
      </w:r>
      <w:r w:rsidRPr="00664C3A">
        <w:rPr>
          <w:lang w:val="es-CO"/>
        </w:rPr>
        <w:t>en el marco de las fuerzas armadas</w:t>
      </w:r>
      <w:r>
        <w:rPr>
          <w:lang w:val="es-CO"/>
        </w:rPr>
        <w:t xml:space="preserve">. </w:t>
      </w:r>
      <w:r w:rsidR="004D273A">
        <w:rPr>
          <w:lang w:val="es-CO"/>
        </w:rPr>
        <w:t xml:space="preserve">Por un lado, el artículo </w:t>
      </w:r>
      <w:r w:rsidR="004D273A" w:rsidRPr="00CD6DB6">
        <w:rPr>
          <w:lang w:val="es-ES"/>
        </w:rPr>
        <w:t>67 del Re</w:t>
      </w:r>
      <w:r w:rsidR="004D273A">
        <w:rPr>
          <w:lang w:val="es-ES"/>
        </w:rPr>
        <w:t xml:space="preserve">glamento de Disciplina Militar regulaba </w:t>
      </w:r>
      <w:r w:rsidR="00CD6DB6" w:rsidRPr="00CD6DB6">
        <w:rPr>
          <w:lang w:val="es-ES"/>
        </w:rPr>
        <w:t xml:space="preserve">los “actos sexuales ilegítimos”, </w:t>
      </w:r>
      <w:r w:rsidR="004D273A">
        <w:rPr>
          <w:lang w:val="es-ES"/>
        </w:rPr>
        <w:t xml:space="preserve">entre los cuales estaban </w:t>
      </w:r>
      <w:r w:rsidR="004D273A">
        <w:rPr>
          <w:lang w:val="es-CO"/>
        </w:rPr>
        <w:t xml:space="preserve">los </w:t>
      </w:r>
      <w:r w:rsidR="004D273A" w:rsidRPr="00437BE3">
        <w:rPr>
          <w:lang w:val="es-CO"/>
        </w:rPr>
        <w:t xml:space="preserve">actos </w:t>
      </w:r>
      <w:r w:rsidR="004D273A">
        <w:rPr>
          <w:lang w:val="es-CO"/>
        </w:rPr>
        <w:t xml:space="preserve">sexuales </w:t>
      </w:r>
      <w:r w:rsidR="004D273A" w:rsidRPr="00437BE3">
        <w:rPr>
          <w:lang w:val="es-CO"/>
        </w:rPr>
        <w:t>no homosexuales</w:t>
      </w:r>
      <w:r w:rsidR="004D273A">
        <w:rPr>
          <w:lang w:val="es-CO"/>
        </w:rPr>
        <w:t>,</w:t>
      </w:r>
      <w:r w:rsidR="004D273A" w:rsidRPr="00CD6DB6">
        <w:rPr>
          <w:lang w:val="es-ES"/>
        </w:rPr>
        <w:t xml:space="preserve"> </w:t>
      </w:r>
      <w:r w:rsidR="00CD6DB6" w:rsidRPr="00CD6DB6">
        <w:rPr>
          <w:lang w:val="es-ES"/>
        </w:rPr>
        <w:t xml:space="preserve">y </w:t>
      </w:r>
      <w:r w:rsidR="004D273A">
        <w:rPr>
          <w:lang w:val="es-ES"/>
        </w:rPr>
        <w:t xml:space="preserve">el artículo 117 </w:t>
      </w:r>
      <w:r w:rsidR="004D273A" w:rsidRPr="00CD6DB6">
        <w:rPr>
          <w:lang w:val="es-ES"/>
        </w:rPr>
        <w:t xml:space="preserve">del mismo Reglamento </w:t>
      </w:r>
      <w:r w:rsidR="004D273A">
        <w:rPr>
          <w:lang w:val="es-ES"/>
        </w:rPr>
        <w:t xml:space="preserve">regulaba </w:t>
      </w:r>
      <w:r w:rsidR="00CD6DB6" w:rsidRPr="00CD6DB6">
        <w:rPr>
          <w:lang w:val="es-ES"/>
        </w:rPr>
        <w:t xml:space="preserve">los “actos de homosexualismo”, </w:t>
      </w:r>
      <w:r w:rsidR="004D273A">
        <w:rPr>
          <w:lang w:val="es-ES"/>
        </w:rPr>
        <w:t xml:space="preserve">entre los cuales se incluían </w:t>
      </w:r>
      <w:r w:rsidR="004D273A" w:rsidRPr="000445C1">
        <w:rPr>
          <w:lang w:val="es-CO"/>
        </w:rPr>
        <w:t>los actos sexuales homosexuales</w:t>
      </w:r>
      <w:r w:rsidR="004D273A">
        <w:rPr>
          <w:lang w:val="es-CO"/>
        </w:rPr>
        <w:t>.</w:t>
      </w:r>
      <w:r w:rsidR="004D273A" w:rsidRPr="000445C1">
        <w:rPr>
          <w:lang w:val="es-CO"/>
        </w:rPr>
        <w:t xml:space="preserve"> </w:t>
      </w:r>
      <w:r w:rsidR="004D273A">
        <w:rPr>
          <w:lang w:val="es-CO"/>
        </w:rPr>
        <w:t xml:space="preserve">Se demostró en el caso que </w:t>
      </w:r>
      <w:r w:rsidR="004D273A" w:rsidRPr="00CD6DB6">
        <w:rPr>
          <w:lang w:val="es-ES"/>
        </w:rPr>
        <w:t xml:space="preserve">existía una diferencia de trato </w:t>
      </w:r>
      <w:r w:rsidR="00CD6DB6" w:rsidRPr="00CD6DB6">
        <w:rPr>
          <w:lang w:val="es-ES"/>
        </w:rPr>
        <w:t>en</w:t>
      </w:r>
      <w:r w:rsidR="004D273A">
        <w:rPr>
          <w:lang w:val="es-ES"/>
        </w:rPr>
        <w:t>tre ambos supuestos, en</w:t>
      </w:r>
      <w:r w:rsidR="00CD6DB6" w:rsidRPr="00CD6DB6">
        <w:rPr>
          <w:lang w:val="es-ES"/>
        </w:rPr>
        <w:t xml:space="preserve"> dos sentidos</w:t>
      </w:r>
      <w:r w:rsidR="00AD32C9">
        <w:rPr>
          <w:lang w:val="es-ES"/>
        </w:rPr>
        <w:t xml:space="preserve"> principalmente</w:t>
      </w:r>
      <w:r w:rsidR="00CD6DB6" w:rsidRPr="00CD6DB6">
        <w:rPr>
          <w:lang w:val="es-ES"/>
        </w:rPr>
        <w:t xml:space="preserve">: (i) respecto de la gravedad de la sanción, pues la sanción para los “actos sexuales ilegítimos” oscilaba entre 10 días de arresto y 30 días de suspensión, mientras que la sanción para los “actos de homosexualidad” era la baja del oficial, y (ii) respecto del alcance de la conducta sancionada, pues los actos sexuales ilegítimos eran sancionados si eran cometidos “en el interior de repartos militares”, mientras que los “actos de homosexualismo” eran sancionados incluso si eran realizados fuera del servicio. </w:t>
      </w:r>
    </w:p>
    <w:p w14:paraId="0A0BFBC3" w14:textId="77777777" w:rsidR="009A11F6" w:rsidRPr="00CD6DB6" w:rsidRDefault="009A11F6" w:rsidP="000312DE">
      <w:pPr>
        <w:tabs>
          <w:tab w:val="left" w:pos="0"/>
        </w:tabs>
        <w:autoSpaceDE w:val="0"/>
        <w:autoSpaceDN w:val="0"/>
        <w:contextualSpacing/>
        <w:jc w:val="both"/>
        <w:rPr>
          <w:lang w:val="es-CO"/>
        </w:rPr>
      </w:pPr>
    </w:p>
    <w:p w14:paraId="5961717A" w14:textId="4DFEB43A" w:rsidR="00D37B84" w:rsidRPr="00D37B84" w:rsidRDefault="00CD6DB6" w:rsidP="00D37B84">
      <w:pPr>
        <w:tabs>
          <w:tab w:val="left" w:pos="0"/>
        </w:tabs>
        <w:autoSpaceDE w:val="0"/>
        <w:autoSpaceDN w:val="0"/>
        <w:contextualSpacing/>
        <w:jc w:val="both"/>
        <w:rPr>
          <w:lang w:val="es-ES"/>
        </w:rPr>
      </w:pPr>
      <w:bookmarkStart w:id="20" w:name="_Ref453716165"/>
      <w:r>
        <w:rPr>
          <w:lang w:val="es-CR"/>
        </w:rPr>
        <w:t>Tomando en cuenta</w:t>
      </w:r>
      <w:r w:rsidR="00127C78" w:rsidRPr="00127C78">
        <w:rPr>
          <w:lang w:val="es-CR"/>
        </w:rPr>
        <w:t xml:space="preserve"> </w:t>
      </w:r>
      <w:r w:rsidR="00127C78">
        <w:rPr>
          <w:lang w:val="es-CR"/>
        </w:rPr>
        <w:t>lo anterior</w:t>
      </w:r>
      <w:r>
        <w:rPr>
          <w:lang w:val="es-CR"/>
        </w:rPr>
        <w:t>, l</w:t>
      </w:r>
      <w:r w:rsidR="00D37B84">
        <w:rPr>
          <w:lang w:val="es-CR"/>
        </w:rPr>
        <w:t>a Corte observó que</w:t>
      </w:r>
      <w:r w:rsidR="00D37B84" w:rsidRPr="00D37B84">
        <w:rPr>
          <w:lang w:val="es-CR"/>
        </w:rPr>
        <w:t xml:space="preserve"> </w:t>
      </w:r>
      <w:r w:rsidR="00D37B84" w:rsidRPr="00D37B84">
        <w:rPr>
          <w:lang w:val="es-ES"/>
        </w:rPr>
        <w:t>las diferencias en la regulación disciplinaria evidencia</w:t>
      </w:r>
      <w:r w:rsidR="004463F4">
        <w:rPr>
          <w:lang w:val="es-ES"/>
        </w:rPr>
        <w:t>ban</w:t>
      </w:r>
      <w:r w:rsidR="00D37B84" w:rsidRPr="00D37B84">
        <w:rPr>
          <w:lang w:val="es-ES"/>
        </w:rPr>
        <w:t xml:space="preserve"> una distinción relacionada con la orientación sexual, categoría protegida por el artículo 1.1 de la Convención. Sin embargo,</w:t>
      </w:r>
      <w:r w:rsidR="00D37B84" w:rsidRPr="00D37B84">
        <w:rPr>
          <w:lang w:val="es-CR"/>
        </w:rPr>
        <w:t xml:space="preserve"> Ecuador no brindó una explicación sobre la necesidad social imperiosa o la finalidad de </w:t>
      </w:r>
      <w:r w:rsidR="00127C78">
        <w:rPr>
          <w:lang w:val="es-CR"/>
        </w:rPr>
        <w:t>esta</w:t>
      </w:r>
      <w:r w:rsidR="00D37B84" w:rsidRPr="00D37B84">
        <w:rPr>
          <w:lang w:val="es-CR"/>
        </w:rPr>
        <w:t xml:space="preserve"> diferencia de trato, ni una razón para justificar esa diferenciación como un método menos lesivo para alcanzar esa finalidad. </w:t>
      </w:r>
      <w:bookmarkEnd w:id="20"/>
    </w:p>
    <w:p w14:paraId="26CAA137" w14:textId="77777777" w:rsidR="000312DE" w:rsidRDefault="000312DE" w:rsidP="000312DE">
      <w:pPr>
        <w:tabs>
          <w:tab w:val="left" w:pos="0"/>
        </w:tabs>
        <w:autoSpaceDE w:val="0"/>
        <w:autoSpaceDN w:val="0"/>
        <w:contextualSpacing/>
        <w:jc w:val="both"/>
        <w:rPr>
          <w:lang w:val="es-CR"/>
        </w:rPr>
      </w:pPr>
    </w:p>
    <w:p w14:paraId="6996BE27" w14:textId="6F32715B" w:rsidR="00AE4CF7" w:rsidRPr="00AE4CF7" w:rsidRDefault="004463F4" w:rsidP="00AE4CF7">
      <w:pPr>
        <w:tabs>
          <w:tab w:val="left" w:pos="0"/>
        </w:tabs>
        <w:autoSpaceDE w:val="0"/>
        <w:autoSpaceDN w:val="0"/>
        <w:contextualSpacing/>
        <w:jc w:val="both"/>
        <w:rPr>
          <w:lang w:val="es-CR"/>
        </w:rPr>
      </w:pPr>
      <w:r>
        <w:rPr>
          <w:lang w:val="es-CR"/>
        </w:rPr>
        <w:t>L</w:t>
      </w:r>
      <w:r w:rsidR="00CD6DB6">
        <w:rPr>
          <w:lang w:val="es-ES_tradnl"/>
        </w:rPr>
        <w:t>a Corte constató que e</w:t>
      </w:r>
      <w:r w:rsidR="00AE4CF7" w:rsidRPr="00AE4CF7">
        <w:rPr>
          <w:lang w:val="es-ES_tradnl"/>
        </w:rPr>
        <w:t xml:space="preserve">n virtud del presunto carácter homosexual de los actos por los cuales fue disciplinado el señor Flor Freire, este fue víctima </w:t>
      </w:r>
      <w:r w:rsidR="00CD6DB6">
        <w:rPr>
          <w:lang w:val="es-ES_tradnl"/>
        </w:rPr>
        <w:t>de una</w:t>
      </w:r>
      <w:r w:rsidR="00AE4CF7" w:rsidRPr="00AE4CF7">
        <w:rPr>
          <w:lang w:val="es-ES_tradnl"/>
        </w:rPr>
        <w:t xml:space="preserve"> diferencia de trato</w:t>
      </w:r>
      <w:r w:rsidR="00CD6DB6">
        <w:rPr>
          <w:lang w:val="es-ES_tradnl"/>
        </w:rPr>
        <w:t xml:space="preserve"> </w:t>
      </w:r>
      <w:r w:rsidR="00840A7B">
        <w:rPr>
          <w:lang w:val="es-ES_tradnl"/>
        </w:rPr>
        <w:t>por</w:t>
      </w:r>
      <w:r w:rsidR="00CD6DB6" w:rsidRPr="00AE4CF7">
        <w:rPr>
          <w:lang w:val="es-ES"/>
        </w:rPr>
        <w:t xml:space="preserve"> la regulación</w:t>
      </w:r>
      <w:r w:rsidR="00840A7B">
        <w:rPr>
          <w:lang w:val="es-ES"/>
        </w:rPr>
        <w:t xml:space="preserve"> diferenciada</w:t>
      </w:r>
      <w:r w:rsidR="00CD6DB6" w:rsidRPr="00AE4CF7">
        <w:rPr>
          <w:lang w:val="es-ES"/>
        </w:rPr>
        <w:t xml:space="preserve"> aplicable a los “actos sexuales ilegítimos” y los “actos de homosexualismo”</w:t>
      </w:r>
      <w:r w:rsidR="00AE4CF7" w:rsidRPr="00AE4CF7">
        <w:rPr>
          <w:lang w:val="es-ES_tradnl"/>
        </w:rPr>
        <w:t xml:space="preserve">. </w:t>
      </w:r>
      <w:r w:rsidR="0008359A">
        <w:rPr>
          <w:lang w:val="es-ES_tradnl"/>
        </w:rPr>
        <w:t>Subrayó que l</w:t>
      </w:r>
      <w:r w:rsidR="00AE4CF7" w:rsidRPr="00AE4CF7">
        <w:rPr>
          <w:lang w:val="es-ES_tradnl"/>
        </w:rPr>
        <w:t>a comisión de actos sexuales no homosexuales, al interior de las instalaciones militares, no hubiera acarreado la baja del señor Flor Freire</w:t>
      </w:r>
      <w:r w:rsidR="00840A7B">
        <w:rPr>
          <w:lang w:val="es-ES_tradnl"/>
        </w:rPr>
        <w:t>, sino hubiera resultado en</w:t>
      </w:r>
      <w:r w:rsidR="00AE4CF7" w:rsidRPr="00AE4CF7">
        <w:rPr>
          <w:lang w:val="es-ES_tradnl"/>
        </w:rPr>
        <w:t xml:space="preserve"> un </w:t>
      </w:r>
      <w:r w:rsidR="00AE4CF7" w:rsidRPr="00AE4CF7">
        <w:rPr>
          <w:lang w:val="es-ES_tradnl"/>
        </w:rPr>
        <w:lastRenderedPageBreak/>
        <w:t xml:space="preserve">arresto de 15 días o una suspensión de 30 días. </w:t>
      </w:r>
      <w:r w:rsidR="00CA7EA2">
        <w:rPr>
          <w:lang w:val="es-ES_tradnl"/>
        </w:rPr>
        <w:t>Sin embargo</w:t>
      </w:r>
      <w:r w:rsidR="00AE4CF7" w:rsidRPr="00AE4CF7">
        <w:rPr>
          <w:lang w:val="es-ES_tradnl"/>
        </w:rPr>
        <w:t>, en virtud de la orientación sexual que le fue imputada, el señor Flor Freire fue separado de las fuerzas armadas ecuatorianas, sin que el Estado haya cumplido con su carga argumentativa y probatoria, presentando una justificación objetiva y razonable que sustente dicha diferencia de trato.</w:t>
      </w:r>
    </w:p>
    <w:p w14:paraId="5F0A29F3" w14:textId="77777777" w:rsidR="00840A7B" w:rsidRDefault="00840A7B" w:rsidP="00840A7B">
      <w:pPr>
        <w:tabs>
          <w:tab w:val="left" w:pos="0"/>
        </w:tabs>
        <w:autoSpaceDE w:val="0"/>
        <w:autoSpaceDN w:val="0"/>
        <w:contextualSpacing/>
        <w:jc w:val="both"/>
        <w:rPr>
          <w:lang w:val="es-ES_tradnl"/>
        </w:rPr>
      </w:pPr>
    </w:p>
    <w:p w14:paraId="428D66AF" w14:textId="4B27D754" w:rsidR="00AE4CF7" w:rsidRDefault="00C253E1" w:rsidP="00C253E1">
      <w:pPr>
        <w:tabs>
          <w:tab w:val="left" w:pos="0"/>
        </w:tabs>
        <w:autoSpaceDE w:val="0"/>
        <w:autoSpaceDN w:val="0"/>
        <w:contextualSpacing/>
        <w:jc w:val="both"/>
        <w:rPr>
          <w:lang w:val="es-CR"/>
        </w:rPr>
      </w:pPr>
      <w:r>
        <w:rPr>
          <w:lang w:val="es-ES_tradnl"/>
        </w:rPr>
        <w:t>En consecuencia,</w:t>
      </w:r>
      <w:r>
        <w:rPr>
          <w:lang w:val="es-CR"/>
        </w:rPr>
        <w:t xml:space="preserve"> el Tribunal concluyó</w:t>
      </w:r>
      <w:r w:rsidR="00840A7B" w:rsidRPr="00840A7B">
        <w:rPr>
          <w:lang w:val="es-CR"/>
        </w:rPr>
        <w:t xml:space="preserve"> que la aplicación al señor Flor Freire del artículo 117 del Reglamento de Disciplina Militar, que sancionaba de forma más gravosa los “actos de homosexualismo”, con</w:t>
      </w:r>
      <w:r>
        <w:rPr>
          <w:lang w:val="es-CR"/>
        </w:rPr>
        <w:t>stituyó un acto discriminatorio, por lo que</w:t>
      </w:r>
      <w:r w:rsidR="00840A7B" w:rsidRPr="00840A7B">
        <w:rPr>
          <w:lang w:val="es-CR"/>
        </w:rPr>
        <w:t xml:space="preserve"> el Estado e</w:t>
      </w:r>
      <w:r w:rsidR="004463F4">
        <w:rPr>
          <w:lang w:val="es-CR"/>
        </w:rPr>
        <w:t>ra</w:t>
      </w:r>
      <w:r w:rsidR="00840A7B" w:rsidRPr="00840A7B">
        <w:rPr>
          <w:lang w:val="es-CR"/>
        </w:rPr>
        <w:t xml:space="preserve"> responsable por la violación </w:t>
      </w:r>
      <w:r w:rsidR="004463F4">
        <w:rPr>
          <w:lang w:val="es-CR"/>
        </w:rPr>
        <w:t xml:space="preserve">del </w:t>
      </w:r>
      <w:r w:rsidR="00840A7B" w:rsidRPr="00840A7B">
        <w:rPr>
          <w:lang w:val="es-CR"/>
        </w:rPr>
        <w:t xml:space="preserve">derecho a la igualdad ante la ley y de la prohibición de discriminación </w:t>
      </w:r>
      <w:r w:rsidR="004463F4">
        <w:rPr>
          <w:lang w:val="es-CR"/>
        </w:rPr>
        <w:t xml:space="preserve">reconocidos </w:t>
      </w:r>
      <w:r w:rsidR="00840A7B" w:rsidRPr="00840A7B">
        <w:rPr>
          <w:lang w:val="es-CR"/>
        </w:rPr>
        <w:t xml:space="preserve">en el artículo 24 de la Convención, en relación con los artículos 1.1 y 2 de la Convención, en perjuicio del señor Flor Freire </w:t>
      </w:r>
      <w:r w:rsidR="00840A7B" w:rsidRPr="00840A7B">
        <w:rPr>
          <w:lang w:val="es-CO"/>
        </w:rPr>
        <w:t>en virtud de la discriminación sufrida por la orientación sexual percibida</w:t>
      </w:r>
      <w:r w:rsidR="00840A7B" w:rsidRPr="00840A7B">
        <w:rPr>
          <w:lang w:val="es-CR"/>
        </w:rPr>
        <w:t xml:space="preserve">.  </w:t>
      </w:r>
    </w:p>
    <w:p w14:paraId="3474A5D2" w14:textId="77777777" w:rsidR="00446002" w:rsidRPr="0095153D" w:rsidRDefault="00446002" w:rsidP="008F5D36">
      <w:pPr>
        <w:jc w:val="both"/>
        <w:rPr>
          <w:szCs w:val="20"/>
          <w:lang w:val="es-MX"/>
        </w:rPr>
      </w:pPr>
    </w:p>
    <w:p w14:paraId="72D8A789" w14:textId="399AAD4D" w:rsidR="008F5D36" w:rsidRDefault="00DA3A57" w:rsidP="008F5D36">
      <w:pPr>
        <w:pStyle w:val="Ttulo2"/>
        <w:numPr>
          <w:ilvl w:val="0"/>
          <w:numId w:val="20"/>
        </w:numPr>
        <w:ind w:left="993"/>
        <w:jc w:val="left"/>
        <w:rPr>
          <w:rFonts w:ascii="Verdana" w:hAnsi="Verdana"/>
          <w:bCs/>
          <w:spacing w:val="-4"/>
          <w:lang w:val="es-CO"/>
        </w:rPr>
      </w:pPr>
      <w:bookmarkStart w:id="21" w:name="_Toc427932806"/>
      <w:bookmarkStart w:id="22" w:name="_Toc431584647"/>
      <w:bookmarkStart w:id="23" w:name="_Toc431834665"/>
      <w:r>
        <w:rPr>
          <w:rFonts w:ascii="Verdana" w:hAnsi="Verdana"/>
          <w:bCs/>
          <w:spacing w:val="-4"/>
          <w:lang w:val="es-CO"/>
        </w:rPr>
        <w:t>Principio de legalidad y protección de la honra y de la dignidad, en relación con la obligación de respetar y garantizar los derechos</w:t>
      </w:r>
    </w:p>
    <w:p w14:paraId="0EDFC524" w14:textId="77777777" w:rsidR="00DA3A57" w:rsidRPr="00DA3A57" w:rsidRDefault="00DA3A57" w:rsidP="00DA3A57">
      <w:pPr>
        <w:rPr>
          <w:lang w:val="es-CO" w:eastAsia="es-MX"/>
        </w:rPr>
      </w:pPr>
    </w:p>
    <w:bookmarkEnd w:id="21"/>
    <w:bookmarkEnd w:id="22"/>
    <w:bookmarkEnd w:id="23"/>
    <w:p w14:paraId="7DF737CA" w14:textId="74D8EEE7" w:rsidR="00DA3A57" w:rsidRDefault="00DA3A57" w:rsidP="00E632A8">
      <w:pPr>
        <w:tabs>
          <w:tab w:val="left" w:pos="2128"/>
        </w:tabs>
        <w:contextualSpacing/>
        <w:jc w:val="both"/>
        <w:rPr>
          <w:lang w:val="es-ES"/>
        </w:rPr>
      </w:pPr>
      <w:r w:rsidRPr="00DA3A57">
        <w:rPr>
          <w:lang w:val="es-ES"/>
        </w:rPr>
        <w:t xml:space="preserve">En el presente caso, el representante </w:t>
      </w:r>
      <w:r w:rsidR="001E0B84">
        <w:rPr>
          <w:lang w:val="es-ES"/>
        </w:rPr>
        <w:t xml:space="preserve">alegó </w:t>
      </w:r>
      <w:r w:rsidRPr="00DA3A57">
        <w:rPr>
          <w:lang w:val="es-ES"/>
        </w:rPr>
        <w:t>una violación del principio de legalidad con base en dos argumentos: (i) que la norma aplicada al señor Flor Freire no era de carácter legal por lo cual se incumplía con el principio de reserva legal, establecido internamente para infracciones administrativas, y (ii) que el señor Flor Freire no debía ser sancionado administrativamente por una conducta que había sido despenalizada en el Ecuador</w:t>
      </w:r>
      <w:r>
        <w:rPr>
          <w:lang w:val="es-ES"/>
        </w:rPr>
        <w:t>.</w:t>
      </w:r>
    </w:p>
    <w:p w14:paraId="7FFF3FCE" w14:textId="77777777" w:rsidR="009A1849" w:rsidRDefault="009A1849" w:rsidP="00E632A8">
      <w:pPr>
        <w:tabs>
          <w:tab w:val="left" w:pos="2128"/>
        </w:tabs>
        <w:contextualSpacing/>
        <w:jc w:val="both"/>
        <w:rPr>
          <w:lang w:val="es-CR"/>
        </w:rPr>
      </w:pPr>
    </w:p>
    <w:p w14:paraId="647D5733" w14:textId="62C8F703" w:rsidR="009A1849" w:rsidRPr="00CD4478" w:rsidRDefault="00CB4035" w:rsidP="009A1849">
      <w:pPr>
        <w:tabs>
          <w:tab w:val="left" w:pos="2128"/>
        </w:tabs>
        <w:contextualSpacing/>
        <w:jc w:val="both"/>
        <w:rPr>
          <w:lang w:val="es-CO"/>
        </w:rPr>
      </w:pPr>
      <w:r>
        <w:rPr>
          <w:lang w:val="es-CR"/>
        </w:rPr>
        <w:t>E</w:t>
      </w:r>
      <w:r w:rsidR="009A1849">
        <w:rPr>
          <w:lang w:val="es-CR"/>
        </w:rPr>
        <w:t xml:space="preserve">l Tribunal </w:t>
      </w:r>
      <w:r w:rsidR="000B74BB">
        <w:rPr>
          <w:lang w:val="es-CO"/>
        </w:rPr>
        <w:t>determinó que</w:t>
      </w:r>
      <w:r>
        <w:rPr>
          <w:lang w:val="es-CO"/>
        </w:rPr>
        <w:t>, contrario a lo alegado por el representante,</w:t>
      </w:r>
      <w:r w:rsidR="000B74BB">
        <w:rPr>
          <w:lang w:val="es-CO"/>
        </w:rPr>
        <w:t xml:space="preserve"> </w:t>
      </w:r>
      <w:r w:rsidR="009A1849" w:rsidRPr="009A1849">
        <w:rPr>
          <w:lang w:val="es-CO"/>
        </w:rPr>
        <w:t>el señor Flor Freire no fue sancionado con base exclusivame</w:t>
      </w:r>
      <w:r w:rsidR="009A1849">
        <w:rPr>
          <w:lang w:val="es-CO"/>
        </w:rPr>
        <w:t xml:space="preserve">nte en una norma reglamentaria. </w:t>
      </w:r>
      <w:r w:rsidR="000B74BB" w:rsidRPr="00CD4478">
        <w:rPr>
          <w:lang w:val="es-CO"/>
        </w:rPr>
        <w:t>Además, la Corte no encontró que el simple hecho de que la conducta sancionada fuera precisada en el Reglamento de Disciplina Militar infringiera</w:t>
      </w:r>
      <w:r w:rsidR="00CD4478" w:rsidRPr="00CD4478">
        <w:rPr>
          <w:lang w:val="es-CO"/>
        </w:rPr>
        <w:t xml:space="preserve"> el principio de legalidad, </w:t>
      </w:r>
      <w:r w:rsidR="00CD4478">
        <w:rPr>
          <w:lang w:val="es-CO"/>
        </w:rPr>
        <w:t xml:space="preserve">pues consideró </w:t>
      </w:r>
      <w:r w:rsidR="00CD4478" w:rsidRPr="00CD4478">
        <w:rPr>
          <w:lang w:val="es-CO"/>
        </w:rPr>
        <w:t>que</w:t>
      </w:r>
      <w:r w:rsidR="00CD4478">
        <w:rPr>
          <w:lang w:val="es-CO"/>
        </w:rPr>
        <w:t>,</w:t>
      </w:r>
      <w:r w:rsidR="000B74BB" w:rsidRPr="00CD4478">
        <w:rPr>
          <w:lang w:val="es-CO"/>
        </w:rPr>
        <w:t xml:space="preserve"> </w:t>
      </w:r>
      <w:r w:rsidR="009A1849" w:rsidRPr="00CD4478">
        <w:rPr>
          <w:lang w:val="es-CO"/>
        </w:rPr>
        <w:t xml:space="preserve">en materia disciplinaria sancionatoria, ciertos </w:t>
      </w:r>
      <w:r w:rsidR="009A1849" w:rsidRPr="00CD4478">
        <w:rPr>
          <w:lang w:val="es-ES_tradnl"/>
        </w:rPr>
        <w:t>conceptos abiertos o indeterminados pueden ser precisados</w:t>
      </w:r>
      <w:r w:rsidR="00127C78">
        <w:rPr>
          <w:lang w:val="es-ES_tradnl"/>
        </w:rPr>
        <w:t>,</w:t>
      </w:r>
      <w:r w:rsidR="009A1849" w:rsidRPr="00CD4478">
        <w:rPr>
          <w:lang w:val="es-ES_tradnl"/>
        </w:rPr>
        <w:t xml:space="preserve"> en cuanto a su interpretación o contenido</w:t>
      </w:r>
      <w:r w:rsidR="00127C78">
        <w:rPr>
          <w:lang w:val="es-ES_tradnl"/>
        </w:rPr>
        <w:t>,</w:t>
      </w:r>
      <w:r w:rsidR="009A1849" w:rsidRPr="00CD4478">
        <w:rPr>
          <w:lang w:val="es-ES_tradnl"/>
        </w:rPr>
        <w:t xml:space="preserve"> por vía reglamentaria o jurisprudencial para evitar la excesiva discrecionalidad en el uso de dichos supuestos.</w:t>
      </w:r>
      <w:r w:rsidR="009A1849">
        <w:rPr>
          <w:lang w:val="es-ES_tradnl"/>
        </w:rPr>
        <w:t xml:space="preserve"> </w:t>
      </w:r>
      <w:r w:rsidR="00CD4478">
        <w:rPr>
          <w:lang w:val="es-ES_tradnl"/>
        </w:rPr>
        <w:t>Por otra parte, e</w:t>
      </w:r>
      <w:r w:rsidR="009A1849">
        <w:rPr>
          <w:lang w:val="es-ES_tradnl"/>
        </w:rPr>
        <w:t xml:space="preserve">l Tribunal </w:t>
      </w:r>
      <w:r w:rsidR="000B74BB">
        <w:rPr>
          <w:lang w:val="es-ES_tradnl"/>
        </w:rPr>
        <w:t xml:space="preserve">consideró </w:t>
      </w:r>
      <w:r w:rsidR="009A1849">
        <w:rPr>
          <w:lang w:val="es-ES_tradnl"/>
        </w:rPr>
        <w:t xml:space="preserve">que el representante no </w:t>
      </w:r>
      <w:r w:rsidR="00CD4478">
        <w:rPr>
          <w:lang w:val="es-ES_tradnl"/>
        </w:rPr>
        <w:t xml:space="preserve">demostró que </w:t>
      </w:r>
      <w:r w:rsidR="00127C78">
        <w:rPr>
          <w:lang w:val="es-ES_tradnl"/>
        </w:rPr>
        <w:t xml:space="preserve">la </w:t>
      </w:r>
      <w:r w:rsidR="009A1849" w:rsidRPr="009A1849">
        <w:rPr>
          <w:lang w:val="es-CR"/>
        </w:rPr>
        <w:t>Constitución ecuatoriana de 1998</w:t>
      </w:r>
      <w:r w:rsidR="00CD4478">
        <w:rPr>
          <w:lang w:val="es-CR"/>
        </w:rPr>
        <w:t xml:space="preserve"> exigiera que </w:t>
      </w:r>
      <w:r w:rsidR="009A1849" w:rsidRPr="009A1849">
        <w:rPr>
          <w:lang w:val="es-CO"/>
        </w:rPr>
        <w:t xml:space="preserve">la infracción </w:t>
      </w:r>
      <w:r w:rsidR="00CA7EA2">
        <w:rPr>
          <w:lang w:val="es-CO"/>
        </w:rPr>
        <w:t>contenida</w:t>
      </w:r>
      <w:r w:rsidR="009A1849" w:rsidRPr="009A1849">
        <w:rPr>
          <w:lang w:val="es-CO"/>
        </w:rPr>
        <w:t xml:space="preserve"> en el artículo 117 del Reglamento de Disciplina Militar estuviera tipificada en una norma de carácter legal en sentido formal. </w:t>
      </w:r>
    </w:p>
    <w:p w14:paraId="02615672" w14:textId="1BE8A655" w:rsidR="009A1849" w:rsidRPr="009A1849" w:rsidRDefault="009A1849" w:rsidP="009A1849">
      <w:pPr>
        <w:tabs>
          <w:tab w:val="left" w:pos="2128"/>
        </w:tabs>
        <w:contextualSpacing/>
        <w:jc w:val="both"/>
        <w:rPr>
          <w:b/>
          <w:lang w:val="es-CO"/>
        </w:rPr>
      </w:pPr>
    </w:p>
    <w:p w14:paraId="421C72F5" w14:textId="3B457AAD" w:rsidR="00093A0B" w:rsidRDefault="0008359A" w:rsidP="00E632A8">
      <w:pPr>
        <w:tabs>
          <w:tab w:val="left" w:pos="2128"/>
        </w:tabs>
        <w:contextualSpacing/>
        <w:jc w:val="both"/>
        <w:rPr>
          <w:lang w:val="es-CO"/>
        </w:rPr>
      </w:pPr>
      <w:r>
        <w:rPr>
          <w:lang w:val="es-CO"/>
        </w:rPr>
        <w:t>Refiriéndose al segundo alegato del representante</w:t>
      </w:r>
      <w:r w:rsidR="00093A0B">
        <w:rPr>
          <w:lang w:val="es-CO"/>
        </w:rPr>
        <w:t xml:space="preserve">, el Tribunal </w:t>
      </w:r>
      <w:r>
        <w:rPr>
          <w:lang w:val="es-CO"/>
        </w:rPr>
        <w:t>señaló</w:t>
      </w:r>
      <w:r w:rsidR="00093A0B">
        <w:rPr>
          <w:lang w:val="es-CO"/>
        </w:rPr>
        <w:t xml:space="preserve"> que </w:t>
      </w:r>
      <w:r w:rsidR="00093A0B" w:rsidRPr="00C652E9">
        <w:rPr>
          <w:lang w:val="es-ES"/>
        </w:rPr>
        <w:t>no exist</w:t>
      </w:r>
      <w:r w:rsidR="00CD4478">
        <w:rPr>
          <w:lang w:val="es-ES"/>
        </w:rPr>
        <w:t>ía</w:t>
      </w:r>
      <w:r w:rsidR="00093A0B" w:rsidRPr="00C652E9">
        <w:rPr>
          <w:lang w:val="es-ES"/>
        </w:rPr>
        <w:t xml:space="preserve"> una obligación </w:t>
      </w:r>
      <w:r w:rsidR="00093A0B">
        <w:rPr>
          <w:lang w:val="es-ES"/>
        </w:rPr>
        <w:t xml:space="preserve">convencional </w:t>
      </w:r>
      <w:r w:rsidR="00093A0B" w:rsidRPr="00C652E9">
        <w:rPr>
          <w:lang w:val="es-ES"/>
        </w:rPr>
        <w:t xml:space="preserve">por la cual no se pueda sancionar, por vía </w:t>
      </w:r>
      <w:r w:rsidR="00093A0B">
        <w:rPr>
          <w:lang w:val="es-ES"/>
        </w:rPr>
        <w:t>disciplinaria</w:t>
      </w:r>
      <w:r w:rsidR="00093A0B" w:rsidRPr="00C652E9">
        <w:rPr>
          <w:lang w:val="es-ES"/>
        </w:rPr>
        <w:t>, conductas que no sean delitos penales.</w:t>
      </w:r>
      <w:r w:rsidR="00093A0B">
        <w:rPr>
          <w:lang w:val="es-ES"/>
        </w:rPr>
        <w:t xml:space="preserve"> </w:t>
      </w:r>
      <w:r w:rsidR="00CD4478">
        <w:rPr>
          <w:lang w:val="es-ES"/>
        </w:rPr>
        <w:t xml:space="preserve">La Corte resaltó que </w:t>
      </w:r>
      <w:r w:rsidR="00093A0B">
        <w:rPr>
          <w:lang w:val="es-ES"/>
        </w:rPr>
        <w:t xml:space="preserve">el control disciplinario y el control penal no siempre coinciden ni tienen que coincidir. </w:t>
      </w:r>
      <w:r w:rsidR="00093A0B">
        <w:rPr>
          <w:lang w:val="es-CR"/>
        </w:rPr>
        <w:t xml:space="preserve">Por tanto, consideró </w:t>
      </w:r>
      <w:r w:rsidR="00093A0B" w:rsidRPr="00093A0B">
        <w:rPr>
          <w:lang w:val="es-CR"/>
        </w:rPr>
        <w:t xml:space="preserve">que la despenalización del “delito de homosexualismo” en el Ecuador </w:t>
      </w:r>
      <w:r w:rsidR="00CD4478">
        <w:rPr>
          <w:lang w:val="es-CR"/>
        </w:rPr>
        <w:t xml:space="preserve">no </w:t>
      </w:r>
      <w:r w:rsidR="00093A0B" w:rsidRPr="00093A0B">
        <w:rPr>
          <w:lang w:val="es-CR"/>
        </w:rPr>
        <w:t>implica</w:t>
      </w:r>
      <w:r w:rsidR="00CD4478">
        <w:rPr>
          <w:lang w:val="es-CR"/>
        </w:rPr>
        <w:t>ba</w:t>
      </w:r>
      <w:r w:rsidR="00093A0B" w:rsidRPr="00093A0B">
        <w:rPr>
          <w:lang w:val="es-CR"/>
        </w:rPr>
        <w:t xml:space="preserve"> que el señor Flor Freire no pudiera ser sancionado disciplinariamente por presuntamente </w:t>
      </w:r>
      <w:r w:rsidR="00CD4478">
        <w:rPr>
          <w:lang w:val="es-CR"/>
        </w:rPr>
        <w:t xml:space="preserve">cometer </w:t>
      </w:r>
      <w:r w:rsidR="00093A0B" w:rsidRPr="00093A0B">
        <w:rPr>
          <w:lang w:val="es-CR"/>
        </w:rPr>
        <w:t xml:space="preserve">actos </w:t>
      </w:r>
      <w:r w:rsidR="00CA7EA2">
        <w:rPr>
          <w:lang w:val="es-CR"/>
        </w:rPr>
        <w:t>sexuales</w:t>
      </w:r>
      <w:r w:rsidR="00093A0B" w:rsidRPr="00093A0B">
        <w:rPr>
          <w:lang w:val="es-CR"/>
        </w:rPr>
        <w:t xml:space="preserve"> </w:t>
      </w:r>
      <w:r w:rsidR="00CD4478" w:rsidRPr="00CD4478">
        <w:rPr>
          <w:lang w:val="es-CR"/>
        </w:rPr>
        <w:t xml:space="preserve">homosexuales </w:t>
      </w:r>
      <w:r w:rsidR="00093A0B" w:rsidRPr="00093A0B">
        <w:rPr>
          <w:lang w:val="es-CR"/>
        </w:rPr>
        <w:t xml:space="preserve">dentro de </w:t>
      </w:r>
      <w:r w:rsidR="00093A0B" w:rsidRPr="00C652E9">
        <w:rPr>
          <w:lang w:val="es-CO"/>
        </w:rPr>
        <w:t>las instalaciones militares</w:t>
      </w:r>
      <w:r w:rsidR="00CA7EA2">
        <w:rPr>
          <w:lang w:val="es-CO"/>
        </w:rPr>
        <w:t>.</w:t>
      </w:r>
      <w:r w:rsidR="00093A0B">
        <w:rPr>
          <w:lang w:val="es-CO"/>
        </w:rPr>
        <w:t xml:space="preserve"> Consecuentemente, la Corte </w:t>
      </w:r>
      <w:r w:rsidR="00CA7EA2">
        <w:rPr>
          <w:lang w:val="es-CO"/>
        </w:rPr>
        <w:t xml:space="preserve">concluyó que el Estado no violó </w:t>
      </w:r>
      <w:r w:rsidR="00093A0B">
        <w:rPr>
          <w:lang w:val="es-CO"/>
        </w:rPr>
        <w:t xml:space="preserve">el principio de legalidad, consagrado en el </w:t>
      </w:r>
      <w:r w:rsidR="00CD4478">
        <w:rPr>
          <w:lang w:val="es-CO"/>
        </w:rPr>
        <w:t xml:space="preserve">artículo </w:t>
      </w:r>
      <w:r w:rsidR="00093A0B">
        <w:rPr>
          <w:lang w:val="es-CO"/>
        </w:rPr>
        <w:t>9 de la Convención Americana.</w:t>
      </w:r>
    </w:p>
    <w:p w14:paraId="45B27BD6" w14:textId="77777777" w:rsidR="00093A0B" w:rsidRDefault="00093A0B" w:rsidP="00E632A8">
      <w:pPr>
        <w:tabs>
          <w:tab w:val="left" w:pos="2128"/>
        </w:tabs>
        <w:contextualSpacing/>
        <w:jc w:val="both"/>
        <w:rPr>
          <w:lang w:val="es-CO"/>
        </w:rPr>
      </w:pPr>
    </w:p>
    <w:p w14:paraId="214271CB" w14:textId="25685801" w:rsidR="0008359A" w:rsidRPr="00221658" w:rsidRDefault="00093A0B" w:rsidP="00221658">
      <w:pPr>
        <w:tabs>
          <w:tab w:val="left" w:pos="2128"/>
        </w:tabs>
        <w:contextualSpacing/>
        <w:jc w:val="both"/>
        <w:rPr>
          <w:lang w:val="es-CO"/>
        </w:rPr>
      </w:pPr>
      <w:r>
        <w:rPr>
          <w:lang w:val="es-CO"/>
        </w:rPr>
        <w:t xml:space="preserve">Con referencia </w:t>
      </w:r>
      <w:r w:rsidR="009D630C">
        <w:rPr>
          <w:lang w:val="es-CO"/>
        </w:rPr>
        <w:t>a la protección de la honra y de la dignidad,</w:t>
      </w:r>
      <w:r>
        <w:rPr>
          <w:lang w:val="es-CO"/>
        </w:rPr>
        <w:t xml:space="preserve"> </w:t>
      </w:r>
      <w:r w:rsidR="00CA7EA2">
        <w:rPr>
          <w:lang w:val="es-CO"/>
        </w:rPr>
        <w:t xml:space="preserve">la Corte </w:t>
      </w:r>
      <w:r w:rsidR="00221658">
        <w:rPr>
          <w:lang w:val="es-CO"/>
        </w:rPr>
        <w:t xml:space="preserve">determinó </w:t>
      </w:r>
      <w:r w:rsidRPr="00093A0B">
        <w:rPr>
          <w:lang w:val="es-CO"/>
        </w:rPr>
        <w:t>que, como consecuencia del proceso disciplinario desarrollado en su contra, el señor Flor Freire vio afectado su derecho a l</w:t>
      </w:r>
      <w:r w:rsidRPr="00093A0B">
        <w:rPr>
          <w:lang w:val="es-CR"/>
        </w:rPr>
        <w:t xml:space="preserve">a honra, </w:t>
      </w:r>
      <w:r w:rsidR="009D630C">
        <w:rPr>
          <w:lang w:val="es-CR"/>
        </w:rPr>
        <w:t xml:space="preserve">pues </w:t>
      </w:r>
      <w:r w:rsidR="009D630C" w:rsidRPr="00093A0B">
        <w:rPr>
          <w:lang w:val="es-CR"/>
        </w:rPr>
        <w:t>resultó lesionada su estima y valía propia</w:t>
      </w:r>
      <w:r w:rsidR="009D630C">
        <w:rPr>
          <w:lang w:val="es-CR"/>
        </w:rPr>
        <w:t xml:space="preserve"> en virtud de</w:t>
      </w:r>
      <w:r w:rsidRPr="00093A0B">
        <w:rPr>
          <w:lang w:val="es-CR"/>
        </w:rPr>
        <w:t>l contexto social en el cual se desenvolvía y las circunstancias específicas que dieron lugar a su baja de la Fuerza Terrestre.</w:t>
      </w:r>
      <w:r w:rsidR="00BD0F90">
        <w:rPr>
          <w:lang w:val="es-CR"/>
        </w:rPr>
        <w:t xml:space="preserve"> </w:t>
      </w:r>
      <w:r w:rsidRPr="00093A0B">
        <w:rPr>
          <w:lang w:val="es-CR"/>
        </w:rPr>
        <w:t>Igualmente</w:t>
      </w:r>
      <w:r w:rsidR="009D630C">
        <w:rPr>
          <w:lang w:val="es-CR"/>
        </w:rPr>
        <w:t>, este Tribunal consideró que</w:t>
      </w:r>
      <w:r w:rsidRPr="00093A0B">
        <w:rPr>
          <w:lang w:val="es-CR"/>
        </w:rPr>
        <w:t xml:space="preserve"> resultó afectada su reputación debido a que le fue impuesta una sanción disciplinaria que tenía como fundamento una normativa discriminatoria en razón de la orientación sexual, lo que acarreó una distorsión en el concept</w:t>
      </w:r>
      <w:r w:rsidR="00BD0F90">
        <w:rPr>
          <w:lang w:val="es-CR"/>
        </w:rPr>
        <w:t>o público que sobre él se tenía</w:t>
      </w:r>
      <w:r w:rsidR="009D630C">
        <w:rPr>
          <w:lang w:val="es-CR"/>
        </w:rPr>
        <w:t>. Por consiguiente,</w:t>
      </w:r>
      <w:r w:rsidR="00BD0F90">
        <w:rPr>
          <w:lang w:val="es-CR"/>
        </w:rPr>
        <w:t xml:space="preserve"> </w:t>
      </w:r>
      <w:r w:rsidR="009D630C">
        <w:rPr>
          <w:lang w:val="es-CR"/>
        </w:rPr>
        <w:t xml:space="preserve">la Corte concluyó </w:t>
      </w:r>
      <w:r w:rsidR="00BD0F90">
        <w:rPr>
          <w:lang w:val="es-CR"/>
        </w:rPr>
        <w:t xml:space="preserve">que </w:t>
      </w:r>
      <w:r w:rsidR="009D630C">
        <w:rPr>
          <w:lang w:val="es-CR"/>
        </w:rPr>
        <w:t xml:space="preserve">el Estado era responsable de una violación </w:t>
      </w:r>
      <w:bookmarkStart w:id="24" w:name="_Ref460348725"/>
      <w:r w:rsidR="009D630C">
        <w:rPr>
          <w:lang w:val="es-CR"/>
        </w:rPr>
        <w:t xml:space="preserve">del </w:t>
      </w:r>
      <w:r w:rsidRPr="00093A0B">
        <w:rPr>
          <w:lang w:val="es-ES_tradnl"/>
        </w:rPr>
        <w:t>artículo 11.1 de la Convención, en relación con el artículo 1.1 del mismo instrumento, en perjuicio del señor Flor Freire.</w:t>
      </w:r>
      <w:bookmarkEnd w:id="24"/>
    </w:p>
    <w:p w14:paraId="763AA959" w14:textId="0D142EB3" w:rsidR="00C253E1" w:rsidRPr="00BD0F90" w:rsidRDefault="00093A0B" w:rsidP="00BD0F90">
      <w:pPr>
        <w:tabs>
          <w:tab w:val="left" w:pos="2128"/>
          <w:tab w:val="num" w:pos="12305"/>
        </w:tabs>
        <w:contextualSpacing/>
        <w:jc w:val="both"/>
        <w:rPr>
          <w:lang w:val="es-ES_tradnl"/>
        </w:rPr>
      </w:pPr>
      <w:r w:rsidRPr="00093A0B">
        <w:rPr>
          <w:lang w:val="es-ES_tradnl"/>
        </w:rPr>
        <w:t xml:space="preserve">    </w:t>
      </w:r>
    </w:p>
    <w:p w14:paraId="437FC49A" w14:textId="548941A0" w:rsidR="00C253E1" w:rsidRPr="0095153D" w:rsidRDefault="00C253E1" w:rsidP="00BD0F90">
      <w:pPr>
        <w:pStyle w:val="Ttulo2"/>
        <w:numPr>
          <w:ilvl w:val="0"/>
          <w:numId w:val="20"/>
        </w:numPr>
        <w:ind w:left="851"/>
        <w:jc w:val="both"/>
        <w:rPr>
          <w:rFonts w:ascii="Verdana" w:hAnsi="Verdana"/>
          <w:bCs/>
          <w:spacing w:val="-4"/>
          <w:lang w:val="es-ES_tradnl"/>
        </w:rPr>
      </w:pPr>
      <w:r w:rsidRPr="0095153D">
        <w:rPr>
          <w:rFonts w:ascii="Verdana" w:hAnsi="Verdana"/>
          <w:bCs/>
          <w:spacing w:val="-4"/>
          <w:lang w:val="es-CO"/>
        </w:rPr>
        <w:lastRenderedPageBreak/>
        <w:t xml:space="preserve">Garantías </w:t>
      </w:r>
      <w:r w:rsidR="00562EE3">
        <w:rPr>
          <w:rFonts w:ascii="Verdana" w:hAnsi="Verdana"/>
          <w:bCs/>
          <w:spacing w:val="-4"/>
          <w:lang w:val="es-CO"/>
        </w:rPr>
        <w:t>j</w:t>
      </w:r>
      <w:r w:rsidRPr="0095153D">
        <w:rPr>
          <w:rFonts w:ascii="Verdana" w:hAnsi="Verdana"/>
          <w:bCs/>
          <w:spacing w:val="-4"/>
          <w:lang w:val="es-CO"/>
        </w:rPr>
        <w:t>udicial</w:t>
      </w:r>
      <w:r>
        <w:rPr>
          <w:rFonts w:ascii="Verdana" w:hAnsi="Verdana"/>
          <w:bCs/>
          <w:spacing w:val="-4"/>
          <w:lang w:val="es-CO"/>
        </w:rPr>
        <w:t>es y</w:t>
      </w:r>
      <w:r w:rsidRPr="0095153D">
        <w:rPr>
          <w:rFonts w:ascii="Verdana" w:hAnsi="Verdana"/>
          <w:bCs/>
          <w:spacing w:val="-4"/>
          <w:lang w:val="es-CO"/>
        </w:rPr>
        <w:t xml:space="preserve"> </w:t>
      </w:r>
      <w:r w:rsidR="00562EE3">
        <w:rPr>
          <w:rFonts w:ascii="Verdana" w:hAnsi="Verdana"/>
          <w:bCs/>
          <w:spacing w:val="-4"/>
          <w:lang w:val="es-CO"/>
        </w:rPr>
        <w:t>p</w:t>
      </w:r>
      <w:r w:rsidRPr="0095153D">
        <w:rPr>
          <w:rFonts w:ascii="Verdana" w:hAnsi="Verdana"/>
          <w:bCs/>
          <w:spacing w:val="-4"/>
          <w:lang w:val="es-CO"/>
        </w:rPr>
        <w:t xml:space="preserve">rotección </w:t>
      </w:r>
      <w:r w:rsidR="00562EE3">
        <w:rPr>
          <w:rFonts w:ascii="Verdana" w:hAnsi="Verdana"/>
          <w:bCs/>
          <w:spacing w:val="-4"/>
          <w:lang w:val="es-CO"/>
        </w:rPr>
        <w:t>j</w:t>
      </w:r>
      <w:r w:rsidRPr="0095153D">
        <w:rPr>
          <w:rFonts w:ascii="Verdana" w:hAnsi="Verdana"/>
          <w:bCs/>
          <w:spacing w:val="-4"/>
          <w:lang w:val="es-CO"/>
        </w:rPr>
        <w:t xml:space="preserve">udicial, </w:t>
      </w:r>
      <w:r w:rsidRPr="0095153D">
        <w:rPr>
          <w:rFonts w:ascii="Verdana" w:hAnsi="Verdana"/>
          <w:bCs/>
          <w:spacing w:val="-4"/>
          <w:lang w:val="es-ES_tradnl"/>
        </w:rPr>
        <w:t xml:space="preserve">en relación con la obligación de respetar y garantizar los derechos </w:t>
      </w:r>
      <w:r w:rsidR="00562EE3" w:rsidRPr="00562EE3">
        <w:rPr>
          <w:rFonts w:ascii="Verdana" w:hAnsi="Verdana"/>
          <w:bCs/>
          <w:spacing w:val="-4"/>
        </w:rPr>
        <w:t>y el deber de adoptar disposiciones de derecho interno</w:t>
      </w:r>
    </w:p>
    <w:p w14:paraId="783C7122" w14:textId="77777777" w:rsidR="00C253E1" w:rsidRDefault="00C253E1" w:rsidP="008F5D36">
      <w:pPr>
        <w:jc w:val="both"/>
        <w:rPr>
          <w:szCs w:val="20"/>
          <w:lang w:val="es-MX" w:eastAsia="es-MX"/>
        </w:rPr>
      </w:pPr>
    </w:p>
    <w:p w14:paraId="5A50341C" w14:textId="039309C1" w:rsidR="0008359A" w:rsidRDefault="0008359A" w:rsidP="008F5D36">
      <w:pPr>
        <w:jc w:val="both"/>
        <w:rPr>
          <w:szCs w:val="20"/>
          <w:lang w:val="es-MX" w:eastAsia="es-MX"/>
        </w:rPr>
      </w:pPr>
      <w:r>
        <w:rPr>
          <w:szCs w:val="20"/>
          <w:lang w:val="es-MX" w:eastAsia="es-MX"/>
        </w:rPr>
        <w:t>La Comis</w:t>
      </w:r>
      <w:r w:rsidR="00424ABE">
        <w:rPr>
          <w:szCs w:val="20"/>
          <w:lang w:val="es-MX" w:eastAsia="es-MX"/>
        </w:rPr>
        <w:t>i</w:t>
      </w:r>
      <w:r>
        <w:rPr>
          <w:szCs w:val="20"/>
          <w:lang w:val="es-MX" w:eastAsia="es-MX"/>
        </w:rPr>
        <w:t xml:space="preserve">ón y el representante alegaron </w:t>
      </w:r>
      <w:r w:rsidR="00424ABE">
        <w:rPr>
          <w:szCs w:val="20"/>
          <w:lang w:val="es-MX" w:eastAsia="es-MX"/>
        </w:rPr>
        <w:t>la ausencia de imparcialidad y falta de motivación en las resoluciones del procedimiento disciplinario de información sumari</w:t>
      </w:r>
      <w:r w:rsidR="001E0B84">
        <w:rPr>
          <w:szCs w:val="20"/>
          <w:lang w:val="es-MX" w:eastAsia="es-MX"/>
        </w:rPr>
        <w:t>a</w:t>
      </w:r>
      <w:r w:rsidR="00424ABE">
        <w:rPr>
          <w:szCs w:val="20"/>
          <w:lang w:val="es-MX" w:eastAsia="es-MX"/>
        </w:rPr>
        <w:t>, así como la ausencia de un recurso efectivo.</w:t>
      </w:r>
    </w:p>
    <w:p w14:paraId="05A22C60" w14:textId="77777777" w:rsidR="00424ABE" w:rsidRDefault="00424ABE" w:rsidP="008F5D36">
      <w:pPr>
        <w:jc w:val="both"/>
        <w:rPr>
          <w:szCs w:val="20"/>
          <w:lang w:val="es-MX" w:eastAsia="es-MX"/>
        </w:rPr>
      </w:pPr>
    </w:p>
    <w:p w14:paraId="183F0A16" w14:textId="36E2BBD1" w:rsidR="00424ABE" w:rsidRDefault="003877C6" w:rsidP="00424ABE">
      <w:pPr>
        <w:pStyle w:val="PrrafodeSentencia"/>
        <w:tabs>
          <w:tab w:val="left" w:pos="567"/>
        </w:tabs>
        <w:spacing w:before="0" w:after="0"/>
        <w:ind w:firstLine="0"/>
        <w:rPr>
          <w:spacing w:val="0"/>
          <w:lang w:val="es-ES"/>
        </w:rPr>
      </w:pPr>
      <w:r>
        <w:rPr>
          <w:lang w:val="es-MX"/>
        </w:rPr>
        <w:t>L</w:t>
      </w:r>
      <w:r w:rsidR="00424ABE">
        <w:rPr>
          <w:lang w:val="es-MX"/>
        </w:rPr>
        <w:t xml:space="preserve">a Corte recordó </w:t>
      </w:r>
      <w:r>
        <w:rPr>
          <w:lang w:val="es-MX"/>
        </w:rPr>
        <w:t xml:space="preserve">que </w:t>
      </w:r>
      <w:r w:rsidR="00424ABE" w:rsidRPr="00424ABE">
        <w:rPr>
          <w:spacing w:val="0"/>
          <w:lang w:val="es-ES"/>
        </w:rPr>
        <w:t xml:space="preserve">los órganos de disciplina militar que intervinieron en el proceso contra el señor Flor Freire debían adoptar decisiones basadas en el respeto pleno a las garantías del debido proceso establecidas en el artículo 8.1 de la Convención Americana. </w:t>
      </w:r>
      <w:r>
        <w:rPr>
          <w:spacing w:val="0"/>
          <w:lang w:val="es-ES"/>
        </w:rPr>
        <w:t xml:space="preserve">Sin embargo, advirtió que, si bien </w:t>
      </w:r>
      <w:r>
        <w:t xml:space="preserve">se </w:t>
      </w:r>
      <w:r w:rsidRPr="002424A2">
        <w:t xml:space="preserve">debe cumplir con aquellas </w:t>
      </w:r>
      <w:r>
        <w:t xml:space="preserve">garantías </w:t>
      </w:r>
      <w:r w:rsidRPr="002424A2">
        <w:t>destinadas a asegurar que la decisión no sea arbitraria</w:t>
      </w:r>
      <w:r>
        <w:t>,</w:t>
      </w:r>
      <w:r>
        <w:rPr>
          <w:spacing w:val="0"/>
          <w:lang w:val="es-ES"/>
        </w:rPr>
        <w:t xml:space="preserve"> en un procedimiento disciplinario administrativo </w:t>
      </w:r>
      <w:r w:rsidRPr="002424A2">
        <w:t xml:space="preserve">no son exigibles aquellas </w:t>
      </w:r>
      <w:r>
        <w:t xml:space="preserve">garantías </w:t>
      </w:r>
      <w:r w:rsidRPr="002424A2">
        <w:t xml:space="preserve">propias de </w:t>
      </w:r>
      <w:r>
        <w:t>un órgano jurisdiccional</w:t>
      </w:r>
      <w:r w:rsidRPr="002424A2">
        <w:t>.</w:t>
      </w:r>
    </w:p>
    <w:p w14:paraId="146D08AB" w14:textId="77777777" w:rsidR="003554C1" w:rsidRPr="00424ABE" w:rsidRDefault="003554C1" w:rsidP="00424ABE">
      <w:pPr>
        <w:pStyle w:val="PrrafodeSentencia"/>
        <w:tabs>
          <w:tab w:val="left" w:pos="567"/>
        </w:tabs>
        <w:spacing w:before="0" w:after="0"/>
        <w:ind w:firstLine="0"/>
        <w:rPr>
          <w:spacing w:val="0"/>
          <w:lang w:val="es-ES_tradnl"/>
        </w:rPr>
      </w:pPr>
    </w:p>
    <w:p w14:paraId="125C49BA" w14:textId="02361083" w:rsidR="00325908" w:rsidRDefault="003877C6" w:rsidP="00CC37FA">
      <w:pPr>
        <w:widowControl w:val="0"/>
        <w:tabs>
          <w:tab w:val="left" w:pos="567"/>
        </w:tabs>
        <w:suppressAutoHyphens/>
        <w:adjustRightInd w:val="0"/>
        <w:spacing w:line="0" w:lineRule="atLeast"/>
        <w:jc w:val="both"/>
        <w:rPr>
          <w:lang w:val="es-ES" w:eastAsia="es-CR"/>
        </w:rPr>
      </w:pPr>
      <w:r>
        <w:rPr>
          <w:lang w:val="es-MX"/>
        </w:rPr>
        <w:t xml:space="preserve">Respecto a la garantía de imparcialidad, </w:t>
      </w:r>
      <w:r w:rsidR="003554C1">
        <w:rPr>
          <w:rFonts w:eastAsia="Batang"/>
          <w:szCs w:val="20"/>
          <w:lang w:val="es-ES" w:eastAsia="es-MX"/>
        </w:rPr>
        <w:t>la Corte constató</w:t>
      </w:r>
      <w:r w:rsidR="003554C1" w:rsidRPr="003554C1">
        <w:rPr>
          <w:szCs w:val="20"/>
          <w:lang w:val="es-CR" w:eastAsia="es-CR"/>
        </w:rPr>
        <w:t xml:space="preserve"> que </w:t>
      </w:r>
      <w:r w:rsidR="003554C1" w:rsidRPr="003554C1">
        <w:rPr>
          <w:szCs w:val="20"/>
          <w:lang w:val="es-ES_tradnl" w:eastAsia="es-CR"/>
        </w:rPr>
        <w:t xml:space="preserve">el Comandante de la Cuarta Zona Militar era el superior jerárquico del señor Flor Freire. </w:t>
      </w:r>
      <w:r w:rsidR="00CC37FA">
        <w:rPr>
          <w:szCs w:val="20"/>
          <w:lang w:val="es-ES_tradnl" w:eastAsia="es-CR"/>
        </w:rPr>
        <w:t xml:space="preserve">Por </w:t>
      </w:r>
      <w:r w:rsidR="006F072F">
        <w:rPr>
          <w:szCs w:val="20"/>
          <w:lang w:val="es-ES_tradnl" w:eastAsia="es-CR"/>
        </w:rPr>
        <w:t xml:space="preserve">ocupar </w:t>
      </w:r>
      <w:r w:rsidR="00CC37FA">
        <w:rPr>
          <w:szCs w:val="20"/>
          <w:lang w:val="es-ES_tradnl" w:eastAsia="es-CR"/>
        </w:rPr>
        <w:t>esta posición</w:t>
      </w:r>
      <w:r w:rsidR="003554C1" w:rsidRPr="003554C1">
        <w:rPr>
          <w:szCs w:val="20"/>
          <w:lang w:val="es-ES_tradnl" w:eastAsia="es-CR"/>
        </w:rPr>
        <w:t>,</w:t>
      </w:r>
      <w:r w:rsidR="006F072F">
        <w:rPr>
          <w:szCs w:val="20"/>
          <w:lang w:val="es-ES_tradnl" w:eastAsia="es-CR"/>
        </w:rPr>
        <w:t xml:space="preserve"> el primero</w:t>
      </w:r>
      <w:r w:rsidR="003554C1" w:rsidRPr="003554C1">
        <w:rPr>
          <w:szCs w:val="20"/>
          <w:lang w:val="es-ES_tradnl" w:eastAsia="es-CR"/>
        </w:rPr>
        <w:t xml:space="preserve"> tenía facultad de mando, respecto a su cargo y funciones, dentro de la estructura jerárquica de la Fuerza Terrestre ecuatoriana. </w:t>
      </w:r>
      <w:r w:rsidR="00325908">
        <w:rPr>
          <w:szCs w:val="20"/>
          <w:lang w:val="es-ES_tradnl" w:eastAsia="es-CR"/>
        </w:rPr>
        <w:t xml:space="preserve">En ejercicio de esta facultad, se demostró en el presente caso que el </w:t>
      </w:r>
      <w:r w:rsidR="00325908" w:rsidRPr="003554C1">
        <w:rPr>
          <w:szCs w:val="20"/>
          <w:lang w:val="es-ES_tradnl" w:eastAsia="es-CR"/>
        </w:rPr>
        <w:t>Comandante de la Cuarta Zona Militar</w:t>
      </w:r>
      <w:r w:rsidR="00325908">
        <w:rPr>
          <w:szCs w:val="20"/>
          <w:lang w:val="es-ES_tradnl" w:eastAsia="es-CR"/>
        </w:rPr>
        <w:t>,</w:t>
      </w:r>
      <w:r w:rsidR="00325908" w:rsidRPr="003554C1">
        <w:rPr>
          <w:szCs w:val="20"/>
          <w:lang w:val="es-ES_tradnl" w:eastAsia="es-CR"/>
        </w:rPr>
        <w:t xml:space="preserve"> </w:t>
      </w:r>
      <w:r w:rsidR="00325908" w:rsidRPr="003554C1">
        <w:rPr>
          <w:lang w:val="es-ES_tradnl" w:eastAsia="es-CR"/>
        </w:rPr>
        <w:t>antes de iniciarse el proce</w:t>
      </w:r>
      <w:r w:rsidR="00325908">
        <w:rPr>
          <w:lang w:val="es-ES_tradnl" w:eastAsia="es-CR"/>
        </w:rPr>
        <w:t xml:space="preserve">dimiento </w:t>
      </w:r>
      <w:r w:rsidR="00325908" w:rsidRPr="003554C1">
        <w:rPr>
          <w:lang w:val="es-ES_tradnl" w:eastAsia="es-CR"/>
        </w:rPr>
        <w:t>disciplinario</w:t>
      </w:r>
      <w:r w:rsidR="00325908">
        <w:rPr>
          <w:lang w:val="es-ES_tradnl" w:eastAsia="es-CR"/>
        </w:rPr>
        <w:t>,</w:t>
      </w:r>
      <w:r w:rsidR="00127C78">
        <w:rPr>
          <w:szCs w:val="20"/>
          <w:lang w:val="es-ES_tradnl" w:eastAsia="es-CR"/>
        </w:rPr>
        <w:t xml:space="preserve"> </w:t>
      </w:r>
      <w:r w:rsidR="00325908" w:rsidRPr="003554C1">
        <w:rPr>
          <w:lang w:val="es-ES_tradnl" w:eastAsia="es-CR"/>
        </w:rPr>
        <w:t>ordenó al señor Flor Freire “entregar funciones y responsabilidades”</w:t>
      </w:r>
      <w:r w:rsidR="00325908">
        <w:rPr>
          <w:lang w:val="es-ES_tradnl" w:eastAsia="es-CR"/>
        </w:rPr>
        <w:t xml:space="preserve"> y, una vez iniciada la investigación disciplinaria</w:t>
      </w:r>
      <w:r w:rsidR="00127C78">
        <w:rPr>
          <w:lang w:val="es-ES_tradnl" w:eastAsia="es-CR"/>
        </w:rPr>
        <w:t>,</w:t>
      </w:r>
      <w:r w:rsidR="00325908">
        <w:rPr>
          <w:lang w:val="es-ES_tradnl" w:eastAsia="es-CR"/>
        </w:rPr>
        <w:t xml:space="preserve"> pero antes que concluyera, </w:t>
      </w:r>
      <w:r w:rsidR="00325908">
        <w:rPr>
          <w:lang w:val="es-ES" w:eastAsia="es-CR"/>
        </w:rPr>
        <w:t xml:space="preserve">le requirió </w:t>
      </w:r>
      <w:r w:rsidR="00325908" w:rsidRPr="003554C1">
        <w:rPr>
          <w:lang w:val="es-ES" w:eastAsia="es-CR"/>
        </w:rPr>
        <w:t xml:space="preserve">entregar </w:t>
      </w:r>
      <w:r w:rsidR="00325908">
        <w:rPr>
          <w:lang w:val="es-ES" w:eastAsia="es-CR"/>
        </w:rPr>
        <w:t xml:space="preserve">las </w:t>
      </w:r>
      <w:r w:rsidR="00325908" w:rsidRPr="003554C1">
        <w:rPr>
          <w:lang w:val="es-ES" w:eastAsia="es-CR"/>
        </w:rPr>
        <w:t xml:space="preserve">responsabilidades a su cargo </w:t>
      </w:r>
      <w:r w:rsidR="00325908">
        <w:rPr>
          <w:lang w:val="es-ES" w:eastAsia="es-CR"/>
        </w:rPr>
        <w:t xml:space="preserve">y </w:t>
      </w:r>
      <w:r w:rsidR="00325908" w:rsidRPr="003554C1">
        <w:rPr>
          <w:lang w:val="es-ES" w:eastAsia="es-CR"/>
        </w:rPr>
        <w:t>la habitación que ocupaba</w:t>
      </w:r>
      <w:r w:rsidR="00325908">
        <w:rPr>
          <w:lang w:val="es-ES" w:eastAsia="es-CR"/>
        </w:rPr>
        <w:t xml:space="preserve">. </w:t>
      </w:r>
    </w:p>
    <w:p w14:paraId="05DAE94A" w14:textId="77777777" w:rsidR="00325908" w:rsidRDefault="00325908" w:rsidP="00CC37FA">
      <w:pPr>
        <w:widowControl w:val="0"/>
        <w:tabs>
          <w:tab w:val="left" w:pos="567"/>
        </w:tabs>
        <w:suppressAutoHyphens/>
        <w:adjustRightInd w:val="0"/>
        <w:spacing w:line="0" w:lineRule="atLeast"/>
        <w:jc w:val="both"/>
        <w:rPr>
          <w:lang w:val="es-ES" w:eastAsia="es-CR"/>
        </w:rPr>
      </w:pPr>
    </w:p>
    <w:p w14:paraId="50D1D99F" w14:textId="142671F1" w:rsidR="00FE0173" w:rsidRDefault="00325908" w:rsidP="00153037">
      <w:pPr>
        <w:widowControl w:val="0"/>
        <w:tabs>
          <w:tab w:val="left" w:pos="567"/>
        </w:tabs>
        <w:suppressAutoHyphens/>
        <w:adjustRightInd w:val="0"/>
        <w:spacing w:line="0" w:lineRule="atLeast"/>
        <w:jc w:val="both"/>
        <w:rPr>
          <w:szCs w:val="20"/>
          <w:lang w:val="es-ES_tradnl" w:eastAsia="es-CR"/>
        </w:rPr>
      </w:pPr>
      <w:r>
        <w:rPr>
          <w:lang w:val="es-ES" w:eastAsia="es-CR"/>
        </w:rPr>
        <w:t xml:space="preserve">Sin embargo, </w:t>
      </w:r>
      <w:r w:rsidR="003554C1" w:rsidRPr="003554C1">
        <w:rPr>
          <w:szCs w:val="20"/>
          <w:lang w:val="es-ES_tradnl" w:eastAsia="es-CR"/>
        </w:rPr>
        <w:t xml:space="preserve">conforme a las normas que regulaban el procedimiento disciplinario de información sumaria, </w:t>
      </w:r>
      <w:r w:rsidR="00FE0173">
        <w:rPr>
          <w:szCs w:val="20"/>
          <w:lang w:val="es-ES_tradnl" w:eastAsia="es-CR"/>
        </w:rPr>
        <w:t xml:space="preserve">también </w:t>
      </w:r>
      <w:r w:rsidR="003554C1" w:rsidRPr="003554C1">
        <w:rPr>
          <w:szCs w:val="20"/>
          <w:lang w:val="es-ES_tradnl" w:eastAsia="es-CR"/>
        </w:rPr>
        <w:t>correspondía al Comandante de la Zona actuar como</w:t>
      </w:r>
      <w:r w:rsidR="00153037">
        <w:rPr>
          <w:szCs w:val="20"/>
          <w:lang w:val="es-ES_tradnl" w:eastAsia="es-CR"/>
        </w:rPr>
        <w:t xml:space="preserve"> Juez de Derecho en el proceso,</w:t>
      </w:r>
      <w:r w:rsidR="003554C1" w:rsidRPr="003554C1">
        <w:rPr>
          <w:szCs w:val="20"/>
          <w:lang w:val="es-ES_tradnl" w:eastAsia="es-CR"/>
        </w:rPr>
        <w:t xml:space="preserve"> </w:t>
      </w:r>
      <w:r w:rsidR="00CC37FA">
        <w:rPr>
          <w:szCs w:val="20"/>
          <w:lang w:val="es-ES_tradnl" w:eastAsia="es-CR"/>
        </w:rPr>
        <w:t xml:space="preserve">establecer los hechos y </w:t>
      </w:r>
      <w:r w:rsidR="003554C1" w:rsidRPr="003554C1">
        <w:rPr>
          <w:szCs w:val="20"/>
          <w:lang w:val="es-ES_tradnl" w:eastAsia="es-CR"/>
        </w:rPr>
        <w:t>resolver</w:t>
      </w:r>
      <w:r w:rsidR="00CC37FA">
        <w:rPr>
          <w:szCs w:val="20"/>
          <w:lang w:val="es-ES_tradnl" w:eastAsia="es-CR"/>
        </w:rPr>
        <w:t>, en definitiva,</w:t>
      </w:r>
      <w:r w:rsidR="003554C1" w:rsidRPr="003554C1">
        <w:rPr>
          <w:szCs w:val="20"/>
          <w:lang w:val="es-ES_tradnl" w:eastAsia="es-CR"/>
        </w:rPr>
        <w:t xml:space="preserve"> sobre la posible responsabilidad disciplinaria de los ofici</w:t>
      </w:r>
      <w:r w:rsidR="003554C1">
        <w:rPr>
          <w:szCs w:val="20"/>
          <w:lang w:val="es-ES_tradnl" w:eastAsia="es-CR"/>
        </w:rPr>
        <w:t>ales bajo su jurisdicción.</w:t>
      </w:r>
      <w:r w:rsidR="00CC37FA">
        <w:rPr>
          <w:szCs w:val="20"/>
          <w:lang w:val="es-ES_tradnl" w:eastAsia="es-CR"/>
        </w:rPr>
        <w:t xml:space="preserve"> </w:t>
      </w:r>
      <w:r>
        <w:rPr>
          <w:szCs w:val="20"/>
          <w:lang w:val="es-ES_tradnl" w:eastAsia="es-CR"/>
        </w:rPr>
        <w:t xml:space="preserve">La Corte consideró que </w:t>
      </w:r>
      <w:r w:rsidR="00153037">
        <w:rPr>
          <w:szCs w:val="20"/>
          <w:lang w:val="es-ES_tradnl" w:eastAsia="es-CR"/>
        </w:rPr>
        <w:t>el hecho que</w:t>
      </w:r>
      <w:r w:rsidR="00CC37FA" w:rsidRPr="00CC37FA">
        <w:rPr>
          <w:szCs w:val="20"/>
          <w:lang w:val="es-ES_tradnl" w:eastAsia="es-CR"/>
        </w:rPr>
        <w:t xml:space="preserve"> </w:t>
      </w:r>
      <w:r w:rsidR="00153037">
        <w:rPr>
          <w:szCs w:val="20"/>
          <w:lang w:val="es-ES_tradnl" w:eastAsia="es-CR"/>
        </w:rPr>
        <w:t>el</w:t>
      </w:r>
      <w:r w:rsidR="00CC37FA" w:rsidRPr="00CC37FA">
        <w:rPr>
          <w:szCs w:val="20"/>
          <w:lang w:val="es-ES_tradnl" w:eastAsia="es-CR"/>
        </w:rPr>
        <w:t xml:space="preserve"> </w:t>
      </w:r>
      <w:r>
        <w:rPr>
          <w:szCs w:val="20"/>
          <w:lang w:val="es-ES_tradnl" w:eastAsia="es-CR"/>
        </w:rPr>
        <w:t xml:space="preserve">Comandante de la Cuarta Zona Militar hubiera actuado </w:t>
      </w:r>
      <w:r w:rsidR="00CC37FA" w:rsidRPr="00CC37FA">
        <w:rPr>
          <w:szCs w:val="20"/>
          <w:lang w:val="es-ES_tradnl" w:eastAsia="es-CR"/>
        </w:rPr>
        <w:t xml:space="preserve">y </w:t>
      </w:r>
      <w:r>
        <w:rPr>
          <w:szCs w:val="20"/>
          <w:lang w:val="es-ES_tradnl" w:eastAsia="es-CR"/>
        </w:rPr>
        <w:t xml:space="preserve">adoptado </w:t>
      </w:r>
      <w:r w:rsidR="00CC37FA" w:rsidRPr="00CC37FA">
        <w:rPr>
          <w:szCs w:val="20"/>
          <w:lang w:val="es-ES_tradnl" w:eastAsia="es-CR"/>
        </w:rPr>
        <w:t>decisiones previamente, en ejercicio de su facultad de mando</w:t>
      </w:r>
      <w:r w:rsidR="00EE151C">
        <w:rPr>
          <w:szCs w:val="20"/>
          <w:lang w:val="es-ES_tradnl" w:eastAsia="es-CR"/>
        </w:rPr>
        <w:t xml:space="preserve"> y </w:t>
      </w:r>
      <w:r w:rsidR="00CC37FA" w:rsidRPr="00CC37FA">
        <w:rPr>
          <w:szCs w:val="20"/>
          <w:lang w:val="es-ES_tradnl" w:eastAsia="es-CR"/>
        </w:rPr>
        <w:t xml:space="preserve">por fuera del procedimiento disciplinario, </w:t>
      </w:r>
      <w:r w:rsidR="00FE0173">
        <w:rPr>
          <w:szCs w:val="20"/>
          <w:lang w:val="es-ES_tradnl" w:eastAsia="es-CR"/>
        </w:rPr>
        <w:t xml:space="preserve">era lo </w:t>
      </w:r>
      <w:r w:rsidR="00FE0173" w:rsidRPr="00153037">
        <w:rPr>
          <w:szCs w:val="20"/>
          <w:lang w:val="es-ES_tradnl" w:eastAsia="es-CR"/>
        </w:rPr>
        <w:t>suficientemente significativ</w:t>
      </w:r>
      <w:r w:rsidR="00FE0173">
        <w:rPr>
          <w:szCs w:val="20"/>
          <w:lang w:val="es-ES_tradnl" w:eastAsia="es-CR"/>
        </w:rPr>
        <w:t>o</w:t>
      </w:r>
      <w:r w:rsidR="00FE0173" w:rsidRPr="00153037">
        <w:rPr>
          <w:szCs w:val="20"/>
          <w:lang w:val="es-ES_tradnl" w:eastAsia="es-CR"/>
        </w:rPr>
        <w:t xml:space="preserve"> </w:t>
      </w:r>
      <w:r w:rsidR="00FE0173">
        <w:rPr>
          <w:szCs w:val="20"/>
          <w:lang w:val="es-ES_tradnl" w:eastAsia="es-CR"/>
        </w:rPr>
        <w:t xml:space="preserve">como </w:t>
      </w:r>
      <w:r w:rsidR="00FE0173" w:rsidRPr="00153037">
        <w:rPr>
          <w:szCs w:val="20"/>
          <w:lang w:val="es-ES_tradnl" w:eastAsia="es-CR"/>
        </w:rPr>
        <w:t>para comprometer su imparcialidad</w:t>
      </w:r>
      <w:r w:rsidR="00FE0173">
        <w:rPr>
          <w:szCs w:val="20"/>
          <w:lang w:val="es-ES_tradnl" w:eastAsia="es-CR"/>
        </w:rPr>
        <w:t xml:space="preserve"> frente a los </w:t>
      </w:r>
      <w:r w:rsidR="00CC37FA" w:rsidRPr="00CC37FA">
        <w:rPr>
          <w:szCs w:val="20"/>
          <w:lang w:val="es-ES_tradnl" w:eastAsia="es-CR"/>
        </w:rPr>
        <w:t>hechos que le correspond</w:t>
      </w:r>
      <w:r w:rsidR="00FE0173">
        <w:rPr>
          <w:szCs w:val="20"/>
          <w:lang w:val="es-ES_tradnl" w:eastAsia="es-CR"/>
        </w:rPr>
        <w:t>ía</w:t>
      </w:r>
      <w:r w:rsidR="00CC37FA" w:rsidRPr="00CC37FA">
        <w:rPr>
          <w:szCs w:val="20"/>
          <w:lang w:val="es-ES_tradnl" w:eastAsia="es-CR"/>
        </w:rPr>
        <w:t xml:space="preserve"> juzgar </w:t>
      </w:r>
      <w:r w:rsidR="00FE0173">
        <w:rPr>
          <w:szCs w:val="20"/>
          <w:lang w:val="es-ES_tradnl" w:eastAsia="es-CR"/>
        </w:rPr>
        <w:t>posteriormente</w:t>
      </w:r>
      <w:r w:rsidR="00CC37FA" w:rsidRPr="00CC37FA">
        <w:rPr>
          <w:szCs w:val="20"/>
          <w:lang w:val="es-ES_tradnl" w:eastAsia="es-CR"/>
        </w:rPr>
        <w:t xml:space="preserve">. </w:t>
      </w:r>
      <w:r>
        <w:rPr>
          <w:szCs w:val="20"/>
          <w:lang w:val="es-ES_tradnl" w:eastAsia="es-CR"/>
        </w:rPr>
        <w:t>E</w:t>
      </w:r>
      <w:r w:rsidR="006F072F">
        <w:rPr>
          <w:szCs w:val="20"/>
          <w:lang w:val="es-ES_tradnl" w:eastAsia="es-CR"/>
        </w:rPr>
        <w:t>l Tribunal</w:t>
      </w:r>
      <w:r w:rsidR="00CC37FA" w:rsidRPr="00CC37FA">
        <w:rPr>
          <w:szCs w:val="20"/>
          <w:lang w:val="es-ES_tradnl" w:eastAsia="es-CR"/>
        </w:rPr>
        <w:t xml:space="preserve"> </w:t>
      </w:r>
      <w:r w:rsidR="006F072F">
        <w:rPr>
          <w:szCs w:val="20"/>
          <w:lang w:val="es-ES_tradnl" w:eastAsia="es-CR"/>
        </w:rPr>
        <w:t>destacó que</w:t>
      </w:r>
      <w:r>
        <w:rPr>
          <w:szCs w:val="20"/>
          <w:lang w:val="es-ES_tradnl" w:eastAsia="es-CR"/>
        </w:rPr>
        <w:t xml:space="preserve">, en virtud de estas circunstancias, </w:t>
      </w:r>
      <w:r w:rsidR="00CC37FA" w:rsidRPr="00CC37FA">
        <w:rPr>
          <w:szCs w:val="20"/>
          <w:lang w:val="es-ES_tradnl" w:eastAsia="es-CR"/>
        </w:rPr>
        <w:t xml:space="preserve">no </w:t>
      </w:r>
      <w:r>
        <w:rPr>
          <w:szCs w:val="20"/>
          <w:lang w:val="es-ES_tradnl" w:eastAsia="es-CR"/>
        </w:rPr>
        <w:t xml:space="preserve">era </w:t>
      </w:r>
      <w:r w:rsidR="00CC37FA" w:rsidRPr="00CC37FA">
        <w:rPr>
          <w:szCs w:val="20"/>
          <w:lang w:val="es-ES_tradnl" w:eastAsia="es-CR"/>
        </w:rPr>
        <w:t xml:space="preserve">posible afirmar que </w:t>
      </w:r>
      <w:r w:rsidR="00FE0173">
        <w:rPr>
          <w:szCs w:val="20"/>
          <w:lang w:val="es-ES_tradnl" w:eastAsia="es-CR"/>
        </w:rPr>
        <w:t xml:space="preserve">su </w:t>
      </w:r>
      <w:r w:rsidR="00CC37FA" w:rsidRPr="00CC37FA">
        <w:rPr>
          <w:szCs w:val="20"/>
          <w:lang w:val="es-ES_tradnl" w:eastAsia="es-CR"/>
        </w:rPr>
        <w:t xml:space="preserve">aproximación a los hechos, en su carácter de juez disciplinario, era </w:t>
      </w:r>
      <w:r w:rsidR="00153037" w:rsidRPr="00CC37FA">
        <w:rPr>
          <w:szCs w:val="20"/>
          <w:lang w:val="es-ES_tradnl" w:eastAsia="es-CR"/>
        </w:rPr>
        <w:t>ajena</w:t>
      </w:r>
      <w:r w:rsidR="00CC37FA" w:rsidRPr="00CC37FA">
        <w:rPr>
          <w:szCs w:val="20"/>
          <w:lang w:val="es-ES_tradnl" w:eastAsia="es-CR"/>
        </w:rPr>
        <w:t xml:space="preserve"> a toda idea preconcebida respecto de lo ocurrido, de manera tal que pudiera formarse una opinión de lo sucedido sobre la base de lo actuado y las pruebas recabadas en el procedimiento. </w:t>
      </w:r>
      <w:r w:rsidR="00FE0173">
        <w:rPr>
          <w:szCs w:val="20"/>
          <w:lang w:val="es-ES_tradnl" w:eastAsia="es-CR"/>
        </w:rPr>
        <w:t xml:space="preserve">Además, la Corte resaltó que </w:t>
      </w:r>
      <w:r w:rsidR="00153037" w:rsidRPr="00153037">
        <w:rPr>
          <w:szCs w:val="20"/>
          <w:lang w:val="es-ES_tradnl" w:eastAsia="es-CR"/>
        </w:rPr>
        <w:t>no se desprend</w:t>
      </w:r>
      <w:r w:rsidR="00FE0173">
        <w:rPr>
          <w:szCs w:val="20"/>
          <w:lang w:val="es-ES_tradnl" w:eastAsia="es-CR"/>
        </w:rPr>
        <w:t>ía</w:t>
      </w:r>
      <w:r w:rsidR="00153037" w:rsidRPr="00153037">
        <w:rPr>
          <w:szCs w:val="20"/>
          <w:lang w:val="es-ES_tradnl" w:eastAsia="es-CR"/>
        </w:rPr>
        <w:t xml:space="preserve"> del expediente, ni del proceso ni de los alegatos del Estado, que se hubieran ofrecido garantías objetivas suficientes sobre su imparcialidad. </w:t>
      </w:r>
    </w:p>
    <w:p w14:paraId="312BAA7B" w14:textId="77777777" w:rsidR="00FE0173" w:rsidRDefault="00FE0173" w:rsidP="00153037">
      <w:pPr>
        <w:widowControl w:val="0"/>
        <w:tabs>
          <w:tab w:val="left" w:pos="567"/>
        </w:tabs>
        <w:suppressAutoHyphens/>
        <w:adjustRightInd w:val="0"/>
        <w:spacing w:line="0" w:lineRule="atLeast"/>
        <w:jc w:val="both"/>
        <w:rPr>
          <w:szCs w:val="20"/>
          <w:lang w:val="es-ES_tradnl" w:eastAsia="es-CR"/>
        </w:rPr>
      </w:pPr>
    </w:p>
    <w:p w14:paraId="66BA016F" w14:textId="5ED8D552" w:rsidR="00FE0173" w:rsidRPr="009B1CBC" w:rsidRDefault="00153037" w:rsidP="00FE0173">
      <w:pPr>
        <w:tabs>
          <w:tab w:val="left" w:pos="567"/>
        </w:tabs>
        <w:suppressAutoHyphens/>
        <w:jc w:val="both"/>
        <w:rPr>
          <w:szCs w:val="20"/>
          <w:lang w:val="es-ES_tradnl"/>
        </w:rPr>
      </w:pPr>
      <w:r>
        <w:rPr>
          <w:szCs w:val="20"/>
          <w:lang w:val="es-ES_tradnl" w:eastAsia="es-CR"/>
        </w:rPr>
        <w:t xml:space="preserve">Por tanto, el Tribunal </w:t>
      </w:r>
      <w:r w:rsidR="006F072F">
        <w:rPr>
          <w:szCs w:val="20"/>
          <w:lang w:val="es-ES_tradnl" w:eastAsia="es-CR"/>
        </w:rPr>
        <w:t xml:space="preserve">concluyó </w:t>
      </w:r>
      <w:bookmarkStart w:id="25" w:name="_Ref455672103"/>
      <w:r w:rsidR="00FE0173" w:rsidRPr="00FE0173">
        <w:rPr>
          <w:szCs w:val="20"/>
          <w:lang w:val="es-CR"/>
        </w:rPr>
        <w:t xml:space="preserve">que el Comandante de la Cuarta Zona Militar no reunía elementos subjetivos ni objetivos de imparcialidad para actuar como Juez de Derecho en el procedimiento de información sumaria del señor Flor Freire, </w:t>
      </w:r>
      <w:r w:rsidR="00FE0173">
        <w:rPr>
          <w:szCs w:val="20"/>
          <w:lang w:val="es-CR"/>
        </w:rPr>
        <w:t xml:space="preserve">por lo cual </w:t>
      </w:r>
      <w:r w:rsidR="00FE0173" w:rsidRPr="00FE0173">
        <w:rPr>
          <w:szCs w:val="20"/>
          <w:lang w:val="es-CR"/>
        </w:rPr>
        <w:t xml:space="preserve">el Estado violó la garantía de imparcialidad reconocida en el artículo 8.1 de la Convención, en relación con el artículo 1.1 del mismo instrumento, en </w:t>
      </w:r>
      <w:r w:rsidR="00FE0173">
        <w:rPr>
          <w:szCs w:val="20"/>
          <w:lang w:val="es-CR"/>
        </w:rPr>
        <w:t xml:space="preserve">su </w:t>
      </w:r>
      <w:r w:rsidR="00FE0173" w:rsidRPr="00FE0173">
        <w:rPr>
          <w:szCs w:val="20"/>
          <w:lang w:val="es-CR"/>
        </w:rPr>
        <w:t>perjuicio.</w:t>
      </w:r>
      <w:bookmarkEnd w:id="25"/>
    </w:p>
    <w:p w14:paraId="2590901E" w14:textId="77777777" w:rsidR="00153037" w:rsidRDefault="00153037" w:rsidP="00153037">
      <w:pPr>
        <w:widowControl w:val="0"/>
        <w:tabs>
          <w:tab w:val="left" w:pos="567"/>
        </w:tabs>
        <w:suppressAutoHyphens/>
        <w:adjustRightInd w:val="0"/>
        <w:spacing w:line="0" w:lineRule="atLeast"/>
        <w:jc w:val="both"/>
        <w:rPr>
          <w:szCs w:val="20"/>
          <w:lang w:val="es-CR"/>
        </w:rPr>
      </w:pPr>
    </w:p>
    <w:p w14:paraId="0A7981E1" w14:textId="689FEC0D" w:rsidR="00153037" w:rsidRDefault="00153037" w:rsidP="00153037">
      <w:pPr>
        <w:tabs>
          <w:tab w:val="left" w:pos="567"/>
        </w:tabs>
        <w:suppressAutoHyphens/>
        <w:jc w:val="both"/>
        <w:rPr>
          <w:lang w:val="es-CR" w:eastAsia="es-CR"/>
        </w:rPr>
      </w:pPr>
      <w:r>
        <w:rPr>
          <w:szCs w:val="20"/>
          <w:lang w:val="es-CR" w:eastAsia="es-CR"/>
        </w:rPr>
        <w:t xml:space="preserve">Con respecto al deber de motivación, el representante y la Comisión alegaron </w:t>
      </w:r>
      <w:r w:rsidRPr="00153037">
        <w:rPr>
          <w:bCs/>
          <w:iCs/>
          <w:lang w:val="es-CR" w:eastAsia="es-CR"/>
        </w:rPr>
        <w:t xml:space="preserve">la ausencia de motivación </w:t>
      </w:r>
      <w:r w:rsidR="00FE0173">
        <w:rPr>
          <w:bCs/>
          <w:iCs/>
          <w:lang w:val="es-CR" w:eastAsia="es-CR"/>
        </w:rPr>
        <w:t>de</w:t>
      </w:r>
      <w:r w:rsidR="00742044">
        <w:rPr>
          <w:bCs/>
          <w:iCs/>
          <w:lang w:val="es-CR" w:eastAsia="es-CR"/>
        </w:rPr>
        <w:t xml:space="preserve"> </w:t>
      </w:r>
      <w:r w:rsidRPr="00153037">
        <w:rPr>
          <w:bCs/>
          <w:iCs/>
          <w:lang w:val="es-CR" w:eastAsia="es-CR"/>
        </w:rPr>
        <w:t xml:space="preserve">las resoluciones </w:t>
      </w:r>
      <w:r w:rsidRPr="00153037">
        <w:rPr>
          <w:lang w:val="es-CR" w:eastAsia="es-CR"/>
        </w:rPr>
        <w:t>de los Consejos de Oficiales Subalternos y Superiores, mediante las cuales se calificó la mala conducta cometida y se accedió a la solicitud del Juzgado de Derecho para que se le sancionara con la baja.</w:t>
      </w:r>
    </w:p>
    <w:p w14:paraId="54474206" w14:textId="77777777" w:rsidR="005F041E" w:rsidRDefault="005F041E" w:rsidP="0098785E">
      <w:pPr>
        <w:jc w:val="both"/>
        <w:rPr>
          <w:lang w:val="es-CR"/>
        </w:rPr>
      </w:pPr>
    </w:p>
    <w:p w14:paraId="02CA81AB" w14:textId="450410F0" w:rsidR="005F041E" w:rsidRDefault="00742044" w:rsidP="00E06BFC">
      <w:pPr>
        <w:jc w:val="both"/>
        <w:rPr>
          <w:lang w:val="es-CR" w:eastAsia="es-CR"/>
        </w:rPr>
      </w:pPr>
      <w:r>
        <w:rPr>
          <w:lang w:val="es-CR"/>
        </w:rPr>
        <w:t>E</w:t>
      </w:r>
      <w:r w:rsidR="005F041E">
        <w:rPr>
          <w:lang w:val="es-CR"/>
        </w:rPr>
        <w:t xml:space="preserve">l Tribunal </w:t>
      </w:r>
      <w:r>
        <w:rPr>
          <w:lang w:val="es-CR"/>
        </w:rPr>
        <w:t xml:space="preserve">constató </w:t>
      </w:r>
      <w:r w:rsidR="005F041E">
        <w:rPr>
          <w:lang w:val="es-CR"/>
        </w:rPr>
        <w:t xml:space="preserve">que las resoluciones de los Consejos de </w:t>
      </w:r>
      <w:r w:rsidR="005C5833">
        <w:rPr>
          <w:lang w:val="es-CR"/>
        </w:rPr>
        <w:t xml:space="preserve">Oficiales </w:t>
      </w:r>
      <w:r w:rsidR="005F041E">
        <w:rPr>
          <w:lang w:val="es-CR"/>
        </w:rPr>
        <w:t>Subalternos y Superiores</w:t>
      </w:r>
      <w:r w:rsidR="005F041E" w:rsidRPr="005F041E">
        <w:rPr>
          <w:lang w:val="es-CR"/>
        </w:rPr>
        <w:t xml:space="preserve"> hacen referencia y remiten a la resolución del Juzgado de Derecho “por carecer de fundamentos jurídicos que permitan un pronunciamiento en contrario”. </w:t>
      </w:r>
      <w:r>
        <w:rPr>
          <w:lang w:val="es-CR"/>
        </w:rPr>
        <w:t xml:space="preserve">Asimismo, consideró que la referida </w:t>
      </w:r>
      <w:r w:rsidR="005F041E">
        <w:rPr>
          <w:lang w:val="es-CR"/>
        </w:rPr>
        <w:t xml:space="preserve">resolución del Juez de Derecho </w:t>
      </w:r>
      <w:r w:rsidR="005F041E" w:rsidRPr="005F041E">
        <w:rPr>
          <w:lang w:val="es-CR"/>
        </w:rPr>
        <w:t>se encontraba suficientemente motivada</w:t>
      </w:r>
      <w:r>
        <w:rPr>
          <w:lang w:val="es-CR"/>
        </w:rPr>
        <w:t xml:space="preserve">, en la medida en que </w:t>
      </w:r>
      <w:r w:rsidRPr="00742044">
        <w:rPr>
          <w:lang w:val="es-CR"/>
        </w:rPr>
        <w:t xml:space="preserve">se realiza un examen de la prueba, se establecen los hechos y se ofrece un razonamiento para </w:t>
      </w:r>
      <w:r w:rsidRPr="00742044">
        <w:rPr>
          <w:lang w:val="es-CR"/>
        </w:rPr>
        <w:lastRenderedPageBreak/>
        <w:t>la aplicación de las normas invocadas a dichos hechos</w:t>
      </w:r>
      <w:r>
        <w:rPr>
          <w:lang w:val="es-CR"/>
        </w:rPr>
        <w:t>, así como se responde a los alegatos específicos del señor Flor Freire. La Corte consideró que, a</w:t>
      </w:r>
      <w:r w:rsidR="005F041E" w:rsidRPr="005F041E">
        <w:rPr>
          <w:lang w:val="es-CR"/>
        </w:rPr>
        <w:t>l no apartarse de los razonamientos del Juzgado de Derecho, ambos Consejos adoptaron como propias dichas consideraciones.</w:t>
      </w:r>
      <w:r w:rsidR="005F041E">
        <w:rPr>
          <w:lang w:val="es-CR"/>
        </w:rPr>
        <w:t xml:space="preserve"> </w:t>
      </w:r>
      <w:r>
        <w:rPr>
          <w:lang w:val="es-CR"/>
        </w:rPr>
        <w:t>D</w:t>
      </w:r>
      <w:r w:rsidR="005F041E">
        <w:rPr>
          <w:lang w:val="es-CR"/>
        </w:rPr>
        <w:t>ado que</w:t>
      </w:r>
      <w:r w:rsidR="0098785E" w:rsidRPr="0098785E">
        <w:rPr>
          <w:rFonts w:ascii="Times New Roman" w:eastAsiaTheme="minorHAnsi" w:hAnsi="Times New Roman"/>
          <w:sz w:val="24"/>
          <w:lang w:val="es-CR"/>
        </w:rPr>
        <w:t xml:space="preserve"> </w:t>
      </w:r>
      <w:r w:rsidR="005F041E">
        <w:rPr>
          <w:lang w:val="es-CR" w:eastAsia="es-CR"/>
        </w:rPr>
        <w:t>e</w:t>
      </w:r>
      <w:r w:rsidR="005F041E" w:rsidRPr="005F041E">
        <w:rPr>
          <w:lang w:val="es-CR" w:eastAsia="es-CR"/>
        </w:rPr>
        <w:t xml:space="preserve">n los escritos de apelación ante ambos Consejos </w:t>
      </w:r>
      <w:r>
        <w:rPr>
          <w:lang w:val="es-CR" w:eastAsia="es-CR"/>
        </w:rPr>
        <w:t xml:space="preserve">el señor Flor Freire </w:t>
      </w:r>
      <w:r w:rsidR="005F041E" w:rsidRPr="005F041E">
        <w:rPr>
          <w:lang w:val="es-CR" w:eastAsia="es-CR"/>
        </w:rPr>
        <w:t>no presentó ningún alegato adicional o esencial que se requiriera responder de forma específica y separada de la decisión del Juzgado de Derecho</w:t>
      </w:r>
      <w:r w:rsidR="005F041E">
        <w:rPr>
          <w:lang w:val="es-CR" w:eastAsia="es-CR"/>
        </w:rPr>
        <w:t xml:space="preserve">, el Tribunal resaltó </w:t>
      </w:r>
      <w:r>
        <w:rPr>
          <w:lang w:val="es-CR" w:eastAsia="es-CR"/>
        </w:rPr>
        <w:t xml:space="preserve">que </w:t>
      </w:r>
      <w:r w:rsidR="00E06BFC">
        <w:rPr>
          <w:lang w:val="es-CR" w:eastAsia="es-CR"/>
        </w:rPr>
        <w:t xml:space="preserve">la adopción de las consideraciones del Juzgado de Derecho por parte de los Consejos </w:t>
      </w:r>
      <w:r w:rsidR="005F041E" w:rsidRPr="005F041E">
        <w:rPr>
          <w:lang w:val="es-CR" w:eastAsia="es-CR"/>
        </w:rPr>
        <w:t>cumpl</w:t>
      </w:r>
      <w:r>
        <w:rPr>
          <w:lang w:val="es-CR" w:eastAsia="es-CR"/>
        </w:rPr>
        <w:t>ía</w:t>
      </w:r>
      <w:r w:rsidR="005F041E" w:rsidRPr="005F041E">
        <w:rPr>
          <w:lang w:val="es-CR" w:eastAsia="es-CR"/>
        </w:rPr>
        <w:t xml:space="preserve"> con la garantía de motivación suficiente exig</w:t>
      </w:r>
      <w:r w:rsidR="00E06BFC">
        <w:rPr>
          <w:lang w:val="es-CR" w:eastAsia="es-CR"/>
        </w:rPr>
        <w:t xml:space="preserve">ido por la Convención Americana, </w:t>
      </w:r>
      <w:r>
        <w:rPr>
          <w:lang w:val="es-CR" w:eastAsia="es-CR"/>
        </w:rPr>
        <w:t xml:space="preserve">en el marco de un procedimiento disciplinario. Por tanto, </w:t>
      </w:r>
      <w:r w:rsidR="00E06BFC">
        <w:rPr>
          <w:lang w:val="es-CR" w:eastAsia="es-CR"/>
        </w:rPr>
        <w:t xml:space="preserve">la Corte </w:t>
      </w:r>
      <w:r w:rsidR="00127C78">
        <w:rPr>
          <w:lang w:val="es-CR" w:eastAsia="es-CR"/>
        </w:rPr>
        <w:t>concluyó</w:t>
      </w:r>
      <w:r>
        <w:rPr>
          <w:lang w:val="es-CR" w:eastAsia="es-CR"/>
        </w:rPr>
        <w:t xml:space="preserve"> que el Estado no era responsable de la violación del deber de motivación, reconocido en el </w:t>
      </w:r>
      <w:r w:rsidR="00221658">
        <w:rPr>
          <w:lang w:val="es-CR" w:eastAsia="es-CR"/>
        </w:rPr>
        <w:t>artículo</w:t>
      </w:r>
      <w:r w:rsidR="00E06BFC">
        <w:rPr>
          <w:lang w:val="es-CR" w:eastAsia="es-CR"/>
        </w:rPr>
        <w:t xml:space="preserve"> 8.1 de la Convención</w:t>
      </w:r>
      <w:r>
        <w:rPr>
          <w:lang w:val="es-CR" w:eastAsia="es-CR"/>
        </w:rPr>
        <w:t>, en relación con el artículo 1.1 de la misma.</w:t>
      </w:r>
      <w:r w:rsidR="00E06BFC">
        <w:rPr>
          <w:lang w:val="es-CR" w:eastAsia="es-CR"/>
        </w:rPr>
        <w:t xml:space="preserve"> </w:t>
      </w:r>
    </w:p>
    <w:p w14:paraId="37281D09" w14:textId="77777777" w:rsidR="00E06BFC" w:rsidRDefault="00E06BFC" w:rsidP="00E06BFC">
      <w:pPr>
        <w:jc w:val="both"/>
        <w:rPr>
          <w:lang w:val="es-CR" w:eastAsia="es-CR"/>
        </w:rPr>
      </w:pPr>
    </w:p>
    <w:p w14:paraId="2A14158C" w14:textId="1130DF85" w:rsidR="00FD5CF2" w:rsidRPr="00FD5CF2" w:rsidRDefault="00E06BFC" w:rsidP="00FD5CF2">
      <w:pPr>
        <w:pStyle w:val="PrrafodeSentencia"/>
        <w:tabs>
          <w:tab w:val="left" w:pos="567"/>
        </w:tabs>
        <w:spacing w:before="0" w:after="0"/>
        <w:ind w:firstLine="0"/>
        <w:rPr>
          <w:lang w:val="es-CR" w:eastAsia="es-CR"/>
        </w:rPr>
      </w:pPr>
      <w:r>
        <w:rPr>
          <w:lang w:val="es-CR" w:eastAsia="es-CR"/>
        </w:rPr>
        <w:t xml:space="preserve">En cuanto al derecho a un recurso efectivo, </w:t>
      </w:r>
      <w:r w:rsidR="006472EB">
        <w:rPr>
          <w:lang w:val="es-CR" w:eastAsia="es-CR"/>
        </w:rPr>
        <w:t>la Comisión y el representante alegaron que en el marco del recurso de amparo no se respondió a los alegatos</w:t>
      </w:r>
      <w:r w:rsidR="00FD5CF2">
        <w:rPr>
          <w:lang w:val="es-CR" w:eastAsia="es-CR"/>
        </w:rPr>
        <w:t xml:space="preserve"> de fondo del señor Flor Freire y que</w:t>
      </w:r>
      <w:r w:rsidR="00FD5CF2" w:rsidRPr="00FD5CF2">
        <w:rPr>
          <w:rFonts w:eastAsia="Times New Roman"/>
          <w:spacing w:val="0"/>
          <w:szCs w:val="24"/>
          <w:lang w:val="es-CR" w:eastAsia="en-US"/>
        </w:rPr>
        <w:t xml:space="preserve"> </w:t>
      </w:r>
      <w:r w:rsidR="00FD5CF2" w:rsidRPr="00FD5CF2">
        <w:rPr>
          <w:lang w:val="es-CR" w:eastAsia="es-CR"/>
        </w:rPr>
        <w:t>Ecuador no proveyó a la presunta víctima de un recurso efectivo frente a las violaciones cometidas.</w:t>
      </w:r>
      <w:r w:rsidR="00AF3272">
        <w:rPr>
          <w:lang w:val="es-CR" w:eastAsia="es-CR"/>
        </w:rPr>
        <w:t xml:space="preserve"> No obstante, e</w:t>
      </w:r>
      <w:r w:rsidR="00FD5CF2" w:rsidRPr="00FD5CF2">
        <w:rPr>
          <w:lang w:val="es-CR" w:eastAsia="es-CR"/>
        </w:rPr>
        <w:t xml:space="preserve">l Estado alegó que </w:t>
      </w:r>
      <w:r w:rsidR="00AF3272">
        <w:rPr>
          <w:lang w:val="es-CR" w:eastAsia="es-CR"/>
        </w:rPr>
        <w:t xml:space="preserve">el recurso idóneo y efectivo para las pretensiones del señor Flor Freire hubiera sido </w:t>
      </w:r>
      <w:r w:rsidR="00FD5CF2" w:rsidRPr="00FD5CF2">
        <w:rPr>
          <w:lang w:val="es-CR" w:eastAsia="es-CR"/>
        </w:rPr>
        <w:t>el recurso contencioso administrativo</w:t>
      </w:r>
      <w:r w:rsidR="00AF3272">
        <w:rPr>
          <w:lang w:val="es-CR" w:eastAsia="es-CR"/>
        </w:rPr>
        <w:t>, que no fue interpuesto</w:t>
      </w:r>
      <w:r w:rsidR="00FD5CF2" w:rsidRPr="00FD5CF2">
        <w:rPr>
          <w:lang w:val="es-CR" w:eastAsia="es-CR"/>
        </w:rPr>
        <w:t>.</w:t>
      </w:r>
    </w:p>
    <w:p w14:paraId="7F389EDC" w14:textId="77777777" w:rsidR="00FD5CF2" w:rsidRDefault="00FD5CF2" w:rsidP="00FD5CF2">
      <w:pPr>
        <w:pStyle w:val="PrrafodeSentencia"/>
        <w:tabs>
          <w:tab w:val="left" w:pos="567"/>
        </w:tabs>
        <w:spacing w:before="0" w:after="0"/>
        <w:ind w:firstLine="0"/>
        <w:rPr>
          <w:lang w:val="es-CR" w:eastAsia="es-CR"/>
        </w:rPr>
      </w:pPr>
    </w:p>
    <w:p w14:paraId="3394C3D1" w14:textId="613FE1DE" w:rsidR="005F134C" w:rsidRDefault="00AF3272" w:rsidP="00FD5CF2">
      <w:pPr>
        <w:pStyle w:val="PrrafodeSentencia"/>
        <w:tabs>
          <w:tab w:val="left" w:pos="567"/>
        </w:tabs>
        <w:spacing w:before="0" w:after="0"/>
        <w:ind w:firstLine="0"/>
      </w:pPr>
      <w:r>
        <w:rPr>
          <w:bCs/>
          <w:lang w:val="es-CR"/>
        </w:rPr>
        <w:t>En virtud de los alegatos y prueba aportada</w:t>
      </w:r>
      <w:r w:rsidR="005F134C">
        <w:rPr>
          <w:bCs/>
          <w:lang w:val="es-CR"/>
        </w:rPr>
        <w:t xml:space="preserve"> al expediente</w:t>
      </w:r>
      <w:r>
        <w:rPr>
          <w:bCs/>
          <w:lang w:val="es-CR"/>
        </w:rPr>
        <w:t xml:space="preserve">, este Tribunal consideró </w:t>
      </w:r>
      <w:r w:rsidR="00FD5CF2">
        <w:rPr>
          <w:bCs/>
          <w:lang w:val="es-CR"/>
        </w:rPr>
        <w:t xml:space="preserve">que el Estado </w:t>
      </w:r>
      <w:r>
        <w:rPr>
          <w:bCs/>
          <w:lang w:val="es-CR"/>
        </w:rPr>
        <w:t xml:space="preserve">había </w:t>
      </w:r>
      <w:r w:rsidR="00FD5CF2">
        <w:rPr>
          <w:bCs/>
          <w:lang w:val="es-CR"/>
        </w:rPr>
        <w:t xml:space="preserve">demostrado </w:t>
      </w:r>
      <w:r w:rsidR="005F134C">
        <w:rPr>
          <w:bCs/>
          <w:lang w:val="es-CR"/>
        </w:rPr>
        <w:t xml:space="preserve">ante la Corte </w:t>
      </w:r>
      <w:r w:rsidR="00FD5CF2">
        <w:rPr>
          <w:bCs/>
          <w:lang w:val="es-CR"/>
        </w:rPr>
        <w:t xml:space="preserve">que </w:t>
      </w:r>
      <w:r>
        <w:rPr>
          <w:bCs/>
          <w:lang w:val="es-CR"/>
        </w:rPr>
        <w:t xml:space="preserve">el señor Flor Freire </w:t>
      </w:r>
      <w:r w:rsidR="00FD5CF2">
        <w:rPr>
          <w:bCs/>
          <w:lang w:val="es-CR"/>
        </w:rPr>
        <w:t xml:space="preserve">tenía la posibilidad de interponer un recurso contencioso administrativo de plena jurisdicción para impugnar las decisiones disciplinarias que culminaron en su baja de las filas militares. Además, de acuerdo a la jurisprudencia aportada por el Ecuador ante </w:t>
      </w:r>
      <w:r w:rsidR="006F072F">
        <w:rPr>
          <w:bCs/>
          <w:lang w:val="es-CR"/>
        </w:rPr>
        <w:t>el</w:t>
      </w:r>
      <w:r w:rsidR="00FD5CF2">
        <w:rPr>
          <w:bCs/>
          <w:lang w:val="es-CR"/>
        </w:rPr>
        <w:t xml:space="preserve"> Tribunal, dicho recurso podía resultar idóneo para obtener una protección judicial efectiva en el presente caso. </w:t>
      </w:r>
      <w:r w:rsidR="005F134C">
        <w:rPr>
          <w:bCs/>
          <w:lang w:val="es-CR"/>
        </w:rPr>
        <w:t xml:space="preserve">Sin embargo, </w:t>
      </w:r>
      <w:r w:rsidR="00FD5CF2">
        <w:t xml:space="preserve">observando que </w:t>
      </w:r>
      <w:r w:rsidR="00FD5CF2">
        <w:rPr>
          <w:bCs/>
        </w:rPr>
        <w:t xml:space="preserve">en el presente </w:t>
      </w:r>
      <w:r w:rsidR="005F134C">
        <w:rPr>
          <w:bCs/>
        </w:rPr>
        <w:t xml:space="preserve">caso </w:t>
      </w:r>
      <w:r w:rsidR="00FD5CF2">
        <w:rPr>
          <w:bCs/>
        </w:rPr>
        <w:t xml:space="preserve">no </w:t>
      </w:r>
      <w:r w:rsidR="005F134C">
        <w:rPr>
          <w:bCs/>
        </w:rPr>
        <w:t xml:space="preserve">se </w:t>
      </w:r>
      <w:r w:rsidR="00FD5CF2">
        <w:rPr>
          <w:bCs/>
        </w:rPr>
        <w:t xml:space="preserve">interpuso el referido recurso, </w:t>
      </w:r>
      <w:r w:rsidR="006F072F">
        <w:rPr>
          <w:bCs/>
        </w:rPr>
        <w:t>la Corte</w:t>
      </w:r>
      <w:r w:rsidR="00FD5CF2">
        <w:rPr>
          <w:bCs/>
        </w:rPr>
        <w:t xml:space="preserve"> estimó que un análisis en abstracto de las normas que </w:t>
      </w:r>
      <w:r w:rsidR="005F134C">
        <w:rPr>
          <w:bCs/>
        </w:rPr>
        <w:t xml:space="preserve">lo </w:t>
      </w:r>
      <w:r w:rsidR="00FD5CF2">
        <w:rPr>
          <w:bCs/>
        </w:rPr>
        <w:t>regula</w:t>
      </w:r>
      <w:r w:rsidR="005F134C">
        <w:rPr>
          <w:bCs/>
        </w:rPr>
        <w:t xml:space="preserve">ban </w:t>
      </w:r>
      <w:r w:rsidR="00FD5CF2">
        <w:rPr>
          <w:bCs/>
        </w:rPr>
        <w:t>no permitiría determinar adecuadamente la idoneidad y efectividad del mismo para el caso concreto del señor Flor Freire.</w:t>
      </w:r>
      <w:r w:rsidR="00FD5CF2">
        <w:rPr>
          <w:bCs/>
          <w:lang w:val="es-CR"/>
        </w:rPr>
        <w:t xml:space="preserve"> </w:t>
      </w:r>
      <w:r w:rsidR="00FD5CF2">
        <w:t xml:space="preserve">Por otra parte, al no poder verificar la idoneidad del recurso contencioso administrativo, </w:t>
      </w:r>
      <w:r w:rsidR="006F072F">
        <w:t xml:space="preserve">el Tribunal </w:t>
      </w:r>
      <w:r w:rsidR="005F134C">
        <w:t xml:space="preserve">consideró </w:t>
      </w:r>
      <w:r w:rsidR="00FD5CF2">
        <w:t>que no correspond</w:t>
      </w:r>
      <w:r w:rsidR="005F134C">
        <w:t xml:space="preserve">ía </w:t>
      </w:r>
      <w:r w:rsidR="00FD5CF2">
        <w:t>analizar la posible efectividad o inefectiv</w:t>
      </w:r>
      <w:r w:rsidR="006F072F">
        <w:t xml:space="preserve">idad del recurso de amparo, </w:t>
      </w:r>
      <w:r w:rsidR="005C5833">
        <w:t xml:space="preserve">puesto que aún </w:t>
      </w:r>
      <w:r w:rsidR="00FD5CF2">
        <w:t>si el recurso de amparo no hubiera resultado efectivo en el caso del señor Flor Freire, ello no exclu</w:t>
      </w:r>
      <w:r w:rsidR="005F134C">
        <w:t>ía</w:t>
      </w:r>
      <w:r w:rsidR="00FD5CF2">
        <w:t xml:space="preserve"> la posibilidad de que el recurso contencioso administrativo </w:t>
      </w:r>
      <w:r w:rsidR="005C5833">
        <w:t>sí lo hubiese sido</w:t>
      </w:r>
      <w:r w:rsidR="00FD5CF2">
        <w:t xml:space="preserve">. </w:t>
      </w:r>
    </w:p>
    <w:p w14:paraId="5A02A35F" w14:textId="77777777" w:rsidR="005F134C" w:rsidRDefault="005F134C" w:rsidP="00FD5CF2">
      <w:pPr>
        <w:pStyle w:val="PrrafodeSentencia"/>
        <w:tabs>
          <w:tab w:val="left" w:pos="567"/>
        </w:tabs>
        <w:spacing w:before="0" w:after="0"/>
        <w:ind w:firstLine="0"/>
      </w:pPr>
    </w:p>
    <w:p w14:paraId="598FE47B" w14:textId="6AC8E6CD" w:rsidR="00FD5CF2" w:rsidRPr="00FD5CF2" w:rsidRDefault="005F134C" w:rsidP="00FD5CF2">
      <w:pPr>
        <w:pStyle w:val="PrrafodeSentencia"/>
        <w:tabs>
          <w:tab w:val="left" w:pos="567"/>
        </w:tabs>
        <w:spacing w:before="0" w:after="0"/>
        <w:ind w:firstLine="0"/>
        <w:rPr>
          <w:bCs/>
          <w:lang w:val="es-CR"/>
        </w:rPr>
      </w:pPr>
      <w:r>
        <w:t>L</w:t>
      </w:r>
      <w:r w:rsidR="006F072F">
        <w:t>a Corte señaló que</w:t>
      </w:r>
      <w:r w:rsidR="00FD5CF2">
        <w:t xml:space="preserve"> Ecuador no puede ser responsabilizado internacionalmente por la ausencia de un recurso efectivo cuando, por causas atribuibles a la presunta víctima, no puede evaluar la idoneidad y efectividad del recurso que se demostró disponible. Por consiguiente, </w:t>
      </w:r>
      <w:r w:rsidR="00087F14">
        <w:t xml:space="preserve">declaró </w:t>
      </w:r>
      <w:r>
        <w:t xml:space="preserve">que el </w:t>
      </w:r>
      <w:r w:rsidR="00FD5CF2">
        <w:rPr>
          <w:lang w:val="es-ES"/>
        </w:rPr>
        <w:t xml:space="preserve">Estado </w:t>
      </w:r>
      <w:r>
        <w:rPr>
          <w:lang w:val="es-ES"/>
        </w:rPr>
        <w:t xml:space="preserve">no era responsable </w:t>
      </w:r>
      <w:r w:rsidR="00FD5CF2">
        <w:rPr>
          <w:lang w:val="es-ES"/>
        </w:rPr>
        <w:t xml:space="preserve">de la violación del artículo 25.1 de la Convención, </w:t>
      </w:r>
      <w:r w:rsidR="00FD5CF2">
        <w:t xml:space="preserve">en relación con </w:t>
      </w:r>
      <w:r>
        <w:t xml:space="preserve">los artículos </w:t>
      </w:r>
      <w:r w:rsidR="00FD5CF2">
        <w:t>1.1</w:t>
      </w:r>
      <w:r>
        <w:t xml:space="preserve"> y 2</w:t>
      </w:r>
      <w:r w:rsidR="00FD5CF2">
        <w:t xml:space="preserve"> del mismo instrumento</w:t>
      </w:r>
      <w:r w:rsidR="00087F14">
        <w:t>.</w:t>
      </w:r>
      <w:r w:rsidR="00FD5CF2">
        <w:t xml:space="preserve"> </w:t>
      </w:r>
    </w:p>
    <w:p w14:paraId="208A5B13" w14:textId="77777777" w:rsidR="008F5D36" w:rsidRPr="0095153D" w:rsidRDefault="008F5D36" w:rsidP="008F5D36">
      <w:pPr>
        <w:jc w:val="both"/>
        <w:rPr>
          <w:szCs w:val="20"/>
          <w:lang w:val="es-CO"/>
        </w:rPr>
      </w:pPr>
    </w:p>
    <w:p w14:paraId="76D49E5F" w14:textId="5494AFFB" w:rsidR="008F5D36" w:rsidRPr="0095153D" w:rsidRDefault="0031509D" w:rsidP="008F5D36">
      <w:pPr>
        <w:keepNext/>
        <w:keepLines/>
        <w:ind w:firstLine="720"/>
        <w:jc w:val="both"/>
        <w:outlineLvl w:val="1"/>
        <w:rPr>
          <w:rFonts w:eastAsia="MS Gothic"/>
          <w:b/>
          <w:bCs/>
          <w:szCs w:val="20"/>
          <w:lang w:val="es-MX" w:eastAsia="es-ES"/>
        </w:rPr>
      </w:pPr>
      <w:r>
        <w:rPr>
          <w:rFonts w:eastAsia="MS Gothic"/>
          <w:b/>
          <w:bCs/>
          <w:szCs w:val="20"/>
          <w:lang w:val="es-MX" w:eastAsia="es-ES"/>
        </w:rPr>
        <w:t>I</w:t>
      </w:r>
      <w:r w:rsidR="008F5D36" w:rsidRPr="0095153D">
        <w:rPr>
          <w:rFonts w:eastAsia="MS Gothic"/>
          <w:b/>
          <w:bCs/>
          <w:szCs w:val="20"/>
          <w:lang w:val="es-MX" w:eastAsia="es-ES"/>
        </w:rPr>
        <w:t>V. Reparaciones</w:t>
      </w:r>
    </w:p>
    <w:p w14:paraId="55CCA4BC" w14:textId="77777777" w:rsidR="008F5D36" w:rsidRPr="0095153D" w:rsidRDefault="008F5D36" w:rsidP="008F5D36">
      <w:pPr>
        <w:jc w:val="both"/>
        <w:rPr>
          <w:rFonts w:eastAsia="Calibri"/>
          <w:szCs w:val="20"/>
          <w:lang w:val="es-MX" w:eastAsia="es-ES"/>
        </w:rPr>
      </w:pPr>
    </w:p>
    <w:p w14:paraId="629D5458" w14:textId="41EEB5D2" w:rsidR="008F5D36" w:rsidRDefault="008F5D36" w:rsidP="008F5D36">
      <w:pPr>
        <w:jc w:val="both"/>
        <w:rPr>
          <w:szCs w:val="20"/>
          <w:lang w:val="es-CO"/>
        </w:rPr>
      </w:pPr>
      <w:r w:rsidRPr="0095153D">
        <w:rPr>
          <w:szCs w:val="20"/>
          <w:lang w:val="es-CO"/>
        </w:rPr>
        <w:t>La Corte estableció que su sentencia constituye</w:t>
      </w:r>
      <w:r w:rsidR="008336CF">
        <w:rPr>
          <w:szCs w:val="20"/>
          <w:lang w:val="es-CO"/>
        </w:rPr>
        <w:t xml:space="preserve"> por sí misma</w:t>
      </w:r>
      <w:r w:rsidRPr="0095153D">
        <w:rPr>
          <w:szCs w:val="20"/>
          <w:lang w:val="es-CO"/>
        </w:rPr>
        <w:t xml:space="preserve"> una forma de reparación. Además, ordenó al Estado: </w:t>
      </w:r>
      <w:r w:rsidR="00087F14">
        <w:rPr>
          <w:szCs w:val="20"/>
          <w:lang w:val="es-CO"/>
        </w:rPr>
        <w:t xml:space="preserve">i) </w:t>
      </w:r>
      <w:r w:rsidR="00087F14" w:rsidRPr="00087F14">
        <w:rPr>
          <w:szCs w:val="20"/>
          <w:lang w:val="es-ES"/>
        </w:rPr>
        <w:t>otorgar  al señor Flor Freire el grado que corresponda a sus compañeros de promoción al momento del cumplimiento de esta medida y colocarlo en la situación de un militar en situación de retiro o servicio pasivo, que se hubie</w:t>
      </w:r>
      <w:r w:rsidR="00F535ED">
        <w:rPr>
          <w:szCs w:val="20"/>
          <w:lang w:val="es-ES"/>
        </w:rPr>
        <w:t>s</w:t>
      </w:r>
      <w:r w:rsidR="00087F14" w:rsidRPr="00087F14">
        <w:rPr>
          <w:szCs w:val="20"/>
          <w:lang w:val="es-ES"/>
        </w:rPr>
        <w:t>e retirado voluntariamente, así como concederle todos los beneficios prestacionales y sociales que correspondan a dicho rango</w:t>
      </w:r>
      <w:r w:rsidR="00FC3D55">
        <w:rPr>
          <w:szCs w:val="20"/>
          <w:lang w:val="es-ES"/>
        </w:rPr>
        <w:t>; ii)</w:t>
      </w:r>
      <w:r w:rsidR="00FC3D55" w:rsidRPr="00FC3D55">
        <w:rPr>
          <w:rFonts w:cs="ArialUnicodeMS"/>
          <w:lang w:val="es-ES" w:eastAsia="es-CR" w:bidi="en-US"/>
        </w:rPr>
        <w:t xml:space="preserve"> </w:t>
      </w:r>
      <w:r w:rsidR="00FC3D55" w:rsidRPr="00FC3D55">
        <w:rPr>
          <w:szCs w:val="20"/>
          <w:lang w:val="es-ES"/>
        </w:rPr>
        <w:t xml:space="preserve">reconocer </w:t>
      </w:r>
      <w:r w:rsidR="000B46F1" w:rsidRPr="00FC3D55">
        <w:rPr>
          <w:szCs w:val="20"/>
          <w:lang w:val="es-ES"/>
        </w:rPr>
        <w:t xml:space="preserve">al señor Flor Freire </w:t>
      </w:r>
      <w:r w:rsidR="00FC3D55" w:rsidRPr="00FC3D55">
        <w:rPr>
          <w:szCs w:val="20"/>
          <w:lang w:val="es-ES"/>
        </w:rPr>
        <w:t xml:space="preserve">y pagar las cargas prestacionales correspondientes a la seguridad </w:t>
      </w:r>
      <w:r w:rsidR="000B46F1">
        <w:rPr>
          <w:szCs w:val="20"/>
          <w:lang w:val="es-ES"/>
        </w:rPr>
        <w:t>social</w:t>
      </w:r>
      <w:r w:rsidR="00FC3D55" w:rsidRPr="00FC3D55">
        <w:rPr>
          <w:szCs w:val="20"/>
          <w:lang w:val="es-ES"/>
        </w:rPr>
        <w:t xml:space="preserve"> a las que tendría derecho si hubiese sido separado de la institución al momento </w:t>
      </w:r>
      <w:r w:rsidR="000B46F1">
        <w:rPr>
          <w:szCs w:val="20"/>
          <w:lang w:val="es-ES"/>
        </w:rPr>
        <w:t xml:space="preserve">en que el Estado realice </w:t>
      </w:r>
      <w:r w:rsidR="00FC3D55" w:rsidRPr="00FC3D55">
        <w:rPr>
          <w:szCs w:val="20"/>
          <w:lang w:val="es-ES"/>
        </w:rPr>
        <w:t>dicho pago, en el rango en el que se encuentren sus compañeros de promoción en dicho momento</w:t>
      </w:r>
      <w:r w:rsidR="00FC3D55">
        <w:rPr>
          <w:szCs w:val="20"/>
          <w:lang w:val="es-ES"/>
        </w:rPr>
        <w:t>; iii)</w:t>
      </w:r>
      <w:r w:rsidR="00FC3D55" w:rsidRPr="00FC3D55">
        <w:rPr>
          <w:lang w:val="es-CR" w:eastAsia="es-CR"/>
        </w:rPr>
        <w:t xml:space="preserve"> </w:t>
      </w:r>
      <w:r w:rsidR="00FC3D55" w:rsidRPr="00FC3D55">
        <w:rPr>
          <w:szCs w:val="20"/>
          <w:lang w:val="es-CR"/>
        </w:rPr>
        <w:t>adoptar</w:t>
      </w:r>
      <w:r w:rsidR="00FC3D55">
        <w:rPr>
          <w:szCs w:val="20"/>
          <w:lang w:val="es-CR"/>
        </w:rPr>
        <w:t xml:space="preserve"> </w:t>
      </w:r>
      <w:r w:rsidR="00FC3D55" w:rsidRPr="00FC3D55">
        <w:rPr>
          <w:szCs w:val="20"/>
          <w:lang w:val="es-CR"/>
        </w:rPr>
        <w:t>todas las medidas de derecho interno que sean necesarias para asegurar que ningún acto administrativo o decisión adoptada en el proceso disciplinario, declarado violatorio de los derechos reconocidos en la Convención Americana, produzca efecto legal alguno en los derechos sociales y/o prestacionales que corresponderían al señor Flor Freire de haberse retirado voluntariamente de l</w:t>
      </w:r>
      <w:r w:rsidR="00FC3D55">
        <w:rPr>
          <w:szCs w:val="20"/>
          <w:lang w:val="es-CR"/>
        </w:rPr>
        <w:t>as Fuerzas Armadas ecuatorianas, y</w:t>
      </w:r>
      <w:r w:rsidR="00FC3D55" w:rsidRPr="00FC3D55">
        <w:rPr>
          <w:szCs w:val="20"/>
          <w:lang w:val="es-CR"/>
        </w:rPr>
        <w:t xml:space="preserve"> </w:t>
      </w:r>
      <w:r w:rsidR="00FC3D55">
        <w:rPr>
          <w:szCs w:val="20"/>
          <w:lang w:val="es-CR"/>
        </w:rPr>
        <w:t>a</w:t>
      </w:r>
      <w:r w:rsidR="00FC3D55" w:rsidRPr="00FC3D55">
        <w:rPr>
          <w:szCs w:val="20"/>
          <w:lang w:val="es-CR"/>
        </w:rPr>
        <w:t xml:space="preserve">demás </w:t>
      </w:r>
      <w:r w:rsidR="00FC3D55" w:rsidRPr="00FC3D55">
        <w:rPr>
          <w:szCs w:val="20"/>
          <w:lang w:val="es-ES"/>
        </w:rPr>
        <w:t>eliminar la referencia a dicho proceso de su hoja de vida militar</w:t>
      </w:r>
      <w:r w:rsidR="00FC3D55">
        <w:rPr>
          <w:szCs w:val="20"/>
          <w:lang w:val="es-CR"/>
        </w:rPr>
        <w:t>; iv)</w:t>
      </w:r>
      <w:r w:rsidRPr="0095153D">
        <w:rPr>
          <w:szCs w:val="20"/>
          <w:lang w:val="es-CO"/>
        </w:rPr>
        <w:t xml:space="preserve"> publicar la </w:t>
      </w:r>
      <w:r w:rsidR="00FC3D55">
        <w:rPr>
          <w:szCs w:val="20"/>
          <w:lang w:val="es-CO"/>
        </w:rPr>
        <w:t xml:space="preserve">Sentencia y su resumen oficial; v) </w:t>
      </w:r>
      <w:r w:rsidR="00FC3D55" w:rsidRPr="00293E96">
        <w:rPr>
          <w:lang w:val="es-ES"/>
        </w:rPr>
        <w:t>poner en práctica</w:t>
      </w:r>
      <w:r w:rsidR="00FC3D55" w:rsidRPr="00A9370E">
        <w:rPr>
          <w:lang w:val="es-ES"/>
        </w:rPr>
        <w:t xml:space="preserve"> </w:t>
      </w:r>
      <w:r w:rsidR="00FC3D55" w:rsidRPr="00A9370E">
        <w:rPr>
          <w:lang w:val="es-ES"/>
        </w:rPr>
        <w:lastRenderedPageBreak/>
        <w:t>programas de capacitación de carácter continuo y permanente a los miembros de las Fuerzas Armadas sobre la prohibición de discriminación por orientación sexual</w:t>
      </w:r>
      <w:r w:rsidR="00FC3D55">
        <w:rPr>
          <w:lang w:val="es-ES"/>
        </w:rPr>
        <w:t xml:space="preserve">, </w:t>
      </w:r>
      <w:r w:rsidRPr="0095153D">
        <w:rPr>
          <w:szCs w:val="20"/>
          <w:lang w:val="es-CO"/>
        </w:rPr>
        <w:t xml:space="preserve">y (ii) pagar </w:t>
      </w:r>
      <w:r w:rsidR="005F134C">
        <w:rPr>
          <w:szCs w:val="20"/>
          <w:lang w:val="es-CO"/>
        </w:rPr>
        <w:t xml:space="preserve">las cantidades fijadas </w:t>
      </w:r>
      <w:r w:rsidRPr="0095153D">
        <w:rPr>
          <w:szCs w:val="20"/>
          <w:lang w:val="es-CO"/>
        </w:rPr>
        <w:t>en la Sentencia por concepto de indemnización por daños materiales e inmateriales</w:t>
      </w:r>
      <w:r w:rsidR="005F134C">
        <w:rPr>
          <w:szCs w:val="20"/>
          <w:lang w:val="es-CO"/>
        </w:rPr>
        <w:t>,</w:t>
      </w:r>
      <w:r w:rsidRPr="0095153D">
        <w:rPr>
          <w:szCs w:val="20"/>
          <w:lang w:val="es-CO"/>
        </w:rPr>
        <w:t xml:space="preserve"> reintegro de costas y gastos</w:t>
      </w:r>
      <w:r w:rsidR="005F134C">
        <w:rPr>
          <w:szCs w:val="20"/>
          <w:lang w:val="es-CO"/>
        </w:rPr>
        <w:t xml:space="preserve"> y reintegro al Fondo de Asistencia Legal de Víctimas de la Corte</w:t>
      </w:r>
      <w:r w:rsidRPr="0095153D">
        <w:rPr>
          <w:szCs w:val="20"/>
          <w:lang w:val="es-CO"/>
        </w:rPr>
        <w:t xml:space="preserve">. </w:t>
      </w:r>
    </w:p>
    <w:p w14:paraId="68096807" w14:textId="77777777" w:rsidR="00B11785" w:rsidRPr="00B11785" w:rsidRDefault="00B11785" w:rsidP="008F5D36">
      <w:pPr>
        <w:jc w:val="both"/>
        <w:rPr>
          <w:szCs w:val="20"/>
          <w:lang w:val="es-CO"/>
        </w:rPr>
      </w:pPr>
    </w:p>
    <w:p w14:paraId="48B9AA6E" w14:textId="77777777" w:rsidR="008F5D36" w:rsidRPr="0095153D" w:rsidRDefault="008F5D36" w:rsidP="008F5D36">
      <w:pPr>
        <w:jc w:val="center"/>
        <w:rPr>
          <w:rFonts w:eastAsia="Calibri"/>
          <w:szCs w:val="20"/>
          <w:lang w:val="es-ES_tradnl" w:eastAsia="es-ES"/>
        </w:rPr>
      </w:pPr>
      <w:r w:rsidRPr="0095153D">
        <w:rPr>
          <w:rFonts w:eastAsia="Calibri"/>
          <w:szCs w:val="20"/>
          <w:lang w:val="es-ES_tradnl" w:eastAsia="es-ES"/>
        </w:rPr>
        <w:t>-----</w:t>
      </w:r>
    </w:p>
    <w:p w14:paraId="15CC1E79" w14:textId="77777777" w:rsidR="008F5D36" w:rsidRPr="0095153D" w:rsidRDefault="008F5D36" w:rsidP="008F5D36">
      <w:pPr>
        <w:jc w:val="center"/>
        <w:rPr>
          <w:rFonts w:eastAsia="Calibri"/>
          <w:szCs w:val="20"/>
          <w:lang w:val="es-ES_tradnl" w:eastAsia="es-ES"/>
        </w:rPr>
      </w:pPr>
    </w:p>
    <w:p w14:paraId="52B9B9A2" w14:textId="77777777" w:rsidR="008F5D36" w:rsidRPr="0095153D" w:rsidRDefault="008F5D36" w:rsidP="008F5D36">
      <w:pPr>
        <w:jc w:val="both"/>
        <w:rPr>
          <w:rFonts w:eastAsia="Calibri"/>
          <w:szCs w:val="20"/>
          <w:lang w:val="es-ES_tradnl" w:eastAsia="es-ES"/>
        </w:rPr>
      </w:pPr>
      <w:r w:rsidRPr="0095153D">
        <w:rPr>
          <w:rFonts w:eastAsia="Calibri"/>
          <w:szCs w:val="20"/>
          <w:lang w:val="es-ES_tradnl" w:eastAsia="es-ES"/>
        </w:rPr>
        <w:t xml:space="preserve">La Corte Interamericana de Derechos Humanos supervisará el cumplimiento íntegro de la Sentencia, en ejercicio de sus atribuciones y en cumplimiento de sus deberes conforme a la Convención Americana sobre Derechos Humanos, y dará por concluido el caso una vez que el Estado haya dado cabal cumplimiento a lo dispuesto en la Sentencia. </w:t>
      </w:r>
    </w:p>
    <w:p w14:paraId="3A13661A" w14:textId="77777777" w:rsidR="008F5D36" w:rsidRPr="0095153D" w:rsidRDefault="008F5D36" w:rsidP="008F5D36">
      <w:pPr>
        <w:jc w:val="both"/>
        <w:rPr>
          <w:rFonts w:eastAsia="Calibri"/>
          <w:szCs w:val="20"/>
          <w:lang w:val="es-ES_tradnl" w:eastAsia="es-ES"/>
        </w:rPr>
      </w:pPr>
    </w:p>
    <w:p w14:paraId="23CFB917" w14:textId="35CCAE3A" w:rsidR="008F5D36" w:rsidRPr="000B46F1" w:rsidRDefault="008F5D36" w:rsidP="000B46F1">
      <w:pPr>
        <w:jc w:val="both"/>
        <w:rPr>
          <w:rFonts w:eastAsia="Calibri"/>
          <w:szCs w:val="20"/>
          <w:lang w:val="es-ES_tradnl" w:eastAsia="es-ES"/>
        </w:rPr>
      </w:pPr>
      <w:r w:rsidRPr="0095153D">
        <w:rPr>
          <w:rFonts w:eastAsia="Calibri"/>
          <w:szCs w:val="20"/>
          <w:lang w:val="es-ES_tradnl" w:eastAsia="es-ES"/>
        </w:rPr>
        <w:t xml:space="preserve">El texto íntegro de la Sentencia puede consultarse en el siguiente enlace: </w:t>
      </w:r>
      <w:hyperlink r:id="rId8" w:history="1">
        <w:r w:rsidRPr="0095153D">
          <w:rPr>
            <w:rFonts w:eastAsia="Calibri"/>
            <w:color w:val="0000FF"/>
            <w:szCs w:val="20"/>
            <w:u w:val="single"/>
            <w:lang w:val="es-ES_tradnl" w:eastAsia="es-ES"/>
          </w:rPr>
          <w:t>http://www.corteidh.or.cr/casos.cfm</w:t>
        </w:r>
      </w:hyperlink>
      <w:r w:rsidRPr="0095153D">
        <w:rPr>
          <w:rFonts w:eastAsia="Calibri"/>
          <w:szCs w:val="20"/>
          <w:lang w:val="es-ES_tradnl" w:eastAsia="es-ES"/>
        </w:rPr>
        <w:t xml:space="preserve"> </w:t>
      </w:r>
    </w:p>
    <w:p w14:paraId="1BC14991" w14:textId="21708420" w:rsidR="005F134C" w:rsidRPr="005F134C" w:rsidRDefault="005F134C">
      <w:pPr>
        <w:rPr>
          <w:lang w:val="es-CR"/>
        </w:rPr>
      </w:pPr>
    </w:p>
    <w:sectPr w:rsidR="005F134C" w:rsidRPr="005F134C" w:rsidSect="00CB4035">
      <w:headerReference w:type="default" r:id="rId9"/>
      <w:headerReference w:type="first" r:id="rId10"/>
      <w:pgSz w:w="12240" w:h="15840"/>
      <w:pgMar w:top="1276" w:right="1418" w:bottom="1134"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E2F78" w14:textId="77777777" w:rsidR="00221658" w:rsidRDefault="00221658" w:rsidP="00213112">
      <w:r>
        <w:separator/>
      </w:r>
    </w:p>
  </w:endnote>
  <w:endnote w:type="continuationSeparator" w:id="0">
    <w:p w14:paraId="3754B7BF" w14:textId="77777777" w:rsidR="00221658" w:rsidRDefault="00221658" w:rsidP="00213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Batang">
    <w:altName w:val="바탕"/>
    <w:panose1 w:val="02030600000101010101"/>
    <w:charset w:val="81"/>
    <w:family w:val="roman"/>
    <w:pitch w:val="variable"/>
    <w:sig w:usb0="B00002AF" w:usb1="69D77CFB" w:usb2="00000030" w:usb3="00000000" w:csb0="0008009F" w:csb1="00000000"/>
  </w:font>
  <w:font w:name="Palatino-Italic">
    <w:altName w:val="Segoe UI Historic"/>
    <w:charset w:val="00"/>
    <w:family w:val="auto"/>
    <w:pitch w:val="variable"/>
    <w:sig w:usb0="00000001"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UnicodeMS">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50F49" w14:textId="77777777" w:rsidR="00221658" w:rsidRDefault="00221658" w:rsidP="00213112">
      <w:r>
        <w:separator/>
      </w:r>
    </w:p>
  </w:footnote>
  <w:footnote w:type="continuationSeparator" w:id="0">
    <w:p w14:paraId="25EF550E" w14:textId="77777777" w:rsidR="00221658" w:rsidRDefault="00221658" w:rsidP="00213112">
      <w:r>
        <w:continuationSeparator/>
      </w:r>
    </w:p>
  </w:footnote>
  <w:footnote w:id="1">
    <w:p w14:paraId="225EF972" w14:textId="5C3692FC" w:rsidR="00221658" w:rsidRPr="00CA52FC" w:rsidRDefault="00221658" w:rsidP="00A55E89">
      <w:pPr>
        <w:pStyle w:val="Textonotapie"/>
        <w:tabs>
          <w:tab w:val="left" w:pos="426"/>
        </w:tabs>
        <w:rPr>
          <w:lang w:val="es-ES"/>
        </w:rPr>
      </w:pPr>
      <w:r w:rsidRPr="00CA52FC">
        <w:rPr>
          <w:rStyle w:val="Refdenotaalpie"/>
        </w:rPr>
        <w:t>*</w:t>
      </w:r>
      <w:r w:rsidRPr="00CA52FC">
        <w:t xml:space="preserve"> </w:t>
      </w:r>
      <w:r w:rsidRPr="00CA52FC">
        <w:tab/>
      </w:r>
      <w:r>
        <w:t>Integrada por los siguientes jueces: Roberto F. Caldas, Presidente; Eduardo Ferrer Mac-</w:t>
      </w:r>
      <w:proofErr w:type="spellStart"/>
      <w:r>
        <w:t>Gregor</w:t>
      </w:r>
      <w:proofErr w:type="spellEnd"/>
      <w:r>
        <w:t xml:space="preserve"> </w:t>
      </w:r>
      <w:proofErr w:type="spellStart"/>
      <w:r>
        <w:t>Poisot</w:t>
      </w:r>
      <w:proofErr w:type="spellEnd"/>
      <w:r>
        <w:t xml:space="preserve">, Vicepresidente; Eduardo Vio Grossi, Juez; Humberto Antonio Sierra Porto, Juez; Elizabeth Odio Benito, Jueza; Eugenio Raúl Zaffaroni, Juez. Presentes, además, el Secretario Pablo Saavedra Alessandri y la Secretaria Adjunta Emilia Segares Rodríguez. </w:t>
      </w:r>
      <w:r w:rsidRPr="00CA52FC">
        <w:rPr>
          <w:lang w:val="es-CR" w:eastAsia="en-US"/>
        </w:rPr>
        <w:t>El Juez Patricio Pazmiño Freire, de nacionalidad ecuatoriana, no participó en el conocimiento ni en la deliberación del presente caso, de conformidad con lo dispuesto en el artículo 19.1 del Reglamento de la Corte.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6919876"/>
      <w:docPartObj>
        <w:docPartGallery w:val="Page Numbers (Top of Page)"/>
        <w:docPartUnique/>
      </w:docPartObj>
    </w:sdtPr>
    <w:sdtEndPr>
      <w:rPr>
        <w:noProof/>
      </w:rPr>
    </w:sdtEndPr>
    <w:sdtContent>
      <w:p w14:paraId="2D26B747" w14:textId="6F2B39AF" w:rsidR="00221658" w:rsidRDefault="00221658">
        <w:pPr>
          <w:pStyle w:val="Encabezado"/>
          <w:jc w:val="center"/>
        </w:pPr>
        <w:r>
          <w:t xml:space="preserve">- </w:t>
        </w:r>
        <w:r>
          <w:fldChar w:fldCharType="begin"/>
        </w:r>
        <w:r>
          <w:instrText xml:space="preserve"> PAGE   \* MERGEFORMAT </w:instrText>
        </w:r>
        <w:r>
          <w:fldChar w:fldCharType="separate"/>
        </w:r>
        <w:r w:rsidR="00647486">
          <w:rPr>
            <w:noProof/>
          </w:rPr>
          <w:t>2</w:t>
        </w:r>
        <w:r>
          <w:rPr>
            <w:noProof/>
          </w:rPr>
          <w:fldChar w:fldCharType="end"/>
        </w:r>
        <w:r>
          <w:rPr>
            <w:noProof/>
          </w:rPr>
          <w:t xml:space="preserve"> -</w:t>
        </w:r>
      </w:p>
    </w:sdtContent>
  </w:sdt>
  <w:p w14:paraId="4151F4BC" w14:textId="77777777" w:rsidR="00221658" w:rsidRDefault="0022165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34A29" w14:textId="77777777" w:rsidR="00221658" w:rsidRPr="006159F9" w:rsidRDefault="00221658" w:rsidP="00B01BB9">
    <w:pPr>
      <w:pStyle w:val="Encabezado"/>
    </w:pPr>
  </w:p>
  <w:p w14:paraId="696B0CA8" w14:textId="25859799" w:rsidR="00221658" w:rsidRPr="006159F9" w:rsidRDefault="00221658" w:rsidP="00B01BB9">
    <w:pPr>
      <w:pStyle w:val="Encabezado"/>
      <w:rPr>
        <w:sz w:val="16"/>
        <w:szCs w:val="16"/>
      </w:rPr>
    </w:pPr>
  </w:p>
  <w:p w14:paraId="5B8C34F5" w14:textId="143A7265" w:rsidR="00221658" w:rsidRDefault="00221658" w:rsidP="00B01BB9">
    <w:pPr>
      <w:pStyle w:val="Encabezado"/>
      <w:ind w:hanging="1276"/>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A1530"/>
    <w:multiLevelType w:val="hybridMultilevel"/>
    <w:tmpl w:val="38C0782C"/>
    <w:lvl w:ilvl="0" w:tplc="6EAE83CE">
      <w:start w:val="1"/>
      <w:numFmt w:val="upperRoman"/>
      <w:lvlText w:val="%1."/>
      <w:lvlJc w:val="left"/>
      <w:pPr>
        <w:ind w:left="1080" w:hanging="720"/>
      </w:pPr>
      <w:rPr>
        <w:rFonts w:hint="default"/>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0B1F83"/>
    <w:multiLevelType w:val="hybridMultilevel"/>
    <w:tmpl w:val="28EA1F4E"/>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B137842"/>
    <w:multiLevelType w:val="hybridMultilevel"/>
    <w:tmpl w:val="B1D8364A"/>
    <w:lvl w:ilvl="0" w:tplc="8A94DEBE">
      <w:start w:val="1"/>
      <w:numFmt w:val="lowerLetter"/>
      <w:lvlText w:val="%1."/>
      <w:lvlJc w:val="left"/>
      <w:pPr>
        <w:ind w:left="720"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F7F4112"/>
    <w:multiLevelType w:val="hybridMultilevel"/>
    <w:tmpl w:val="5DC27146"/>
    <w:lvl w:ilvl="0" w:tplc="140A0015">
      <w:start w:val="1"/>
      <w:numFmt w:val="upperLetter"/>
      <w:lvlText w:val="%1."/>
      <w:lvlJc w:val="left"/>
      <w:pPr>
        <w:ind w:left="720"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07F189F"/>
    <w:multiLevelType w:val="hybridMultilevel"/>
    <w:tmpl w:val="1ACEB8FE"/>
    <w:lvl w:ilvl="0" w:tplc="2976F23A">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5" w15:restartNumberingAfterBreak="0">
    <w:nsid w:val="17A55A11"/>
    <w:multiLevelType w:val="hybridMultilevel"/>
    <w:tmpl w:val="5BF663F0"/>
    <w:lvl w:ilvl="0" w:tplc="83E6877E">
      <w:start w:val="1"/>
      <w:numFmt w:val="lowerLetter"/>
      <w:lvlText w:val="%1."/>
      <w:lvlJc w:val="left"/>
      <w:pPr>
        <w:ind w:left="720"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7BC4D29"/>
    <w:multiLevelType w:val="hybridMultilevel"/>
    <w:tmpl w:val="1090B34E"/>
    <w:lvl w:ilvl="0" w:tplc="6EAE83CE">
      <w:start w:val="1"/>
      <w:numFmt w:val="upperRoman"/>
      <w:lvlText w:val="%1."/>
      <w:lvlJc w:val="left"/>
      <w:pPr>
        <w:ind w:left="1080" w:hanging="720"/>
      </w:pPr>
      <w:rPr>
        <w:rFonts w:hint="default"/>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0BB51D0"/>
    <w:multiLevelType w:val="hybridMultilevel"/>
    <w:tmpl w:val="AE5A2C56"/>
    <w:lvl w:ilvl="0" w:tplc="69962AFE">
      <w:start w:val="1"/>
      <w:numFmt w:val="decimal"/>
      <w:lvlText w:val="%1."/>
      <w:lvlJc w:val="left"/>
      <w:pPr>
        <w:ind w:left="0" w:firstLine="0"/>
      </w:pPr>
      <w:rPr>
        <w:b w:val="0"/>
        <w:i w:val="0"/>
        <w:strike w:val="0"/>
        <w:dstrike w:val="0"/>
        <w:sz w:val="20"/>
        <w:u w:val="none"/>
        <w:effect w:val="none"/>
        <w:lang w:val="es-ES_tradnl"/>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8" w15:restartNumberingAfterBreak="0">
    <w:nsid w:val="20EA7BA2"/>
    <w:multiLevelType w:val="hybridMultilevel"/>
    <w:tmpl w:val="FC62EA48"/>
    <w:lvl w:ilvl="0" w:tplc="4190A54C">
      <w:start w:val="1"/>
      <w:numFmt w:val="lowerLetter"/>
      <w:lvlText w:val="%1."/>
      <w:lvlJc w:val="left"/>
      <w:pPr>
        <w:ind w:left="720"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4A473A0"/>
    <w:multiLevelType w:val="hybridMultilevel"/>
    <w:tmpl w:val="899E19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6144C9"/>
    <w:multiLevelType w:val="hybridMultilevel"/>
    <w:tmpl w:val="DFC2C88C"/>
    <w:lvl w:ilvl="0" w:tplc="0D003964">
      <w:start w:val="1"/>
      <w:numFmt w:val="decimal"/>
      <w:lvlText w:val="%1."/>
      <w:lvlJc w:val="left"/>
      <w:pPr>
        <w:tabs>
          <w:tab w:val="num" w:pos="12305"/>
        </w:tabs>
        <w:ind w:left="0" w:firstLine="0"/>
      </w:pPr>
      <w:rPr>
        <w:rFonts w:ascii="Verdana" w:eastAsia="Times New Roman" w:hAnsi="Verdana"/>
        <w:b w:val="0"/>
        <w:bCs w:val="0"/>
        <w:i w:val="0"/>
        <w:iCs w:val="0"/>
        <w:strike w:val="0"/>
        <w:dstrike w:val="0"/>
        <w:color w:val="auto"/>
        <w:sz w:val="20"/>
        <w:szCs w:val="20"/>
        <w:u w:val="none"/>
        <w:effect w:val="none"/>
        <w:lang w:val="es-ES"/>
      </w:rPr>
    </w:lvl>
    <w:lvl w:ilvl="1" w:tplc="D8688752">
      <w:start w:val="1"/>
      <w:numFmt w:val="decimal"/>
      <w:lvlText w:val="%2."/>
      <w:lvlJc w:val="left"/>
      <w:pPr>
        <w:tabs>
          <w:tab w:val="num" w:pos="1080"/>
        </w:tabs>
        <w:ind w:left="1080" w:hanging="360"/>
      </w:pPr>
      <w:rPr>
        <w:b/>
        <w:bCs w:val="0"/>
        <w:i w:val="0"/>
        <w:iCs w:val="0"/>
        <w:color w:val="FF0000"/>
        <w:sz w:val="20"/>
        <w:szCs w:val="20"/>
      </w:rPr>
    </w:lvl>
    <w:lvl w:ilvl="2" w:tplc="0409001B">
      <w:start w:val="1"/>
      <w:numFmt w:val="lowerRoman"/>
      <w:lvlText w:val="%3."/>
      <w:lvlJc w:val="right"/>
      <w:pPr>
        <w:tabs>
          <w:tab w:val="num" w:pos="1530"/>
        </w:tabs>
        <w:ind w:left="1530" w:hanging="180"/>
      </w:pPr>
      <w:rPr>
        <w:b w:val="0"/>
        <w:strike w:val="0"/>
        <w:dstrike w:val="0"/>
        <w:u w:val="none"/>
        <w:effect w:val="none"/>
      </w:rPr>
    </w:lvl>
    <w:lvl w:ilvl="3" w:tplc="140A001B">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2D817BBB"/>
    <w:multiLevelType w:val="hybridMultilevel"/>
    <w:tmpl w:val="7DEE7336"/>
    <w:lvl w:ilvl="0" w:tplc="391AE4BE">
      <w:start w:val="1"/>
      <w:numFmt w:val="decimal"/>
      <w:lvlText w:val="%1."/>
      <w:lvlJc w:val="left"/>
      <w:pPr>
        <w:tabs>
          <w:tab w:val="num" w:pos="567"/>
        </w:tabs>
        <w:ind w:left="0" w:firstLine="0"/>
      </w:pPr>
      <w:rPr>
        <w:rFonts w:ascii="Verdana" w:eastAsia="Times New Roman" w:hAnsi="Verdana" w:hint="default"/>
        <w:b w:val="0"/>
        <w:bCs w:val="0"/>
        <w:i w:val="0"/>
        <w:iCs w:val="0"/>
        <w:strike w:val="0"/>
        <w:color w:val="auto"/>
        <w:sz w:val="20"/>
        <w:szCs w:val="20"/>
        <w:lang w:val="es-CR"/>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DDF7EE3"/>
    <w:multiLevelType w:val="hybridMultilevel"/>
    <w:tmpl w:val="5F666258"/>
    <w:lvl w:ilvl="0" w:tplc="89002CFE">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350D7A9D"/>
    <w:multiLevelType w:val="hybridMultilevel"/>
    <w:tmpl w:val="AC26D520"/>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398A1FFB"/>
    <w:multiLevelType w:val="hybridMultilevel"/>
    <w:tmpl w:val="0C2C2EEE"/>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459A57B8"/>
    <w:multiLevelType w:val="hybridMultilevel"/>
    <w:tmpl w:val="915869B8"/>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48D26B43"/>
    <w:multiLevelType w:val="hybridMultilevel"/>
    <w:tmpl w:val="6B8A2C96"/>
    <w:lvl w:ilvl="0" w:tplc="140A0015">
      <w:start w:val="1"/>
      <w:numFmt w:val="upperLetter"/>
      <w:lvlText w:val="%1."/>
      <w:lvlJc w:val="left"/>
      <w:pPr>
        <w:ind w:left="720"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53A41471"/>
    <w:multiLevelType w:val="hybridMultilevel"/>
    <w:tmpl w:val="C2A4A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B975E5"/>
    <w:multiLevelType w:val="hybridMultilevel"/>
    <w:tmpl w:val="431C1B14"/>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6"/>
  </w:num>
  <w:num w:numId="2">
    <w:abstractNumId w:val="1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7"/>
  </w:num>
  <w:num w:numId="6">
    <w:abstractNumId w:val="1"/>
  </w:num>
  <w:num w:numId="7">
    <w:abstractNumId w:val="18"/>
  </w:num>
  <w:num w:numId="8">
    <w:abstractNumId w:val="15"/>
  </w:num>
  <w:num w:numId="9">
    <w:abstractNumId w:val="4"/>
  </w:num>
  <w:num w:numId="10">
    <w:abstractNumId w:val="12"/>
  </w:num>
  <w:num w:numId="11">
    <w:abstractNumId w:val="14"/>
  </w:num>
  <w:num w:numId="12">
    <w:abstractNumId w:val="9"/>
  </w:num>
  <w:num w:numId="13">
    <w:abstractNumId w:val="17"/>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0"/>
  </w:num>
  <w:num w:numId="17">
    <w:abstractNumId w:val="5"/>
  </w:num>
  <w:num w:numId="18">
    <w:abstractNumId w:val="8"/>
  </w:num>
  <w:num w:numId="19">
    <w:abstractNumId w:val="2"/>
  </w:num>
  <w:num w:numId="20">
    <w:abstractNumId w:val="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D36"/>
    <w:rsid w:val="000312DE"/>
    <w:rsid w:val="00036013"/>
    <w:rsid w:val="0008359A"/>
    <w:rsid w:val="00087F14"/>
    <w:rsid w:val="00093A0B"/>
    <w:rsid w:val="000B46F1"/>
    <w:rsid w:val="000B74BB"/>
    <w:rsid w:val="000D075A"/>
    <w:rsid w:val="000D64D7"/>
    <w:rsid w:val="000E619D"/>
    <w:rsid w:val="001003B9"/>
    <w:rsid w:val="00127C78"/>
    <w:rsid w:val="00153037"/>
    <w:rsid w:val="00157437"/>
    <w:rsid w:val="00162561"/>
    <w:rsid w:val="00175A27"/>
    <w:rsid w:val="00184834"/>
    <w:rsid w:val="001879F6"/>
    <w:rsid w:val="00191347"/>
    <w:rsid w:val="00194B6B"/>
    <w:rsid w:val="001B6ABD"/>
    <w:rsid w:val="001D4E76"/>
    <w:rsid w:val="001E0B84"/>
    <w:rsid w:val="001F2B2F"/>
    <w:rsid w:val="002052BE"/>
    <w:rsid w:val="002075A9"/>
    <w:rsid w:val="00213112"/>
    <w:rsid w:val="002211E9"/>
    <w:rsid w:val="00221658"/>
    <w:rsid w:val="00230ACA"/>
    <w:rsid w:val="00241709"/>
    <w:rsid w:val="00267364"/>
    <w:rsid w:val="00294ED6"/>
    <w:rsid w:val="00296A37"/>
    <w:rsid w:val="00307435"/>
    <w:rsid w:val="0031509D"/>
    <w:rsid w:val="00325122"/>
    <w:rsid w:val="00325908"/>
    <w:rsid w:val="003554C1"/>
    <w:rsid w:val="00376791"/>
    <w:rsid w:val="003877C6"/>
    <w:rsid w:val="003B496E"/>
    <w:rsid w:val="003B623F"/>
    <w:rsid w:val="003C7A37"/>
    <w:rsid w:val="00424ABE"/>
    <w:rsid w:val="004260B5"/>
    <w:rsid w:val="00444549"/>
    <w:rsid w:val="004445AB"/>
    <w:rsid w:val="00446002"/>
    <w:rsid w:val="004463F4"/>
    <w:rsid w:val="004476F4"/>
    <w:rsid w:val="00450CBF"/>
    <w:rsid w:val="00493B0E"/>
    <w:rsid w:val="004C78FF"/>
    <w:rsid w:val="004D273A"/>
    <w:rsid w:val="004D51AA"/>
    <w:rsid w:val="004F1398"/>
    <w:rsid w:val="004F76AE"/>
    <w:rsid w:val="00513B90"/>
    <w:rsid w:val="00513E4C"/>
    <w:rsid w:val="00537278"/>
    <w:rsid w:val="00555558"/>
    <w:rsid w:val="00562EE3"/>
    <w:rsid w:val="0058737C"/>
    <w:rsid w:val="005A1A14"/>
    <w:rsid w:val="005A6812"/>
    <w:rsid w:val="005C46A7"/>
    <w:rsid w:val="005C5833"/>
    <w:rsid w:val="005F041E"/>
    <w:rsid w:val="005F134C"/>
    <w:rsid w:val="005F7226"/>
    <w:rsid w:val="00622E3F"/>
    <w:rsid w:val="00623607"/>
    <w:rsid w:val="00626F35"/>
    <w:rsid w:val="00631FA7"/>
    <w:rsid w:val="006472EB"/>
    <w:rsid w:val="00647486"/>
    <w:rsid w:val="0065066D"/>
    <w:rsid w:val="00652143"/>
    <w:rsid w:val="00653517"/>
    <w:rsid w:val="00697DCD"/>
    <w:rsid w:val="006A62B8"/>
    <w:rsid w:val="006F072F"/>
    <w:rsid w:val="006F2C08"/>
    <w:rsid w:val="006F2E04"/>
    <w:rsid w:val="006F7B2E"/>
    <w:rsid w:val="00711D27"/>
    <w:rsid w:val="00717B35"/>
    <w:rsid w:val="007268EF"/>
    <w:rsid w:val="00742044"/>
    <w:rsid w:val="00744157"/>
    <w:rsid w:val="00750E64"/>
    <w:rsid w:val="00767076"/>
    <w:rsid w:val="007A002C"/>
    <w:rsid w:val="007E7339"/>
    <w:rsid w:val="007E7D2D"/>
    <w:rsid w:val="007F500F"/>
    <w:rsid w:val="00811ACA"/>
    <w:rsid w:val="00812845"/>
    <w:rsid w:val="00820CB7"/>
    <w:rsid w:val="00827A6D"/>
    <w:rsid w:val="008336CF"/>
    <w:rsid w:val="00840A7B"/>
    <w:rsid w:val="008577FE"/>
    <w:rsid w:val="008E6E78"/>
    <w:rsid w:val="008F5D36"/>
    <w:rsid w:val="008F6D7D"/>
    <w:rsid w:val="0090400B"/>
    <w:rsid w:val="009560C2"/>
    <w:rsid w:val="0098785E"/>
    <w:rsid w:val="009905E2"/>
    <w:rsid w:val="00994B02"/>
    <w:rsid w:val="009A11F6"/>
    <w:rsid w:val="009A1849"/>
    <w:rsid w:val="009B4722"/>
    <w:rsid w:val="009C13A4"/>
    <w:rsid w:val="009C2D25"/>
    <w:rsid w:val="009D630C"/>
    <w:rsid w:val="009D678A"/>
    <w:rsid w:val="009F5067"/>
    <w:rsid w:val="00A02360"/>
    <w:rsid w:val="00A17936"/>
    <w:rsid w:val="00A22C5F"/>
    <w:rsid w:val="00A54BA1"/>
    <w:rsid w:val="00A55E89"/>
    <w:rsid w:val="00A61C95"/>
    <w:rsid w:val="00A82363"/>
    <w:rsid w:val="00A853DC"/>
    <w:rsid w:val="00A94AD9"/>
    <w:rsid w:val="00AC0ABA"/>
    <w:rsid w:val="00AC4E2E"/>
    <w:rsid w:val="00AD32C9"/>
    <w:rsid w:val="00AD3B19"/>
    <w:rsid w:val="00AE4CF7"/>
    <w:rsid w:val="00AF29E8"/>
    <w:rsid w:val="00AF3272"/>
    <w:rsid w:val="00AF45A6"/>
    <w:rsid w:val="00B01BB9"/>
    <w:rsid w:val="00B11785"/>
    <w:rsid w:val="00B532EC"/>
    <w:rsid w:val="00B57B4F"/>
    <w:rsid w:val="00B66F66"/>
    <w:rsid w:val="00B84716"/>
    <w:rsid w:val="00B901D9"/>
    <w:rsid w:val="00B935C3"/>
    <w:rsid w:val="00B969BA"/>
    <w:rsid w:val="00BB2B89"/>
    <w:rsid w:val="00BB2CDE"/>
    <w:rsid w:val="00BB66D8"/>
    <w:rsid w:val="00BD0F90"/>
    <w:rsid w:val="00BF756B"/>
    <w:rsid w:val="00C1044D"/>
    <w:rsid w:val="00C141B1"/>
    <w:rsid w:val="00C253E1"/>
    <w:rsid w:val="00C36DF5"/>
    <w:rsid w:val="00C54FB0"/>
    <w:rsid w:val="00C607D3"/>
    <w:rsid w:val="00C7346A"/>
    <w:rsid w:val="00C749C1"/>
    <w:rsid w:val="00C804C0"/>
    <w:rsid w:val="00C9364A"/>
    <w:rsid w:val="00C95463"/>
    <w:rsid w:val="00C97DBA"/>
    <w:rsid w:val="00CA3191"/>
    <w:rsid w:val="00CA7EA2"/>
    <w:rsid w:val="00CB4035"/>
    <w:rsid w:val="00CC37FA"/>
    <w:rsid w:val="00CC53D0"/>
    <w:rsid w:val="00CD4478"/>
    <w:rsid w:val="00CD6DB6"/>
    <w:rsid w:val="00D32B32"/>
    <w:rsid w:val="00D37B84"/>
    <w:rsid w:val="00D41F7D"/>
    <w:rsid w:val="00D50848"/>
    <w:rsid w:val="00D53DAA"/>
    <w:rsid w:val="00D6208D"/>
    <w:rsid w:val="00D6469C"/>
    <w:rsid w:val="00D94E46"/>
    <w:rsid w:val="00DA3A57"/>
    <w:rsid w:val="00DC55C0"/>
    <w:rsid w:val="00E06BFC"/>
    <w:rsid w:val="00E21247"/>
    <w:rsid w:val="00E41AEA"/>
    <w:rsid w:val="00E501B2"/>
    <w:rsid w:val="00E632A8"/>
    <w:rsid w:val="00E720C6"/>
    <w:rsid w:val="00E75CC4"/>
    <w:rsid w:val="00E81A1E"/>
    <w:rsid w:val="00E94178"/>
    <w:rsid w:val="00EA75F0"/>
    <w:rsid w:val="00EB08CE"/>
    <w:rsid w:val="00EC5D88"/>
    <w:rsid w:val="00ED6341"/>
    <w:rsid w:val="00EE151C"/>
    <w:rsid w:val="00EF360B"/>
    <w:rsid w:val="00F10AC7"/>
    <w:rsid w:val="00F14BC4"/>
    <w:rsid w:val="00F45A7C"/>
    <w:rsid w:val="00F535ED"/>
    <w:rsid w:val="00F7063F"/>
    <w:rsid w:val="00F77E26"/>
    <w:rsid w:val="00F77F58"/>
    <w:rsid w:val="00F86D09"/>
    <w:rsid w:val="00FC3D55"/>
    <w:rsid w:val="00FD5CF2"/>
    <w:rsid w:val="00FD5F7E"/>
    <w:rsid w:val="00FE0173"/>
    <w:rsid w:val="00FE7363"/>
    <w:rsid w:val="00FE7759"/>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546B04"/>
  <w15:docId w15:val="{AB1F0D17-C162-416E-B002-526B75C50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D36"/>
    <w:pPr>
      <w:spacing w:after="0" w:line="240" w:lineRule="auto"/>
    </w:pPr>
    <w:rPr>
      <w:rFonts w:ascii="Verdana" w:eastAsia="Times New Roman" w:hAnsi="Verdana" w:cs="Times New Roman"/>
      <w:sz w:val="20"/>
      <w:szCs w:val="24"/>
      <w:lang w:val="en-US"/>
    </w:rPr>
  </w:style>
  <w:style w:type="paragraph" w:styleId="Ttulo2">
    <w:name w:val="heading 2"/>
    <w:next w:val="Normal"/>
    <w:link w:val="Ttulo2Car"/>
    <w:uiPriority w:val="99"/>
    <w:qFormat/>
    <w:rsid w:val="008F5D36"/>
    <w:pPr>
      <w:keepNext/>
      <w:spacing w:after="0" w:line="240" w:lineRule="auto"/>
      <w:jc w:val="center"/>
      <w:outlineLvl w:val="1"/>
    </w:pPr>
    <w:rPr>
      <w:rFonts w:ascii="Helvetica" w:eastAsia="ヒラギノ角ゴ Pro W3" w:hAnsi="Helvetica" w:cs="Times New Roman"/>
      <w:b/>
      <w:color w:val="000000"/>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rsid w:val="008F5D36"/>
    <w:rPr>
      <w:rFonts w:ascii="Helvetica" w:eastAsia="ヒラギノ角ゴ Pro W3" w:hAnsi="Helvetica" w:cs="Times New Roman"/>
      <w:b/>
      <w:color w:val="000000"/>
      <w:sz w:val="20"/>
      <w:szCs w:val="20"/>
      <w:lang w:eastAsia="es-MX"/>
    </w:rPr>
  </w:style>
  <w:style w:type="paragraph" w:customStyle="1" w:styleId="PrrafodeSentencia">
    <w:name w:val="*. Párrafo de Sentencia"/>
    <w:link w:val="PrrafodeSentenciaChar"/>
    <w:autoRedefine/>
    <w:qFormat/>
    <w:rsid w:val="008F5D36"/>
    <w:pPr>
      <w:spacing w:before="120" w:after="120" w:line="240" w:lineRule="auto"/>
      <w:ind w:firstLine="720"/>
      <w:jc w:val="both"/>
    </w:pPr>
    <w:rPr>
      <w:rFonts w:ascii="Verdana" w:eastAsia="Batang" w:hAnsi="Verdana" w:cs="Times New Roman"/>
      <w:spacing w:val="-2"/>
      <w:sz w:val="20"/>
      <w:szCs w:val="20"/>
      <w:lang w:val="es-CL" w:eastAsia="es-MX"/>
    </w:rPr>
  </w:style>
  <w:style w:type="character" w:customStyle="1" w:styleId="PrrafodeSentenciaChar">
    <w:name w:val="*. Párrafo de Sentencia Char"/>
    <w:link w:val="PrrafodeSentencia"/>
    <w:rsid w:val="008F5D36"/>
    <w:rPr>
      <w:rFonts w:ascii="Verdana" w:eastAsia="Batang" w:hAnsi="Verdana" w:cs="Times New Roman"/>
      <w:spacing w:val="-2"/>
      <w:sz w:val="20"/>
      <w:szCs w:val="20"/>
      <w:lang w:val="es-CL" w:eastAsia="es-MX"/>
    </w:rPr>
  </w:style>
  <w:style w:type="paragraph" w:styleId="Prrafodelista">
    <w:name w:val="List Paragraph"/>
    <w:aliases w:val="Footnote,List Paragraph1,Colorful List - Accent 11,Párrafo de lista1"/>
    <w:basedOn w:val="Normal"/>
    <w:link w:val="PrrafodelistaCar"/>
    <w:uiPriority w:val="99"/>
    <w:qFormat/>
    <w:rsid w:val="008F5D36"/>
    <w:pPr>
      <w:ind w:left="708"/>
    </w:pPr>
  </w:style>
  <w:style w:type="character" w:customStyle="1" w:styleId="MediumGrid1-Accent2Char">
    <w:name w:val="Medium Grid 1 - Accent 2 Char"/>
    <w:aliases w:val="Footnote Char,List Paragraph1 Char,Colorful List - Accent 11 Char,Párrafo de lista1 Char"/>
    <w:link w:val="Cuadrculamedia1-nfasis2"/>
    <w:uiPriority w:val="34"/>
    <w:locked/>
    <w:rsid w:val="008F5D36"/>
    <w:rPr>
      <w:rFonts w:ascii="Verdana" w:hAnsi="Verdana"/>
      <w:sz w:val="20"/>
      <w:lang w:val="es-ES_tradnl" w:eastAsia="es-ES"/>
    </w:rPr>
  </w:style>
  <w:style w:type="table" w:styleId="Cuadrculamedia1-nfasis2">
    <w:name w:val="Medium Grid 1 Accent 2"/>
    <w:basedOn w:val="Tablanormal"/>
    <w:link w:val="MediumGrid1-Accent2Char"/>
    <w:uiPriority w:val="34"/>
    <w:rsid w:val="008F5D36"/>
    <w:pPr>
      <w:spacing w:after="0" w:line="240" w:lineRule="auto"/>
    </w:pPr>
    <w:rPr>
      <w:rFonts w:ascii="Verdana" w:hAnsi="Verdana"/>
      <w:sz w:val="20"/>
      <w:lang w:val="es-ES_tradnl" w:eastAsia="es-E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Refdenotaalpie">
    <w:name w:val="footnote reference"/>
    <w:aliases w:val="Appel note de bas de page,Footnotes refss,Footnote number,referencia nota al pie,BVI fnr,f,4_G,16 Point,Superscript 6 Point,Texto nota al pie,Footnote Reference Char3,Footnote Reference Char1 Char,Ref. de nota al,Ref. de nota al pi"/>
    <w:uiPriority w:val="99"/>
    <w:qFormat/>
    <w:rsid w:val="00213112"/>
    <w:rPr>
      <w:vertAlign w:val="superscript"/>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Ca,FA Fu?notentext,C,ft"/>
    <w:basedOn w:val="Normal"/>
    <w:link w:val="TextonotapieCar"/>
    <w:qFormat/>
    <w:rsid w:val="00213112"/>
    <w:pPr>
      <w:widowControl w:val="0"/>
      <w:tabs>
        <w:tab w:val="left" w:pos="567"/>
      </w:tabs>
      <w:adjustRightInd w:val="0"/>
      <w:jc w:val="both"/>
      <w:textAlignment w:val="baseline"/>
    </w:pPr>
    <w:rPr>
      <w:bCs/>
      <w:sz w:val="16"/>
      <w:szCs w:val="16"/>
      <w:lang w:val="es-ES_tradnl" w:eastAsia="es-CR"/>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 Car,Ca Car"/>
    <w:basedOn w:val="Fuentedeprrafopredeter"/>
    <w:link w:val="Textonotapie"/>
    <w:rsid w:val="00213112"/>
    <w:rPr>
      <w:rFonts w:ascii="Verdana" w:eastAsia="Times New Roman" w:hAnsi="Verdana" w:cs="Times New Roman"/>
      <w:bCs/>
      <w:sz w:val="16"/>
      <w:szCs w:val="16"/>
      <w:lang w:val="es-ES_tradnl" w:eastAsia="es-CR"/>
    </w:rPr>
  </w:style>
  <w:style w:type="paragraph" w:styleId="Encabezado">
    <w:name w:val="header"/>
    <w:basedOn w:val="Normal"/>
    <w:link w:val="EncabezadoCar"/>
    <w:uiPriority w:val="99"/>
    <w:unhideWhenUsed/>
    <w:rsid w:val="00191347"/>
    <w:pPr>
      <w:tabs>
        <w:tab w:val="center" w:pos="4419"/>
        <w:tab w:val="right" w:pos="8838"/>
      </w:tabs>
    </w:pPr>
  </w:style>
  <w:style w:type="character" w:customStyle="1" w:styleId="EncabezadoCar">
    <w:name w:val="Encabezado Car"/>
    <w:basedOn w:val="Fuentedeprrafopredeter"/>
    <w:link w:val="Encabezado"/>
    <w:uiPriority w:val="99"/>
    <w:rsid w:val="00191347"/>
    <w:rPr>
      <w:rFonts w:ascii="Verdana" w:eastAsia="Times New Roman" w:hAnsi="Verdana" w:cs="Times New Roman"/>
      <w:sz w:val="20"/>
      <w:szCs w:val="24"/>
      <w:lang w:val="en-US"/>
    </w:rPr>
  </w:style>
  <w:style w:type="paragraph" w:styleId="Piedepgina">
    <w:name w:val="footer"/>
    <w:basedOn w:val="Normal"/>
    <w:link w:val="PiedepginaCar"/>
    <w:uiPriority w:val="99"/>
    <w:unhideWhenUsed/>
    <w:rsid w:val="00191347"/>
    <w:pPr>
      <w:tabs>
        <w:tab w:val="center" w:pos="4419"/>
        <w:tab w:val="right" w:pos="8838"/>
      </w:tabs>
    </w:pPr>
  </w:style>
  <w:style w:type="character" w:customStyle="1" w:styleId="PiedepginaCar">
    <w:name w:val="Pie de página Car"/>
    <w:basedOn w:val="Fuentedeprrafopredeter"/>
    <w:link w:val="Piedepgina"/>
    <w:uiPriority w:val="99"/>
    <w:rsid w:val="00191347"/>
    <w:rPr>
      <w:rFonts w:ascii="Verdana" w:eastAsia="Times New Roman" w:hAnsi="Verdana" w:cs="Times New Roman"/>
      <w:sz w:val="20"/>
      <w:szCs w:val="24"/>
      <w:lang w:val="en-US"/>
    </w:rPr>
  </w:style>
  <w:style w:type="paragraph" w:customStyle="1" w:styleId="Footnotes">
    <w:name w:val="**. Footnotes"/>
    <w:basedOn w:val="Textonotapie"/>
    <w:link w:val="FootnotesChar"/>
    <w:autoRedefine/>
    <w:qFormat/>
    <w:rsid w:val="00446002"/>
    <w:pPr>
      <w:widowControl/>
      <w:adjustRightInd/>
      <w:textAlignment w:val="auto"/>
    </w:pPr>
    <w:rPr>
      <w:rFonts w:cs="Palatino-Italic"/>
      <w:bCs w:val="0"/>
      <w:iCs/>
      <w:szCs w:val="18"/>
      <w:lang w:val="es-ES" w:eastAsia="x-none" w:bidi="en-US"/>
    </w:rPr>
  </w:style>
  <w:style w:type="character" w:customStyle="1" w:styleId="FootnotesChar">
    <w:name w:val="**. Footnotes Char"/>
    <w:link w:val="Footnotes"/>
    <w:rsid w:val="00446002"/>
    <w:rPr>
      <w:rFonts w:ascii="Verdana" w:eastAsia="Times New Roman" w:hAnsi="Verdana" w:cs="Palatino-Italic"/>
      <w:iCs/>
      <w:sz w:val="16"/>
      <w:szCs w:val="18"/>
      <w:lang w:val="es-ES" w:eastAsia="x-none" w:bidi="en-US"/>
    </w:rPr>
  </w:style>
  <w:style w:type="character" w:styleId="Textoennegrita">
    <w:name w:val="Strong"/>
    <w:uiPriority w:val="22"/>
    <w:qFormat/>
    <w:rsid w:val="00446002"/>
    <w:rPr>
      <w:b/>
      <w:bCs/>
    </w:rPr>
  </w:style>
  <w:style w:type="paragraph" w:styleId="Ttulo">
    <w:name w:val="Title"/>
    <w:basedOn w:val="Normal"/>
    <w:next w:val="Normal"/>
    <w:link w:val="TtuloCar"/>
    <w:qFormat/>
    <w:rsid w:val="00513B90"/>
    <w:pPr>
      <w:jc w:val="center"/>
      <w:outlineLvl w:val="0"/>
    </w:pPr>
    <w:rPr>
      <w:rFonts w:eastAsia="Calibri"/>
      <w:b/>
      <w:spacing w:val="-2"/>
      <w:szCs w:val="20"/>
      <w:lang w:val="es-ES_tradnl" w:eastAsia="x-none"/>
    </w:rPr>
  </w:style>
  <w:style w:type="character" w:customStyle="1" w:styleId="TtuloCar">
    <w:name w:val="Título Car"/>
    <w:basedOn w:val="Fuentedeprrafopredeter"/>
    <w:link w:val="Ttulo"/>
    <w:rsid w:val="00513B90"/>
    <w:rPr>
      <w:rFonts w:ascii="Verdana" w:eastAsia="Calibri" w:hAnsi="Verdana" w:cs="Times New Roman"/>
      <w:b/>
      <w:spacing w:val="-2"/>
      <w:sz w:val="20"/>
      <w:szCs w:val="20"/>
      <w:lang w:val="es-ES_tradnl" w:eastAsia="x-none"/>
    </w:rPr>
  </w:style>
  <w:style w:type="paragraph" w:customStyle="1" w:styleId="Default">
    <w:name w:val="Default"/>
    <w:rsid w:val="00F10AC7"/>
    <w:pPr>
      <w:autoSpaceDE w:val="0"/>
      <w:autoSpaceDN w:val="0"/>
      <w:adjustRightInd w:val="0"/>
      <w:spacing w:after="0" w:line="240" w:lineRule="auto"/>
    </w:pPr>
    <w:rPr>
      <w:rFonts w:ascii="Verdana" w:eastAsia="Calibri" w:hAnsi="Verdana" w:cs="Verdana"/>
      <w:color w:val="000000"/>
      <w:sz w:val="24"/>
      <w:szCs w:val="24"/>
    </w:rPr>
  </w:style>
  <w:style w:type="paragraph" w:styleId="Textodeglobo">
    <w:name w:val="Balloon Text"/>
    <w:basedOn w:val="Normal"/>
    <w:link w:val="TextodegloboCar"/>
    <w:uiPriority w:val="99"/>
    <w:semiHidden/>
    <w:unhideWhenUsed/>
    <w:rsid w:val="00555558"/>
    <w:rPr>
      <w:rFonts w:ascii="Tahoma" w:hAnsi="Tahoma" w:cs="Tahoma"/>
      <w:sz w:val="16"/>
      <w:szCs w:val="16"/>
    </w:rPr>
  </w:style>
  <w:style w:type="character" w:customStyle="1" w:styleId="TextodegloboCar">
    <w:name w:val="Texto de globo Car"/>
    <w:basedOn w:val="Fuentedeprrafopredeter"/>
    <w:link w:val="Textodeglobo"/>
    <w:uiPriority w:val="99"/>
    <w:semiHidden/>
    <w:rsid w:val="00555558"/>
    <w:rPr>
      <w:rFonts w:ascii="Tahoma" w:eastAsia="Times New Roman" w:hAnsi="Tahoma" w:cs="Tahoma"/>
      <w:sz w:val="16"/>
      <w:szCs w:val="16"/>
      <w:lang w:val="en-US"/>
    </w:rPr>
  </w:style>
  <w:style w:type="character" w:styleId="Hipervnculo">
    <w:name w:val="Hyperlink"/>
    <w:uiPriority w:val="99"/>
    <w:rsid w:val="00BF756B"/>
    <w:rPr>
      <w:color w:val="0000FF"/>
      <w:u w:val="single"/>
    </w:rPr>
  </w:style>
  <w:style w:type="character" w:customStyle="1" w:styleId="PrrafodelistaCar">
    <w:name w:val="Párrafo de lista Car"/>
    <w:aliases w:val="Footnote Car,List Paragraph1 Car,Colorful List - Accent 11 Car,Párrafo de lista1 Car"/>
    <w:basedOn w:val="Fuentedeprrafopredeter"/>
    <w:link w:val="Prrafodelista"/>
    <w:uiPriority w:val="99"/>
    <w:locked/>
    <w:rsid w:val="009C2D25"/>
    <w:rPr>
      <w:rFonts w:ascii="Verdana" w:eastAsia="Times New Roman" w:hAnsi="Verdana"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96117">
      <w:bodyDiv w:val="1"/>
      <w:marLeft w:val="0"/>
      <w:marRight w:val="0"/>
      <w:marTop w:val="0"/>
      <w:marBottom w:val="0"/>
      <w:divBdr>
        <w:top w:val="none" w:sz="0" w:space="0" w:color="auto"/>
        <w:left w:val="none" w:sz="0" w:space="0" w:color="auto"/>
        <w:bottom w:val="none" w:sz="0" w:space="0" w:color="auto"/>
        <w:right w:val="none" w:sz="0" w:space="0" w:color="auto"/>
      </w:divBdr>
    </w:div>
    <w:div w:id="669723384">
      <w:bodyDiv w:val="1"/>
      <w:marLeft w:val="0"/>
      <w:marRight w:val="0"/>
      <w:marTop w:val="0"/>
      <w:marBottom w:val="0"/>
      <w:divBdr>
        <w:top w:val="none" w:sz="0" w:space="0" w:color="auto"/>
        <w:left w:val="none" w:sz="0" w:space="0" w:color="auto"/>
        <w:bottom w:val="none" w:sz="0" w:space="0" w:color="auto"/>
        <w:right w:val="none" w:sz="0" w:space="0" w:color="auto"/>
      </w:divBdr>
    </w:div>
    <w:div w:id="877551723">
      <w:bodyDiv w:val="1"/>
      <w:marLeft w:val="0"/>
      <w:marRight w:val="0"/>
      <w:marTop w:val="0"/>
      <w:marBottom w:val="0"/>
      <w:divBdr>
        <w:top w:val="none" w:sz="0" w:space="0" w:color="auto"/>
        <w:left w:val="none" w:sz="0" w:space="0" w:color="auto"/>
        <w:bottom w:val="none" w:sz="0" w:space="0" w:color="auto"/>
        <w:right w:val="none" w:sz="0" w:space="0" w:color="auto"/>
      </w:divBdr>
    </w:div>
    <w:div w:id="936788948">
      <w:bodyDiv w:val="1"/>
      <w:marLeft w:val="0"/>
      <w:marRight w:val="0"/>
      <w:marTop w:val="0"/>
      <w:marBottom w:val="0"/>
      <w:divBdr>
        <w:top w:val="none" w:sz="0" w:space="0" w:color="auto"/>
        <w:left w:val="none" w:sz="0" w:space="0" w:color="auto"/>
        <w:bottom w:val="none" w:sz="0" w:space="0" w:color="auto"/>
        <w:right w:val="none" w:sz="0" w:space="0" w:color="auto"/>
      </w:divBdr>
    </w:div>
    <w:div w:id="1599676058">
      <w:bodyDiv w:val="1"/>
      <w:marLeft w:val="0"/>
      <w:marRight w:val="0"/>
      <w:marTop w:val="0"/>
      <w:marBottom w:val="0"/>
      <w:divBdr>
        <w:top w:val="none" w:sz="0" w:space="0" w:color="auto"/>
        <w:left w:val="none" w:sz="0" w:space="0" w:color="auto"/>
        <w:bottom w:val="none" w:sz="0" w:space="0" w:color="auto"/>
        <w:right w:val="none" w:sz="0" w:space="0" w:color="auto"/>
      </w:divBdr>
    </w:div>
    <w:div w:id="1641761892">
      <w:bodyDiv w:val="1"/>
      <w:marLeft w:val="0"/>
      <w:marRight w:val="0"/>
      <w:marTop w:val="0"/>
      <w:marBottom w:val="0"/>
      <w:divBdr>
        <w:top w:val="none" w:sz="0" w:space="0" w:color="auto"/>
        <w:left w:val="none" w:sz="0" w:space="0" w:color="auto"/>
        <w:bottom w:val="none" w:sz="0" w:space="0" w:color="auto"/>
        <w:right w:val="none" w:sz="0" w:space="0" w:color="auto"/>
      </w:divBdr>
    </w:div>
    <w:div w:id="1702322149">
      <w:bodyDiv w:val="1"/>
      <w:marLeft w:val="0"/>
      <w:marRight w:val="0"/>
      <w:marTop w:val="0"/>
      <w:marBottom w:val="0"/>
      <w:divBdr>
        <w:top w:val="none" w:sz="0" w:space="0" w:color="auto"/>
        <w:left w:val="none" w:sz="0" w:space="0" w:color="auto"/>
        <w:bottom w:val="none" w:sz="0" w:space="0" w:color="auto"/>
        <w:right w:val="none" w:sz="0" w:space="0" w:color="auto"/>
      </w:divBdr>
    </w:div>
    <w:div w:id="1734618185">
      <w:bodyDiv w:val="1"/>
      <w:marLeft w:val="0"/>
      <w:marRight w:val="0"/>
      <w:marTop w:val="0"/>
      <w:marBottom w:val="0"/>
      <w:divBdr>
        <w:top w:val="none" w:sz="0" w:space="0" w:color="auto"/>
        <w:left w:val="none" w:sz="0" w:space="0" w:color="auto"/>
        <w:bottom w:val="none" w:sz="0" w:space="0" w:color="auto"/>
        <w:right w:val="none" w:sz="0" w:space="0" w:color="auto"/>
      </w:divBdr>
    </w:div>
    <w:div w:id="1797724327">
      <w:bodyDiv w:val="1"/>
      <w:marLeft w:val="0"/>
      <w:marRight w:val="0"/>
      <w:marTop w:val="0"/>
      <w:marBottom w:val="0"/>
      <w:divBdr>
        <w:top w:val="none" w:sz="0" w:space="0" w:color="auto"/>
        <w:left w:val="none" w:sz="0" w:space="0" w:color="auto"/>
        <w:bottom w:val="none" w:sz="0" w:space="0" w:color="auto"/>
        <w:right w:val="none" w:sz="0" w:space="0" w:color="auto"/>
      </w:divBdr>
    </w:div>
    <w:div w:id="184254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teidh.or.cr/casos.cf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69D4E-5ED8-42EE-9C79-2CF922D9C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4262</Words>
  <Characters>23441</Characters>
  <Application>Microsoft Office Word</Application>
  <DocSecurity>6</DocSecurity>
  <Lines>195</Lines>
  <Paragraphs>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Patricia Calderon</cp:lastModifiedBy>
  <cp:revision>2</cp:revision>
  <cp:lastPrinted>2019-08-27T20:18:00Z</cp:lastPrinted>
  <dcterms:created xsi:type="dcterms:W3CDTF">2019-08-27T20:19:00Z</dcterms:created>
  <dcterms:modified xsi:type="dcterms:W3CDTF">2019-08-27T20:19:00Z</dcterms:modified>
</cp:coreProperties>
</file>