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C0B0" w14:textId="2921416D" w:rsidR="00E63FBF" w:rsidRDefault="00E63FBF" w:rsidP="0049364E">
      <w:pPr>
        <w:pStyle w:val="Ttulo2"/>
        <w:rPr>
          <w:rFonts w:ascii="Verdana" w:eastAsia="Helvetica" w:hAnsi="Verdana"/>
          <w:lang w:val="es-MX"/>
        </w:rPr>
      </w:pPr>
    </w:p>
    <w:p w14:paraId="7BD7B7E7" w14:textId="1DB719CC" w:rsidR="00DF5D40" w:rsidRDefault="00DF5D40" w:rsidP="00DF5D40">
      <w:pPr>
        <w:pStyle w:val="Body1"/>
        <w:rPr>
          <w:lang w:val="es-MX"/>
        </w:rPr>
      </w:pPr>
    </w:p>
    <w:p w14:paraId="14656AC6" w14:textId="11BDE23C" w:rsidR="00DF5D40" w:rsidRDefault="00DF5D40" w:rsidP="00DF5D40">
      <w:pPr>
        <w:pStyle w:val="Body1"/>
        <w:rPr>
          <w:lang w:val="es-MX"/>
        </w:rPr>
      </w:pPr>
    </w:p>
    <w:p w14:paraId="3C9CC308" w14:textId="64F2DC53" w:rsidR="00DF5D40" w:rsidRDefault="00DF5D40" w:rsidP="00DF5D40">
      <w:pPr>
        <w:pStyle w:val="Body1"/>
        <w:rPr>
          <w:lang w:val="es-MX"/>
        </w:rPr>
      </w:pPr>
    </w:p>
    <w:p w14:paraId="53FB54DC" w14:textId="6BF36DA9" w:rsidR="00DF5D40" w:rsidRDefault="00DF5D40" w:rsidP="00DF5D40">
      <w:pPr>
        <w:pStyle w:val="Body1"/>
        <w:rPr>
          <w:lang w:val="es-MX"/>
        </w:rPr>
      </w:pPr>
    </w:p>
    <w:p w14:paraId="74C2E241" w14:textId="35A5BAE5" w:rsidR="00DF5D40" w:rsidRDefault="00DF5D40" w:rsidP="00DF5D40">
      <w:pPr>
        <w:pStyle w:val="Body1"/>
        <w:rPr>
          <w:lang w:val="es-MX"/>
        </w:rPr>
      </w:pPr>
    </w:p>
    <w:p w14:paraId="31FFB23E" w14:textId="3965C034" w:rsidR="00137729" w:rsidRDefault="00137729" w:rsidP="00DF5D40">
      <w:pPr>
        <w:pStyle w:val="Body1"/>
        <w:rPr>
          <w:lang w:val="es-MX"/>
        </w:rPr>
      </w:pPr>
    </w:p>
    <w:p w14:paraId="0F8B4FE7" w14:textId="6E850F8E" w:rsidR="00137729" w:rsidRDefault="00137729" w:rsidP="00DF5D40">
      <w:pPr>
        <w:pStyle w:val="Body1"/>
        <w:rPr>
          <w:lang w:val="es-MX"/>
        </w:rPr>
      </w:pPr>
    </w:p>
    <w:p w14:paraId="01B2B519" w14:textId="77777777" w:rsidR="00137729" w:rsidRPr="00DF5D40" w:rsidRDefault="00137729" w:rsidP="00DF5D40">
      <w:pPr>
        <w:pStyle w:val="Body1"/>
        <w:rPr>
          <w:lang w:val="es-MX"/>
        </w:rPr>
      </w:pPr>
      <w:bookmarkStart w:id="0" w:name="_GoBack"/>
      <w:bookmarkEnd w:id="0"/>
    </w:p>
    <w:p w14:paraId="5BDAF701" w14:textId="77777777" w:rsidR="00E63FBF" w:rsidRPr="00E63FBF" w:rsidRDefault="00E63FBF" w:rsidP="0049364E">
      <w:pPr>
        <w:jc w:val="center"/>
        <w:rPr>
          <w:rFonts w:ascii="Verdana" w:hAnsi="Verdana" w:cs="Verdana"/>
          <w:b/>
          <w:bCs/>
          <w:caps/>
          <w:snapToGrid w:val="0"/>
          <w:sz w:val="20"/>
          <w:szCs w:val="20"/>
          <w:lang w:val="es-ES" w:eastAsia="es-ES"/>
        </w:rPr>
      </w:pPr>
      <w:r w:rsidRPr="00E63FBF">
        <w:rPr>
          <w:rFonts w:ascii="Verdana" w:hAnsi="Verdana" w:cs="Verdana"/>
          <w:b/>
          <w:bCs/>
          <w:snapToGrid w:val="0"/>
          <w:sz w:val="20"/>
          <w:szCs w:val="20"/>
          <w:lang w:val="es-ES" w:eastAsia="es-ES"/>
        </w:rPr>
        <w:t>CORTE INTERAMERICANA DE DERECHOS HUMANOS</w:t>
      </w:r>
      <w:r w:rsidRPr="00E63FBF">
        <w:rPr>
          <w:rStyle w:val="Refdenotaalpie"/>
          <w:rFonts w:ascii="Verdana" w:hAnsi="Verdana"/>
          <w:b/>
          <w:snapToGrid w:val="0"/>
          <w:sz w:val="20"/>
          <w:szCs w:val="20"/>
          <w:lang w:val="es-ES"/>
        </w:rPr>
        <w:footnoteReference w:customMarkFollows="1" w:id="1"/>
        <w:sym w:font="Symbol" w:char="F02A"/>
      </w:r>
    </w:p>
    <w:p w14:paraId="7A42BDBF" w14:textId="77777777" w:rsidR="00E63FBF" w:rsidRPr="00E63FBF" w:rsidRDefault="00E63FBF" w:rsidP="0049364E">
      <w:pPr>
        <w:pStyle w:val="Ttulo"/>
        <w:ind w:right="-138"/>
        <w:jc w:val="left"/>
        <w:rPr>
          <w:rFonts w:eastAsia="MS Mincho"/>
          <w:noProof w:val="0"/>
        </w:rPr>
      </w:pPr>
    </w:p>
    <w:p w14:paraId="6D76472A" w14:textId="77777777" w:rsidR="00520043" w:rsidRPr="00520043" w:rsidRDefault="00520043" w:rsidP="0049364E">
      <w:pPr>
        <w:tabs>
          <w:tab w:val="left" w:pos="708"/>
          <w:tab w:val="center" w:pos="4419"/>
          <w:tab w:val="right" w:pos="8838"/>
        </w:tabs>
        <w:ind w:left="-142" w:right="-138"/>
        <w:jc w:val="center"/>
        <w:rPr>
          <w:rFonts w:ascii="Verdana" w:eastAsia="MS Mincho" w:hAnsi="Verdana"/>
          <w:b/>
          <w:sz w:val="16"/>
          <w:szCs w:val="20"/>
          <w:lang w:val="es-ES_tradnl"/>
        </w:rPr>
      </w:pPr>
      <w:r w:rsidRPr="00520043">
        <w:rPr>
          <w:rFonts w:ascii="Verdana" w:eastAsia="MS Mincho" w:hAnsi="Verdana"/>
          <w:b/>
          <w:sz w:val="20"/>
          <w:szCs w:val="20"/>
          <w:lang w:val="es-ES"/>
        </w:rPr>
        <w:t xml:space="preserve">CASO TRABAJADORES DE LA HACIENDA BRASIL VERDE </w:t>
      </w:r>
      <w:r w:rsidRPr="00520043">
        <w:rPr>
          <w:rFonts w:ascii="Verdana" w:eastAsia="MS Mincho" w:hAnsi="Verdana"/>
          <w:b/>
          <w:i/>
          <w:sz w:val="20"/>
          <w:szCs w:val="20"/>
          <w:lang w:val="es-ES"/>
        </w:rPr>
        <w:t>VS</w:t>
      </w:r>
      <w:r w:rsidRPr="00520043">
        <w:rPr>
          <w:rFonts w:ascii="Verdana" w:eastAsia="MS Mincho" w:hAnsi="Verdana"/>
          <w:b/>
          <w:sz w:val="20"/>
          <w:szCs w:val="20"/>
          <w:lang w:val="es-ES"/>
        </w:rPr>
        <w:t xml:space="preserve">. </w:t>
      </w:r>
      <w:r w:rsidRPr="00520043">
        <w:rPr>
          <w:rFonts w:ascii="Verdana" w:eastAsia="MS Mincho" w:hAnsi="Verdana"/>
          <w:b/>
          <w:sz w:val="20"/>
          <w:szCs w:val="20"/>
          <w:lang w:val="es-ES_tradnl"/>
        </w:rPr>
        <w:t>BRASIL</w:t>
      </w:r>
    </w:p>
    <w:p w14:paraId="6D94FCFB" w14:textId="77777777" w:rsidR="00520043" w:rsidRPr="00520043" w:rsidRDefault="00520043" w:rsidP="0049364E">
      <w:pPr>
        <w:tabs>
          <w:tab w:val="left" w:pos="708"/>
          <w:tab w:val="center" w:pos="4419"/>
          <w:tab w:val="right" w:pos="8838"/>
        </w:tabs>
        <w:ind w:left="-142" w:right="-138"/>
        <w:jc w:val="center"/>
        <w:rPr>
          <w:rFonts w:ascii="Verdana" w:eastAsia="MS Mincho" w:hAnsi="Verdana"/>
          <w:b/>
          <w:sz w:val="20"/>
          <w:szCs w:val="20"/>
          <w:lang w:val="es-ES_tradnl"/>
        </w:rPr>
      </w:pPr>
    </w:p>
    <w:p w14:paraId="07BA2A97" w14:textId="77777777" w:rsidR="00520043" w:rsidRPr="00520043" w:rsidRDefault="00520043" w:rsidP="0049364E">
      <w:pPr>
        <w:tabs>
          <w:tab w:val="left" w:pos="708"/>
          <w:tab w:val="center" w:pos="4419"/>
          <w:tab w:val="right" w:pos="8838"/>
        </w:tabs>
        <w:ind w:left="-142" w:right="-138"/>
        <w:jc w:val="center"/>
        <w:rPr>
          <w:rFonts w:ascii="Verdana" w:eastAsia="MS Mincho" w:hAnsi="Verdana"/>
          <w:b/>
          <w:sz w:val="20"/>
          <w:szCs w:val="20"/>
          <w:lang w:val="es-ES_tradnl"/>
        </w:rPr>
      </w:pPr>
      <w:r w:rsidRPr="00520043">
        <w:rPr>
          <w:rFonts w:ascii="Verdana" w:eastAsia="MS Mincho" w:hAnsi="Verdana"/>
          <w:b/>
          <w:sz w:val="20"/>
          <w:szCs w:val="20"/>
          <w:lang w:val="es-ES_tradnl"/>
        </w:rPr>
        <w:t>SENTENCIA DE 20 OCTUBRE DE 2016</w:t>
      </w:r>
    </w:p>
    <w:p w14:paraId="0C008AA5" w14:textId="77777777" w:rsidR="00520043" w:rsidRPr="00520043" w:rsidRDefault="00520043" w:rsidP="0049364E">
      <w:pPr>
        <w:tabs>
          <w:tab w:val="left" w:pos="708"/>
          <w:tab w:val="center" w:pos="4419"/>
          <w:tab w:val="right" w:pos="8838"/>
        </w:tabs>
        <w:ind w:left="-142" w:right="-138"/>
        <w:jc w:val="center"/>
        <w:rPr>
          <w:rFonts w:ascii="Verdana" w:hAnsi="Verdana"/>
          <w:b/>
          <w:i/>
          <w:iCs/>
          <w:spacing w:val="15"/>
          <w:sz w:val="20"/>
          <w:lang w:val="es-ES_tradnl"/>
        </w:rPr>
      </w:pPr>
      <w:r w:rsidRPr="00520043">
        <w:rPr>
          <w:rFonts w:ascii="Verdana" w:hAnsi="Verdana"/>
          <w:b/>
          <w:i/>
          <w:iCs/>
          <w:spacing w:val="15"/>
          <w:sz w:val="20"/>
          <w:lang w:val="es-ES_tradnl"/>
        </w:rPr>
        <w:t>(Excepciones Preliminares, Fondo, Reparaciones y Costas)</w:t>
      </w:r>
    </w:p>
    <w:p w14:paraId="0BD3A0BB" w14:textId="77777777" w:rsidR="00520043" w:rsidRPr="00520043" w:rsidRDefault="00520043" w:rsidP="0049364E">
      <w:pPr>
        <w:tabs>
          <w:tab w:val="left" w:pos="708"/>
          <w:tab w:val="center" w:pos="4419"/>
          <w:tab w:val="right" w:pos="8838"/>
        </w:tabs>
        <w:ind w:left="-142" w:right="-138"/>
        <w:jc w:val="both"/>
        <w:rPr>
          <w:rFonts w:ascii="Verdana" w:eastAsia="Batang" w:hAnsi="Verdana" w:cs="Times"/>
          <w:sz w:val="20"/>
          <w:szCs w:val="20"/>
          <w:lang w:val="es-ES_tradnl"/>
        </w:rPr>
      </w:pPr>
    </w:p>
    <w:p w14:paraId="50C9CFAB" w14:textId="77777777" w:rsidR="00E63FBF" w:rsidRPr="00E63FBF" w:rsidRDefault="00E63FBF" w:rsidP="0049364E">
      <w:pPr>
        <w:jc w:val="center"/>
        <w:rPr>
          <w:rFonts w:ascii="Verdana" w:hAnsi="Verdana" w:cs="Verdana"/>
          <w:b/>
          <w:bCs/>
          <w:caps/>
          <w:snapToGrid w:val="0"/>
          <w:sz w:val="20"/>
          <w:szCs w:val="20"/>
          <w:lang w:val="es-ES" w:eastAsia="es-ES"/>
        </w:rPr>
      </w:pPr>
      <w:r w:rsidRPr="00E63FBF">
        <w:rPr>
          <w:rFonts w:ascii="Verdana" w:hAnsi="Verdana" w:cs="Verdana"/>
          <w:b/>
          <w:bCs/>
          <w:snapToGrid w:val="0"/>
          <w:sz w:val="20"/>
          <w:szCs w:val="20"/>
          <w:lang w:val="es-ES" w:eastAsia="es-ES"/>
        </w:rPr>
        <w:t>RESUMEN OFICIAL EMITIDO POR LA CORTE INTERAMERICANA</w:t>
      </w:r>
    </w:p>
    <w:p w14:paraId="6930B3A0" w14:textId="77777777" w:rsidR="00E63FBF" w:rsidRPr="00E63FBF" w:rsidRDefault="00E63FBF" w:rsidP="0049364E">
      <w:pPr>
        <w:jc w:val="center"/>
        <w:outlineLvl w:val="0"/>
        <w:rPr>
          <w:rFonts w:ascii="Verdana" w:hAnsi="Verdana" w:cs="Verdana"/>
          <w:b/>
          <w:bCs/>
          <w:snapToGrid w:val="0"/>
          <w:sz w:val="20"/>
          <w:szCs w:val="20"/>
          <w:lang w:val="es-ES" w:eastAsia="es-ES"/>
        </w:rPr>
      </w:pPr>
    </w:p>
    <w:p w14:paraId="0C67FF88" w14:textId="77777777" w:rsidR="00E63FBF" w:rsidRDefault="00E63FBF" w:rsidP="0049364E">
      <w:pPr>
        <w:pStyle w:val="PrrafodeSentencia"/>
        <w:spacing w:before="0" w:after="0"/>
        <w:rPr>
          <w:sz w:val="20"/>
          <w:szCs w:val="20"/>
          <w:lang w:val="es-ES"/>
        </w:rPr>
      </w:pPr>
      <w:r w:rsidRPr="00E63FBF">
        <w:rPr>
          <w:sz w:val="20"/>
          <w:szCs w:val="20"/>
        </w:rPr>
        <w:t xml:space="preserve">El </w:t>
      </w:r>
      <w:r w:rsidR="00520043">
        <w:rPr>
          <w:sz w:val="20"/>
          <w:szCs w:val="20"/>
        </w:rPr>
        <w:t>20</w:t>
      </w:r>
      <w:r w:rsidRPr="00E63FBF">
        <w:rPr>
          <w:sz w:val="20"/>
          <w:szCs w:val="20"/>
        </w:rPr>
        <w:t xml:space="preserve"> de </w:t>
      </w:r>
      <w:r w:rsidR="00520043">
        <w:rPr>
          <w:sz w:val="20"/>
          <w:szCs w:val="20"/>
        </w:rPr>
        <w:t>octubre</w:t>
      </w:r>
      <w:r w:rsidRPr="00E63FBF">
        <w:rPr>
          <w:sz w:val="20"/>
          <w:szCs w:val="20"/>
        </w:rPr>
        <w:t xml:space="preserve"> de 2016 la Corte Interamericana de Derechos Humanos </w:t>
      </w:r>
      <w:r w:rsidR="00B64BF2">
        <w:rPr>
          <w:sz w:val="20"/>
          <w:szCs w:val="20"/>
        </w:rPr>
        <w:t>emitió la</w:t>
      </w:r>
      <w:r w:rsidR="0049364E">
        <w:rPr>
          <w:sz w:val="20"/>
          <w:szCs w:val="20"/>
        </w:rPr>
        <w:t xml:space="preserve"> </w:t>
      </w:r>
      <w:r w:rsidRPr="00E63FBF">
        <w:rPr>
          <w:sz w:val="20"/>
          <w:szCs w:val="20"/>
        </w:rPr>
        <w:t>Sentencia</w:t>
      </w:r>
      <w:r w:rsidR="00A45971">
        <w:rPr>
          <w:sz w:val="20"/>
          <w:szCs w:val="20"/>
        </w:rPr>
        <w:t xml:space="preserve"> en el caso </w:t>
      </w:r>
      <w:r w:rsidR="00520043">
        <w:rPr>
          <w:sz w:val="20"/>
          <w:szCs w:val="20"/>
        </w:rPr>
        <w:t>Trabajadores de la Hacienda Brasil Verde Vs. Brasil, m</w:t>
      </w:r>
      <w:r w:rsidRPr="00E63FBF">
        <w:rPr>
          <w:sz w:val="20"/>
          <w:szCs w:val="20"/>
        </w:rPr>
        <w:t>ediante la cual declaró responsab</w:t>
      </w:r>
      <w:r w:rsidR="00E66F03">
        <w:rPr>
          <w:sz w:val="20"/>
          <w:szCs w:val="20"/>
        </w:rPr>
        <w:t xml:space="preserve">le internacionalmente al Estado </w:t>
      </w:r>
      <w:r w:rsidR="00520043">
        <w:rPr>
          <w:sz w:val="20"/>
          <w:szCs w:val="20"/>
        </w:rPr>
        <w:t>brasileño</w:t>
      </w:r>
      <w:r w:rsidR="001B6B9C">
        <w:rPr>
          <w:sz w:val="20"/>
          <w:szCs w:val="20"/>
        </w:rPr>
        <w:t xml:space="preserve"> </w:t>
      </w:r>
      <w:r w:rsidR="00E25AEA">
        <w:rPr>
          <w:sz w:val="20"/>
          <w:szCs w:val="20"/>
        </w:rPr>
        <w:t>por la violación de</w:t>
      </w:r>
      <w:r w:rsidRPr="00E63FBF">
        <w:rPr>
          <w:sz w:val="20"/>
          <w:szCs w:val="20"/>
        </w:rPr>
        <w:t xml:space="preserve">: </w:t>
      </w:r>
      <w:r w:rsidR="00CB5634">
        <w:rPr>
          <w:sz w:val="20"/>
          <w:szCs w:val="20"/>
        </w:rPr>
        <w:t>i</w:t>
      </w:r>
      <w:r w:rsidR="00520043">
        <w:rPr>
          <w:sz w:val="20"/>
          <w:szCs w:val="20"/>
        </w:rPr>
        <w:t xml:space="preserve">) </w:t>
      </w:r>
      <w:r w:rsidR="00520043" w:rsidRPr="00520043">
        <w:rPr>
          <w:sz w:val="20"/>
          <w:szCs w:val="20"/>
          <w:lang w:val="es-EC"/>
        </w:rPr>
        <w:t xml:space="preserve">el derecho a no ser sometido a esclavitud y trata de personas, establecido en el artículo 6.1 de la Convención Americana sobre Derechos Humanos, en relación con los artículos </w:t>
      </w:r>
      <w:r w:rsidR="00520043">
        <w:rPr>
          <w:sz w:val="20"/>
          <w:szCs w:val="20"/>
          <w:lang w:val="es-EC"/>
        </w:rPr>
        <w:t xml:space="preserve">1.1, 3, 5, 7, 11, </w:t>
      </w:r>
      <w:r w:rsidR="00520043" w:rsidRPr="00520043">
        <w:rPr>
          <w:sz w:val="20"/>
          <w:szCs w:val="20"/>
          <w:lang w:val="es-EC"/>
        </w:rPr>
        <w:t>22</w:t>
      </w:r>
      <w:r w:rsidR="00520043">
        <w:rPr>
          <w:sz w:val="20"/>
          <w:szCs w:val="20"/>
          <w:lang w:val="es-EC"/>
        </w:rPr>
        <w:t xml:space="preserve"> y 19</w:t>
      </w:r>
      <w:r w:rsidR="0049364E">
        <w:rPr>
          <w:sz w:val="20"/>
          <w:szCs w:val="20"/>
          <w:lang w:val="es-EC"/>
        </w:rPr>
        <w:t xml:space="preserve"> del mismo instrumento; </w:t>
      </w:r>
      <w:proofErr w:type="spellStart"/>
      <w:r w:rsidR="00520043">
        <w:rPr>
          <w:sz w:val="20"/>
          <w:szCs w:val="20"/>
          <w:lang w:val="es-EC"/>
        </w:rPr>
        <w:t>ii</w:t>
      </w:r>
      <w:proofErr w:type="spellEnd"/>
      <w:r w:rsidR="00520043">
        <w:rPr>
          <w:sz w:val="20"/>
          <w:szCs w:val="20"/>
          <w:lang w:val="es-EC"/>
        </w:rPr>
        <w:t xml:space="preserve">) </w:t>
      </w:r>
      <w:r w:rsidR="00520043" w:rsidRPr="00520043">
        <w:rPr>
          <w:sz w:val="20"/>
          <w:szCs w:val="20"/>
          <w:lang w:val="es-CR"/>
        </w:rPr>
        <w:t>el artículo 6.1 de la Convención Americana, en relación con el artículo 1.1 del mismo instrumento, producida en el marco de una situación de discriminación estructural histórica</w:t>
      </w:r>
      <w:r w:rsidR="00520043">
        <w:rPr>
          <w:sz w:val="20"/>
          <w:szCs w:val="20"/>
          <w:lang w:val="es-CR"/>
        </w:rPr>
        <w:t xml:space="preserve"> </w:t>
      </w:r>
      <w:r w:rsidR="00520043" w:rsidRPr="00520043">
        <w:rPr>
          <w:sz w:val="20"/>
          <w:szCs w:val="20"/>
          <w:lang w:val="es-CR"/>
        </w:rPr>
        <w:t>en razón de la posición económica</w:t>
      </w:r>
      <w:r w:rsidR="0049364E">
        <w:rPr>
          <w:sz w:val="20"/>
          <w:szCs w:val="20"/>
          <w:lang w:val="es-CR"/>
        </w:rPr>
        <w:t>;</w:t>
      </w:r>
      <w:r w:rsidR="00520043">
        <w:rPr>
          <w:sz w:val="20"/>
          <w:szCs w:val="20"/>
          <w:lang w:val="es-CR"/>
        </w:rPr>
        <w:t xml:space="preserve"> </w:t>
      </w:r>
      <w:proofErr w:type="spellStart"/>
      <w:r w:rsidR="00520043">
        <w:rPr>
          <w:sz w:val="20"/>
          <w:szCs w:val="20"/>
          <w:lang w:val="es-CR"/>
        </w:rPr>
        <w:t>iii</w:t>
      </w:r>
      <w:proofErr w:type="spellEnd"/>
      <w:r w:rsidR="00520043">
        <w:rPr>
          <w:sz w:val="20"/>
          <w:szCs w:val="20"/>
          <w:lang w:val="es-CR"/>
        </w:rPr>
        <w:t>)</w:t>
      </w:r>
      <w:r w:rsidR="00E544CE">
        <w:rPr>
          <w:sz w:val="20"/>
          <w:szCs w:val="20"/>
          <w:lang w:val="es-CR"/>
        </w:rPr>
        <w:t xml:space="preserve"> </w:t>
      </w:r>
      <w:r w:rsidR="00E544CE" w:rsidRPr="00E544CE">
        <w:rPr>
          <w:sz w:val="20"/>
          <w:szCs w:val="20"/>
          <w:lang w:val="es-CR"/>
        </w:rPr>
        <w:t>las garantías judiciales de debida diligencia y de plazo razonable, previstas en el artículo 8.1 de la Convención Americana sobre Derechos Humanos, en relación con el artículo 1.1 del mismo instrumento</w:t>
      </w:r>
      <w:r w:rsidR="00E544CE">
        <w:rPr>
          <w:sz w:val="20"/>
          <w:szCs w:val="20"/>
          <w:lang w:val="es-CR"/>
        </w:rPr>
        <w:t xml:space="preserve"> y, </w:t>
      </w:r>
      <w:proofErr w:type="spellStart"/>
      <w:r w:rsidR="00E544CE">
        <w:rPr>
          <w:sz w:val="20"/>
          <w:szCs w:val="20"/>
          <w:lang w:val="es-CR"/>
        </w:rPr>
        <w:t>iv</w:t>
      </w:r>
      <w:proofErr w:type="spellEnd"/>
      <w:r w:rsidR="00E544CE">
        <w:rPr>
          <w:sz w:val="20"/>
          <w:szCs w:val="20"/>
          <w:lang w:val="es-CR"/>
        </w:rPr>
        <w:t xml:space="preserve">) </w:t>
      </w:r>
      <w:r w:rsidR="00E544CE" w:rsidRPr="00E544CE">
        <w:rPr>
          <w:sz w:val="20"/>
          <w:szCs w:val="20"/>
          <w:lang w:val="es-CR"/>
        </w:rPr>
        <w:t>el derecho a la protección judicial, previsto en el artículo 25 de la Convención Americana sobre Derechos Humanos, en relación con los artículos 1.1 y 2 del mismo instrumento</w:t>
      </w:r>
      <w:r w:rsidR="00E544CE">
        <w:rPr>
          <w:sz w:val="20"/>
          <w:szCs w:val="20"/>
          <w:lang w:val="es-CR"/>
        </w:rPr>
        <w:t xml:space="preserve">. </w:t>
      </w:r>
      <w:r w:rsidR="00BF2733">
        <w:rPr>
          <w:sz w:val="20"/>
          <w:szCs w:val="20"/>
          <w:lang w:val="es-ES"/>
        </w:rPr>
        <w:t>Por último, la Corte ordenó al Estado la adopción de diversas medidas de reparación.</w:t>
      </w:r>
    </w:p>
    <w:p w14:paraId="0CC2C84B" w14:textId="77777777" w:rsidR="0049364E" w:rsidRPr="00E544CE" w:rsidRDefault="0049364E" w:rsidP="0049364E">
      <w:pPr>
        <w:pStyle w:val="PrrafodeSentencia"/>
        <w:spacing w:before="0" w:after="0"/>
        <w:rPr>
          <w:sz w:val="20"/>
          <w:szCs w:val="20"/>
          <w:lang w:val="es-CR"/>
        </w:rPr>
      </w:pPr>
    </w:p>
    <w:p w14:paraId="278AAE74" w14:textId="77777777" w:rsidR="00F547B3" w:rsidRDefault="00F547B3" w:rsidP="00F547B3">
      <w:pPr>
        <w:pStyle w:val="Prrafodelista"/>
        <w:numPr>
          <w:ilvl w:val="0"/>
          <w:numId w:val="1"/>
        </w:numPr>
        <w:ind w:left="1170"/>
        <w:jc w:val="both"/>
        <w:rPr>
          <w:rFonts w:ascii="Verdana" w:hAnsi="Verdana"/>
          <w:b/>
          <w:sz w:val="20"/>
          <w:szCs w:val="20"/>
          <w:lang w:val="es-ES"/>
        </w:rPr>
      </w:pPr>
      <w:r>
        <w:rPr>
          <w:rFonts w:ascii="Verdana" w:hAnsi="Verdana"/>
          <w:b/>
          <w:sz w:val="20"/>
          <w:szCs w:val="20"/>
          <w:lang w:val="es-ES"/>
        </w:rPr>
        <w:t>Excepcio</w:t>
      </w:r>
      <w:r w:rsidRPr="0034438D">
        <w:rPr>
          <w:rFonts w:ascii="Verdana" w:hAnsi="Verdana"/>
          <w:b/>
          <w:sz w:val="20"/>
          <w:szCs w:val="20"/>
          <w:lang w:val="es-ES"/>
        </w:rPr>
        <w:t>n</w:t>
      </w:r>
      <w:r>
        <w:rPr>
          <w:rFonts w:ascii="Verdana" w:hAnsi="Verdana"/>
          <w:b/>
          <w:sz w:val="20"/>
          <w:szCs w:val="20"/>
          <w:lang w:val="es-ES"/>
        </w:rPr>
        <w:t>es</w:t>
      </w:r>
      <w:r w:rsidRPr="0034438D">
        <w:rPr>
          <w:rFonts w:ascii="Verdana" w:hAnsi="Verdana"/>
          <w:b/>
          <w:sz w:val="20"/>
          <w:szCs w:val="20"/>
          <w:lang w:val="es-ES"/>
        </w:rPr>
        <w:t xml:space="preserve"> Preliminar</w:t>
      </w:r>
      <w:r>
        <w:rPr>
          <w:rFonts w:ascii="Verdana" w:hAnsi="Verdana"/>
          <w:b/>
          <w:sz w:val="20"/>
          <w:szCs w:val="20"/>
          <w:lang w:val="es-ES"/>
        </w:rPr>
        <w:t>es</w:t>
      </w:r>
    </w:p>
    <w:p w14:paraId="0E535D61" w14:textId="77777777" w:rsidR="00F547B3" w:rsidRPr="0034438D" w:rsidRDefault="00F547B3" w:rsidP="00F547B3">
      <w:pPr>
        <w:pStyle w:val="Prrafodelista"/>
        <w:ind w:left="1170"/>
        <w:jc w:val="both"/>
        <w:rPr>
          <w:rFonts w:ascii="Verdana" w:hAnsi="Verdana"/>
          <w:b/>
          <w:sz w:val="20"/>
          <w:szCs w:val="20"/>
          <w:lang w:val="es-ES"/>
        </w:rPr>
      </w:pPr>
    </w:p>
    <w:p w14:paraId="2F31FF6C" w14:textId="77777777" w:rsidR="00F547B3" w:rsidRDefault="00F547B3" w:rsidP="00F547B3">
      <w:pPr>
        <w:pStyle w:val="Prrafodelista"/>
        <w:ind w:left="0"/>
        <w:jc w:val="both"/>
        <w:rPr>
          <w:rFonts w:ascii="Verdana" w:hAnsi="Verdana"/>
          <w:b/>
          <w:sz w:val="20"/>
          <w:szCs w:val="20"/>
          <w:lang w:val="es-CR"/>
        </w:rPr>
      </w:pPr>
      <w:r w:rsidRPr="00FB55F2">
        <w:rPr>
          <w:rFonts w:ascii="Verdana" w:hAnsi="Verdana"/>
          <w:sz w:val="20"/>
          <w:szCs w:val="20"/>
        </w:rPr>
        <w:t xml:space="preserve">En este caso el Estado presentó </w:t>
      </w:r>
      <w:r>
        <w:rPr>
          <w:rFonts w:ascii="Verdana" w:hAnsi="Verdana"/>
          <w:sz w:val="20"/>
          <w:szCs w:val="20"/>
        </w:rPr>
        <w:t xml:space="preserve">10 </w:t>
      </w:r>
      <w:r w:rsidRPr="00FB55F2">
        <w:rPr>
          <w:rFonts w:ascii="Verdana" w:hAnsi="Verdana"/>
          <w:sz w:val="20"/>
          <w:szCs w:val="20"/>
        </w:rPr>
        <w:t xml:space="preserve">excepciones preliminares </w:t>
      </w:r>
      <w:r>
        <w:rPr>
          <w:rFonts w:ascii="Verdana" w:hAnsi="Verdana"/>
          <w:sz w:val="20"/>
          <w:szCs w:val="20"/>
        </w:rPr>
        <w:t>en</w:t>
      </w:r>
      <w:r w:rsidRPr="00FB55F2">
        <w:rPr>
          <w:rFonts w:ascii="Verdana" w:hAnsi="Verdana"/>
          <w:sz w:val="20"/>
          <w:szCs w:val="20"/>
        </w:rPr>
        <w:t xml:space="preserve"> relación </w:t>
      </w:r>
      <w:r>
        <w:rPr>
          <w:rFonts w:ascii="Verdana" w:hAnsi="Verdana"/>
          <w:sz w:val="20"/>
          <w:szCs w:val="20"/>
          <w:lang w:val="es-CR"/>
        </w:rPr>
        <w:t>con: i)</w:t>
      </w:r>
      <w:r w:rsidRPr="00B60780">
        <w:rPr>
          <w:rFonts w:ascii="Verdana" w:hAnsi="Verdana"/>
          <w:sz w:val="20"/>
          <w:szCs w:val="20"/>
          <w:lang w:val="es-CR"/>
        </w:rPr>
        <w:t xml:space="preserve"> la i</w:t>
      </w:r>
      <w:proofErr w:type="spellStart"/>
      <w:r w:rsidRPr="00B60780">
        <w:rPr>
          <w:rFonts w:ascii="Verdana" w:hAnsi="Verdana"/>
          <w:sz w:val="20"/>
          <w:szCs w:val="20"/>
          <w:lang w:val="es-MX"/>
        </w:rPr>
        <w:t>nadmisibilidad</w:t>
      </w:r>
      <w:proofErr w:type="spellEnd"/>
      <w:r w:rsidRPr="00B60780">
        <w:rPr>
          <w:rFonts w:ascii="Verdana" w:hAnsi="Verdana"/>
          <w:sz w:val="20"/>
          <w:szCs w:val="20"/>
          <w:lang w:val="es-MX"/>
        </w:rPr>
        <w:t xml:space="preserve"> del sometimiento del caso a la Corte en virtud de la publicación del Informe de Fondo por parte de la Comisión; </w:t>
      </w:r>
      <w:proofErr w:type="spellStart"/>
      <w:r>
        <w:rPr>
          <w:rFonts w:ascii="Verdana" w:hAnsi="Verdana"/>
          <w:sz w:val="20"/>
          <w:szCs w:val="20"/>
          <w:lang w:val="es-MX"/>
        </w:rPr>
        <w:t>ii</w:t>
      </w:r>
      <w:proofErr w:type="spellEnd"/>
      <w:r>
        <w:rPr>
          <w:rFonts w:ascii="Verdana" w:hAnsi="Verdana"/>
          <w:sz w:val="20"/>
          <w:szCs w:val="20"/>
          <w:lang w:val="es-MX"/>
        </w:rPr>
        <w:t xml:space="preserve">) </w:t>
      </w:r>
      <w:r w:rsidRPr="00B60780">
        <w:rPr>
          <w:rFonts w:ascii="Verdana" w:hAnsi="Verdana"/>
          <w:sz w:val="20"/>
          <w:szCs w:val="20"/>
          <w:lang w:val="es-MX"/>
        </w:rPr>
        <w:t xml:space="preserve">la incompetencia </w:t>
      </w:r>
      <w:proofErr w:type="spellStart"/>
      <w:r w:rsidRPr="00B60780">
        <w:rPr>
          <w:rFonts w:ascii="Verdana" w:hAnsi="Verdana"/>
          <w:i/>
          <w:sz w:val="20"/>
          <w:szCs w:val="20"/>
          <w:lang w:val="es-MX"/>
        </w:rPr>
        <w:t>ratione</w:t>
      </w:r>
      <w:proofErr w:type="spellEnd"/>
      <w:r w:rsidRPr="00B60780">
        <w:rPr>
          <w:rFonts w:ascii="Verdana" w:hAnsi="Verdana"/>
          <w:i/>
          <w:sz w:val="20"/>
          <w:szCs w:val="20"/>
          <w:lang w:val="es-MX"/>
        </w:rPr>
        <w:t xml:space="preserve"> </w:t>
      </w:r>
      <w:proofErr w:type="spellStart"/>
      <w:r w:rsidRPr="00B60780">
        <w:rPr>
          <w:rFonts w:ascii="Verdana" w:hAnsi="Verdana"/>
          <w:i/>
          <w:sz w:val="20"/>
          <w:szCs w:val="20"/>
          <w:lang w:val="es-MX"/>
        </w:rPr>
        <w:t>personae</w:t>
      </w:r>
      <w:proofErr w:type="spellEnd"/>
      <w:r w:rsidRPr="00B60780">
        <w:rPr>
          <w:rFonts w:ascii="Verdana" w:hAnsi="Verdana"/>
          <w:sz w:val="20"/>
          <w:szCs w:val="20"/>
          <w:lang w:val="es-MX"/>
        </w:rPr>
        <w:t xml:space="preserve"> respecto de presuntas víctimas no identificadas, aquellas identificadas pero que no otorgaron poder de representación, que no aparecían en el Informe de Fondo de la Comisión o que no estaban relacionadas con los hechos del caso; </w:t>
      </w:r>
      <w:proofErr w:type="spellStart"/>
      <w:r>
        <w:rPr>
          <w:rFonts w:ascii="Verdana" w:hAnsi="Verdana"/>
          <w:sz w:val="20"/>
          <w:szCs w:val="20"/>
          <w:lang w:val="es-MX"/>
        </w:rPr>
        <w:t>iii</w:t>
      </w:r>
      <w:proofErr w:type="spellEnd"/>
      <w:r>
        <w:rPr>
          <w:rFonts w:ascii="Verdana" w:hAnsi="Verdana"/>
          <w:sz w:val="20"/>
          <w:szCs w:val="20"/>
          <w:lang w:val="es-MX"/>
        </w:rPr>
        <w:t xml:space="preserve">) </w:t>
      </w:r>
      <w:r w:rsidRPr="00B60780">
        <w:rPr>
          <w:rFonts w:ascii="Verdana" w:hAnsi="Verdana"/>
          <w:sz w:val="20"/>
          <w:szCs w:val="20"/>
          <w:lang w:val="es-MX"/>
        </w:rPr>
        <w:t xml:space="preserve">la incompetencia </w:t>
      </w:r>
      <w:proofErr w:type="spellStart"/>
      <w:r w:rsidRPr="00B60780">
        <w:rPr>
          <w:rFonts w:ascii="Verdana" w:hAnsi="Verdana"/>
          <w:i/>
          <w:sz w:val="20"/>
          <w:szCs w:val="20"/>
          <w:lang w:val="es-MX"/>
        </w:rPr>
        <w:t>ratione</w:t>
      </w:r>
      <w:proofErr w:type="spellEnd"/>
      <w:r w:rsidRPr="00B60780">
        <w:rPr>
          <w:rFonts w:ascii="Verdana" w:hAnsi="Verdana"/>
          <w:i/>
          <w:sz w:val="20"/>
          <w:szCs w:val="20"/>
          <w:lang w:val="es-MX"/>
        </w:rPr>
        <w:t xml:space="preserve"> </w:t>
      </w:r>
      <w:proofErr w:type="spellStart"/>
      <w:r w:rsidRPr="00B60780">
        <w:rPr>
          <w:rFonts w:ascii="Verdana" w:hAnsi="Verdana"/>
          <w:i/>
          <w:sz w:val="20"/>
          <w:szCs w:val="20"/>
          <w:lang w:val="es-MX"/>
        </w:rPr>
        <w:t>personae</w:t>
      </w:r>
      <w:proofErr w:type="spellEnd"/>
      <w:r w:rsidRPr="00B60780">
        <w:rPr>
          <w:rFonts w:ascii="Verdana" w:hAnsi="Verdana"/>
          <w:sz w:val="20"/>
          <w:szCs w:val="20"/>
          <w:lang w:val="es-MX"/>
        </w:rPr>
        <w:t xml:space="preserve"> de violaciones en abstracto;</w:t>
      </w:r>
      <w:r>
        <w:rPr>
          <w:rFonts w:ascii="Verdana" w:hAnsi="Verdana"/>
          <w:sz w:val="20"/>
          <w:szCs w:val="20"/>
          <w:lang w:val="es-CR"/>
        </w:rPr>
        <w:t xml:space="preserve"> </w:t>
      </w:r>
      <w:proofErr w:type="spellStart"/>
      <w:r>
        <w:rPr>
          <w:rFonts w:ascii="Verdana" w:hAnsi="Verdana"/>
          <w:sz w:val="20"/>
          <w:szCs w:val="20"/>
          <w:lang w:val="es-CR"/>
        </w:rPr>
        <w:t>iv</w:t>
      </w:r>
      <w:proofErr w:type="spellEnd"/>
      <w:r>
        <w:rPr>
          <w:rFonts w:ascii="Verdana" w:hAnsi="Verdana"/>
          <w:sz w:val="20"/>
          <w:szCs w:val="20"/>
          <w:lang w:val="es-CR"/>
        </w:rPr>
        <w:t>) dos pedidos de</w:t>
      </w:r>
      <w:r w:rsidRPr="00B60780">
        <w:rPr>
          <w:rFonts w:ascii="Verdana" w:hAnsi="Verdana"/>
          <w:sz w:val="20"/>
          <w:szCs w:val="20"/>
          <w:lang w:val="es-MX"/>
        </w:rPr>
        <w:t xml:space="preserve"> incompetencia </w:t>
      </w:r>
      <w:proofErr w:type="spellStart"/>
      <w:r w:rsidRPr="00B60780">
        <w:rPr>
          <w:rFonts w:ascii="Verdana" w:hAnsi="Verdana"/>
          <w:i/>
          <w:sz w:val="20"/>
          <w:szCs w:val="20"/>
          <w:lang w:val="es-MX"/>
        </w:rPr>
        <w:t>ratione</w:t>
      </w:r>
      <w:proofErr w:type="spellEnd"/>
      <w:r w:rsidRPr="00B60780">
        <w:rPr>
          <w:rFonts w:ascii="Verdana" w:hAnsi="Verdana"/>
          <w:i/>
          <w:sz w:val="20"/>
          <w:szCs w:val="20"/>
          <w:lang w:val="es-MX"/>
        </w:rPr>
        <w:t xml:space="preserve"> </w:t>
      </w:r>
      <w:proofErr w:type="spellStart"/>
      <w:r w:rsidRPr="00B60780">
        <w:rPr>
          <w:rFonts w:ascii="Verdana" w:hAnsi="Verdana"/>
          <w:i/>
          <w:sz w:val="20"/>
          <w:szCs w:val="20"/>
          <w:lang w:val="es-MX"/>
        </w:rPr>
        <w:t>temporis</w:t>
      </w:r>
      <w:proofErr w:type="spellEnd"/>
      <w:r w:rsidRPr="00B60780">
        <w:rPr>
          <w:rFonts w:ascii="Verdana" w:hAnsi="Verdana"/>
          <w:sz w:val="20"/>
          <w:szCs w:val="20"/>
          <w:lang w:val="es-MX"/>
        </w:rPr>
        <w:t xml:space="preserve"> respecto de hechos anteriores a la fecha de reconocimiento de la jurisdicción de </w:t>
      </w:r>
      <w:r>
        <w:rPr>
          <w:rFonts w:ascii="Verdana" w:hAnsi="Verdana"/>
          <w:sz w:val="20"/>
          <w:szCs w:val="20"/>
          <w:lang w:val="es-MX"/>
        </w:rPr>
        <w:t xml:space="preserve">la Corte por parte del Estado; v) </w:t>
      </w:r>
      <w:r w:rsidRPr="00B60780">
        <w:rPr>
          <w:rFonts w:ascii="Verdana" w:hAnsi="Verdana"/>
          <w:sz w:val="20"/>
          <w:szCs w:val="20"/>
          <w:lang w:val="es-MX"/>
        </w:rPr>
        <w:t xml:space="preserve">la incompetencia </w:t>
      </w:r>
      <w:proofErr w:type="spellStart"/>
      <w:r w:rsidRPr="00B60780">
        <w:rPr>
          <w:rFonts w:ascii="Verdana" w:hAnsi="Verdana"/>
          <w:i/>
          <w:sz w:val="20"/>
          <w:szCs w:val="20"/>
          <w:lang w:val="es-MX"/>
        </w:rPr>
        <w:t>ratione</w:t>
      </w:r>
      <w:proofErr w:type="spellEnd"/>
      <w:r w:rsidRPr="00B60780">
        <w:rPr>
          <w:rFonts w:ascii="Verdana" w:hAnsi="Verdana"/>
          <w:i/>
          <w:sz w:val="20"/>
          <w:szCs w:val="20"/>
          <w:lang w:val="es-MX"/>
        </w:rPr>
        <w:t xml:space="preserve"> </w:t>
      </w:r>
      <w:proofErr w:type="spellStart"/>
      <w:r w:rsidRPr="00B60780">
        <w:rPr>
          <w:rFonts w:ascii="Verdana" w:hAnsi="Verdana"/>
          <w:i/>
          <w:sz w:val="20"/>
          <w:szCs w:val="20"/>
          <w:lang w:val="es-MX"/>
        </w:rPr>
        <w:t>materiae</w:t>
      </w:r>
      <w:proofErr w:type="spellEnd"/>
      <w:r w:rsidRPr="00B60780">
        <w:rPr>
          <w:rFonts w:ascii="Verdana" w:hAnsi="Verdana"/>
          <w:sz w:val="20"/>
          <w:szCs w:val="20"/>
          <w:lang w:val="es-MX"/>
        </w:rPr>
        <w:t xml:space="preserve"> por violación al principio de subsidiaridad del Sistema Interamericano; </w:t>
      </w:r>
      <w:r>
        <w:rPr>
          <w:rFonts w:ascii="Verdana" w:hAnsi="Verdana"/>
          <w:sz w:val="20"/>
          <w:szCs w:val="20"/>
          <w:lang w:val="es-MX"/>
        </w:rPr>
        <w:t xml:space="preserve">vi) </w:t>
      </w:r>
      <w:r w:rsidRPr="00B60780">
        <w:rPr>
          <w:rFonts w:ascii="Verdana" w:hAnsi="Verdana"/>
          <w:sz w:val="20"/>
          <w:szCs w:val="20"/>
          <w:lang w:val="es-MX"/>
        </w:rPr>
        <w:t xml:space="preserve">la incompetencia </w:t>
      </w:r>
      <w:proofErr w:type="spellStart"/>
      <w:r w:rsidRPr="00B60780">
        <w:rPr>
          <w:rFonts w:ascii="Verdana" w:hAnsi="Verdana"/>
          <w:i/>
          <w:sz w:val="20"/>
          <w:szCs w:val="20"/>
          <w:lang w:val="es-MX"/>
        </w:rPr>
        <w:t>ratione</w:t>
      </w:r>
      <w:proofErr w:type="spellEnd"/>
      <w:r w:rsidRPr="00B60780">
        <w:rPr>
          <w:rFonts w:ascii="Verdana" w:hAnsi="Verdana"/>
          <w:i/>
          <w:sz w:val="20"/>
          <w:szCs w:val="20"/>
          <w:lang w:val="es-MX"/>
        </w:rPr>
        <w:t xml:space="preserve"> </w:t>
      </w:r>
      <w:proofErr w:type="spellStart"/>
      <w:r w:rsidRPr="00B60780">
        <w:rPr>
          <w:rFonts w:ascii="Verdana" w:hAnsi="Verdana"/>
          <w:i/>
          <w:sz w:val="20"/>
          <w:szCs w:val="20"/>
          <w:lang w:val="es-MX"/>
        </w:rPr>
        <w:t>materiae</w:t>
      </w:r>
      <w:proofErr w:type="spellEnd"/>
      <w:r w:rsidRPr="00B60780">
        <w:rPr>
          <w:rFonts w:ascii="Verdana" w:hAnsi="Verdana"/>
          <w:sz w:val="20"/>
          <w:szCs w:val="20"/>
          <w:lang w:val="es-MX"/>
        </w:rPr>
        <w:t xml:space="preserve"> relativa a presuntas violaciones de la prohibición de tráfico de personas;</w:t>
      </w:r>
      <w:r>
        <w:rPr>
          <w:rFonts w:ascii="Verdana" w:hAnsi="Verdana"/>
          <w:sz w:val="20"/>
          <w:szCs w:val="20"/>
          <w:lang w:val="es-MX"/>
        </w:rPr>
        <w:t xml:space="preserve"> </w:t>
      </w:r>
      <w:proofErr w:type="spellStart"/>
      <w:r>
        <w:rPr>
          <w:rFonts w:ascii="Verdana" w:hAnsi="Verdana"/>
          <w:sz w:val="20"/>
          <w:szCs w:val="20"/>
          <w:lang w:val="es-MX"/>
        </w:rPr>
        <w:t>vii</w:t>
      </w:r>
      <w:proofErr w:type="spellEnd"/>
      <w:r>
        <w:rPr>
          <w:rFonts w:ascii="Verdana" w:hAnsi="Verdana"/>
          <w:sz w:val="20"/>
          <w:szCs w:val="20"/>
          <w:lang w:val="es-MX"/>
        </w:rPr>
        <w:t>)</w:t>
      </w:r>
      <w:r w:rsidRPr="00B60780">
        <w:rPr>
          <w:rFonts w:ascii="Verdana" w:hAnsi="Verdana"/>
          <w:sz w:val="20"/>
          <w:szCs w:val="20"/>
          <w:lang w:val="es-MX"/>
        </w:rPr>
        <w:t xml:space="preserve"> la incompetencia </w:t>
      </w:r>
      <w:proofErr w:type="spellStart"/>
      <w:r w:rsidRPr="00B60780">
        <w:rPr>
          <w:rFonts w:ascii="Verdana" w:hAnsi="Verdana"/>
          <w:i/>
          <w:sz w:val="20"/>
          <w:szCs w:val="20"/>
          <w:lang w:val="es-MX"/>
        </w:rPr>
        <w:t>ratione</w:t>
      </w:r>
      <w:proofErr w:type="spellEnd"/>
      <w:r w:rsidRPr="00B60780">
        <w:rPr>
          <w:rFonts w:ascii="Verdana" w:hAnsi="Verdana"/>
          <w:i/>
          <w:sz w:val="20"/>
          <w:szCs w:val="20"/>
          <w:lang w:val="es-MX"/>
        </w:rPr>
        <w:t xml:space="preserve"> </w:t>
      </w:r>
      <w:proofErr w:type="spellStart"/>
      <w:r w:rsidRPr="00B60780">
        <w:rPr>
          <w:rFonts w:ascii="Verdana" w:hAnsi="Verdana"/>
          <w:i/>
          <w:sz w:val="20"/>
          <w:szCs w:val="20"/>
          <w:lang w:val="es-MX"/>
        </w:rPr>
        <w:t>materiae</w:t>
      </w:r>
      <w:proofErr w:type="spellEnd"/>
      <w:r w:rsidRPr="00B60780">
        <w:rPr>
          <w:rFonts w:ascii="Verdana" w:hAnsi="Verdana"/>
          <w:sz w:val="20"/>
          <w:szCs w:val="20"/>
          <w:lang w:val="es-MX"/>
        </w:rPr>
        <w:t xml:space="preserve"> sobre supuestas violaciones de derechos laborales;</w:t>
      </w:r>
      <w:r>
        <w:rPr>
          <w:rFonts w:ascii="Verdana" w:hAnsi="Verdana"/>
          <w:sz w:val="20"/>
          <w:szCs w:val="20"/>
          <w:lang w:val="es-MX"/>
        </w:rPr>
        <w:t xml:space="preserve"> </w:t>
      </w:r>
      <w:proofErr w:type="spellStart"/>
      <w:r>
        <w:rPr>
          <w:rFonts w:ascii="Verdana" w:hAnsi="Verdana"/>
          <w:sz w:val="20"/>
          <w:szCs w:val="20"/>
          <w:lang w:val="es-MX"/>
        </w:rPr>
        <w:t>viii</w:t>
      </w:r>
      <w:proofErr w:type="spellEnd"/>
      <w:r>
        <w:rPr>
          <w:rFonts w:ascii="Verdana" w:hAnsi="Verdana"/>
          <w:sz w:val="20"/>
          <w:szCs w:val="20"/>
          <w:lang w:val="es-MX"/>
        </w:rPr>
        <w:t>)</w:t>
      </w:r>
      <w:r w:rsidRPr="00B60780">
        <w:rPr>
          <w:rFonts w:ascii="Verdana" w:hAnsi="Verdana"/>
          <w:sz w:val="20"/>
          <w:szCs w:val="20"/>
          <w:lang w:val="es-MX"/>
        </w:rPr>
        <w:t xml:space="preserve"> la falta de agotamiento pr</w:t>
      </w:r>
      <w:r>
        <w:rPr>
          <w:rFonts w:ascii="Verdana" w:hAnsi="Verdana"/>
          <w:sz w:val="20"/>
          <w:szCs w:val="20"/>
          <w:lang w:val="es-MX"/>
        </w:rPr>
        <w:t xml:space="preserve">evio de los recursos internos, y </w:t>
      </w:r>
      <w:proofErr w:type="spellStart"/>
      <w:r>
        <w:rPr>
          <w:rFonts w:ascii="Verdana" w:hAnsi="Verdana"/>
          <w:sz w:val="20"/>
          <w:szCs w:val="20"/>
          <w:lang w:val="es-MX"/>
        </w:rPr>
        <w:t>ix</w:t>
      </w:r>
      <w:proofErr w:type="spellEnd"/>
      <w:r>
        <w:rPr>
          <w:rFonts w:ascii="Verdana" w:hAnsi="Verdana"/>
          <w:sz w:val="20"/>
          <w:szCs w:val="20"/>
          <w:lang w:val="es-MX"/>
        </w:rPr>
        <w:t>)</w:t>
      </w:r>
      <w:r w:rsidRPr="00B60780">
        <w:rPr>
          <w:rFonts w:ascii="Verdana" w:hAnsi="Verdana"/>
          <w:sz w:val="20"/>
          <w:szCs w:val="20"/>
          <w:lang w:val="es-MX"/>
        </w:rPr>
        <w:t xml:space="preserve"> la prescripción de la petición ante la Comisión respecto de las pretensiones de reparación de daño moral y material</w:t>
      </w:r>
      <w:r>
        <w:rPr>
          <w:rFonts w:ascii="Verdana" w:hAnsi="Verdana"/>
          <w:sz w:val="20"/>
          <w:szCs w:val="20"/>
          <w:lang w:val="es-MX"/>
        </w:rPr>
        <w:t>.</w:t>
      </w:r>
      <w:r>
        <w:rPr>
          <w:rFonts w:ascii="Verdana" w:hAnsi="Verdana"/>
          <w:sz w:val="20"/>
          <w:szCs w:val="20"/>
          <w:lang w:val="es-CR"/>
        </w:rPr>
        <w:t xml:space="preserve"> </w:t>
      </w:r>
    </w:p>
    <w:p w14:paraId="2C209A04" w14:textId="77777777" w:rsidR="00F547B3" w:rsidRDefault="00F547B3" w:rsidP="00F547B3">
      <w:pPr>
        <w:pStyle w:val="Prrafodelista"/>
        <w:ind w:left="0"/>
        <w:jc w:val="both"/>
        <w:rPr>
          <w:rFonts w:ascii="Verdana" w:hAnsi="Verdana"/>
          <w:b/>
          <w:sz w:val="20"/>
          <w:szCs w:val="20"/>
          <w:lang w:val="es-MX"/>
        </w:rPr>
      </w:pPr>
    </w:p>
    <w:p w14:paraId="79C165BD" w14:textId="77777777" w:rsidR="00F547B3" w:rsidRDefault="00F547B3" w:rsidP="00F547B3">
      <w:pPr>
        <w:tabs>
          <w:tab w:val="left" w:pos="708"/>
          <w:tab w:val="center" w:pos="4419"/>
          <w:tab w:val="right" w:pos="8838"/>
        </w:tabs>
        <w:jc w:val="both"/>
        <w:rPr>
          <w:rFonts w:ascii="Verdana" w:hAnsi="Verdana"/>
          <w:sz w:val="20"/>
          <w:szCs w:val="20"/>
          <w:lang w:val="es-MX"/>
        </w:rPr>
      </w:pPr>
      <w:r>
        <w:rPr>
          <w:rFonts w:ascii="Verdana" w:hAnsi="Verdana"/>
          <w:sz w:val="20"/>
          <w:szCs w:val="20"/>
          <w:lang w:val="es-MX"/>
        </w:rPr>
        <w:t xml:space="preserve">La Corte declaró </w:t>
      </w:r>
      <w:r w:rsidRPr="00A0390A">
        <w:rPr>
          <w:rFonts w:ascii="Verdana" w:hAnsi="Verdana"/>
          <w:sz w:val="20"/>
          <w:szCs w:val="20"/>
          <w:lang w:val="es-CR"/>
        </w:rPr>
        <w:t xml:space="preserve">parcialmente procedente la excepción preliminar interpuesta por el Estado relativa a </w:t>
      </w:r>
      <w:r w:rsidRPr="00A0390A">
        <w:rPr>
          <w:rFonts w:ascii="Verdana" w:hAnsi="Verdana"/>
          <w:sz w:val="20"/>
          <w:szCs w:val="20"/>
          <w:lang w:val="es-MX"/>
        </w:rPr>
        <w:t xml:space="preserve">la incompetencia </w:t>
      </w:r>
      <w:proofErr w:type="spellStart"/>
      <w:r w:rsidRPr="00A0390A">
        <w:rPr>
          <w:rFonts w:ascii="Verdana" w:hAnsi="Verdana"/>
          <w:i/>
          <w:sz w:val="20"/>
          <w:szCs w:val="20"/>
          <w:lang w:val="es-MX"/>
        </w:rPr>
        <w:t>ratione</w:t>
      </w:r>
      <w:proofErr w:type="spellEnd"/>
      <w:r w:rsidRPr="00A0390A">
        <w:rPr>
          <w:rFonts w:ascii="Verdana" w:hAnsi="Verdana"/>
          <w:i/>
          <w:sz w:val="20"/>
          <w:szCs w:val="20"/>
          <w:lang w:val="es-MX"/>
        </w:rPr>
        <w:t xml:space="preserve"> </w:t>
      </w:r>
      <w:proofErr w:type="spellStart"/>
      <w:r w:rsidRPr="00A0390A">
        <w:rPr>
          <w:rFonts w:ascii="Verdana" w:hAnsi="Verdana"/>
          <w:i/>
          <w:sz w:val="20"/>
          <w:szCs w:val="20"/>
          <w:lang w:val="es-MX"/>
        </w:rPr>
        <w:t>temporis</w:t>
      </w:r>
      <w:proofErr w:type="spellEnd"/>
      <w:r w:rsidRPr="00A0390A">
        <w:rPr>
          <w:rFonts w:ascii="Verdana" w:hAnsi="Verdana"/>
          <w:sz w:val="20"/>
          <w:szCs w:val="20"/>
          <w:lang w:val="es-MX"/>
        </w:rPr>
        <w:t xml:space="preserve"> respecto de hechos anteriores a la fecha de reconocimiento de la jurisdicción de la Corte por parte del Estado, y la incompetencia </w:t>
      </w:r>
      <w:proofErr w:type="spellStart"/>
      <w:r w:rsidRPr="00A0390A">
        <w:rPr>
          <w:rFonts w:ascii="Verdana" w:hAnsi="Verdana"/>
          <w:i/>
          <w:sz w:val="20"/>
          <w:szCs w:val="20"/>
          <w:lang w:val="es-MX"/>
        </w:rPr>
        <w:t>ratione</w:t>
      </w:r>
      <w:proofErr w:type="spellEnd"/>
      <w:r w:rsidRPr="00A0390A">
        <w:rPr>
          <w:rFonts w:ascii="Verdana" w:hAnsi="Verdana"/>
          <w:i/>
          <w:sz w:val="20"/>
          <w:szCs w:val="20"/>
          <w:lang w:val="es-MX"/>
        </w:rPr>
        <w:t xml:space="preserve"> </w:t>
      </w:r>
      <w:proofErr w:type="spellStart"/>
      <w:r w:rsidRPr="00A0390A">
        <w:rPr>
          <w:rFonts w:ascii="Verdana" w:hAnsi="Verdana"/>
          <w:i/>
          <w:sz w:val="20"/>
          <w:szCs w:val="20"/>
          <w:lang w:val="es-MX"/>
        </w:rPr>
        <w:t>temporis</w:t>
      </w:r>
      <w:proofErr w:type="spellEnd"/>
      <w:r w:rsidRPr="00A0390A">
        <w:rPr>
          <w:rFonts w:ascii="Verdana" w:hAnsi="Verdana"/>
          <w:sz w:val="20"/>
          <w:szCs w:val="20"/>
          <w:lang w:val="es-MX"/>
        </w:rPr>
        <w:t xml:space="preserve"> sobre hechos anteriores a la adhesión del Estado a la Convención Americana</w:t>
      </w:r>
      <w:r>
        <w:rPr>
          <w:rFonts w:ascii="Verdana" w:hAnsi="Verdana"/>
          <w:sz w:val="20"/>
          <w:szCs w:val="20"/>
          <w:lang w:val="es-MX"/>
        </w:rPr>
        <w:t>, y desestimó las demás excepciones preliminares interpuestas por Brasil. En virtud de lo anterior, la Corte realizó un anál</w:t>
      </w:r>
      <w:r w:rsidR="00EC2E0A">
        <w:rPr>
          <w:rFonts w:ascii="Verdana" w:hAnsi="Verdana"/>
          <w:sz w:val="20"/>
          <w:szCs w:val="20"/>
          <w:lang w:val="es-MX"/>
        </w:rPr>
        <w:t xml:space="preserve">isis sobre dos grupos de hechos, primero las acciones y omisiones a partir de 10 de diciembre de 1998 en la investigación y procesos relacionados a la inspección realizada en la Hacienda Brasil Verde en 1997; y los hechos violatorios y la respectiva investigación y procesos vinculados a la inspección realizada el 15 de marzo de 2000 a la referida Hacienda. </w:t>
      </w:r>
    </w:p>
    <w:p w14:paraId="0B68FF25" w14:textId="77777777" w:rsidR="00F547B3" w:rsidRPr="00A0390A" w:rsidRDefault="00F547B3" w:rsidP="00F547B3">
      <w:pPr>
        <w:tabs>
          <w:tab w:val="left" w:pos="708"/>
          <w:tab w:val="center" w:pos="4419"/>
          <w:tab w:val="right" w:pos="8838"/>
        </w:tabs>
        <w:jc w:val="both"/>
        <w:rPr>
          <w:rFonts w:ascii="Verdana" w:hAnsi="Verdana"/>
          <w:sz w:val="20"/>
          <w:szCs w:val="20"/>
          <w:lang w:val="es-ES"/>
        </w:rPr>
      </w:pPr>
    </w:p>
    <w:p w14:paraId="5610EF1A" w14:textId="77777777" w:rsidR="0049364E" w:rsidRDefault="00E63FBF" w:rsidP="0049364E">
      <w:pPr>
        <w:pStyle w:val="Prrafodelista"/>
        <w:numPr>
          <w:ilvl w:val="0"/>
          <w:numId w:val="1"/>
        </w:numPr>
        <w:ind w:left="1134"/>
        <w:jc w:val="both"/>
        <w:rPr>
          <w:rFonts w:ascii="Verdana" w:hAnsi="Verdana"/>
          <w:b/>
          <w:sz w:val="20"/>
          <w:szCs w:val="20"/>
        </w:rPr>
      </w:pPr>
      <w:r w:rsidRPr="00225DDB">
        <w:rPr>
          <w:rFonts w:ascii="Verdana" w:hAnsi="Verdana"/>
          <w:b/>
          <w:sz w:val="20"/>
          <w:szCs w:val="20"/>
        </w:rPr>
        <w:t>Hechos</w:t>
      </w:r>
    </w:p>
    <w:p w14:paraId="62B1AF48" w14:textId="77777777" w:rsidR="0049364E" w:rsidRDefault="0049364E" w:rsidP="0049364E">
      <w:pPr>
        <w:pStyle w:val="Prrafodelista"/>
        <w:ind w:left="0"/>
        <w:jc w:val="both"/>
        <w:rPr>
          <w:rFonts w:ascii="Verdana" w:hAnsi="Verdana"/>
          <w:sz w:val="20"/>
          <w:szCs w:val="20"/>
        </w:rPr>
      </w:pPr>
    </w:p>
    <w:p w14:paraId="559E3A24" w14:textId="77777777" w:rsidR="0049364E" w:rsidRPr="0049364E" w:rsidRDefault="0049364E" w:rsidP="0049364E">
      <w:pPr>
        <w:pStyle w:val="Prrafodelista"/>
        <w:ind w:left="0"/>
        <w:jc w:val="both"/>
        <w:rPr>
          <w:rFonts w:ascii="Verdana" w:hAnsi="Verdana"/>
          <w:i/>
          <w:sz w:val="20"/>
          <w:szCs w:val="20"/>
        </w:rPr>
      </w:pPr>
      <w:r w:rsidRPr="0049364E">
        <w:rPr>
          <w:rFonts w:ascii="Verdana" w:hAnsi="Verdana"/>
          <w:i/>
          <w:sz w:val="20"/>
          <w:szCs w:val="20"/>
        </w:rPr>
        <w:t>Historia del trabajo esclavo en Brasil</w:t>
      </w:r>
    </w:p>
    <w:p w14:paraId="322960E1" w14:textId="77777777" w:rsidR="00A7260B" w:rsidRDefault="00A7260B" w:rsidP="0049364E">
      <w:pPr>
        <w:pStyle w:val="Prrafodelista"/>
        <w:ind w:left="0"/>
        <w:jc w:val="both"/>
        <w:rPr>
          <w:rFonts w:ascii="Verdana" w:hAnsi="Verdana"/>
          <w:sz w:val="20"/>
          <w:szCs w:val="20"/>
        </w:rPr>
      </w:pPr>
    </w:p>
    <w:p w14:paraId="78765D7E" w14:textId="77777777" w:rsidR="0049364E" w:rsidRPr="0049364E" w:rsidRDefault="0049364E" w:rsidP="0049364E">
      <w:pPr>
        <w:pStyle w:val="Prrafodelista"/>
        <w:ind w:left="0"/>
        <w:jc w:val="both"/>
        <w:rPr>
          <w:rFonts w:ascii="Verdana" w:hAnsi="Verdana"/>
          <w:sz w:val="20"/>
          <w:szCs w:val="20"/>
        </w:rPr>
      </w:pPr>
      <w:r w:rsidRPr="0049364E">
        <w:rPr>
          <w:rFonts w:ascii="Verdana" w:hAnsi="Verdana"/>
          <w:sz w:val="20"/>
          <w:szCs w:val="20"/>
        </w:rPr>
        <w:t>Brasil abolió legalmente la esclavitud en 1888.</w:t>
      </w:r>
      <w:r w:rsidR="009C38AA">
        <w:rPr>
          <w:rFonts w:ascii="Verdana" w:hAnsi="Verdana"/>
          <w:sz w:val="20"/>
          <w:szCs w:val="20"/>
        </w:rPr>
        <w:t xml:space="preserve"> </w:t>
      </w:r>
      <w:r w:rsidRPr="0049364E">
        <w:rPr>
          <w:rFonts w:ascii="Verdana" w:hAnsi="Verdana"/>
          <w:sz w:val="20"/>
          <w:szCs w:val="20"/>
        </w:rPr>
        <w:t xml:space="preserve">A pesar de ello, la pobreza y la concentración de la propiedad de las tierras fueron causas estructurales que provocaron su continuación. En las décadas de los </w:t>
      </w:r>
      <w:r w:rsidR="002C5DB7">
        <w:rPr>
          <w:rFonts w:ascii="Verdana" w:hAnsi="Verdana"/>
          <w:sz w:val="20"/>
          <w:szCs w:val="20"/>
        </w:rPr>
        <w:t xml:space="preserve">años </w:t>
      </w:r>
      <w:r w:rsidRPr="0049364E">
        <w:rPr>
          <w:rFonts w:ascii="Verdana" w:hAnsi="Verdana"/>
          <w:sz w:val="20"/>
          <w:szCs w:val="20"/>
        </w:rPr>
        <w:t>60 y 70 el trabajo esclavo aumentó debido a técnicas más modernas de trabajo rural, que requerían un mayor número de trabajadores. En 1995 el Estado reconoció la existencia de esclavitud.</w:t>
      </w:r>
      <w:r w:rsidR="009C38AA">
        <w:rPr>
          <w:rFonts w:ascii="Verdana" w:hAnsi="Verdana"/>
          <w:sz w:val="20"/>
          <w:szCs w:val="20"/>
        </w:rPr>
        <w:t xml:space="preserve"> </w:t>
      </w:r>
    </w:p>
    <w:p w14:paraId="6FEDAF18" w14:textId="77777777" w:rsidR="0049364E" w:rsidRDefault="0049364E" w:rsidP="0049364E">
      <w:pPr>
        <w:pStyle w:val="Prrafodelista"/>
        <w:ind w:left="0"/>
        <w:jc w:val="both"/>
        <w:rPr>
          <w:rFonts w:ascii="Verdana" w:hAnsi="Verdana"/>
          <w:sz w:val="20"/>
          <w:szCs w:val="20"/>
        </w:rPr>
      </w:pPr>
    </w:p>
    <w:p w14:paraId="0C632388" w14:textId="77777777" w:rsidR="0049364E" w:rsidRPr="0049364E" w:rsidRDefault="0049364E" w:rsidP="0049364E">
      <w:pPr>
        <w:pStyle w:val="Prrafodelista"/>
        <w:ind w:left="0"/>
        <w:jc w:val="both"/>
        <w:rPr>
          <w:rFonts w:ascii="Verdana" w:hAnsi="Verdana"/>
          <w:i/>
          <w:sz w:val="20"/>
          <w:szCs w:val="20"/>
        </w:rPr>
      </w:pPr>
      <w:r w:rsidRPr="0049364E">
        <w:rPr>
          <w:rFonts w:ascii="Verdana" w:hAnsi="Verdana"/>
          <w:i/>
          <w:sz w:val="20"/>
          <w:szCs w:val="20"/>
        </w:rPr>
        <w:t>Antecedentes</w:t>
      </w:r>
    </w:p>
    <w:p w14:paraId="5256DCF7" w14:textId="77777777" w:rsidR="00A7260B" w:rsidRDefault="00A7260B" w:rsidP="0049364E">
      <w:pPr>
        <w:pStyle w:val="Prrafodelista"/>
        <w:ind w:left="0"/>
        <w:jc w:val="both"/>
        <w:rPr>
          <w:rFonts w:ascii="Verdana" w:hAnsi="Verdana"/>
          <w:sz w:val="20"/>
          <w:szCs w:val="20"/>
        </w:rPr>
      </w:pPr>
    </w:p>
    <w:p w14:paraId="6967D149" w14:textId="77777777" w:rsidR="0049364E" w:rsidRPr="0049364E" w:rsidRDefault="0049364E" w:rsidP="0049364E">
      <w:pPr>
        <w:pStyle w:val="Prrafodelista"/>
        <w:ind w:left="0"/>
        <w:jc w:val="both"/>
        <w:rPr>
          <w:rFonts w:ascii="Verdana" w:hAnsi="Verdana"/>
          <w:sz w:val="20"/>
          <w:szCs w:val="20"/>
        </w:rPr>
      </w:pPr>
      <w:r w:rsidRPr="0049364E">
        <w:rPr>
          <w:rFonts w:ascii="Verdana" w:hAnsi="Verdana"/>
          <w:sz w:val="20"/>
          <w:szCs w:val="20"/>
        </w:rPr>
        <w:t>Los hechos del caso se relacionan con la Hacienda Brasil Verde</w:t>
      </w:r>
      <w:r w:rsidR="002C5DB7">
        <w:rPr>
          <w:rFonts w:ascii="Verdana" w:hAnsi="Verdana"/>
          <w:sz w:val="20"/>
          <w:szCs w:val="20"/>
        </w:rPr>
        <w:t>,</w:t>
      </w:r>
      <w:r w:rsidRPr="0049364E">
        <w:rPr>
          <w:rFonts w:ascii="Verdana" w:hAnsi="Verdana"/>
          <w:sz w:val="20"/>
          <w:szCs w:val="20"/>
        </w:rPr>
        <w:t xml:space="preserve"> ubicada en el estado de Pará.</w:t>
      </w:r>
      <w:r w:rsidR="007737A0">
        <w:rPr>
          <w:rFonts w:ascii="Verdana" w:hAnsi="Verdana"/>
          <w:sz w:val="20"/>
          <w:szCs w:val="20"/>
        </w:rPr>
        <w:t xml:space="preserve"> </w:t>
      </w:r>
      <w:r>
        <w:rPr>
          <w:rFonts w:ascii="Verdana" w:hAnsi="Verdana"/>
          <w:sz w:val="20"/>
          <w:szCs w:val="20"/>
        </w:rPr>
        <w:t>En particular, se constató</w:t>
      </w:r>
      <w:r w:rsidRPr="0049364E">
        <w:rPr>
          <w:rFonts w:ascii="Verdana" w:hAnsi="Verdana"/>
          <w:sz w:val="20"/>
          <w:szCs w:val="20"/>
        </w:rPr>
        <w:t xml:space="preserve"> que a partir de 1988 se presentaron una serie de denuncias ante la Policía Federal y el Consejo de Defensa de los Derechos de la Persona Humana</w:t>
      </w:r>
      <w:r w:rsidR="009B6C52">
        <w:rPr>
          <w:rFonts w:ascii="Verdana" w:hAnsi="Verdana"/>
          <w:sz w:val="20"/>
          <w:szCs w:val="20"/>
        </w:rPr>
        <w:t xml:space="preserve"> (CDDPH)</w:t>
      </w:r>
      <w:r w:rsidRPr="0049364E">
        <w:rPr>
          <w:rFonts w:ascii="Verdana" w:hAnsi="Verdana"/>
          <w:sz w:val="20"/>
          <w:szCs w:val="20"/>
        </w:rPr>
        <w:t xml:space="preserve">, por la práctica de trabajo esclavo en dicha Hacienda, y por la desaparición de dos jóvenes. </w:t>
      </w:r>
    </w:p>
    <w:p w14:paraId="4ED4CA64" w14:textId="77777777" w:rsidR="009B6C52" w:rsidRDefault="009B6C52" w:rsidP="0049364E">
      <w:pPr>
        <w:pStyle w:val="Prrafodelista"/>
        <w:ind w:left="0"/>
        <w:jc w:val="both"/>
        <w:rPr>
          <w:rFonts w:ascii="Verdana" w:hAnsi="Verdana"/>
          <w:sz w:val="20"/>
          <w:szCs w:val="20"/>
        </w:rPr>
      </w:pPr>
    </w:p>
    <w:p w14:paraId="5465353E" w14:textId="77777777" w:rsidR="0049364E" w:rsidRDefault="0049364E" w:rsidP="0049364E">
      <w:pPr>
        <w:pStyle w:val="Prrafodelista"/>
        <w:ind w:left="0"/>
        <w:jc w:val="both"/>
        <w:rPr>
          <w:rFonts w:ascii="Verdana" w:hAnsi="Verdana"/>
          <w:sz w:val="20"/>
          <w:szCs w:val="20"/>
        </w:rPr>
      </w:pPr>
      <w:r w:rsidRPr="0049364E">
        <w:rPr>
          <w:rFonts w:ascii="Verdana" w:hAnsi="Verdana"/>
          <w:sz w:val="20"/>
          <w:szCs w:val="20"/>
        </w:rPr>
        <w:t xml:space="preserve">En 1996, el Grupo Móvil </w:t>
      </w:r>
      <w:r w:rsidR="004D5127">
        <w:rPr>
          <w:rFonts w:ascii="Verdana" w:hAnsi="Verdana"/>
          <w:sz w:val="20"/>
          <w:szCs w:val="20"/>
        </w:rPr>
        <w:t xml:space="preserve">de Fiscalización </w:t>
      </w:r>
      <w:r w:rsidRPr="0049364E">
        <w:rPr>
          <w:rFonts w:ascii="Verdana" w:hAnsi="Verdana"/>
          <w:sz w:val="20"/>
          <w:szCs w:val="20"/>
        </w:rPr>
        <w:t xml:space="preserve">del Ministerio del Trabajo </w:t>
      </w:r>
      <w:r w:rsidR="007E0F35">
        <w:rPr>
          <w:rFonts w:ascii="Verdana" w:hAnsi="Verdana"/>
          <w:sz w:val="20"/>
          <w:szCs w:val="20"/>
        </w:rPr>
        <w:t xml:space="preserve">(MPT) </w:t>
      </w:r>
      <w:r w:rsidRPr="0049364E">
        <w:rPr>
          <w:rFonts w:ascii="Verdana" w:hAnsi="Verdana"/>
          <w:sz w:val="20"/>
          <w:szCs w:val="20"/>
        </w:rPr>
        <w:t>fiscalizó la Hacienda y determinó la existencia de irregularidades como la falta de registro de los empleados y, condiciones contrarias a las disposiciones laborales.</w:t>
      </w:r>
      <w:r w:rsidR="00B96D14">
        <w:rPr>
          <w:rFonts w:ascii="Verdana" w:hAnsi="Verdana"/>
          <w:sz w:val="20"/>
          <w:szCs w:val="20"/>
        </w:rPr>
        <w:t xml:space="preserve"> </w:t>
      </w:r>
      <w:r w:rsidRPr="0049364E">
        <w:rPr>
          <w:rFonts w:ascii="Verdana" w:hAnsi="Verdana"/>
          <w:sz w:val="20"/>
          <w:szCs w:val="20"/>
        </w:rPr>
        <w:t>En 1997</w:t>
      </w:r>
      <w:r w:rsidR="00B96D14">
        <w:rPr>
          <w:rFonts w:ascii="Verdana" w:hAnsi="Verdana"/>
          <w:sz w:val="20"/>
          <w:szCs w:val="20"/>
        </w:rPr>
        <w:t>,</w:t>
      </w:r>
      <w:r w:rsidRPr="0049364E">
        <w:rPr>
          <w:rFonts w:ascii="Verdana" w:hAnsi="Verdana"/>
          <w:sz w:val="20"/>
          <w:szCs w:val="20"/>
        </w:rPr>
        <w:t xml:space="preserve"> </w:t>
      </w:r>
      <w:r w:rsidR="009B6C52">
        <w:rPr>
          <w:rFonts w:ascii="Verdana" w:hAnsi="Verdana"/>
          <w:sz w:val="20"/>
          <w:szCs w:val="20"/>
        </w:rPr>
        <w:t xml:space="preserve">dos trabajadores </w:t>
      </w:r>
      <w:r w:rsidRPr="0049364E">
        <w:rPr>
          <w:rFonts w:ascii="Verdana" w:hAnsi="Verdana"/>
          <w:sz w:val="20"/>
          <w:szCs w:val="20"/>
        </w:rPr>
        <w:t xml:space="preserve">declararon ante </w:t>
      </w:r>
      <w:r w:rsidR="009B6C52">
        <w:rPr>
          <w:rFonts w:ascii="Verdana" w:hAnsi="Verdana"/>
          <w:sz w:val="20"/>
          <w:szCs w:val="20"/>
        </w:rPr>
        <w:t xml:space="preserve">la </w:t>
      </w:r>
      <w:r w:rsidRPr="0049364E">
        <w:rPr>
          <w:rFonts w:ascii="Verdana" w:hAnsi="Verdana"/>
          <w:sz w:val="20"/>
          <w:szCs w:val="20"/>
        </w:rPr>
        <w:t>Policía Federal de Pará haber trabajado y escapado de la Hacie</w:t>
      </w:r>
      <w:r w:rsidR="007E0F35">
        <w:rPr>
          <w:rFonts w:ascii="Verdana" w:hAnsi="Verdana"/>
          <w:sz w:val="20"/>
          <w:szCs w:val="20"/>
        </w:rPr>
        <w:t>nda. El primero manifestó que un</w:t>
      </w:r>
      <w:r w:rsidRPr="0049364E">
        <w:rPr>
          <w:rFonts w:ascii="Verdana" w:hAnsi="Verdana"/>
          <w:sz w:val="20"/>
          <w:szCs w:val="20"/>
        </w:rPr>
        <w:t xml:space="preserve"> </w:t>
      </w:r>
      <w:r w:rsidR="009B6C52">
        <w:rPr>
          <w:rFonts w:ascii="Verdana" w:hAnsi="Verdana"/>
          <w:sz w:val="20"/>
          <w:szCs w:val="20"/>
        </w:rPr>
        <w:t>“</w:t>
      </w:r>
      <w:r w:rsidRPr="0049364E">
        <w:rPr>
          <w:rFonts w:ascii="Verdana" w:hAnsi="Verdana"/>
          <w:sz w:val="20"/>
          <w:szCs w:val="20"/>
        </w:rPr>
        <w:t>gato</w:t>
      </w:r>
      <w:r w:rsidR="009B6C52">
        <w:rPr>
          <w:rFonts w:ascii="Verdana" w:hAnsi="Verdana"/>
          <w:sz w:val="20"/>
          <w:szCs w:val="20"/>
        </w:rPr>
        <w:t>”</w:t>
      </w:r>
      <w:r w:rsidRPr="0049364E">
        <w:rPr>
          <w:rFonts w:ascii="Verdana" w:hAnsi="Verdana"/>
          <w:sz w:val="20"/>
          <w:szCs w:val="20"/>
        </w:rPr>
        <w:t xml:space="preserve"> lo había contratado y que, al llegar</w:t>
      </w:r>
      <w:r w:rsidR="00B96D14">
        <w:rPr>
          <w:rFonts w:ascii="Verdana" w:hAnsi="Verdana"/>
          <w:sz w:val="20"/>
          <w:szCs w:val="20"/>
        </w:rPr>
        <w:t xml:space="preserve"> a la Hacienda</w:t>
      </w:r>
      <w:r w:rsidRPr="0049364E">
        <w:rPr>
          <w:rFonts w:ascii="Verdana" w:hAnsi="Verdana"/>
          <w:sz w:val="20"/>
          <w:szCs w:val="20"/>
        </w:rPr>
        <w:t>, ya debía dinero por hospedaje y utensilios. Ambos declararon que los trabajadores eran amenazados de muerte en caso de denuncia o fuga, y que eran escondidos durante las fiscalizaciones.</w:t>
      </w:r>
      <w:r w:rsidR="00BC3079">
        <w:rPr>
          <w:rFonts w:ascii="Verdana" w:hAnsi="Verdana"/>
          <w:b/>
          <w:sz w:val="20"/>
          <w:szCs w:val="20"/>
        </w:rPr>
        <w:t xml:space="preserve"> </w:t>
      </w:r>
      <w:r w:rsidR="00621921">
        <w:rPr>
          <w:rFonts w:ascii="Verdana" w:hAnsi="Verdana"/>
          <w:sz w:val="20"/>
          <w:szCs w:val="20"/>
        </w:rPr>
        <w:t>Con base en</w:t>
      </w:r>
      <w:r w:rsidRPr="0049364E">
        <w:rPr>
          <w:rFonts w:ascii="Verdana" w:hAnsi="Verdana"/>
          <w:sz w:val="20"/>
          <w:szCs w:val="20"/>
        </w:rPr>
        <w:t xml:space="preserve"> ello, el Grupo Móvil realizó una nueva fiscalización y concluyó que: i) los trabajadores se encontraban albergados en cobertizos cubiertos de plástico y paja con</w:t>
      </w:r>
      <w:r w:rsidR="00621921">
        <w:rPr>
          <w:rFonts w:ascii="Verdana" w:hAnsi="Verdana"/>
          <w:sz w:val="20"/>
          <w:szCs w:val="20"/>
        </w:rPr>
        <w:t xml:space="preserve"> una</w:t>
      </w:r>
      <w:r w:rsidRPr="0049364E">
        <w:rPr>
          <w:rFonts w:ascii="Verdana" w:hAnsi="Verdana"/>
          <w:sz w:val="20"/>
          <w:szCs w:val="20"/>
        </w:rPr>
        <w:t xml:space="preserve"> “total falta de higiene”; </w:t>
      </w:r>
      <w:proofErr w:type="spellStart"/>
      <w:r w:rsidRPr="0049364E">
        <w:rPr>
          <w:rFonts w:ascii="Verdana" w:hAnsi="Verdana"/>
          <w:sz w:val="20"/>
          <w:szCs w:val="20"/>
        </w:rPr>
        <w:t>ii</w:t>
      </w:r>
      <w:proofErr w:type="spellEnd"/>
      <w:r w:rsidRPr="0049364E">
        <w:rPr>
          <w:rFonts w:ascii="Verdana" w:hAnsi="Verdana"/>
          <w:sz w:val="20"/>
          <w:szCs w:val="20"/>
        </w:rPr>
        <w:t xml:space="preserve">) varios trabajadores eran portadores de enfermedades de la piel, no recibían atención médica y el agua no era apta para el consumo; </w:t>
      </w:r>
      <w:proofErr w:type="spellStart"/>
      <w:r w:rsidRPr="0049364E">
        <w:rPr>
          <w:rFonts w:ascii="Verdana" w:hAnsi="Verdana"/>
          <w:sz w:val="20"/>
          <w:szCs w:val="20"/>
        </w:rPr>
        <w:t>iii</w:t>
      </w:r>
      <w:proofErr w:type="spellEnd"/>
      <w:r w:rsidRPr="0049364E">
        <w:rPr>
          <w:rFonts w:ascii="Verdana" w:hAnsi="Verdana"/>
          <w:sz w:val="20"/>
          <w:szCs w:val="20"/>
        </w:rPr>
        <w:t xml:space="preserve">) todos los trabajadores habían sufrido amenazas, inclusive con armas de fuego, y </w:t>
      </w:r>
      <w:proofErr w:type="spellStart"/>
      <w:r w:rsidRPr="0049364E">
        <w:rPr>
          <w:rFonts w:ascii="Verdana" w:hAnsi="Verdana"/>
          <w:sz w:val="20"/>
          <w:szCs w:val="20"/>
        </w:rPr>
        <w:t>iv</w:t>
      </w:r>
      <w:proofErr w:type="spellEnd"/>
      <w:r w:rsidRPr="0049364E">
        <w:rPr>
          <w:rFonts w:ascii="Verdana" w:hAnsi="Verdana"/>
          <w:sz w:val="20"/>
          <w:szCs w:val="20"/>
        </w:rPr>
        <w:t xml:space="preserve">) </w:t>
      </w:r>
      <w:r w:rsidR="006C7780" w:rsidRPr="0049364E">
        <w:rPr>
          <w:rFonts w:ascii="Verdana" w:hAnsi="Verdana"/>
          <w:sz w:val="20"/>
          <w:szCs w:val="20"/>
        </w:rPr>
        <w:t xml:space="preserve">los trabajadores </w:t>
      </w:r>
      <w:r w:rsidRPr="0049364E">
        <w:rPr>
          <w:rFonts w:ascii="Verdana" w:hAnsi="Verdana"/>
          <w:sz w:val="20"/>
          <w:szCs w:val="20"/>
        </w:rPr>
        <w:t>declararon no poder salir de la Hacienda. Asimismo, comprobó la práctica de esconderlos. Se encontraron 81 personas.</w:t>
      </w:r>
      <w:r w:rsidR="006C7780">
        <w:rPr>
          <w:rFonts w:ascii="Verdana" w:hAnsi="Verdana"/>
          <w:sz w:val="20"/>
          <w:szCs w:val="20"/>
        </w:rPr>
        <w:t xml:space="preserve"> </w:t>
      </w:r>
    </w:p>
    <w:p w14:paraId="49B88056" w14:textId="77777777" w:rsidR="009B6C52" w:rsidRPr="0049364E" w:rsidRDefault="009B6C52" w:rsidP="0049364E">
      <w:pPr>
        <w:pStyle w:val="Prrafodelista"/>
        <w:ind w:left="0"/>
        <w:jc w:val="both"/>
        <w:rPr>
          <w:rFonts w:ascii="Verdana" w:hAnsi="Verdana"/>
          <w:sz w:val="20"/>
          <w:szCs w:val="20"/>
        </w:rPr>
      </w:pPr>
    </w:p>
    <w:p w14:paraId="462043E6" w14:textId="77777777" w:rsidR="0049364E" w:rsidRDefault="0049364E" w:rsidP="0049364E">
      <w:pPr>
        <w:pStyle w:val="Prrafodelista"/>
        <w:ind w:left="0"/>
        <w:jc w:val="both"/>
        <w:rPr>
          <w:rFonts w:ascii="Verdana" w:hAnsi="Verdana"/>
          <w:b/>
          <w:sz w:val="20"/>
          <w:szCs w:val="20"/>
        </w:rPr>
      </w:pPr>
      <w:r w:rsidRPr="0049364E">
        <w:rPr>
          <w:rFonts w:ascii="Verdana" w:hAnsi="Verdana"/>
          <w:sz w:val="20"/>
          <w:szCs w:val="20"/>
        </w:rPr>
        <w:t>Consecuentemente</w:t>
      </w:r>
      <w:r w:rsidR="00881FD8">
        <w:rPr>
          <w:rFonts w:ascii="Verdana" w:hAnsi="Verdana"/>
          <w:sz w:val="20"/>
          <w:szCs w:val="20"/>
        </w:rPr>
        <w:t>,</w:t>
      </w:r>
      <w:r w:rsidRPr="0049364E">
        <w:rPr>
          <w:rFonts w:ascii="Verdana" w:hAnsi="Verdana"/>
          <w:sz w:val="20"/>
          <w:szCs w:val="20"/>
        </w:rPr>
        <w:t xml:space="preserve"> el Ministerio Público Federal </w:t>
      </w:r>
      <w:r w:rsidR="00B04D19">
        <w:rPr>
          <w:rFonts w:ascii="Verdana" w:hAnsi="Verdana"/>
          <w:sz w:val="20"/>
          <w:szCs w:val="20"/>
        </w:rPr>
        <w:t xml:space="preserve">(MPF) </w:t>
      </w:r>
      <w:r w:rsidRPr="0049364E">
        <w:rPr>
          <w:rFonts w:ascii="Verdana" w:hAnsi="Verdana"/>
          <w:sz w:val="20"/>
          <w:szCs w:val="20"/>
        </w:rPr>
        <w:t>presentó una denuncia contra</w:t>
      </w:r>
      <w:r w:rsidR="009B6C52">
        <w:rPr>
          <w:rFonts w:ascii="Verdana" w:hAnsi="Verdana"/>
          <w:sz w:val="20"/>
          <w:szCs w:val="20"/>
        </w:rPr>
        <w:t xml:space="preserve"> el</w:t>
      </w:r>
      <w:r w:rsidRPr="0049364E">
        <w:rPr>
          <w:rFonts w:ascii="Verdana" w:hAnsi="Verdana"/>
          <w:sz w:val="20"/>
          <w:szCs w:val="20"/>
        </w:rPr>
        <w:t xml:space="preserve"> </w:t>
      </w:r>
      <w:r w:rsidR="009B6C52">
        <w:rPr>
          <w:rFonts w:ascii="Verdana" w:hAnsi="Verdana"/>
          <w:sz w:val="20"/>
          <w:szCs w:val="20"/>
        </w:rPr>
        <w:t>“gato” y el gerente de la Hacienda</w:t>
      </w:r>
      <w:r w:rsidRPr="0049364E">
        <w:rPr>
          <w:rFonts w:ascii="Verdana" w:hAnsi="Verdana"/>
          <w:sz w:val="20"/>
          <w:szCs w:val="20"/>
        </w:rPr>
        <w:t>, por los delitos trabajo esclavo, atentado contra la libertad del trabajo y tráfico de trabajadores</w:t>
      </w:r>
      <w:r w:rsidR="009B6C52">
        <w:rPr>
          <w:rFonts w:ascii="Verdana" w:hAnsi="Verdana"/>
          <w:sz w:val="20"/>
          <w:szCs w:val="20"/>
        </w:rPr>
        <w:t xml:space="preserve">; y contra el propietario del inmueble rural </w:t>
      </w:r>
      <w:r w:rsidRPr="0049364E">
        <w:rPr>
          <w:rFonts w:ascii="Verdana" w:hAnsi="Verdana"/>
          <w:sz w:val="20"/>
          <w:szCs w:val="20"/>
        </w:rPr>
        <w:t xml:space="preserve">por frustrar derechos laborales. </w:t>
      </w:r>
    </w:p>
    <w:p w14:paraId="5ED9B488" w14:textId="77777777" w:rsidR="00D54540" w:rsidRPr="0049364E" w:rsidRDefault="00D54540" w:rsidP="0049364E">
      <w:pPr>
        <w:pStyle w:val="Prrafodelista"/>
        <w:ind w:left="0"/>
        <w:jc w:val="both"/>
        <w:rPr>
          <w:rFonts w:ascii="Verdana" w:hAnsi="Verdana"/>
          <w:sz w:val="20"/>
          <w:szCs w:val="20"/>
        </w:rPr>
      </w:pPr>
    </w:p>
    <w:p w14:paraId="60EFA769" w14:textId="77777777" w:rsidR="0049364E" w:rsidRPr="00D54540" w:rsidRDefault="0049364E" w:rsidP="0049364E">
      <w:pPr>
        <w:pStyle w:val="Prrafodelista"/>
        <w:ind w:left="0"/>
        <w:jc w:val="both"/>
        <w:rPr>
          <w:rFonts w:ascii="Verdana" w:hAnsi="Verdana"/>
          <w:i/>
          <w:sz w:val="20"/>
          <w:szCs w:val="20"/>
        </w:rPr>
      </w:pPr>
      <w:r w:rsidRPr="00D54540">
        <w:rPr>
          <w:rFonts w:ascii="Verdana" w:hAnsi="Verdana"/>
          <w:i/>
          <w:sz w:val="20"/>
          <w:szCs w:val="20"/>
        </w:rPr>
        <w:t>Hechos dentro de la competencia temporal de la Corte</w:t>
      </w:r>
      <w:r w:rsidR="00A7260B">
        <w:rPr>
          <w:rFonts w:ascii="Verdana" w:hAnsi="Verdana"/>
          <w:i/>
          <w:sz w:val="20"/>
          <w:szCs w:val="20"/>
        </w:rPr>
        <w:t xml:space="preserve"> (a partir de 10 de diciembre de 1998)</w:t>
      </w:r>
    </w:p>
    <w:p w14:paraId="64F65776" w14:textId="77777777" w:rsidR="00D54540" w:rsidRDefault="00D54540" w:rsidP="0049364E">
      <w:pPr>
        <w:pStyle w:val="Prrafodelista"/>
        <w:ind w:left="0"/>
        <w:jc w:val="both"/>
        <w:rPr>
          <w:rFonts w:ascii="Verdana" w:hAnsi="Verdana"/>
          <w:sz w:val="20"/>
          <w:szCs w:val="20"/>
        </w:rPr>
      </w:pPr>
    </w:p>
    <w:p w14:paraId="59862E6B" w14:textId="77777777" w:rsidR="0049364E" w:rsidRDefault="0049364E" w:rsidP="0049364E">
      <w:pPr>
        <w:pStyle w:val="Prrafodelista"/>
        <w:ind w:left="0"/>
        <w:jc w:val="both"/>
        <w:rPr>
          <w:rFonts w:ascii="Verdana" w:hAnsi="Verdana"/>
          <w:sz w:val="20"/>
          <w:szCs w:val="20"/>
        </w:rPr>
      </w:pPr>
      <w:r w:rsidRPr="0049364E">
        <w:rPr>
          <w:rFonts w:ascii="Verdana" w:hAnsi="Verdana"/>
          <w:sz w:val="20"/>
          <w:szCs w:val="20"/>
        </w:rPr>
        <w:t xml:space="preserve">En 1999, </w:t>
      </w:r>
      <w:r w:rsidR="00B04D19">
        <w:rPr>
          <w:rFonts w:ascii="Verdana" w:hAnsi="Verdana"/>
          <w:sz w:val="20"/>
          <w:szCs w:val="20"/>
        </w:rPr>
        <w:t xml:space="preserve">la justicia </w:t>
      </w:r>
      <w:r w:rsidRPr="0049364E">
        <w:rPr>
          <w:rFonts w:ascii="Verdana" w:hAnsi="Verdana"/>
          <w:sz w:val="20"/>
          <w:szCs w:val="20"/>
        </w:rPr>
        <w:t xml:space="preserve">federal autorizó la suspensión condicional por dos años del proceso contra </w:t>
      </w:r>
      <w:r w:rsidR="00A7260B">
        <w:rPr>
          <w:rFonts w:ascii="Verdana" w:hAnsi="Verdana"/>
          <w:sz w:val="20"/>
          <w:szCs w:val="20"/>
        </w:rPr>
        <w:t>el propietario de la Hacienda</w:t>
      </w:r>
      <w:r w:rsidRPr="0049364E">
        <w:rPr>
          <w:rFonts w:ascii="Verdana" w:hAnsi="Verdana"/>
          <w:sz w:val="20"/>
          <w:szCs w:val="20"/>
        </w:rPr>
        <w:t xml:space="preserve">, a cambio de la entrega de seis canastas básicas a una entidad </w:t>
      </w:r>
      <w:r w:rsidRPr="0049364E">
        <w:rPr>
          <w:rFonts w:ascii="Verdana" w:hAnsi="Verdana"/>
          <w:sz w:val="20"/>
          <w:szCs w:val="20"/>
        </w:rPr>
        <w:lastRenderedPageBreak/>
        <w:t>de beneficencia. En 2001, en relación a los otros dos denunciados, el juez federal declaró la incompetencia para juzgar el proceso, por lo que los autos se enviaron a la justicia estadual, la cual en 2004 se declaró incompetente.</w:t>
      </w:r>
      <w:r w:rsidR="00A7260B">
        <w:rPr>
          <w:rFonts w:ascii="Verdana" w:hAnsi="Verdana"/>
          <w:b/>
          <w:sz w:val="20"/>
          <w:szCs w:val="20"/>
        </w:rPr>
        <w:t xml:space="preserve"> </w:t>
      </w:r>
      <w:r w:rsidRPr="0049364E">
        <w:rPr>
          <w:rFonts w:ascii="Verdana" w:hAnsi="Verdana"/>
          <w:sz w:val="20"/>
          <w:szCs w:val="20"/>
        </w:rPr>
        <w:t xml:space="preserve">En 2007 el Superior Tribunal de Justicia </w:t>
      </w:r>
      <w:r w:rsidR="00A7260B">
        <w:rPr>
          <w:rFonts w:ascii="Verdana" w:hAnsi="Verdana"/>
          <w:sz w:val="20"/>
          <w:szCs w:val="20"/>
        </w:rPr>
        <w:t xml:space="preserve">decidió </w:t>
      </w:r>
      <w:r w:rsidRPr="0049364E">
        <w:rPr>
          <w:rFonts w:ascii="Verdana" w:hAnsi="Verdana"/>
          <w:sz w:val="20"/>
          <w:szCs w:val="20"/>
        </w:rPr>
        <w:t xml:space="preserve">que la jurisdicción competente </w:t>
      </w:r>
      <w:r w:rsidR="00A7260B">
        <w:rPr>
          <w:rFonts w:ascii="Verdana" w:hAnsi="Verdana"/>
          <w:sz w:val="20"/>
          <w:szCs w:val="20"/>
        </w:rPr>
        <w:t xml:space="preserve">para el delito de trabajo esclavo </w:t>
      </w:r>
      <w:r w:rsidRPr="0049364E">
        <w:rPr>
          <w:rFonts w:ascii="Verdana" w:hAnsi="Verdana"/>
          <w:sz w:val="20"/>
          <w:szCs w:val="20"/>
        </w:rPr>
        <w:t xml:space="preserve">era la federal. En 2008, se declaró extinta la acción penal. </w:t>
      </w:r>
    </w:p>
    <w:p w14:paraId="0BAFB5F0" w14:textId="77777777" w:rsidR="00A7260B" w:rsidRPr="0049364E" w:rsidRDefault="00A7260B" w:rsidP="0049364E">
      <w:pPr>
        <w:pStyle w:val="Prrafodelista"/>
        <w:ind w:left="0"/>
        <w:jc w:val="both"/>
        <w:rPr>
          <w:rFonts w:ascii="Verdana" w:hAnsi="Verdana"/>
          <w:sz w:val="20"/>
          <w:szCs w:val="20"/>
        </w:rPr>
      </w:pPr>
    </w:p>
    <w:p w14:paraId="6EE35D59" w14:textId="77777777" w:rsidR="0049364E" w:rsidRPr="00A7260B" w:rsidRDefault="0049364E" w:rsidP="0049364E">
      <w:pPr>
        <w:pStyle w:val="Prrafodelista"/>
        <w:ind w:left="0"/>
        <w:jc w:val="both"/>
        <w:rPr>
          <w:rFonts w:ascii="Verdana" w:hAnsi="Verdana"/>
          <w:i/>
          <w:sz w:val="20"/>
          <w:szCs w:val="20"/>
        </w:rPr>
      </w:pPr>
      <w:r w:rsidRPr="00A7260B">
        <w:rPr>
          <w:rFonts w:ascii="Verdana" w:hAnsi="Verdana"/>
          <w:i/>
          <w:sz w:val="20"/>
          <w:szCs w:val="20"/>
        </w:rPr>
        <w:t xml:space="preserve">La visita a la Hacienda Brasil Verde en 2000 </w:t>
      </w:r>
    </w:p>
    <w:p w14:paraId="23812322" w14:textId="77777777" w:rsidR="00A7260B" w:rsidRDefault="00A7260B" w:rsidP="0049364E">
      <w:pPr>
        <w:pStyle w:val="Prrafodelista"/>
        <w:ind w:left="0"/>
        <w:jc w:val="both"/>
        <w:rPr>
          <w:rFonts w:ascii="Verdana" w:hAnsi="Verdana"/>
          <w:sz w:val="20"/>
          <w:szCs w:val="20"/>
        </w:rPr>
      </w:pPr>
    </w:p>
    <w:p w14:paraId="2C2D964F" w14:textId="77777777" w:rsidR="0049364E" w:rsidRDefault="0049364E" w:rsidP="0049364E">
      <w:pPr>
        <w:pStyle w:val="Prrafodelista"/>
        <w:ind w:left="0"/>
        <w:jc w:val="both"/>
        <w:rPr>
          <w:rFonts w:ascii="Verdana" w:hAnsi="Verdana"/>
          <w:sz w:val="20"/>
          <w:szCs w:val="20"/>
        </w:rPr>
      </w:pPr>
      <w:r w:rsidRPr="0049364E">
        <w:rPr>
          <w:rFonts w:ascii="Verdana" w:hAnsi="Verdana"/>
          <w:sz w:val="20"/>
          <w:szCs w:val="20"/>
        </w:rPr>
        <w:t xml:space="preserve">En 2000, el </w:t>
      </w:r>
      <w:r w:rsidR="00A7260B">
        <w:rPr>
          <w:rFonts w:ascii="Verdana" w:hAnsi="Verdana"/>
          <w:sz w:val="20"/>
          <w:szCs w:val="20"/>
        </w:rPr>
        <w:t>“</w:t>
      </w:r>
      <w:r w:rsidRPr="0049364E">
        <w:rPr>
          <w:rFonts w:ascii="Verdana" w:hAnsi="Verdana"/>
          <w:sz w:val="20"/>
          <w:szCs w:val="20"/>
        </w:rPr>
        <w:t>gato</w:t>
      </w:r>
      <w:r w:rsidR="00A7260B">
        <w:rPr>
          <w:rFonts w:ascii="Verdana" w:hAnsi="Verdana"/>
          <w:sz w:val="20"/>
          <w:szCs w:val="20"/>
        </w:rPr>
        <w:t>”</w:t>
      </w:r>
      <w:r w:rsidRPr="0049364E">
        <w:rPr>
          <w:rFonts w:ascii="Verdana" w:hAnsi="Verdana"/>
          <w:sz w:val="20"/>
          <w:szCs w:val="20"/>
        </w:rPr>
        <w:t xml:space="preserve"> conocido como “</w:t>
      </w:r>
      <w:proofErr w:type="spellStart"/>
      <w:r w:rsidRPr="0049364E">
        <w:rPr>
          <w:rFonts w:ascii="Verdana" w:hAnsi="Verdana"/>
          <w:sz w:val="20"/>
          <w:szCs w:val="20"/>
        </w:rPr>
        <w:t>Meladinho</w:t>
      </w:r>
      <w:proofErr w:type="spellEnd"/>
      <w:r w:rsidRPr="0049364E">
        <w:rPr>
          <w:rFonts w:ascii="Verdana" w:hAnsi="Verdana"/>
          <w:sz w:val="20"/>
          <w:szCs w:val="20"/>
        </w:rPr>
        <w:t xml:space="preserve">” reclutó a trabajadores en el Municipio de Barras, </w:t>
      </w:r>
      <w:r w:rsidR="00A7260B">
        <w:rPr>
          <w:rFonts w:ascii="Verdana" w:hAnsi="Verdana"/>
          <w:sz w:val="20"/>
          <w:szCs w:val="20"/>
        </w:rPr>
        <w:t xml:space="preserve">Piauí, </w:t>
      </w:r>
      <w:r w:rsidRPr="0049364E">
        <w:rPr>
          <w:rFonts w:ascii="Verdana" w:hAnsi="Verdana"/>
          <w:sz w:val="20"/>
          <w:szCs w:val="20"/>
        </w:rPr>
        <w:t>para trabajar en la Hacienda</w:t>
      </w:r>
      <w:r w:rsidR="00B9210A">
        <w:rPr>
          <w:rFonts w:ascii="Verdana" w:hAnsi="Verdana"/>
          <w:sz w:val="20"/>
          <w:szCs w:val="20"/>
        </w:rPr>
        <w:t xml:space="preserve"> Brasil Verde</w:t>
      </w:r>
      <w:r w:rsidRPr="0049364E">
        <w:rPr>
          <w:rFonts w:ascii="Verdana" w:hAnsi="Verdana"/>
          <w:sz w:val="20"/>
          <w:szCs w:val="20"/>
        </w:rPr>
        <w:t xml:space="preserve">, ofreciéndoles un buen salario e incluso un adelanto. Además, les ofreció transporte, alimentación y alojamiento durante su estadía en la hacienda. Para llegar a la Hacienda, los trabajadores tuvieron que viajar durante varios días en bus, tren y camión. Respecto del tren, describieron que compartieron el espacio con animales. Además, tuvieron que alojarse en un hotel, con el cual quedaron endeudados. Cuando llegaron a la Hacienda, los trabajadores se percataron de que lo ofrecido no era cierto, además les obligaron a entregar sus </w:t>
      </w:r>
      <w:r w:rsidR="00B9210A">
        <w:rPr>
          <w:rFonts w:ascii="Verdana" w:hAnsi="Verdana"/>
          <w:sz w:val="20"/>
          <w:szCs w:val="20"/>
        </w:rPr>
        <w:t>cédulas de trabajo (</w:t>
      </w:r>
      <w:r w:rsidRPr="0049364E">
        <w:rPr>
          <w:rFonts w:ascii="Verdana" w:hAnsi="Verdana"/>
          <w:sz w:val="20"/>
          <w:szCs w:val="20"/>
        </w:rPr>
        <w:t>CTPS</w:t>
      </w:r>
      <w:r w:rsidR="00B9210A">
        <w:rPr>
          <w:rFonts w:ascii="Verdana" w:hAnsi="Verdana"/>
          <w:sz w:val="20"/>
          <w:szCs w:val="20"/>
        </w:rPr>
        <w:t>)</w:t>
      </w:r>
      <w:r w:rsidRPr="0049364E">
        <w:rPr>
          <w:rFonts w:ascii="Verdana" w:hAnsi="Verdana"/>
          <w:sz w:val="20"/>
          <w:szCs w:val="20"/>
        </w:rPr>
        <w:t xml:space="preserve"> y a firmar documentos en blanco, práctica conocida en virtud de anteriores inspecciones.</w:t>
      </w:r>
      <w:r w:rsidR="00A7260B">
        <w:rPr>
          <w:rFonts w:ascii="Verdana" w:hAnsi="Verdana"/>
          <w:b/>
          <w:sz w:val="20"/>
          <w:szCs w:val="20"/>
        </w:rPr>
        <w:t xml:space="preserve"> </w:t>
      </w:r>
    </w:p>
    <w:p w14:paraId="6BEC2F0F" w14:textId="77777777" w:rsidR="00A7260B" w:rsidRPr="00A7260B" w:rsidRDefault="00A7260B" w:rsidP="0049364E">
      <w:pPr>
        <w:pStyle w:val="Prrafodelista"/>
        <w:ind w:left="0"/>
        <w:jc w:val="both"/>
        <w:rPr>
          <w:rFonts w:ascii="Verdana" w:hAnsi="Verdana"/>
          <w:sz w:val="20"/>
          <w:szCs w:val="20"/>
        </w:rPr>
      </w:pPr>
    </w:p>
    <w:p w14:paraId="5ED654E6" w14:textId="77777777" w:rsidR="0049364E" w:rsidRPr="0049364E" w:rsidRDefault="00A7260B" w:rsidP="0049364E">
      <w:pPr>
        <w:pStyle w:val="Prrafodelista"/>
        <w:ind w:left="0"/>
        <w:jc w:val="both"/>
        <w:rPr>
          <w:rFonts w:ascii="Verdana" w:hAnsi="Verdana"/>
          <w:sz w:val="20"/>
          <w:szCs w:val="20"/>
        </w:rPr>
      </w:pPr>
      <w:r>
        <w:rPr>
          <w:rFonts w:ascii="Verdana" w:hAnsi="Verdana"/>
          <w:sz w:val="20"/>
          <w:szCs w:val="20"/>
        </w:rPr>
        <w:t>En la Hacienda d</w:t>
      </w:r>
      <w:r w:rsidR="0049364E" w:rsidRPr="0049364E">
        <w:rPr>
          <w:rFonts w:ascii="Verdana" w:hAnsi="Verdana"/>
          <w:sz w:val="20"/>
          <w:szCs w:val="20"/>
        </w:rPr>
        <w:t xml:space="preserve">ormían en ranchos sin electricidad, camas ni armarios. El techo era </w:t>
      </w:r>
      <w:proofErr w:type="gramStart"/>
      <w:r w:rsidR="0049364E" w:rsidRPr="0049364E">
        <w:rPr>
          <w:rFonts w:ascii="Verdana" w:hAnsi="Verdana"/>
          <w:sz w:val="20"/>
          <w:szCs w:val="20"/>
        </w:rPr>
        <w:t>de  lona</w:t>
      </w:r>
      <w:proofErr w:type="gramEnd"/>
      <w:r w:rsidR="0049364E" w:rsidRPr="0049364E">
        <w:rPr>
          <w:rFonts w:ascii="Verdana" w:hAnsi="Verdana"/>
          <w:sz w:val="20"/>
          <w:szCs w:val="20"/>
        </w:rPr>
        <w:t xml:space="preserve">, lo </w:t>
      </w:r>
      <w:r w:rsidR="00881FD8">
        <w:rPr>
          <w:rFonts w:ascii="Verdana" w:hAnsi="Verdana"/>
          <w:sz w:val="20"/>
          <w:szCs w:val="20"/>
        </w:rPr>
        <w:t xml:space="preserve">que </w:t>
      </w:r>
      <w:r w:rsidR="0049364E" w:rsidRPr="0049364E">
        <w:rPr>
          <w:rFonts w:ascii="Verdana" w:hAnsi="Verdana"/>
          <w:sz w:val="20"/>
          <w:szCs w:val="20"/>
        </w:rPr>
        <w:t>generaba la entrada de agua. En los ranchos dormían decenas de trabajadores, en hamacas o redes. El sanitario y la ducha se encontraban en muy mal estado, afuera del rancho entre la vegetación, y no contaba con paredes ni techo. Además, producto de la suciedad de los baños, algunos preferían hacer sus necesidades corporales en la vegetación y bañarse en una quebrada, o no bañarse. La alimentación era insuficiente, repetitiva</w:t>
      </w:r>
      <w:r w:rsidR="00CB5634">
        <w:rPr>
          <w:rFonts w:ascii="Verdana" w:hAnsi="Verdana"/>
          <w:sz w:val="20"/>
          <w:szCs w:val="20"/>
        </w:rPr>
        <w:t>,</w:t>
      </w:r>
      <w:r w:rsidR="0049364E" w:rsidRPr="0049364E">
        <w:rPr>
          <w:rFonts w:ascii="Verdana" w:hAnsi="Verdana"/>
          <w:sz w:val="20"/>
          <w:szCs w:val="20"/>
        </w:rPr>
        <w:t xml:space="preserve"> de mala calidad y descontada de sus salarios. La rutina diaria de trabajo era de 12 horas o más, con un descanso de media hora para almorzar y </w:t>
      </w:r>
      <w:r w:rsidR="009E4EB9">
        <w:rPr>
          <w:rFonts w:ascii="Verdana" w:hAnsi="Verdana"/>
          <w:sz w:val="20"/>
          <w:szCs w:val="20"/>
        </w:rPr>
        <w:t xml:space="preserve">solamente un </w:t>
      </w:r>
      <w:r w:rsidR="0049364E" w:rsidRPr="0049364E">
        <w:rPr>
          <w:rFonts w:ascii="Verdana" w:hAnsi="Verdana"/>
          <w:sz w:val="20"/>
          <w:szCs w:val="20"/>
        </w:rPr>
        <w:t xml:space="preserve">día libre a la semana. En virtud de </w:t>
      </w:r>
      <w:r>
        <w:rPr>
          <w:rFonts w:ascii="Verdana" w:hAnsi="Verdana"/>
          <w:sz w:val="20"/>
          <w:szCs w:val="20"/>
        </w:rPr>
        <w:t>esa</w:t>
      </w:r>
      <w:r w:rsidR="0049364E" w:rsidRPr="0049364E">
        <w:rPr>
          <w:rFonts w:ascii="Verdana" w:hAnsi="Verdana"/>
          <w:sz w:val="20"/>
          <w:szCs w:val="20"/>
        </w:rPr>
        <w:t xml:space="preserve">s condiciones, los trabajadores </w:t>
      </w:r>
      <w:r>
        <w:rPr>
          <w:rFonts w:ascii="Verdana" w:hAnsi="Verdana"/>
          <w:sz w:val="20"/>
          <w:szCs w:val="20"/>
        </w:rPr>
        <w:t xml:space="preserve">se </w:t>
      </w:r>
      <w:r w:rsidR="0049364E" w:rsidRPr="0049364E">
        <w:rPr>
          <w:rFonts w:ascii="Verdana" w:hAnsi="Verdana"/>
          <w:sz w:val="20"/>
          <w:szCs w:val="20"/>
        </w:rPr>
        <w:t xml:space="preserve">enfermaban con regularidad, sin embargo, no se les daba atención médica. Además, para recibir el salario debían cumplir con una meta de producción, la cual era difícil de alcanzar, por lo que </w:t>
      </w:r>
      <w:r w:rsidR="009E4EB9">
        <w:rPr>
          <w:rFonts w:ascii="Verdana" w:hAnsi="Verdana"/>
          <w:sz w:val="20"/>
          <w:szCs w:val="20"/>
        </w:rPr>
        <w:t xml:space="preserve">algunos </w:t>
      </w:r>
      <w:r w:rsidR="0049364E" w:rsidRPr="0049364E">
        <w:rPr>
          <w:rFonts w:ascii="Verdana" w:hAnsi="Verdana"/>
          <w:sz w:val="20"/>
          <w:szCs w:val="20"/>
        </w:rPr>
        <w:t xml:space="preserve">no recibían pago por sus servicios. Las labores las realizaban bajo órdenes, amenazas y vigilancia armada. Lo anterior, les generaba deseo de huir, sin embargo, la vigilancia, la carencia de salario, la ubicación aislada de la hacienda y su alrededor con la presencia de animales salvajes, lo impedía. </w:t>
      </w:r>
    </w:p>
    <w:p w14:paraId="5F83DE89" w14:textId="77777777" w:rsidR="00A7260B" w:rsidRDefault="00A7260B" w:rsidP="0049364E">
      <w:pPr>
        <w:pStyle w:val="Prrafodelista"/>
        <w:ind w:left="0"/>
        <w:jc w:val="both"/>
        <w:rPr>
          <w:rFonts w:ascii="Verdana" w:hAnsi="Verdana"/>
          <w:sz w:val="20"/>
          <w:szCs w:val="20"/>
        </w:rPr>
      </w:pPr>
    </w:p>
    <w:p w14:paraId="60FD0595" w14:textId="77777777" w:rsidR="0049364E" w:rsidRPr="0049364E" w:rsidRDefault="0049364E" w:rsidP="0049364E">
      <w:pPr>
        <w:pStyle w:val="Prrafodelista"/>
        <w:ind w:left="0"/>
        <w:jc w:val="both"/>
        <w:rPr>
          <w:rFonts w:ascii="Verdana" w:hAnsi="Verdana"/>
          <w:sz w:val="20"/>
          <w:szCs w:val="20"/>
        </w:rPr>
      </w:pPr>
      <w:r w:rsidRPr="0049364E">
        <w:rPr>
          <w:rFonts w:ascii="Verdana" w:hAnsi="Verdana"/>
          <w:sz w:val="20"/>
          <w:szCs w:val="20"/>
        </w:rPr>
        <w:t xml:space="preserve">En </w:t>
      </w:r>
      <w:r w:rsidR="00A7260B">
        <w:rPr>
          <w:rFonts w:ascii="Verdana" w:hAnsi="Verdana"/>
          <w:sz w:val="20"/>
          <w:szCs w:val="20"/>
        </w:rPr>
        <w:t xml:space="preserve">marzo de </w:t>
      </w:r>
      <w:r w:rsidRPr="0049364E">
        <w:rPr>
          <w:rFonts w:ascii="Verdana" w:hAnsi="Verdana"/>
          <w:sz w:val="20"/>
          <w:szCs w:val="20"/>
        </w:rPr>
        <w:t xml:space="preserve">2000, luego de haber sido maltratados física y verbalmente, </w:t>
      </w:r>
      <w:r w:rsidR="00A7260B">
        <w:rPr>
          <w:rFonts w:ascii="Verdana" w:hAnsi="Verdana"/>
          <w:sz w:val="20"/>
          <w:szCs w:val="20"/>
        </w:rPr>
        <w:t>d</w:t>
      </w:r>
      <w:r w:rsidRPr="0049364E">
        <w:rPr>
          <w:rFonts w:ascii="Verdana" w:hAnsi="Verdana"/>
          <w:sz w:val="20"/>
          <w:szCs w:val="20"/>
        </w:rPr>
        <w:t xml:space="preserve">os jóvenes lograron escapar </w:t>
      </w:r>
      <w:r w:rsidR="00A7260B">
        <w:rPr>
          <w:rFonts w:ascii="Verdana" w:hAnsi="Verdana"/>
          <w:sz w:val="20"/>
          <w:szCs w:val="20"/>
        </w:rPr>
        <w:t xml:space="preserve">y caminaron por días hasta llegar a la Policía Federal de </w:t>
      </w:r>
      <w:proofErr w:type="spellStart"/>
      <w:r w:rsidR="00A7260B">
        <w:rPr>
          <w:rFonts w:ascii="Verdana" w:hAnsi="Verdana"/>
          <w:sz w:val="20"/>
          <w:szCs w:val="20"/>
        </w:rPr>
        <w:t>Marabá</w:t>
      </w:r>
      <w:proofErr w:type="spellEnd"/>
      <w:r w:rsidR="00A7260B">
        <w:rPr>
          <w:rFonts w:ascii="Verdana" w:hAnsi="Verdana"/>
          <w:sz w:val="20"/>
          <w:szCs w:val="20"/>
        </w:rPr>
        <w:t xml:space="preserve">. Allí el funcionario </w:t>
      </w:r>
      <w:r w:rsidRPr="0049364E">
        <w:rPr>
          <w:rFonts w:ascii="Verdana" w:hAnsi="Verdana"/>
          <w:sz w:val="20"/>
          <w:szCs w:val="20"/>
        </w:rPr>
        <w:t xml:space="preserve">no </w:t>
      </w:r>
      <w:proofErr w:type="gramStart"/>
      <w:r w:rsidRPr="0049364E">
        <w:rPr>
          <w:rFonts w:ascii="Verdana" w:hAnsi="Verdana"/>
          <w:sz w:val="20"/>
          <w:szCs w:val="20"/>
        </w:rPr>
        <w:t>les</w:t>
      </w:r>
      <w:proofErr w:type="gramEnd"/>
      <w:r w:rsidRPr="0049364E">
        <w:rPr>
          <w:rFonts w:ascii="Verdana" w:hAnsi="Verdana"/>
          <w:sz w:val="20"/>
          <w:szCs w:val="20"/>
        </w:rPr>
        <w:t xml:space="preserve"> </w:t>
      </w:r>
      <w:r w:rsidR="00A7260B">
        <w:rPr>
          <w:rFonts w:ascii="Verdana" w:hAnsi="Verdana"/>
          <w:sz w:val="20"/>
          <w:szCs w:val="20"/>
        </w:rPr>
        <w:t>ofreció ayuda</w:t>
      </w:r>
      <w:r w:rsidRPr="0049364E">
        <w:rPr>
          <w:rFonts w:ascii="Verdana" w:hAnsi="Verdana"/>
          <w:sz w:val="20"/>
          <w:szCs w:val="20"/>
        </w:rPr>
        <w:t xml:space="preserve"> debido al asueto por carnaval. Días después fueron orientados a acudir </w:t>
      </w:r>
      <w:r w:rsidR="00A7260B">
        <w:rPr>
          <w:rFonts w:ascii="Verdana" w:hAnsi="Verdana"/>
          <w:sz w:val="20"/>
          <w:szCs w:val="20"/>
        </w:rPr>
        <w:t xml:space="preserve">a </w:t>
      </w:r>
      <w:r w:rsidRPr="0049364E">
        <w:rPr>
          <w:rFonts w:ascii="Verdana" w:hAnsi="Verdana"/>
          <w:sz w:val="20"/>
          <w:szCs w:val="20"/>
        </w:rPr>
        <w:t xml:space="preserve">la </w:t>
      </w:r>
      <w:r w:rsidR="00B04D19">
        <w:rPr>
          <w:rFonts w:ascii="Verdana" w:hAnsi="Verdana"/>
          <w:sz w:val="20"/>
          <w:szCs w:val="20"/>
        </w:rPr>
        <w:t>Comisión Pastoral de la Tierra (</w:t>
      </w:r>
      <w:r w:rsidRPr="0049364E">
        <w:rPr>
          <w:rFonts w:ascii="Verdana" w:hAnsi="Verdana"/>
          <w:sz w:val="20"/>
          <w:szCs w:val="20"/>
        </w:rPr>
        <w:t>CPT</w:t>
      </w:r>
      <w:r w:rsidR="00B04D19">
        <w:rPr>
          <w:rFonts w:ascii="Verdana" w:hAnsi="Verdana"/>
          <w:sz w:val="20"/>
          <w:szCs w:val="20"/>
        </w:rPr>
        <w:t>)</w:t>
      </w:r>
      <w:r w:rsidR="00A7260B">
        <w:rPr>
          <w:rFonts w:ascii="Verdana" w:hAnsi="Verdana"/>
          <w:sz w:val="20"/>
          <w:szCs w:val="20"/>
        </w:rPr>
        <w:t xml:space="preserve"> de </w:t>
      </w:r>
      <w:proofErr w:type="spellStart"/>
      <w:r w:rsidR="00A7260B">
        <w:rPr>
          <w:rFonts w:ascii="Verdana" w:hAnsi="Verdana"/>
          <w:sz w:val="20"/>
          <w:szCs w:val="20"/>
        </w:rPr>
        <w:t>Marabá</w:t>
      </w:r>
      <w:proofErr w:type="spellEnd"/>
      <w:r w:rsidRPr="0049364E">
        <w:rPr>
          <w:rFonts w:ascii="Verdana" w:hAnsi="Verdana"/>
          <w:sz w:val="20"/>
          <w:szCs w:val="20"/>
        </w:rPr>
        <w:t xml:space="preserve">. El agente policial contactó al Ministerio del Trabajo, el cual </w:t>
      </w:r>
      <w:r w:rsidR="00B02AD0">
        <w:rPr>
          <w:rFonts w:ascii="Verdana" w:hAnsi="Verdana"/>
          <w:sz w:val="20"/>
          <w:szCs w:val="20"/>
        </w:rPr>
        <w:t xml:space="preserve">organizó posteriormente </w:t>
      </w:r>
      <w:r w:rsidRPr="0049364E">
        <w:rPr>
          <w:rFonts w:ascii="Verdana" w:hAnsi="Verdana"/>
          <w:sz w:val="20"/>
          <w:szCs w:val="20"/>
        </w:rPr>
        <w:t xml:space="preserve">una inspección a la Hacienda, en compañía de la Policía Federal.  </w:t>
      </w:r>
    </w:p>
    <w:p w14:paraId="65CC20D5" w14:textId="77777777" w:rsidR="0004068C" w:rsidRDefault="0004068C" w:rsidP="0049364E">
      <w:pPr>
        <w:pStyle w:val="Prrafodelista"/>
        <w:ind w:left="0"/>
        <w:jc w:val="both"/>
        <w:rPr>
          <w:rFonts w:ascii="Verdana" w:hAnsi="Verdana"/>
          <w:sz w:val="20"/>
          <w:szCs w:val="20"/>
        </w:rPr>
      </w:pPr>
    </w:p>
    <w:p w14:paraId="6314874F" w14:textId="77777777" w:rsidR="0049364E" w:rsidRPr="0049364E" w:rsidRDefault="0049364E" w:rsidP="0049364E">
      <w:pPr>
        <w:pStyle w:val="Prrafodelista"/>
        <w:ind w:left="0"/>
        <w:jc w:val="both"/>
        <w:rPr>
          <w:rFonts w:ascii="Verdana" w:hAnsi="Verdana"/>
          <w:sz w:val="20"/>
          <w:szCs w:val="20"/>
        </w:rPr>
      </w:pPr>
      <w:r w:rsidRPr="0049364E">
        <w:rPr>
          <w:rFonts w:ascii="Verdana" w:hAnsi="Verdana"/>
          <w:sz w:val="20"/>
          <w:szCs w:val="20"/>
        </w:rPr>
        <w:t>Durante la inspección, entrevistaron a los trabajadores, quienes manifestaron su “decisión unánime de salir”</w:t>
      </w:r>
      <w:r w:rsidR="0004068C">
        <w:rPr>
          <w:rFonts w:ascii="Verdana" w:hAnsi="Verdana"/>
          <w:sz w:val="20"/>
          <w:szCs w:val="20"/>
        </w:rPr>
        <w:t>.</w:t>
      </w:r>
      <w:r w:rsidRPr="0049364E">
        <w:rPr>
          <w:rFonts w:ascii="Verdana" w:hAnsi="Verdana"/>
          <w:sz w:val="20"/>
          <w:szCs w:val="20"/>
        </w:rPr>
        <w:t xml:space="preserve"> Los inspectores del Ministerio de</w:t>
      </w:r>
      <w:r w:rsidR="0004068C">
        <w:rPr>
          <w:rFonts w:ascii="Verdana" w:hAnsi="Verdana"/>
          <w:sz w:val="20"/>
          <w:szCs w:val="20"/>
        </w:rPr>
        <w:t>l</w:t>
      </w:r>
      <w:r w:rsidRPr="0049364E">
        <w:rPr>
          <w:rFonts w:ascii="Verdana" w:hAnsi="Verdana"/>
          <w:sz w:val="20"/>
          <w:szCs w:val="20"/>
        </w:rPr>
        <w:t xml:space="preserve"> Trabajo obligaron a un encargado de la hacienda a pagar los montos indemnizatorios laborales para finiquitar los contratos laborales y a regresar las cédulas de trabajo. El informe de la fiscalización señaló que había 82 personas trabajadores</w:t>
      </w:r>
      <w:r w:rsidR="0004068C">
        <w:rPr>
          <w:rFonts w:ascii="Verdana" w:hAnsi="Verdana"/>
          <w:sz w:val="20"/>
          <w:szCs w:val="20"/>
        </w:rPr>
        <w:t xml:space="preserve"> en situación de esclavitud</w:t>
      </w:r>
      <w:r w:rsidRPr="0049364E">
        <w:rPr>
          <w:rFonts w:ascii="Verdana" w:hAnsi="Verdana"/>
          <w:sz w:val="20"/>
          <w:szCs w:val="20"/>
        </w:rPr>
        <w:t xml:space="preserve">. </w:t>
      </w:r>
    </w:p>
    <w:p w14:paraId="2597CC2D" w14:textId="77777777" w:rsidR="0049364E" w:rsidRPr="0049364E" w:rsidRDefault="0049364E" w:rsidP="0049364E">
      <w:pPr>
        <w:pStyle w:val="Prrafodelista"/>
        <w:ind w:left="0"/>
        <w:jc w:val="both"/>
        <w:rPr>
          <w:rFonts w:ascii="Verdana" w:hAnsi="Verdana"/>
          <w:sz w:val="20"/>
          <w:szCs w:val="20"/>
        </w:rPr>
      </w:pPr>
    </w:p>
    <w:p w14:paraId="4B809218" w14:textId="77777777" w:rsidR="0049364E" w:rsidRPr="0004068C" w:rsidRDefault="0049364E" w:rsidP="0049364E">
      <w:pPr>
        <w:pStyle w:val="Prrafodelista"/>
        <w:ind w:left="0"/>
        <w:jc w:val="both"/>
        <w:rPr>
          <w:rFonts w:ascii="Verdana" w:hAnsi="Verdana"/>
          <w:i/>
          <w:sz w:val="20"/>
          <w:szCs w:val="20"/>
        </w:rPr>
      </w:pPr>
      <w:r w:rsidRPr="0004068C">
        <w:rPr>
          <w:rFonts w:ascii="Verdana" w:hAnsi="Verdana"/>
          <w:i/>
          <w:sz w:val="20"/>
          <w:szCs w:val="20"/>
        </w:rPr>
        <w:t>El procedimiento realizado por el Ministerio del Trabajo relativo a la visita de 2000</w:t>
      </w:r>
    </w:p>
    <w:p w14:paraId="1E7181F4" w14:textId="77777777" w:rsidR="0004068C" w:rsidRDefault="0004068C" w:rsidP="0049364E">
      <w:pPr>
        <w:pStyle w:val="Prrafodelista"/>
        <w:ind w:left="0"/>
        <w:jc w:val="both"/>
        <w:rPr>
          <w:rFonts w:ascii="Verdana" w:hAnsi="Verdana"/>
          <w:sz w:val="20"/>
          <w:szCs w:val="20"/>
        </w:rPr>
      </w:pPr>
    </w:p>
    <w:p w14:paraId="03934250" w14:textId="77777777" w:rsidR="0049364E" w:rsidRPr="0049364E" w:rsidRDefault="0049364E" w:rsidP="0049364E">
      <w:pPr>
        <w:pStyle w:val="Prrafodelista"/>
        <w:ind w:left="0"/>
        <w:jc w:val="both"/>
        <w:rPr>
          <w:rFonts w:ascii="Verdana" w:hAnsi="Verdana"/>
          <w:sz w:val="20"/>
          <w:szCs w:val="20"/>
        </w:rPr>
      </w:pPr>
      <w:r w:rsidRPr="0049364E">
        <w:rPr>
          <w:rFonts w:ascii="Verdana" w:hAnsi="Verdana"/>
          <w:sz w:val="20"/>
          <w:szCs w:val="20"/>
        </w:rPr>
        <w:t xml:space="preserve">Tras dicha fiscalización se presentó una acción </w:t>
      </w:r>
      <w:r w:rsidR="00B04D19">
        <w:rPr>
          <w:rFonts w:ascii="Verdana" w:hAnsi="Verdana"/>
          <w:sz w:val="20"/>
          <w:szCs w:val="20"/>
        </w:rPr>
        <w:t xml:space="preserve">civil </w:t>
      </w:r>
      <w:r w:rsidRPr="0049364E">
        <w:rPr>
          <w:rFonts w:ascii="Verdana" w:hAnsi="Verdana"/>
          <w:sz w:val="20"/>
          <w:szCs w:val="20"/>
        </w:rPr>
        <w:t xml:space="preserve">pública ante la </w:t>
      </w:r>
      <w:r w:rsidR="00B04D19">
        <w:rPr>
          <w:rFonts w:ascii="Verdana" w:hAnsi="Verdana"/>
          <w:sz w:val="20"/>
          <w:szCs w:val="20"/>
        </w:rPr>
        <w:t xml:space="preserve">Justicia </w:t>
      </w:r>
      <w:r w:rsidRPr="0049364E">
        <w:rPr>
          <w:rFonts w:ascii="Verdana" w:hAnsi="Verdana"/>
          <w:sz w:val="20"/>
          <w:szCs w:val="20"/>
        </w:rPr>
        <w:t xml:space="preserve">del Trabajo, contra el propietario, destacándose que podía concluirse que: i) la Hacienda Brasil Verde mantenía a los trabajadores en un sistema de cárcel privada; </w:t>
      </w:r>
      <w:proofErr w:type="spellStart"/>
      <w:r w:rsidRPr="0049364E">
        <w:rPr>
          <w:rFonts w:ascii="Verdana" w:hAnsi="Verdana"/>
          <w:sz w:val="20"/>
          <w:szCs w:val="20"/>
        </w:rPr>
        <w:t>ii</w:t>
      </w:r>
      <w:proofErr w:type="spellEnd"/>
      <w:r w:rsidRPr="0049364E">
        <w:rPr>
          <w:rFonts w:ascii="Verdana" w:hAnsi="Verdana"/>
          <w:sz w:val="20"/>
          <w:szCs w:val="20"/>
        </w:rPr>
        <w:t xml:space="preserve">) quedaba caracterizado el trabajo en régimen de esclavitud, y </w:t>
      </w:r>
      <w:proofErr w:type="spellStart"/>
      <w:r w:rsidRPr="0049364E">
        <w:rPr>
          <w:rFonts w:ascii="Verdana" w:hAnsi="Verdana"/>
          <w:sz w:val="20"/>
          <w:szCs w:val="20"/>
        </w:rPr>
        <w:t>iii</w:t>
      </w:r>
      <w:proofErr w:type="spellEnd"/>
      <w:r w:rsidRPr="0049364E">
        <w:rPr>
          <w:rFonts w:ascii="Verdana" w:hAnsi="Verdana"/>
          <w:sz w:val="20"/>
          <w:szCs w:val="20"/>
        </w:rPr>
        <w:t xml:space="preserve">) la situación se agravaba al tratarse de trabajadores rurales, analfabetos y sin ninguna ilustración, quienes habían sido sometidos a condiciones de vida </w:t>
      </w:r>
      <w:r w:rsidRPr="0049364E">
        <w:rPr>
          <w:rFonts w:ascii="Verdana" w:hAnsi="Verdana"/>
          <w:sz w:val="20"/>
          <w:szCs w:val="20"/>
        </w:rPr>
        <w:lastRenderedPageBreak/>
        <w:t xml:space="preserve">degradantes. En julio de 2000 se llevó a cabo la audiencia, </w:t>
      </w:r>
      <w:r w:rsidR="00B02AD0">
        <w:rPr>
          <w:rFonts w:ascii="Verdana" w:hAnsi="Verdana"/>
          <w:sz w:val="20"/>
          <w:szCs w:val="20"/>
        </w:rPr>
        <w:t xml:space="preserve">durante la cual </w:t>
      </w:r>
      <w:r w:rsidRPr="0049364E">
        <w:rPr>
          <w:rFonts w:ascii="Verdana" w:hAnsi="Verdana"/>
          <w:sz w:val="20"/>
          <w:szCs w:val="20"/>
        </w:rPr>
        <w:t xml:space="preserve">el acusado se comprometió a no emplear a trabajadores en régimen de esclavitud y a mejorar las condiciones de estancia </w:t>
      </w:r>
      <w:r w:rsidR="0004068C">
        <w:rPr>
          <w:rFonts w:ascii="Verdana" w:hAnsi="Verdana"/>
          <w:sz w:val="20"/>
          <w:szCs w:val="20"/>
        </w:rPr>
        <w:t>bajo</w:t>
      </w:r>
      <w:r w:rsidRPr="0049364E">
        <w:rPr>
          <w:rFonts w:ascii="Verdana" w:hAnsi="Verdana"/>
          <w:sz w:val="20"/>
          <w:szCs w:val="20"/>
        </w:rPr>
        <w:t xml:space="preserve"> pena de multa. En agosto </w:t>
      </w:r>
      <w:r w:rsidR="00B02AD0">
        <w:rPr>
          <w:rFonts w:ascii="Verdana" w:hAnsi="Verdana"/>
          <w:sz w:val="20"/>
          <w:szCs w:val="20"/>
        </w:rPr>
        <w:t xml:space="preserve">del mismo año </w:t>
      </w:r>
      <w:r w:rsidRPr="0049364E">
        <w:rPr>
          <w:rFonts w:ascii="Verdana" w:hAnsi="Verdana"/>
          <w:sz w:val="20"/>
          <w:szCs w:val="20"/>
        </w:rPr>
        <w:t xml:space="preserve">el procedimiento fue archivado. </w:t>
      </w:r>
    </w:p>
    <w:p w14:paraId="4363B447" w14:textId="77777777" w:rsidR="0004068C" w:rsidRDefault="0004068C" w:rsidP="0049364E">
      <w:pPr>
        <w:pStyle w:val="Prrafodelista"/>
        <w:ind w:left="0"/>
        <w:jc w:val="both"/>
        <w:rPr>
          <w:rFonts w:ascii="Verdana" w:hAnsi="Verdana"/>
          <w:sz w:val="20"/>
          <w:szCs w:val="20"/>
        </w:rPr>
      </w:pPr>
    </w:p>
    <w:p w14:paraId="6307F0FE" w14:textId="77777777" w:rsidR="00E63FBF" w:rsidRDefault="00E63FBF" w:rsidP="0049364E">
      <w:pPr>
        <w:pStyle w:val="Prrafodelista"/>
        <w:numPr>
          <w:ilvl w:val="0"/>
          <w:numId w:val="1"/>
        </w:numPr>
        <w:ind w:left="1134"/>
        <w:jc w:val="both"/>
        <w:rPr>
          <w:rFonts w:ascii="Verdana" w:hAnsi="Verdana"/>
          <w:b/>
          <w:sz w:val="20"/>
          <w:szCs w:val="20"/>
        </w:rPr>
      </w:pPr>
      <w:r>
        <w:rPr>
          <w:rFonts w:ascii="Verdana" w:hAnsi="Verdana"/>
          <w:b/>
          <w:sz w:val="20"/>
          <w:szCs w:val="20"/>
        </w:rPr>
        <w:t>Fondo</w:t>
      </w:r>
    </w:p>
    <w:p w14:paraId="42B51B03" w14:textId="77777777" w:rsidR="00A0390A" w:rsidRPr="00450D5C" w:rsidRDefault="00A0390A" w:rsidP="00450D5C">
      <w:pPr>
        <w:pStyle w:val="PrrafodeSentencia"/>
        <w:spacing w:before="0" w:after="0"/>
        <w:rPr>
          <w:rFonts w:eastAsia="Calibri" w:cs="Times New Roman"/>
          <w:sz w:val="20"/>
          <w:szCs w:val="20"/>
          <w:lang w:val="es-EC" w:eastAsia="en-US"/>
        </w:rPr>
      </w:pPr>
    </w:p>
    <w:p w14:paraId="38DA1AA8" w14:textId="77777777" w:rsidR="00450D5C" w:rsidRPr="00450D5C" w:rsidRDefault="00450D5C" w:rsidP="00450D5C">
      <w:pPr>
        <w:jc w:val="both"/>
        <w:rPr>
          <w:rFonts w:ascii="Verdana" w:hAnsi="Verdana"/>
          <w:sz w:val="20"/>
          <w:szCs w:val="20"/>
          <w:lang w:val="es-EC"/>
        </w:rPr>
      </w:pPr>
      <w:r w:rsidRPr="00450D5C">
        <w:rPr>
          <w:rFonts w:ascii="Verdana" w:hAnsi="Verdana"/>
          <w:sz w:val="20"/>
          <w:szCs w:val="20"/>
          <w:lang w:val="es-CR"/>
        </w:rPr>
        <w:t xml:space="preserve">Como el Caso Trabajadores de la Hacienda Brasil Verde </w:t>
      </w:r>
      <w:r w:rsidR="00A400DC">
        <w:rPr>
          <w:rFonts w:ascii="Verdana" w:hAnsi="Verdana"/>
          <w:sz w:val="20"/>
          <w:szCs w:val="20"/>
          <w:lang w:val="es-CR"/>
        </w:rPr>
        <w:t xml:space="preserve">es </w:t>
      </w:r>
      <w:r w:rsidRPr="00450D5C">
        <w:rPr>
          <w:rFonts w:ascii="Verdana" w:hAnsi="Verdana"/>
          <w:sz w:val="20"/>
          <w:szCs w:val="20"/>
          <w:lang w:val="es-CR"/>
        </w:rPr>
        <w:t>el primer caso contencioso ante la Corte Interamerican</w:t>
      </w:r>
      <w:r w:rsidR="00A400DC">
        <w:rPr>
          <w:rFonts w:ascii="Verdana" w:hAnsi="Verdana"/>
          <w:sz w:val="20"/>
          <w:szCs w:val="20"/>
          <w:lang w:val="es-CR"/>
        </w:rPr>
        <w:t>a</w:t>
      </w:r>
      <w:r w:rsidRPr="00450D5C">
        <w:rPr>
          <w:rFonts w:ascii="Verdana" w:hAnsi="Verdana"/>
          <w:sz w:val="20"/>
          <w:szCs w:val="20"/>
          <w:lang w:val="es-CR"/>
        </w:rPr>
        <w:t xml:space="preserve"> sustancialmente relacionado con el inciso 1 del artículo 6</w:t>
      </w:r>
      <w:r w:rsidR="00A400DC">
        <w:rPr>
          <w:rFonts w:ascii="Verdana" w:hAnsi="Verdana"/>
          <w:sz w:val="20"/>
          <w:szCs w:val="20"/>
          <w:lang w:val="es-CR"/>
        </w:rPr>
        <w:t xml:space="preserve"> de la Convención Americana</w:t>
      </w:r>
      <w:r w:rsidRPr="00450D5C">
        <w:rPr>
          <w:rFonts w:ascii="Verdana" w:hAnsi="Verdana"/>
          <w:sz w:val="20"/>
          <w:szCs w:val="20"/>
          <w:lang w:val="es-CR"/>
        </w:rPr>
        <w:t>, la Corte realizó un breve resumen del desarrollo sobre la materia en el derecho internacional, para dar contenido a los conceptos de esclavitud, servidumbre, trata de esclavos y mujeres, y trabajo forzoso</w:t>
      </w:r>
      <w:r w:rsidR="00A400DC">
        <w:rPr>
          <w:rFonts w:ascii="Verdana" w:hAnsi="Verdana"/>
          <w:sz w:val="20"/>
          <w:szCs w:val="20"/>
          <w:lang w:val="es-CR"/>
        </w:rPr>
        <w:t>, todos</w:t>
      </w:r>
      <w:r w:rsidRPr="00450D5C">
        <w:rPr>
          <w:rFonts w:ascii="Verdana" w:hAnsi="Verdana"/>
          <w:sz w:val="20"/>
          <w:szCs w:val="20"/>
          <w:lang w:val="es-CR"/>
        </w:rPr>
        <w:t xml:space="preserve"> prohibidos por la Convención Americana</w:t>
      </w:r>
      <w:r w:rsidRPr="00450D5C">
        <w:rPr>
          <w:rFonts w:ascii="Verdana" w:hAnsi="Verdana"/>
          <w:sz w:val="20"/>
          <w:szCs w:val="20"/>
          <w:lang w:val="es-ES_tradnl"/>
        </w:rPr>
        <w:t>. En ese sentido, la Corte señaló que e</w:t>
      </w:r>
      <w:r w:rsidRPr="00450D5C">
        <w:rPr>
          <w:rFonts w:ascii="Verdana" w:hAnsi="Verdana"/>
          <w:sz w:val="20"/>
          <w:szCs w:val="20"/>
          <w:lang w:val="es-EC"/>
        </w:rPr>
        <w:t xml:space="preserve">l derecho a no ser sometido a esclavitud, a servidumbre, trabajo forzoso o trata de </w:t>
      </w:r>
      <w:r w:rsidR="00EC2E0A">
        <w:rPr>
          <w:rFonts w:ascii="Verdana" w:hAnsi="Verdana"/>
          <w:sz w:val="20"/>
          <w:szCs w:val="20"/>
          <w:lang w:val="es-EC"/>
        </w:rPr>
        <w:t>personas</w:t>
      </w:r>
      <w:r w:rsidRPr="00450D5C">
        <w:rPr>
          <w:rFonts w:ascii="Verdana" w:hAnsi="Verdana"/>
          <w:sz w:val="20"/>
          <w:szCs w:val="20"/>
          <w:lang w:val="es-EC"/>
        </w:rPr>
        <w:t xml:space="preserve"> tiene un carácter esencial en la Convención Americana. De conformidad con el artículo 27.2 del referido tratado, forma parte del núcleo inderogable de derechos, pues no pueden ser suspendidos </w:t>
      </w:r>
      <w:r w:rsidR="00EC2E0A">
        <w:rPr>
          <w:rFonts w:ascii="Verdana" w:hAnsi="Verdana"/>
          <w:sz w:val="20"/>
          <w:szCs w:val="20"/>
          <w:lang w:val="es-EC"/>
        </w:rPr>
        <w:t>en ninguna circunstancia</w:t>
      </w:r>
      <w:r w:rsidRPr="00450D5C">
        <w:rPr>
          <w:rFonts w:ascii="Verdana" w:hAnsi="Verdana"/>
          <w:sz w:val="20"/>
          <w:szCs w:val="20"/>
          <w:lang w:val="es-EC"/>
        </w:rPr>
        <w:t>.</w:t>
      </w:r>
    </w:p>
    <w:p w14:paraId="223D6D55" w14:textId="77777777" w:rsidR="00450D5C" w:rsidRPr="00EC2E0A" w:rsidRDefault="00450D5C" w:rsidP="00450D5C">
      <w:pPr>
        <w:jc w:val="both"/>
        <w:rPr>
          <w:rFonts w:ascii="Verdana" w:hAnsi="Verdana"/>
          <w:sz w:val="20"/>
          <w:szCs w:val="20"/>
          <w:lang w:val="es-EC"/>
        </w:rPr>
      </w:pPr>
    </w:p>
    <w:p w14:paraId="2998289A" w14:textId="77777777" w:rsidR="00450D5C" w:rsidRPr="00450D5C" w:rsidRDefault="00EC2E0A" w:rsidP="00450D5C">
      <w:pPr>
        <w:jc w:val="both"/>
        <w:rPr>
          <w:rFonts w:ascii="Verdana" w:hAnsi="Verdana"/>
          <w:sz w:val="20"/>
          <w:szCs w:val="20"/>
          <w:lang w:val="es-ES_tradnl"/>
        </w:rPr>
      </w:pPr>
      <w:r>
        <w:rPr>
          <w:rFonts w:ascii="Verdana" w:hAnsi="Verdana"/>
          <w:sz w:val="20"/>
          <w:szCs w:val="20"/>
          <w:lang w:val="es-ES_tradnl"/>
        </w:rPr>
        <w:t>L</w:t>
      </w:r>
      <w:r w:rsidR="00450D5C" w:rsidRPr="00450D5C">
        <w:rPr>
          <w:rFonts w:ascii="Verdana" w:hAnsi="Verdana"/>
          <w:sz w:val="20"/>
          <w:szCs w:val="20"/>
          <w:lang w:val="es-CR"/>
        </w:rPr>
        <w:t>a prohibición de la esclavitud es considerada una norma imperativa del derecho internacional (</w:t>
      </w:r>
      <w:proofErr w:type="spellStart"/>
      <w:r w:rsidR="00450D5C" w:rsidRPr="00450D5C">
        <w:rPr>
          <w:rFonts w:ascii="Verdana" w:hAnsi="Verdana"/>
          <w:i/>
          <w:sz w:val="20"/>
          <w:szCs w:val="20"/>
          <w:lang w:val="es-CR"/>
        </w:rPr>
        <w:t>jus</w:t>
      </w:r>
      <w:proofErr w:type="spellEnd"/>
      <w:r w:rsidR="00450D5C" w:rsidRPr="00450D5C">
        <w:rPr>
          <w:rFonts w:ascii="Verdana" w:hAnsi="Verdana"/>
          <w:i/>
          <w:sz w:val="20"/>
          <w:szCs w:val="20"/>
          <w:lang w:val="es-CR"/>
        </w:rPr>
        <w:t xml:space="preserve"> cogens</w:t>
      </w:r>
      <w:r w:rsidR="00450D5C" w:rsidRPr="00450D5C">
        <w:rPr>
          <w:rFonts w:ascii="Verdana" w:hAnsi="Verdana"/>
          <w:sz w:val="20"/>
          <w:szCs w:val="20"/>
          <w:lang w:val="es-CR"/>
        </w:rPr>
        <w:t xml:space="preserve">) y conlleva obligaciones </w:t>
      </w:r>
      <w:r w:rsidR="00450D5C" w:rsidRPr="00450D5C">
        <w:rPr>
          <w:rFonts w:ascii="Verdana" w:hAnsi="Verdana"/>
          <w:i/>
          <w:sz w:val="20"/>
          <w:szCs w:val="20"/>
          <w:lang w:val="es-CR"/>
        </w:rPr>
        <w:t>erga omnes</w:t>
      </w:r>
      <w:r w:rsidR="00450D5C" w:rsidRPr="00450D5C">
        <w:rPr>
          <w:rFonts w:ascii="Verdana" w:hAnsi="Verdana"/>
          <w:sz w:val="20"/>
          <w:szCs w:val="20"/>
          <w:lang w:val="es-CR"/>
        </w:rPr>
        <w:t xml:space="preserve">. </w:t>
      </w:r>
      <w:r w:rsidR="00450D5C" w:rsidRPr="00450D5C">
        <w:rPr>
          <w:rFonts w:ascii="Verdana" w:hAnsi="Verdana"/>
          <w:sz w:val="20"/>
          <w:szCs w:val="20"/>
          <w:lang w:val="es-ES_tradnl"/>
        </w:rPr>
        <w:t>Asimismo, tanto</w:t>
      </w:r>
      <w:r w:rsidR="00A400DC">
        <w:rPr>
          <w:rFonts w:ascii="Verdana" w:hAnsi="Verdana"/>
          <w:sz w:val="20"/>
          <w:szCs w:val="20"/>
          <w:lang w:val="es-ES_tradnl"/>
        </w:rPr>
        <w:t xml:space="preserve"> Brasil como la mayoría de los E</w:t>
      </w:r>
      <w:r w:rsidR="00450D5C" w:rsidRPr="00450D5C">
        <w:rPr>
          <w:rFonts w:ascii="Verdana" w:hAnsi="Verdana"/>
          <w:sz w:val="20"/>
          <w:szCs w:val="20"/>
          <w:lang w:val="es-ES_tradnl"/>
        </w:rPr>
        <w:t>stados de la región son parte de</w:t>
      </w:r>
      <w:r w:rsidR="00450D5C" w:rsidRPr="00450D5C">
        <w:rPr>
          <w:rFonts w:ascii="Verdana" w:hAnsi="Verdana"/>
          <w:b/>
          <w:sz w:val="20"/>
          <w:szCs w:val="20"/>
          <w:lang w:val="es-ES_tradnl"/>
        </w:rPr>
        <w:t xml:space="preserve"> </w:t>
      </w:r>
      <w:r w:rsidR="00450D5C" w:rsidRPr="00450D5C">
        <w:rPr>
          <w:rFonts w:ascii="Verdana" w:hAnsi="Verdana"/>
          <w:sz w:val="20"/>
          <w:szCs w:val="20"/>
          <w:lang w:val="es-ES_tradnl"/>
        </w:rPr>
        <w:t>los dos principales tratados internacionales sobre el tema:</w:t>
      </w:r>
      <w:r w:rsidR="00450D5C" w:rsidRPr="00450D5C">
        <w:rPr>
          <w:rFonts w:ascii="Verdana" w:hAnsi="Verdana"/>
          <w:b/>
          <w:sz w:val="20"/>
          <w:szCs w:val="20"/>
          <w:lang w:val="es-ES_tradnl"/>
        </w:rPr>
        <w:t xml:space="preserve"> </w:t>
      </w:r>
      <w:r w:rsidR="00450D5C" w:rsidRPr="00450D5C">
        <w:rPr>
          <w:rFonts w:ascii="Verdana" w:hAnsi="Verdana"/>
          <w:sz w:val="20"/>
          <w:szCs w:val="20"/>
          <w:lang w:val="es-ES_tradnl"/>
        </w:rPr>
        <w:t>la Convención sobre la Esclavitud de 1926 y la Convención suplementaria sobre la abolición de la esclavitud de 1956.</w:t>
      </w:r>
    </w:p>
    <w:p w14:paraId="4D5A63CD" w14:textId="77777777" w:rsidR="00450D5C" w:rsidRPr="00450D5C" w:rsidRDefault="00450D5C" w:rsidP="00450D5C">
      <w:pPr>
        <w:jc w:val="both"/>
        <w:rPr>
          <w:rFonts w:ascii="Verdana" w:hAnsi="Verdana"/>
          <w:sz w:val="20"/>
          <w:szCs w:val="20"/>
          <w:lang w:val="es-ES_tradnl"/>
        </w:rPr>
      </w:pPr>
    </w:p>
    <w:p w14:paraId="1FB390BB" w14:textId="77777777" w:rsidR="00450D5C" w:rsidRPr="00450D5C" w:rsidRDefault="00450D5C" w:rsidP="00450D5C">
      <w:pPr>
        <w:jc w:val="both"/>
        <w:rPr>
          <w:rFonts w:ascii="Verdana" w:hAnsi="Verdana"/>
          <w:sz w:val="20"/>
          <w:szCs w:val="20"/>
          <w:lang w:val="es-ES_tradnl"/>
        </w:rPr>
      </w:pPr>
      <w:r w:rsidRPr="00450D5C">
        <w:rPr>
          <w:rFonts w:ascii="Verdana" w:hAnsi="Verdana"/>
          <w:sz w:val="20"/>
          <w:szCs w:val="20"/>
          <w:lang w:val="es-ES_tradnl"/>
        </w:rPr>
        <w:t xml:space="preserve">Tras realizar una reseña de dispositivos relevantes de instrumentos internacionales vinculantes y de decisiones de tribunales internacionales sobre el delito internacional de esclavitud, se observa que su prohibición absoluta y universal está consolidada en el derecho internacional, y la definición de ese concepto no ha variado sustancialmente desde la Convención de 1926: “La esclavitud es el estado o condición de un individuo sobre el cual se ejercitan los atributos del derecho de propiedad o algunos de ellos”. En relación con los dos elementos de la definición de esclavitud tradicional, o </w:t>
      </w:r>
      <w:proofErr w:type="spellStart"/>
      <w:r w:rsidRPr="00450D5C">
        <w:rPr>
          <w:rFonts w:ascii="Verdana" w:hAnsi="Verdana"/>
          <w:i/>
          <w:sz w:val="20"/>
          <w:szCs w:val="20"/>
          <w:lang w:val="es-ES_tradnl"/>
        </w:rPr>
        <w:t>chattel</w:t>
      </w:r>
      <w:proofErr w:type="spellEnd"/>
      <w:r w:rsidRPr="00450D5C">
        <w:rPr>
          <w:rFonts w:ascii="Verdana" w:hAnsi="Verdana"/>
          <w:sz w:val="20"/>
          <w:szCs w:val="20"/>
          <w:lang w:val="es-ES_tradnl"/>
        </w:rPr>
        <w:t xml:space="preserve"> (estado o condición de un individuo; ejercicio de uno o más atributos del derecho de propiedad) se verifica que: i) desde la Convención de 1926 la trata de esclavos es equiparada a la esclavitud para efectos de la prohibición y su eliminación; </w:t>
      </w:r>
      <w:proofErr w:type="spellStart"/>
      <w:r w:rsidRPr="00450D5C">
        <w:rPr>
          <w:rFonts w:ascii="Verdana" w:hAnsi="Verdana"/>
          <w:sz w:val="20"/>
          <w:szCs w:val="20"/>
          <w:lang w:val="es-ES_tradnl"/>
        </w:rPr>
        <w:t>ii</w:t>
      </w:r>
      <w:proofErr w:type="spellEnd"/>
      <w:r w:rsidRPr="00450D5C">
        <w:rPr>
          <w:rFonts w:ascii="Verdana" w:hAnsi="Verdana"/>
          <w:sz w:val="20"/>
          <w:szCs w:val="20"/>
          <w:lang w:val="es-ES_tradnl"/>
        </w:rPr>
        <w:t xml:space="preserve">) la Convención suplementaria de 1956 extendió la protección contra la esclavitud también para “instituciones y prácticas análogas a la esclavitud”, como la servidumbre por deudas, la servidumbre de la gleba, entre otras, además de precisar la prohibición y las obligaciones de los Estados respecto a la trata, y </w:t>
      </w:r>
      <w:proofErr w:type="spellStart"/>
      <w:r w:rsidRPr="00450D5C">
        <w:rPr>
          <w:rFonts w:ascii="Verdana" w:hAnsi="Verdana"/>
          <w:sz w:val="20"/>
          <w:szCs w:val="20"/>
          <w:lang w:val="es-ES_tradnl"/>
        </w:rPr>
        <w:t>iii</w:t>
      </w:r>
      <w:proofErr w:type="spellEnd"/>
      <w:r w:rsidRPr="00450D5C">
        <w:rPr>
          <w:rFonts w:ascii="Verdana" w:hAnsi="Verdana"/>
          <w:sz w:val="20"/>
          <w:szCs w:val="20"/>
          <w:lang w:val="es-ES_tradnl"/>
        </w:rPr>
        <w:t xml:space="preserve">) el Estatuto de Roma y la Comisión de Derecho Internacional agregaron el “ejercicio de los atributos del derecho de propiedad en el tráfico de personas” a la definición de esclavitud. </w:t>
      </w:r>
    </w:p>
    <w:p w14:paraId="46C426EE" w14:textId="77777777" w:rsidR="00450D5C" w:rsidRPr="00450D5C" w:rsidRDefault="00450D5C" w:rsidP="00450D5C">
      <w:pPr>
        <w:jc w:val="both"/>
        <w:rPr>
          <w:rFonts w:ascii="Verdana" w:hAnsi="Verdana"/>
          <w:sz w:val="20"/>
          <w:szCs w:val="20"/>
          <w:lang w:val="es-ES"/>
        </w:rPr>
      </w:pPr>
    </w:p>
    <w:p w14:paraId="6E165FDC" w14:textId="77777777" w:rsidR="00450D5C" w:rsidRPr="00450D5C" w:rsidRDefault="00450D5C" w:rsidP="00450D5C">
      <w:pPr>
        <w:jc w:val="both"/>
        <w:rPr>
          <w:rFonts w:ascii="Verdana" w:hAnsi="Verdana"/>
          <w:sz w:val="20"/>
          <w:szCs w:val="20"/>
          <w:lang w:val="es-ES_tradnl"/>
        </w:rPr>
      </w:pPr>
      <w:r w:rsidRPr="00450D5C">
        <w:rPr>
          <w:rFonts w:ascii="Verdana" w:hAnsi="Verdana"/>
          <w:sz w:val="20"/>
          <w:szCs w:val="20"/>
          <w:lang w:val="es-ES_tradnl"/>
        </w:rPr>
        <w:t xml:space="preserve">A partir del desarrollo del concepto de esclavitud en el derecho internacional y de la prohibición establecida en el artículo 6 de la Convención Americana, la Corte observa que este concepto ha evolucionado y ya no se limita a la propiedad sobre la persona. Al respecto, la Corte considera que los dos elementos fundamentales para definir una situación como esclavitud son: i) el estado o condición de un individuo y </w:t>
      </w:r>
      <w:proofErr w:type="spellStart"/>
      <w:r w:rsidRPr="00450D5C">
        <w:rPr>
          <w:rFonts w:ascii="Verdana" w:hAnsi="Verdana"/>
          <w:sz w:val="20"/>
          <w:szCs w:val="20"/>
          <w:lang w:val="es-ES_tradnl"/>
        </w:rPr>
        <w:t>ii</w:t>
      </w:r>
      <w:proofErr w:type="spellEnd"/>
      <w:r w:rsidRPr="00450D5C">
        <w:rPr>
          <w:rFonts w:ascii="Verdana" w:hAnsi="Verdana"/>
          <w:sz w:val="20"/>
          <w:szCs w:val="20"/>
          <w:lang w:val="es-ES_tradnl"/>
        </w:rPr>
        <w:t xml:space="preserve">) el ejercicio de alguno de los atributos del derecho de propiedad, es decir, que el esclavizador ejerza poder o control sobre la persona esclavizada al punto de anular la personalidad de la víctima. </w:t>
      </w:r>
    </w:p>
    <w:p w14:paraId="6B686E3C" w14:textId="77777777" w:rsidR="00450D5C" w:rsidRPr="00450D5C" w:rsidRDefault="00450D5C" w:rsidP="00450D5C">
      <w:pPr>
        <w:jc w:val="both"/>
        <w:rPr>
          <w:rFonts w:ascii="Verdana" w:hAnsi="Verdana"/>
          <w:sz w:val="20"/>
          <w:szCs w:val="20"/>
          <w:lang w:val="es-ES"/>
        </w:rPr>
      </w:pPr>
    </w:p>
    <w:p w14:paraId="2059E29E" w14:textId="77777777" w:rsidR="00450D5C" w:rsidRPr="00450D5C" w:rsidRDefault="00450D5C" w:rsidP="00450D5C">
      <w:pPr>
        <w:jc w:val="both"/>
        <w:rPr>
          <w:rFonts w:ascii="Verdana" w:hAnsi="Verdana"/>
          <w:sz w:val="20"/>
          <w:szCs w:val="20"/>
          <w:lang w:val="es-ES_tradnl"/>
        </w:rPr>
      </w:pPr>
      <w:r w:rsidRPr="00450D5C">
        <w:rPr>
          <w:rFonts w:ascii="Verdana" w:hAnsi="Verdana"/>
          <w:sz w:val="20"/>
          <w:szCs w:val="20"/>
          <w:lang w:val="es-ES_tradnl"/>
        </w:rPr>
        <w:t xml:space="preserve">El primer elemento (estado o condición) se refiere tanto a la situación </w:t>
      </w:r>
      <w:r w:rsidRPr="00450D5C">
        <w:rPr>
          <w:rFonts w:ascii="Verdana" w:hAnsi="Verdana"/>
          <w:i/>
          <w:sz w:val="20"/>
          <w:szCs w:val="20"/>
          <w:lang w:val="es-ES_tradnl"/>
        </w:rPr>
        <w:t>de jure</w:t>
      </w:r>
      <w:r w:rsidRPr="00450D5C">
        <w:rPr>
          <w:rFonts w:ascii="Verdana" w:hAnsi="Verdana"/>
          <w:sz w:val="20"/>
          <w:szCs w:val="20"/>
          <w:lang w:val="es-ES_tradnl"/>
        </w:rPr>
        <w:t xml:space="preserve"> como </w:t>
      </w:r>
      <w:r w:rsidRPr="00450D5C">
        <w:rPr>
          <w:rFonts w:ascii="Verdana" w:hAnsi="Verdana"/>
          <w:i/>
          <w:sz w:val="20"/>
          <w:szCs w:val="20"/>
          <w:lang w:val="es-ES_tradnl"/>
        </w:rPr>
        <w:t>de facto</w:t>
      </w:r>
      <w:r w:rsidRPr="00450D5C">
        <w:rPr>
          <w:rFonts w:ascii="Verdana" w:hAnsi="Verdana"/>
          <w:sz w:val="20"/>
          <w:szCs w:val="20"/>
          <w:lang w:val="es-ES_tradnl"/>
        </w:rPr>
        <w:t xml:space="preserve">, es decir que no es esencial la existencia de un documento formal o una norma legal para la caracterización de ese fenómeno, como en el caso de la esclavitud </w:t>
      </w:r>
      <w:proofErr w:type="spellStart"/>
      <w:r w:rsidRPr="00450D5C">
        <w:rPr>
          <w:rFonts w:ascii="Verdana" w:hAnsi="Verdana"/>
          <w:i/>
          <w:sz w:val="20"/>
          <w:szCs w:val="20"/>
          <w:lang w:val="es-ES_tradnl"/>
        </w:rPr>
        <w:t>chattel</w:t>
      </w:r>
      <w:proofErr w:type="spellEnd"/>
      <w:r w:rsidRPr="00450D5C">
        <w:rPr>
          <w:rFonts w:ascii="Verdana" w:hAnsi="Verdana"/>
          <w:i/>
          <w:sz w:val="20"/>
          <w:szCs w:val="20"/>
          <w:lang w:val="es-ES_tradnl"/>
        </w:rPr>
        <w:t xml:space="preserve"> </w:t>
      </w:r>
      <w:r w:rsidRPr="00450D5C">
        <w:rPr>
          <w:rFonts w:ascii="Verdana" w:hAnsi="Verdana"/>
          <w:sz w:val="20"/>
          <w:szCs w:val="20"/>
          <w:lang w:val="es-ES_tradnl"/>
        </w:rPr>
        <w:t xml:space="preserve">o tradicional. Respecto del elemento de “propiedad”, este debe ser comprendido en el fenómeno de esclavitud como “posesión”, es decir la demostración de control de una persona sobre otra. Por lo tanto, a la hora de determinar el nivel de control requerido para considerar un acto </w:t>
      </w:r>
      <w:r w:rsidRPr="00450D5C">
        <w:rPr>
          <w:rFonts w:ascii="Verdana" w:hAnsi="Verdana"/>
          <w:sz w:val="20"/>
          <w:szCs w:val="20"/>
          <w:lang w:val="es-ES_tradnl"/>
        </w:rPr>
        <w:lastRenderedPageBreak/>
        <w:t xml:space="preserve">como esclavitud, se </w:t>
      </w:r>
      <w:r w:rsidR="00A400DC">
        <w:rPr>
          <w:rFonts w:ascii="Verdana" w:hAnsi="Verdana"/>
          <w:sz w:val="20"/>
          <w:szCs w:val="20"/>
          <w:lang w:val="es-ES_tradnl"/>
        </w:rPr>
        <w:t xml:space="preserve">puede </w:t>
      </w:r>
      <w:r w:rsidRPr="00450D5C">
        <w:rPr>
          <w:rFonts w:ascii="Verdana" w:hAnsi="Verdana"/>
          <w:sz w:val="20"/>
          <w:szCs w:val="20"/>
          <w:lang w:val="es-ES_tradnl"/>
        </w:rPr>
        <w:t>equiparar</w:t>
      </w:r>
      <w:r w:rsidR="00A400DC">
        <w:rPr>
          <w:rFonts w:ascii="Verdana" w:hAnsi="Verdana"/>
          <w:sz w:val="20"/>
          <w:szCs w:val="20"/>
          <w:lang w:val="es-ES_tradnl"/>
        </w:rPr>
        <w:t>lo</w:t>
      </w:r>
      <w:r w:rsidRPr="00450D5C">
        <w:rPr>
          <w:rFonts w:ascii="Verdana" w:hAnsi="Verdana"/>
          <w:sz w:val="20"/>
          <w:szCs w:val="20"/>
          <w:lang w:val="es-ES_tradnl"/>
        </w:rPr>
        <w:t xml:space="preserve"> a la pérdida de la propia voluntad o a una disminución considerable de la autonomía personal. En ese sentido, el llamado “ejercicio de atributos de la propiedad” debe ser entendido en los días actuales como el control ejercido sobre una persona que le restrinja o prive significativamente de su libertad individual, con intención de explotación mediante el uso, la gestión, el beneficio, la transferencia o el despojarse de una persona. Por lo general, este ejercicio se apoyará y se obtendrá a través de medios tales como la violencia, el engaño y/o la coacción. </w:t>
      </w:r>
    </w:p>
    <w:p w14:paraId="335793C0" w14:textId="77777777" w:rsidR="00450D5C" w:rsidRPr="00450D5C" w:rsidRDefault="00450D5C" w:rsidP="00450D5C">
      <w:pPr>
        <w:jc w:val="both"/>
        <w:rPr>
          <w:rFonts w:ascii="Verdana" w:hAnsi="Verdana"/>
          <w:sz w:val="20"/>
          <w:szCs w:val="20"/>
          <w:lang w:val="es-ES_tradnl"/>
        </w:rPr>
      </w:pPr>
    </w:p>
    <w:p w14:paraId="41CC0A1C" w14:textId="77777777" w:rsidR="00450D5C" w:rsidRPr="00450D5C" w:rsidRDefault="00450D5C" w:rsidP="00450D5C">
      <w:pPr>
        <w:jc w:val="both"/>
        <w:rPr>
          <w:rFonts w:ascii="Verdana" w:hAnsi="Verdana"/>
          <w:sz w:val="20"/>
          <w:szCs w:val="20"/>
          <w:lang w:val="es-ES_tradnl"/>
        </w:rPr>
      </w:pPr>
      <w:r w:rsidRPr="00450D5C">
        <w:rPr>
          <w:rFonts w:ascii="Verdana" w:hAnsi="Verdana"/>
          <w:sz w:val="20"/>
          <w:szCs w:val="20"/>
          <w:lang w:val="es-ES_tradnl"/>
        </w:rPr>
        <w:t xml:space="preserve">La Corte considera </w:t>
      </w:r>
      <w:proofErr w:type="gramStart"/>
      <w:r w:rsidRPr="00450D5C">
        <w:rPr>
          <w:rFonts w:ascii="Verdana" w:hAnsi="Verdana"/>
          <w:sz w:val="20"/>
          <w:szCs w:val="20"/>
          <w:lang w:val="es-ES_tradnl"/>
        </w:rPr>
        <w:t>que</w:t>
      </w:r>
      <w:proofErr w:type="gramEnd"/>
      <w:r w:rsidRPr="00450D5C">
        <w:rPr>
          <w:rFonts w:ascii="Verdana" w:hAnsi="Verdana"/>
          <w:sz w:val="20"/>
          <w:szCs w:val="20"/>
          <w:lang w:val="es-ES_tradnl"/>
        </w:rPr>
        <w:t xml:space="preserve"> para determinar una situación como esclavitud en los días actuales, se deberá evaluar, con base en los siguientes elementos, la manifestación de los llamados “atributos del derecho de propiedad”: </w:t>
      </w:r>
    </w:p>
    <w:p w14:paraId="4BACBA73" w14:textId="77777777" w:rsidR="00450D5C" w:rsidRPr="00450D5C" w:rsidRDefault="00450D5C" w:rsidP="00450D5C">
      <w:pPr>
        <w:jc w:val="both"/>
        <w:rPr>
          <w:rFonts w:ascii="Verdana" w:hAnsi="Verdana"/>
          <w:sz w:val="20"/>
          <w:szCs w:val="20"/>
          <w:lang w:val="es-ES_tradnl"/>
        </w:rPr>
      </w:pPr>
    </w:p>
    <w:p w14:paraId="3C79A54B"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a) restricción o control de la autonomía individual; </w:t>
      </w:r>
    </w:p>
    <w:p w14:paraId="21C70E15"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b) pérdida o restricción de la libertad de movimiento de una persona; </w:t>
      </w:r>
    </w:p>
    <w:p w14:paraId="6C73FB51"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c) la obtención de un provecho por parte del perpetrador; </w:t>
      </w:r>
    </w:p>
    <w:p w14:paraId="387D3B67"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d) la ausencia de consentimiento o de libre albedrío de la víctima, o su imposibilidad o irrelevancia debido a la amenaza de uso de la violencia u otras formas de coerción, el miedo de violencia, el engaño o las falsas promesas; </w:t>
      </w:r>
    </w:p>
    <w:p w14:paraId="375CA454"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e) el uso de violencia física o psicológica; </w:t>
      </w:r>
    </w:p>
    <w:p w14:paraId="7818F00C"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f) la posición de vulnerabilidad de la víctima; </w:t>
      </w:r>
    </w:p>
    <w:p w14:paraId="6FBDEBC6"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g) la detención o cautiverio,  </w:t>
      </w:r>
    </w:p>
    <w:p w14:paraId="640B0F07" w14:textId="77777777" w:rsidR="00450D5C" w:rsidRPr="00450D5C" w:rsidRDefault="00450D5C" w:rsidP="00450D5C">
      <w:pPr>
        <w:jc w:val="both"/>
        <w:rPr>
          <w:rFonts w:ascii="Verdana" w:hAnsi="Verdana"/>
          <w:sz w:val="20"/>
          <w:szCs w:val="20"/>
          <w:lang w:val="es-AR"/>
        </w:rPr>
      </w:pPr>
      <w:r w:rsidRPr="00450D5C">
        <w:rPr>
          <w:rFonts w:ascii="Verdana" w:hAnsi="Verdana"/>
          <w:sz w:val="20"/>
          <w:szCs w:val="20"/>
          <w:lang w:val="es-AR"/>
        </w:rPr>
        <w:t xml:space="preserve">i) la explotación. </w:t>
      </w:r>
    </w:p>
    <w:p w14:paraId="174C6260" w14:textId="77777777" w:rsidR="00450D5C" w:rsidRDefault="00450D5C" w:rsidP="00450D5C">
      <w:pPr>
        <w:jc w:val="both"/>
        <w:rPr>
          <w:rFonts w:ascii="Verdana" w:hAnsi="Verdana"/>
          <w:sz w:val="20"/>
          <w:szCs w:val="20"/>
          <w:lang w:val="es-ES"/>
        </w:rPr>
      </w:pPr>
    </w:p>
    <w:p w14:paraId="6866C6C1" w14:textId="77777777" w:rsidR="00EC2E0A" w:rsidRPr="00567480" w:rsidRDefault="00C41197" w:rsidP="00450D5C">
      <w:pPr>
        <w:jc w:val="both"/>
        <w:rPr>
          <w:rFonts w:ascii="Verdana" w:hAnsi="Verdana"/>
          <w:sz w:val="20"/>
          <w:szCs w:val="20"/>
          <w:lang w:val="es-ES"/>
        </w:rPr>
      </w:pPr>
      <w:r w:rsidRPr="00567480">
        <w:rPr>
          <w:rFonts w:ascii="Verdana" w:hAnsi="Verdana"/>
          <w:sz w:val="20"/>
          <w:szCs w:val="20"/>
          <w:lang w:val="es-CR"/>
        </w:rPr>
        <w:t xml:space="preserve">Respecto a la servidumbre, </w:t>
      </w:r>
      <w:r w:rsidR="00567480" w:rsidRPr="00567480">
        <w:rPr>
          <w:rFonts w:ascii="Verdana" w:hAnsi="Verdana"/>
          <w:sz w:val="20"/>
          <w:szCs w:val="20"/>
          <w:lang w:val="es-CR"/>
        </w:rPr>
        <w:t>la Corte Interamericana considera que esa expresión del artículo 6.1 de la Convención debe ser interpretada como “la obligación de realizar trabajo para otros, impuesto por medio de coerción, y la obligación de vivir en la propiedad de otra persona, sin la posibilidad de cambiar esa condición”. Lo anterior es considerado por la Corte como una forma análoga de esclavitud y debe recibir la misma protección y conlleva las mismas obligaciones que la esclavitud tradicional. S</w:t>
      </w:r>
      <w:r w:rsidRPr="00567480">
        <w:rPr>
          <w:rFonts w:ascii="Verdana" w:hAnsi="Verdana"/>
          <w:sz w:val="20"/>
          <w:szCs w:val="20"/>
          <w:lang w:val="es-CR"/>
        </w:rPr>
        <w:t>u prohibición absoluta adviene desde la Convención suplementaria de 1956 y de su codificación en los instrumentos subsecuentes del derecho internacional.</w:t>
      </w:r>
      <w:r w:rsidR="00567480" w:rsidRPr="00567480">
        <w:rPr>
          <w:rFonts w:ascii="Verdana" w:hAnsi="Verdana"/>
          <w:sz w:val="20"/>
          <w:szCs w:val="20"/>
          <w:lang w:val="es-CR"/>
        </w:rPr>
        <w:t xml:space="preserve"> </w:t>
      </w:r>
    </w:p>
    <w:p w14:paraId="49E3B7B3" w14:textId="77777777" w:rsidR="00EC2E0A" w:rsidRPr="00450D5C" w:rsidRDefault="00EC2E0A" w:rsidP="00450D5C">
      <w:pPr>
        <w:jc w:val="both"/>
        <w:rPr>
          <w:rFonts w:ascii="Verdana" w:hAnsi="Verdana"/>
          <w:sz w:val="20"/>
          <w:szCs w:val="20"/>
          <w:lang w:val="es-ES"/>
        </w:rPr>
      </w:pPr>
    </w:p>
    <w:p w14:paraId="400B22D9" w14:textId="77777777" w:rsidR="00450D5C" w:rsidRPr="00450D5C" w:rsidRDefault="00450D5C" w:rsidP="00450D5C">
      <w:pPr>
        <w:jc w:val="both"/>
        <w:rPr>
          <w:rFonts w:ascii="Verdana" w:hAnsi="Verdana"/>
          <w:sz w:val="20"/>
          <w:szCs w:val="20"/>
          <w:lang w:val="es-ES"/>
        </w:rPr>
      </w:pPr>
      <w:r w:rsidRPr="00450D5C">
        <w:rPr>
          <w:rFonts w:ascii="Verdana" w:hAnsi="Verdana"/>
          <w:sz w:val="20"/>
          <w:szCs w:val="20"/>
          <w:lang w:val="es-ES"/>
        </w:rPr>
        <w:t xml:space="preserve">Respecto a la prohibición de la trata de esclavos y de mujeres “en todas sus formas”, conforme a la Convención Americana, la Corte interpreta esa prohibición de forma amplia y sujeta a las precisiones de su definición de acuerdo con su desarrollo en el derecho internacional. Su prohibición también es absoluta. </w:t>
      </w:r>
    </w:p>
    <w:p w14:paraId="0644A9FD" w14:textId="77777777" w:rsidR="00450D5C" w:rsidRPr="00450D5C" w:rsidRDefault="00450D5C" w:rsidP="00450D5C">
      <w:pPr>
        <w:jc w:val="both"/>
        <w:rPr>
          <w:rFonts w:ascii="Verdana" w:hAnsi="Verdana"/>
          <w:sz w:val="20"/>
          <w:szCs w:val="20"/>
          <w:lang w:val="es-ES"/>
        </w:rPr>
      </w:pPr>
    </w:p>
    <w:p w14:paraId="133A0982" w14:textId="77777777" w:rsidR="00450D5C" w:rsidRPr="00450D5C" w:rsidRDefault="00450D5C" w:rsidP="00450D5C">
      <w:pPr>
        <w:jc w:val="both"/>
        <w:rPr>
          <w:rFonts w:ascii="Verdana" w:hAnsi="Verdana"/>
          <w:sz w:val="20"/>
          <w:szCs w:val="20"/>
          <w:u w:val="single"/>
          <w:lang w:val="es-CR"/>
        </w:rPr>
      </w:pPr>
      <w:r w:rsidRPr="00450D5C">
        <w:rPr>
          <w:rFonts w:ascii="Verdana" w:hAnsi="Verdana"/>
          <w:sz w:val="20"/>
          <w:szCs w:val="20"/>
          <w:lang w:val="es-CR"/>
        </w:rPr>
        <w:t xml:space="preserve">Las definiciones contenidas en los tratados internacionales reseñados </w:t>
      </w:r>
      <w:r w:rsidR="003F0B38">
        <w:rPr>
          <w:rFonts w:ascii="Verdana" w:hAnsi="Verdana"/>
          <w:sz w:val="20"/>
          <w:szCs w:val="20"/>
          <w:lang w:val="es-CR"/>
        </w:rPr>
        <w:t xml:space="preserve">en la Sentencia </w:t>
      </w:r>
      <w:r w:rsidRPr="00450D5C">
        <w:rPr>
          <w:rFonts w:ascii="Verdana" w:hAnsi="Verdana"/>
          <w:sz w:val="20"/>
          <w:szCs w:val="20"/>
          <w:lang w:val="es-CR"/>
        </w:rPr>
        <w:t xml:space="preserve">y la interpretación realizada por otros tribunales internacionales de derechos humanos no dejan duda de que los conceptos de trata de esclavos y de mujeres han transcendido su sentido literal a modo de proteger, en la actual fase de desarrollo del derecho internacional de los derechos humanos, a las “personas” traficadas para sometimiento a variadas formas de explotación sin su consentimiento. El elemento que vincula las prohibiciones de trata de esclavos y de mujeres es el mismo, es decir, el control ejercido por los perpetradores sobre las víctimas durante el transporte o traslado con fines de explotación. Asimismo, la Corte identifica los siguientes elementos comunes a ambas formas de trata: i) el control de movimiento o del ambiente físico de la persona; </w:t>
      </w:r>
      <w:proofErr w:type="spellStart"/>
      <w:r w:rsidRPr="00450D5C">
        <w:rPr>
          <w:rFonts w:ascii="Verdana" w:hAnsi="Verdana"/>
          <w:sz w:val="20"/>
          <w:szCs w:val="20"/>
          <w:lang w:val="es-CR"/>
        </w:rPr>
        <w:t>ii</w:t>
      </w:r>
      <w:proofErr w:type="spellEnd"/>
      <w:r w:rsidRPr="00450D5C">
        <w:rPr>
          <w:rFonts w:ascii="Verdana" w:hAnsi="Verdana"/>
          <w:sz w:val="20"/>
          <w:szCs w:val="20"/>
          <w:lang w:val="es-CR"/>
        </w:rPr>
        <w:t xml:space="preserve">) el control psicológico; </w:t>
      </w:r>
      <w:proofErr w:type="spellStart"/>
      <w:r w:rsidRPr="00450D5C">
        <w:rPr>
          <w:rFonts w:ascii="Verdana" w:hAnsi="Verdana"/>
          <w:sz w:val="20"/>
          <w:szCs w:val="20"/>
          <w:lang w:val="es-CR"/>
        </w:rPr>
        <w:t>iii</w:t>
      </w:r>
      <w:proofErr w:type="spellEnd"/>
      <w:r w:rsidRPr="00450D5C">
        <w:rPr>
          <w:rFonts w:ascii="Verdana" w:hAnsi="Verdana"/>
          <w:sz w:val="20"/>
          <w:szCs w:val="20"/>
          <w:lang w:val="es-CR"/>
        </w:rPr>
        <w:t xml:space="preserve">) la adopción de medidas para impedir la fuga, y </w:t>
      </w:r>
      <w:proofErr w:type="spellStart"/>
      <w:r w:rsidRPr="00450D5C">
        <w:rPr>
          <w:rFonts w:ascii="Verdana" w:hAnsi="Verdana"/>
          <w:sz w:val="20"/>
          <w:szCs w:val="20"/>
          <w:lang w:val="es-CR"/>
        </w:rPr>
        <w:t>iv</w:t>
      </w:r>
      <w:proofErr w:type="spellEnd"/>
      <w:r w:rsidRPr="00450D5C">
        <w:rPr>
          <w:rFonts w:ascii="Verdana" w:hAnsi="Verdana"/>
          <w:sz w:val="20"/>
          <w:szCs w:val="20"/>
          <w:lang w:val="es-CR"/>
        </w:rPr>
        <w:t>) el trabajo forzoso u obligatorio, incluyendo la prostitución.</w:t>
      </w:r>
    </w:p>
    <w:p w14:paraId="348B755A" w14:textId="77777777" w:rsidR="00450D5C" w:rsidRPr="00450D5C" w:rsidRDefault="00450D5C" w:rsidP="00450D5C">
      <w:pPr>
        <w:jc w:val="both"/>
        <w:rPr>
          <w:rFonts w:ascii="Verdana" w:hAnsi="Verdana"/>
          <w:sz w:val="20"/>
          <w:szCs w:val="20"/>
          <w:u w:val="single"/>
          <w:lang w:val="es-CR"/>
        </w:rPr>
      </w:pPr>
    </w:p>
    <w:p w14:paraId="6521CF37" w14:textId="77777777" w:rsidR="00450D5C" w:rsidRPr="00450D5C" w:rsidRDefault="00450D5C" w:rsidP="00450D5C">
      <w:pPr>
        <w:jc w:val="both"/>
        <w:rPr>
          <w:rFonts w:ascii="Verdana" w:hAnsi="Verdana"/>
          <w:sz w:val="20"/>
          <w:szCs w:val="20"/>
          <w:lang w:val="es-CR"/>
        </w:rPr>
      </w:pPr>
      <w:r w:rsidRPr="00450D5C">
        <w:rPr>
          <w:rFonts w:ascii="Verdana" w:hAnsi="Verdana"/>
          <w:sz w:val="20"/>
          <w:szCs w:val="20"/>
          <w:lang w:val="es-CR"/>
        </w:rPr>
        <w:t xml:space="preserve">De lo anterior, la Corte Interamericana considera </w:t>
      </w:r>
      <w:proofErr w:type="gramStart"/>
      <w:r w:rsidRPr="00450D5C">
        <w:rPr>
          <w:rFonts w:ascii="Verdana" w:hAnsi="Verdana"/>
          <w:sz w:val="20"/>
          <w:szCs w:val="20"/>
          <w:lang w:val="es-CR"/>
        </w:rPr>
        <w:t>que</w:t>
      </w:r>
      <w:proofErr w:type="gramEnd"/>
      <w:r w:rsidRPr="00450D5C">
        <w:rPr>
          <w:rFonts w:ascii="Verdana" w:hAnsi="Verdana"/>
          <w:sz w:val="20"/>
          <w:szCs w:val="20"/>
          <w:lang w:val="es-CR"/>
        </w:rPr>
        <w:t xml:space="preserve"> a la luz del desarrollo ocurrido en el derecho internacional en las últimas décadas, la expresión “trata de esclavos y de mujeres” del artículo 6.1 de la Convención Americana debe ser interpretada de manera amplia para referirse a la “trata de personas”. De la misma forma que la trata de esclavos y de mujeres </w:t>
      </w:r>
      <w:r w:rsidRPr="00450D5C">
        <w:rPr>
          <w:rFonts w:ascii="Verdana" w:hAnsi="Verdana"/>
          <w:sz w:val="20"/>
          <w:szCs w:val="20"/>
          <w:lang w:val="es-CR"/>
        </w:rPr>
        <w:lastRenderedPageBreak/>
        <w:t xml:space="preserve">tienen como fin la explotación del ser humano, la Corte no podría limitar la protección conferida por ese artículo únicamente a las mujeres o a los dichos “esclavos”, bajo la óptica de la interpretación más favorable al ser humano y el principio </w:t>
      </w:r>
      <w:proofErr w:type="spellStart"/>
      <w:r w:rsidRPr="00450D5C">
        <w:rPr>
          <w:rFonts w:ascii="Verdana" w:hAnsi="Verdana"/>
          <w:i/>
          <w:sz w:val="20"/>
          <w:szCs w:val="20"/>
          <w:lang w:val="es-CR"/>
        </w:rPr>
        <w:t>pro</w:t>
      </w:r>
      <w:proofErr w:type="spellEnd"/>
      <w:r w:rsidRPr="00450D5C">
        <w:rPr>
          <w:rFonts w:ascii="Verdana" w:hAnsi="Verdana"/>
          <w:i/>
          <w:sz w:val="20"/>
          <w:szCs w:val="20"/>
          <w:lang w:val="es-CR"/>
        </w:rPr>
        <w:t xml:space="preserve"> persona</w:t>
      </w:r>
      <w:r w:rsidRPr="00450D5C">
        <w:rPr>
          <w:rFonts w:ascii="Verdana" w:hAnsi="Verdana"/>
          <w:sz w:val="20"/>
          <w:szCs w:val="20"/>
          <w:lang w:val="es-CR"/>
        </w:rPr>
        <w:t xml:space="preserve">. Lo anterior es importante para dar efecto útil a la prohibición prevista en la Convención Americana de conformidad con la evolución del fenómeno de la trata de seres humanos en nuestras sociedades. </w:t>
      </w:r>
    </w:p>
    <w:p w14:paraId="5D1762CC" w14:textId="77777777" w:rsidR="00450D5C" w:rsidRPr="00450D5C" w:rsidRDefault="00450D5C" w:rsidP="00450D5C">
      <w:pPr>
        <w:jc w:val="both"/>
        <w:rPr>
          <w:rFonts w:ascii="Verdana" w:hAnsi="Verdana"/>
          <w:sz w:val="20"/>
          <w:szCs w:val="20"/>
          <w:u w:val="single"/>
          <w:lang w:val="es-CR"/>
        </w:rPr>
      </w:pPr>
    </w:p>
    <w:p w14:paraId="65360293" w14:textId="77777777" w:rsidR="00450D5C" w:rsidRPr="00450D5C" w:rsidRDefault="00450D5C" w:rsidP="00450D5C">
      <w:pPr>
        <w:jc w:val="both"/>
        <w:rPr>
          <w:rFonts w:ascii="Verdana" w:hAnsi="Verdana"/>
          <w:sz w:val="20"/>
          <w:szCs w:val="20"/>
          <w:lang w:val="es-CR"/>
        </w:rPr>
      </w:pPr>
      <w:r w:rsidRPr="00450D5C">
        <w:rPr>
          <w:rFonts w:ascii="Verdana" w:hAnsi="Verdana"/>
          <w:sz w:val="20"/>
          <w:szCs w:val="20"/>
          <w:lang w:val="es-CR"/>
        </w:rPr>
        <w:t xml:space="preserve">Por lo tanto, la prohibición de “la trata de esclavos y la trata de mujeres” contenida en el artículo 6.1 de la Convención Americana </w:t>
      </w:r>
      <w:r w:rsidR="00C41197">
        <w:rPr>
          <w:rFonts w:ascii="Verdana" w:hAnsi="Verdana"/>
          <w:sz w:val="20"/>
          <w:szCs w:val="20"/>
          <w:lang w:val="es-CR"/>
        </w:rPr>
        <w:t xml:space="preserve">debe entenderse como trata de personas y </w:t>
      </w:r>
      <w:r w:rsidRPr="00450D5C">
        <w:rPr>
          <w:rFonts w:ascii="Verdana" w:hAnsi="Verdana"/>
          <w:sz w:val="20"/>
          <w:szCs w:val="20"/>
          <w:lang w:val="es-CR"/>
        </w:rPr>
        <w:t xml:space="preserve">se refiere a: </w:t>
      </w:r>
    </w:p>
    <w:p w14:paraId="640DB2C4" w14:textId="77777777" w:rsidR="00450D5C" w:rsidRPr="00450D5C" w:rsidRDefault="00450D5C" w:rsidP="00450D5C">
      <w:pPr>
        <w:jc w:val="both"/>
        <w:rPr>
          <w:rFonts w:ascii="Verdana" w:hAnsi="Verdana"/>
          <w:sz w:val="20"/>
          <w:szCs w:val="20"/>
          <w:lang w:val="es-CR"/>
        </w:rPr>
      </w:pPr>
    </w:p>
    <w:p w14:paraId="7C900295" w14:textId="77777777" w:rsidR="00450D5C" w:rsidRPr="003F0B38" w:rsidRDefault="003F0B38" w:rsidP="003F0B38">
      <w:pPr>
        <w:pStyle w:val="Encabezado"/>
        <w:tabs>
          <w:tab w:val="clear" w:pos="4419"/>
          <w:tab w:val="clear" w:pos="8838"/>
        </w:tabs>
        <w:rPr>
          <w:rFonts w:eastAsia="Times New Roman" w:cs="Times New Roman"/>
          <w:noProof w:val="0"/>
          <w:szCs w:val="20"/>
          <w:lang w:val="es-CR"/>
        </w:rPr>
      </w:pPr>
      <w:r w:rsidRPr="003F0B38">
        <w:rPr>
          <w:rFonts w:eastAsia="Times New Roman" w:cs="Times New Roman"/>
          <w:noProof w:val="0"/>
          <w:szCs w:val="20"/>
          <w:lang w:val="es-CR"/>
        </w:rPr>
        <w:t xml:space="preserve">i) </w:t>
      </w:r>
      <w:r w:rsidR="00450D5C" w:rsidRPr="003F0B38">
        <w:rPr>
          <w:rFonts w:eastAsia="Times New Roman" w:cs="Times New Roman"/>
          <w:noProof w:val="0"/>
          <w:szCs w:val="20"/>
          <w:lang w:val="es-CR"/>
        </w:rPr>
        <w:t xml:space="preserve">la captación, el transporte, el traslado, la acogida o la recepción de personas; </w:t>
      </w:r>
    </w:p>
    <w:p w14:paraId="3BC01839" w14:textId="77777777" w:rsidR="00450D5C" w:rsidRPr="00450D5C" w:rsidRDefault="003F0B38" w:rsidP="003F0B38">
      <w:pPr>
        <w:jc w:val="both"/>
        <w:rPr>
          <w:rFonts w:ascii="Verdana" w:hAnsi="Verdana"/>
          <w:sz w:val="20"/>
          <w:szCs w:val="20"/>
          <w:lang w:val="es-CR"/>
        </w:rPr>
      </w:pPr>
      <w:proofErr w:type="spellStart"/>
      <w:r>
        <w:rPr>
          <w:rFonts w:ascii="Verdana" w:hAnsi="Verdana"/>
          <w:sz w:val="20"/>
          <w:szCs w:val="20"/>
          <w:lang w:val="es-CR"/>
        </w:rPr>
        <w:t>ii</w:t>
      </w:r>
      <w:proofErr w:type="spellEnd"/>
      <w:r>
        <w:rPr>
          <w:rFonts w:ascii="Verdana" w:hAnsi="Verdana"/>
          <w:sz w:val="20"/>
          <w:szCs w:val="20"/>
          <w:lang w:val="es-CR"/>
        </w:rPr>
        <w:t xml:space="preserve">) </w:t>
      </w:r>
      <w:r w:rsidR="00450D5C" w:rsidRPr="00450D5C">
        <w:rPr>
          <w:rFonts w:ascii="Verdana" w:hAnsi="Verdana"/>
          <w:sz w:val="20"/>
          <w:szCs w:val="20"/>
          <w:lang w:val="es-CR"/>
        </w:rPr>
        <w:t xml:space="preserve">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Para los menores de 18 años estos requisitos no son condición necesaria para la caracterización de trata; </w:t>
      </w:r>
    </w:p>
    <w:p w14:paraId="536E138E" w14:textId="77777777" w:rsidR="00450D5C" w:rsidRPr="00450D5C" w:rsidRDefault="003F0B38" w:rsidP="003F0B38">
      <w:pPr>
        <w:jc w:val="both"/>
        <w:rPr>
          <w:rFonts w:ascii="Verdana" w:hAnsi="Verdana"/>
          <w:sz w:val="20"/>
          <w:szCs w:val="20"/>
          <w:lang w:val="es-CR"/>
        </w:rPr>
      </w:pPr>
      <w:proofErr w:type="spellStart"/>
      <w:r>
        <w:rPr>
          <w:rFonts w:ascii="Verdana" w:hAnsi="Verdana"/>
          <w:sz w:val="20"/>
          <w:szCs w:val="20"/>
          <w:lang w:val="es-CR"/>
        </w:rPr>
        <w:t>iii</w:t>
      </w:r>
      <w:proofErr w:type="spellEnd"/>
      <w:r>
        <w:rPr>
          <w:rFonts w:ascii="Verdana" w:hAnsi="Verdana"/>
          <w:sz w:val="20"/>
          <w:szCs w:val="20"/>
          <w:lang w:val="es-CR"/>
        </w:rPr>
        <w:t xml:space="preserve">) </w:t>
      </w:r>
      <w:r w:rsidR="00450D5C" w:rsidRPr="00450D5C">
        <w:rPr>
          <w:rFonts w:ascii="Verdana" w:hAnsi="Verdana"/>
          <w:sz w:val="20"/>
          <w:szCs w:val="20"/>
          <w:lang w:val="es-CR"/>
        </w:rPr>
        <w:t>con cualquier fin de explotación.</w:t>
      </w:r>
    </w:p>
    <w:p w14:paraId="40F1080D" w14:textId="77777777" w:rsidR="00450D5C" w:rsidRDefault="00450D5C" w:rsidP="00450D5C">
      <w:pPr>
        <w:jc w:val="both"/>
        <w:rPr>
          <w:rFonts w:ascii="Verdana" w:hAnsi="Verdana"/>
          <w:sz w:val="20"/>
          <w:szCs w:val="20"/>
          <w:lang w:val="es-CR"/>
        </w:rPr>
      </w:pPr>
    </w:p>
    <w:p w14:paraId="79CEAFEA" w14:textId="77777777" w:rsidR="00DD1F4E" w:rsidRDefault="00567480" w:rsidP="00DD1F4E">
      <w:pPr>
        <w:pStyle w:val="Ttulo1"/>
        <w:rPr>
          <w:lang w:val="es-ES"/>
        </w:rPr>
      </w:pPr>
      <w:r w:rsidRPr="00567480">
        <w:rPr>
          <w:b w:val="0"/>
        </w:rPr>
        <w:t xml:space="preserve">Con respecto al trabajo forzoso u obligatorio, la Corte reiteró su definición expresada en el Caso Masacres de Ituango, de que </w:t>
      </w:r>
      <w:r w:rsidRPr="00567480">
        <w:rPr>
          <w:b w:val="0"/>
          <w:lang w:val="es-ES"/>
        </w:rPr>
        <w:t>designa todo trabajo o servicio exigido a un individuo bajo amenaza de una pena cualquiera y para el cual dicho individuo no se ofrece voluntariamente</w:t>
      </w:r>
      <w:r>
        <w:rPr>
          <w:b w:val="0"/>
          <w:lang w:val="es-ES"/>
        </w:rPr>
        <w:t xml:space="preserve">. </w:t>
      </w:r>
      <w:r w:rsidR="00DD1F4E">
        <w:rPr>
          <w:b w:val="0"/>
          <w:lang w:val="es-ES"/>
        </w:rPr>
        <w:t>Esa d</w:t>
      </w:r>
      <w:r w:rsidR="00DD1F4E" w:rsidRPr="00DD1F4E">
        <w:rPr>
          <w:b w:val="0"/>
          <w:lang w:val="es-ES"/>
        </w:rPr>
        <w:t xml:space="preserve">efinición consta de dos elementos básicos: que el trabajo o el servicio se exige “bajo amenaza de una pena”, y que estos se llevan a cabo de forma involuntaria. </w:t>
      </w:r>
      <w:r w:rsidR="00DD1F4E" w:rsidRPr="00161B9F">
        <w:rPr>
          <w:b w:val="0"/>
          <w:lang w:val="es-ES"/>
        </w:rPr>
        <w:t xml:space="preserve">Asimismo, ante las circunstancias del caso, el Tribunal consideró que para constituir una violación del artículo 6.2 de la Convención sería necesario que la presunta violación sea atribuible a agentes del Estado, ya sea por medio de la participación directa de éstos o por su aquiescencia en los hechos. En relación con el vínculo con agentes del Estado, la Corte considera que dicho criterio se restringe a la obligación de respetar la prohibición del trabajo forzoso. Pero ese criterio no puede ser sostenido cuando la violación alegada se refiere a las obligaciones de prevención y garantía de un derecho humano establecido en la Convención Americana, por lo que no resulta necesaria la atribución a agentes del Estado para configurar trabajo forzoso. </w:t>
      </w:r>
    </w:p>
    <w:p w14:paraId="093F9202" w14:textId="77777777" w:rsidR="00C41197" w:rsidRPr="00450D5C" w:rsidRDefault="00C41197" w:rsidP="00450D5C">
      <w:pPr>
        <w:jc w:val="both"/>
        <w:rPr>
          <w:rFonts w:ascii="Verdana" w:hAnsi="Verdana"/>
          <w:sz w:val="20"/>
          <w:szCs w:val="20"/>
          <w:lang w:val="es-CR"/>
        </w:rPr>
      </w:pPr>
    </w:p>
    <w:p w14:paraId="66D0FCB7" w14:textId="77777777" w:rsidR="00450D5C" w:rsidRPr="00450D5C" w:rsidRDefault="00450D5C" w:rsidP="00450D5C">
      <w:pPr>
        <w:jc w:val="both"/>
        <w:rPr>
          <w:rFonts w:ascii="Verdana" w:hAnsi="Verdana"/>
          <w:sz w:val="20"/>
          <w:szCs w:val="20"/>
          <w:lang w:val="es-ES"/>
        </w:rPr>
      </w:pPr>
      <w:r w:rsidRPr="00450D5C">
        <w:rPr>
          <w:rFonts w:ascii="Verdana" w:hAnsi="Verdana"/>
          <w:sz w:val="20"/>
          <w:szCs w:val="20"/>
          <w:lang w:val="es-ES"/>
        </w:rPr>
        <w:t>En cuanto a los hechos establecidos en el p</w:t>
      </w:r>
      <w:r w:rsidR="003F0B38">
        <w:rPr>
          <w:rFonts w:ascii="Verdana" w:hAnsi="Verdana"/>
          <w:sz w:val="20"/>
          <w:szCs w:val="20"/>
          <w:lang w:val="es-ES"/>
        </w:rPr>
        <w:t>resente caso, la Corte considera</w:t>
      </w:r>
      <w:r w:rsidRPr="00450D5C">
        <w:rPr>
          <w:rFonts w:ascii="Verdana" w:hAnsi="Verdana"/>
          <w:sz w:val="20"/>
          <w:szCs w:val="20"/>
          <w:lang w:val="es-ES"/>
        </w:rPr>
        <w:t xml:space="preserve"> </w:t>
      </w:r>
      <w:r w:rsidR="00C41197">
        <w:rPr>
          <w:rFonts w:ascii="Verdana" w:hAnsi="Verdana"/>
          <w:sz w:val="20"/>
          <w:szCs w:val="20"/>
          <w:lang w:val="es-ES"/>
        </w:rPr>
        <w:t>evidente</w:t>
      </w:r>
      <w:r w:rsidRPr="00450D5C">
        <w:rPr>
          <w:rFonts w:ascii="Verdana" w:hAnsi="Verdana"/>
          <w:sz w:val="20"/>
          <w:szCs w:val="20"/>
          <w:lang w:val="es-ES"/>
        </w:rPr>
        <w:t xml:space="preserve"> la existencia de un mecanismo de reclutamiento de trabajadores a través de fraudes y engaños. Además, la Corte estima que, en efecto, los hechos del caso indican la existencia de una situación de servidumbre por deuda, visto que a partir del momento en que los trabajadores recibían el adelanto de dinero por parte del </w:t>
      </w:r>
      <w:r w:rsidRPr="00450D5C">
        <w:rPr>
          <w:rFonts w:ascii="Verdana" w:hAnsi="Verdana"/>
          <w:i/>
          <w:iCs/>
          <w:sz w:val="20"/>
          <w:szCs w:val="20"/>
          <w:lang w:val="es-ES"/>
        </w:rPr>
        <w:t>gato</w:t>
      </w:r>
      <w:r w:rsidRPr="00450D5C">
        <w:rPr>
          <w:rFonts w:ascii="Verdana" w:hAnsi="Verdana"/>
          <w:sz w:val="20"/>
          <w:szCs w:val="20"/>
          <w:lang w:val="es-ES"/>
        </w:rPr>
        <w:t xml:space="preserve">, hasta los salarios irrisorios y descuentos por comida, medicamentos y otros productos, se generaba una deuda impagable para ellos. Como agravante a ese sistema conocido como </w:t>
      </w:r>
      <w:proofErr w:type="spellStart"/>
      <w:r w:rsidRPr="00450D5C">
        <w:rPr>
          <w:rFonts w:ascii="Verdana" w:hAnsi="Verdana"/>
          <w:i/>
          <w:iCs/>
          <w:sz w:val="20"/>
          <w:szCs w:val="20"/>
          <w:lang w:val="es-ES"/>
        </w:rPr>
        <w:t>truck</w:t>
      </w:r>
      <w:proofErr w:type="spellEnd"/>
      <w:r w:rsidRPr="00450D5C">
        <w:rPr>
          <w:rFonts w:ascii="Verdana" w:hAnsi="Verdana"/>
          <w:i/>
          <w:iCs/>
          <w:sz w:val="20"/>
          <w:szCs w:val="20"/>
          <w:lang w:val="es-ES"/>
        </w:rPr>
        <w:t xml:space="preserve"> </w:t>
      </w:r>
      <w:proofErr w:type="spellStart"/>
      <w:r w:rsidRPr="00450D5C">
        <w:rPr>
          <w:rFonts w:ascii="Verdana" w:hAnsi="Verdana"/>
          <w:i/>
          <w:iCs/>
          <w:sz w:val="20"/>
          <w:szCs w:val="20"/>
          <w:lang w:val="es-ES"/>
        </w:rPr>
        <w:t>system</w:t>
      </w:r>
      <w:proofErr w:type="spellEnd"/>
      <w:r w:rsidRPr="00450D5C">
        <w:rPr>
          <w:rFonts w:ascii="Verdana" w:hAnsi="Verdana"/>
          <w:i/>
          <w:iCs/>
          <w:sz w:val="20"/>
          <w:szCs w:val="20"/>
          <w:lang w:val="es-ES"/>
        </w:rPr>
        <w:t xml:space="preserve">, </w:t>
      </w:r>
      <w:r w:rsidRPr="00450D5C">
        <w:rPr>
          <w:rFonts w:ascii="Verdana" w:hAnsi="Verdana"/>
          <w:sz w:val="20"/>
          <w:szCs w:val="20"/>
          <w:lang w:val="es-ES"/>
        </w:rPr>
        <w:t xml:space="preserve">peonaje o </w:t>
      </w:r>
      <w:r w:rsidRPr="00450D5C">
        <w:rPr>
          <w:rFonts w:ascii="Verdana" w:hAnsi="Verdana"/>
          <w:i/>
          <w:iCs/>
          <w:sz w:val="20"/>
          <w:szCs w:val="20"/>
          <w:lang w:val="es-ES"/>
        </w:rPr>
        <w:t xml:space="preserve">sistema de </w:t>
      </w:r>
      <w:proofErr w:type="spellStart"/>
      <w:r w:rsidRPr="00450D5C">
        <w:rPr>
          <w:rFonts w:ascii="Verdana" w:hAnsi="Verdana"/>
          <w:i/>
          <w:iCs/>
          <w:sz w:val="20"/>
          <w:szCs w:val="20"/>
          <w:lang w:val="es-ES"/>
        </w:rPr>
        <w:t>barracão</w:t>
      </w:r>
      <w:proofErr w:type="spellEnd"/>
      <w:r w:rsidRPr="00450D5C">
        <w:rPr>
          <w:rFonts w:ascii="Verdana" w:hAnsi="Verdana"/>
          <w:i/>
          <w:iCs/>
          <w:sz w:val="20"/>
          <w:szCs w:val="20"/>
          <w:lang w:val="es-ES"/>
        </w:rPr>
        <w:t xml:space="preserve"> </w:t>
      </w:r>
      <w:r w:rsidRPr="00450D5C">
        <w:rPr>
          <w:rFonts w:ascii="Verdana" w:hAnsi="Verdana"/>
          <w:sz w:val="20"/>
          <w:szCs w:val="20"/>
          <w:lang w:val="es-ES"/>
        </w:rPr>
        <w:t xml:space="preserve">en algunos países, los trabajadores eran sometidos a jornadas extenuantes de trabajo bajo amenazas y violencia, viviendo en condiciones degradantes. Asimismo, los trabajadores no tenían perspectiva de poder salir de esa situación en razón de: i) la presencia de guardias armados; </w:t>
      </w:r>
      <w:proofErr w:type="spellStart"/>
      <w:r w:rsidRPr="00450D5C">
        <w:rPr>
          <w:rFonts w:ascii="Verdana" w:hAnsi="Verdana"/>
          <w:sz w:val="20"/>
          <w:szCs w:val="20"/>
          <w:lang w:val="es-ES"/>
        </w:rPr>
        <w:t>ii</w:t>
      </w:r>
      <w:proofErr w:type="spellEnd"/>
      <w:r w:rsidRPr="00450D5C">
        <w:rPr>
          <w:rFonts w:ascii="Verdana" w:hAnsi="Verdana"/>
          <w:sz w:val="20"/>
          <w:szCs w:val="20"/>
          <w:lang w:val="es-ES"/>
        </w:rPr>
        <w:t xml:space="preserve">) la restricción de salida de la Hacienda sin el pago de la deuda adquirida; </w:t>
      </w:r>
      <w:proofErr w:type="spellStart"/>
      <w:r w:rsidRPr="00450D5C">
        <w:rPr>
          <w:rFonts w:ascii="Verdana" w:hAnsi="Verdana"/>
          <w:sz w:val="20"/>
          <w:szCs w:val="20"/>
          <w:lang w:val="es-ES"/>
        </w:rPr>
        <w:t>iii</w:t>
      </w:r>
      <w:proofErr w:type="spellEnd"/>
      <w:r w:rsidRPr="00450D5C">
        <w:rPr>
          <w:rFonts w:ascii="Verdana" w:hAnsi="Verdana"/>
          <w:sz w:val="20"/>
          <w:szCs w:val="20"/>
          <w:lang w:val="es-ES"/>
        </w:rPr>
        <w:t xml:space="preserve">) la coacción física y psicológica de parte de </w:t>
      </w:r>
      <w:r w:rsidRPr="00450D5C">
        <w:rPr>
          <w:rFonts w:ascii="Verdana" w:hAnsi="Verdana"/>
          <w:i/>
          <w:sz w:val="20"/>
          <w:szCs w:val="20"/>
          <w:lang w:val="es-ES"/>
        </w:rPr>
        <w:t>gatos</w:t>
      </w:r>
      <w:r w:rsidRPr="00450D5C">
        <w:rPr>
          <w:rFonts w:ascii="Verdana" w:hAnsi="Verdana"/>
          <w:sz w:val="20"/>
          <w:szCs w:val="20"/>
          <w:lang w:val="es-ES"/>
        </w:rPr>
        <w:t xml:space="preserve"> y guardias de seguridad, y </w:t>
      </w:r>
      <w:proofErr w:type="spellStart"/>
      <w:r w:rsidRPr="00450D5C">
        <w:rPr>
          <w:rFonts w:ascii="Verdana" w:hAnsi="Verdana"/>
          <w:sz w:val="20"/>
          <w:szCs w:val="20"/>
          <w:lang w:val="es-ES"/>
        </w:rPr>
        <w:t>iv</w:t>
      </w:r>
      <w:proofErr w:type="spellEnd"/>
      <w:r w:rsidRPr="00450D5C">
        <w:rPr>
          <w:rFonts w:ascii="Verdana" w:hAnsi="Verdana"/>
          <w:sz w:val="20"/>
          <w:szCs w:val="20"/>
          <w:lang w:val="es-ES"/>
        </w:rPr>
        <w:t xml:space="preserve">) el miedo de represalias y de morir en la selva en caso de fuga. Las condiciones anteriores se potencializaban por la condición de vulnerabilidad de los trabajadores, los cuales eran en su mayoría analfabetos, de una región muy distante del país, que no conocían los alrededores de la Hacienda Brasil Verde y estaban sometidos a </w:t>
      </w:r>
      <w:proofErr w:type="gramStart"/>
      <w:r w:rsidRPr="00450D5C">
        <w:rPr>
          <w:rFonts w:ascii="Verdana" w:hAnsi="Verdana"/>
          <w:sz w:val="20"/>
          <w:szCs w:val="20"/>
          <w:lang w:val="es-ES"/>
        </w:rPr>
        <w:t>condiciones  inhumanas</w:t>
      </w:r>
      <w:proofErr w:type="gramEnd"/>
      <w:r w:rsidRPr="00450D5C">
        <w:rPr>
          <w:rFonts w:ascii="Verdana" w:hAnsi="Verdana"/>
          <w:sz w:val="20"/>
          <w:szCs w:val="20"/>
          <w:lang w:val="es-ES"/>
        </w:rPr>
        <w:t xml:space="preserve"> de vida.  </w:t>
      </w:r>
    </w:p>
    <w:p w14:paraId="7A7BD5D6" w14:textId="77777777" w:rsidR="00450D5C" w:rsidRPr="00450D5C" w:rsidRDefault="00450D5C" w:rsidP="00450D5C">
      <w:pPr>
        <w:jc w:val="both"/>
        <w:rPr>
          <w:rFonts w:ascii="Verdana" w:hAnsi="Verdana"/>
          <w:sz w:val="20"/>
          <w:szCs w:val="20"/>
          <w:lang w:val="es-ES_tradnl"/>
        </w:rPr>
      </w:pPr>
    </w:p>
    <w:p w14:paraId="7BC77F61" w14:textId="77777777" w:rsidR="00450D5C" w:rsidRPr="00450D5C" w:rsidRDefault="00450D5C" w:rsidP="00450D5C">
      <w:pPr>
        <w:jc w:val="both"/>
        <w:rPr>
          <w:rFonts w:ascii="Verdana" w:hAnsi="Verdana"/>
          <w:sz w:val="20"/>
          <w:szCs w:val="20"/>
          <w:lang w:val="es-ES"/>
        </w:rPr>
      </w:pPr>
      <w:r w:rsidRPr="00450D5C">
        <w:rPr>
          <w:rFonts w:ascii="Verdana" w:hAnsi="Verdana"/>
          <w:sz w:val="20"/>
          <w:szCs w:val="20"/>
          <w:lang w:val="es-ES"/>
        </w:rPr>
        <w:t xml:space="preserve">Visto lo anterior, es evidente para la Corte que los trabajadores rescatados de la Hacienda Brasil Verde se encontraban en una situación de servidumbre por deuda y de sometimiento a trabajos forzosos. Sin perjuicio de lo anterior, el Tribunal considera que las características </w:t>
      </w:r>
      <w:r w:rsidRPr="00450D5C">
        <w:rPr>
          <w:rFonts w:ascii="Verdana" w:hAnsi="Verdana"/>
          <w:sz w:val="20"/>
          <w:szCs w:val="20"/>
          <w:lang w:val="es-ES"/>
        </w:rPr>
        <w:lastRenderedPageBreak/>
        <w:t xml:space="preserve">específicas a que fueron sometidos los 85 trabajadores rescatados el 15 de marzo de 2000 sobrepasaban los extremos de servidumbre por deuda y trabajo forzoso para llegar a cumplir con los elementos más estrictos de la definición de esclavitud establecida por la Corte, en particular el ejercicio de control como manifestación del derecho de propiedad. En ese sentido, la Corte constata que: i) los trabajadores se encontraban sometidos al efectivo control de los </w:t>
      </w:r>
      <w:r w:rsidRPr="00450D5C">
        <w:rPr>
          <w:rFonts w:ascii="Verdana" w:hAnsi="Verdana"/>
          <w:i/>
          <w:iCs/>
          <w:sz w:val="20"/>
          <w:szCs w:val="20"/>
          <w:lang w:val="es-ES"/>
        </w:rPr>
        <w:t>gatos</w:t>
      </w:r>
      <w:r w:rsidRPr="00450D5C">
        <w:rPr>
          <w:rFonts w:ascii="Verdana" w:hAnsi="Verdana"/>
          <w:sz w:val="20"/>
          <w:szCs w:val="20"/>
          <w:lang w:val="es-ES"/>
        </w:rPr>
        <w:t xml:space="preserve">, gerentes, guardas armados de la hacienda, y en definitiva también de su propietario; </w:t>
      </w:r>
      <w:proofErr w:type="spellStart"/>
      <w:r w:rsidRPr="00450D5C">
        <w:rPr>
          <w:rFonts w:ascii="Verdana" w:hAnsi="Verdana"/>
          <w:sz w:val="20"/>
          <w:szCs w:val="20"/>
          <w:lang w:val="es-ES"/>
        </w:rPr>
        <w:t>ii</w:t>
      </w:r>
      <w:proofErr w:type="spellEnd"/>
      <w:r w:rsidRPr="00450D5C">
        <w:rPr>
          <w:rFonts w:ascii="Verdana" w:hAnsi="Verdana"/>
          <w:sz w:val="20"/>
          <w:szCs w:val="20"/>
          <w:lang w:val="es-ES"/>
        </w:rPr>
        <w:t xml:space="preserve">) de forma tal que se restringía su autonomía y libertad individuales; </w:t>
      </w:r>
      <w:proofErr w:type="spellStart"/>
      <w:r w:rsidRPr="00450D5C">
        <w:rPr>
          <w:rFonts w:ascii="Verdana" w:hAnsi="Verdana"/>
          <w:sz w:val="20"/>
          <w:szCs w:val="20"/>
          <w:lang w:val="es-ES"/>
        </w:rPr>
        <w:t>iii</w:t>
      </w:r>
      <w:proofErr w:type="spellEnd"/>
      <w:r w:rsidRPr="00450D5C">
        <w:rPr>
          <w:rFonts w:ascii="Verdana" w:hAnsi="Verdana"/>
          <w:sz w:val="20"/>
          <w:szCs w:val="20"/>
          <w:lang w:val="es-ES"/>
        </w:rPr>
        <w:t xml:space="preserve">) sin su libre consentimiento; </w:t>
      </w:r>
      <w:proofErr w:type="spellStart"/>
      <w:r w:rsidRPr="00450D5C">
        <w:rPr>
          <w:rFonts w:ascii="Verdana" w:hAnsi="Verdana"/>
          <w:sz w:val="20"/>
          <w:szCs w:val="20"/>
          <w:lang w:val="es-ES"/>
        </w:rPr>
        <w:t>iv</w:t>
      </w:r>
      <w:proofErr w:type="spellEnd"/>
      <w:r w:rsidRPr="00450D5C">
        <w:rPr>
          <w:rFonts w:ascii="Verdana" w:hAnsi="Verdana"/>
          <w:sz w:val="20"/>
          <w:szCs w:val="20"/>
          <w:lang w:val="es-ES"/>
        </w:rPr>
        <w:t xml:space="preserve">) a través de amenazas, violencia física y psicológica, v) para explotar su trabajo forzoso en condiciones inhumanas. Asimismo, las circunstancias de la fuga emprendida por los señores </w:t>
      </w:r>
      <w:proofErr w:type="spellStart"/>
      <w:r w:rsidRPr="00450D5C">
        <w:rPr>
          <w:rFonts w:ascii="Verdana" w:hAnsi="Verdana"/>
          <w:sz w:val="20"/>
          <w:szCs w:val="20"/>
          <w:lang w:val="es-ES_tradnl"/>
        </w:rPr>
        <w:t>Antônio</w:t>
      </w:r>
      <w:proofErr w:type="spellEnd"/>
      <w:r w:rsidRPr="00450D5C">
        <w:rPr>
          <w:rFonts w:ascii="Verdana" w:hAnsi="Verdana"/>
          <w:sz w:val="20"/>
          <w:szCs w:val="20"/>
          <w:lang w:val="es-ES_tradnl"/>
        </w:rPr>
        <w:t xml:space="preserve"> Francisco da Silva y </w:t>
      </w:r>
      <w:proofErr w:type="spellStart"/>
      <w:r w:rsidRPr="00450D5C">
        <w:rPr>
          <w:rFonts w:ascii="Verdana" w:hAnsi="Verdana"/>
          <w:sz w:val="20"/>
          <w:szCs w:val="20"/>
          <w:lang w:val="es-ES_tradnl"/>
        </w:rPr>
        <w:t>Gonçalo</w:t>
      </w:r>
      <w:proofErr w:type="spellEnd"/>
      <w:r w:rsidRPr="00450D5C">
        <w:rPr>
          <w:rFonts w:ascii="Verdana" w:hAnsi="Verdana"/>
          <w:sz w:val="20"/>
          <w:szCs w:val="20"/>
          <w:lang w:val="es-ES_tradnl"/>
        </w:rPr>
        <w:t xml:space="preserve"> </w:t>
      </w:r>
      <w:proofErr w:type="spellStart"/>
      <w:r w:rsidRPr="00450D5C">
        <w:rPr>
          <w:rFonts w:ascii="Verdana" w:hAnsi="Verdana"/>
          <w:sz w:val="20"/>
          <w:szCs w:val="20"/>
          <w:lang w:val="es-ES_tradnl"/>
        </w:rPr>
        <w:t>Luiz</w:t>
      </w:r>
      <w:proofErr w:type="spellEnd"/>
      <w:r w:rsidRPr="00450D5C">
        <w:rPr>
          <w:rFonts w:ascii="Verdana" w:hAnsi="Verdana"/>
          <w:sz w:val="20"/>
          <w:szCs w:val="20"/>
          <w:lang w:val="es-ES_tradnl"/>
        </w:rPr>
        <w:t xml:space="preserve"> Furtado y los riesgos enfrentados hasta denunciar lo ocurrido a la Policía Federal demuestran: vi) la </w:t>
      </w:r>
      <w:r w:rsidRPr="00450D5C">
        <w:rPr>
          <w:rFonts w:ascii="Verdana" w:hAnsi="Verdana"/>
          <w:sz w:val="20"/>
          <w:szCs w:val="20"/>
          <w:lang w:val="es-ES"/>
        </w:rPr>
        <w:t xml:space="preserve">vulnerabilidad de los trabajadores y </w:t>
      </w:r>
      <w:proofErr w:type="spellStart"/>
      <w:r w:rsidRPr="00450D5C">
        <w:rPr>
          <w:rFonts w:ascii="Verdana" w:hAnsi="Verdana"/>
          <w:sz w:val="20"/>
          <w:szCs w:val="20"/>
          <w:lang w:val="es-ES"/>
        </w:rPr>
        <w:t>vii</w:t>
      </w:r>
      <w:proofErr w:type="spellEnd"/>
      <w:r w:rsidRPr="00450D5C">
        <w:rPr>
          <w:rFonts w:ascii="Verdana" w:hAnsi="Verdana"/>
          <w:sz w:val="20"/>
          <w:szCs w:val="20"/>
          <w:lang w:val="es-ES"/>
        </w:rPr>
        <w:t xml:space="preserve">) el ambiente de coacción existente en dicha hacienda, los cuales </w:t>
      </w:r>
      <w:proofErr w:type="spellStart"/>
      <w:r w:rsidRPr="00450D5C">
        <w:rPr>
          <w:rFonts w:ascii="Verdana" w:hAnsi="Verdana"/>
          <w:sz w:val="20"/>
          <w:szCs w:val="20"/>
          <w:lang w:val="es-ES"/>
        </w:rPr>
        <w:t>viii</w:t>
      </w:r>
      <w:proofErr w:type="spellEnd"/>
      <w:r w:rsidRPr="00450D5C">
        <w:rPr>
          <w:rFonts w:ascii="Verdana" w:hAnsi="Verdana"/>
          <w:sz w:val="20"/>
          <w:szCs w:val="20"/>
          <w:lang w:val="es-ES"/>
        </w:rPr>
        <w:t>) no les permitían cambiar su situación y recuperar su libertad. Por todo lo anterior, la Corte concluye que la situación verificada en la Hacienda Brasil Verde en marzo de 2000 representaba una situación de esclavitud.</w:t>
      </w:r>
    </w:p>
    <w:p w14:paraId="2F6EAA32" w14:textId="77777777" w:rsidR="00450D5C" w:rsidRPr="00450D5C" w:rsidRDefault="00450D5C" w:rsidP="00450D5C">
      <w:pPr>
        <w:jc w:val="both"/>
        <w:rPr>
          <w:rFonts w:ascii="Verdana" w:hAnsi="Verdana"/>
          <w:sz w:val="20"/>
          <w:szCs w:val="20"/>
          <w:lang w:val="es-ES_tradnl"/>
        </w:rPr>
      </w:pPr>
    </w:p>
    <w:p w14:paraId="438400AD" w14:textId="77777777" w:rsidR="00085EE8" w:rsidRPr="00450D5C" w:rsidRDefault="00450D5C" w:rsidP="00450D5C">
      <w:pPr>
        <w:jc w:val="both"/>
        <w:rPr>
          <w:rFonts w:ascii="Verdana" w:hAnsi="Verdana"/>
          <w:sz w:val="20"/>
          <w:szCs w:val="20"/>
          <w:lang w:val="es-ES_tradnl"/>
        </w:rPr>
      </w:pPr>
      <w:r w:rsidRPr="00450D5C">
        <w:rPr>
          <w:rFonts w:ascii="Verdana" w:hAnsi="Verdana"/>
          <w:sz w:val="20"/>
          <w:szCs w:val="20"/>
          <w:lang w:val="es-ES_tradnl"/>
        </w:rPr>
        <w:t xml:space="preserve">Por otra parte, considerando el contexto del presente caso respecto a la captación o reclutamiento de trabajadores a través de fraude, engaño y falsas promesas desde las regiones más pobres del país sobre todo </w:t>
      </w:r>
      <w:proofErr w:type="spellStart"/>
      <w:r w:rsidRPr="00450D5C">
        <w:rPr>
          <w:rFonts w:ascii="Verdana" w:hAnsi="Verdana"/>
          <w:sz w:val="20"/>
          <w:szCs w:val="20"/>
          <w:lang w:val="es-ES_tradnl"/>
        </w:rPr>
        <w:t>hacia</w:t>
      </w:r>
      <w:proofErr w:type="spellEnd"/>
      <w:r w:rsidRPr="00450D5C">
        <w:rPr>
          <w:rFonts w:ascii="Verdana" w:hAnsi="Verdana"/>
          <w:sz w:val="20"/>
          <w:szCs w:val="20"/>
          <w:lang w:val="es-ES_tradnl"/>
        </w:rPr>
        <w:t xml:space="preserve"> haciendas de los Estados de Maranhão, Mato Grosso, Pará y Tocantins, la Corte considera probado que los trabajadores rescatados en marzo de 2000 habían sido también víctimas de trata de personas. </w:t>
      </w:r>
    </w:p>
    <w:p w14:paraId="3A1AD5BF" w14:textId="77777777" w:rsidR="00450D5C" w:rsidRDefault="00450D5C" w:rsidP="0049364E">
      <w:pPr>
        <w:pStyle w:val="PrrafodeSentencia"/>
        <w:spacing w:before="0" w:after="0"/>
        <w:rPr>
          <w:rFonts w:eastAsia="Calibri" w:cs="Times New Roman"/>
          <w:sz w:val="20"/>
          <w:lang w:val="es-EC" w:eastAsia="en-US"/>
        </w:rPr>
      </w:pPr>
    </w:p>
    <w:p w14:paraId="3286E59E" w14:textId="77777777" w:rsidR="00854E75" w:rsidRPr="00E02630" w:rsidRDefault="00F74B5F" w:rsidP="0049364E">
      <w:pPr>
        <w:pStyle w:val="PrrafodeSentencia"/>
        <w:spacing w:before="0" w:after="0"/>
        <w:rPr>
          <w:rFonts w:eastAsia="Calibri"/>
          <w:b/>
          <w:noProof/>
          <w:sz w:val="20"/>
          <w:szCs w:val="20"/>
          <w:lang w:val="es-CR" w:eastAsia="es-ES"/>
        </w:rPr>
      </w:pPr>
      <w:r>
        <w:rPr>
          <w:rFonts w:eastAsia="Calibri" w:cs="Times New Roman"/>
          <w:sz w:val="20"/>
          <w:lang w:val="es-EC" w:eastAsia="en-US"/>
        </w:rPr>
        <w:t>La Corte consider</w:t>
      </w:r>
      <w:r w:rsidR="00F328D1">
        <w:rPr>
          <w:rFonts w:eastAsia="Calibri" w:cs="Times New Roman"/>
          <w:sz w:val="20"/>
          <w:lang w:val="es-EC" w:eastAsia="en-US"/>
        </w:rPr>
        <w:t>a</w:t>
      </w:r>
      <w:r>
        <w:rPr>
          <w:rFonts w:eastAsia="Calibri" w:cs="Times New Roman"/>
          <w:sz w:val="20"/>
          <w:lang w:val="es-EC" w:eastAsia="en-US"/>
        </w:rPr>
        <w:t xml:space="preserve"> que</w:t>
      </w:r>
      <w:r w:rsidR="00854E75" w:rsidRPr="00854E75">
        <w:rPr>
          <w:rFonts w:eastAsia="Calibri" w:cs="Times New Roman"/>
          <w:sz w:val="20"/>
          <w:lang w:val="es-EC" w:eastAsia="en-US"/>
        </w:rPr>
        <w:t xml:space="preserve"> </w:t>
      </w:r>
      <w:r>
        <w:rPr>
          <w:rFonts w:eastAsia="Calibri" w:cs="Times New Roman"/>
          <w:sz w:val="20"/>
          <w:lang w:val="es-EC" w:eastAsia="en-US"/>
        </w:rPr>
        <w:t>e</w:t>
      </w:r>
      <w:r w:rsidR="00854E75" w:rsidRPr="00854E75">
        <w:rPr>
          <w:rFonts w:eastAsia="Calibri" w:cs="Times New Roman"/>
          <w:sz w:val="20"/>
          <w:lang w:val="es-EC" w:eastAsia="en-US"/>
        </w:rPr>
        <w:t>l</w:t>
      </w:r>
      <w:r>
        <w:rPr>
          <w:rFonts w:eastAsia="Calibri" w:cs="Times New Roman"/>
          <w:sz w:val="20"/>
          <w:lang w:val="es-EC" w:eastAsia="en-US"/>
        </w:rPr>
        <w:t xml:space="preserve"> Estado</w:t>
      </w:r>
      <w:r w:rsidR="00854E75" w:rsidRPr="00854E75">
        <w:rPr>
          <w:rFonts w:eastAsia="Calibri" w:cs="Times New Roman"/>
          <w:sz w:val="20"/>
          <w:lang w:val="es-EC" w:eastAsia="en-US"/>
        </w:rPr>
        <w:t xml:space="preserve"> no demostró haber adoptado las medidas específicas, conforme a las circunstancias de </w:t>
      </w:r>
      <w:r>
        <w:rPr>
          <w:rFonts w:eastAsia="Calibri" w:cs="Times New Roman"/>
          <w:sz w:val="20"/>
          <w:lang w:val="es-EC" w:eastAsia="en-US"/>
        </w:rPr>
        <w:t xml:space="preserve">los </w:t>
      </w:r>
      <w:r w:rsidR="00854E75" w:rsidRPr="00854E75">
        <w:rPr>
          <w:rFonts w:eastAsia="Calibri" w:cs="Times New Roman"/>
          <w:sz w:val="20"/>
          <w:lang w:val="es-EC" w:eastAsia="en-US"/>
        </w:rPr>
        <w:t>trabajadores, para prevenir la ocurrencia de la violación al artículo 6.1</w:t>
      </w:r>
      <w:r w:rsidR="00854E75" w:rsidRPr="00854E75">
        <w:rPr>
          <w:rFonts w:eastAsia="Calibri"/>
          <w:noProof/>
          <w:sz w:val="20"/>
          <w:szCs w:val="20"/>
          <w:lang w:val="es-EC" w:eastAsia="es-ES"/>
        </w:rPr>
        <w:t>.</w:t>
      </w:r>
      <w:r w:rsidR="00F328D1">
        <w:rPr>
          <w:rFonts w:eastAsia="Calibri"/>
          <w:noProof/>
          <w:sz w:val="20"/>
          <w:szCs w:val="20"/>
          <w:lang w:val="es-EC" w:eastAsia="es-ES"/>
        </w:rPr>
        <w:t xml:space="preserve"> El Tribunal constata</w:t>
      </w:r>
      <w:r>
        <w:rPr>
          <w:rFonts w:eastAsia="Calibri"/>
          <w:noProof/>
          <w:sz w:val="20"/>
          <w:szCs w:val="20"/>
          <w:lang w:val="es-EC" w:eastAsia="es-ES"/>
        </w:rPr>
        <w:t xml:space="preserve"> que e</w:t>
      </w:r>
      <w:r w:rsidR="00854E75" w:rsidRPr="00854E75">
        <w:rPr>
          <w:rFonts w:eastAsia="Calibri"/>
          <w:noProof/>
          <w:sz w:val="20"/>
          <w:szCs w:val="20"/>
          <w:lang w:val="es-EC" w:eastAsia="es-ES"/>
        </w:rPr>
        <w:t xml:space="preserve">n el período entre la denuncia y la inspección, </w:t>
      </w:r>
      <w:r w:rsidR="00D61816">
        <w:rPr>
          <w:rFonts w:eastAsia="Calibri"/>
          <w:noProof/>
          <w:sz w:val="20"/>
          <w:szCs w:val="20"/>
          <w:lang w:val="es-EC" w:eastAsia="es-ES"/>
        </w:rPr>
        <w:t xml:space="preserve">en marzo de 2000, </w:t>
      </w:r>
      <w:r w:rsidR="00854E75" w:rsidRPr="00854E75">
        <w:rPr>
          <w:rFonts w:eastAsia="Calibri"/>
          <w:noProof/>
          <w:sz w:val="20"/>
          <w:szCs w:val="20"/>
          <w:lang w:val="es-EC" w:eastAsia="es-ES"/>
        </w:rPr>
        <w:t>el Estado no logró coordinar la participación de la Policía Federal activamente, más allá de la función de protección del equipo del Ministe</w:t>
      </w:r>
      <w:r>
        <w:rPr>
          <w:rFonts w:eastAsia="Calibri"/>
          <w:noProof/>
          <w:sz w:val="20"/>
          <w:szCs w:val="20"/>
          <w:lang w:val="es-EC" w:eastAsia="es-ES"/>
        </w:rPr>
        <w:t xml:space="preserve">rio del Trabajo. </w:t>
      </w:r>
      <w:r w:rsidR="00ED2EE8">
        <w:rPr>
          <w:rFonts w:eastAsia="Calibri"/>
          <w:noProof/>
          <w:sz w:val="20"/>
          <w:szCs w:val="20"/>
          <w:lang w:val="es-EC" w:eastAsia="es-ES"/>
        </w:rPr>
        <w:t xml:space="preserve">Asimismo, </w:t>
      </w:r>
      <w:r w:rsidR="00854E75" w:rsidRPr="00854E75">
        <w:rPr>
          <w:rFonts w:eastAsia="Calibri"/>
          <w:noProof/>
          <w:sz w:val="20"/>
          <w:szCs w:val="20"/>
          <w:lang w:val="es-EC" w:eastAsia="es-ES"/>
        </w:rPr>
        <w:t>el Estado no</w:t>
      </w:r>
      <w:r>
        <w:rPr>
          <w:rFonts w:eastAsia="Calibri"/>
          <w:noProof/>
          <w:sz w:val="20"/>
          <w:szCs w:val="20"/>
          <w:lang w:val="es-EC" w:eastAsia="es-ES"/>
        </w:rPr>
        <w:t xml:space="preserve"> actuó con la debida diligencia </w:t>
      </w:r>
      <w:r w:rsidR="00854E75" w:rsidRPr="00854E75">
        <w:rPr>
          <w:rFonts w:eastAsia="Calibri"/>
          <w:noProof/>
          <w:sz w:val="20"/>
          <w:szCs w:val="20"/>
          <w:lang w:val="es-EC" w:eastAsia="es-ES"/>
        </w:rPr>
        <w:t xml:space="preserve">para prevenir la forma contemporánea de esclavitud y no actuó de acuerdo a las circunstancias del caso para poner fin a ese tipo de violación. </w:t>
      </w:r>
      <w:r>
        <w:rPr>
          <w:rFonts w:eastAsia="Calibri"/>
          <w:noProof/>
          <w:sz w:val="20"/>
          <w:szCs w:val="20"/>
          <w:lang w:val="es-EC" w:eastAsia="es-ES"/>
        </w:rPr>
        <w:t>La Corte consider</w:t>
      </w:r>
      <w:r w:rsidR="00F328D1">
        <w:rPr>
          <w:rFonts w:eastAsia="Calibri"/>
          <w:noProof/>
          <w:sz w:val="20"/>
          <w:szCs w:val="20"/>
          <w:lang w:val="es-EC" w:eastAsia="es-ES"/>
        </w:rPr>
        <w:t>a</w:t>
      </w:r>
      <w:r>
        <w:rPr>
          <w:rFonts w:eastAsia="Calibri"/>
          <w:noProof/>
          <w:sz w:val="20"/>
          <w:szCs w:val="20"/>
          <w:lang w:val="es-EC" w:eastAsia="es-ES"/>
        </w:rPr>
        <w:t xml:space="preserve"> que e</w:t>
      </w:r>
      <w:r w:rsidR="00854E75" w:rsidRPr="00854E75">
        <w:rPr>
          <w:rFonts w:eastAsia="Calibri"/>
          <w:noProof/>
          <w:sz w:val="20"/>
          <w:szCs w:val="20"/>
          <w:lang w:val="es-EC" w:eastAsia="es-ES"/>
        </w:rPr>
        <w:t>ste incumplimiento del deber de garantía es particularmente serio debido al contexto conocido por el Estado y a las obligaciones impuestas en virtud del artículo 6.1 de la Convención Americana</w:t>
      </w:r>
      <w:r>
        <w:rPr>
          <w:rFonts w:eastAsia="Calibri"/>
          <w:noProof/>
          <w:sz w:val="20"/>
          <w:szCs w:val="20"/>
          <w:lang w:val="es-EC" w:eastAsia="es-ES"/>
        </w:rPr>
        <w:t xml:space="preserve">. </w:t>
      </w:r>
      <w:r w:rsidR="00854E75" w:rsidRPr="00854E75">
        <w:rPr>
          <w:rFonts w:eastAsia="Calibri"/>
          <w:noProof/>
          <w:sz w:val="20"/>
          <w:szCs w:val="20"/>
          <w:lang w:val="es-EC" w:eastAsia="es-ES"/>
        </w:rPr>
        <w:t xml:space="preserve">En razón de lo expuesto, el Tribunal </w:t>
      </w:r>
      <w:r w:rsidR="00F328D1">
        <w:rPr>
          <w:rFonts w:eastAsia="Calibri"/>
          <w:noProof/>
          <w:sz w:val="20"/>
          <w:szCs w:val="20"/>
          <w:lang w:val="es-EC" w:eastAsia="es-ES"/>
        </w:rPr>
        <w:t>concluye</w:t>
      </w:r>
      <w:r w:rsidR="00854E75" w:rsidRPr="00854E75">
        <w:rPr>
          <w:rFonts w:eastAsia="Calibri"/>
          <w:noProof/>
          <w:sz w:val="20"/>
          <w:szCs w:val="20"/>
          <w:lang w:val="es-EC" w:eastAsia="es-ES"/>
        </w:rPr>
        <w:t xml:space="preserve"> que el Estado violó el derecho a no ser sometido a esclavitud y trata de personas, en violación del artículo 6.1 de la Convención Americana, en relación con los artículos 1.1, 3, 5, 7, 11 y 22 del mismo instrumento, en perjuicio de los 85 trabajadores rescatados </w:t>
      </w:r>
      <w:r w:rsidR="00617E05">
        <w:rPr>
          <w:rFonts w:eastAsia="Calibri"/>
          <w:noProof/>
          <w:sz w:val="20"/>
          <w:szCs w:val="20"/>
          <w:lang w:val="es-EC" w:eastAsia="es-ES"/>
        </w:rPr>
        <w:t xml:space="preserve">en el </w:t>
      </w:r>
      <w:r w:rsidR="00854E75" w:rsidRPr="00854E75">
        <w:rPr>
          <w:rFonts w:eastAsia="Calibri"/>
          <w:noProof/>
          <w:sz w:val="20"/>
          <w:szCs w:val="20"/>
          <w:lang w:val="es-EC" w:eastAsia="es-ES"/>
        </w:rPr>
        <w:t>2</w:t>
      </w:r>
      <w:r>
        <w:rPr>
          <w:rFonts w:eastAsia="Calibri"/>
          <w:noProof/>
          <w:sz w:val="20"/>
          <w:szCs w:val="20"/>
          <w:lang w:val="es-EC" w:eastAsia="es-ES"/>
        </w:rPr>
        <w:t>000 en la Hacienda</w:t>
      </w:r>
      <w:r w:rsidR="00ED2EE8">
        <w:rPr>
          <w:rFonts w:eastAsia="Calibri"/>
          <w:noProof/>
          <w:sz w:val="20"/>
          <w:szCs w:val="20"/>
          <w:lang w:val="es-EC" w:eastAsia="es-ES"/>
        </w:rPr>
        <w:t xml:space="preserve"> Brasil Verde</w:t>
      </w:r>
      <w:r w:rsidR="00854E75" w:rsidRPr="00854E75">
        <w:rPr>
          <w:rFonts w:eastAsia="Calibri"/>
          <w:noProof/>
          <w:sz w:val="20"/>
          <w:szCs w:val="20"/>
          <w:lang w:val="es-EC" w:eastAsia="es-ES"/>
        </w:rPr>
        <w:t xml:space="preserve">. </w:t>
      </w:r>
      <w:r w:rsidR="00F328D1">
        <w:rPr>
          <w:rFonts w:eastAsia="Calibri"/>
          <w:noProof/>
          <w:sz w:val="20"/>
          <w:szCs w:val="20"/>
          <w:lang w:val="es-EC" w:eastAsia="es-ES"/>
        </w:rPr>
        <w:t>A su vez, la Corte afirma</w:t>
      </w:r>
      <w:r>
        <w:rPr>
          <w:rFonts w:eastAsia="Calibri"/>
          <w:noProof/>
          <w:sz w:val="20"/>
          <w:szCs w:val="20"/>
          <w:lang w:val="es-EC" w:eastAsia="es-ES"/>
        </w:rPr>
        <w:t xml:space="preserve"> que los hechos demuestran que</w:t>
      </w:r>
      <w:r w:rsidRPr="00B32269">
        <w:rPr>
          <w:rFonts w:eastAsia="Calibri" w:cs="Times New Roman"/>
          <w:noProof/>
          <w:sz w:val="20"/>
          <w:szCs w:val="20"/>
          <w:lang w:val="es-CR" w:eastAsia="es-ES"/>
        </w:rPr>
        <w:t xml:space="preserve"> Antônio Francisco da Silva fue sometido a trabajo</w:t>
      </w:r>
      <w:r>
        <w:rPr>
          <w:rFonts w:eastAsia="Calibri" w:cs="Times New Roman"/>
          <w:noProof/>
          <w:sz w:val="20"/>
          <w:szCs w:val="20"/>
          <w:lang w:val="es-CR" w:eastAsia="es-ES"/>
        </w:rPr>
        <w:t xml:space="preserve"> infantil</w:t>
      </w:r>
      <w:r w:rsidRPr="00B32269">
        <w:rPr>
          <w:rFonts w:eastAsia="Calibri"/>
          <w:noProof/>
          <w:sz w:val="20"/>
          <w:szCs w:val="20"/>
          <w:lang w:val="es-CR" w:eastAsia="es-ES"/>
        </w:rPr>
        <w:t>,</w:t>
      </w:r>
      <w:r>
        <w:rPr>
          <w:rFonts w:eastAsia="Calibri"/>
          <w:noProof/>
          <w:sz w:val="20"/>
          <w:szCs w:val="20"/>
          <w:lang w:val="es-CR" w:eastAsia="es-ES"/>
        </w:rPr>
        <w:t xml:space="preserve"> y que el Estado</w:t>
      </w:r>
      <w:r w:rsidR="00ED2EE8">
        <w:rPr>
          <w:rFonts w:eastAsia="Calibri"/>
          <w:noProof/>
          <w:sz w:val="20"/>
          <w:szCs w:val="20"/>
          <w:lang w:val="es-CR" w:eastAsia="es-ES"/>
        </w:rPr>
        <w:t>,</w:t>
      </w:r>
      <w:r w:rsidRPr="00B32269">
        <w:rPr>
          <w:rFonts w:eastAsia="Calibri"/>
          <w:noProof/>
          <w:sz w:val="20"/>
          <w:szCs w:val="20"/>
          <w:lang w:val="es-CR" w:eastAsia="es-ES"/>
        </w:rPr>
        <w:t xml:space="preserve"> una vez </w:t>
      </w:r>
      <w:r>
        <w:rPr>
          <w:rFonts w:eastAsia="Calibri"/>
          <w:noProof/>
          <w:sz w:val="20"/>
          <w:szCs w:val="20"/>
          <w:lang w:val="es-CR" w:eastAsia="es-ES"/>
        </w:rPr>
        <w:t xml:space="preserve">habiendo </w:t>
      </w:r>
      <w:r w:rsidRPr="00B32269">
        <w:rPr>
          <w:rFonts w:eastAsia="Calibri"/>
          <w:noProof/>
          <w:sz w:val="20"/>
          <w:szCs w:val="20"/>
          <w:lang w:val="es-CR" w:eastAsia="es-ES"/>
        </w:rPr>
        <w:t>conocid</w:t>
      </w:r>
      <w:r>
        <w:rPr>
          <w:rFonts w:eastAsia="Calibri"/>
          <w:noProof/>
          <w:sz w:val="20"/>
          <w:szCs w:val="20"/>
          <w:lang w:val="es-CR" w:eastAsia="es-ES"/>
        </w:rPr>
        <w:t>o</w:t>
      </w:r>
      <w:r w:rsidRPr="00B32269">
        <w:rPr>
          <w:rFonts w:eastAsia="Calibri"/>
          <w:noProof/>
          <w:sz w:val="20"/>
          <w:szCs w:val="20"/>
          <w:lang w:val="es-CR" w:eastAsia="es-ES"/>
        </w:rPr>
        <w:t xml:space="preserve"> la situación de violencia y esclavitud a la cual el niño había sido sometido, y la posibilidad de que otros niños estuvieran en la misma condición, así como la gravedad de los hechos en cuestión, debió adoptar las medidas para poner fin a la situación y para asegurar la rehabilitación e inserción social </w:t>
      </w:r>
      <w:r>
        <w:rPr>
          <w:rFonts w:eastAsia="Calibri"/>
          <w:noProof/>
          <w:sz w:val="20"/>
          <w:szCs w:val="20"/>
          <w:lang w:val="es-CR" w:eastAsia="es-ES"/>
        </w:rPr>
        <w:t>del niño</w:t>
      </w:r>
      <w:r w:rsidRPr="00B32269">
        <w:rPr>
          <w:rFonts w:eastAsia="Calibri"/>
          <w:noProof/>
          <w:sz w:val="20"/>
          <w:szCs w:val="20"/>
          <w:lang w:val="es-CR" w:eastAsia="es-ES"/>
        </w:rPr>
        <w:t>, así como asegurar su acceso a la educación básica primaria y, de haber sido posible, a la formación profesional.</w:t>
      </w:r>
      <w:r w:rsidR="00E02630">
        <w:rPr>
          <w:rFonts w:eastAsia="Calibri"/>
          <w:noProof/>
          <w:sz w:val="20"/>
          <w:szCs w:val="20"/>
          <w:lang w:val="es-CR" w:eastAsia="es-ES"/>
        </w:rPr>
        <w:t xml:space="preserve"> </w:t>
      </w:r>
      <w:r>
        <w:rPr>
          <w:rFonts w:eastAsia="Calibri"/>
          <w:noProof/>
          <w:sz w:val="20"/>
          <w:szCs w:val="20"/>
          <w:lang w:val="es-CR" w:eastAsia="es-ES"/>
        </w:rPr>
        <w:t>Por lo que, consider</w:t>
      </w:r>
      <w:r w:rsidR="00F328D1">
        <w:rPr>
          <w:rFonts w:eastAsia="Calibri"/>
          <w:noProof/>
          <w:sz w:val="20"/>
          <w:szCs w:val="20"/>
          <w:lang w:val="es-CR" w:eastAsia="es-ES"/>
        </w:rPr>
        <w:t>a</w:t>
      </w:r>
      <w:r>
        <w:rPr>
          <w:rFonts w:eastAsia="Calibri"/>
          <w:noProof/>
          <w:sz w:val="20"/>
          <w:szCs w:val="20"/>
          <w:lang w:val="es-CR" w:eastAsia="es-ES"/>
        </w:rPr>
        <w:t xml:space="preserve"> que el Estado violó el artículo 6.1,</w:t>
      </w:r>
      <w:r w:rsidR="00854E75" w:rsidRPr="00854E75">
        <w:rPr>
          <w:rFonts w:eastAsia="Calibri"/>
          <w:noProof/>
          <w:sz w:val="20"/>
          <w:szCs w:val="20"/>
          <w:lang w:val="es-CR" w:eastAsia="es-ES"/>
        </w:rPr>
        <w:t xml:space="preserve"> en relación</w:t>
      </w:r>
      <w:r>
        <w:rPr>
          <w:rFonts w:eastAsia="Calibri"/>
          <w:noProof/>
          <w:sz w:val="20"/>
          <w:szCs w:val="20"/>
          <w:lang w:val="es-CR" w:eastAsia="es-ES"/>
        </w:rPr>
        <w:t xml:space="preserve"> también</w:t>
      </w:r>
      <w:r w:rsidR="00854E75" w:rsidRPr="00854E75">
        <w:rPr>
          <w:rFonts w:eastAsia="Calibri"/>
          <w:noProof/>
          <w:sz w:val="20"/>
          <w:szCs w:val="20"/>
          <w:lang w:val="es-CR" w:eastAsia="es-ES"/>
        </w:rPr>
        <w:t xml:space="preserve"> con el artículo 19 </w:t>
      </w:r>
      <w:r>
        <w:rPr>
          <w:rFonts w:eastAsia="Calibri"/>
          <w:noProof/>
          <w:sz w:val="20"/>
          <w:szCs w:val="20"/>
          <w:lang w:val="es-CR" w:eastAsia="es-ES"/>
        </w:rPr>
        <w:t>del mismo instrumento</w:t>
      </w:r>
      <w:r w:rsidR="00ED2EE8">
        <w:rPr>
          <w:rFonts w:eastAsia="Calibri"/>
          <w:noProof/>
          <w:sz w:val="20"/>
          <w:szCs w:val="20"/>
          <w:lang w:val="es-CR" w:eastAsia="es-ES"/>
        </w:rPr>
        <w:t xml:space="preserve"> respecto al señor da Silva</w:t>
      </w:r>
      <w:r>
        <w:rPr>
          <w:rFonts w:eastAsia="Calibri"/>
          <w:noProof/>
          <w:sz w:val="20"/>
          <w:szCs w:val="20"/>
          <w:lang w:val="es-CR" w:eastAsia="es-ES"/>
        </w:rPr>
        <w:t>.</w:t>
      </w:r>
      <w:r w:rsidR="00E02630">
        <w:rPr>
          <w:rFonts w:eastAsia="Calibri"/>
          <w:noProof/>
          <w:sz w:val="20"/>
          <w:szCs w:val="20"/>
          <w:lang w:val="es-CR" w:eastAsia="es-ES"/>
        </w:rPr>
        <w:t xml:space="preserve"> </w:t>
      </w:r>
    </w:p>
    <w:p w14:paraId="7C23A115" w14:textId="77777777" w:rsidR="00A0390A" w:rsidRDefault="00A0390A" w:rsidP="0049364E">
      <w:pPr>
        <w:pStyle w:val="PrrafodeSentencia"/>
        <w:spacing w:before="0" w:after="0"/>
        <w:rPr>
          <w:rFonts w:eastAsia="Calibri"/>
          <w:noProof/>
          <w:sz w:val="20"/>
          <w:szCs w:val="20"/>
          <w:lang w:val="es-CR" w:eastAsia="es-ES"/>
        </w:rPr>
      </w:pPr>
    </w:p>
    <w:p w14:paraId="7DE795CA" w14:textId="77777777" w:rsidR="00854E75" w:rsidRPr="00771E68" w:rsidRDefault="00AB02C6" w:rsidP="0049364E">
      <w:pPr>
        <w:pStyle w:val="PrrafodeSentencia"/>
        <w:spacing w:before="0" w:after="0"/>
        <w:rPr>
          <w:b/>
          <w:noProof/>
          <w:sz w:val="20"/>
          <w:szCs w:val="20"/>
          <w:lang w:val="es-CR" w:eastAsia="es-ES"/>
        </w:rPr>
      </w:pPr>
      <w:r>
        <w:rPr>
          <w:rFonts w:eastAsia="Calibri"/>
          <w:noProof/>
          <w:sz w:val="20"/>
          <w:szCs w:val="20"/>
          <w:lang w:val="es-CR" w:eastAsia="es-ES"/>
        </w:rPr>
        <w:t>Asimismo, l</w:t>
      </w:r>
      <w:r w:rsidR="00854E75" w:rsidRPr="00854E75">
        <w:rPr>
          <w:rFonts w:eastAsia="Calibri"/>
          <w:noProof/>
          <w:sz w:val="20"/>
          <w:szCs w:val="20"/>
          <w:lang w:val="es-CR" w:eastAsia="es-ES"/>
        </w:rPr>
        <w:t>a Corte constat</w:t>
      </w:r>
      <w:r w:rsidR="00F328D1">
        <w:rPr>
          <w:rFonts w:eastAsia="Calibri"/>
          <w:noProof/>
          <w:sz w:val="20"/>
          <w:szCs w:val="20"/>
          <w:lang w:val="es-CR" w:eastAsia="es-ES"/>
        </w:rPr>
        <w:t>a</w:t>
      </w:r>
      <w:r w:rsidR="00004913">
        <w:rPr>
          <w:noProof/>
          <w:sz w:val="20"/>
          <w:szCs w:val="20"/>
          <w:lang w:val="es-CR" w:eastAsia="es-ES"/>
        </w:rPr>
        <w:t xml:space="preserve"> que</w:t>
      </w:r>
      <w:r w:rsidR="00854E75" w:rsidRPr="00854E75">
        <w:rPr>
          <w:rFonts w:eastAsia="Calibri"/>
          <w:noProof/>
          <w:sz w:val="20"/>
          <w:szCs w:val="20"/>
          <w:lang w:val="es-CR" w:eastAsia="es-ES"/>
        </w:rPr>
        <w:t xml:space="preserve">, en el caso, </w:t>
      </w:r>
      <w:r w:rsidR="00004913">
        <w:rPr>
          <w:rFonts w:eastAsia="Calibri"/>
          <w:noProof/>
          <w:sz w:val="20"/>
          <w:szCs w:val="20"/>
          <w:lang w:val="es-CR" w:eastAsia="es-ES"/>
        </w:rPr>
        <w:t>existen</w:t>
      </w:r>
      <w:r w:rsidR="00854E75" w:rsidRPr="00854E75">
        <w:rPr>
          <w:rFonts w:eastAsia="Calibri"/>
          <w:noProof/>
          <w:sz w:val="20"/>
          <w:szCs w:val="20"/>
          <w:lang w:val="es-CR" w:eastAsia="es-ES"/>
        </w:rPr>
        <w:t xml:space="preserve"> características de particular victimización compartidas por los 85 trabajadores rescatados </w:t>
      </w:r>
      <w:r w:rsidR="00854E75">
        <w:rPr>
          <w:rFonts w:eastAsia="Calibri"/>
          <w:noProof/>
          <w:sz w:val="20"/>
          <w:szCs w:val="20"/>
          <w:lang w:val="es-CR" w:eastAsia="es-ES"/>
        </w:rPr>
        <w:t>en el</w:t>
      </w:r>
      <w:r w:rsidR="00854E75" w:rsidRPr="00854E75">
        <w:rPr>
          <w:rFonts w:eastAsia="Calibri"/>
          <w:noProof/>
          <w:sz w:val="20"/>
          <w:szCs w:val="20"/>
          <w:lang w:val="es-CR" w:eastAsia="es-ES"/>
        </w:rPr>
        <w:t xml:space="preserve"> 2000</w:t>
      </w:r>
      <w:r w:rsidR="00771E68">
        <w:rPr>
          <w:noProof/>
          <w:sz w:val="20"/>
          <w:szCs w:val="20"/>
          <w:lang w:val="es-CR" w:eastAsia="es-ES"/>
        </w:rPr>
        <w:t xml:space="preserve"> </w:t>
      </w:r>
      <w:r w:rsidR="00771E68">
        <w:rPr>
          <w:b/>
          <w:noProof/>
          <w:sz w:val="20"/>
          <w:szCs w:val="20"/>
          <w:lang w:val="es-CR" w:eastAsia="es-ES"/>
        </w:rPr>
        <w:t xml:space="preserve"> </w:t>
      </w:r>
      <w:r w:rsidR="00771E68">
        <w:rPr>
          <w:noProof/>
          <w:sz w:val="20"/>
          <w:szCs w:val="20"/>
          <w:lang w:val="es-CR" w:eastAsia="es-ES"/>
        </w:rPr>
        <w:t xml:space="preserve">y </w:t>
      </w:r>
      <w:r w:rsidR="00771E68" w:rsidRPr="00771E68">
        <w:rPr>
          <w:noProof/>
          <w:sz w:val="20"/>
          <w:szCs w:val="20"/>
          <w:lang w:val="es-CR" w:eastAsia="es-ES"/>
        </w:rPr>
        <w:t>estim</w:t>
      </w:r>
      <w:r w:rsidR="00F328D1">
        <w:rPr>
          <w:noProof/>
          <w:sz w:val="20"/>
          <w:szCs w:val="20"/>
          <w:lang w:val="es-CR" w:eastAsia="es-ES"/>
        </w:rPr>
        <w:t>a</w:t>
      </w:r>
      <w:r w:rsidR="00771E68" w:rsidRPr="00771E68">
        <w:rPr>
          <w:noProof/>
          <w:sz w:val="20"/>
          <w:szCs w:val="20"/>
          <w:lang w:val="es-CR" w:eastAsia="es-ES"/>
        </w:rPr>
        <w:t xml:space="preserve"> que el Estado no consideró la vulnerabilidad de </w:t>
      </w:r>
      <w:r w:rsidR="00771E68">
        <w:rPr>
          <w:noProof/>
          <w:sz w:val="20"/>
          <w:szCs w:val="20"/>
          <w:lang w:val="es-CR" w:eastAsia="es-ES"/>
        </w:rPr>
        <w:t>dichos trabajadores</w:t>
      </w:r>
      <w:r w:rsidR="00771E68" w:rsidRPr="00771E68">
        <w:rPr>
          <w:noProof/>
          <w:sz w:val="20"/>
          <w:szCs w:val="20"/>
          <w:lang w:val="es-CR" w:eastAsia="es-ES"/>
        </w:rPr>
        <w:t>, en virtud de la discriminación en razón de la posición económica a la que estaban sometidos.</w:t>
      </w:r>
      <w:r w:rsidR="00771E68">
        <w:rPr>
          <w:noProof/>
          <w:sz w:val="20"/>
          <w:szCs w:val="20"/>
          <w:lang w:val="es-CR" w:eastAsia="es-ES"/>
        </w:rPr>
        <w:t xml:space="preserve"> Por lo que </w:t>
      </w:r>
      <w:r w:rsidR="00F328D1">
        <w:rPr>
          <w:noProof/>
          <w:sz w:val="20"/>
          <w:szCs w:val="20"/>
          <w:lang w:val="es-CR" w:eastAsia="es-ES"/>
        </w:rPr>
        <w:t>concluye</w:t>
      </w:r>
      <w:r w:rsidR="00771E68">
        <w:rPr>
          <w:noProof/>
          <w:sz w:val="20"/>
          <w:szCs w:val="20"/>
          <w:lang w:val="es-CR" w:eastAsia="es-ES"/>
        </w:rPr>
        <w:t xml:space="preserve"> que </w:t>
      </w:r>
      <w:r w:rsidR="00854E75" w:rsidRPr="00854E75">
        <w:rPr>
          <w:rFonts w:eastAsia="Calibri"/>
          <w:noProof/>
          <w:sz w:val="20"/>
          <w:szCs w:val="20"/>
          <w:lang w:val="es-CR" w:eastAsia="es-ES"/>
        </w:rPr>
        <w:t xml:space="preserve">Brasil es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 </w:t>
      </w:r>
      <w:r w:rsidR="00854E75">
        <w:rPr>
          <w:rFonts w:eastAsia="Calibri"/>
          <w:noProof/>
          <w:sz w:val="20"/>
          <w:szCs w:val="20"/>
          <w:lang w:val="es-CR" w:eastAsia="es-ES"/>
        </w:rPr>
        <w:t xml:space="preserve">en la </w:t>
      </w:r>
      <w:r w:rsidR="00854E75" w:rsidRPr="00854E75">
        <w:rPr>
          <w:rFonts w:eastAsia="Calibri"/>
          <w:noProof/>
          <w:sz w:val="20"/>
          <w:szCs w:val="20"/>
          <w:lang w:val="es-CR" w:eastAsia="es-ES"/>
        </w:rPr>
        <w:t>Sentencia.</w:t>
      </w:r>
      <w:r w:rsidR="00771E68">
        <w:rPr>
          <w:rFonts w:eastAsia="Calibri"/>
          <w:noProof/>
          <w:sz w:val="20"/>
          <w:szCs w:val="20"/>
          <w:lang w:val="es-CR" w:eastAsia="es-ES"/>
        </w:rPr>
        <w:t xml:space="preserve"> </w:t>
      </w:r>
    </w:p>
    <w:p w14:paraId="386A6DA1" w14:textId="77777777" w:rsidR="00A0390A" w:rsidRDefault="00A0390A" w:rsidP="0049364E">
      <w:pPr>
        <w:pStyle w:val="PrrafodeSentencia"/>
        <w:spacing w:before="0" w:after="0"/>
        <w:rPr>
          <w:rFonts w:eastAsia="Calibri" w:cs="Times New Roman"/>
          <w:noProof/>
          <w:sz w:val="20"/>
          <w:szCs w:val="20"/>
          <w:lang w:val="es-ES_tradnl" w:eastAsia="es-ES"/>
        </w:rPr>
      </w:pPr>
    </w:p>
    <w:p w14:paraId="65FC8E15" w14:textId="77777777" w:rsidR="00FD73DD" w:rsidRDefault="00004913" w:rsidP="0049364E">
      <w:pPr>
        <w:pStyle w:val="PrrafodeSentencia"/>
        <w:spacing w:before="0" w:after="0"/>
        <w:rPr>
          <w:rFonts w:eastAsia="Calibri" w:cs="Times New Roman"/>
          <w:b/>
          <w:sz w:val="20"/>
          <w:szCs w:val="20"/>
          <w:lang w:val="es-ES" w:eastAsia="en-US"/>
        </w:rPr>
      </w:pPr>
      <w:r>
        <w:rPr>
          <w:rFonts w:eastAsia="Calibri" w:cs="Times New Roman"/>
          <w:noProof/>
          <w:sz w:val="20"/>
          <w:szCs w:val="20"/>
          <w:lang w:val="es-ES_tradnl" w:eastAsia="es-ES"/>
        </w:rPr>
        <w:lastRenderedPageBreak/>
        <w:t>Por otro lado, l</w:t>
      </w:r>
      <w:r w:rsidR="00FD73DD" w:rsidRPr="00FD73DD">
        <w:rPr>
          <w:rFonts w:eastAsia="Calibri" w:cs="Times New Roman"/>
          <w:noProof/>
          <w:sz w:val="20"/>
          <w:szCs w:val="20"/>
          <w:lang w:val="es-CR" w:eastAsia="es-ES"/>
        </w:rPr>
        <w:t>a Corte analiz</w:t>
      </w:r>
      <w:r w:rsidR="00FD73DD">
        <w:rPr>
          <w:rFonts w:eastAsia="Calibri" w:cs="Times New Roman"/>
          <w:noProof/>
          <w:sz w:val="20"/>
          <w:szCs w:val="20"/>
          <w:lang w:val="es-CR" w:eastAsia="es-ES"/>
        </w:rPr>
        <w:t>ó</w:t>
      </w:r>
      <w:r w:rsidR="00FD73DD" w:rsidRPr="00FD73DD">
        <w:rPr>
          <w:rFonts w:eastAsia="Calibri" w:cs="Times New Roman"/>
          <w:noProof/>
          <w:sz w:val="20"/>
          <w:szCs w:val="20"/>
          <w:lang w:val="es-CR" w:eastAsia="es-ES"/>
        </w:rPr>
        <w:t xml:space="preserve"> las actuaciones a partir de 10 de diciembre de 1998 realizadas: i) en el proceso penal No. 1997.39.01.831-3 y la Acción Civil Pública, iniciados en 1997, respecto de la inspección de 10 de marzo de 1997; ii) los procesos iniciados en virtud de la inspección de 15 de marzo de 2000.</w:t>
      </w:r>
      <w:r w:rsidR="00FD73DD" w:rsidRPr="00FD73DD">
        <w:rPr>
          <w:rFonts w:eastAsia="Calibri" w:cs="Times New Roman"/>
          <w:b/>
          <w:noProof/>
          <w:sz w:val="20"/>
          <w:szCs w:val="20"/>
          <w:lang w:val="es-CR" w:eastAsia="es-ES"/>
        </w:rPr>
        <w:t xml:space="preserve"> </w:t>
      </w:r>
      <w:r w:rsidR="00FD73DD" w:rsidRPr="00360678">
        <w:rPr>
          <w:rFonts w:eastAsia="Calibri" w:cs="Times New Roman"/>
          <w:sz w:val="20"/>
          <w:szCs w:val="20"/>
          <w:lang w:val="es-MX" w:eastAsia="en-US"/>
        </w:rPr>
        <w:t>A raíz de ello la Corte establec</w:t>
      </w:r>
      <w:r w:rsidR="00F328D1">
        <w:rPr>
          <w:rFonts w:eastAsia="Calibri" w:cs="Times New Roman"/>
          <w:sz w:val="20"/>
          <w:szCs w:val="20"/>
          <w:lang w:val="es-MX" w:eastAsia="en-US"/>
        </w:rPr>
        <w:t>e</w:t>
      </w:r>
      <w:r w:rsidR="00FD73DD" w:rsidRPr="00360678">
        <w:rPr>
          <w:rFonts w:eastAsia="Calibri" w:cs="Times New Roman"/>
          <w:sz w:val="20"/>
          <w:szCs w:val="20"/>
          <w:lang w:val="es-MX" w:eastAsia="en-US"/>
        </w:rPr>
        <w:t xml:space="preserve"> que en el presente caso existía una obligación de actuar con la debida diligencia, que era excepcional debido a la particular situación de vulnerabilidad en que se encontraban los trabajadores y a la extrema gravedad de la situación que le fue denunciada, y que esta obligación no fue cumplida por el Estado. Por lo anterior, </w:t>
      </w:r>
      <w:r w:rsidR="00A43B41">
        <w:rPr>
          <w:rFonts w:eastAsia="Calibri" w:cs="Times New Roman"/>
          <w:sz w:val="20"/>
          <w:szCs w:val="20"/>
          <w:lang w:val="es-MX" w:eastAsia="en-US"/>
        </w:rPr>
        <w:t xml:space="preserve">la Corte </w:t>
      </w:r>
      <w:r w:rsidR="00FD73DD" w:rsidRPr="00360678">
        <w:rPr>
          <w:rFonts w:eastAsia="Calibri" w:cs="Times New Roman"/>
          <w:sz w:val="20"/>
          <w:szCs w:val="20"/>
          <w:lang w:val="es-MX" w:eastAsia="en-US"/>
        </w:rPr>
        <w:t>concluy</w:t>
      </w:r>
      <w:r w:rsidR="00F328D1">
        <w:rPr>
          <w:rFonts w:eastAsia="Calibri" w:cs="Times New Roman"/>
          <w:sz w:val="20"/>
          <w:szCs w:val="20"/>
          <w:lang w:val="es-MX" w:eastAsia="en-US"/>
        </w:rPr>
        <w:t>e</w:t>
      </w:r>
      <w:r w:rsidR="00FD73DD" w:rsidRPr="00360678">
        <w:rPr>
          <w:rFonts w:eastAsia="Calibri" w:cs="Times New Roman"/>
          <w:sz w:val="20"/>
          <w:szCs w:val="20"/>
          <w:lang w:val="es-MX" w:eastAsia="en-US"/>
        </w:rPr>
        <w:t xml:space="preserve"> que el Estado vulneró la garantía judicial de debida diligencia</w:t>
      </w:r>
      <w:r w:rsidR="00157137" w:rsidRPr="00360678">
        <w:rPr>
          <w:rFonts w:eastAsia="Calibri" w:cs="Times New Roman"/>
          <w:sz w:val="20"/>
          <w:szCs w:val="20"/>
          <w:lang w:val="es-MX" w:eastAsia="en-US"/>
        </w:rPr>
        <w:t xml:space="preserve"> y la garantía judicial al plazo razonable</w:t>
      </w:r>
      <w:r w:rsidR="00FD73DD" w:rsidRPr="00360678">
        <w:rPr>
          <w:rFonts w:eastAsia="Calibri" w:cs="Times New Roman"/>
          <w:sz w:val="20"/>
          <w:szCs w:val="20"/>
          <w:lang w:val="es-MX" w:eastAsia="en-US"/>
        </w:rPr>
        <w:t>, prevista</w:t>
      </w:r>
      <w:r w:rsidR="00157137" w:rsidRPr="00360678">
        <w:rPr>
          <w:rFonts w:eastAsia="Calibri" w:cs="Times New Roman"/>
          <w:sz w:val="20"/>
          <w:szCs w:val="20"/>
          <w:lang w:val="es-MX" w:eastAsia="en-US"/>
        </w:rPr>
        <w:t>s</w:t>
      </w:r>
      <w:r w:rsidR="00FD73DD" w:rsidRPr="00360678">
        <w:rPr>
          <w:rFonts w:eastAsia="Calibri" w:cs="Times New Roman"/>
          <w:sz w:val="20"/>
          <w:szCs w:val="20"/>
          <w:lang w:val="es-MX" w:eastAsia="en-US"/>
        </w:rPr>
        <w:t xml:space="preserve"> en el artículo 8.1 de la Convención Americana, en relación con el artículo 1.1 del mismo instrumento, en perjuicio de los 43 trabajadores </w:t>
      </w:r>
      <w:proofErr w:type="gramStart"/>
      <w:r w:rsidR="00FD73DD" w:rsidRPr="00360678">
        <w:rPr>
          <w:rFonts w:eastAsia="Calibri" w:cs="Times New Roman"/>
          <w:sz w:val="20"/>
          <w:szCs w:val="20"/>
          <w:lang w:val="es-MX" w:eastAsia="en-US"/>
        </w:rPr>
        <w:t>que</w:t>
      </w:r>
      <w:proofErr w:type="gramEnd"/>
      <w:r w:rsidR="00FD73DD" w:rsidRPr="00360678">
        <w:rPr>
          <w:rFonts w:eastAsia="Calibri" w:cs="Times New Roman"/>
          <w:sz w:val="20"/>
          <w:szCs w:val="20"/>
          <w:lang w:val="es-MX" w:eastAsia="en-US"/>
        </w:rPr>
        <w:t xml:space="preserve"> </w:t>
      </w:r>
      <w:r w:rsidR="00A43B41">
        <w:rPr>
          <w:rFonts w:eastAsia="Calibri" w:cs="Times New Roman"/>
          <w:sz w:val="20"/>
          <w:szCs w:val="20"/>
          <w:lang w:val="es-MX" w:eastAsia="en-US"/>
        </w:rPr>
        <w:t xml:space="preserve">rescatados </w:t>
      </w:r>
      <w:r w:rsidR="00FD73DD" w:rsidRPr="00360678">
        <w:rPr>
          <w:rFonts w:eastAsia="Calibri" w:cs="Times New Roman"/>
          <w:sz w:val="20"/>
          <w:szCs w:val="20"/>
          <w:lang w:val="es-MX" w:eastAsia="en-US"/>
        </w:rPr>
        <w:t>durante la fisca</w:t>
      </w:r>
      <w:r w:rsidR="00935379">
        <w:rPr>
          <w:rFonts w:eastAsia="Calibri" w:cs="Times New Roman"/>
          <w:sz w:val="20"/>
          <w:szCs w:val="20"/>
          <w:lang w:val="es-MX" w:eastAsia="en-US"/>
        </w:rPr>
        <w:t xml:space="preserve">lización de 23 de abril de 1997, </w:t>
      </w:r>
      <w:r w:rsidR="00FD73DD" w:rsidRPr="00360678">
        <w:rPr>
          <w:rFonts w:eastAsia="Calibri" w:cs="Times New Roman"/>
          <w:sz w:val="20"/>
          <w:szCs w:val="20"/>
          <w:lang w:val="es-MX" w:eastAsia="en-US"/>
        </w:rPr>
        <w:t xml:space="preserve">identificados por la Corte. </w:t>
      </w:r>
    </w:p>
    <w:p w14:paraId="24E3983E" w14:textId="77777777" w:rsidR="00A0390A" w:rsidRDefault="00A0390A" w:rsidP="0049364E">
      <w:pPr>
        <w:pStyle w:val="Prrafodelista"/>
        <w:autoSpaceDE w:val="0"/>
        <w:autoSpaceDN w:val="0"/>
        <w:adjustRightInd w:val="0"/>
        <w:ind w:left="0"/>
        <w:jc w:val="both"/>
        <w:rPr>
          <w:rFonts w:ascii="Verdana" w:hAnsi="Verdana" w:cs="Arial"/>
          <w:sz w:val="20"/>
          <w:szCs w:val="20"/>
          <w:lang w:val="es-CR"/>
        </w:rPr>
      </w:pPr>
    </w:p>
    <w:p w14:paraId="4A54497B" w14:textId="77777777" w:rsidR="00360678" w:rsidRDefault="006B1AC5" w:rsidP="0049364E">
      <w:pPr>
        <w:pStyle w:val="Prrafodelista"/>
        <w:autoSpaceDE w:val="0"/>
        <w:autoSpaceDN w:val="0"/>
        <w:adjustRightInd w:val="0"/>
        <w:ind w:left="0"/>
        <w:jc w:val="both"/>
        <w:rPr>
          <w:rFonts w:ascii="Verdana" w:hAnsi="Verdana"/>
          <w:sz w:val="20"/>
          <w:szCs w:val="20"/>
          <w:lang w:val="es-MX"/>
        </w:rPr>
      </w:pPr>
      <w:r w:rsidRPr="00360678">
        <w:rPr>
          <w:rFonts w:ascii="Verdana" w:hAnsi="Verdana" w:cs="Arial"/>
          <w:sz w:val="20"/>
          <w:szCs w:val="20"/>
          <w:lang w:val="es-CR"/>
        </w:rPr>
        <w:t>Además, la Corte advi</w:t>
      </w:r>
      <w:r w:rsidR="00F328D1">
        <w:rPr>
          <w:rFonts w:ascii="Verdana" w:hAnsi="Verdana" w:cs="Arial"/>
          <w:sz w:val="20"/>
          <w:szCs w:val="20"/>
          <w:lang w:val="es-CR"/>
        </w:rPr>
        <w:t>e</w:t>
      </w:r>
      <w:r w:rsidRPr="00360678">
        <w:rPr>
          <w:rFonts w:ascii="Verdana" w:hAnsi="Verdana" w:cs="Arial"/>
          <w:sz w:val="20"/>
          <w:szCs w:val="20"/>
          <w:lang w:val="es-CR"/>
        </w:rPr>
        <w:t>rt</w:t>
      </w:r>
      <w:r w:rsidR="00F328D1">
        <w:rPr>
          <w:rFonts w:ascii="Verdana" w:hAnsi="Verdana" w:cs="Arial"/>
          <w:sz w:val="20"/>
          <w:szCs w:val="20"/>
          <w:lang w:val="es-CR"/>
        </w:rPr>
        <w:t>e</w:t>
      </w:r>
      <w:r w:rsidRPr="00360678">
        <w:rPr>
          <w:rFonts w:ascii="Verdana" w:hAnsi="Verdana" w:cs="Arial"/>
          <w:sz w:val="20"/>
          <w:szCs w:val="20"/>
          <w:lang w:val="es-CR"/>
        </w:rPr>
        <w:t xml:space="preserve"> que ninguno de los procedimientos de los que recibió información determinó algún tipo de responsabilidad respecto de las conductas denunciadas, ni fue un medio para obtener la reparación de daño a las víctimas, debido a que en ninguno de los procesos se realizó un estudio de fondo de cada cuestión planteada</w:t>
      </w:r>
      <w:r w:rsidRPr="00A43B41">
        <w:rPr>
          <w:rFonts w:ascii="Verdana" w:hAnsi="Verdana" w:cs="Arial"/>
          <w:sz w:val="20"/>
          <w:szCs w:val="20"/>
          <w:lang w:val="es-CR"/>
        </w:rPr>
        <w:t>.</w:t>
      </w:r>
      <w:r w:rsidRPr="00A43B41">
        <w:rPr>
          <w:rFonts w:ascii="Verdana" w:hAnsi="Verdana" w:cs="Arial"/>
          <w:b/>
          <w:bCs/>
          <w:iCs/>
          <w:sz w:val="20"/>
          <w:szCs w:val="20"/>
        </w:rPr>
        <w:t xml:space="preserve"> </w:t>
      </w:r>
      <w:r>
        <w:rPr>
          <w:rFonts w:ascii="Verdana" w:hAnsi="Verdana" w:cs="Arial"/>
          <w:sz w:val="20"/>
          <w:szCs w:val="20"/>
          <w:lang w:val="es-CR"/>
        </w:rPr>
        <w:t>De igual modo</w:t>
      </w:r>
      <w:r w:rsidR="00360678">
        <w:rPr>
          <w:rFonts w:ascii="Verdana" w:hAnsi="Verdana" w:cs="Arial"/>
          <w:sz w:val="20"/>
          <w:szCs w:val="20"/>
          <w:lang w:val="es-CR"/>
        </w:rPr>
        <w:t>,</w:t>
      </w:r>
      <w:r>
        <w:rPr>
          <w:rFonts w:ascii="Verdana" w:hAnsi="Verdana" w:cs="Arial"/>
          <w:sz w:val="20"/>
          <w:szCs w:val="20"/>
          <w:lang w:val="es-CR"/>
        </w:rPr>
        <w:t xml:space="preserve"> se estableció que</w:t>
      </w:r>
      <w:r w:rsidRPr="006B1AC5">
        <w:rPr>
          <w:rFonts w:ascii="Verdana" w:hAnsi="Verdana" w:cs="Arial"/>
          <w:sz w:val="20"/>
          <w:szCs w:val="20"/>
          <w:lang w:val="es-CR"/>
        </w:rPr>
        <w:t xml:space="preserve"> </w:t>
      </w:r>
      <w:r w:rsidR="00360678">
        <w:rPr>
          <w:rFonts w:ascii="Verdana" w:hAnsi="Verdana" w:cs="Arial"/>
          <w:sz w:val="20"/>
          <w:szCs w:val="20"/>
          <w:lang w:val="es-CR"/>
        </w:rPr>
        <w:t xml:space="preserve">la </w:t>
      </w:r>
      <w:r w:rsidRPr="006B1AC5">
        <w:rPr>
          <w:rFonts w:ascii="Verdana" w:hAnsi="Verdana" w:cs="Arial"/>
          <w:sz w:val="20"/>
          <w:szCs w:val="20"/>
          <w:lang w:val="es-CR"/>
        </w:rPr>
        <w:t xml:space="preserve">aplicación de la prescripción </w:t>
      </w:r>
      <w:r>
        <w:rPr>
          <w:rFonts w:ascii="Verdana" w:hAnsi="Verdana" w:cs="Arial"/>
          <w:sz w:val="20"/>
          <w:szCs w:val="20"/>
          <w:lang w:val="es-CR"/>
        </w:rPr>
        <w:t xml:space="preserve">de los procesos </w:t>
      </w:r>
      <w:r w:rsidRPr="006B1AC5">
        <w:rPr>
          <w:rFonts w:ascii="Verdana" w:hAnsi="Verdana" w:cs="Arial"/>
          <w:sz w:val="20"/>
          <w:szCs w:val="20"/>
          <w:lang w:val="es-CR"/>
        </w:rPr>
        <w:t>constituyó un obstáculo para la investigación de los hechos, la determinación y sanción de los responsables y la reparación de las víctimas, a pesar del carácter de delito de derecho internacional que representaban los hechos denunciados</w:t>
      </w:r>
      <w:r>
        <w:rPr>
          <w:rFonts w:ascii="Verdana" w:hAnsi="Verdana" w:cs="Arial"/>
          <w:sz w:val="20"/>
          <w:szCs w:val="20"/>
          <w:lang w:val="es-CR"/>
        </w:rPr>
        <w:t xml:space="preserve">. </w:t>
      </w:r>
      <w:r w:rsidR="00A43B41">
        <w:rPr>
          <w:rFonts w:ascii="Verdana" w:hAnsi="Verdana" w:cs="Arial"/>
          <w:noProof/>
          <w:sz w:val="20"/>
          <w:szCs w:val="20"/>
          <w:lang w:val="es-CR"/>
        </w:rPr>
        <w:t>L</w:t>
      </w:r>
      <w:r w:rsidR="00360678" w:rsidRPr="00360678">
        <w:rPr>
          <w:rFonts w:ascii="Verdana" w:hAnsi="Verdana" w:cs="Arial"/>
          <w:noProof/>
          <w:sz w:val="20"/>
          <w:szCs w:val="20"/>
          <w:lang w:val="es-CR"/>
        </w:rPr>
        <w:t xml:space="preserve">a Corte </w:t>
      </w:r>
      <w:r w:rsidR="00A43B41">
        <w:rPr>
          <w:rFonts w:ascii="Verdana" w:hAnsi="Verdana" w:cs="Arial"/>
          <w:noProof/>
          <w:sz w:val="20"/>
          <w:szCs w:val="20"/>
          <w:lang w:val="es-CR"/>
        </w:rPr>
        <w:t xml:space="preserve">también </w:t>
      </w:r>
      <w:r w:rsidR="00360678" w:rsidRPr="00360678">
        <w:rPr>
          <w:rFonts w:ascii="Verdana" w:hAnsi="Verdana" w:cs="Arial"/>
          <w:noProof/>
          <w:sz w:val="20"/>
          <w:szCs w:val="20"/>
          <w:lang w:val="es-CR"/>
        </w:rPr>
        <w:t>consider</w:t>
      </w:r>
      <w:r w:rsidR="00C04B5D">
        <w:rPr>
          <w:rFonts w:ascii="Verdana" w:hAnsi="Verdana" w:cs="Arial"/>
          <w:noProof/>
          <w:sz w:val="20"/>
          <w:szCs w:val="20"/>
          <w:lang w:val="es-CR"/>
        </w:rPr>
        <w:t>a</w:t>
      </w:r>
      <w:r w:rsidR="00360678" w:rsidRPr="00360678">
        <w:rPr>
          <w:rFonts w:ascii="Verdana" w:hAnsi="Verdana" w:cs="Arial"/>
          <w:noProof/>
          <w:sz w:val="20"/>
          <w:szCs w:val="20"/>
          <w:lang w:val="es-CR"/>
        </w:rPr>
        <w:t xml:space="preserve"> que la falta de acción y de sanción de estos hechos puede explicarse </w:t>
      </w:r>
      <w:r w:rsidR="00A43B41">
        <w:rPr>
          <w:rFonts w:ascii="Verdana" w:hAnsi="Verdana" w:cs="Arial"/>
          <w:noProof/>
          <w:sz w:val="20"/>
          <w:szCs w:val="20"/>
          <w:lang w:val="es-CR"/>
        </w:rPr>
        <w:t xml:space="preserve">en vitrud </w:t>
      </w:r>
      <w:r w:rsidR="00360678" w:rsidRPr="00360678">
        <w:rPr>
          <w:rFonts w:ascii="Verdana" w:hAnsi="Verdana" w:cs="Arial"/>
          <w:noProof/>
          <w:sz w:val="20"/>
          <w:szCs w:val="20"/>
          <w:lang w:val="es-CR"/>
        </w:rPr>
        <w:t xml:space="preserve">de una normalización de las condiciones a las que continuamente eran sometidas personas con determinadas características en los estados más pobres </w:t>
      </w:r>
      <w:r w:rsidR="00360678">
        <w:rPr>
          <w:rFonts w:ascii="Verdana" w:hAnsi="Verdana" w:cs="Arial"/>
          <w:noProof/>
          <w:sz w:val="20"/>
          <w:szCs w:val="20"/>
          <w:lang w:val="es-CR"/>
        </w:rPr>
        <w:t xml:space="preserve">y </w:t>
      </w:r>
      <w:r w:rsidR="00360678" w:rsidRPr="00360678">
        <w:rPr>
          <w:rFonts w:ascii="Verdana" w:hAnsi="Verdana"/>
          <w:sz w:val="20"/>
          <w:szCs w:val="20"/>
          <w:lang w:val="es-MX"/>
        </w:rPr>
        <w:t>constató que las víctimas de la inspección del año 2000 compartían estas características, las cuales los colocaban en situación de vulnerabilidad. Por lo anterior, la Corte concluy</w:t>
      </w:r>
      <w:r w:rsidR="00C04B5D">
        <w:rPr>
          <w:rFonts w:ascii="Verdana" w:hAnsi="Verdana"/>
          <w:sz w:val="20"/>
          <w:szCs w:val="20"/>
          <w:lang w:val="es-MX"/>
        </w:rPr>
        <w:t>e</w:t>
      </w:r>
      <w:r w:rsidR="00360678" w:rsidRPr="00360678">
        <w:rPr>
          <w:rFonts w:ascii="Verdana" w:hAnsi="Verdana"/>
          <w:sz w:val="20"/>
          <w:szCs w:val="20"/>
          <w:lang w:val="es-MX"/>
        </w:rPr>
        <w:t xml:space="preserve"> que el Estado vulneró el derecho a la protección judicial, prevista en el artículo 25 de la Convención Americana, en relación con los artículos 1.1 y 2 del mismo instrumento, en perjuicio de: a) los 43 trabajadores rescatados durante la fiscalización de 1997 </w:t>
      </w:r>
      <w:r w:rsidR="00935379">
        <w:rPr>
          <w:rFonts w:ascii="Verdana" w:hAnsi="Verdana"/>
          <w:sz w:val="20"/>
          <w:szCs w:val="20"/>
          <w:lang w:val="es-MX"/>
        </w:rPr>
        <w:t>e</w:t>
      </w:r>
      <w:r w:rsidR="00360678" w:rsidRPr="00360678">
        <w:rPr>
          <w:rFonts w:ascii="Verdana" w:hAnsi="Verdana"/>
          <w:sz w:val="20"/>
          <w:szCs w:val="20"/>
          <w:lang w:val="es-MX"/>
        </w:rPr>
        <w:t xml:space="preserve"> identificados por la Corte, y b) los 85 trabajadores rescatados durante la fiscalización de 2000 </w:t>
      </w:r>
      <w:r w:rsidR="00935379">
        <w:rPr>
          <w:rFonts w:ascii="Verdana" w:hAnsi="Verdana"/>
          <w:sz w:val="20"/>
          <w:szCs w:val="20"/>
          <w:lang w:val="es-MX"/>
        </w:rPr>
        <w:t>e</w:t>
      </w:r>
      <w:r w:rsidR="00360678" w:rsidRPr="00360678">
        <w:rPr>
          <w:rFonts w:ascii="Verdana" w:hAnsi="Verdana"/>
          <w:sz w:val="20"/>
          <w:szCs w:val="20"/>
          <w:lang w:val="es-MX"/>
        </w:rPr>
        <w:t xml:space="preserve"> identificados por la Corte. Además, la Corte concluy</w:t>
      </w:r>
      <w:r w:rsidR="00C04B5D">
        <w:rPr>
          <w:rFonts w:ascii="Verdana" w:hAnsi="Verdana"/>
          <w:sz w:val="20"/>
          <w:szCs w:val="20"/>
          <w:lang w:val="es-MX"/>
        </w:rPr>
        <w:t>e</w:t>
      </w:r>
      <w:r w:rsidR="00360678" w:rsidRPr="00360678">
        <w:rPr>
          <w:rFonts w:ascii="Verdana" w:hAnsi="Verdana"/>
          <w:sz w:val="20"/>
          <w:szCs w:val="20"/>
          <w:lang w:val="es-MX"/>
        </w:rPr>
        <w:t xml:space="preserve"> que respecto a </w:t>
      </w:r>
      <w:proofErr w:type="spellStart"/>
      <w:r w:rsidR="00360678" w:rsidRPr="00360678">
        <w:rPr>
          <w:rFonts w:ascii="Verdana" w:hAnsi="Verdana"/>
          <w:sz w:val="20"/>
          <w:szCs w:val="20"/>
          <w:lang w:val="es-MX"/>
        </w:rPr>
        <w:t>Antônio</w:t>
      </w:r>
      <w:proofErr w:type="spellEnd"/>
      <w:r w:rsidR="00360678" w:rsidRPr="00360678">
        <w:rPr>
          <w:rFonts w:ascii="Verdana" w:hAnsi="Verdana"/>
          <w:sz w:val="20"/>
          <w:szCs w:val="20"/>
          <w:lang w:val="es-MX"/>
        </w:rPr>
        <w:t xml:space="preserve"> </w:t>
      </w:r>
      <w:r w:rsidR="00935379">
        <w:rPr>
          <w:rFonts w:ascii="Verdana" w:hAnsi="Verdana"/>
          <w:sz w:val="20"/>
          <w:szCs w:val="20"/>
          <w:lang w:val="es-MX"/>
        </w:rPr>
        <w:t>Francisco da Silva,</w:t>
      </w:r>
      <w:r w:rsidR="00360678" w:rsidRPr="00360678">
        <w:rPr>
          <w:rFonts w:ascii="Verdana" w:hAnsi="Verdana"/>
          <w:sz w:val="20"/>
          <w:szCs w:val="20"/>
          <w:lang w:val="es-MX"/>
        </w:rPr>
        <w:t xml:space="preserve"> la violación del artículo 25 de la Convención Americana está también relacionada al artículo 19 del mismo instrumento.</w:t>
      </w:r>
    </w:p>
    <w:p w14:paraId="1E93CE0D" w14:textId="77777777" w:rsidR="00004913" w:rsidRDefault="00004913" w:rsidP="0049364E">
      <w:pPr>
        <w:pStyle w:val="Prrafodelista"/>
        <w:autoSpaceDE w:val="0"/>
        <w:autoSpaceDN w:val="0"/>
        <w:adjustRightInd w:val="0"/>
        <w:ind w:left="0"/>
        <w:jc w:val="both"/>
        <w:rPr>
          <w:rFonts w:ascii="Verdana" w:hAnsi="Verdana"/>
          <w:sz w:val="20"/>
          <w:szCs w:val="20"/>
          <w:lang w:val="es-MX"/>
        </w:rPr>
      </w:pPr>
    </w:p>
    <w:p w14:paraId="27547E73" w14:textId="77777777" w:rsidR="007F1A8B" w:rsidRPr="007F1A8B" w:rsidRDefault="00A43B41" w:rsidP="0049364E">
      <w:pPr>
        <w:pStyle w:val="Prrafodelista"/>
        <w:autoSpaceDE w:val="0"/>
        <w:autoSpaceDN w:val="0"/>
        <w:adjustRightInd w:val="0"/>
        <w:ind w:left="0"/>
        <w:jc w:val="both"/>
        <w:rPr>
          <w:rFonts w:ascii="Verdana" w:hAnsi="Verdana" w:cs="Arial"/>
          <w:iCs/>
          <w:sz w:val="20"/>
          <w:szCs w:val="20"/>
          <w:lang w:val="es-CR"/>
        </w:rPr>
      </w:pPr>
      <w:r>
        <w:rPr>
          <w:rFonts w:ascii="Verdana" w:hAnsi="Verdana"/>
          <w:sz w:val="20"/>
          <w:szCs w:val="20"/>
          <w:lang w:val="es-MX"/>
        </w:rPr>
        <w:t>Finalmente</w:t>
      </w:r>
      <w:r w:rsidR="00A83A0E">
        <w:rPr>
          <w:rFonts w:ascii="Verdana" w:hAnsi="Verdana"/>
          <w:sz w:val="20"/>
          <w:szCs w:val="20"/>
          <w:lang w:val="es-MX"/>
        </w:rPr>
        <w:t xml:space="preserve">, en relación </w:t>
      </w:r>
      <w:r w:rsidR="007F1A8B">
        <w:rPr>
          <w:rFonts w:ascii="Verdana" w:hAnsi="Verdana"/>
          <w:sz w:val="20"/>
          <w:szCs w:val="20"/>
          <w:lang w:val="es-MX"/>
        </w:rPr>
        <w:t xml:space="preserve">a las </w:t>
      </w:r>
      <w:r w:rsidR="00A83A0E" w:rsidRPr="00A83A0E">
        <w:rPr>
          <w:rFonts w:ascii="Verdana" w:hAnsi="Verdana"/>
          <w:sz w:val="20"/>
          <w:szCs w:val="20"/>
          <w:lang w:val="es-MX"/>
        </w:rPr>
        <w:t xml:space="preserve">alegadas desapariciones de </w:t>
      </w:r>
      <w:proofErr w:type="spellStart"/>
      <w:r w:rsidR="00A83A0E" w:rsidRPr="00A83A0E">
        <w:rPr>
          <w:rFonts w:ascii="Verdana" w:hAnsi="Verdana"/>
          <w:sz w:val="20"/>
          <w:szCs w:val="20"/>
          <w:lang w:val="es-MX"/>
        </w:rPr>
        <w:t>Iron</w:t>
      </w:r>
      <w:proofErr w:type="spellEnd"/>
      <w:r w:rsidR="00A83A0E" w:rsidRPr="00A83A0E">
        <w:rPr>
          <w:rFonts w:ascii="Verdana" w:hAnsi="Verdana"/>
          <w:sz w:val="20"/>
          <w:szCs w:val="20"/>
          <w:lang w:val="es-MX"/>
        </w:rPr>
        <w:t xml:space="preserve"> Canuto da Silva y Luis Ferreira da Cruz</w:t>
      </w:r>
      <w:r>
        <w:rPr>
          <w:rFonts w:ascii="Verdana" w:hAnsi="Verdana"/>
          <w:sz w:val="20"/>
          <w:szCs w:val="20"/>
          <w:lang w:val="es-MX"/>
        </w:rPr>
        <w:t>,</w:t>
      </w:r>
      <w:r w:rsidR="00A83A0E">
        <w:rPr>
          <w:rFonts w:ascii="Verdana" w:hAnsi="Verdana"/>
          <w:sz w:val="20"/>
          <w:szCs w:val="20"/>
          <w:lang w:val="es-MX"/>
        </w:rPr>
        <w:t xml:space="preserve"> </w:t>
      </w:r>
      <w:r w:rsidR="00A83A0E" w:rsidRPr="00A83A0E">
        <w:rPr>
          <w:rFonts w:ascii="Verdana" w:hAnsi="Verdana" w:cs="Arial"/>
          <w:iCs/>
          <w:sz w:val="20"/>
          <w:szCs w:val="20"/>
          <w:lang w:val="es-ES"/>
        </w:rPr>
        <w:t>la Corte consider</w:t>
      </w:r>
      <w:r w:rsidR="00C04B5D">
        <w:rPr>
          <w:rFonts w:ascii="Verdana" w:hAnsi="Verdana" w:cs="Arial"/>
          <w:iCs/>
          <w:sz w:val="20"/>
          <w:szCs w:val="20"/>
          <w:lang w:val="es-ES"/>
        </w:rPr>
        <w:t>a</w:t>
      </w:r>
      <w:r w:rsidR="00A83A0E" w:rsidRPr="00A83A0E">
        <w:rPr>
          <w:rFonts w:ascii="Verdana" w:hAnsi="Verdana" w:cs="Arial"/>
          <w:iCs/>
          <w:sz w:val="20"/>
          <w:szCs w:val="20"/>
          <w:lang w:val="es-ES"/>
        </w:rPr>
        <w:t xml:space="preserve"> que</w:t>
      </w:r>
      <w:r w:rsidR="00A83A0E">
        <w:rPr>
          <w:rFonts w:ascii="Verdana" w:hAnsi="Verdana" w:cs="Arial"/>
          <w:iCs/>
          <w:sz w:val="20"/>
          <w:szCs w:val="20"/>
          <w:lang w:val="es-ES"/>
        </w:rPr>
        <w:t xml:space="preserve">, en cuanto </w:t>
      </w:r>
      <w:r w:rsidR="007F1A8B">
        <w:rPr>
          <w:rFonts w:ascii="Verdana" w:hAnsi="Verdana" w:cs="Arial"/>
          <w:iCs/>
          <w:sz w:val="20"/>
          <w:szCs w:val="20"/>
          <w:lang w:val="es-ES"/>
        </w:rPr>
        <w:t>a</w:t>
      </w:r>
      <w:r w:rsidR="00A83A0E">
        <w:rPr>
          <w:rFonts w:ascii="Verdana" w:hAnsi="Verdana" w:cs="Arial"/>
          <w:iCs/>
          <w:sz w:val="20"/>
          <w:szCs w:val="20"/>
          <w:lang w:val="es-ES"/>
        </w:rPr>
        <w:t>l primero,</w:t>
      </w:r>
      <w:r w:rsidR="00A83A0E" w:rsidRPr="00A83A0E">
        <w:rPr>
          <w:rFonts w:ascii="Verdana" w:hAnsi="Verdana" w:cs="Arial"/>
          <w:iCs/>
          <w:sz w:val="20"/>
          <w:szCs w:val="20"/>
          <w:lang w:val="es-ES"/>
        </w:rPr>
        <w:t xml:space="preserve"> el Estado reabrió la investigación sobre desaparición en 2007 y constató que no había sido </w:t>
      </w:r>
      <w:r w:rsidR="00A83A0E">
        <w:rPr>
          <w:rFonts w:ascii="Verdana" w:hAnsi="Verdana" w:cs="Arial"/>
          <w:iCs/>
          <w:sz w:val="20"/>
          <w:szCs w:val="20"/>
          <w:lang w:val="es-ES"/>
        </w:rPr>
        <w:t>víctima de desaparición forzada,</w:t>
      </w:r>
      <w:r w:rsidR="007F1A8B">
        <w:rPr>
          <w:rFonts w:ascii="Verdana" w:hAnsi="Verdana" w:cs="Arial"/>
          <w:b/>
          <w:iCs/>
          <w:sz w:val="20"/>
          <w:szCs w:val="20"/>
          <w:lang w:val="es-ES"/>
        </w:rPr>
        <w:t xml:space="preserve"> </w:t>
      </w:r>
      <w:r w:rsidR="00A83A0E">
        <w:rPr>
          <w:rFonts w:ascii="Verdana" w:hAnsi="Verdana" w:cs="Arial"/>
          <w:iCs/>
          <w:sz w:val="20"/>
          <w:szCs w:val="20"/>
          <w:lang w:val="es-ES"/>
        </w:rPr>
        <w:t xml:space="preserve">y en relación al segundo, la Corte </w:t>
      </w:r>
      <w:r w:rsidR="00D61816">
        <w:rPr>
          <w:rFonts w:ascii="Verdana" w:hAnsi="Verdana" w:cs="Arial"/>
          <w:iCs/>
          <w:sz w:val="20"/>
          <w:szCs w:val="20"/>
          <w:lang w:val="es-ES"/>
        </w:rPr>
        <w:t xml:space="preserve">se encuentra </w:t>
      </w:r>
      <w:r w:rsidR="00A83A0E" w:rsidRPr="00A83A0E">
        <w:rPr>
          <w:rFonts w:ascii="Verdana" w:hAnsi="Verdana" w:cs="Arial"/>
          <w:iCs/>
          <w:sz w:val="20"/>
          <w:szCs w:val="20"/>
          <w:lang w:val="es-CR"/>
        </w:rPr>
        <w:t xml:space="preserve">imposibilitada para concluir </w:t>
      </w:r>
      <w:r w:rsidR="00A83A0E">
        <w:rPr>
          <w:rFonts w:ascii="Verdana" w:hAnsi="Verdana" w:cs="Arial"/>
          <w:iCs/>
          <w:sz w:val="20"/>
          <w:szCs w:val="20"/>
          <w:lang w:val="es-CR"/>
        </w:rPr>
        <w:t>si</w:t>
      </w:r>
      <w:r w:rsidR="00A83A0E" w:rsidRPr="00A83A0E">
        <w:rPr>
          <w:rFonts w:ascii="Verdana" w:hAnsi="Verdana" w:cs="Arial"/>
          <w:iCs/>
          <w:sz w:val="20"/>
          <w:szCs w:val="20"/>
          <w:lang w:val="es-CR"/>
        </w:rPr>
        <w:t xml:space="preserve"> fue víctima de desaparición, </w:t>
      </w:r>
      <w:r w:rsidR="00A83A0E" w:rsidRPr="00A83A0E">
        <w:rPr>
          <w:rFonts w:ascii="Verdana" w:hAnsi="Verdana" w:cs="Arial"/>
          <w:iCs/>
          <w:sz w:val="20"/>
          <w:szCs w:val="20"/>
          <w:lang w:val="es-ES"/>
        </w:rPr>
        <w:t>y</w:t>
      </w:r>
      <w:r>
        <w:rPr>
          <w:rFonts w:ascii="Verdana" w:hAnsi="Verdana" w:cs="Arial"/>
          <w:iCs/>
          <w:sz w:val="20"/>
          <w:szCs w:val="20"/>
          <w:lang w:val="es-ES"/>
        </w:rPr>
        <w:t>,</w:t>
      </w:r>
      <w:r w:rsidR="00A83A0E" w:rsidRPr="00A83A0E">
        <w:rPr>
          <w:rFonts w:ascii="Verdana" w:hAnsi="Verdana" w:cs="Arial"/>
          <w:iCs/>
          <w:sz w:val="20"/>
          <w:szCs w:val="20"/>
          <w:lang w:val="es-ES"/>
        </w:rPr>
        <w:t xml:space="preserve"> en </w:t>
      </w:r>
      <w:r w:rsidR="00A83A0E">
        <w:rPr>
          <w:rFonts w:ascii="Verdana" w:hAnsi="Verdana" w:cs="Arial"/>
          <w:iCs/>
          <w:sz w:val="20"/>
          <w:szCs w:val="20"/>
          <w:lang w:val="es-ES"/>
        </w:rPr>
        <w:t>consecuencia</w:t>
      </w:r>
      <w:r>
        <w:rPr>
          <w:rFonts w:ascii="Verdana" w:hAnsi="Verdana" w:cs="Arial"/>
          <w:iCs/>
          <w:sz w:val="20"/>
          <w:szCs w:val="20"/>
          <w:lang w:val="es-ES"/>
        </w:rPr>
        <w:t>,</w:t>
      </w:r>
      <w:r w:rsidR="00A83A0E">
        <w:rPr>
          <w:rFonts w:ascii="Verdana" w:hAnsi="Verdana" w:cs="Arial"/>
          <w:iCs/>
          <w:sz w:val="20"/>
          <w:szCs w:val="20"/>
          <w:lang w:val="es-ES"/>
        </w:rPr>
        <w:t xml:space="preserve"> no </w:t>
      </w:r>
      <w:r w:rsidR="00D61816">
        <w:rPr>
          <w:rFonts w:ascii="Verdana" w:hAnsi="Verdana" w:cs="Arial"/>
          <w:iCs/>
          <w:sz w:val="20"/>
          <w:szCs w:val="20"/>
          <w:lang w:val="es-ES"/>
        </w:rPr>
        <w:t>puede</w:t>
      </w:r>
      <w:r w:rsidR="00A83A0E">
        <w:rPr>
          <w:rFonts w:ascii="Verdana" w:hAnsi="Verdana" w:cs="Arial"/>
          <w:iCs/>
          <w:sz w:val="20"/>
          <w:szCs w:val="20"/>
          <w:lang w:val="es-ES"/>
        </w:rPr>
        <w:t xml:space="preserve"> atribuirl</w:t>
      </w:r>
      <w:r w:rsidR="00A83A0E" w:rsidRPr="00A83A0E">
        <w:rPr>
          <w:rFonts w:ascii="Verdana" w:hAnsi="Verdana" w:cs="Arial"/>
          <w:iCs/>
          <w:sz w:val="20"/>
          <w:szCs w:val="20"/>
          <w:lang w:val="es-ES"/>
        </w:rPr>
        <w:t>e la responsabilidad al Estado por la falta de investigación y eventual sanción de los alegados responsables</w:t>
      </w:r>
      <w:r w:rsidR="00A83A0E" w:rsidRPr="00A83A0E">
        <w:rPr>
          <w:rFonts w:ascii="Verdana" w:hAnsi="Verdana" w:cs="Arial"/>
          <w:iCs/>
          <w:sz w:val="20"/>
          <w:szCs w:val="20"/>
          <w:lang w:val="es-CR"/>
        </w:rPr>
        <w:t>.</w:t>
      </w:r>
      <w:r w:rsidR="007F1A8B">
        <w:rPr>
          <w:rFonts w:ascii="Verdana" w:hAnsi="Verdana" w:cs="Arial"/>
          <w:iCs/>
          <w:sz w:val="20"/>
          <w:szCs w:val="20"/>
          <w:lang w:val="es-CR"/>
        </w:rPr>
        <w:t xml:space="preserve"> </w:t>
      </w:r>
      <w:r w:rsidR="007F1A8B" w:rsidRPr="007F1A8B">
        <w:rPr>
          <w:rFonts w:ascii="Verdana" w:hAnsi="Verdana" w:cs="Arial"/>
          <w:iCs/>
          <w:sz w:val="20"/>
          <w:szCs w:val="20"/>
        </w:rPr>
        <w:t xml:space="preserve">Por lo anterior, </w:t>
      </w:r>
      <w:r w:rsidR="007F1A8B" w:rsidRPr="007F1A8B">
        <w:rPr>
          <w:rFonts w:ascii="Verdana" w:hAnsi="Verdana" w:cs="Arial"/>
          <w:iCs/>
          <w:sz w:val="20"/>
          <w:szCs w:val="20"/>
          <w:lang w:val="es-ES"/>
        </w:rPr>
        <w:t>la Corte concluy</w:t>
      </w:r>
      <w:r w:rsidR="00C04B5D">
        <w:rPr>
          <w:rFonts w:ascii="Verdana" w:hAnsi="Verdana" w:cs="Arial"/>
          <w:iCs/>
          <w:sz w:val="20"/>
          <w:szCs w:val="20"/>
          <w:lang w:val="es-ES"/>
        </w:rPr>
        <w:t>e</w:t>
      </w:r>
      <w:r w:rsidR="007F1A8B" w:rsidRPr="007F1A8B">
        <w:rPr>
          <w:rFonts w:ascii="Verdana" w:hAnsi="Verdana" w:cs="Arial"/>
          <w:iCs/>
          <w:sz w:val="20"/>
          <w:szCs w:val="20"/>
          <w:lang w:val="es-ES"/>
        </w:rPr>
        <w:t xml:space="preserve"> que el Estado no </w:t>
      </w:r>
      <w:r w:rsidR="007F1A8B" w:rsidRPr="007F1A8B">
        <w:rPr>
          <w:rFonts w:ascii="Verdana" w:hAnsi="Verdana" w:cs="Arial"/>
          <w:iCs/>
          <w:sz w:val="20"/>
          <w:szCs w:val="20"/>
          <w:lang w:val="es-GT"/>
        </w:rPr>
        <w:t xml:space="preserve">es responsable por las alegadas violaciones a </w:t>
      </w:r>
      <w:r w:rsidR="007F1A8B" w:rsidRPr="007F1A8B">
        <w:rPr>
          <w:rFonts w:ascii="Verdana" w:hAnsi="Verdana" w:cs="Arial"/>
          <w:iCs/>
          <w:sz w:val="20"/>
          <w:szCs w:val="20"/>
          <w:lang w:val="es-ES"/>
        </w:rPr>
        <w:t xml:space="preserve">los derechos a la personalidad jurídica, vida, integridad y libertad personal, contemplados en los artículos 3, 4, 5 y 7 de la Convención Americana, en relación con los derechos del niño, establecidos en el artículo 19 del mismo instrumento, en perjuicio de </w:t>
      </w:r>
      <w:proofErr w:type="spellStart"/>
      <w:r w:rsidR="007F1A8B" w:rsidRPr="007F1A8B">
        <w:rPr>
          <w:rFonts w:ascii="Verdana" w:hAnsi="Verdana" w:cs="Arial"/>
          <w:iCs/>
          <w:sz w:val="20"/>
          <w:szCs w:val="20"/>
          <w:lang w:val="es-ES"/>
        </w:rPr>
        <w:t>Iron</w:t>
      </w:r>
      <w:proofErr w:type="spellEnd"/>
      <w:r w:rsidR="007F1A8B" w:rsidRPr="007F1A8B">
        <w:rPr>
          <w:rFonts w:ascii="Verdana" w:hAnsi="Verdana" w:cs="Arial"/>
          <w:iCs/>
          <w:sz w:val="20"/>
          <w:szCs w:val="20"/>
          <w:lang w:val="es-ES"/>
        </w:rPr>
        <w:t xml:space="preserve"> Canuto da Silva y Luis Ferreira da Cruz, ni de la violación de los artículos 8 y 25 del mismo instrumento en perjuicio de sus familiares.</w:t>
      </w:r>
    </w:p>
    <w:p w14:paraId="6F83BE51" w14:textId="77777777" w:rsidR="007B5320" w:rsidRPr="007B5320" w:rsidRDefault="007B5320" w:rsidP="0049364E">
      <w:pPr>
        <w:pStyle w:val="Encabezado"/>
        <w:tabs>
          <w:tab w:val="clear" w:pos="4419"/>
          <w:tab w:val="clear" w:pos="8838"/>
        </w:tabs>
        <w:rPr>
          <w:rFonts w:cs="Arial"/>
          <w:szCs w:val="20"/>
          <w:lang w:val="es-ES"/>
        </w:rPr>
      </w:pPr>
    </w:p>
    <w:p w14:paraId="2C2920A3" w14:textId="77777777" w:rsidR="00E63FBF" w:rsidRPr="00576536" w:rsidRDefault="00E63FBF" w:rsidP="0049364E">
      <w:pPr>
        <w:pStyle w:val="Prrafodelista"/>
        <w:numPr>
          <w:ilvl w:val="0"/>
          <w:numId w:val="1"/>
        </w:numPr>
        <w:ind w:left="1134"/>
        <w:jc w:val="both"/>
        <w:rPr>
          <w:rFonts w:ascii="Verdana" w:hAnsi="Verdana"/>
          <w:b/>
          <w:sz w:val="20"/>
          <w:szCs w:val="20"/>
        </w:rPr>
      </w:pPr>
      <w:r w:rsidRPr="00576536">
        <w:rPr>
          <w:rFonts w:ascii="Verdana" w:hAnsi="Verdana"/>
          <w:b/>
          <w:sz w:val="20"/>
          <w:szCs w:val="20"/>
        </w:rPr>
        <w:t>Reparaciones</w:t>
      </w:r>
    </w:p>
    <w:p w14:paraId="40D5E6C1" w14:textId="77777777" w:rsidR="00A0390A" w:rsidRDefault="00A0390A" w:rsidP="0049364E">
      <w:pPr>
        <w:pStyle w:val="PrrafodeSentencia"/>
        <w:spacing w:before="0" w:after="0"/>
        <w:rPr>
          <w:sz w:val="20"/>
          <w:szCs w:val="20"/>
        </w:rPr>
      </w:pPr>
    </w:p>
    <w:p w14:paraId="69025646" w14:textId="77777777" w:rsidR="00085EE8" w:rsidRDefault="00E63FBF" w:rsidP="00085EE8">
      <w:pPr>
        <w:pStyle w:val="PrrafodeSentencia"/>
        <w:spacing w:before="0" w:after="0"/>
        <w:rPr>
          <w:sz w:val="20"/>
          <w:szCs w:val="20"/>
        </w:rPr>
      </w:pPr>
      <w:r w:rsidRPr="00576536">
        <w:rPr>
          <w:sz w:val="20"/>
          <w:szCs w:val="20"/>
        </w:rPr>
        <w:t xml:space="preserve">Con respecto a las reparaciones, </w:t>
      </w:r>
      <w:r w:rsidRPr="00576536">
        <w:rPr>
          <w:rFonts w:cs="Verdana"/>
          <w:sz w:val="20"/>
          <w:szCs w:val="20"/>
          <w:lang w:val="es-MX"/>
        </w:rPr>
        <w:t>la Corte establec</w:t>
      </w:r>
      <w:r w:rsidR="00C04B5D">
        <w:rPr>
          <w:rFonts w:cs="Verdana"/>
          <w:sz w:val="20"/>
          <w:szCs w:val="20"/>
          <w:lang w:val="es-MX"/>
        </w:rPr>
        <w:t>e</w:t>
      </w:r>
      <w:r w:rsidRPr="00576536">
        <w:rPr>
          <w:rFonts w:cs="Verdana"/>
          <w:sz w:val="20"/>
          <w:szCs w:val="20"/>
          <w:lang w:val="es-MX"/>
        </w:rPr>
        <w:t xml:space="preserve"> que su Sentencia constituye </w:t>
      </w:r>
      <w:r w:rsidRPr="00576536">
        <w:rPr>
          <w:rFonts w:cs="Verdana"/>
          <w:i/>
          <w:sz w:val="20"/>
          <w:szCs w:val="20"/>
          <w:lang w:val="es-MX"/>
        </w:rPr>
        <w:t>per se</w:t>
      </w:r>
      <w:r w:rsidRPr="00576536">
        <w:rPr>
          <w:rFonts w:cs="Verdana"/>
          <w:sz w:val="20"/>
          <w:szCs w:val="20"/>
          <w:lang w:val="es-MX"/>
        </w:rPr>
        <w:t xml:space="preserve"> una forma de reparación y, adicionalmente, </w:t>
      </w:r>
      <w:r w:rsidRPr="00576536">
        <w:rPr>
          <w:sz w:val="20"/>
          <w:szCs w:val="20"/>
        </w:rPr>
        <w:t>orden</w:t>
      </w:r>
      <w:r w:rsidR="00C04B5D">
        <w:rPr>
          <w:sz w:val="20"/>
          <w:szCs w:val="20"/>
        </w:rPr>
        <w:t>a</w:t>
      </w:r>
      <w:r w:rsidRPr="00576536">
        <w:rPr>
          <w:sz w:val="20"/>
          <w:szCs w:val="20"/>
        </w:rPr>
        <w:t xml:space="preserve"> al Estado: i) publicar la Sentencia y su resumen; </w:t>
      </w:r>
      <w:proofErr w:type="spellStart"/>
      <w:r w:rsidRPr="00576536">
        <w:rPr>
          <w:sz w:val="20"/>
          <w:szCs w:val="20"/>
        </w:rPr>
        <w:t>ii</w:t>
      </w:r>
      <w:proofErr w:type="spellEnd"/>
      <w:r w:rsidRPr="00576536">
        <w:rPr>
          <w:sz w:val="20"/>
          <w:szCs w:val="20"/>
        </w:rPr>
        <w:t xml:space="preserve">) </w:t>
      </w:r>
      <w:r w:rsidR="00C21D98" w:rsidRPr="00C21D98">
        <w:rPr>
          <w:iCs/>
          <w:sz w:val="20"/>
          <w:szCs w:val="20"/>
          <w:lang w:val="es-ES_tradnl"/>
        </w:rPr>
        <w:t>reiniciar, con la debida diligencia, las investigaciones y/o procesos penales que correspondan por los hechos constatados en marzo de 2000, en un plazo razonable, identificar, procesar y, en su caso, sancionar a los responsables</w:t>
      </w:r>
      <w:r w:rsidR="00C21D98">
        <w:rPr>
          <w:iCs/>
          <w:sz w:val="20"/>
          <w:szCs w:val="20"/>
          <w:lang w:val="es-ES_tradnl"/>
        </w:rPr>
        <w:t xml:space="preserve">, </w:t>
      </w:r>
      <w:proofErr w:type="spellStart"/>
      <w:r w:rsidR="00C21D98">
        <w:rPr>
          <w:iCs/>
          <w:sz w:val="20"/>
          <w:szCs w:val="20"/>
          <w:lang w:val="es-ES_tradnl"/>
        </w:rPr>
        <w:t>iii</w:t>
      </w:r>
      <w:proofErr w:type="spellEnd"/>
      <w:r w:rsidR="00C21D98">
        <w:rPr>
          <w:iCs/>
          <w:sz w:val="20"/>
          <w:szCs w:val="20"/>
          <w:lang w:val="es-ES_tradnl"/>
        </w:rPr>
        <w:t xml:space="preserve">) </w:t>
      </w:r>
      <w:r w:rsidR="00C21D98" w:rsidRPr="00C21D98">
        <w:rPr>
          <w:iCs/>
          <w:sz w:val="20"/>
          <w:szCs w:val="20"/>
          <w:lang w:val="es-ES_tradnl"/>
        </w:rPr>
        <w:t xml:space="preserve">dentro de un plazo </w:t>
      </w:r>
      <w:r w:rsidR="00C21D98" w:rsidRPr="00C21D98">
        <w:rPr>
          <w:iCs/>
          <w:sz w:val="20"/>
          <w:szCs w:val="20"/>
          <w:lang w:val="es-ES_tradnl"/>
        </w:rPr>
        <w:lastRenderedPageBreak/>
        <w:t>razonable a partir de la notificación de la presente Sentencia, adoptar las medidas necesarias para garantizar que la prescripción no sea aplicada al delito de derecho internacional de esclavitud y sus formas análogas</w:t>
      </w:r>
      <w:r w:rsidR="00C21D98">
        <w:rPr>
          <w:iCs/>
          <w:sz w:val="20"/>
          <w:szCs w:val="20"/>
          <w:lang w:val="es-ES_tradnl"/>
        </w:rPr>
        <w:t xml:space="preserve">, </w:t>
      </w:r>
      <w:r w:rsidR="00FB55F2">
        <w:rPr>
          <w:sz w:val="20"/>
          <w:szCs w:val="20"/>
        </w:rPr>
        <w:t xml:space="preserve">y, </w:t>
      </w:r>
      <w:proofErr w:type="spellStart"/>
      <w:r w:rsidR="00C21D98">
        <w:rPr>
          <w:iCs/>
          <w:sz w:val="20"/>
          <w:szCs w:val="20"/>
          <w:lang w:val="es-ES_tradnl"/>
        </w:rPr>
        <w:t>iv</w:t>
      </w:r>
      <w:proofErr w:type="spellEnd"/>
      <w:r w:rsidR="00C21D98">
        <w:rPr>
          <w:iCs/>
          <w:sz w:val="20"/>
          <w:szCs w:val="20"/>
          <w:lang w:val="es-ES_tradnl"/>
        </w:rPr>
        <w:t xml:space="preserve">) </w:t>
      </w:r>
      <w:r w:rsidR="00C21D98" w:rsidRPr="00C21D98">
        <w:rPr>
          <w:bCs/>
          <w:iCs/>
          <w:sz w:val="20"/>
          <w:szCs w:val="20"/>
          <w:lang w:val="es-CR"/>
        </w:rPr>
        <w:t xml:space="preserve">pagar las cantidades fijadas en </w:t>
      </w:r>
      <w:r w:rsidR="00C21D98">
        <w:rPr>
          <w:bCs/>
          <w:iCs/>
          <w:sz w:val="20"/>
          <w:szCs w:val="20"/>
          <w:lang w:val="es-CR"/>
        </w:rPr>
        <w:t xml:space="preserve">la </w:t>
      </w:r>
      <w:r w:rsidR="00C21D98" w:rsidRPr="00C21D98">
        <w:rPr>
          <w:bCs/>
          <w:iCs/>
          <w:sz w:val="20"/>
          <w:szCs w:val="20"/>
          <w:lang w:val="es-CR"/>
        </w:rPr>
        <w:t xml:space="preserve">Sentencia, por concepto de indemnizaciones por daño inmaterial, y por </w:t>
      </w:r>
      <w:r w:rsidR="00C21D98">
        <w:rPr>
          <w:bCs/>
          <w:iCs/>
          <w:sz w:val="20"/>
          <w:szCs w:val="20"/>
          <w:lang w:val="es-CR"/>
        </w:rPr>
        <w:t>el reintegro de costas y gastos</w:t>
      </w:r>
      <w:r w:rsidR="00BC3079">
        <w:rPr>
          <w:bCs/>
          <w:iCs/>
          <w:sz w:val="20"/>
          <w:szCs w:val="20"/>
          <w:lang w:val="es-CR"/>
        </w:rPr>
        <w:t>.</w:t>
      </w:r>
      <w:r w:rsidR="00C21D98">
        <w:rPr>
          <w:bCs/>
          <w:iCs/>
          <w:sz w:val="20"/>
          <w:szCs w:val="20"/>
          <w:lang w:val="es-CR"/>
        </w:rPr>
        <w:t xml:space="preserve"> </w:t>
      </w:r>
    </w:p>
    <w:p w14:paraId="19B4A54E" w14:textId="77777777" w:rsidR="00085EE8" w:rsidRDefault="00085EE8" w:rsidP="00085EE8">
      <w:pPr>
        <w:pStyle w:val="PrrafodeSentencia"/>
        <w:spacing w:before="0" w:after="0"/>
        <w:rPr>
          <w:sz w:val="20"/>
          <w:szCs w:val="20"/>
        </w:rPr>
      </w:pPr>
    </w:p>
    <w:p w14:paraId="42366E10" w14:textId="77777777" w:rsidR="00E63FBF" w:rsidRDefault="00E63FBF" w:rsidP="0049364E">
      <w:pPr>
        <w:jc w:val="center"/>
        <w:rPr>
          <w:rFonts w:ascii="Verdana" w:hAnsi="Verdana" w:cs="Verdana"/>
          <w:sz w:val="20"/>
          <w:szCs w:val="20"/>
          <w:lang w:val="es-MX"/>
        </w:rPr>
      </w:pPr>
      <w:r>
        <w:rPr>
          <w:rFonts w:ascii="Verdana" w:hAnsi="Verdana" w:cs="Verdana"/>
          <w:sz w:val="20"/>
          <w:szCs w:val="20"/>
          <w:lang w:val="es-CR"/>
        </w:rPr>
        <w:t>-----</w:t>
      </w:r>
    </w:p>
    <w:p w14:paraId="3D2935A7" w14:textId="77777777" w:rsidR="00E63FBF" w:rsidRPr="009271A8" w:rsidRDefault="00E63FBF" w:rsidP="009271A8">
      <w:pPr>
        <w:pStyle w:val="Encabezado"/>
        <w:tabs>
          <w:tab w:val="clear" w:pos="4419"/>
          <w:tab w:val="clear" w:pos="8838"/>
        </w:tabs>
        <w:rPr>
          <w:rFonts w:eastAsia="Times New Roman" w:cs="Verdana"/>
          <w:noProof w:val="0"/>
          <w:szCs w:val="20"/>
          <w:lang w:val="es-CR"/>
        </w:rPr>
      </w:pPr>
    </w:p>
    <w:p w14:paraId="70FC1956" w14:textId="77777777" w:rsidR="00E63FBF" w:rsidRPr="009271A8" w:rsidRDefault="00E63FBF" w:rsidP="0049364E">
      <w:pPr>
        <w:jc w:val="both"/>
        <w:rPr>
          <w:rFonts w:ascii="Verdana" w:hAnsi="Verdana"/>
          <w:sz w:val="18"/>
          <w:szCs w:val="18"/>
          <w:lang w:val="es-CR"/>
        </w:rPr>
      </w:pPr>
      <w:r w:rsidRPr="009271A8">
        <w:rPr>
          <w:rFonts w:ascii="Verdana" w:hAnsi="Verdana" w:cs="Verdana"/>
          <w:sz w:val="18"/>
          <w:szCs w:val="18"/>
          <w:lang w:val="es-CR"/>
        </w:rPr>
        <w:t xml:space="preserve">La Corte Interamericana de Derechos Humanos supervisará el cumplimiento íntegro de la Sentencia, </w:t>
      </w:r>
      <w:r w:rsidRPr="009271A8">
        <w:rPr>
          <w:rFonts w:ascii="Verdana" w:hAnsi="Verdana"/>
          <w:sz w:val="18"/>
          <w:szCs w:val="18"/>
          <w:lang w:val="es-ES"/>
        </w:rPr>
        <w:t xml:space="preserve">en ejercicio de sus atribuciones y en cumplimiento de sus deberes conforme a la Convención Americana sobre Derechos Humanos, </w:t>
      </w:r>
      <w:r w:rsidRPr="009271A8">
        <w:rPr>
          <w:rFonts w:ascii="Verdana" w:hAnsi="Verdana" w:cs="Verdana"/>
          <w:sz w:val="18"/>
          <w:szCs w:val="18"/>
          <w:lang w:val="es-CR"/>
        </w:rPr>
        <w:t xml:space="preserve">y dará por concluido el caso una vez que el Estado haya dado cabal cumplimiento a lo dispuesto en la Sentencia. </w:t>
      </w:r>
    </w:p>
    <w:p w14:paraId="1264F7FF" w14:textId="77777777" w:rsidR="00E63FBF" w:rsidRPr="009271A8" w:rsidRDefault="00E63FBF" w:rsidP="0049364E">
      <w:pPr>
        <w:jc w:val="center"/>
        <w:outlineLvl w:val="0"/>
        <w:rPr>
          <w:rFonts w:ascii="Verdana" w:eastAsia="Helvetica" w:hAnsi="Verdana"/>
          <w:color w:val="000000"/>
          <w:sz w:val="18"/>
          <w:szCs w:val="18"/>
          <w:lang w:val="es-MX"/>
        </w:rPr>
      </w:pPr>
    </w:p>
    <w:p w14:paraId="468ABFF0" w14:textId="77777777" w:rsidR="00AF0FA0" w:rsidRPr="009271A8" w:rsidRDefault="00E63FBF" w:rsidP="009271A8">
      <w:pPr>
        <w:jc w:val="both"/>
        <w:rPr>
          <w:rFonts w:ascii="Verdana" w:hAnsi="Verdana"/>
          <w:sz w:val="18"/>
          <w:szCs w:val="18"/>
          <w:lang w:val="es-MX"/>
        </w:rPr>
      </w:pPr>
      <w:r w:rsidRPr="009271A8">
        <w:rPr>
          <w:rFonts w:ascii="Verdana" w:hAnsi="Verdana"/>
          <w:sz w:val="18"/>
          <w:szCs w:val="18"/>
          <w:lang w:val="es-CR"/>
        </w:rPr>
        <w:t>El texto íntegro de la Sentencia puede consultarse en el siguiente enlace:</w:t>
      </w:r>
      <w:r w:rsidRPr="009271A8">
        <w:rPr>
          <w:rFonts w:ascii="Verdana" w:hAnsi="Verdana"/>
          <w:sz w:val="18"/>
          <w:szCs w:val="18"/>
          <w:lang w:val="es-ES"/>
        </w:rPr>
        <w:t xml:space="preserve"> </w:t>
      </w:r>
      <w:hyperlink r:id="rId7" w:history="1">
        <w:r w:rsidRPr="009271A8">
          <w:rPr>
            <w:rStyle w:val="Hipervnculo"/>
            <w:rFonts w:ascii="Verdana" w:hAnsi="Verdana"/>
            <w:sz w:val="18"/>
            <w:szCs w:val="18"/>
            <w:highlight w:val="yellow"/>
            <w:lang w:val="es-MX"/>
          </w:rPr>
          <w:t>http://www.corteidh.or.cr/casos.cfm</w:t>
        </w:r>
      </w:hyperlink>
    </w:p>
    <w:sectPr w:rsidR="00AF0FA0" w:rsidRPr="009271A8" w:rsidSect="009271A8">
      <w:footerReference w:type="default" r:id="rId8"/>
      <w:pgSz w:w="12240" w:h="15840" w:code="1"/>
      <w:pgMar w:top="1418"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FC51" w14:textId="77777777" w:rsidR="004A6C79" w:rsidRDefault="004A6C79" w:rsidP="00E63FBF">
      <w:r>
        <w:separator/>
      </w:r>
    </w:p>
  </w:endnote>
  <w:endnote w:type="continuationSeparator" w:id="0">
    <w:p w14:paraId="1F877691" w14:textId="77777777" w:rsidR="004A6C79" w:rsidRDefault="004A6C79" w:rsidP="00E6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761840"/>
      <w:docPartObj>
        <w:docPartGallery w:val="Page Numbers (Bottom of Page)"/>
        <w:docPartUnique/>
      </w:docPartObj>
    </w:sdtPr>
    <w:sdtEndPr>
      <w:rPr>
        <w:rFonts w:ascii="Verdana" w:hAnsi="Verdana"/>
        <w:noProof/>
        <w:sz w:val="20"/>
        <w:szCs w:val="20"/>
      </w:rPr>
    </w:sdtEndPr>
    <w:sdtContent>
      <w:p w14:paraId="6084C449" w14:textId="77777777" w:rsidR="009271A8" w:rsidRPr="009271A8" w:rsidRDefault="009271A8">
        <w:pPr>
          <w:pStyle w:val="Piedepgina"/>
          <w:jc w:val="center"/>
          <w:rPr>
            <w:rFonts w:ascii="Verdana" w:hAnsi="Verdana"/>
            <w:sz w:val="20"/>
            <w:szCs w:val="20"/>
          </w:rPr>
        </w:pPr>
        <w:r w:rsidRPr="009271A8">
          <w:rPr>
            <w:rFonts w:ascii="Verdana" w:hAnsi="Verdana"/>
            <w:sz w:val="20"/>
            <w:szCs w:val="20"/>
          </w:rPr>
          <w:fldChar w:fldCharType="begin"/>
        </w:r>
        <w:r w:rsidRPr="009271A8">
          <w:rPr>
            <w:rFonts w:ascii="Verdana" w:hAnsi="Verdana"/>
            <w:sz w:val="20"/>
            <w:szCs w:val="20"/>
          </w:rPr>
          <w:instrText xml:space="preserve"> PAGE   \* MERGEFORMAT </w:instrText>
        </w:r>
        <w:r w:rsidRPr="009271A8">
          <w:rPr>
            <w:rFonts w:ascii="Verdana" w:hAnsi="Verdana"/>
            <w:sz w:val="20"/>
            <w:szCs w:val="20"/>
          </w:rPr>
          <w:fldChar w:fldCharType="separate"/>
        </w:r>
        <w:r w:rsidR="00B96C2D">
          <w:rPr>
            <w:rFonts w:ascii="Verdana" w:hAnsi="Verdana"/>
            <w:noProof/>
            <w:sz w:val="20"/>
            <w:szCs w:val="20"/>
          </w:rPr>
          <w:t>1</w:t>
        </w:r>
        <w:r w:rsidRPr="009271A8">
          <w:rPr>
            <w:rFonts w:ascii="Verdana" w:hAnsi="Verdana"/>
            <w:noProof/>
            <w:sz w:val="20"/>
            <w:szCs w:val="20"/>
          </w:rPr>
          <w:fldChar w:fldCharType="end"/>
        </w:r>
      </w:p>
    </w:sdtContent>
  </w:sdt>
  <w:p w14:paraId="606B192E" w14:textId="77777777" w:rsidR="009271A8" w:rsidRDefault="00927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602A" w14:textId="77777777" w:rsidR="004A6C79" w:rsidRDefault="004A6C79" w:rsidP="00E63FBF">
      <w:r>
        <w:separator/>
      </w:r>
    </w:p>
  </w:footnote>
  <w:footnote w:type="continuationSeparator" w:id="0">
    <w:p w14:paraId="437EC794" w14:textId="77777777" w:rsidR="004A6C79" w:rsidRDefault="004A6C79" w:rsidP="00E63FBF">
      <w:r>
        <w:continuationSeparator/>
      </w:r>
    </w:p>
  </w:footnote>
  <w:footnote w:id="1">
    <w:p w14:paraId="61883BFC" w14:textId="77777777" w:rsidR="00AF0FA0" w:rsidRPr="004E0156" w:rsidRDefault="00AF0FA0" w:rsidP="004E0156">
      <w:pPr>
        <w:pStyle w:val="citaindirecta"/>
        <w:ind w:left="0" w:right="-138"/>
        <w:rPr>
          <w:noProof w:val="0"/>
          <w:sz w:val="16"/>
          <w:szCs w:val="16"/>
        </w:rPr>
      </w:pPr>
      <w:r w:rsidRPr="004E0156">
        <w:rPr>
          <w:rStyle w:val="Refdenotaalpie"/>
          <w:rFonts w:ascii="Verdana" w:hAnsi="Verdana"/>
          <w:sz w:val="16"/>
          <w:szCs w:val="16"/>
        </w:rPr>
        <w:sym w:font="Symbol" w:char="F02A"/>
      </w:r>
      <w:r w:rsidR="0049364E">
        <w:rPr>
          <w:sz w:val="16"/>
          <w:szCs w:val="16"/>
          <w:lang w:val="es-ES"/>
        </w:rPr>
        <w:t xml:space="preserve"> </w:t>
      </w:r>
      <w:r w:rsidRPr="004E0156">
        <w:rPr>
          <w:sz w:val="16"/>
          <w:szCs w:val="16"/>
          <w:lang w:val="es-ES"/>
        </w:rPr>
        <w:t>Integrada por los siguientes jueces: Eduard</w:t>
      </w:r>
      <w:r w:rsidR="00935379">
        <w:rPr>
          <w:sz w:val="16"/>
          <w:szCs w:val="16"/>
          <w:lang w:val="es-ES"/>
        </w:rPr>
        <w:t xml:space="preserve">o Ferrer Mac-Gregor Poisot, </w:t>
      </w:r>
      <w:r w:rsidRPr="004E0156">
        <w:rPr>
          <w:sz w:val="16"/>
          <w:szCs w:val="16"/>
          <w:lang w:val="es-ES"/>
        </w:rPr>
        <w:t>presidente</w:t>
      </w:r>
      <w:r w:rsidR="00935379">
        <w:rPr>
          <w:sz w:val="16"/>
          <w:szCs w:val="16"/>
          <w:lang w:val="es-ES"/>
        </w:rPr>
        <w:t xml:space="preserve"> en ejercicio</w:t>
      </w:r>
      <w:r w:rsidRPr="004E0156">
        <w:rPr>
          <w:sz w:val="16"/>
          <w:szCs w:val="16"/>
          <w:lang w:val="es-ES"/>
        </w:rPr>
        <w:t xml:space="preserve">; Eduardo Vio Grossi, Juez; </w:t>
      </w:r>
      <w:r w:rsidRPr="004E0156">
        <w:rPr>
          <w:noProof w:val="0"/>
          <w:sz w:val="16"/>
          <w:szCs w:val="16"/>
        </w:rPr>
        <w:t>Humberto Antonio Sierra Porto, Juez;</w:t>
      </w:r>
      <w:r w:rsidRPr="004E0156">
        <w:rPr>
          <w:sz w:val="16"/>
          <w:szCs w:val="16"/>
        </w:rPr>
        <w:t xml:space="preserve"> </w:t>
      </w:r>
      <w:r w:rsidRPr="004E0156">
        <w:rPr>
          <w:noProof w:val="0"/>
          <w:sz w:val="16"/>
          <w:szCs w:val="16"/>
        </w:rPr>
        <w:t>Elizabeth Odio Benito, Juez</w:t>
      </w:r>
      <w:r w:rsidR="0049364E">
        <w:rPr>
          <w:noProof w:val="0"/>
          <w:sz w:val="16"/>
          <w:szCs w:val="16"/>
        </w:rPr>
        <w:t>a</w:t>
      </w:r>
      <w:r w:rsidRPr="004E0156">
        <w:rPr>
          <w:noProof w:val="0"/>
          <w:sz w:val="16"/>
          <w:szCs w:val="16"/>
        </w:rPr>
        <w:t>;</w:t>
      </w:r>
      <w:r w:rsidRPr="004E0156">
        <w:rPr>
          <w:sz w:val="16"/>
          <w:szCs w:val="16"/>
        </w:rPr>
        <w:t xml:space="preserve"> </w:t>
      </w:r>
      <w:r w:rsidRPr="004E0156">
        <w:rPr>
          <w:noProof w:val="0"/>
          <w:sz w:val="16"/>
          <w:szCs w:val="16"/>
        </w:rPr>
        <w:t>Eugenio Raúl Zaffaroni, Juez, y L. Patricio Pazmiño Freire, Juez</w:t>
      </w:r>
      <w:r w:rsidRPr="004E0156">
        <w:rPr>
          <w:sz w:val="16"/>
          <w:szCs w:val="16"/>
          <w:lang w:val="es-ES"/>
        </w:rPr>
        <w:t xml:space="preserve">. Presente, además el Secretario </w:t>
      </w:r>
      <w:r>
        <w:rPr>
          <w:sz w:val="16"/>
          <w:szCs w:val="16"/>
          <w:lang w:val="es-ES"/>
        </w:rPr>
        <w:t>P</w:t>
      </w:r>
      <w:r w:rsidRPr="004E0156">
        <w:rPr>
          <w:sz w:val="16"/>
          <w:szCs w:val="16"/>
          <w:lang w:val="es-ES"/>
        </w:rPr>
        <w:t>ablo Saavedra Alessandri y la Secretaria Ad</w:t>
      </w:r>
      <w:r>
        <w:rPr>
          <w:sz w:val="16"/>
          <w:szCs w:val="16"/>
          <w:lang w:val="es-ES"/>
        </w:rPr>
        <w:t>junta Emilia Segares Rodríguez.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287"/>
    <w:multiLevelType w:val="hybridMultilevel"/>
    <w:tmpl w:val="A5D2F0E0"/>
    <w:lvl w:ilvl="0" w:tplc="6EAE83CE">
      <w:start w:val="1"/>
      <w:numFmt w:val="upperRoman"/>
      <w:lvlText w:val="%1."/>
      <w:lvlJc w:val="left"/>
      <w:pPr>
        <w:ind w:left="2496" w:hanging="720"/>
      </w:p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1" w15:restartNumberingAfterBreak="0">
    <w:nsid w:val="0F781DF8"/>
    <w:multiLevelType w:val="hybridMultilevel"/>
    <w:tmpl w:val="89645466"/>
    <w:lvl w:ilvl="0" w:tplc="6B0ACFF6">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3E06E32"/>
    <w:multiLevelType w:val="hybridMultilevel"/>
    <w:tmpl w:val="178EEAA6"/>
    <w:lvl w:ilvl="0" w:tplc="47AABC80">
      <w:start w:val="1"/>
      <w:numFmt w:val="decimal"/>
      <w:lvlText w:val="%1."/>
      <w:lvlJc w:val="left"/>
      <w:pPr>
        <w:tabs>
          <w:tab w:val="num" w:pos="5057"/>
        </w:tabs>
        <w:ind w:left="0" w:firstLine="0"/>
      </w:pPr>
      <w:rPr>
        <w:rFonts w:ascii="Verdana" w:eastAsia="Times New Roman" w:hAnsi="Verdana" w:cs="Times New Roman" w:hint="default"/>
        <w:b w:val="0"/>
        <w:i w:val="0"/>
        <w:strike w:val="0"/>
        <w:dstrike w:val="0"/>
        <w:color w:val="auto"/>
        <w:sz w:val="20"/>
        <w:u w:val="none"/>
        <w:effect w:val="none"/>
        <w:lang w:val="es-CR"/>
      </w:rPr>
    </w:lvl>
    <w:lvl w:ilvl="1" w:tplc="91ECB87E">
      <w:start w:val="1"/>
      <w:numFmt w:val="lowerLetter"/>
      <w:lvlText w:val="%2)"/>
      <w:lvlJc w:val="left"/>
      <w:pPr>
        <w:tabs>
          <w:tab w:val="num" w:pos="1080"/>
        </w:tabs>
        <w:ind w:left="1080" w:hanging="360"/>
      </w:pPr>
      <w:rPr>
        <w:rFonts w:cs="Times New Roman"/>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 w15:restartNumberingAfterBreak="0">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BF"/>
    <w:rsid w:val="00004913"/>
    <w:rsid w:val="0004068C"/>
    <w:rsid w:val="00044C49"/>
    <w:rsid w:val="000467B4"/>
    <w:rsid w:val="00085EE8"/>
    <w:rsid w:val="00093260"/>
    <w:rsid w:val="000A3331"/>
    <w:rsid w:val="000C3FD5"/>
    <w:rsid w:val="000C620D"/>
    <w:rsid w:val="00133CE8"/>
    <w:rsid w:val="00137729"/>
    <w:rsid w:val="00141EB9"/>
    <w:rsid w:val="00157137"/>
    <w:rsid w:val="00161B9F"/>
    <w:rsid w:val="00196A9A"/>
    <w:rsid w:val="001B6B9C"/>
    <w:rsid w:val="00225DDB"/>
    <w:rsid w:val="00230F43"/>
    <w:rsid w:val="00243113"/>
    <w:rsid w:val="002444B8"/>
    <w:rsid w:val="002654AF"/>
    <w:rsid w:val="002808EF"/>
    <w:rsid w:val="0028640C"/>
    <w:rsid w:val="002977D7"/>
    <w:rsid w:val="002C5DB7"/>
    <w:rsid w:val="00330E81"/>
    <w:rsid w:val="00330F1E"/>
    <w:rsid w:val="0034438D"/>
    <w:rsid w:val="00360678"/>
    <w:rsid w:val="00385595"/>
    <w:rsid w:val="003F0B38"/>
    <w:rsid w:val="004049DE"/>
    <w:rsid w:val="00411B7D"/>
    <w:rsid w:val="00450D5C"/>
    <w:rsid w:val="004607EB"/>
    <w:rsid w:val="00481ADA"/>
    <w:rsid w:val="0049364E"/>
    <w:rsid w:val="004A6C79"/>
    <w:rsid w:val="004B7C29"/>
    <w:rsid w:val="004D318C"/>
    <w:rsid w:val="004D5127"/>
    <w:rsid w:val="004E0156"/>
    <w:rsid w:val="004E038D"/>
    <w:rsid w:val="00506238"/>
    <w:rsid w:val="00520043"/>
    <w:rsid w:val="005661FE"/>
    <w:rsid w:val="00567480"/>
    <w:rsid w:val="00576536"/>
    <w:rsid w:val="00584EFD"/>
    <w:rsid w:val="005B36D5"/>
    <w:rsid w:val="00605E94"/>
    <w:rsid w:val="00617E05"/>
    <w:rsid w:val="00621921"/>
    <w:rsid w:val="00646AF9"/>
    <w:rsid w:val="00647911"/>
    <w:rsid w:val="006561B2"/>
    <w:rsid w:val="00676D08"/>
    <w:rsid w:val="00687424"/>
    <w:rsid w:val="006950AE"/>
    <w:rsid w:val="006B1AC5"/>
    <w:rsid w:val="006C7780"/>
    <w:rsid w:val="006E7971"/>
    <w:rsid w:val="006F393F"/>
    <w:rsid w:val="0070465A"/>
    <w:rsid w:val="007211C2"/>
    <w:rsid w:val="00771E68"/>
    <w:rsid w:val="007737A0"/>
    <w:rsid w:val="00780594"/>
    <w:rsid w:val="007841D8"/>
    <w:rsid w:val="007B5320"/>
    <w:rsid w:val="007D27B3"/>
    <w:rsid w:val="007E0F35"/>
    <w:rsid w:val="007E36A2"/>
    <w:rsid w:val="007F1A8B"/>
    <w:rsid w:val="008360F8"/>
    <w:rsid w:val="00837E12"/>
    <w:rsid w:val="00837E45"/>
    <w:rsid w:val="00854E75"/>
    <w:rsid w:val="00870888"/>
    <w:rsid w:val="008758ED"/>
    <w:rsid w:val="00881FD8"/>
    <w:rsid w:val="008B78D4"/>
    <w:rsid w:val="008F56E3"/>
    <w:rsid w:val="00906B5B"/>
    <w:rsid w:val="009271A8"/>
    <w:rsid w:val="00935379"/>
    <w:rsid w:val="00960E0E"/>
    <w:rsid w:val="009B6C52"/>
    <w:rsid w:val="009C38AA"/>
    <w:rsid w:val="009C4310"/>
    <w:rsid w:val="009E473F"/>
    <w:rsid w:val="009E4EB9"/>
    <w:rsid w:val="00A0390A"/>
    <w:rsid w:val="00A355A1"/>
    <w:rsid w:val="00A400DC"/>
    <w:rsid w:val="00A43B41"/>
    <w:rsid w:val="00A45626"/>
    <w:rsid w:val="00A45971"/>
    <w:rsid w:val="00A47864"/>
    <w:rsid w:val="00A7260B"/>
    <w:rsid w:val="00A818D8"/>
    <w:rsid w:val="00A83A0E"/>
    <w:rsid w:val="00A9028B"/>
    <w:rsid w:val="00AB02C6"/>
    <w:rsid w:val="00AB3CC2"/>
    <w:rsid w:val="00AF0FA0"/>
    <w:rsid w:val="00B02AD0"/>
    <w:rsid w:val="00B04D19"/>
    <w:rsid w:val="00B32269"/>
    <w:rsid w:val="00B334C2"/>
    <w:rsid w:val="00B406A0"/>
    <w:rsid w:val="00B5210A"/>
    <w:rsid w:val="00B60780"/>
    <w:rsid w:val="00B64BF2"/>
    <w:rsid w:val="00B9210A"/>
    <w:rsid w:val="00B96C2D"/>
    <w:rsid w:val="00B96D14"/>
    <w:rsid w:val="00BC3079"/>
    <w:rsid w:val="00BF2733"/>
    <w:rsid w:val="00C04B5D"/>
    <w:rsid w:val="00C21D98"/>
    <w:rsid w:val="00C3363F"/>
    <w:rsid w:val="00C41197"/>
    <w:rsid w:val="00C46C17"/>
    <w:rsid w:val="00C714AC"/>
    <w:rsid w:val="00C77C70"/>
    <w:rsid w:val="00CB5634"/>
    <w:rsid w:val="00CB5B9C"/>
    <w:rsid w:val="00CB646C"/>
    <w:rsid w:val="00CC23D6"/>
    <w:rsid w:val="00CE235E"/>
    <w:rsid w:val="00CE6F40"/>
    <w:rsid w:val="00D24642"/>
    <w:rsid w:val="00D54540"/>
    <w:rsid w:val="00D61816"/>
    <w:rsid w:val="00D76F9A"/>
    <w:rsid w:val="00D94877"/>
    <w:rsid w:val="00D96219"/>
    <w:rsid w:val="00DB232F"/>
    <w:rsid w:val="00DC68DA"/>
    <w:rsid w:val="00DD1F4E"/>
    <w:rsid w:val="00DF5D40"/>
    <w:rsid w:val="00E02630"/>
    <w:rsid w:val="00E25AEA"/>
    <w:rsid w:val="00E46FD5"/>
    <w:rsid w:val="00E544CE"/>
    <w:rsid w:val="00E63FBF"/>
    <w:rsid w:val="00E66F03"/>
    <w:rsid w:val="00E70345"/>
    <w:rsid w:val="00E7109D"/>
    <w:rsid w:val="00E82CDF"/>
    <w:rsid w:val="00EA37F7"/>
    <w:rsid w:val="00EC2E0A"/>
    <w:rsid w:val="00ED2EE8"/>
    <w:rsid w:val="00EF7AED"/>
    <w:rsid w:val="00F328D1"/>
    <w:rsid w:val="00F3417C"/>
    <w:rsid w:val="00F460DE"/>
    <w:rsid w:val="00F547B3"/>
    <w:rsid w:val="00F66A92"/>
    <w:rsid w:val="00F74238"/>
    <w:rsid w:val="00F74B5F"/>
    <w:rsid w:val="00F82559"/>
    <w:rsid w:val="00F91664"/>
    <w:rsid w:val="00FA36D6"/>
    <w:rsid w:val="00FB55F2"/>
    <w:rsid w:val="00FD1DC2"/>
    <w:rsid w:val="00FD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15687"/>
  <w15:docId w15:val="{86528A11-30A8-4BCC-A448-E8A52E66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BF"/>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C41197"/>
    <w:pPr>
      <w:keepNext/>
      <w:jc w:val="both"/>
      <w:outlineLvl w:val="0"/>
    </w:pPr>
    <w:rPr>
      <w:rFonts w:ascii="Verdana" w:hAnsi="Verdana"/>
      <w:b/>
      <w:sz w:val="20"/>
      <w:szCs w:val="20"/>
      <w:lang w:val="es-CR"/>
    </w:rPr>
  </w:style>
  <w:style w:type="paragraph" w:styleId="Ttulo2">
    <w:name w:val="heading 2"/>
    <w:next w:val="Body1"/>
    <w:link w:val="Ttulo2Car"/>
    <w:uiPriority w:val="99"/>
    <w:semiHidden/>
    <w:unhideWhenUsed/>
    <w:qFormat/>
    <w:rsid w:val="00E63FBF"/>
    <w:pPr>
      <w:keepNext/>
      <w:spacing w:after="0" w:line="240" w:lineRule="auto"/>
      <w:jc w:val="center"/>
      <w:outlineLvl w:val="1"/>
    </w:pPr>
    <w:rPr>
      <w:rFonts w:ascii="Helvetica" w:eastAsia="ヒラギノ角ゴ Pro W3" w:hAnsi="Helvetica" w:cs="Times New Roman"/>
      <w:b/>
      <w:color w:val="000000"/>
      <w:sz w:val="20"/>
      <w:szCs w:val="20"/>
      <w:lang w:val="es-CR" w:eastAsia="es-MX"/>
    </w:rPr>
  </w:style>
  <w:style w:type="paragraph" w:styleId="Ttulo8">
    <w:name w:val="heading 8"/>
    <w:basedOn w:val="Normal"/>
    <w:next w:val="Normal"/>
    <w:link w:val="Ttulo8Car"/>
    <w:uiPriority w:val="9"/>
    <w:semiHidden/>
    <w:unhideWhenUsed/>
    <w:qFormat/>
    <w:rsid w:val="007B53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63FBF"/>
    <w:pPr>
      <w:jc w:val="center"/>
    </w:pPr>
    <w:rPr>
      <w:rFonts w:ascii="Verdana" w:hAnsi="Verdana"/>
      <w:b/>
      <w:noProof/>
      <w:sz w:val="20"/>
      <w:szCs w:val="20"/>
      <w:lang w:val="es-ES_tradnl"/>
    </w:rPr>
  </w:style>
  <w:style w:type="character" w:customStyle="1" w:styleId="TtuloCar">
    <w:name w:val="Título Car"/>
    <w:basedOn w:val="Fuentedeprrafopredeter"/>
    <w:link w:val="Ttulo"/>
    <w:rsid w:val="00E63FBF"/>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E63FBF"/>
    <w:pPr>
      <w:numPr>
        <w:ilvl w:val="1"/>
      </w:numPr>
      <w:jc w:val="center"/>
    </w:pPr>
    <w:rPr>
      <w:rFonts w:ascii="Verdana" w:hAnsi="Verdana"/>
      <w:b/>
      <w:i/>
      <w:iCs/>
      <w:noProof/>
      <w:spacing w:val="15"/>
      <w:sz w:val="20"/>
      <w:lang w:val="es-ES_tradnl"/>
    </w:rPr>
  </w:style>
  <w:style w:type="character" w:customStyle="1" w:styleId="SubttuloCar">
    <w:name w:val="Subtítulo Car"/>
    <w:basedOn w:val="Fuentedeprrafopredeter"/>
    <w:link w:val="Subttulo"/>
    <w:uiPriority w:val="11"/>
    <w:rsid w:val="00E63FBF"/>
    <w:rPr>
      <w:rFonts w:ascii="Verdana" w:eastAsia="Times New Roman" w:hAnsi="Verdana" w:cs="Times New Roman"/>
      <w:b/>
      <w:i/>
      <w:iCs/>
      <w:noProof/>
      <w:spacing w:val="15"/>
      <w:sz w:val="20"/>
      <w:szCs w:val="24"/>
      <w:lang w:val="es-ES_tradnl"/>
    </w:rPr>
  </w:style>
  <w:style w:type="character" w:customStyle="1" w:styleId="Ttulo2Car">
    <w:name w:val="Título 2 Car"/>
    <w:basedOn w:val="Fuentedeprrafopredeter"/>
    <w:link w:val="Ttulo2"/>
    <w:uiPriority w:val="99"/>
    <w:semiHidden/>
    <w:rsid w:val="00E63FBF"/>
    <w:rPr>
      <w:rFonts w:ascii="Helvetica" w:eastAsia="ヒラギノ角ゴ Pro W3" w:hAnsi="Helvetica" w:cs="Times New Roman"/>
      <w:b/>
      <w:color w:val="000000"/>
      <w:sz w:val="20"/>
      <w:szCs w:val="20"/>
      <w:lang w:val="es-CR" w:eastAsia="es-MX"/>
    </w:rPr>
  </w:style>
  <w:style w:type="character" w:styleId="Hipervnculo">
    <w:name w:val="Hyperlink"/>
    <w:uiPriority w:val="99"/>
    <w:semiHidden/>
    <w:unhideWhenUsed/>
    <w:rsid w:val="00E63FBF"/>
    <w:rPr>
      <w:color w:val="0000FF"/>
      <w:u w:val="single"/>
    </w:rPr>
  </w:style>
  <w:style w:type="paragraph" w:customStyle="1" w:styleId="Body1">
    <w:name w:val="Body 1"/>
    <w:rsid w:val="00E63FBF"/>
    <w:pPr>
      <w:spacing w:after="0" w:line="240" w:lineRule="auto"/>
      <w:outlineLvl w:val="0"/>
    </w:pPr>
    <w:rPr>
      <w:rFonts w:ascii="Helvetica" w:eastAsia="ヒラギノ角ゴ Pro W3" w:hAnsi="Helvetica" w:cs="Times New Roman"/>
      <w:color w:val="000000"/>
      <w:sz w:val="24"/>
      <w:szCs w:val="20"/>
      <w:lang w:eastAsia="es-MX"/>
    </w:rPr>
  </w:style>
  <w:style w:type="character" w:customStyle="1" w:styleId="PrrafodeSentenciaChar">
    <w:name w:val="*. Párrafo de Sentencia Char"/>
    <w:link w:val="PrrafodeSentencia"/>
    <w:locked/>
    <w:rsid w:val="00E63FBF"/>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E63FBF"/>
    <w:pPr>
      <w:spacing w:before="120" w:after="120"/>
      <w:jc w:val="both"/>
    </w:pPr>
    <w:rPr>
      <w:rFonts w:ascii="Verdana" w:eastAsia="Batang" w:hAnsi="Verdana" w:cstheme="minorBidi"/>
      <w:sz w:val="22"/>
      <w:szCs w:val="22"/>
      <w:lang w:val="es-CL" w:eastAsia="es-MX"/>
    </w:rPr>
  </w:style>
  <w:style w:type="paragraph" w:customStyle="1" w:styleId="Default">
    <w:name w:val="Default"/>
    <w:rsid w:val="00E63FBF"/>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Prrafodelista">
    <w:name w:val="List Paragraph"/>
    <w:aliases w:val="Footnote,Párrafo de lista1,List Paragraph2,List Paragraph1,Colorful List - Accent 11,Lista vistosa - Énfasis 11"/>
    <w:basedOn w:val="Normal"/>
    <w:link w:val="PrrafodelistaCar"/>
    <w:uiPriority w:val="34"/>
    <w:qFormat/>
    <w:rsid w:val="00E63FBF"/>
    <w:pPr>
      <w:ind w:left="720"/>
    </w:pPr>
    <w:rPr>
      <w:rFonts w:eastAsia="Calibri"/>
      <w:lang w:val="es-ES_tradnl"/>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nhideWhenUsed/>
    <w:qFormat/>
    <w:rsid w:val="00E63FBF"/>
    <w:rPr>
      <w:rFonts w:ascii="Times New Roman" w:hAnsi="Times New Roman" w:cs="Times New Roman" w:hint="default"/>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Texto nota pie Car,Ca,C"/>
    <w:basedOn w:val="Normal"/>
    <w:link w:val="TextonotapieCar1"/>
    <w:unhideWhenUsed/>
    <w:qFormat/>
    <w:rsid w:val="00225DDB"/>
    <w:pPr>
      <w:spacing w:before="120" w:after="120"/>
      <w:jc w:val="both"/>
    </w:pPr>
    <w:rPr>
      <w:rFonts w:ascii="Verdana" w:eastAsia="Batang" w:hAnsi="Verdana"/>
      <w:noProof/>
      <w:sz w:val="16"/>
      <w:szCs w:val="20"/>
      <w:lang w:val="es-ES_tradnl" w:eastAsia="x-none"/>
    </w:rPr>
  </w:style>
  <w:style w:type="character" w:customStyle="1" w:styleId="FootnoteTextChar">
    <w:name w:val="Footnote Text Char"/>
    <w:aliases w:val="Ca Char,C Char"/>
    <w:basedOn w:val="Fuentedeprrafopredeter"/>
    <w:rsid w:val="00225DDB"/>
    <w:rPr>
      <w:rFonts w:ascii="Times New Roman" w:eastAsia="Times New Roman" w:hAnsi="Times New Roman" w:cs="Times New Roman"/>
      <w:sz w:val="20"/>
      <w:szCs w:val="20"/>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link w:val="Textonotapie"/>
    <w:rsid w:val="00225DDB"/>
    <w:rPr>
      <w:rFonts w:ascii="Verdana" w:eastAsia="Batang" w:hAnsi="Verdana" w:cs="Times New Roman"/>
      <w:noProof/>
      <w:sz w:val="16"/>
      <w:szCs w:val="20"/>
      <w:lang w:val="es-ES_tradnl" w:eastAsia="x-none"/>
    </w:rPr>
  </w:style>
  <w:style w:type="paragraph" w:styleId="Encabezado">
    <w:name w:val="header"/>
    <w:basedOn w:val="Normal"/>
    <w:link w:val="EncabezadoCar"/>
    <w:uiPriority w:val="99"/>
    <w:unhideWhenUsed/>
    <w:rsid w:val="008360F8"/>
    <w:pPr>
      <w:tabs>
        <w:tab w:val="center" w:pos="4419"/>
        <w:tab w:val="right" w:pos="8838"/>
      </w:tabs>
      <w:jc w:val="both"/>
    </w:pPr>
    <w:rPr>
      <w:rFonts w:ascii="Verdana" w:eastAsia="Batang" w:hAnsi="Verdana" w:cs="Times"/>
      <w:noProof/>
      <w:sz w:val="20"/>
      <w:lang w:val="es-ES_tradnl"/>
    </w:rPr>
  </w:style>
  <w:style w:type="character" w:customStyle="1" w:styleId="EncabezadoCar">
    <w:name w:val="Encabezado Car"/>
    <w:basedOn w:val="Fuentedeprrafopredeter"/>
    <w:link w:val="Encabezado"/>
    <w:uiPriority w:val="99"/>
    <w:rsid w:val="008360F8"/>
    <w:rPr>
      <w:rFonts w:ascii="Verdana" w:eastAsia="Batang" w:hAnsi="Verdana" w:cs="Times"/>
      <w:noProof/>
      <w:sz w:val="20"/>
      <w:szCs w:val="24"/>
      <w:lang w:val="es-ES_tradnl"/>
    </w:rPr>
  </w:style>
  <w:style w:type="character" w:customStyle="1" w:styleId="Ttulo8Car">
    <w:name w:val="Título 8 Car"/>
    <w:basedOn w:val="Fuentedeprrafopredeter"/>
    <w:link w:val="Ttulo8"/>
    <w:uiPriority w:val="9"/>
    <w:semiHidden/>
    <w:rsid w:val="007B5320"/>
    <w:rPr>
      <w:rFonts w:asciiTheme="majorHAnsi" w:eastAsiaTheme="majorEastAsia" w:hAnsiTheme="majorHAnsi" w:cstheme="majorBidi"/>
      <w:color w:val="404040" w:themeColor="text1" w:themeTint="BF"/>
      <w:sz w:val="20"/>
      <w:szCs w:val="20"/>
    </w:rPr>
  </w:style>
  <w:style w:type="paragraph" w:customStyle="1" w:styleId="citaindirecta">
    <w:name w:val="cita indirecta"/>
    <w:basedOn w:val="Normal"/>
    <w:uiPriority w:val="99"/>
    <w:rsid w:val="004E0156"/>
    <w:pPr>
      <w:ind w:left="708"/>
      <w:jc w:val="both"/>
    </w:pPr>
    <w:rPr>
      <w:rFonts w:ascii="Verdana" w:hAnsi="Verdana"/>
      <w:noProof/>
      <w:sz w:val="20"/>
      <w:szCs w:val="20"/>
      <w:lang w:val="es-ES_tradnl"/>
    </w:rPr>
  </w:style>
  <w:style w:type="character" w:customStyle="1" w:styleId="PrrafodelistaCar">
    <w:name w:val="Párrafo de lista Car"/>
    <w:aliases w:val="Footnote Car,Párrafo de lista1 Car,List Paragraph2 Car,List Paragraph1 Car,Colorful List - Accent 11 Car,Lista vistosa - Énfasis 11 Car"/>
    <w:basedOn w:val="Fuentedeprrafopredeter"/>
    <w:link w:val="Prrafodelista"/>
    <w:uiPriority w:val="34"/>
    <w:locked/>
    <w:rsid w:val="006B1AC5"/>
    <w:rPr>
      <w:rFonts w:ascii="Times New Roman" w:eastAsia="Calibri" w:hAnsi="Times New Roman" w:cs="Times New Roman"/>
      <w:sz w:val="24"/>
      <w:szCs w:val="24"/>
      <w:lang w:val="es-ES_tradnl"/>
    </w:rPr>
  </w:style>
  <w:style w:type="paragraph" w:styleId="Piedepgina">
    <w:name w:val="footer"/>
    <w:basedOn w:val="Normal"/>
    <w:link w:val="PiedepginaCar"/>
    <w:uiPriority w:val="99"/>
    <w:unhideWhenUsed/>
    <w:rsid w:val="009271A8"/>
    <w:pPr>
      <w:tabs>
        <w:tab w:val="center" w:pos="4513"/>
        <w:tab w:val="right" w:pos="9026"/>
      </w:tabs>
    </w:pPr>
  </w:style>
  <w:style w:type="character" w:customStyle="1" w:styleId="PiedepginaCar">
    <w:name w:val="Pie de página Car"/>
    <w:basedOn w:val="Fuentedeprrafopredeter"/>
    <w:link w:val="Piedepgina"/>
    <w:uiPriority w:val="99"/>
    <w:rsid w:val="009271A8"/>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B56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5634"/>
    <w:rPr>
      <w:rFonts w:ascii="Lucida Grande" w:eastAsia="Times New Roman" w:hAnsi="Lucida Grande" w:cs="Lucida Grande"/>
      <w:sz w:val="18"/>
      <w:szCs w:val="18"/>
    </w:rPr>
  </w:style>
  <w:style w:type="character" w:customStyle="1" w:styleId="Ttulo1Car">
    <w:name w:val="Título 1 Car"/>
    <w:basedOn w:val="Fuentedeprrafopredeter"/>
    <w:link w:val="Ttulo1"/>
    <w:uiPriority w:val="9"/>
    <w:rsid w:val="00C41197"/>
    <w:rPr>
      <w:rFonts w:ascii="Verdana" w:eastAsia="Times New Roman" w:hAnsi="Verdana" w:cs="Times New Roman"/>
      <w:b/>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2579">
      <w:bodyDiv w:val="1"/>
      <w:marLeft w:val="0"/>
      <w:marRight w:val="0"/>
      <w:marTop w:val="0"/>
      <w:marBottom w:val="0"/>
      <w:divBdr>
        <w:top w:val="none" w:sz="0" w:space="0" w:color="auto"/>
        <w:left w:val="none" w:sz="0" w:space="0" w:color="auto"/>
        <w:bottom w:val="none" w:sz="0" w:space="0" w:color="auto"/>
        <w:right w:val="none" w:sz="0" w:space="0" w:color="auto"/>
      </w:divBdr>
    </w:div>
    <w:div w:id="262225022">
      <w:bodyDiv w:val="1"/>
      <w:marLeft w:val="0"/>
      <w:marRight w:val="0"/>
      <w:marTop w:val="0"/>
      <w:marBottom w:val="0"/>
      <w:divBdr>
        <w:top w:val="none" w:sz="0" w:space="0" w:color="auto"/>
        <w:left w:val="none" w:sz="0" w:space="0" w:color="auto"/>
        <w:bottom w:val="none" w:sz="0" w:space="0" w:color="auto"/>
        <w:right w:val="none" w:sz="0" w:space="0" w:color="auto"/>
      </w:divBdr>
    </w:div>
    <w:div w:id="317197765">
      <w:bodyDiv w:val="1"/>
      <w:marLeft w:val="0"/>
      <w:marRight w:val="0"/>
      <w:marTop w:val="0"/>
      <w:marBottom w:val="0"/>
      <w:divBdr>
        <w:top w:val="none" w:sz="0" w:space="0" w:color="auto"/>
        <w:left w:val="none" w:sz="0" w:space="0" w:color="auto"/>
        <w:bottom w:val="none" w:sz="0" w:space="0" w:color="auto"/>
        <w:right w:val="none" w:sz="0" w:space="0" w:color="auto"/>
      </w:divBdr>
    </w:div>
    <w:div w:id="484052580">
      <w:bodyDiv w:val="1"/>
      <w:marLeft w:val="0"/>
      <w:marRight w:val="0"/>
      <w:marTop w:val="0"/>
      <w:marBottom w:val="0"/>
      <w:divBdr>
        <w:top w:val="none" w:sz="0" w:space="0" w:color="auto"/>
        <w:left w:val="none" w:sz="0" w:space="0" w:color="auto"/>
        <w:bottom w:val="none" w:sz="0" w:space="0" w:color="auto"/>
        <w:right w:val="none" w:sz="0" w:space="0" w:color="auto"/>
      </w:divBdr>
    </w:div>
    <w:div w:id="540554599">
      <w:bodyDiv w:val="1"/>
      <w:marLeft w:val="0"/>
      <w:marRight w:val="0"/>
      <w:marTop w:val="0"/>
      <w:marBottom w:val="0"/>
      <w:divBdr>
        <w:top w:val="none" w:sz="0" w:space="0" w:color="auto"/>
        <w:left w:val="none" w:sz="0" w:space="0" w:color="auto"/>
        <w:bottom w:val="none" w:sz="0" w:space="0" w:color="auto"/>
        <w:right w:val="none" w:sz="0" w:space="0" w:color="auto"/>
      </w:divBdr>
    </w:div>
    <w:div w:id="718018017">
      <w:bodyDiv w:val="1"/>
      <w:marLeft w:val="0"/>
      <w:marRight w:val="0"/>
      <w:marTop w:val="0"/>
      <w:marBottom w:val="0"/>
      <w:divBdr>
        <w:top w:val="none" w:sz="0" w:space="0" w:color="auto"/>
        <w:left w:val="none" w:sz="0" w:space="0" w:color="auto"/>
        <w:bottom w:val="none" w:sz="0" w:space="0" w:color="auto"/>
        <w:right w:val="none" w:sz="0" w:space="0" w:color="auto"/>
      </w:divBdr>
    </w:div>
    <w:div w:id="848786708">
      <w:bodyDiv w:val="1"/>
      <w:marLeft w:val="0"/>
      <w:marRight w:val="0"/>
      <w:marTop w:val="0"/>
      <w:marBottom w:val="0"/>
      <w:divBdr>
        <w:top w:val="none" w:sz="0" w:space="0" w:color="auto"/>
        <w:left w:val="none" w:sz="0" w:space="0" w:color="auto"/>
        <w:bottom w:val="none" w:sz="0" w:space="0" w:color="auto"/>
        <w:right w:val="none" w:sz="0" w:space="0" w:color="auto"/>
      </w:divBdr>
    </w:div>
    <w:div w:id="1011300363">
      <w:bodyDiv w:val="1"/>
      <w:marLeft w:val="0"/>
      <w:marRight w:val="0"/>
      <w:marTop w:val="0"/>
      <w:marBottom w:val="0"/>
      <w:divBdr>
        <w:top w:val="none" w:sz="0" w:space="0" w:color="auto"/>
        <w:left w:val="none" w:sz="0" w:space="0" w:color="auto"/>
        <w:bottom w:val="none" w:sz="0" w:space="0" w:color="auto"/>
        <w:right w:val="none" w:sz="0" w:space="0" w:color="auto"/>
      </w:divBdr>
    </w:div>
    <w:div w:id="1043944306">
      <w:bodyDiv w:val="1"/>
      <w:marLeft w:val="0"/>
      <w:marRight w:val="0"/>
      <w:marTop w:val="0"/>
      <w:marBottom w:val="0"/>
      <w:divBdr>
        <w:top w:val="none" w:sz="0" w:space="0" w:color="auto"/>
        <w:left w:val="none" w:sz="0" w:space="0" w:color="auto"/>
        <w:bottom w:val="none" w:sz="0" w:space="0" w:color="auto"/>
        <w:right w:val="none" w:sz="0" w:space="0" w:color="auto"/>
      </w:divBdr>
    </w:div>
    <w:div w:id="1046222138">
      <w:bodyDiv w:val="1"/>
      <w:marLeft w:val="0"/>
      <w:marRight w:val="0"/>
      <w:marTop w:val="0"/>
      <w:marBottom w:val="0"/>
      <w:divBdr>
        <w:top w:val="none" w:sz="0" w:space="0" w:color="auto"/>
        <w:left w:val="none" w:sz="0" w:space="0" w:color="auto"/>
        <w:bottom w:val="none" w:sz="0" w:space="0" w:color="auto"/>
        <w:right w:val="none" w:sz="0" w:space="0" w:color="auto"/>
      </w:divBdr>
    </w:div>
    <w:div w:id="1097678256">
      <w:bodyDiv w:val="1"/>
      <w:marLeft w:val="0"/>
      <w:marRight w:val="0"/>
      <w:marTop w:val="0"/>
      <w:marBottom w:val="0"/>
      <w:divBdr>
        <w:top w:val="none" w:sz="0" w:space="0" w:color="auto"/>
        <w:left w:val="none" w:sz="0" w:space="0" w:color="auto"/>
        <w:bottom w:val="none" w:sz="0" w:space="0" w:color="auto"/>
        <w:right w:val="none" w:sz="0" w:space="0" w:color="auto"/>
      </w:divBdr>
    </w:div>
    <w:div w:id="1388068907">
      <w:bodyDiv w:val="1"/>
      <w:marLeft w:val="0"/>
      <w:marRight w:val="0"/>
      <w:marTop w:val="0"/>
      <w:marBottom w:val="0"/>
      <w:divBdr>
        <w:top w:val="none" w:sz="0" w:space="0" w:color="auto"/>
        <w:left w:val="none" w:sz="0" w:space="0" w:color="auto"/>
        <w:bottom w:val="none" w:sz="0" w:space="0" w:color="auto"/>
        <w:right w:val="none" w:sz="0" w:space="0" w:color="auto"/>
      </w:divBdr>
    </w:div>
    <w:div w:id="1698314154">
      <w:bodyDiv w:val="1"/>
      <w:marLeft w:val="0"/>
      <w:marRight w:val="0"/>
      <w:marTop w:val="0"/>
      <w:marBottom w:val="0"/>
      <w:divBdr>
        <w:top w:val="none" w:sz="0" w:space="0" w:color="auto"/>
        <w:left w:val="none" w:sz="0" w:space="0" w:color="auto"/>
        <w:bottom w:val="none" w:sz="0" w:space="0" w:color="auto"/>
        <w:right w:val="none" w:sz="0" w:space="0" w:color="auto"/>
      </w:divBdr>
    </w:div>
    <w:div w:id="1788575180">
      <w:bodyDiv w:val="1"/>
      <w:marLeft w:val="0"/>
      <w:marRight w:val="0"/>
      <w:marTop w:val="0"/>
      <w:marBottom w:val="0"/>
      <w:divBdr>
        <w:top w:val="none" w:sz="0" w:space="0" w:color="auto"/>
        <w:left w:val="none" w:sz="0" w:space="0" w:color="auto"/>
        <w:bottom w:val="none" w:sz="0" w:space="0" w:color="auto"/>
        <w:right w:val="none" w:sz="0" w:space="0" w:color="auto"/>
      </w:divBdr>
    </w:div>
    <w:div w:id="1865556507">
      <w:bodyDiv w:val="1"/>
      <w:marLeft w:val="0"/>
      <w:marRight w:val="0"/>
      <w:marTop w:val="0"/>
      <w:marBottom w:val="0"/>
      <w:divBdr>
        <w:top w:val="none" w:sz="0" w:space="0" w:color="auto"/>
        <w:left w:val="none" w:sz="0" w:space="0" w:color="auto"/>
        <w:bottom w:val="none" w:sz="0" w:space="0" w:color="auto"/>
        <w:right w:val="none" w:sz="0" w:space="0" w:color="auto"/>
      </w:divBdr>
    </w:div>
    <w:div w:id="1960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teidh.or.cr/caso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4817</Words>
  <Characters>26496</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2019-08-27T20:22:00Z</cp:lastPrinted>
  <dcterms:created xsi:type="dcterms:W3CDTF">2019-08-27T20:22:00Z</dcterms:created>
  <dcterms:modified xsi:type="dcterms:W3CDTF">2019-08-27T20:22:00Z</dcterms:modified>
</cp:coreProperties>
</file>