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860" w:rsidRDefault="003B6860" w:rsidP="00873463">
      <w:pPr>
        <w:pStyle w:val="Footnotes"/>
        <w:ind w:right="-144"/>
        <w:rPr>
          <w:rFonts w:eastAsia="Calibri" w:cs="Calibri"/>
          <w:b/>
          <w:iCs w:val="0"/>
          <w:spacing w:val="0"/>
          <w:sz w:val="20"/>
          <w:szCs w:val="20"/>
          <w:lang w:val="es-CR" w:eastAsia="es-CR" w:bidi="ar-SA"/>
        </w:rPr>
      </w:pPr>
      <w:bookmarkStart w:id="0" w:name="_GoBack"/>
      <w:bookmarkEnd w:id="0"/>
    </w:p>
    <w:p w:rsidR="003B6860" w:rsidRDefault="003B6860" w:rsidP="00873463">
      <w:pPr>
        <w:pStyle w:val="Footnotes"/>
        <w:ind w:right="-144"/>
        <w:rPr>
          <w:rFonts w:eastAsia="Calibri" w:cs="Calibri"/>
          <w:b/>
          <w:iCs w:val="0"/>
          <w:spacing w:val="0"/>
          <w:sz w:val="20"/>
          <w:szCs w:val="20"/>
          <w:lang w:val="es-CR" w:eastAsia="es-CR" w:bidi="ar-SA"/>
        </w:rPr>
      </w:pPr>
    </w:p>
    <w:p w:rsidR="001B2B7F" w:rsidRDefault="001B2B7F" w:rsidP="00873463">
      <w:pPr>
        <w:pStyle w:val="Footnotes"/>
        <w:ind w:right="-144"/>
        <w:rPr>
          <w:rFonts w:eastAsia="Calibri" w:cs="Calibri"/>
          <w:b/>
          <w:iCs w:val="0"/>
          <w:spacing w:val="0"/>
          <w:sz w:val="20"/>
          <w:szCs w:val="20"/>
          <w:lang w:val="es-CR" w:eastAsia="es-CR" w:bidi="ar-SA"/>
        </w:rPr>
      </w:pPr>
    </w:p>
    <w:p w:rsidR="003B6860" w:rsidRDefault="003B6860" w:rsidP="00873463">
      <w:pPr>
        <w:pStyle w:val="Footnotes"/>
        <w:ind w:right="-144"/>
        <w:rPr>
          <w:rFonts w:eastAsia="Calibri" w:cs="Calibri"/>
          <w:b/>
          <w:iCs w:val="0"/>
          <w:spacing w:val="0"/>
          <w:sz w:val="20"/>
          <w:szCs w:val="20"/>
          <w:lang w:val="es-CR" w:eastAsia="es-CR" w:bidi="ar-SA"/>
        </w:rPr>
      </w:pPr>
    </w:p>
    <w:p w:rsidR="00873463" w:rsidRPr="00BE7C13" w:rsidRDefault="00873463" w:rsidP="00873463">
      <w:pPr>
        <w:pStyle w:val="Footnotes"/>
        <w:ind w:right="-144"/>
        <w:rPr>
          <w:rFonts w:eastAsia="Calibri" w:cs="Calibri"/>
          <w:b/>
          <w:iCs w:val="0"/>
          <w:spacing w:val="0"/>
          <w:sz w:val="20"/>
          <w:szCs w:val="20"/>
          <w:lang w:val="es-CR" w:eastAsia="es-CR" w:bidi="ar-SA"/>
        </w:rPr>
      </w:pPr>
      <w:r w:rsidRPr="00BE7C13">
        <w:rPr>
          <w:rFonts w:eastAsia="Calibri" w:cs="Calibri"/>
          <w:b/>
          <w:iCs w:val="0"/>
          <w:spacing w:val="0"/>
          <w:sz w:val="20"/>
          <w:szCs w:val="20"/>
          <w:lang w:val="es-CR" w:eastAsia="es-CR" w:bidi="ar-SA"/>
        </w:rPr>
        <w:t>CORTE INTERAMERICANA DE DERECHOS HUMANOS</w:t>
      </w:r>
      <w:r w:rsidRPr="00BE7C13">
        <w:rPr>
          <w:rFonts w:eastAsia="Calibri" w:cs="Calibri"/>
          <w:b/>
          <w:iCs w:val="0"/>
          <w:spacing w:val="0"/>
          <w:sz w:val="20"/>
          <w:szCs w:val="20"/>
          <w:lang w:val="es-CR" w:eastAsia="es-CR" w:bidi="ar-SA"/>
        </w:rPr>
        <w:footnoteReference w:customMarkFollows="1" w:id="1"/>
        <w:t>*</w:t>
      </w:r>
    </w:p>
    <w:p w:rsidR="00212555" w:rsidRPr="00BE7C13" w:rsidRDefault="00212555" w:rsidP="00873463">
      <w:pPr>
        <w:pStyle w:val="Footnotes"/>
        <w:ind w:right="-144"/>
        <w:rPr>
          <w:rFonts w:eastAsia="Calibri" w:cs="Calibri"/>
          <w:b/>
          <w:iCs w:val="0"/>
          <w:spacing w:val="0"/>
          <w:sz w:val="20"/>
          <w:szCs w:val="20"/>
          <w:lang w:val="es-CR" w:eastAsia="es-CR" w:bidi="ar-SA"/>
        </w:rPr>
      </w:pPr>
    </w:p>
    <w:p w:rsidR="00873463" w:rsidRPr="00BE7C13" w:rsidRDefault="00873463" w:rsidP="00212555">
      <w:pPr>
        <w:widowControl w:val="0"/>
        <w:tabs>
          <w:tab w:val="left" w:pos="567"/>
          <w:tab w:val="left" w:pos="720"/>
          <w:tab w:val="center" w:pos="4707"/>
          <w:tab w:val="right" w:pos="9414"/>
        </w:tabs>
        <w:adjustRightInd w:val="0"/>
        <w:ind w:right="-144"/>
        <w:textAlignment w:val="baseline"/>
        <w:rPr>
          <w:rFonts w:ascii="Verdana" w:hAnsi="Verdana"/>
          <w:b/>
          <w:sz w:val="20"/>
          <w:szCs w:val="20"/>
          <w:lang w:val="es-CR" w:eastAsia="es-CR"/>
        </w:rPr>
      </w:pPr>
      <w:r w:rsidRPr="00BE7C13">
        <w:rPr>
          <w:rFonts w:ascii="Verdana" w:hAnsi="Verdana"/>
          <w:b/>
          <w:sz w:val="20"/>
          <w:szCs w:val="20"/>
          <w:lang w:val="es-CR" w:eastAsia="es-CR"/>
        </w:rPr>
        <w:tab/>
      </w:r>
      <w:r w:rsidRPr="00BE7C13">
        <w:rPr>
          <w:rFonts w:ascii="Verdana" w:hAnsi="Verdana"/>
          <w:b/>
          <w:sz w:val="20"/>
          <w:szCs w:val="20"/>
          <w:lang w:val="es-CR" w:eastAsia="es-CR"/>
        </w:rPr>
        <w:tab/>
      </w:r>
      <w:r w:rsidRPr="00BE7C13">
        <w:rPr>
          <w:rFonts w:ascii="Verdana" w:hAnsi="Verdana"/>
          <w:b/>
          <w:sz w:val="20"/>
          <w:szCs w:val="20"/>
          <w:lang w:val="es-CR" w:eastAsia="es-CR"/>
        </w:rPr>
        <w:tab/>
        <w:t>CASO YARCE Y OTRAS VS. COLOMBIA</w:t>
      </w:r>
    </w:p>
    <w:p w:rsidR="00873463" w:rsidRPr="00BE7C13" w:rsidRDefault="00873463" w:rsidP="00873463">
      <w:pPr>
        <w:widowControl w:val="0"/>
        <w:tabs>
          <w:tab w:val="left" w:pos="567"/>
          <w:tab w:val="left" w:pos="720"/>
        </w:tabs>
        <w:adjustRightInd w:val="0"/>
        <w:ind w:right="-144"/>
        <w:jc w:val="center"/>
        <w:textAlignment w:val="baseline"/>
        <w:rPr>
          <w:rFonts w:ascii="Verdana" w:hAnsi="Verdana" w:cs="Verdana"/>
          <w:b/>
          <w:bCs/>
          <w:snapToGrid w:val="0"/>
          <w:sz w:val="20"/>
          <w:szCs w:val="20"/>
          <w:lang w:val="es-CR" w:eastAsia="es-ES"/>
        </w:rPr>
      </w:pPr>
    </w:p>
    <w:p w:rsidR="00873463" w:rsidRPr="00BE7C13" w:rsidRDefault="00873463" w:rsidP="00873463">
      <w:pPr>
        <w:widowControl w:val="0"/>
        <w:tabs>
          <w:tab w:val="left" w:pos="567"/>
          <w:tab w:val="left" w:pos="720"/>
        </w:tabs>
        <w:adjustRightInd w:val="0"/>
        <w:ind w:right="-144"/>
        <w:jc w:val="center"/>
        <w:textAlignment w:val="baseline"/>
        <w:rPr>
          <w:rFonts w:ascii="Verdana" w:hAnsi="Verdana" w:cs="Verdana"/>
          <w:b/>
          <w:bCs/>
          <w:snapToGrid w:val="0"/>
          <w:sz w:val="20"/>
          <w:szCs w:val="20"/>
          <w:lang w:val="es-CR" w:eastAsia="es-ES"/>
        </w:rPr>
      </w:pPr>
      <w:r w:rsidRPr="00BE7C13">
        <w:rPr>
          <w:rFonts w:ascii="Verdana" w:hAnsi="Verdana" w:cs="Verdana"/>
          <w:b/>
          <w:bCs/>
          <w:snapToGrid w:val="0"/>
          <w:sz w:val="20"/>
          <w:szCs w:val="20"/>
          <w:lang w:val="es-CR" w:eastAsia="es-ES"/>
        </w:rPr>
        <w:t>RESUMEN OFICIAL EMITIDO POR LA CORTE INTERAMERICANA</w:t>
      </w:r>
    </w:p>
    <w:p w:rsidR="00873463" w:rsidRPr="00BE7C13" w:rsidRDefault="00873463" w:rsidP="00873463">
      <w:pPr>
        <w:widowControl w:val="0"/>
        <w:tabs>
          <w:tab w:val="left" w:pos="567"/>
          <w:tab w:val="left" w:pos="720"/>
        </w:tabs>
        <w:adjustRightInd w:val="0"/>
        <w:ind w:right="-144"/>
        <w:jc w:val="center"/>
        <w:textAlignment w:val="baseline"/>
        <w:rPr>
          <w:rFonts w:ascii="Verdana" w:hAnsi="Verdana" w:cs="Verdana"/>
          <w:b/>
          <w:bCs/>
          <w:snapToGrid w:val="0"/>
          <w:sz w:val="20"/>
          <w:szCs w:val="20"/>
          <w:lang w:val="es-CR" w:eastAsia="es-ES"/>
        </w:rPr>
      </w:pPr>
      <w:r w:rsidRPr="00BE7C13">
        <w:rPr>
          <w:rFonts w:ascii="Verdana" w:hAnsi="Verdana" w:cs="Verdana"/>
          <w:b/>
          <w:bCs/>
          <w:snapToGrid w:val="0"/>
          <w:sz w:val="20"/>
          <w:szCs w:val="20"/>
          <w:lang w:val="es-CR" w:eastAsia="es-ES"/>
        </w:rPr>
        <w:t>DE LA SENTENCIA DE 22 DE NOVIEMBRE DE 2016</w:t>
      </w:r>
    </w:p>
    <w:p w:rsidR="00873463" w:rsidRPr="00BE7C13" w:rsidRDefault="00873463" w:rsidP="00873463">
      <w:pPr>
        <w:widowControl w:val="0"/>
        <w:tabs>
          <w:tab w:val="left" w:pos="567"/>
          <w:tab w:val="left" w:pos="720"/>
        </w:tabs>
        <w:adjustRightInd w:val="0"/>
        <w:ind w:right="-144"/>
        <w:jc w:val="center"/>
        <w:textAlignment w:val="baseline"/>
        <w:rPr>
          <w:rFonts w:ascii="Verdana" w:hAnsi="Verdana" w:cs="Verdana"/>
          <w:b/>
          <w:bCs/>
          <w:snapToGrid w:val="0"/>
          <w:sz w:val="20"/>
          <w:szCs w:val="20"/>
          <w:lang w:val="es-CR" w:eastAsia="es-ES"/>
        </w:rPr>
      </w:pPr>
      <w:r w:rsidRPr="00BE7C13">
        <w:rPr>
          <w:rFonts w:ascii="Verdana" w:hAnsi="Verdana" w:cs="Verdana"/>
          <w:b/>
          <w:bCs/>
          <w:snapToGrid w:val="0"/>
          <w:sz w:val="20"/>
          <w:szCs w:val="20"/>
          <w:lang w:val="es-CR" w:eastAsia="es-ES"/>
        </w:rPr>
        <w:t>(</w:t>
      </w:r>
      <w:r w:rsidRPr="00BE7C13">
        <w:rPr>
          <w:rFonts w:ascii="Verdana" w:hAnsi="Verdana" w:cs="Verdana"/>
          <w:b/>
          <w:bCs/>
          <w:i/>
          <w:snapToGrid w:val="0"/>
          <w:sz w:val="20"/>
          <w:szCs w:val="20"/>
          <w:lang w:val="es-CR" w:eastAsia="es-ES"/>
        </w:rPr>
        <w:t>Excepción Preliminar, Fondo, Reparaciones y Costas</w:t>
      </w:r>
      <w:r w:rsidRPr="00BE7C13">
        <w:rPr>
          <w:rFonts w:ascii="Verdana" w:hAnsi="Verdana" w:cs="Verdana"/>
          <w:b/>
          <w:bCs/>
          <w:snapToGrid w:val="0"/>
          <w:sz w:val="20"/>
          <w:szCs w:val="20"/>
          <w:lang w:val="es-CR" w:eastAsia="es-ES"/>
        </w:rPr>
        <w:t>)</w:t>
      </w:r>
    </w:p>
    <w:p w:rsidR="00A62764" w:rsidRPr="00BE7C13" w:rsidRDefault="00A62764">
      <w:pPr>
        <w:rPr>
          <w:rFonts w:ascii="Verdana" w:hAnsi="Verdana"/>
          <w:sz w:val="20"/>
          <w:szCs w:val="20"/>
          <w:lang w:val="es-CR"/>
        </w:rPr>
      </w:pPr>
    </w:p>
    <w:p w:rsidR="00873463" w:rsidRDefault="00873463" w:rsidP="00DF64D7">
      <w:pPr>
        <w:jc w:val="both"/>
        <w:rPr>
          <w:rFonts w:ascii="Verdana" w:hAnsi="Verdana"/>
          <w:sz w:val="20"/>
          <w:szCs w:val="20"/>
          <w:lang w:val="es-ES_tradnl"/>
        </w:rPr>
      </w:pPr>
      <w:r w:rsidRPr="00BE7C13">
        <w:rPr>
          <w:rFonts w:ascii="Verdana" w:hAnsi="Verdana"/>
          <w:sz w:val="20"/>
          <w:szCs w:val="20"/>
          <w:lang w:val="es-CR"/>
        </w:rPr>
        <w:t xml:space="preserve">El 22 de noviembre de 2016 la Corte Interamericana de Derechos Humanos emitió una Sentencia en la que </w:t>
      </w:r>
      <w:r w:rsidR="00483739" w:rsidRPr="00BE7C13">
        <w:rPr>
          <w:rFonts w:ascii="Verdana" w:hAnsi="Verdana"/>
          <w:sz w:val="20"/>
          <w:szCs w:val="20"/>
          <w:lang w:val="es-CR"/>
        </w:rPr>
        <w:t xml:space="preserve">declaró responsable a la República de Colombia </w:t>
      </w:r>
      <w:r w:rsidR="00FB2D8A" w:rsidRPr="00BE7C13">
        <w:rPr>
          <w:rFonts w:ascii="Verdana" w:hAnsi="Verdana"/>
          <w:sz w:val="20"/>
          <w:szCs w:val="20"/>
          <w:lang w:val="es-CR"/>
        </w:rPr>
        <w:t>por</w:t>
      </w:r>
      <w:r w:rsidR="00BE7C13">
        <w:rPr>
          <w:rFonts w:ascii="Verdana" w:hAnsi="Verdana"/>
          <w:sz w:val="20"/>
          <w:szCs w:val="20"/>
          <w:lang w:val="es-CR"/>
        </w:rPr>
        <w:t>: i</w:t>
      </w:r>
      <w:r w:rsidR="005C0D67" w:rsidRPr="00BE7C13">
        <w:rPr>
          <w:rFonts w:ascii="Verdana" w:hAnsi="Verdana"/>
          <w:sz w:val="20"/>
          <w:szCs w:val="20"/>
          <w:lang w:val="es-CR"/>
        </w:rPr>
        <w:t>)</w:t>
      </w:r>
      <w:r w:rsidR="00FB2D8A" w:rsidRPr="00BE7C13">
        <w:rPr>
          <w:rFonts w:ascii="Verdana" w:hAnsi="Verdana"/>
          <w:sz w:val="20"/>
          <w:szCs w:val="20"/>
          <w:lang w:val="es-CR"/>
        </w:rPr>
        <w:t xml:space="preserve"> </w:t>
      </w:r>
      <w:r w:rsidR="00483739" w:rsidRPr="00BE7C13">
        <w:rPr>
          <w:rFonts w:ascii="Verdana" w:hAnsi="Verdana"/>
          <w:sz w:val="20"/>
          <w:szCs w:val="20"/>
          <w:lang w:val="es-CR"/>
        </w:rPr>
        <w:t>la detención il</w:t>
      </w:r>
      <w:r w:rsidR="00B912F8" w:rsidRPr="00BE7C13">
        <w:rPr>
          <w:rFonts w:ascii="Verdana" w:hAnsi="Verdana"/>
          <w:sz w:val="20"/>
          <w:szCs w:val="20"/>
          <w:lang w:val="es-CR"/>
        </w:rPr>
        <w:t>egal y arbitraria de las defensoras de derechos humanos</w:t>
      </w:r>
      <w:r w:rsidR="00483739" w:rsidRPr="00BE7C13">
        <w:rPr>
          <w:rFonts w:ascii="Verdana" w:hAnsi="Verdana"/>
          <w:sz w:val="20"/>
          <w:szCs w:val="20"/>
          <w:lang w:val="es-CR"/>
        </w:rPr>
        <w:t xml:space="preserve"> </w:t>
      </w:r>
      <w:r w:rsidR="00483739" w:rsidRPr="00BE7C13">
        <w:rPr>
          <w:rFonts w:ascii="Verdana" w:hAnsi="Verdana"/>
          <w:sz w:val="20"/>
          <w:szCs w:val="20"/>
          <w:lang w:val="es-ES_tradnl"/>
        </w:rPr>
        <w:t xml:space="preserve">María del Socorro Mosquera Londoño, Mery </w:t>
      </w:r>
      <w:r w:rsidR="00210CB9">
        <w:rPr>
          <w:rFonts w:ascii="Verdana" w:hAnsi="Verdana"/>
          <w:sz w:val="20"/>
          <w:szCs w:val="20"/>
          <w:lang w:val="es-ES_tradnl"/>
        </w:rPr>
        <w:t xml:space="preserve">del Socorro </w:t>
      </w:r>
      <w:r w:rsidR="00483739" w:rsidRPr="00BE7C13">
        <w:rPr>
          <w:rFonts w:ascii="Verdana" w:hAnsi="Verdana"/>
          <w:sz w:val="20"/>
          <w:szCs w:val="20"/>
          <w:lang w:val="es-ES_tradnl"/>
        </w:rPr>
        <w:t xml:space="preserve">Naranjo Jiménez y Ana Teresa </w:t>
      </w:r>
      <w:proofErr w:type="spellStart"/>
      <w:r w:rsidR="00483739" w:rsidRPr="00BE7C13">
        <w:rPr>
          <w:rFonts w:ascii="Verdana" w:hAnsi="Verdana"/>
          <w:sz w:val="20"/>
          <w:szCs w:val="20"/>
          <w:lang w:val="es-ES_tradnl"/>
        </w:rPr>
        <w:t>Yarce</w:t>
      </w:r>
      <w:proofErr w:type="spellEnd"/>
      <w:r w:rsidR="00483739" w:rsidRPr="00BE7C13">
        <w:rPr>
          <w:rFonts w:ascii="Verdana" w:hAnsi="Verdana"/>
          <w:sz w:val="20"/>
          <w:szCs w:val="20"/>
          <w:lang w:val="es-ES_tradnl"/>
        </w:rPr>
        <w:t xml:space="preserve">; </w:t>
      </w:r>
      <w:r w:rsidR="00BE7C13">
        <w:rPr>
          <w:rFonts w:ascii="Verdana" w:hAnsi="Verdana"/>
          <w:sz w:val="20"/>
          <w:szCs w:val="20"/>
          <w:lang w:val="es-ES_tradnl"/>
        </w:rPr>
        <w:t>ii</w:t>
      </w:r>
      <w:r w:rsidR="005C0D67" w:rsidRPr="00BE7C13">
        <w:rPr>
          <w:rFonts w:ascii="Verdana" w:hAnsi="Verdana"/>
          <w:sz w:val="20"/>
          <w:szCs w:val="20"/>
          <w:lang w:val="es-ES_tradnl"/>
        </w:rPr>
        <w:t>)</w:t>
      </w:r>
      <w:r w:rsidR="00483739" w:rsidRPr="00BE7C13">
        <w:rPr>
          <w:rFonts w:ascii="Verdana" w:hAnsi="Verdana"/>
          <w:sz w:val="20"/>
          <w:szCs w:val="20"/>
          <w:lang w:val="es-ES_tradnl"/>
        </w:rPr>
        <w:t xml:space="preserve"> </w:t>
      </w:r>
      <w:r w:rsidR="001F60BA">
        <w:rPr>
          <w:rFonts w:ascii="Verdana" w:hAnsi="Verdana"/>
          <w:sz w:val="20"/>
          <w:szCs w:val="20"/>
          <w:lang w:val="es-ES_tradnl"/>
        </w:rPr>
        <w:t xml:space="preserve">la violación al derecho a la vida de Ana Teresa </w:t>
      </w:r>
      <w:proofErr w:type="spellStart"/>
      <w:r w:rsidR="001F60BA">
        <w:rPr>
          <w:rFonts w:ascii="Verdana" w:hAnsi="Verdana"/>
          <w:sz w:val="20"/>
          <w:szCs w:val="20"/>
          <w:lang w:val="es-ES_tradnl"/>
        </w:rPr>
        <w:t>Yarce</w:t>
      </w:r>
      <w:proofErr w:type="spellEnd"/>
      <w:r w:rsidR="00483739" w:rsidRPr="00BE7C13">
        <w:rPr>
          <w:rFonts w:ascii="Verdana" w:hAnsi="Verdana"/>
          <w:sz w:val="20"/>
          <w:szCs w:val="20"/>
          <w:lang w:val="es-ES_tradnl"/>
        </w:rPr>
        <w:t xml:space="preserve">, </w:t>
      </w:r>
      <w:r w:rsidR="00AD28AA" w:rsidRPr="00BE7C13">
        <w:rPr>
          <w:rFonts w:ascii="Verdana" w:hAnsi="Verdana"/>
          <w:sz w:val="20"/>
          <w:szCs w:val="20"/>
          <w:lang w:val="es-ES_tradnl"/>
        </w:rPr>
        <w:t xml:space="preserve">incumpliendo su deber de prevenir actos de violencia contra la mujer, </w:t>
      </w:r>
      <w:r w:rsidR="00483739" w:rsidRPr="00BE7C13">
        <w:rPr>
          <w:rFonts w:ascii="Verdana" w:hAnsi="Verdana"/>
          <w:sz w:val="20"/>
          <w:szCs w:val="20"/>
          <w:lang w:val="es-ES_tradnl"/>
        </w:rPr>
        <w:t xml:space="preserve">y </w:t>
      </w:r>
      <w:r w:rsidR="00BE7C13">
        <w:rPr>
          <w:rFonts w:ascii="Verdana" w:hAnsi="Verdana"/>
          <w:sz w:val="20"/>
          <w:szCs w:val="20"/>
          <w:lang w:val="es-ES_tradnl"/>
        </w:rPr>
        <w:t>iii</w:t>
      </w:r>
      <w:r w:rsidR="005C0D67" w:rsidRPr="00BE7C13">
        <w:rPr>
          <w:rFonts w:ascii="Verdana" w:hAnsi="Verdana"/>
          <w:sz w:val="20"/>
          <w:szCs w:val="20"/>
          <w:lang w:val="es-ES_tradnl"/>
        </w:rPr>
        <w:t xml:space="preserve">) </w:t>
      </w:r>
      <w:r w:rsidR="00483739" w:rsidRPr="00BE7C13">
        <w:rPr>
          <w:rFonts w:ascii="Verdana" w:hAnsi="Verdana"/>
          <w:sz w:val="20"/>
          <w:szCs w:val="20"/>
          <w:lang w:val="es-ES_tradnl"/>
        </w:rPr>
        <w:t xml:space="preserve">no adoptar medidas adecuadas para propiciar el retorno seguro a sus lugares de residencia de las dos primeras, así como de las </w:t>
      </w:r>
      <w:r w:rsidR="00B912F8" w:rsidRPr="00BE7C13">
        <w:rPr>
          <w:rFonts w:ascii="Verdana" w:hAnsi="Verdana"/>
          <w:sz w:val="20"/>
          <w:szCs w:val="20"/>
          <w:lang w:val="es-ES_tradnl"/>
        </w:rPr>
        <w:t>defensoras de derechos humanos</w:t>
      </w:r>
      <w:r w:rsidR="00483739" w:rsidRPr="00BE7C13">
        <w:rPr>
          <w:rFonts w:ascii="Verdana" w:hAnsi="Verdana"/>
          <w:sz w:val="20"/>
          <w:szCs w:val="20"/>
          <w:lang w:val="es-ES_tradnl"/>
        </w:rPr>
        <w:t xml:space="preserve"> </w:t>
      </w:r>
      <w:r w:rsidR="00B912F8" w:rsidRPr="00BE7C13">
        <w:rPr>
          <w:rFonts w:ascii="Verdana" w:hAnsi="Verdana"/>
          <w:sz w:val="20"/>
          <w:szCs w:val="20"/>
          <w:lang w:val="es-ES_tradnl"/>
        </w:rPr>
        <w:t>Luz Dary Ospina Bastida</w:t>
      </w:r>
      <w:r w:rsidR="00210CB9">
        <w:rPr>
          <w:rFonts w:ascii="Verdana" w:hAnsi="Verdana"/>
          <w:sz w:val="20"/>
          <w:szCs w:val="20"/>
          <w:lang w:val="es-ES_tradnl"/>
        </w:rPr>
        <w:t>s</w:t>
      </w:r>
      <w:r w:rsidR="00B912F8" w:rsidRPr="00BE7C13">
        <w:rPr>
          <w:rFonts w:ascii="Verdana" w:hAnsi="Verdana"/>
          <w:sz w:val="20"/>
          <w:szCs w:val="20"/>
          <w:lang w:val="es-ES_tradnl"/>
        </w:rPr>
        <w:t xml:space="preserve"> y</w:t>
      </w:r>
      <w:r w:rsidR="00483739" w:rsidRPr="00BE7C13">
        <w:rPr>
          <w:rFonts w:ascii="Verdana" w:hAnsi="Verdana"/>
          <w:sz w:val="20"/>
          <w:szCs w:val="20"/>
          <w:lang w:val="es-ES_tradnl"/>
        </w:rPr>
        <w:t xml:space="preserve"> </w:t>
      </w:r>
      <w:proofErr w:type="spellStart"/>
      <w:r w:rsidR="00AD28AA" w:rsidRPr="00BE7C13">
        <w:rPr>
          <w:rFonts w:ascii="Verdana" w:hAnsi="Verdana"/>
          <w:sz w:val="20"/>
          <w:szCs w:val="20"/>
          <w:lang w:val="es-ES_tradnl"/>
        </w:rPr>
        <w:t>Miryam</w:t>
      </w:r>
      <w:proofErr w:type="spellEnd"/>
      <w:r w:rsidR="00AD28AA" w:rsidRPr="00BE7C13">
        <w:rPr>
          <w:rFonts w:ascii="Verdana" w:hAnsi="Verdana"/>
          <w:sz w:val="20"/>
          <w:szCs w:val="20"/>
          <w:lang w:val="es-ES_tradnl"/>
        </w:rPr>
        <w:t xml:space="preserve"> Eugenia Rúa Figueroa</w:t>
      </w:r>
      <w:r w:rsidR="00B912F8" w:rsidRPr="00BE7C13">
        <w:rPr>
          <w:rFonts w:ascii="Verdana" w:hAnsi="Verdana"/>
          <w:sz w:val="20"/>
          <w:szCs w:val="20"/>
          <w:lang w:val="es-ES_tradnl"/>
        </w:rPr>
        <w:t xml:space="preserve">, </w:t>
      </w:r>
      <w:r w:rsidR="00AD28AA" w:rsidRPr="00BE7C13">
        <w:rPr>
          <w:rFonts w:ascii="Verdana" w:hAnsi="Verdana"/>
          <w:sz w:val="20"/>
          <w:szCs w:val="20"/>
          <w:lang w:val="es-ES_tradnl"/>
        </w:rPr>
        <w:t xml:space="preserve">y </w:t>
      </w:r>
      <w:r w:rsidR="00B912F8" w:rsidRPr="00BE7C13">
        <w:rPr>
          <w:rFonts w:ascii="Verdana" w:hAnsi="Verdana"/>
          <w:sz w:val="20"/>
          <w:szCs w:val="20"/>
          <w:lang w:val="es-ES_tradnl"/>
        </w:rPr>
        <w:t xml:space="preserve">de </w:t>
      </w:r>
      <w:r w:rsidR="00AD28AA" w:rsidRPr="00BE7C13">
        <w:rPr>
          <w:rFonts w:ascii="Verdana" w:hAnsi="Verdana"/>
          <w:sz w:val="20"/>
          <w:szCs w:val="20"/>
          <w:lang w:val="es-ES_tradnl"/>
        </w:rPr>
        <w:t xml:space="preserve">los familiares de estas </w:t>
      </w:r>
      <w:r w:rsidR="00343687" w:rsidRPr="00BE7C13">
        <w:rPr>
          <w:rFonts w:ascii="Verdana" w:hAnsi="Verdana"/>
          <w:sz w:val="20"/>
          <w:szCs w:val="20"/>
          <w:lang w:val="es-ES_tradnl"/>
        </w:rPr>
        <w:t xml:space="preserve">dos </w:t>
      </w:r>
      <w:r w:rsidR="00AD28AA" w:rsidRPr="00BE7C13">
        <w:rPr>
          <w:rFonts w:ascii="Verdana" w:hAnsi="Verdana"/>
          <w:sz w:val="20"/>
          <w:szCs w:val="20"/>
          <w:lang w:val="es-ES_tradnl"/>
        </w:rPr>
        <w:t>últimas y de la señora Mosquera que se encontraban en una situación de des</w:t>
      </w:r>
      <w:r w:rsidR="00B912F8" w:rsidRPr="00BE7C13">
        <w:rPr>
          <w:rFonts w:ascii="Verdana" w:hAnsi="Verdana"/>
          <w:sz w:val="20"/>
          <w:szCs w:val="20"/>
          <w:lang w:val="es-ES_tradnl"/>
        </w:rPr>
        <w:t xml:space="preserve">plazamiento forzado </w:t>
      </w:r>
      <w:proofErr w:type="spellStart"/>
      <w:r w:rsidR="00B912F8" w:rsidRPr="00BE7C13">
        <w:rPr>
          <w:rFonts w:ascii="Verdana" w:hAnsi="Verdana"/>
          <w:sz w:val="20"/>
          <w:szCs w:val="20"/>
          <w:lang w:val="es-ES_tradnl"/>
        </w:rPr>
        <w:t>intraurbano</w:t>
      </w:r>
      <w:proofErr w:type="spellEnd"/>
      <w:r w:rsidR="00210CB9" w:rsidRPr="00210CB9">
        <w:rPr>
          <w:rFonts w:ascii="Verdana" w:hAnsi="Verdana"/>
          <w:sz w:val="20"/>
          <w:szCs w:val="20"/>
          <w:lang w:val="es-ES_tradnl"/>
        </w:rPr>
        <w:t xml:space="preserve"> </w:t>
      </w:r>
      <w:r w:rsidR="00210CB9" w:rsidRPr="00BE7C13">
        <w:rPr>
          <w:rFonts w:ascii="Verdana" w:hAnsi="Verdana"/>
          <w:sz w:val="20"/>
          <w:szCs w:val="20"/>
          <w:lang w:val="es-ES_tradnl"/>
        </w:rPr>
        <w:t>quienes se indican más adelante</w:t>
      </w:r>
      <w:r w:rsidR="00AD76B1" w:rsidRPr="00BE7C13">
        <w:rPr>
          <w:rFonts w:ascii="Verdana" w:hAnsi="Verdana"/>
          <w:sz w:val="20"/>
          <w:szCs w:val="20"/>
          <w:lang w:val="es-ES_tradnl"/>
        </w:rPr>
        <w:t>,</w:t>
      </w:r>
      <w:r w:rsidR="00210CB9">
        <w:rPr>
          <w:rFonts w:ascii="Verdana" w:hAnsi="Verdana"/>
          <w:sz w:val="20"/>
          <w:szCs w:val="20"/>
          <w:lang w:val="es-ES_tradnl"/>
        </w:rPr>
        <w:t xml:space="preserve"> y no adoptar las medidas para proteger</w:t>
      </w:r>
      <w:r w:rsidR="00DC7443">
        <w:rPr>
          <w:rFonts w:ascii="Verdana" w:hAnsi="Verdana"/>
          <w:sz w:val="20"/>
          <w:szCs w:val="20"/>
          <w:lang w:val="es-ES_tradnl"/>
        </w:rPr>
        <w:t xml:space="preserve"> </w:t>
      </w:r>
      <w:r w:rsidR="00210CB9">
        <w:rPr>
          <w:rFonts w:ascii="Verdana" w:hAnsi="Verdana"/>
          <w:sz w:val="20"/>
          <w:szCs w:val="20"/>
          <w:lang w:val="es-ES_tradnl"/>
        </w:rPr>
        <w:t xml:space="preserve">sus viviendas y garantizar el uso y disfrute del derecho de propiedad. </w:t>
      </w:r>
      <w:r w:rsidR="00AD28AA" w:rsidRPr="00BE7C13">
        <w:rPr>
          <w:rFonts w:ascii="Verdana" w:hAnsi="Verdana"/>
          <w:sz w:val="20"/>
          <w:szCs w:val="20"/>
          <w:lang w:val="es-ES_tradnl"/>
        </w:rPr>
        <w:t xml:space="preserve"> </w:t>
      </w:r>
    </w:p>
    <w:p w:rsidR="00252C17" w:rsidRPr="00BE7C13" w:rsidRDefault="00252C17" w:rsidP="00AD28AA">
      <w:pPr>
        <w:jc w:val="both"/>
        <w:rPr>
          <w:rFonts w:ascii="Verdana" w:hAnsi="Verdana"/>
          <w:sz w:val="20"/>
          <w:szCs w:val="20"/>
          <w:lang w:val="es-ES_tradnl"/>
        </w:rPr>
      </w:pPr>
    </w:p>
    <w:p w:rsidR="00192407" w:rsidRPr="00BE7C13" w:rsidRDefault="00192407" w:rsidP="00192407">
      <w:pPr>
        <w:pStyle w:val="ListParagraph"/>
        <w:numPr>
          <w:ilvl w:val="0"/>
          <w:numId w:val="1"/>
        </w:numPr>
        <w:jc w:val="both"/>
        <w:rPr>
          <w:rFonts w:ascii="Verdana" w:hAnsi="Verdana"/>
          <w:b/>
          <w:sz w:val="20"/>
          <w:szCs w:val="20"/>
          <w:lang w:val="es-CR"/>
        </w:rPr>
      </w:pPr>
      <w:r w:rsidRPr="00BE7C13">
        <w:rPr>
          <w:rFonts w:ascii="Verdana" w:hAnsi="Verdana"/>
          <w:b/>
          <w:sz w:val="20"/>
          <w:szCs w:val="20"/>
          <w:lang w:val="es-CR"/>
        </w:rPr>
        <w:t>Hechos</w:t>
      </w:r>
    </w:p>
    <w:p w:rsidR="007D0498" w:rsidRPr="00BE7C13" w:rsidRDefault="007D0498" w:rsidP="005C3CF5">
      <w:pPr>
        <w:jc w:val="both"/>
        <w:rPr>
          <w:rFonts w:ascii="Verdana" w:hAnsi="Verdana"/>
          <w:sz w:val="20"/>
          <w:szCs w:val="20"/>
          <w:lang w:val="es-CR"/>
        </w:rPr>
      </w:pPr>
    </w:p>
    <w:p w:rsidR="007D0498" w:rsidRPr="00BE7C13" w:rsidRDefault="007D0498" w:rsidP="005C3CF5">
      <w:pPr>
        <w:jc w:val="both"/>
        <w:rPr>
          <w:rFonts w:ascii="Verdana" w:hAnsi="Verdana" w:cs="Arial"/>
          <w:sz w:val="20"/>
          <w:szCs w:val="20"/>
          <w:lang w:val="es-CR"/>
        </w:rPr>
      </w:pPr>
      <w:r w:rsidRPr="00BE7C13">
        <w:rPr>
          <w:rFonts w:ascii="Verdana" w:hAnsi="Verdana"/>
          <w:sz w:val="20"/>
          <w:szCs w:val="20"/>
          <w:lang w:val="es-CR"/>
        </w:rPr>
        <w:t xml:space="preserve">En 2002 existía en Colombia un conflicto armado interno. En ese marco, el </w:t>
      </w:r>
      <w:r w:rsidRPr="00BE7C13">
        <w:rPr>
          <w:rFonts w:ascii="Verdana" w:hAnsi="Verdana" w:cs="Arial"/>
          <w:sz w:val="20"/>
          <w:szCs w:val="20"/>
          <w:lang w:val="es-CR"/>
        </w:rPr>
        <w:t xml:space="preserve">11 de agosto de 2002 el Poder Ejecutivo emitió el Decreto No. 1837, mediante el cual declaró un “estado de conmoción interior”, que luego de diversas prórrogas, mantuvo vigencia hasta </w:t>
      </w:r>
      <w:r w:rsidRPr="00BE7C13">
        <w:rPr>
          <w:rFonts w:ascii="Verdana" w:hAnsi="Verdana"/>
          <w:sz w:val="20"/>
          <w:szCs w:val="20"/>
          <w:lang w:val="es-ES_tradnl"/>
        </w:rPr>
        <w:t xml:space="preserve">el 6 de mayo de 2003. En desarrollo de ese estado de excepción, el </w:t>
      </w:r>
      <w:r w:rsidRPr="00BE7C13">
        <w:rPr>
          <w:rFonts w:ascii="Verdana" w:hAnsi="Verdana" w:cs="Arial"/>
          <w:sz w:val="20"/>
          <w:szCs w:val="20"/>
          <w:lang w:val="es-CR"/>
        </w:rPr>
        <w:t xml:space="preserve">el 11 de septiembre de 2002 se publicó el Decreto 2002, “por el cual se </w:t>
      </w:r>
      <w:proofErr w:type="gramStart"/>
      <w:r w:rsidRPr="00BE7C13">
        <w:rPr>
          <w:rFonts w:ascii="Verdana" w:hAnsi="Verdana" w:cs="Arial"/>
          <w:sz w:val="20"/>
          <w:szCs w:val="20"/>
          <w:lang w:val="es-CR"/>
        </w:rPr>
        <w:t>adopta[</w:t>
      </w:r>
      <w:proofErr w:type="gramEnd"/>
      <w:r w:rsidRPr="00BE7C13">
        <w:rPr>
          <w:rFonts w:ascii="Verdana" w:hAnsi="Verdana" w:cs="Arial"/>
          <w:sz w:val="20"/>
          <w:szCs w:val="20"/>
          <w:lang w:val="es-CR"/>
        </w:rPr>
        <w:t>ro]n medidas para el control del orden público”</w:t>
      </w:r>
      <w:r w:rsidR="00210CB9">
        <w:rPr>
          <w:rFonts w:ascii="Verdana" w:hAnsi="Verdana" w:cs="Arial"/>
          <w:sz w:val="20"/>
          <w:szCs w:val="20"/>
          <w:lang w:val="es-CR"/>
        </w:rPr>
        <w:t>.</w:t>
      </w:r>
    </w:p>
    <w:p w:rsidR="007D0498" w:rsidRPr="00BE7C13" w:rsidRDefault="007D0498" w:rsidP="005C3CF5">
      <w:pPr>
        <w:jc w:val="both"/>
        <w:rPr>
          <w:rFonts w:ascii="Verdana" w:hAnsi="Verdana" w:cs="Arial"/>
          <w:sz w:val="20"/>
          <w:szCs w:val="20"/>
          <w:lang w:val="es-CR"/>
        </w:rPr>
      </w:pPr>
    </w:p>
    <w:p w:rsidR="007D0498" w:rsidRPr="00BE7C13" w:rsidRDefault="00066C76" w:rsidP="005C3CF5">
      <w:pPr>
        <w:jc w:val="both"/>
        <w:rPr>
          <w:rFonts w:ascii="Verdana" w:hAnsi="Verdana"/>
          <w:sz w:val="20"/>
          <w:szCs w:val="20"/>
          <w:lang w:val="es-CR"/>
        </w:rPr>
      </w:pPr>
      <w:r w:rsidRPr="00BE7C13">
        <w:rPr>
          <w:rFonts w:ascii="Verdana" w:hAnsi="Verdana"/>
          <w:sz w:val="20"/>
          <w:szCs w:val="20"/>
          <w:lang w:val="es-CR"/>
        </w:rPr>
        <w:t xml:space="preserve">Durante </w:t>
      </w:r>
      <w:r w:rsidR="00BD3D9F" w:rsidRPr="00BE7C13">
        <w:rPr>
          <w:rFonts w:ascii="Verdana" w:hAnsi="Verdana"/>
          <w:sz w:val="20"/>
          <w:szCs w:val="20"/>
          <w:lang w:val="es-CR"/>
        </w:rPr>
        <w:t xml:space="preserve">2002, </w:t>
      </w:r>
      <w:r w:rsidRPr="00BE7C13">
        <w:rPr>
          <w:rFonts w:ascii="Verdana" w:hAnsi="Verdana"/>
          <w:sz w:val="20"/>
          <w:szCs w:val="20"/>
          <w:lang w:val="es-CR"/>
        </w:rPr>
        <w:t xml:space="preserve">con el objeto de retomar el control territorial, </w:t>
      </w:r>
      <w:r w:rsidR="007D0498" w:rsidRPr="00BE7C13">
        <w:rPr>
          <w:rFonts w:ascii="Verdana" w:hAnsi="Verdana"/>
          <w:sz w:val="20"/>
          <w:szCs w:val="20"/>
          <w:lang w:val="es-CR"/>
        </w:rPr>
        <w:t>el Estado llevó a cabo varios operativos militares en la Comuna 13 de la ciudad de Medellín</w:t>
      </w:r>
      <w:r w:rsidRPr="00BE7C13">
        <w:rPr>
          <w:rFonts w:ascii="Verdana" w:hAnsi="Verdana"/>
          <w:sz w:val="20"/>
          <w:szCs w:val="20"/>
          <w:lang w:val="es-CR"/>
        </w:rPr>
        <w:t xml:space="preserve">, donde </w:t>
      </w:r>
      <w:r w:rsidRPr="00BE7C13">
        <w:rPr>
          <w:rFonts w:ascii="Verdana" w:hAnsi="Verdana" w:cs="Arial"/>
          <w:sz w:val="20"/>
          <w:szCs w:val="20"/>
          <w:lang w:val="es-ES"/>
        </w:rPr>
        <w:t>a lo largo de las últimas tres décadas se han registrado ciclos de violencia como consecuencia de las confrontaciones entre grupos armados ilegales</w:t>
      </w:r>
      <w:r w:rsidR="007D0498" w:rsidRPr="00BE7C13">
        <w:rPr>
          <w:rFonts w:ascii="Verdana" w:hAnsi="Verdana"/>
          <w:sz w:val="20"/>
          <w:szCs w:val="20"/>
          <w:lang w:val="es-CR"/>
        </w:rPr>
        <w:t xml:space="preserve">. </w:t>
      </w:r>
      <w:r w:rsidRPr="00BE7C13">
        <w:rPr>
          <w:rFonts w:ascii="Verdana" w:hAnsi="Verdana"/>
          <w:sz w:val="20"/>
          <w:szCs w:val="20"/>
          <w:lang w:val="es-CR"/>
        </w:rPr>
        <w:t>En particular</w:t>
      </w:r>
      <w:r w:rsidR="00210CB9">
        <w:rPr>
          <w:rFonts w:ascii="Verdana" w:hAnsi="Verdana"/>
          <w:sz w:val="20"/>
          <w:szCs w:val="20"/>
          <w:lang w:val="es-CR"/>
        </w:rPr>
        <w:t>,</w:t>
      </w:r>
      <w:r w:rsidRPr="00BE7C13">
        <w:rPr>
          <w:rFonts w:ascii="Verdana" w:hAnsi="Verdana"/>
          <w:sz w:val="20"/>
          <w:szCs w:val="20"/>
          <w:lang w:val="es-CR"/>
        </w:rPr>
        <w:t xml:space="preserve"> el operativo denominado Orión, que inició el 16 de octubre de ese año, </w:t>
      </w:r>
      <w:r w:rsidRPr="00BE7C13" w:rsidDel="007514B9">
        <w:rPr>
          <w:rFonts w:ascii="Verdana" w:hAnsi="Verdana" w:cs="Arial"/>
          <w:sz w:val="20"/>
          <w:szCs w:val="20"/>
          <w:lang w:val="es-CR"/>
        </w:rPr>
        <w:t xml:space="preserve">causó el debilitamiento de la presencia </w:t>
      </w:r>
      <w:r w:rsidRPr="00BE7C13">
        <w:rPr>
          <w:rFonts w:ascii="Verdana" w:hAnsi="Verdana" w:cs="Arial"/>
          <w:sz w:val="20"/>
          <w:szCs w:val="20"/>
          <w:lang w:val="es-CR"/>
        </w:rPr>
        <w:t>guerrillera</w:t>
      </w:r>
      <w:r w:rsidRPr="00BE7C13" w:rsidDel="007514B9">
        <w:rPr>
          <w:rFonts w:ascii="Verdana" w:hAnsi="Verdana" w:cs="Arial"/>
          <w:sz w:val="20"/>
          <w:szCs w:val="20"/>
          <w:lang w:val="es-CR"/>
        </w:rPr>
        <w:t xml:space="preserve"> en la Comuna 13</w:t>
      </w:r>
      <w:r w:rsidRPr="00BE7C13">
        <w:rPr>
          <w:rFonts w:ascii="Verdana" w:hAnsi="Verdana" w:cs="Arial"/>
          <w:sz w:val="20"/>
          <w:szCs w:val="20"/>
          <w:lang w:val="es-CR"/>
        </w:rPr>
        <w:t xml:space="preserve">, </w:t>
      </w:r>
      <w:proofErr w:type="gramStart"/>
      <w:r w:rsidRPr="00BE7C13">
        <w:rPr>
          <w:rFonts w:ascii="Verdana" w:hAnsi="Verdana" w:cs="Arial"/>
          <w:sz w:val="20"/>
          <w:szCs w:val="20"/>
          <w:lang w:val="es-CR"/>
        </w:rPr>
        <w:t>mas</w:t>
      </w:r>
      <w:proofErr w:type="gramEnd"/>
      <w:r w:rsidRPr="00BE7C13" w:rsidDel="007514B9">
        <w:rPr>
          <w:rFonts w:ascii="Verdana" w:hAnsi="Verdana" w:cs="Arial"/>
          <w:sz w:val="20"/>
          <w:szCs w:val="20"/>
          <w:lang w:val="es-CR"/>
        </w:rPr>
        <w:t xml:space="preserve"> no trajo aparejado el fin de la presencia y actividad de </w:t>
      </w:r>
      <w:r w:rsidRPr="00BE7C13">
        <w:rPr>
          <w:rFonts w:ascii="Verdana" w:hAnsi="Verdana" w:cs="Arial"/>
          <w:sz w:val="20"/>
          <w:szCs w:val="20"/>
          <w:lang w:val="es-CR"/>
        </w:rPr>
        <w:t xml:space="preserve">todos los </w:t>
      </w:r>
      <w:r w:rsidRPr="00BE7C13" w:rsidDel="007514B9">
        <w:rPr>
          <w:rFonts w:ascii="Verdana" w:hAnsi="Verdana" w:cs="Arial"/>
          <w:sz w:val="20"/>
          <w:szCs w:val="20"/>
          <w:lang w:val="es-CR"/>
        </w:rPr>
        <w:t>grupos armados ilegales</w:t>
      </w:r>
      <w:r w:rsidRPr="00BE7C13">
        <w:rPr>
          <w:rFonts w:ascii="Verdana" w:hAnsi="Verdana" w:cs="Arial"/>
          <w:sz w:val="20"/>
          <w:szCs w:val="20"/>
          <w:lang w:val="es-CR"/>
        </w:rPr>
        <w:t xml:space="preserve">. Como consecuencia de las amenazas y los enfrentamientos armados que se generaron en el territorio se produjo un fenómeno de desplazamiento </w:t>
      </w:r>
      <w:proofErr w:type="spellStart"/>
      <w:r w:rsidRPr="00BE7C13">
        <w:rPr>
          <w:rFonts w:ascii="Verdana" w:hAnsi="Verdana" w:cs="Arial"/>
          <w:sz w:val="20"/>
          <w:szCs w:val="20"/>
          <w:lang w:val="es-CR"/>
        </w:rPr>
        <w:t>intraurbano</w:t>
      </w:r>
      <w:proofErr w:type="spellEnd"/>
      <w:r w:rsidRPr="00BE7C13">
        <w:rPr>
          <w:rFonts w:ascii="Verdana" w:hAnsi="Verdana" w:cs="Arial"/>
          <w:sz w:val="20"/>
          <w:szCs w:val="20"/>
          <w:lang w:val="es-CR"/>
        </w:rPr>
        <w:t>, en que muchas personas se vieron forzadas a desplazarse a diferentes zonas de Medellín</w:t>
      </w:r>
      <w:r w:rsidRPr="00BE7C13">
        <w:rPr>
          <w:rFonts w:ascii="Verdana" w:hAnsi="Verdana"/>
          <w:sz w:val="20"/>
          <w:szCs w:val="20"/>
          <w:lang w:val="es-CR"/>
        </w:rPr>
        <w:t xml:space="preserve"> </w:t>
      </w:r>
    </w:p>
    <w:p w:rsidR="007D0498" w:rsidRPr="00BE7C13" w:rsidRDefault="007D0498" w:rsidP="005C3CF5">
      <w:pPr>
        <w:jc w:val="both"/>
        <w:rPr>
          <w:rFonts w:ascii="Verdana" w:hAnsi="Verdana"/>
          <w:sz w:val="20"/>
          <w:szCs w:val="20"/>
          <w:lang w:val="es-CR"/>
        </w:rPr>
      </w:pPr>
    </w:p>
    <w:p w:rsidR="007D0498" w:rsidRPr="00BE7C13" w:rsidRDefault="00066C76" w:rsidP="005C3CF5">
      <w:pPr>
        <w:jc w:val="both"/>
        <w:rPr>
          <w:rFonts w:ascii="Verdana" w:hAnsi="Verdana"/>
          <w:sz w:val="20"/>
          <w:szCs w:val="20"/>
          <w:lang w:val="es-CR"/>
        </w:rPr>
      </w:pPr>
      <w:r w:rsidRPr="00BE7C13">
        <w:rPr>
          <w:rFonts w:ascii="Verdana" w:hAnsi="Verdana"/>
          <w:sz w:val="20"/>
          <w:szCs w:val="20"/>
          <w:lang w:val="es-MX"/>
        </w:rPr>
        <w:lastRenderedPageBreak/>
        <w:t xml:space="preserve">Por otra parte, para 2001 </w:t>
      </w:r>
      <w:r w:rsidR="00522C77" w:rsidRPr="00BE7C13">
        <w:rPr>
          <w:rFonts w:ascii="Verdana" w:hAnsi="Verdana"/>
          <w:sz w:val="20"/>
          <w:szCs w:val="20"/>
          <w:lang w:val="es-MX"/>
        </w:rPr>
        <w:t>e</w:t>
      </w:r>
      <w:r w:rsidR="00FB56DB" w:rsidRPr="00BE7C13">
        <w:rPr>
          <w:rFonts w:ascii="Verdana" w:hAnsi="Verdana"/>
          <w:sz w:val="20"/>
          <w:szCs w:val="20"/>
          <w:lang w:val="es-MX"/>
        </w:rPr>
        <w:t xml:space="preserve">xistía un contexto de violencia </w:t>
      </w:r>
      <w:r w:rsidR="00522C77" w:rsidRPr="00BE7C13">
        <w:rPr>
          <w:rFonts w:ascii="Verdana" w:hAnsi="Verdana"/>
          <w:sz w:val="20"/>
          <w:szCs w:val="20"/>
          <w:lang w:val="es-MX"/>
        </w:rPr>
        <w:t xml:space="preserve">habitual, generalizada y sistemática </w:t>
      </w:r>
      <w:r w:rsidR="00FB56DB" w:rsidRPr="00BE7C13">
        <w:rPr>
          <w:rFonts w:ascii="Verdana" w:hAnsi="Verdana"/>
          <w:sz w:val="20"/>
          <w:szCs w:val="20"/>
          <w:lang w:val="es-MX"/>
        </w:rPr>
        <w:t>en perjuicio de las mujeres</w:t>
      </w:r>
      <w:r w:rsidR="00522C77" w:rsidRPr="00BE7C13">
        <w:rPr>
          <w:rFonts w:ascii="Verdana" w:hAnsi="Verdana"/>
          <w:sz w:val="20"/>
          <w:szCs w:val="20"/>
          <w:lang w:val="es-MX"/>
        </w:rPr>
        <w:t xml:space="preserve">, quienes, para 2002, se veían afectadas por el conflicto armado, </w:t>
      </w:r>
      <w:r w:rsidR="00D422C7">
        <w:rPr>
          <w:rFonts w:ascii="Verdana" w:hAnsi="Verdana"/>
          <w:sz w:val="20"/>
          <w:szCs w:val="20"/>
          <w:lang w:val="es-MX"/>
        </w:rPr>
        <w:t>y en particular, e</w:t>
      </w:r>
      <w:r w:rsidR="005B1758">
        <w:rPr>
          <w:rFonts w:ascii="Verdana" w:hAnsi="Verdana"/>
          <w:sz w:val="20"/>
          <w:szCs w:val="20"/>
          <w:lang w:val="es-MX"/>
        </w:rPr>
        <w:t>n caso de</w:t>
      </w:r>
      <w:r w:rsidR="00D422C7">
        <w:rPr>
          <w:rFonts w:ascii="Verdana" w:hAnsi="Verdana"/>
          <w:sz w:val="20"/>
          <w:szCs w:val="20"/>
          <w:lang w:val="es-MX"/>
        </w:rPr>
        <w:t xml:space="preserve"> </w:t>
      </w:r>
      <w:r w:rsidR="00522C77" w:rsidRPr="00BE7C13">
        <w:rPr>
          <w:rFonts w:ascii="Verdana" w:hAnsi="Verdana"/>
          <w:sz w:val="20"/>
          <w:szCs w:val="20"/>
          <w:lang w:val="es-MX"/>
        </w:rPr>
        <w:t xml:space="preserve">las mujeres desplazadas </w:t>
      </w:r>
      <w:r w:rsidR="00D422C7">
        <w:rPr>
          <w:rFonts w:ascii="Verdana" w:hAnsi="Verdana"/>
          <w:sz w:val="20"/>
          <w:szCs w:val="20"/>
          <w:lang w:val="es-MX"/>
        </w:rPr>
        <w:t xml:space="preserve">que se encontrarían en una </w:t>
      </w:r>
      <w:r w:rsidR="00522C77" w:rsidRPr="00BE7C13">
        <w:rPr>
          <w:rFonts w:ascii="Verdana" w:hAnsi="Verdana"/>
          <w:sz w:val="20"/>
          <w:szCs w:val="20"/>
          <w:lang w:val="es-MX"/>
        </w:rPr>
        <w:t xml:space="preserve">situación de especial vulnerabilidad. </w:t>
      </w:r>
      <w:r w:rsidR="00D40620">
        <w:rPr>
          <w:rFonts w:ascii="Verdana" w:hAnsi="Verdana"/>
          <w:sz w:val="20"/>
          <w:szCs w:val="20"/>
          <w:lang w:val="es-MX"/>
        </w:rPr>
        <w:t>Igualmente</w:t>
      </w:r>
      <w:r w:rsidR="00522C77" w:rsidRPr="00BE7C13">
        <w:rPr>
          <w:rFonts w:ascii="Verdana" w:hAnsi="Verdana"/>
          <w:sz w:val="20"/>
          <w:szCs w:val="20"/>
          <w:lang w:val="es-MX"/>
        </w:rPr>
        <w:t xml:space="preserve">, </w:t>
      </w:r>
      <w:r w:rsidR="00522C77" w:rsidRPr="00BE7C13">
        <w:rPr>
          <w:rFonts w:ascii="Verdana" w:hAnsi="Verdana" w:cs="Arial"/>
          <w:sz w:val="20"/>
          <w:szCs w:val="20"/>
          <w:lang w:val="es-CR"/>
        </w:rPr>
        <w:t>en la Comuna 13 las mujeres</w:t>
      </w:r>
      <w:r w:rsidR="00522C77" w:rsidRPr="00BE7C13">
        <w:rPr>
          <w:rFonts w:ascii="Verdana" w:hAnsi="Verdana" w:cs="Arial"/>
          <w:b/>
          <w:sz w:val="20"/>
          <w:szCs w:val="20"/>
          <w:lang w:val="es-CR"/>
        </w:rPr>
        <w:t xml:space="preserve"> </w:t>
      </w:r>
      <w:r w:rsidR="00522C77" w:rsidRPr="00BE7C13">
        <w:rPr>
          <w:rFonts w:ascii="Verdana" w:hAnsi="Verdana" w:cs="Arial"/>
          <w:sz w:val="20"/>
          <w:szCs w:val="20"/>
          <w:lang w:val="es-CR"/>
        </w:rPr>
        <w:t xml:space="preserve">fueron afectadas especialmente por la violencia y por el fenómeno del desplazamiento </w:t>
      </w:r>
      <w:proofErr w:type="spellStart"/>
      <w:r w:rsidR="00522C77" w:rsidRPr="00BE7C13">
        <w:rPr>
          <w:rFonts w:ascii="Verdana" w:hAnsi="Verdana" w:cs="Arial"/>
          <w:sz w:val="20"/>
          <w:szCs w:val="20"/>
          <w:lang w:val="es-CR"/>
        </w:rPr>
        <w:t>intraurbano</w:t>
      </w:r>
      <w:proofErr w:type="spellEnd"/>
      <w:r w:rsidR="00522C77" w:rsidRPr="00BE7C13">
        <w:rPr>
          <w:rFonts w:ascii="Verdana" w:hAnsi="Verdana" w:cs="Arial"/>
          <w:sz w:val="20"/>
          <w:szCs w:val="20"/>
          <w:lang w:val="es-CR"/>
        </w:rPr>
        <w:t xml:space="preserve">. </w:t>
      </w:r>
      <w:r w:rsidR="00371B5F" w:rsidRPr="00BE7C13">
        <w:rPr>
          <w:rFonts w:ascii="Verdana" w:hAnsi="Verdana" w:cs="Arial"/>
          <w:sz w:val="20"/>
          <w:szCs w:val="20"/>
          <w:lang w:val="es-CR"/>
        </w:rPr>
        <w:t xml:space="preserve">Además, </w:t>
      </w:r>
      <w:r w:rsidR="00D40620">
        <w:rPr>
          <w:rFonts w:ascii="Verdana" w:hAnsi="Verdana" w:cs="Arial"/>
          <w:sz w:val="20"/>
          <w:szCs w:val="20"/>
          <w:lang w:val="es-CR"/>
        </w:rPr>
        <w:t>existía</w:t>
      </w:r>
      <w:r w:rsidR="00371B5F" w:rsidRPr="00BE7C13">
        <w:rPr>
          <w:rFonts w:ascii="Verdana" w:hAnsi="Verdana"/>
          <w:sz w:val="20"/>
          <w:szCs w:val="20"/>
          <w:lang w:val="es-MX"/>
        </w:rPr>
        <w:t xml:space="preserve"> contexto de violencia en perjuicio de las mujeres defensoras de derechos humanos en Colombia</w:t>
      </w:r>
      <w:r w:rsidR="00371B5F" w:rsidRPr="00E80D33">
        <w:rPr>
          <w:rFonts w:ascii="Verdana" w:hAnsi="Verdana"/>
          <w:color w:val="000000"/>
          <w:sz w:val="20"/>
          <w:szCs w:val="20"/>
          <w:lang w:val="es-CO"/>
        </w:rPr>
        <w:t>, y según se ha documentado,</w:t>
      </w:r>
      <w:r w:rsidR="00371B5F" w:rsidRPr="00BE7C13">
        <w:rPr>
          <w:rFonts w:ascii="Verdana" w:hAnsi="Verdana"/>
          <w:color w:val="000000"/>
          <w:sz w:val="20"/>
          <w:szCs w:val="20"/>
          <w:shd w:val="clear" w:color="auto" w:fill="FFFFFF"/>
          <w:lang w:val="es-CO"/>
        </w:rPr>
        <w:t xml:space="preserve"> </w:t>
      </w:r>
      <w:r w:rsidR="00371B5F" w:rsidRPr="00BE7C13" w:rsidDel="0036032B">
        <w:rPr>
          <w:rFonts w:ascii="Verdana" w:hAnsi="Verdana" w:cs="Arial"/>
          <w:sz w:val="20"/>
          <w:szCs w:val="20"/>
          <w:lang w:val="es-ES"/>
        </w:rPr>
        <w:t xml:space="preserve">líderes y representantes comunitarios </w:t>
      </w:r>
      <w:r w:rsidR="00371B5F" w:rsidRPr="00BE7C13">
        <w:rPr>
          <w:rFonts w:ascii="Verdana" w:hAnsi="Verdana" w:cs="Arial"/>
          <w:sz w:val="20"/>
          <w:szCs w:val="20"/>
          <w:lang w:val="es-ES"/>
        </w:rPr>
        <w:t xml:space="preserve">de la Comuna 13 se hallaban en una situación de </w:t>
      </w:r>
      <w:r w:rsidR="00371B5F" w:rsidRPr="00BE7C13" w:rsidDel="0036032B">
        <w:rPr>
          <w:rFonts w:ascii="Verdana" w:hAnsi="Verdana" w:cs="Arial"/>
          <w:sz w:val="20"/>
          <w:szCs w:val="20"/>
          <w:lang w:val="es-ES"/>
        </w:rPr>
        <w:t>riesg</w:t>
      </w:r>
      <w:r w:rsidR="00371B5F" w:rsidRPr="00BE7C13">
        <w:rPr>
          <w:rFonts w:ascii="Verdana" w:hAnsi="Verdana" w:cs="Arial"/>
          <w:sz w:val="20"/>
          <w:szCs w:val="20"/>
          <w:lang w:val="es-ES"/>
        </w:rPr>
        <w:t>o.</w:t>
      </w:r>
      <w:r w:rsidR="00371B5F" w:rsidRPr="00BE7C13" w:rsidDel="0036032B">
        <w:rPr>
          <w:rFonts w:ascii="Verdana" w:hAnsi="Verdana" w:cs="Arial"/>
          <w:sz w:val="20"/>
          <w:szCs w:val="20"/>
          <w:lang w:val="es-ES"/>
        </w:rPr>
        <w:t xml:space="preserve"> </w:t>
      </w:r>
    </w:p>
    <w:p w:rsidR="005C3CF5" w:rsidRPr="00BE7C13" w:rsidRDefault="005C3CF5" w:rsidP="005C3CF5">
      <w:pPr>
        <w:jc w:val="both"/>
        <w:rPr>
          <w:rFonts w:ascii="Verdana" w:hAnsi="Verdana"/>
          <w:sz w:val="20"/>
          <w:szCs w:val="20"/>
          <w:lang w:val="es-CR"/>
        </w:rPr>
      </w:pPr>
    </w:p>
    <w:p w:rsidR="0032014A" w:rsidRPr="00BE7C13" w:rsidRDefault="005E044D" w:rsidP="00904EA9">
      <w:pPr>
        <w:pStyle w:val="Estilo1"/>
        <w:tabs>
          <w:tab w:val="clear" w:pos="567"/>
          <w:tab w:val="clear" w:pos="1134"/>
          <w:tab w:val="clear" w:pos="18012"/>
        </w:tabs>
        <w:spacing w:after="0"/>
        <w:ind w:right="-144"/>
        <w:rPr>
          <w:lang w:val="es-CR"/>
        </w:rPr>
      </w:pPr>
      <w:r w:rsidRPr="00BE7C13">
        <w:rPr>
          <w:i/>
          <w:lang w:val="es-ES_tradnl"/>
        </w:rPr>
        <w:t>Hechos relativos a la señora</w:t>
      </w:r>
      <w:r w:rsidR="0032014A" w:rsidRPr="00BE7C13">
        <w:rPr>
          <w:i/>
          <w:lang w:val="es-ES_tradnl"/>
        </w:rPr>
        <w:t xml:space="preserve"> Rúa</w:t>
      </w:r>
      <w:r w:rsidR="0032014A" w:rsidRPr="00BE7C13">
        <w:rPr>
          <w:rFonts w:cs="Arial"/>
          <w:i/>
          <w:lang w:val="es-CO"/>
        </w:rPr>
        <w:t xml:space="preserve"> y sus familiares.</w:t>
      </w:r>
      <w:r w:rsidR="0032014A" w:rsidRPr="00BE7C13">
        <w:rPr>
          <w:rFonts w:cs="Arial"/>
          <w:lang w:val="es-CO"/>
        </w:rPr>
        <w:t xml:space="preserve"> - La señora Rúa</w:t>
      </w:r>
      <w:r w:rsidR="00904EA9" w:rsidRPr="00BE7C13">
        <w:rPr>
          <w:rFonts w:cs="Arial"/>
          <w:lang w:val="es-CO"/>
        </w:rPr>
        <w:t>, sus hijas y su compañero permanente se vieron obligados</w:t>
      </w:r>
      <w:r w:rsidR="0032014A" w:rsidRPr="00BE7C13">
        <w:rPr>
          <w:rFonts w:cs="Arial"/>
          <w:lang w:val="es-CO"/>
        </w:rPr>
        <w:t xml:space="preserve"> a dejar la Comuna 13 </w:t>
      </w:r>
      <w:r w:rsidR="000B39DC">
        <w:rPr>
          <w:rFonts w:cs="Arial"/>
          <w:lang w:val="es-CO"/>
        </w:rPr>
        <w:t xml:space="preserve">entre </w:t>
      </w:r>
      <w:proofErr w:type="spellStart"/>
      <w:r w:rsidR="000B39DC">
        <w:rPr>
          <w:rFonts w:cs="Arial"/>
          <w:lang w:val="es-CO"/>
        </w:rPr>
        <w:t>e</w:t>
      </w:r>
      <w:proofErr w:type="spellEnd"/>
      <w:r w:rsidR="0032014A" w:rsidRPr="00BE7C13">
        <w:rPr>
          <w:rFonts w:cs="Arial"/>
          <w:lang w:val="es-CO"/>
        </w:rPr>
        <w:t xml:space="preserve"> 24</w:t>
      </w:r>
      <w:r w:rsidR="000B39DC">
        <w:rPr>
          <w:rFonts w:cs="Arial"/>
          <w:lang w:val="es-CO"/>
        </w:rPr>
        <w:t xml:space="preserve"> y 26</w:t>
      </w:r>
      <w:r w:rsidR="0032014A" w:rsidRPr="00BE7C13">
        <w:rPr>
          <w:rFonts w:cs="Arial"/>
          <w:lang w:val="es-CO"/>
        </w:rPr>
        <w:t xml:space="preserve"> de junio de 2002</w:t>
      </w:r>
      <w:r w:rsidR="00904EA9" w:rsidRPr="00BE7C13">
        <w:rPr>
          <w:rFonts w:cs="Arial"/>
          <w:lang w:val="es-CO"/>
        </w:rPr>
        <w:t>.</w:t>
      </w:r>
      <w:r w:rsidR="0032014A" w:rsidRPr="00BE7C13">
        <w:rPr>
          <w:rFonts w:cs="Arial"/>
          <w:lang w:val="es-CO"/>
        </w:rPr>
        <w:t xml:space="preserve"> </w:t>
      </w:r>
      <w:r w:rsidR="00F24D35" w:rsidRPr="00BE7C13">
        <w:rPr>
          <w:rFonts w:cs="Arial"/>
          <w:lang w:val="es-CO"/>
        </w:rPr>
        <w:t>Ello fue motivado</w:t>
      </w:r>
      <w:r w:rsidR="00904EA9" w:rsidRPr="00BE7C13">
        <w:rPr>
          <w:rFonts w:cs="Arial"/>
          <w:lang w:val="es-CO"/>
        </w:rPr>
        <w:t xml:space="preserve">, según declaró ella, </w:t>
      </w:r>
      <w:r w:rsidR="00F24D35" w:rsidRPr="00BE7C13">
        <w:rPr>
          <w:rFonts w:cs="Arial"/>
          <w:lang w:val="es-CO"/>
        </w:rPr>
        <w:t>por</w:t>
      </w:r>
      <w:r w:rsidR="00904EA9" w:rsidRPr="00BE7C13">
        <w:rPr>
          <w:rFonts w:cs="Arial"/>
          <w:lang w:val="es-CO"/>
        </w:rPr>
        <w:t xml:space="preserve"> </w:t>
      </w:r>
      <w:r w:rsidR="0032014A" w:rsidRPr="00BE7C13">
        <w:rPr>
          <w:rFonts w:cs="Arial"/>
          <w:lang w:val="es-CO"/>
        </w:rPr>
        <w:t>enfrentamientos en el lugar</w:t>
      </w:r>
      <w:r w:rsidR="00F24D35" w:rsidRPr="00BE7C13">
        <w:rPr>
          <w:rFonts w:cs="Arial"/>
          <w:lang w:val="es-CO"/>
        </w:rPr>
        <w:t xml:space="preserve"> y porque</w:t>
      </w:r>
      <w:r w:rsidR="0032014A" w:rsidRPr="00BE7C13">
        <w:rPr>
          <w:rFonts w:cs="Arial"/>
          <w:lang w:val="es-CO"/>
        </w:rPr>
        <w:t xml:space="preserve"> le comentaron que su nombre estaba en un listado de personas que los paramilitares pretendían asesinar.</w:t>
      </w:r>
      <w:r w:rsidR="0032014A" w:rsidRPr="00DC7443">
        <w:rPr>
          <w:rFonts w:cs="Arial"/>
          <w:lang w:val="es-CO"/>
        </w:rPr>
        <w:t xml:space="preserve"> </w:t>
      </w:r>
      <w:r w:rsidR="0032014A" w:rsidRPr="00BE7C13">
        <w:rPr>
          <w:lang w:val="es-CR"/>
        </w:rPr>
        <w:t xml:space="preserve">El 8 de julio </w:t>
      </w:r>
      <w:r w:rsidR="000B39DC">
        <w:rPr>
          <w:lang w:val="es-CR"/>
        </w:rPr>
        <w:t>de 2002</w:t>
      </w:r>
      <w:r w:rsidR="0032014A" w:rsidRPr="00BE7C13">
        <w:rPr>
          <w:lang w:val="es-CR"/>
        </w:rPr>
        <w:t>presentó una denuncia penal por el desplazamiento, refiriendo también que</w:t>
      </w:r>
      <w:r w:rsidR="0032014A" w:rsidRPr="00BE7C13">
        <w:rPr>
          <w:rFonts w:cs="Arial"/>
          <w:lang w:val="es-CR"/>
        </w:rPr>
        <w:t xml:space="preserve"> su casa había sido ocupada por paramilitares y </w:t>
      </w:r>
      <w:r w:rsidR="00904EA9" w:rsidRPr="00BE7C13">
        <w:rPr>
          <w:rFonts w:cs="Arial"/>
          <w:lang w:val="es-CR"/>
        </w:rPr>
        <w:t xml:space="preserve">luego </w:t>
      </w:r>
      <w:r w:rsidR="0032014A" w:rsidRPr="00BE7C13">
        <w:rPr>
          <w:rFonts w:cs="Arial"/>
          <w:lang w:val="es-CR"/>
        </w:rPr>
        <w:t>destruida.</w:t>
      </w:r>
      <w:r w:rsidR="0032014A" w:rsidRPr="00BE7C13">
        <w:rPr>
          <w:lang w:val="es-CR"/>
        </w:rPr>
        <w:t xml:space="preserve"> </w:t>
      </w:r>
      <w:r w:rsidR="00904EA9" w:rsidRPr="00BE7C13">
        <w:rPr>
          <w:rFonts w:cs="Verdana"/>
          <w:lang w:val="es-CR"/>
        </w:rPr>
        <w:t>La investigación estuvo suspendida en dos oportunidades</w:t>
      </w:r>
      <w:r w:rsidR="0069487F">
        <w:rPr>
          <w:rFonts w:cs="Verdana"/>
          <w:lang w:val="es-CR"/>
        </w:rPr>
        <w:t xml:space="preserve"> y</w:t>
      </w:r>
      <w:r w:rsidR="00904EA9" w:rsidRPr="00BE7C13">
        <w:rPr>
          <w:lang w:val="es-CR"/>
        </w:rPr>
        <w:t xml:space="preserve"> </w:t>
      </w:r>
      <w:r w:rsidR="009E4D85" w:rsidRPr="00BE7C13">
        <w:rPr>
          <w:lang w:val="es-CR"/>
        </w:rPr>
        <w:t>d</w:t>
      </w:r>
      <w:r w:rsidR="00904EA9" w:rsidRPr="00BE7C13">
        <w:rPr>
          <w:lang w:val="es-CR"/>
        </w:rPr>
        <w:t>e acuerdo a información con que cuenta la Corte, s</w:t>
      </w:r>
      <w:r w:rsidR="00904EA9" w:rsidRPr="00BE7C13">
        <w:rPr>
          <w:rFonts w:cs="Verdana"/>
          <w:lang w:val="es-CR"/>
        </w:rPr>
        <w:t>e encuentra en etapa de instrucción. Por otra parte, l</w:t>
      </w:r>
      <w:r w:rsidR="00904EA9" w:rsidRPr="00BE7C13">
        <w:rPr>
          <w:lang w:val="es-CR"/>
        </w:rPr>
        <w:t>a señora Rúa solicitó su inscripción en el “Registro Único de Desplazados” (RUD) en varias oportunidades desde 2002 hasta el 2010, sin lograrlo, aun cuando presentó dos acciones de tutela</w:t>
      </w:r>
      <w:r w:rsidR="000B39DC" w:rsidRPr="000B39DC">
        <w:rPr>
          <w:lang w:val="es-CR"/>
        </w:rPr>
        <w:t xml:space="preserve"> y </w:t>
      </w:r>
      <w:r w:rsidR="000B39DC" w:rsidRPr="00DC7443">
        <w:rPr>
          <w:lang w:val="es-CR"/>
        </w:rPr>
        <w:t>el 6 de marzo de 2014 se ordenó su inscripción como desplazada</w:t>
      </w:r>
      <w:r w:rsidR="000B39DC" w:rsidRPr="00BE7C13">
        <w:rPr>
          <w:lang w:val="es-CR"/>
        </w:rPr>
        <w:t>.</w:t>
      </w:r>
      <w:r w:rsidR="00904EA9" w:rsidRPr="00BE7C13">
        <w:rPr>
          <w:lang w:val="es-CR"/>
        </w:rPr>
        <w:t xml:space="preserve"> </w:t>
      </w:r>
      <w:r w:rsidR="000B39DC">
        <w:rPr>
          <w:lang w:val="es-CR"/>
        </w:rPr>
        <w:t>El</w:t>
      </w:r>
      <w:r w:rsidR="00904EA9" w:rsidRPr="00BE7C13">
        <w:rPr>
          <w:lang w:val="es-CR"/>
        </w:rPr>
        <w:t xml:space="preserve"> 16 de abril de 2007 el Estado le asignó un monto de ayuda humanitaria</w:t>
      </w:r>
      <w:r w:rsidR="00982EB0">
        <w:rPr>
          <w:lang w:val="es-CR"/>
        </w:rPr>
        <w:t>.</w:t>
      </w:r>
      <w:r w:rsidR="00904EA9" w:rsidRPr="00BE7C13">
        <w:rPr>
          <w:lang w:val="es-CR"/>
        </w:rPr>
        <w:t xml:space="preserve"> </w:t>
      </w:r>
      <w:r w:rsidR="0032014A" w:rsidRPr="00BE7C13">
        <w:rPr>
          <w:lang w:val="es-CR"/>
        </w:rPr>
        <w:t>La señora Rúa</w:t>
      </w:r>
      <w:r w:rsidR="00904EA9" w:rsidRPr="00BE7C13">
        <w:rPr>
          <w:lang w:val="es-CR"/>
        </w:rPr>
        <w:t xml:space="preserve"> no ha podido reanudar sus actividades en la JAC,</w:t>
      </w:r>
      <w:r w:rsidR="0032014A" w:rsidRPr="00BE7C13">
        <w:rPr>
          <w:lang w:val="es-CR"/>
        </w:rPr>
        <w:t xml:space="preserve"> y </w:t>
      </w:r>
      <w:r w:rsidR="00904EA9" w:rsidRPr="00BE7C13">
        <w:rPr>
          <w:lang w:val="es-CR"/>
        </w:rPr>
        <w:t xml:space="preserve">ella y </w:t>
      </w:r>
      <w:r w:rsidR="0032014A" w:rsidRPr="00BE7C13">
        <w:rPr>
          <w:lang w:val="es-CR"/>
        </w:rPr>
        <w:t xml:space="preserve">sus familiares viven actualmente en un municipio cercano a la ciudad de Medellín. </w:t>
      </w:r>
    </w:p>
    <w:p w:rsidR="00BD5773" w:rsidRPr="00BE7C13" w:rsidRDefault="00BD5773" w:rsidP="00BD5773">
      <w:pPr>
        <w:pStyle w:val="Estilo5"/>
        <w:tabs>
          <w:tab w:val="clear" w:pos="0"/>
        </w:tabs>
        <w:autoSpaceDE w:val="0"/>
        <w:spacing w:after="0" w:line="240" w:lineRule="auto"/>
        <w:ind w:right="-144"/>
        <w:rPr>
          <w:b/>
          <w:spacing w:val="0"/>
        </w:rPr>
      </w:pPr>
    </w:p>
    <w:p w:rsidR="00AB6B98" w:rsidRPr="00BE7C13" w:rsidRDefault="005E044D" w:rsidP="005E044D">
      <w:pPr>
        <w:pStyle w:val="Estilo5"/>
        <w:tabs>
          <w:tab w:val="clear" w:pos="0"/>
        </w:tabs>
        <w:autoSpaceDE w:val="0"/>
        <w:spacing w:after="0" w:line="240" w:lineRule="auto"/>
        <w:ind w:right="-144"/>
        <w:rPr>
          <w:b/>
          <w:spacing w:val="0"/>
        </w:rPr>
      </w:pPr>
      <w:r w:rsidRPr="00BE7C13">
        <w:rPr>
          <w:i/>
          <w:lang w:val="es-ES_tradnl"/>
        </w:rPr>
        <w:t>Hechos relativos a la señora Ospina y sus familiares.-</w:t>
      </w:r>
      <w:r w:rsidRPr="00BE7C13">
        <w:rPr>
          <w:lang w:val="es-ES_tradnl"/>
        </w:rPr>
        <w:t xml:space="preserve"> </w:t>
      </w:r>
      <w:r w:rsidR="00BD5773" w:rsidRPr="00BE7C13">
        <w:rPr>
          <w:rFonts w:cs="Arial"/>
        </w:rPr>
        <w:t>E</w:t>
      </w:r>
      <w:r w:rsidR="00BD5773" w:rsidRPr="00BE7C13">
        <w:rPr>
          <w:rFonts w:cs="Arial"/>
          <w:lang w:val="es-CR"/>
        </w:rPr>
        <w:t>l 12 de noviembre de 2002 la señora Ospina se fue del barrio con su esposo y sus tres hijos. Declaró que lo hizo por la violencia y persecución que sufrían las lideresas en la Comuna 13</w:t>
      </w:r>
      <w:r w:rsidR="00067E74" w:rsidRPr="00BE7C13">
        <w:rPr>
          <w:rFonts w:cs="Arial"/>
          <w:lang w:val="es-CR"/>
        </w:rPr>
        <w:t>,</w:t>
      </w:r>
      <w:r w:rsidR="00BD5773" w:rsidRPr="00BE7C13">
        <w:rPr>
          <w:rFonts w:cs="Arial"/>
          <w:lang w:val="es-CR"/>
        </w:rPr>
        <w:t xml:space="preserve"> porque escuchó que</w:t>
      </w:r>
      <w:r w:rsidR="00067E74" w:rsidRPr="00BE7C13">
        <w:rPr>
          <w:rFonts w:cs="Arial"/>
          <w:lang w:val="es-CR"/>
        </w:rPr>
        <w:t xml:space="preserve"> </w:t>
      </w:r>
      <w:r w:rsidR="00BD5773" w:rsidRPr="00BE7C13">
        <w:rPr>
          <w:rFonts w:cs="Arial"/>
          <w:lang w:val="es-CR"/>
        </w:rPr>
        <w:t>podía ser detenida y que</w:t>
      </w:r>
      <w:r w:rsidR="00067E74" w:rsidRPr="00BE7C13">
        <w:rPr>
          <w:rFonts w:cs="Arial"/>
          <w:lang w:val="es-CR"/>
        </w:rPr>
        <w:t xml:space="preserve"> se encontraba en un la lista de personas que los paramilitares “estaban buscando”. </w:t>
      </w:r>
      <w:r w:rsidR="00BD5773" w:rsidRPr="00BE7C13">
        <w:rPr>
          <w:rFonts w:cs="Arial"/>
          <w:lang w:val="es-CO"/>
        </w:rPr>
        <w:t>Autoridades judiciales establecieron que ella “se vio obligada a desplazarse” por “las amenazas proferidas en su contra por un grupo irregular”.</w:t>
      </w:r>
      <w:r w:rsidR="00590230">
        <w:rPr>
          <w:rFonts w:cs="Arial"/>
          <w:lang w:val="es-CO"/>
        </w:rPr>
        <w:t xml:space="preserve"> La señora Ospina indicó que a</w:t>
      </w:r>
      <w:r w:rsidR="00067E74" w:rsidRPr="00BE7C13">
        <w:rPr>
          <w:rFonts w:cs="Arial"/>
          <w:lang w:val="es-CO"/>
        </w:rPr>
        <w:t xml:space="preserve">unque después su esposo e hijo regresaron con el fin de proteger su vivienda, y luego alquilaron el inmueble, </w:t>
      </w:r>
      <w:r w:rsidR="0096454F" w:rsidRPr="00BE7C13">
        <w:rPr>
          <w:rFonts w:cs="Arial"/>
          <w:lang w:val="es-CO"/>
        </w:rPr>
        <w:t xml:space="preserve">hubo diversos actos de intromisión en la residencia, que finalmente fue destruida. </w:t>
      </w:r>
      <w:r w:rsidR="00AB6B98" w:rsidRPr="00BE7C13">
        <w:rPr>
          <w:rFonts w:cs="Arial"/>
          <w:lang w:val="es-CO"/>
        </w:rPr>
        <w:t xml:space="preserve">Ella denunció los hechos el </w:t>
      </w:r>
      <w:r w:rsidR="00AB6B98" w:rsidRPr="00BE7C13">
        <w:rPr>
          <w:lang w:val="es-CR"/>
        </w:rPr>
        <w:t xml:space="preserve">18 de julio de 2003. La investigación fue suspendida </w:t>
      </w:r>
      <w:r w:rsidR="00AB6B98" w:rsidRPr="00BE7C13">
        <w:rPr>
          <w:rFonts w:cs="Arial"/>
          <w:lang w:val="es-CO"/>
        </w:rPr>
        <w:t>el 5 de septiembre de 2006 y reabierta el 22 de enero de 2008. El 29 de junio de 2009 y el 31 de marzo de 2014 se dictaron dos sentencias condenatorias</w:t>
      </w:r>
      <w:r w:rsidR="00D422C7">
        <w:rPr>
          <w:rFonts w:cs="Arial"/>
          <w:lang w:val="es-CO"/>
        </w:rPr>
        <w:t xml:space="preserve"> contra</w:t>
      </w:r>
      <w:r w:rsidR="00E37F34">
        <w:rPr>
          <w:rFonts w:cs="Arial"/>
          <w:lang w:val="es-CO"/>
        </w:rPr>
        <w:t xml:space="preserve"> dos integrantes de </w:t>
      </w:r>
      <w:r w:rsidR="0069487F">
        <w:rPr>
          <w:rFonts w:cs="Arial"/>
          <w:lang w:val="es-CO"/>
        </w:rPr>
        <w:t>grupos armados ilegales</w:t>
      </w:r>
      <w:r w:rsidR="00AB6B98" w:rsidRPr="00BE7C13">
        <w:rPr>
          <w:rFonts w:cs="Arial"/>
          <w:lang w:val="es-CO"/>
        </w:rPr>
        <w:t xml:space="preserve">. Por otro lado, </w:t>
      </w:r>
      <w:r w:rsidR="00AB6B98" w:rsidRPr="00BE7C13">
        <w:rPr>
          <w:rFonts w:cs="Arial"/>
          <w:lang w:val="es-ES"/>
        </w:rPr>
        <w:t>la señora Ospina solicitó su inscripción en el RUD, lo que en primer término fue denegado. No obstante luego, el 13 de febrero de 2004 se ordenó su inclusión.</w:t>
      </w:r>
      <w:r w:rsidR="00AB6B98" w:rsidRPr="00DC7443">
        <w:rPr>
          <w:rFonts w:cs="Arial"/>
          <w:lang w:val="es-ES"/>
        </w:rPr>
        <w:t xml:space="preserve"> </w:t>
      </w:r>
      <w:r w:rsidR="00AB6B98" w:rsidRPr="00BE7C13">
        <w:rPr>
          <w:rFonts w:cs="Arial"/>
          <w:lang w:val="es-ES"/>
        </w:rPr>
        <w:t>Entre el</w:t>
      </w:r>
      <w:r w:rsidR="00AB6B98" w:rsidRPr="00DC7443">
        <w:rPr>
          <w:rFonts w:cs="Arial"/>
          <w:lang w:val="es-ES"/>
        </w:rPr>
        <w:t xml:space="preserve"> </w:t>
      </w:r>
      <w:r w:rsidR="00AB6B98" w:rsidRPr="00BE7C13">
        <w:rPr>
          <w:rFonts w:cs="Arial"/>
          <w:lang w:val="es-ES"/>
        </w:rPr>
        <w:t xml:space="preserve">20 de agosto de 2004 y el 26 de julio de 2005 ella, su esposo y una hija residieron en Uruguay, por ser beneficiarios de un programa de la Iglesia Católica de “Salida Temporal de Colombianos”. La señora Ospina no ha vuelto al barrio, </w:t>
      </w:r>
      <w:r w:rsidR="00590230">
        <w:rPr>
          <w:rFonts w:cs="Arial"/>
          <w:lang w:val="es-ES"/>
        </w:rPr>
        <w:t>y vive en otro sector de Medellí</w:t>
      </w:r>
      <w:r w:rsidR="00AB6B98" w:rsidRPr="00BE7C13">
        <w:rPr>
          <w:rFonts w:cs="Arial"/>
          <w:lang w:val="es-ES"/>
        </w:rPr>
        <w:t>n.</w:t>
      </w:r>
    </w:p>
    <w:p w:rsidR="00BD5773" w:rsidRPr="00BE7C13" w:rsidRDefault="00BD5773" w:rsidP="00BD5773">
      <w:pPr>
        <w:tabs>
          <w:tab w:val="left" w:pos="0"/>
        </w:tabs>
        <w:ind w:left="3" w:right="-144"/>
        <w:jc w:val="both"/>
        <w:rPr>
          <w:rFonts w:ascii="Verdana" w:hAnsi="Verdana" w:cs="Arial"/>
          <w:sz w:val="20"/>
          <w:szCs w:val="20"/>
          <w:lang w:val="es-MX"/>
        </w:rPr>
      </w:pPr>
    </w:p>
    <w:p w:rsidR="00847850" w:rsidRPr="00BE7C13" w:rsidRDefault="005E044D" w:rsidP="0028557C">
      <w:pPr>
        <w:pStyle w:val="Estilo5"/>
        <w:autoSpaceDE w:val="0"/>
        <w:spacing w:after="0" w:line="240" w:lineRule="auto"/>
        <w:ind w:right="-144"/>
        <w:rPr>
          <w:i/>
          <w:spacing w:val="0"/>
        </w:rPr>
      </w:pPr>
      <w:r w:rsidRPr="00BE7C13">
        <w:rPr>
          <w:i/>
          <w:spacing w:val="0"/>
        </w:rPr>
        <w:t xml:space="preserve">Hechos relativos a las señoras Naranjo, Mosquera, </w:t>
      </w:r>
      <w:proofErr w:type="spellStart"/>
      <w:r w:rsidRPr="00BE7C13">
        <w:rPr>
          <w:i/>
          <w:spacing w:val="0"/>
        </w:rPr>
        <w:t>Yarce</w:t>
      </w:r>
      <w:proofErr w:type="spellEnd"/>
      <w:r w:rsidRPr="00BE7C13">
        <w:rPr>
          <w:i/>
          <w:spacing w:val="0"/>
        </w:rPr>
        <w:t xml:space="preserve"> y sus familiares.- </w:t>
      </w:r>
      <w:r w:rsidR="00967CBB" w:rsidRPr="00BE7C13">
        <w:rPr>
          <w:rFonts w:cs="Arial"/>
          <w:lang w:val="es-CR"/>
        </w:rPr>
        <w:t xml:space="preserve">El </w:t>
      </w:r>
      <w:r w:rsidR="00967CBB" w:rsidRPr="00BE7C13">
        <w:rPr>
          <w:lang w:val="es-CR"/>
        </w:rPr>
        <w:t xml:space="preserve">12 </w:t>
      </w:r>
      <w:r w:rsidR="00967CBB" w:rsidRPr="00BE7C13">
        <w:rPr>
          <w:rFonts w:cs="Arial"/>
          <w:lang w:val="es-CR"/>
        </w:rPr>
        <w:t xml:space="preserve">de noviembre de </w:t>
      </w:r>
      <w:r w:rsidR="00967CBB" w:rsidRPr="00BE7C13">
        <w:rPr>
          <w:lang w:val="es-CR"/>
        </w:rPr>
        <w:t xml:space="preserve">2002 las señoras Naranjo, Mosquera y </w:t>
      </w:r>
      <w:proofErr w:type="spellStart"/>
      <w:r w:rsidR="00967CBB" w:rsidRPr="00BE7C13">
        <w:rPr>
          <w:lang w:val="es-CR"/>
        </w:rPr>
        <w:t>Yarce</w:t>
      </w:r>
      <w:proofErr w:type="spellEnd"/>
      <w:r w:rsidR="00967CBB" w:rsidRPr="00BE7C13">
        <w:rPr>
          <w:lang w:val="es-CR"/>
        </w:rPr>
        <w:t xml:space="preserve"> fueron detenidas sin orden judicial, con base en dichos de dos personas que indicaron que ellas </w:t>
      </w:r>
      <w:r w:rsidR="00967CBB" w:rsidRPr="00BE7C13">
        <w:rPr>
          <w:rFonts w:cs="Arial"/>
          <w:lang w:val="es-CR"/>
        </w:rPr>
        <w:t>“eran milicianas” y que se estaban cambiando de domicilio</w:t>
      </w:r>
      <w:r w:rsidR="008B45E3" w:rsidRPr="00BE7C13">
        <w:rPr>
          <w:rFonts w:cs="Arial"/>
          <w:lang w:val="es-CR"/>
        </w:rPr>
        <w:t xml:space="preserve">. </w:t>
      </w:r>
      <w:r w:rsidR="00F47C37" w:rsidRPr="00BE7C13">
        <w:rPr>
          <w:lang w:val="es-CR"/>
        </w:rPr>
        <w:t xml:space="preserve">El 22 de </w:t>
      </w:r>
      <w:r w:rsidR="00A9391E">
        <w:rPr>
          <w:lang w:val="es-CR"/>
        </w:rPr>
        <w:t>esos mes y año</w:t>
      </w:r>
      <w:r w:rsidR="00982EB0">
        <w:rPr>
          <w:lang w:val="es-CR"/>
        </w:rPr>
        <w:t xml:space="preserve"> </w:t>
      </w:r>
      <w:r w:rsidR="00F47C37" w:rsidRPr="00BE7C13">
        <w:rPr>
          <w:lang w:val="es-CR"/>
        </w:rPr>
        <w:t xml:space="preserve">quedaron en libertad, luego que el Fiscal interviniente emitiera una resolución señalando la falta de elementos para afirmar que hubieran cometido un delito. El 22 de mayo de 2003 se ordenó archivar el expediente. </w:t>
      </w:r>
      <w:r w:rsidR="008B45E3" w:rsidRPr="00BE7C13">
        <w:rPr>
          <w:lang w:val="es-CR"/>
        </w:rPr>
        <w:t xml:space="preserve">El </w:t>
      </w:r>
      <w:r w:rsidR="00A9391E">
        <w:rPr>
          <w:lang w:val="es-CR"/>
        </w:rPr>
        <w:t xml:space="preserve">29 de junio de 2006 se ordenó la apertura de </w:t>
      </w:r>
      <w:r w:rsidR="008B45E3" w:rsidRPr="00BE7C13">
        <w:rPr>
          <w:lang w:val="es-CR"/>
        </w:rPr>
        <w:t xml:space="preserve">actuaciones disciplinarias para investigar la detención, que fueron archivadas el </w:t>
      </w:r>
      <w:r w:rsidR="00F47C37" w:rsidRPr="00BE7C13">
        <w:rPr>
          <w:lang w:val="es-CR"/>
        </w:rPr>
        <w:t>9 de noviembre del 2007</w:t>
      </w:r>
      <w:r w:rsidR="008B45E3" w:rsidRPr="00BE7C13">
        <w:rPr>
          <w:lang w:val="es-CR"/>
        </w:rPr>
        <w:t xml:space="preserve"> sin determinar responsabilidades</w:t>
      </w:r>
      <w:r w:rsidR="00F47C37" w:rsidRPr="00BE7C13">
        <w:rPr>
          <w:lang w:val="es-CR"/>
        </w:rPr>
        <w:t>.</w:t>
      </w:r>
      <w:r w:rsidR="008B45E3" w:rsidRPr="00BE7C13">
        <w:rPr>
          <w:lang w:val="es-CR"/>
        </w:rPr>
        <w:t xml:space="preserve"> </w:t>
      </w:r>
    </w:p>
    <w:p w:rsidR="00847850" w:rsidRPr="00BE7C13" w:rsidRDefault="00847850" w:rsidP="008B45E3">
      <w:pPr>
        <w:autoSpaceDE w:val="0"/>
        <w:autoSpaceDN w:val="0"/>
        <w:adjustRightInd w:val="0"/>
        <w:ind w:right="-144"/>
        <w:jc w:val="both"/>
        <w:rPr>
          <w:rFonts w:ascii="Verdana" w:hAnsi="Verdana"/>
          <w:sz w:val="20"/>
          <w:szCs w:val="20"/>
          <w:lang w:val="es-CR"/>
        </w:rPr>
      </w:pPr>
    </w:p>
    <w:p w:rsidR="00EF6442" w:rsidRPr="00BE7C13" w:rsidRDefault="008B45E3" w:rsidP="00847850">
      <w:pPr>
        <w:autoSpaceDE w:val="0"/>
        <w:autoSpaceDN w:val="0"/>
        <w:adjustRightInd w:val="0"/>
        <w:ind w:right="-144"/>
        <w:jc w:val="both"/>
        <w:rPr>
          <w:rFonts w:ascii="Verdana" w:hAnsi="Verdana"/>
          <w:sz w:val="20"/>
          <w:szCs w:val="20"/>
          <w:lang w:val="es-CR"/>
        </w:rPr>
      </w:pPr>
      <w:r w:rsidRPr="00BE7C13">
        <w:rPr>
          <w:rFonts w:ascii="Verdana" w:hAnsi="Verdana"/>
          <w:sz w:val="20"/>
          <w:szCs w:val="20"/>
          <w:lang w:val="es-CR"/>
        </w:rPr>
        <w:lastRenderedPageBreak/>
        <w:t>Conforme lo constatado por autoridades judiciales, luego de su liberación las tres señoras “fueron intimidadas por los grupos paramilitares a causa de las labores comunitarias”.</w:t>
      </w:r>
      <w:r w:rsidR="00847850" w:rsidRPr="00BE7C13">
        <w:rPr>
          <w:rFonts w:ascii="Verdana" w:hAnsi="Verdana"/>
          <w:sz w:val="20"/>
          <w:szCs w:val="20"/>
          <w:lang w:val="es-CR"/>
        </w:rPr>
        <w:t xml:space="preserve"> </w:t>
      </w:r>
      <w:r w:rsidR="00EF6442" w:rsidRPr="00BE7C13">
        <w:rPr>
          <w:rFonts w:ascii="Verdana" w:hAnsi="Verdana"/>
          <w:sz w:val="20"/>
          <w:szCs w:val="20"/>
          <w:lang w:val="es-CR"/>
        </w:rPr>
        <w:t>El 22 de noviembre de 2002 la señora Mosquera, su hija</w:t>
      </w:r>
      <w:r w:rsidR="00AD76B1" w:rsidRPr="00BE7C13">
        <w:rPr>
          <w:rFonts w:ascii="Verdana" w:hAnsi="Verdana"/>
          <w:sz w:val="20"/>
          <w:szCs w:val="20"/>
          <w:lang w:val="es-ES_tradnl"/>
        </w:rPr>
        <w:t xml:space="preserve"> Hilda Milena Villa Mosquera, y el ni</w:t>
      </w:r>
      <w:r w:rsidR="00E37F34">
        <w:rPr>
          <w:rFonts w:ascii="Verdana" w:hAnsi="Verdana"/>
          <w:sz w:val="20"/>
          <w:szCs w:val="20"/>
          <w:lang w:val="es-ES_tradnl"/>
        </w:rPr>
        <w:t>e</w:t>
      </w:r>
      <w:r w:rsidR="00AD76B1" w:rsidRPr="00BE7C13">
        <w:rPr>
          <w:rFonts w:ascii="Verdana" w:hAnsi="Verdana"/>
          <w:sz w:val="20"/>
          <w:szCs w:val="20"/>
          <w:lang w:val="es-ES_tradnl"/>
        </w:rPr>
        <w:t xml:space="preserve">to de la primera, </w:t>
      </w:r>
      <w:proofErr w:type="spellStart"/>
      <w:r w:rsidR="00AD76B1" w:rsidRPr="00BE7C13">
        <w:rPr>
          <w:rFonts w:ascii="Verdana" w:hAnsi="Verdana"/>
          <w:sz w:val="20"/>
          <w:szCs w:val="20"/>
          <w:lang w:val="es-ES_tradnl"/>
        </w:rPr>
        <w:t>Lubín</w:t>
      </w:r>
      <w:proofErr w:type="spellEnd"/>
      <w:r w:rsidR="00AD76B1" w:rsidRPr="00BE7C13">
        <w:rPr>
          <w:rFonts w:ascii="Verdana" w:hAnsi="Verdana"/>
          <w:sz w:val="20"/>
          <w:szCs w:val="20"/>
          <w:lang w:val="es-ES_tradnl"/>
        </w:rPr>
        <w:t xml:space="preserve"> Alfonso Villa Mosquera,</w:t>
      </w:r>
      <w:r w:rsidR="00EF6442" w:rsidRPr="00BE7C13">
        <w:rPr>
          <w:rFonts w:ascii="Verdana" w:hAnsi="Verdana"/>
          <w:sz w:val="20"/>
          <w:szCs w:val="20"/>
          <w:lang w:val="es-CR"/>
        </w:rPr>
        <w:t xml:space="preserve"> dejaron su lugar de residencia</w:t>
      </w:r>
      <w:r w:rsidR="000D189A" w:rsidRPr="00BE7C13">
        <w:rPr>
          <w:rFonts w:ascii="Verdana" w:hAnsi="Verdana"/>
          <w:sz w:val="20"/>
          <w:szCs w:val="20"/>
          <w:lang w:val="es-CR"/>
        </w:rPr>
        <w:t>.</w:t>
      </w:r>
      <w:r w:rsidR="00EF6442" w:rsidRPr="00BE7C13">
        <w:rPr>
          <w:rFonts w:ascii="Verdana" w:hAnsi="Verdana"/>
          <w:sz w:val="20"/>
          <w:szCs w:val="20"/>
          <w:lang w:val="es-CR"/>
        </w:rPr>
        <w:t xml:space="preserve"> Pese a ello la señora Mosquera continúo ejerciendo actividades en la Comuna 13</w:t>
      </w:r>
      <w:r w:rsidR="000D189A" w:rsidRPr="00BE7C13">
        <w:rPr>
          <w:rFonts w:ascii="Verdana" w:hAnsi="Verdana"/>
          <w:sz w:val="20"/>
          <w:szCs w:val="20"/>
          <w:lang w:val="es-CR"/>
        </w:rPr>
        <w:t xml:space="preserve">, y regresó al barrio </w:t>
      </w:r>
      <w:r w:rsidR="00EF6442" w:rsidRPr="00BE7C13">
        <w:rPr>
          <w:rFonts w:ascii="Verdana" w:hAnsi="Verdana"/>
          <w:sz w:val="20"/>
          <w:szCs w:val="20"/>
          <w:lang w:val="es-CR"/>
        </w:rPr>
        <w:t>el 24 de abril de 2004</w:t>
      </w:r>
      <w:r w:rsidR="000D189A" w:rsidRPr="00BE7C13">
        <w:rPr>
          <w:rFonts w:ascii="Verdana" w:hAnsi="Verdana"/>
          <w:sz w:val="20"/>
          <w:szCs w:val="20"/>
          <w:lang w:val="es-CR"/>
        </w:rPr>
        <w:t xml:space="preserve">, donde mantuvo </w:t>
      </w:r>
      <w:r w:rsidR="00EF6442" w:rsidRPr="00BE7C13">
        <w:rPr>
          <w:rFonts w:ascii="Verdana" w:hAnsi="Verdana"/>
          <w:sz w:val="20"/>
          <w:szCs w:val="20"/>
          <w:lang w:val="es-CR"/>
        </w:rPr>
        <w:t xml:space="preserve">presencia intermitente </w:t>
      </w:r>
      <w:r w:rsidR="000D189A" w:rsidRPr="00BE7C13">
        <w:rPr>
          <w:rFonts w:ascii="Verdana" w:hAnsi="Verdana"/>
          <w:sz w:val="20"/>
          <w:szCs w:val="20"/>
          <w:lang w:val="es-CR"/>
        </w:rPr>
        <w:t>al menos hasta</w:t>
      </w:r>
      <w:r w:rsidR="00EF6442" w:rsidRPr="00BE7C13">
        <w:rPr>
          <w:rFonts w:ascii="Verdana" w:hAnsi="Verdana"/>
          <w:sz w:val="20"/>
          <w:szCs w:val="20"/>
          <w:lang w:val="es-CR"/>
        </w:rPr>
        <w:t xml:space="preserve"> el 6 de octubre de 2004.</w:t>
      </w:r>
      <w:r w:rsidR="00EF6442" w:rsidRPr="00590230">
        <w:rPr>
          <w:rFonts w:ascii="Verdana" w:hAnsi="Verdana"/>
          <w:sz w:val="20"/>
          <w:szCs w:val="20"/>
          <w:lang w:val="es-CR"/>
        </w:rPr>
        <w:t xml:space="preserve"> </w:t>
      </w:r>
      <w:r w:rsidR="00A9391E">
        <w:rPr>
          <w:rFonts w:ascii="Verdana" w:hAnsi="Verdana"/>
          <w:sz w:val="20"/>
          <w:szCs w:val="20"/>
          <w:lang w:val="es-CR"/>
        </w:rPr>
        <w:t>Por su parte, l</w:t>
      </w:r>
      <w:r w:rsidR="0011361C">
        <w:rPr>
          <w:rFonts w:ascii="Verdana" w:hAnsi="Verdana"/>
          <w:sz w:val="20"/>
          <w:szCs w:val="20"/>
          <w:lang w:val="es-CR"/>
        </w:rPr>
        <w:t xml:space="preserve">a señora Naranjo luego de recuperar su libertad comenzó a sufrir amenazas de los paramilitares al ser señalada colaboradora de las milicias, por lo que junto con la señora </w:t>
      </w:r>
      <w:proofErr w:type="spellStart"/>
      <w:r w:rsidR="0011361C">
        <w:rPr>
          <w:rFonts w:ascii="Verdana" w:hAnsi="Verdana"/>
          <w:sz w:val="20"/>
          <w:szCs w:val="20"/>
          <w:lang w:val="es-CR"/>
        </w:rPr>
        <w:t>Yarce</w:t>
      </w:r>
      <w:proofErr w:type="spellEnd"/>
      <w:r w:rsidR="0011361C">
        <w:rPr>
          <w:rFonts w:ascii="Verdana" w:hAnsi="Verdana"/>
          <w:sz w:val="20"/>
          <w:szCs w:val="20"/>
          <w:lang w:val="es-CR"/>
        </w:rPr>
        <w:t xml:space="preserve"> decidieron dejar el barrio, pero no abandonó de forma definitiva el barrio </w:t>
      </w:r>
      <w:r w:rsidR="00A9391E">
        <w:rPr>
          <w:rFonts w:ascii="Verdana" w:hAnsi="Verdana"/>
          <w:sz w:val="20"/>
          <w:szCs w:val="20"/>
          <w:lang w:val="es-CR"/>
        </w:rPr>
        <w:t>las In</w:t>
      </w:r>
      <w:r w:rsidR="0011361C">
        <w:rPr>
          <w:rFonts w:ascii="Verdana" w:hAnsi="Verdana"/>
          <w:sz w:val="20"/>
          <w:szCs w:val="20"/>
          <w:lang w:val="es-CR"/>
        </w:rPr>
        <w:t>dependencias III de la Comuna 13, se ausent</w:t>
      </w:r>
      <w:r w:rsidR="005B1758">
        <w:rPr>
          <w:rFonts w:ascii="Verdana" w:hAnsi="Verdana"/>
          <w:sz w:val="20"/>
          <w:szCs w:val="20"/>
          <w:lang w:val="es-CR"/>
        </w:rPr>
        <w:t>ó temporalmente</w:t>
      </w:r>
      <w:r w:rsidR="0011361C">
        <w:rPr>
          <w:rFonts w:ascii="Verdana" w:hAnsi="Verdana"/>
          <w:sz w:val="20"/>
          <w:szCs w:val="20"/>
          <w:lang w:val="es-CR"/>
        </w:rPr>
        <w:t xml:space="preserve"> de su residencia en varias oportunidades.</w:t>
      </w:r>
    </w:p>
    <w:p w:rsidR="0032014A" w:rsidRPr="00BE7C13" w:rsidRDefault="0032014A" w:rsidP="005C3CF5">
      <w:pPr>
        <w:jc w:val="both"/>
        <w:rPr>
          <w:rFonts w:ascii="Verdana" w:hAnsi="Verdana"/>
          <w:sz w:val="20"/>
          <w:szCs w:val="20"/>
          <w:lang w:val="es-MX"/>
        </w:rPr>
      </w:pPr>
    </w:p>
    <w:p w:rsidR="0011361C" w:rsidRDefault="000D189A" w:rsidP="005C3CF5">
      <w:pPr>
        <w:jc w:val="both"/>
        <w:rPr>
          <w:rFonts w:ascii="Verdana" w:hAnsi="Verdana"/>
          <w:sz w:val="20"/>
          <w:szCs w:val="20"/>
          <w:lang w:val="es-CR"/>
        </w:rPr>
      </w:pPr>
      <w:r w:rsidRPr="00BE7C13">
        <w:rPr>
          <w:rFonts w:ascii="Verdana" w:hAnsi="Verdana"/>
          <w:sz w:val="20"/>
          <w:szCs w:val="20"/>
          <w:lang w:val="es-CR"/>
        </w:rPr>
        <w:t xml:space="preserve">Por otra parte, entre el 7 de febrero y el 15 de octubre de 2003 autoridades estatales recibieron distintas </w:t>
      </w:r>
      <w:r w:rsidR="0011361C">
        <w:rPr>
          <w:rFonts w:ascii="Verdana" w:hAnsi="Verdana"/>
          <w:sz w:val="20"/>
          <w:szCs w:val="20"/>
          <w:lang w:val="es-CR"/>
        </w:rPr>
        <w:t>informa</w:t>
      </w:r>
      <w:r w:rsidR="00E37F34">
        <w:rPr>
          <w:rFonts w:ascii="Verdana" w:hAnsi="Verdana"/>
          <w:sz w:val="20"/>
          <w:szCs w:val="20"/>
          <w:lang w:val="es-CR"/>
        </w:rPr>
        <w:t>ciones</w:t>
      </w:r>
      <w:r w:rsidR="005B1758">
        <w:rPr>
          <w:rFonts w:ascii="Verdana" w:hAnsi="Verdana"/>
          <w:sz w:val="20"/>
          <w:szCs w:val="20"/>
          <w:lang w:val="es-CR"/>
        </w:rPr>
        <w:t xml:space="preserve"> </w:t>
      </w:r>
      <w:r w:rsidRPr="00BE7C13">
        <w:rPr>
          <w:rFonts w:ascii="Verdana" w:hAnsi="Verdana"/>
          <w:sz w:val="20"/>
          <w:szCs w:val="20"/>
          <w:lang w:val="es-CR"/>
        </w:rPr>
        <w:t xml:space="preserve">en que se indicaba amenazas y otros actos contra la señora </w:t>
      </w:r>
      <w:proofErr w:type="spellStart"/>
      <w:r w:rsidRPr="00BE7C13">
        <w:rPr>
          <w:rFonts w:ascii="Verdana" w:hAnsi="Verdana"/>
          <w:sz w:val="20"/>
          <w:szCs w:val="20"/>
          <w:lang w:val="es-CR"/>
        </w:rPr>
        <w:t>Yarce</w:t>
      </w:r>
      <w:proofErr w:type="spellEnd"/>
      <w:r w:rsidRPr="00BE7C13">
        <w:rPr>
          <w:rFonts w:ascii="Verdana" w:hAnsi="Verdana"/>
          <w:sz w:val="20"/>
          <w:szCs w:val="20"/>
          <w:lang w:val="es-CR"/>
        </w:rPr>
        <w:t xml:space="preserve">, como así también amenazas contra las señoras Naranjo y Mosquera. </w:t>
      </w:r>
      <w:r w:rsidR="005A31E0" w:rsidRPr="00BE7C13">
        <w:rPr>
          <w:rFonts w:ascii="Verdana" w:hAnsi="Verdana"/>
          <w:sz w:val="20"/>
          <w:szCs w:val="20"/>
          <w:lang w:val="es-CR"/>
        </w:rPr>
        <w:t xml:space="preserve">El 2 de octubre de 2004, a partir de información que autoridades habrían obtenido de la señora </w:t>
      </w:r>
      <w:proofErr w:type="spellStart"/>
      <w:r w:rsidR="005A31E0" w:rsidRPr="00BE7C13">
        <w:rPr>
          <w:rFonts w:ascii="Verdana" w:hAnsi="Verdana"/>
          <w:sz w:val="20"/>
          <w:szCs w:val="20"/>
          <w:lang w:val="es-CR"/>
        </w:rPr>
        <w:t>Yarce</w:t>
      </w:r>
      <w:proofErr w:type="spellEnd"/>
      <w:r w:rsidR="005A31E0" w:rsidRPr="00BE7C13">
        <w:rPr>
          <w:rFonts w:ascii="Verdana" w:hAnsi="Verdana"/>
          <w:sz w:val="20"/>
          <w:szCs w:val="20"/>
          <w:lang w:val="es-CR"/>
        </w:rPr>
        <w:t xml:space="preserve">, se detuvo a una persona que supuestamente pertenecía a un grupo armado ilegal, quien fue liberada el mismo día. </w:t>
      </w:r>
      <w:r w:rsidR="00E42BCF">
        <w:rPr>
          <w:rFonts w:ascii="Verdana" w:hAnsi="Verdana"/>
          <w:sz w:val="20"/>
          <w:szCs w:val="20"/>
          <w:lang w:val="es-CR"/>
        </w:rPr>
        <w:t>E</w:t>
      </w:r>
      <w:r w:rsidR="005A31E0" w:rsidRPr="00BE7C13">
        <w:rPr>
          <w:rFonts w:ascii="Verdana" w:hAnsi="Verdana"/>
          <w:sz w:val="20"/>
          <w:szCs w:val="20"/>
          <w:lang w:val="es-CR"/>
        </w:rPr>
        <w:t>l 6 de octubre de 2004</w:t>
      </w:r>
      <w:r w:rsidR="00E42BCF">
        <w:rPr>
          <w:rFonts w:ascii="Verdana" w:hAnsi="Verdana"/>
          <w:sz w:val="20"/>
          <w:szCs w:val="20"/>
          <w:lang w:val="es-CR"/>
        </w:rPr>
        <w:t xml:space="preserve"> </w:t>
      </w:r>
      <w:r w:rsidR="00A9391E">
        <w:rPr>
          <w:rFonts w:ascii="Verdana" w:hAnsi="Verdana"/>
          <w:sz w:val="20"/>
          <w:szCs w:val="20"/>
          <w:lang w:val="es-CR"/>
        </w:rPr>
        <w:t xml:space="preserve">mientras que ella desayunaba con su hija y la señora </w:t>
      </w:r>
      <w:proofErr w:type="spellStart"/>
      <w:r w:rsidR="00A9391E">
        <w:rPr>
          <w:rFonts w:ascii="Verdana" w:hAnsi="Verdana"/>
          <w:sz w:val="20"/>
          <w:szCs w:val="20"/>
          <w:lang w:val="es-CR"/>
        </w:rPr>
        <w:t>Yarce</w:t>
      </w:r>
      <w:proofErr w:type="spellEnd"/>
      <w:r w:rsidR="00A9391E">
        <w:rPr>
          <w:rFonts w:ascii="Verdana" w:hAnsi="Verdana"/>
          <w:sz w:val="20"/>
          <w:szCs w:val="20"/>
          <w:lang w:val="es-CR"/>
        </w:rPr>
        <w:t xml:space="preserve"> un desconocido le disparó.</w:t>
      </w:r>
      <w:r w:rsidR="005A31E0" w:rsidRPr="00BE7C13">
        <w:rPr>
          <w:rFonts w:ascii="Verdana" w:hAnsi="Verdana"/>
          <w:sz w:val="20"/>
          <w:szCs w:val="20"/>
          <w:lang w:val="es-CR"/>
        </w:rPr>
        <w:t xml:space="preserve"> </w:t>
      </w:r>
      <w:r w:rsidR="00E42BCF">
        <w:rPr>
          <w:rFonts w:ascii="Verdana" w:hAnsi="Verdana"/>
          <w:sz w:val="20"/>
          <w:szCs w:val="20"/>
          <w:lang w:val="es-CR"/>
        </w:rPr>
        <w:t>Ese mismo día se inició una investigación</w:t>
      </w:r>
      <w:r w:rsidR="00A9391E">
        <w:rPr>
          <w:rFonts w:ascii="Verdana" w:hAnsi="Verdana"/>
          <w:sz w:val="20"/>
          <w:szCs w:val="20"/>
          <w:lang w:val="es-CR"/>
        </w:rPr>
        <w:t xml:space="preserve"> por el </w:t>
      </w:r>
      <w:r w:rsidR="005B1758">
        <w:rPr>
          <w:rFonts w:ascii="Verdana" w:hAnsi="Verdana"/>
          <w:sz w:val="20"/>
          <w:szCs w:val="20"/>
          <w:lang w:val="es-CR"/>
        </w:rPr>
        <w:t>homicidi</w:t>
      </w:r>
      <w:r w:rsidR="0014052D">
        <w:rPr>
          <w:rFonts w:ascii="Verdana" w:hAnsi="Verdana"/>
          <w:sz w:val="20"/>
          <w:szCs w:val="20"/>
          <w:lang w:val="es-CR"/>
        </w:rPr>
        <w:t xml:space="preserve">o de la señora </w:t>
      </w:r>
      <w:proofErr w:type="spellStart"/>
      <w:r w:rsidR="0014052D">
        <w:rPr>
          <w:rFonts w:ascii="Verdana" w:hAnsi="Verdana"/>
          <w:sz w:val="20"/>
          <w:szCs w:val="20"/>
          <w:lang w:val="es-CR"/>
        </w:rPr>
        <w:t>Yarce</w:t>
      </w:r>
      <w:proofErr w:type="spellEnd"/>
      <w:r w:rsidR="0014052D">
        <w:rPr>
          <w:rFonts w:ascii="Verdana" w:hAnsi="Verdana"/>
          <w:sz w:val="20"/>
          <w:szCs w:val="20"/>
          <w:lang w:val="es-CR"/>
        </w:rPr>
        <w:t xml:space="preserve">, </w:t>
      </w:r>
      <w:r w:rsidR="0014052D" w:rsidRPr="00BE7C13">
        <w:rPr>
          <w:rFonts w:ascii="Verdana" w:hAnsi="Verdana"/>
          <w:sz w:val="20"/>
          <w:szCs w:val="20"/>
          <w:lang w:val="es-CR"/>
        </w:rPr>
        <w:t>que luego se acumuló a la investigación de amenazas contra ella y las señoras Mosquera y Naranjo. El 9 de enero de 2009 y el 15 de julio de 2010 se emitieron sentencias condenatorias, cada una contra una persona</w:t>
      </w:r>
      <w:r w:rsidR="0014052D">
        <w:rPr>
          <w:rFonts w:ascii="Verdana" w:hAnsi="Verdana"/>
          <w:sz w:val="20"/>
          <w:szCs w:val="20"/>
          <w:lang w:val="es-CR"/>
        </w:rPr>
        <w:t xml:space="preserve"> distinta</w:t>
      </w:r>
      <w:r w:rsidR="0014052D" w:rsidRPr="00BE7C13">
        <w:rPr>
          <w:rFonts w:ascii="Verdana" w:hAnsi="Verdana"/>
          <w:sz w:val="20"/>
          <w:szCs w:val="20"/>
          <w:lang w:val="es-CR"/>
        </w:rPr>
        <w:t>.</w:t>
      </w:r>
    </w:p>
    <w:p w:rsidR="00847850" w:rsidRPr="00BE7C13" w:rsidRDefault="00847850" w:rsidP="005C3CF5">
      <w:pPr>
        <w:jc w:val="both"/>
        <w:rPr>
          <w:rFonts w:ascii="Verdana" w:hAnsi="Verdana"/>
          <w:sz w:val="20"/>
          <w:szCs w:val="20"/>
          <w:lang w:val="es-CR"/>
        </w:rPr>
      </w:pPr>
    </w:p>
    <w:p w:rsidR="00EF6442" w:rsidRPr="00BE7C13" w:rsidRDefault="00EF6442" w:rsidP="005C3CF5">
      <w:pPr>
        <w:jc w:val="both"/>
        <w:rPr>
          <w:rFonts w:ascii="Verdana" w:hAnsi="Verdana"/>
          <w:sz w:val="20"/>
          <w:szCs w:val="20"/>
          <w:lang w:val="es-CR"/>
        </w:rPr>
      </w:pPr>
    </w:p>
    <w:p w:rsidR="00192407" w:rsidRPr="00BE7C13" w:rsidRDefault="00192407" w:rsidP="00192407">
      <w:pPr>
        <w:pStyle w:val="ListParagraph"/>
        <w:numPr>
          <w:ilvl w:val="0"/>
          <w:numId w:val="1"/>
        </w:numPr>
        <w:jc w:val="both"/>
        <w:rPr>
          <w:rFonts w:ascii="Verdana" w:hAnsi="Verdana"/>
          <w:b/>
          <w:sz w:val="20"/>
          <w:szCs w:val="20"/>
          <w:lang w:val="es-CR"/>
        </w:rPr>
      </w:pPr>
      <w:r w:rsidRPr="00BE7C13">
        <w:rPr>
          <w:rFonts w:ascii="Verdana" w:hAnsi="Verdana"/>
          <w:b/>
          <w:sz w:val="20"/>
          <w:szCs w:val="20"/>
          <w:lang w:val="es-CR"/>
        </w:rPr>
        <w:t>Excepción Preliminar</w:t>
      </w:r>
    </w:p>
    <w:p w:rsidR="00752415" w:rsidRPr="00BE7C13" w:rsidRDefault="00752415" w:rsidP="005C3CF5">
      <w:pPr>
        <w:jc w:val="both"/>
        <w:rPr>
          <w:rFonts w:ascii="Verdana" w:hAnsi="Verdana"/>
          <w:sz w:val="20"/>
          <w:szCs w:val="20"/>
          <w:lang w:val="es-CR"/>
        </w:rPr>
      </w:pPr>
    </w:p>
    <w:p w:rsidR="00583F77" w:rsidRPr="00BE7C13" w:rsidRDefault="00752415" w:rsidP="005C3CF5">
      <w:pPr>
        <w:jc w:val="both"/>
        <w:rPr>
          <w:rFonts w:ascii="Verdana" w:hAnsi="Verdana"/>
          <w:sz w:val="20"/>
          <w:szCs w:val="20"/>
          <w:lang w:val="es-CR"/>
        </w:rPr>
      </w:pPr>
      <w:r w:rsidRPr="00BE7C13">
        <w:rPr>
          <w:rFonts w:ascii="Verdana" w:hAnsi="Verdana"/>
          <w:sz w:val="20"/>
          <w:szCs w:val="20"/>
          <w:lang w:val="es-CR"/>
        </w:rPr>
        <w:t>El Estado solicitó a la Corte que declar</w:t>
      </w:r>
      <w:r w:rsidR="00DF64D7">
        <w:rPr>
          <w:rFonts w:ascii="Verdana" w:hAnsi="Verdana"/>
          <w:sz w:val="20"/>
          <w:szCs w:val="20"/>
          <w:lang w:val="es-CR"/>
        </w:rPr>
        <w:t xml:space="preserve">ara </w:t>
      </w:r>
      <w:r w:rsidRPr="00BE7C13">
        <w:rPr>
          <w:rFonts w:ascii="Verdana" w:hAnsi="Verdana"/>
          <w:sz w:val="20"/>
          <w:szCs w:val="20"/>
          <w:lang w:val="es-CR"/>
        </w:rPr>
        <w:t>inadmisible</w:t>
      </w:r>
      <w:r w:rsidR="00583F77" w:rsidRPr="00BE7C13">
        <w:rPr>
          <w:rFonts w:ascii="Verdana" w:hAnsi="Verdana"/>
          <w:sz w:val="20"/>
          <w:szCs w:val="20"/>
          <w:lang w:val="es-CR"/>
        </w:rPr>
        <w:t xml:space="preserve"> el caso</w:t>
      </w:r>
      <w:r w:rsidRPr="00BE7C13">
        <w:rPr>
          <w:rFonts w:ascii="Verdana" w:hAnsi="Verdana"/>
          <w:sz w:val="20"/>
          <w:szCs w:val="20"/>
          <w:lang w:val="es-CR"/>
        </w:rPr>
        <w:t xml:space="preserve"> en virtud del principio de subsidiariedad</w:t>
      </w:r>
      <w:r w:rsidR="00583F77" w:rsidRPr="00BE7C13">
        <w:rPr>
          <w:rFonts w:ascii="Verdana" w:hAnsi="Verdana"/>
          <w:sz w:val="20"/>
          <w:szCs w:val="20"/>
          <w:lang w:val="es-CR"/>
        </w:rPr>
        <w:t xml:space="preserve">. Arguyó que </w:t>
      </w:r>
      <w:r w:rsidR="00BE7C13">
        <w:rPr>
          <w:rFonts w:ascii="Verdana" w:hAnsi="Verdana"/>
          <w:sz w:val="20"/>
          <w:szCs w:val="20"/>
          <w:lang w:val="es-CR"/>
        </w:rPr>
        <w:t>i</w:t>
      </w:r>
      <w:r w:rsidR="00583F77" w:rsidRPr="00BE7C13">
        <w:rPr>
          <w:rFonts w:ascii="Verdana" w:hAnsi="Verdana"/>
          <w:sz w:val="20"/>
          <w:szCs w:val="20"/>
          <w:lang w:val="es-CR"/>
        </w:rPr>
        <w:t xml:space="preserve">) había investigado adecuadamente los hechos; </w:t>
      </w:r>
      <w:r w:rsidR="00BE7C13">
        <w:rPr>
          <w:rFonts w:ascii="Verdana" w:hAnsi="Verdana"/>
          <w:sz w:val="20"/>
          <w:szCs w:val="20"/>
          <w:lang w:val="es-CR"/>
        </w:rPr>
        <w:t>ii</w:t>
      </w:r>
      <w:r w:rsidR="00583F77" w:rsidRPr="00BE7C13">
        <w:rPr>
          <w:rFonts w:ascii="Verdana" w:hAnsi="Verdana"/>
          <w:sz w:val="20"/>
          <w:szCs w:val="20"/>
          <w:lang w:val="es-CR"/>
        </w:rPr>
        <w:t xml:space="preserve">) que había recursos judiciales </w:t>
      </w:r>
      <w:r w:rsidR="0014052D">
        <w:rPr>
          <w:rFonts w:ascii="Verdana" w:hAnsi="Verdana"/>
          <w:sz w:val="20"/>
          <w:szCs w:val="20"/>
          <w:lang w:val="es-CR"/>
        </w:rPr>
        <w:t xml:space="preserve">internos </w:t>
      </w:r>
      <w:r w:rsidR="00583F77" w:rsidRPr="00BE7C13">
        <w:rPr>
          <w:rFonts w:ascii="Verdana" w:hAnsi="Verdana"/>
          <w:sz w:val="20"/>
          <w:szCs w:val="20"/>
          <w:lang w:val="es-CR"/>
        </w:rPr>
        <w:t xml:space="preserve">adecuados ante la detención de las señoras </w:t>
      </w:r>
      <w:proofErr w:type="spellStart"/>
      <w:r w:rsidR="00583F77" w:rsidRPr="00BE7C13">
        <w:rPr>
          <w:rFonts w:ascii="Verdana" w:hAnsi="Verdana"/>
          <w:sz w:val="20"/>
          <w:szCs w:val="20"/>
          <w:lang w:val="es-CR"/>
        </w:rPr>
        <w:t>Yarce</w:t>
      </w:r>
      <w:proofErr w:type="spellEnd"/>
      <w:r w:rsidR="00583F77" w:rsidRPr="00BE7C13">
        <w:rPr>
          <w:rFonts w:ascii="Verdana" w:hAnsi="Verdana"/>
          <w:sz w:val="20"/>
          <w:szCs w:val="20"/>
          <w:lang w:val="es-CR"/>
        </w:rPr>
        <w:t xml:space="preserve">, Naranjo y Mosquera que no habían sido agotados, y </w:t>
      </w:r>
      <w:r w:rsidR="00BE7C13">
        <w:rPr>
          <w:rFonts w:ascii="Verdana" w:hAnsi="Verdana"/>
          <w:sz w:val="20"/>
          <w:szCs w:val="20"/>
          <w:lang w:val="es-CR"/>
        </w:rPr>
        <w:t>iii</w:t>
      </w:r>
      <w:r w:rsidR="00583F77" w:rsidRPr="00BE7C13">
        <w:rPr>
          <w:rFonts w:ascii="Verdana" w:hAnsi="Verdana"/>
          <w:sz w:val="20"/>
          <w:szCs w:val="20"/>
          <w:lang w:val="es-CR"/>
        </w:rPr>
        <w:t xml:space="preserve">) que actualmente existía un “nuevo modelo de investigación criminal” y que la Ley No. 1448 de 2011, denominada Ley de Víctimas y Restitución de Tierras, posibilitaba la obtención de medidas de reparación. </w:t>
      </w:r>
    </w:p>
    <w:p w:rsidR="00583F77" w:rsidRPr="00BE7C13" w:rsidRDefault="00583F77" w:rsidP="005C3CF5">
      <w:pPr>
        <w:jc w:val="both"/>
        <w:rPr>
          <w:rFonts w:ascii="Verdana" w:hAnsi="Verdana"/>
          <w:sz w:val="20"/>
          <w:szCs w:val="20"/>
          <w:lang w:val="es-CR"/>
        </w:rPr>
      </w:pPr>
    </w:p>
    <w:p w:rsidR="00583F77" w:rsidRPr="00BE7C13" w:rsidRDefault="00583F77" w:rsidP="005C3CF5">
      <w:pPr>
        <w:jc w:val="both"/>
        <w:rPr>
          <w:rFonts w:ascii="Verdana" w:hAnsi="Verdana"/>
          <w:sz w:val="20"/>
          <w:szCs w:val="20"/>
          <w:lang w:val="es-CR"/>
        </w:rPr>
      </w:pPr>
      <w:r w:rsidRPr="00BE7C13">
        <w:rPr>
          <w:rFonts w:ascii="Verdana" w:hAnsi="Verdana"/>
          <w:sz w:val="20"/>
          <w:szCs w:val="20"/>
          <w:lang w:val="es-CR"/>
        </w:rPr>
        <w:t xml:space="preserve">La Corte desestimó la excepción planteada entendiendo, respectivamente, que </w:t>
      </w:r>
      <w:r w:rsidR="00BE7C13">
        <w:rPr>
          <w:rFonts w:ascii="Verdana" w:hAnsi="Verdana"/>
          <w:sz w:val="20"/>
          <w:szCs w:val="20"/>
          <w:lang w:val="es-CR"/>
        </w:rPr>
        <w:t>i</w:t>
      </w:r>
      <w:r w:rsidRPr="00BE7C13">
        <w:rPr>
          <w:rFonts w:ascii="Verdana" w:hAnsi="Verdana"/>
          <w:sz w:val="20"/>
          <w:szCs w:val="20"/>
          <w:lang w:val="es-CR"/>
        </w:rPr>
        <w:t>) no encontraba momentos para apartarse de lo determinado por la Comisión Interamericana de Derechos Humanos en cu</w:t>
      </w:r>
      <w:r w:rsidR="00C65848" w:rsidRPr="00BE7C13">
        <w:rPr>
          <w:rFonts w:ascii="Verdana" w:hAnsi="Verdana"/>
          <w:sz w:val="20"/>
          <w:szCs w:val="20"/>
          <w:lang w:val="es-CR"/>
        </w:rPr>
        <w:t>anto a que, al momento de decidirse la admisibilidad</w:t>
      </w:r>
      <w:r w:rsidRPr="00BE7C13">
        <w:rPr>
          <w:rFonts w:ascii="Verdana" w:hAnsi="Verdana"/>
          <w:sz w:val="20"/>
          <w:szCs w:val="20"/>
          <w:lang w:val="es-CR"/>
        </w:rPr>
        <w:t xml:space="preserve">, existía un retardo injustificado en las investigaciones y que el análisis de ello se vincula al fondo del asunto; </w:t>
      </w:r>
      <w:r w:rsidR="00BE7C13">
        <w:rPr>
          <w:rFonts w:ascii="Verdana" w:hAnsi="Verdana"/>
          <w:sz w:val="20"/>
          <w:szCs w:val="20"/>
          <w:lang w:val="es-CR"/>
        </w:rPr>
        <w:t>ii</w:t>
      </w:r>
      <w:r w:rsidRPr="00BE7C13">
        <w:rPr>
          <w:rFonts w:ascii="Verdana" w:hAnsi="Verdana"/>
          <w:sz w:val="20"/>
          <w:szCs w:val="20"/>
          <w:lang w:val="es-CR"/>
        </w:rPr>
        <w:t>) los argumentos sobre rec</w:t>
      </w:r>
      <w:r w:rsidR="00DF1D01" w:rsidRPr="00BE7C13">
        <w:rPr>
          <w:rFonts w:ascii="Verdana" w:hAnsi="Verdana"/>
          <w:sz w:val="20"/>
          <w:szCs w:val="20"/>
          <w:lang w:val="es-CR"/>
        </w:rPr>
        <w:t xml:space="preserve">ursos vinculados a la detención resultaron </w:t>
      </w:r>
      <w:r w:rsidRPr="00BE7C13">
        <w:rPr>
          <w:rFonts w:ascii="Verdana" w:hAnsi="Verdana"/>
          <w:sz w:val="20"/>
          <w:szCs w:val="20"/>
          <w:lang w:val="es-CR"/>
        </w:rPr>
        <w:t xml:space="preserve">extemporáneos, pues no fueron planteados </w:t>
      </w:r>
      <w:r w:rsidR="00DF1D01" w:rsidRPr="00BE7C13">
        <w:rPr>
          <w:rFonts w:ascii="Verdana" w:hAnsi="Verdana"/>
          <w:sz w:val="20"/>
          <w:szCs w:val="20"/>
          <w:lang w:val="es-CR"/>
        </w:rPr>
        <w:t xml:space="preserve">durante el procedimiento de admisibilidad ante la Comisión, y </w:t>
      </w:r>
      <w:r w:rsidR="00BE7C13">
        <w:rPr>
          <w:rFonts w:ascii="Verdana" w:hAnsi="Verdana"/>
          <w:sz w:val="20"/>
          <w:szCs w:val="20"/>
          <w:lang w:val="es-CR"/>
        </w:rPr>
        <w:t>iii</w:t>
      </w:r>
      <w:r w:rsidR="00DF1D01" w:rsidRPr="00BE7C13">
        <w:rPr>
          <w:rFonts w:ascii="Verdana" w:hAnsi="Verdana"/>
          <w:sz w:val="20"/>
          <w:szCs w:val="20"/>
          <w:lang w:val="es-CR"/>
        </w:rPr>
        <w:t xml:space="preserve">) la Ley </w:t>
      </w:r>
      <w:r w:rsidR="00C65848" w:rsidRPr="00BE7C13">
        <w:rPr>
          <w:rFonts w:ascii="Verdana" w:hAnsi="Verdana"/>
          <w:sz w:val="20"/>
          <w:szCs w:val="20"/>
          <w:lang w:val="es-CR"/>
        </w:rPr>
        <w:t xml:space="preserve">No 1448 y el “nuevo modelo de investigación criminal” cobraron vigencia luego de que la Comisión decidiera la admisibilidad de las peticiones presentadas, por lo que los argumentos sobre ello resultan extemporáneos a efectos de inhibir la jurisdicción internacional, y los eventuales efectos de las normas respectivas no pueden analizarse en forma preliminar. </w:t>
      </w:r>
    </w:p>
    <w:p w:rsidR="00982EB0" w:rsidRDefault="00982EB0" w:rsidP="005C3CF5">
      <w:pPr>
        <w:jc w:val="both"/>
        <w:rPr>
          <w:rFonts w:ascii="Verdana" w:hAnsi="Verdana"/>
          <w:sz w:val="20"/>
          <w:szCs w:val="20"/>
          <w:lang w:val="es-CR"/>
        </w:rPr>
      </w:pPr>
    </w:p>
    <w:p w:rsidR="003B6860" w:rsidRPr="00BE7C13" w:rsidRDefault="003B6860" w:rsidP="005C3CF5">
      <w:pPr>
        <w:jc w:val="both"/>
        <w:rPr>
          <w:rFonts w:ascii="Verdana" w:hAnsi="Verdana"/>
          <w:sz w:val="20"/>
          <w:szCs w:val="20"/>
          <w:lang w:val="es-CR"/>
        </w:rPr>
      </w:pPr>
    </w:p>
    <w:p w:rsidR="00192407" w:rsidRPr="00BE7C13" w:rsidRDefault="003D7331" w:rsidP="00192407">
      <w:pPr>
        <w:pStyle w:val="ListParagraph"/>
        <w:numPr>
          <w:ilvl w:val="0"/>
          <w:numId w:val="1"/>
        </w:numPr>
        <w:jc w:val="both"/>
        <w:rPr>
          <w:rFonts w:ascii="Verdana" w:hAnsi="Verdana"/>
          <w:b/>
          <w:sz w:val="20"/>
          <w:szCs w:val="20"/>
          <w:lang w:val="es-CR"/>
        </w:rPr>
      </w:pPr>
      <w:r w:rsidRPr="00BE7C13">
        <w:rPr>
          <w:rFonts w:ascii="Verdana" w:hAnsi="Verdana"/>
          <w:b/>
          <w:sz w:val="20"/>
          <w:szCs w:val="20"/>
          <w:lang w:val="es-CR"/>
        </w:rPr>
        <w:t>Fondo</w:t>
      </w:r>
    </w:p>
    <w:p w:rsidR="005C3CF5" w:rsidRPr="00BE7C13" w:rsidRDefault="005C3CF5" w:rsidP="005C3CF5">
      <w:pPr>
        <w:jc w:val="both"/>
        <w:rPr>
          <w:rFonts w:ascii="Verdana" w:hAnsi="Verdana"/>
          <w:sz w:val="20"/>
          <w:szCs w:val="20"/>
          <w:lang w:val="es-CR"/>
        </w:rPr>
      </w:pPr>
    </w:p>
    <w:p w:rsidR="007B282A" w:rsidRPr="00BE7C13" w:rsidRDefault="000E3394" w:rsidP="005C3CF5">
      <w:pPr>
        <w:jc w:val="both"/>
        <w:rPr>
          <w:rFonts w:ascii="Verdana" w:hAnsi="Verdana" w:cs="Arial"/>
          <w:sz w:val="20"/>
          <w:szCs w:val="20"/>
          <w:lang w:val="es-CR"/>
        </w:rPr>
      </w:pPr>
      <w:r w:rsidRPr="00BE7C13">
        <w:rPr>
          <w:rFonts w:ascii="Verdana" w:hAnsi="Verdana"/>
          <w:sz w:val="20"/>
          <w:szCs w:val="20"/>
          <w:lang w:val="es-CR"/>
        </w:rPr>
        <w:t xml:space="preserve">La Corte advirtió que al momento de la detención de las señoras </w:t>
      </w:r>
      <w:proofErr w:type="spellStart"/>
      <w:r w:rsidRPr="00BE7C13">
        <w:rPr>
          <w:rFonts w:ascii="Verdana" w:hAnsi="Verdana"/>
          <w:sz w:val="20"/>
          <w:szCs w:val="20"/>
          <w:lang w:val="es-CR"/>
        </w:rPr>
        <w:t>Yarce</w:t>
      </w:r>
      <w:proofErr w:type="spellEnd"/>
      <w:r w:rsidRPr="00BE7C13">
        <w:rPr>
          <w:rFonts w:ascii="Verdana" w:hAnsi="Verdana"/>
          <w:sz w:val="20"/>
          <w:szCs w:val="20"/>
          <w:lang w:val="es-CR"/>
        </w:rPr>
        <w:t xml:space="preserve">, Mosquera y Naranjo estaba vigente un estado de excepción que permitía que tal acto se realizara </w:t>
      </w:r>
      <w:r w:rsidRPr="00BE7C13">
        <w:rPr>
          <w:rFonts w:ascii="Verdana" w:hAnsi="Verdana"/>
          <w:sz w:val="20"/>
          <w:szCs w:val="20"/>
          <w:lang w:val="es-CR"/>
        </w:rPr>
        <w:lastRenderedPageBreak/>
        <w:t xml:space="preserve">sin orden judicial en casos de “urgencia insuperable”, </w:t>
      </w:r>
      <w:r w:rsidR="0014052D">
        <w:rPr>
          <w:rFonts w:ascii="Verdana" w:hAnsi="Verdana"/>
          <w:sz w:val="20"/>
          <w:szCs w:val="20"/>
          <w:lang w:val="es-CR"/>
        </w:rPr>
        <w:t xml:space="preserve">a </w:t>
      </w:r>
      <w:r w:rsidRPr="00BE7C13">
        <w:rPr>
          <w:rFonts w:ascii="Verdana" w:hAnsi="Verdana"/>
          <w:sz w:val="20"/>
          <w:szCs w:val="20"/>
          <w:lang w:val="es-CR"/>
        </w:rPr>
        <w:t xml:space="preserve">fin de proteger un derecho fundamental en peligro, cuando no fuere imposible requerir la autorización judicial. No obstante, </w:t>
      </w:r>
      <w:r w:rsidR="00547644" w:rsidRPr="00BE7C13">
        <w:rPr>
          <w:rFonts w:ascii="Verdana" w:hAnsi="Verdana"/>
          <w:sz w:val="20"/>
          <w:szCs w:val="20"/>
          <w:lang w:val="es-MX"/>
        </w:rPr>
        <w:t>de acuerdo a los hechos, las señoras permanecían en sus domicilios al momento de la detención, y no se desprende con claridad que iban a cometer un delito o poner en grave peligro un derecho fundamental. Por ello, no se observó el requisito de “urgencia insuperable”</w:t>
      </w:r>
      <w:r w:rsidR="00840772" w:rsidRPr="00BE7C13">
        <w:rPr>
          <w:rFonts w:ascii="Verdana" w:hAnsi="Verdana"/>
          <w:sz w:val="20"/>
          <w:szCs w:val="20"/>
          <w:lang w:val="es-MX"/>
        </w:rPr>
        <w:t xml:space="preserve">, y la detención fue ilegal. </w:t>
      </w:r>
      <w:r w:rsidR="00E92E06" w:rsidRPr="00BE7C13">
        <w:rPr>
          <w:rFonts w:ascii="Verdana" w:hAnsi="Verdana"/>
          <w:sz w:val="20"/>
          <w:szCs w:val="20"/>
          <w:lang w:val="es-MX"/>
        </w:rPr>
        <w:t>Asimismo</w:t>
      </w:r>
      <w:r w:rsidR="00840772" w:rsidRPr="00BE7C13">
        <w:rPr>
          <w:rFonts w:ascii="Verdana" w:hAnsi="Verdana"/>
          <w:sz w:val="20"/>
          <w:szCs w:val="20"/>
          <w:lang w:val="es-MX"/>
        </w:rPr>
        <w:t>, fue arbitraria, en tanto que no consta</w:t>
      </w:r>
      <w:r w:rsidR="00840772" w:rsidRPr="00BE7C13">
        <w:rPr>
          <w:rFonts w:ascii="Verdana" w:hAnsi="Verdana"/>
          <w:iCs/>
          <w:sz w:val="20"/>
          <w:szCs w:val="20"/>
          <w:lang w:val="es-CR"/>
        </w:rPr>
        <w:t xml:space="preserve"> un acto que diera cuenta de una motivación suficiente sobre las supuestas finalidad, idoneidad, necesidad y proporcionalidad de la privación de libertad.</w:t>
      </w:r>
      <w:r w:rsidR="00547644" w:rsidRPr="00BE7C13">
        <w:rPr>
          <w:rFonts w:ascii="Verdana" w:hAnsi="Verdana"/>
          <w:sz w:val="20"/>
          <w:szCs w:val="20"/>
          <w:lang w:val="es-MX"/>
        </w:rPr>
        <w:t xml:space="preserve"> </w:t>
      </w:r>
      <w:r w:rsidR="00E92E06" w:rsidRPr="00BE7C13">
        <w:rPr>
          <w:rFonts w:ascii="Verdana" w:hAnsi="Verdana"/>
          <w:sz w:val="20"/>
          <w:szCs w:val="20"/>
          <w:lang w:val="es-MX"/>
        </w:rPr>
        <w:t>L</w:t>
      </w:r>
      <w:r w:rsidR="00840772" w:rsidRPr="00BE7C13">
        <w:rPr>
          <w:rFonts w:ascii="Verdana" w:hAnsi="Verdana"/>
          <w:sz w:val="20"/>
          <w:szCs w:val="20"/>
          <w:lang w:val="es-CR"/>
        </w:rPr>
        <w:t xml:space="preserve">as señoras </w:t>
      </w:r>
      <w:r w:rsidR="00840772" w:rsidRPr="00BE7C13">
        <w:rPr>
          <w:rFonts w:ascii="Verdana" w:eastAsia="Batang" w:hAnsi="Verdana" w:cs="Times"/>
          <w:sz w:val="20"/>
          <w:szCs w:val="20"/>
          <w:lang w:val="es-ES_tradnl"/>
        </w:rPr>
        <w:t xml:space="preserve">fueron detenidas siendo señaladas como “milicianas o guerrilleras”, permaneciendo privadas de libertad por nueve días, durante los cuales se abrió un proceso penal que se basó en declaraciones de testigos poco fiables. Por ello, en el caso la </w:t>
      </w:r>
      <w:r w:rsidR="00840772" w:rsidRPr="00BE7C13">
        <w:rPr>
          <w:rFonts w:ascii="Verdana" w:eastAsia="Batang" w:hAnsi="Verdana" w:cs="Times"/>
          <w:sz w:val="20"/>
          <w:szCs w:val="20"/>
          <w:lang w:val="es-CR"/>
        </w:rPr>
        <w:t>Corte consideró que se vio</w:t>
      </w:r>
      <w:r w:rsidR="00840772" w:rsidRPr="00BE7C13">
        <w:rPr>
          <w:rFonts w:ascii="Verdana" w:eastAsia="Batang" w:hAnsi="Verdana" w:cs="Times"/>
          <w:sz w:val="20"/>
          <w:szCs w:val="20"/>
          <w:lang w:val="es-ES_tradnl"/>
        </w:rPr>
        <w:t xml:space="preserve"> afectado el ejercicio de su labor como defensoras de derechos humanos, en tanto que fueron estigmatizadas, lo cual las expuso a </w:t>
      </w:r>
      <w:r w:rsidR="00840772" w:rsidRPr="00BE7C13">
        <w:rPr>
          <w:rFonts w:ascii="Verdana" w:hAnsi="Verdana" w:cs="Arial"/>
          <w:sz w:val="20"/>
          <w:szCs w:val="20"/>
          <w:lang w:val="es-CR"/>
        </w:rPr>
        <w:t xml:space="preserve">amenazas, insultos y prácticas humillantes. </w:t>
      </w:r>
    </w:p>
    <w:p w:rsidR="007B282A" w:rsidRPr="00BE7C13" w:rsidRDefault="007B282A" w:rsidP="005C3CF5">
      <w:pPr>
        <w:jc w:val="both"/>
        <w:rPr>
          <w:rFonts w:ascii="Verdana" w:hAnsi="Verdana" w:cs="Arial"/>
          <w:sz w:val="20"/>
          <w:szCs w:val="20"/>
          <w:lang w:val="es-CR"/>
        </w:rPr>
      </w:pPr>
    </w:p>
    <w:p w:rsidR="00840772" w:rsidRPr="00BE7C13" w:rsidRDefault="00E42BCF" w:rsidP="005C3CF5">
      <w:pPr>
        <w:jc w:val="both"/>
        <w:rPr>
          <w:rFonts w:ascii="Verdana" w:hAnsi="Verdana"/>
          <w:sz w:val="20"/>
          <w:szCs w:val="20"/>
          <w:lang w:val="es-CR"/>
        </w:rPr>
      </w:pPr>
      <w:r>
        <w:rPr>
          <w:rFonts w:ascii="Verdana" w:hAnsi="Verdana" w:cs="Arial"/>
          <w:sz w:val="20"/>
          <w:szCs w:val="20"/>
          <w:lang w:val="es-CR"/>
        </w:rPr>
        <w:t>Por lo anterior</w:t>
      </w:r>
      <w:r w:rsidR="00840772" w:rsidRPr="00BE7C13">
        <w:rPr>
          <w:rFonts w:ascii="Verdana" w:hAnsi="Verdana" w:cs="Arial"/>
          <w:sz w:val="20"/>
          <w:szCs w:val="20"/>
          <w:lang w:val="es-CR"/>
        </w:rPr>
        <w:t xml:space="preserve">, </w:t>
      </w:r>
      <w:r w:rsidR="00E92E06" w:rsidRPr="00BE7C13">
        <w:rPr>
          <w:rFonts w:ascii="Verdana" w:hAnsi="Verdana" w:cs="Arial"/>
          <w:sz w:val="20"/>
          <w:szCs w:val="20"/>
          <w:lang w:val="es-CR"/>
        </w:rPr>
        <w:t>e</w:t>
      </w:r>
      <w:r w:rsidR="00840772" w:rsidRPr="00BE7C13">
        <w:rPr>
          <w:rFonts w:ascii="Verdana" w:hAnsi="Verdana"/>
          <w:sz w:val="20"/>
          <w:szCs w:val="20"/>
          <w:lang w:val="es-CR"/>
        </w:rPr>
        <w:t xml:space="preserve">l Estado violó, en perjuicio de las señoras Mosquera, Naranjo y </w:t>
      </w:r>
      <w:proofErr w:type="spellStart"/>
      <w:r w:rsidR="00840772" w:rsidRPr="00BE7C13">
        <w:rPr>
          <w:rFonts w:ascii="Verdana" w:hAnsi="Verdana"/>
          <w:sz w:val="20"/>
          <w:szCs w:val="20"/>
          <w:lang w:val="es-CR"/>
        </w:rPr>
        <w:t>Yarce</w:t>
      </w:r>
      <w:proofErr w:type="spellEnd"/>
      <w:r w:rsidR="00840772" w:rsidRPr="00BE7C13">
        <w:rPr>
          <w:rFonts w:ascii="Verdana" w:hAnsi="Verdana"/>
          <w:sz w:val="20"/>
          <w:szCs w:val="20"/>
          <w:lang w:val="es-CR"/>
        </w:rPr>
        <w:t xml:space="preserve">, los derechos a la libertad personal, integridad personal y a la protección de la honra y de la dignidad, consagrados, respectivamente, en los artículos 7.1, 7.2 y 7.3; 5.1 y </w:t>
      </w:r>
      <w:r w:rsidR="00E92E06" w:rsidRPr="00BE7C13">
        <w:rPr>
          <w:rFonts w:ascii="Verdana" w:hAnsi="Verdana"/>
          <w:sz w:val="20"/>
          <w:szCs w:val="20"/>
          <w:lang w:val="es-CR"/>
        </w:rPr>
        <w:t xml:space="preserve">11.1 </w:t>
      </w:r>
      <w:r w:rsidR="00840772" w:rsidRPr="00BE7C13">
        <w:rPr>
          <w:rFonts w:ascii="Verdana" w:hAnsi="Verdana"/>
          <w:sz w:val="20"/>
          <w:szCs w:val="20"/>
          <w:lang w:val="es-CR"/>
        </w:rPr>
        <w:t>de la Convención Americana</w:t>
      </w:r>
      <w:r w:rsidR="00B51144" w:rsidRPr="00BE7C13">
        <w:rPr>
          <w:rFonts w:ascii="Verdana" w:hAnsi="Verdana" w:cs="Arial"/>
          <w:sz w:val="20"/>
          <w:szCs w:val="20"/>
          <w:lang w:val="es-MX"/>
        </w:rPr>
        <w:t xml:space="preserve"> sobre Derechos Humanos (en adelante, “la Convención”).</w:t>
      </w:r>
    </w:p>
    <w:p w:rsidR="00840772" w:rsidRPr="00BE7C13" w:rsidRDefault="00840772" w:rsidP="005C3CF5">
      <w:pPr>
        <w:jc w:val="both"/>
        <w:rPr>
          <w:rFonts w:ascii="Verdana" w:hAnsi="Verdana"/>
          <w:sz w:val="20"/>
          <w:szCs w:val="20"/>
          <w:lang w:val="es-CR"/>
        </w:rPr>
      </w:pPr>
    </w:p>
    <w:p w:rsidR="007B282A" w:rsidRPr="00BE7C13" w:rsidRDefault="00E92E06" w:rsidP="005C3CF5">
      <w:pPr>
        <w:jc w:val="both"/>
        <w:rPr>
          <w:rFonts w:ascii="Verdana" w:hAnsi="Verdana"/>
          <w:sz w:val="20"/>
          <w:szCs w:val="20"/>
          <w:lang w:val="es-CR"/>
        </w:rPr>
      </w:pPr>
      <w:r w:rsidRPr="00BE7C13">
        <w:rPr>
          <w:rFonts w:ascii="Verdana" w:hAnsi="Verdana"/>
          <w:sz w:val="20"/>
          <w:szCs w:val="20"/>
          <w:lang w:val="es-CR"/>
        </w:rPr>
        <w:t>En cuanto a</w:t>
      </w:r>
      <w:r w:rsidR="006902C1" w:rsidRPr="00BE7C13">
        <w:rPr>
          <w:rFonts w:ascii="Verdana" w:hAnsi="Verdana"/>
          <w:sz w:val="20"/>
          <w:szCs w:val="20"/>
          <w:lang w:val="es-CR"/>
        </w:rPr>
        <w:t>l asesinato de</w:t>
      </w:r>
      <w:r w:rsidRPr="00BE7C13">
        <w:rPr>
          <w:rFonts w:ascii="Verdana" w:hAnsi="Verdana"/>
          <w:sz w:val="20"/>
          <w:szCs w:val="20"/>
          <w:lang w:val="es-CR"/>
        </w:rPr>
        <w:t xml:space="preserve"> la señora </w:t>
      </w:r>
      <w:proofErr w:type="spellStart"/>
      <w:r w:rsidRPr="00BE7C13">
        <w:rPr>
          <w:rFonts w:ascii="Verdana" w:hAnsi="Verdana"/>
          <w:sz w:val="20"/>
          <w:szCs w:val="20"/>
          <w:lang w:val="es-CR"/>
        </w:rPr>
        <w:t>Yarce</w:t>
      </w:r>
      <w:proofErr w:type="spellEnd"/>
      <w:r w:rsidRPr="00BE7C13">
        <w:rPr>
          <w:rFonts w:ascii="Verdana" w:hAnsi="Verdana"/>
          <w:sz w:val="20"/>
          <w:szCs w:val="20"/>
          <w:lang w:val="es-CR"/>
        </w:rPr>
        <w:t xml:space="preserve">, la Corte notó que dado el contexto del caso, había una situación de riesgo para </w:t>
      </w:r>
      <w:r w:rsidR="00963BC0" w:rsidRPr="00BE7C13">
        <w:rPr>
          <w:rFonts w:ascii="Verdana" w:hAnsi="Verdana"/>
          <w:sz w:val="20"/>
          <w:szCs w:val="20"/>
          <w:lang w:val="es-CR"/>
        </w:rPr>
        <w:t>defensoras de derechos humanos y que</w:t>
      </w:r>
      <w:r w:rsidRPr="00BE7C13">
        <w:rPr>
          <w:rFonts w:ascii="Verdana" w:hAnsi="Verdana"/>
          <w:sz w:val="20"/>
          <w:szCs w:val="20"/>
          <w:lang w:val="es-CR"/>
        </w:rPr>
        <w:t xml:space="preserve"> en dicho marco, la detención de la </w:t>
      </w:r>
      <w:r w:rsidR="00DF64D7">
        <w:rPr>
          <w:rFonts w:ascii="Verdana" w:hAnsi="Verdana"/>
          <w:sz w:val="20"/>
          <w:szCs w:val="20"/>
          <w:lang w:val="es-CR"/>
        </w:rPr>
        <w:t xml:space="preserve">víctima </w:t>
      </w:r>
      <w:r w:rsidRPr="00BE7C13">
        <w:rPr>
          <w:rFonts w:ascii="Verdana" w:hAnsi="Verdana"/>
          <w:sz w:val="20"/>
          <w:szCs w:val="20"/>
          <w:lang w:val="es-CR"/>
        </w:rPr>
        <w:t>incrementó ese riesgo, al ser señalada como colaboradora de grupos guerrilleros</w:t>
      </w:r>
      <w:r w:rsidR="00963BC0" w:rsidRPr="00BE7C13">
        <w:rPr>
          <w:rFonts w:ascii="Verdana" w:hAnsi="Verdana"/>
          <w:sz w:val="20"/>
          <w:szCs w:val="20"/>
          <w:lang w:val="es-CR"/>
        </w:rPr>
        <w:t>. Además</w:t>
      </w:r>
      <w:r w:rsidRPr="00BE7C13">
        <w:rPr>
          <w:rFonts w:ascii="Verdana" w:hAnsi="Verdana"/>
          <w:sz w:val="20"/>
          <w:szCs w:val="20"/>
          <w:lang w:val="es-CR"/>
        </w:rPr>
        <w:t xml:space="preserve"> </w:t>
      </w:r>
      <w:r w:rsidR="00963BC0" w:rsidRPr="00BE7C13">
        <w:rPr>
          <w:rFonts w:ascii="Verdana" w:hAnsi="Verdana"/>
          <w:sz w:val="20"/>
          <w:szCs w:val="20"/>
          <w:lang w:val="es-CR"/>
        </w:rPr>
        <w:t>distintas denuncias presentadas a las autoridades estatales, en particular el 7 de febrero</w:t>
      </w:r>
      <w:r w:rsidR="004A4451">
        <w:rPr>
          <w:rFonts w:ascii="Verdana" w:hAnsi="Verdana"/>
          <w:sz w:val="20"/>
          <w:szCs w:val="20"/>
          <w:lang w:val="es-CR"/>
        </w:rPr>
        <w:t>,</w:t>
      </w:r>
      <w:r w:rsidR="00963BC0" w:rsidRPr="00BE7C13">
        <w:rPr>
          <w:rFonts w:ascii="Verdana" w:hAnsi="Verdana"/>
          <w:sz w:val="20"/>
          <w:szCs w:val="20"/>
          <w:lang w:val="es-CR"/>
        </w:rPr>
        <w:t xml:space="preserve"> 6 de agosto </w:t>
      </w:r>
      <w:r w:rsidR="004A4451">
        <w:rPr>
          <w:rFonts w:ascii="Verdana" w:hAnsi="Verdana"/>
          <w:sz w:val="20"/>
          <w:szCs w:val="20"/>
          <w:lang w:val="es-CR"/>
        </w:rPr>
        <w:t>y 15 de octubre</w:t>
      </w:r>
      <w:r w:rsidR="004A4451" w:rsidRPr="004A4451">
        <w:rPr>
          <w:rFonts w:ascii="Verdana" w:hAnsi="Verdana"/>
          <w:sz w:val="20"/>
          <w:szCs w:val="20"/>
          <w:lang w:val="es-CR"/>
        </w:rPr>
        <w:t xml:space="preserve"> </w:t>
      </w:r>
      <w:r w:rsidR="004A4451" w:rsidRPr="00BE7C13">
        <w:rPr>
          <w:rFonts w:ascii="Verdana" w:hAnsi="Verdana"/>
          <w:sz w:val="20"/>
          <w:szCs w:val="20"/>
          <w:lang w:val="es-CR"/>
        </w:rPr>
        <w:t>de 2003</w:t>
      </w:r>
      <w:r w:rsidR="00963BC0" w:rsidRPr="00BE7C13">
        <w:rPr>
          <w:rFonts w:ascii="Verdana" w:hAnsi="Verdana"/>
          <w:sz w:val="20"/>
          <w:szCs w:val="20"/>
          <w:lang w:val="es-CR"/>
        </w:rPr>
        <w:t xml:space="preserve">, denotaban que estaba en riesgo. Si bien el Estado otorgó un documento a la señora </w:t>
      </w:r>
      <w:proofErr w:type="spellStart"/>
      <w:r w:rsidR="00963BC0" w:rsidRPr="00BE7C13">
        <w:rPr>
          <w:rFonts w:ascii="Verdana" w:hAnsi="Verdana"/>
          <w:sz w:val="20"/>
          <w:szCs w:val="20"/>
          <w:lang w:val="es-CR"/>
        </w:rPr>
        <w:t>Yarce</w:t>
      </w:r>
      <w:proofErr w:type="spellEnd"/>
      <w:r w:rsidR="00963BC0" w:rsidRPr="00BE7C13">
        <w:rPr>
          <w:rFonts w:ascii="Verdana" w:hAnsi="Verdana"/>
          <w:sz w:val="20"/>
          <w:szCs w:val="20"/>
          <w:lang w:val="es-CR"/>
        </w:rPr>
        <w:t xml:space="preserve"> a efectos de que funcionarios policiales y militares le prestaran la colaboración, dicha medida no fue acorde </w:t>
      </w:r>
      <w:r w:rsidR="006902C1" w:rsidRPr="00BE7C13">
        <w:rPr>
          <w:rFonts w:ascii="Verdana" w:hAnsi="Verdana"/>
          <w:sz w:val="20"/>
          <w:szCs w:val="20"/>
          <w:lang w:val="es-CR"/>
        </w:rPr>
        <w:t>a pautas especificas a seguir a partir de la consideración de</w:t>
      </w:r>
      <w:r w:rsidR="00DF64D7">
        <w:rPr>
          <w:rFonts w:ascii="Verdana" w:hAnsi="Verdana"/>
          <w:sz w:val="20"/>
          <w:szCs w:val="20"/>
          <w:lang w:val="es-CR"/>
        </w:rPr>
        <w:t xml:space="preserve"> su</w:t>
      </w:r>
      <w:r w:rsidR="006902C1" w:rsidRPr="00BE7C13">
        <w:rPr>
          <w:rFonts w:ascii="Verdana" w:hAnsi="Verdana"/>
          <w:sz w:val="20"/>
          <w:szCs w:val="20"/>
          <w:lang w:val="es-CR"/>
        </w:rPr>
        <w:t xml:space="preserve"> carácter de defensora de derechos humanos y </w:t>
      </w:r>
      <w:r w:rsidR="00DF64D7">
        <w:rPr>
          <w:rFonts w:ascii="Verdana" w:hAnsi="Verdana"/>
          <w:sz w:val="20"/>
          <w:szCs w:val="20"/>
          <w:lang w:val="es-CR"/>
        </w:rPr>
        <w:t xml:space="preserve">de </w:t>
      </w:r>
      <w:r w:rsidR="006902C1" w:rsidRPr="00BE7C13">
        <w:rPr>
          <w:rFonts w:ascii="Verdana" w:hAnsi="Verdana"/>
          <w:sz w:val="20"/>
          <w:szCs w:val="20"/>
          <w:lang w:val="es-CR"/>
        </w:rPr>
        <w:t>su género</w:t>
      </w:r>
      <w:r w:rsidR="00DF64D7">
        <w:rPr>
          <w:rFonts w:ascii="Verdana" w:hAnsi="Verdana"/>
          <w:sz w:val="20"/>
          <w:szCs w:val="20"/>
          <w:lang w:val="es-CR"/>
        </w:rPr>
        <w:t>,</w:t>
      </w:r>
      <w:r w:rsidR="006902C1" w:rsidRPr="00BE7C13">
        <w:rPr>
          <w:rFonts w:ascii="Verdana" w:hAnsi="Verdana"/>
          <w:sz w:val="20"/>
          <w:szCs w:val="20"/>
          <w:lang w:val="es-CR"/>
        </w:rPr>
        <w:t xml:space="preserve"> en un contexto en que </w:t>
      </w:r>
      <w:r w:rsidR="006902C1" w:rsidRPr="00BE7C13">
        <w:rPr>
          <w:rFonts w:ascii="Verdana" w:hAnsi="Verdana"/>
          <w:spacing w:val="-2"/>
          <w:sz w:val="20"/>
          <w:szCs w:val="20"/>
          <w:lang w:val="es-MX"/>
        </w:rPr>
        <w:t>las mujeres, en especial aquellas que se encontraban organizadas, veían afectada su seguridad</w:t>
      </w:r>
      <w:r w:rsidR="006902C1" w:rsidRPr="00BE7C13">
        <w:rPr>
          <w:rFonts w:ascii="Verdana" w:hAnsi="Verdana"/>
          <w:sz w:val="20"/>
          <w:szCs w:val="20"/>
          <w:lang w:val="es-CR"/>
        </w:rPr>
        <w:t xml:space="preserve">. Aunado a lo anterior, el Estado no adoptó ninguna medida adicional </w:t>
      </w:r>
      <w:r w:rsidR="00D40620">
        <w:rPr>
          <w:rFonts w:ascii="Verdana" w:hAnsi="Verdana"/>
          <w:sz w:val="20"/>
          <w:szCs w:val="20"/>
          <w:lang w:val="es-CR"/>
        </w:rPr>
        <w:t>tras</w:t>
      </w:r>
      <w:r w:rsidR="006902C1" w:rsidRPr="00BE7C13">
        <w:rPr>
          <w:rFonts w:ascii="Verdana" w:hAnsi="Verdana"/>
          <w:sz w:val="20"/>
          <w:szCs w:val="20"/>
          <w:lang w:val="es-CR"/>
        </w:rPr>
        <w:t xml:space="preserve"> la liberación de una persona</w:t>
      </w:r>
      <w:r w:rsidR="00D40620">
        <w:rPr>
          <w:rFonts w:ascii="Verdana" w:hAnsi="Verdana"/>
          <w:sz w:val="20"/>
          <w:szCs w:val="20"/>
          <w:lang w:val="es-CR"/>
        </w:rPr>
        <w:t xml:space="preserve"> que había sido </w:t>
      </w:r>
      <w:r w:rsidR="006902C1" w:rsidRPr="00BE7C13">
        <w:rPr>
          <w:rFonts w:ascii="Verdana" w:hAnsi="Verdana"/>
          <w:sz w:val="20"/>
          <w:szCs w:val="20"/>
          <w:lang w:val="es-CR"/>
        </w:rPr>
        <w:t xml:space="preserve">detenida en virtud de información que habría sido obtenida de la señora </w:t>
      </w:r>
      <w:proofErr w:type="spellStart"/>
      <w:r w:rsidR="006902C1" w:rsidRPr="00BE7C13">
        <w:rPr>
          <w:rFonts w:ascii="Verdana" w:hAnsi="Verdana"/>
          <w:sz w:val="20"/>
          <w:szCs w:val="20"/>
          <w:lang w:val="es-CR"/>
        </w:rPr>
        <w:t>Yarce</w:t>
      </w:r>
      <w:proofErr w:type="spellEnd"/>
      <w:r w:rsidR="006902C1" w:rsidRPr="00BE7C13">
        <w:rPr>
          <w:rFonts w:ascii="Verdana" w:hAnsi="Verdana"/>
          <w:sz w:val="20"/>
          <w:szCs w:val="20"/>
          <w:lang w:val="es-CR"/>
        </w:rPr>
        <w:t>.</w:t>
      </w:r>
      <w:r w:rsidR="007D52E3" w:rsidRPr="00BE7C13">
        <w:rPr>
          <w:rFonts w:ascii="Verdana" w:hAnsi="Verdana"/>
          <w:sz w:val="20"/>
          <w:szCs w:val="20"/>
          <w:lang w:val="es-CR"/>
        </w:rPr>
        <w:t xml:space="preserve"> </w:t>
      </w:r>
      <w:r w:rsidR="006902C1" w:rsidRPr="00BE7C13">
        <w:rPr>
          <w:rFonts w:ascii="Verdana" w:hAnsi="Verdana"/>
          <w:sz w:val="20"/>
          <w:szCs w:val="20"/>
          <w:lang w:val="es-CR"/>
        </w:rPr>
        <w:t xml:space="preserve"> </w:t>
      </w:r>
    </w:p>
    <w:p w:rsidR="007B282A" w:rsidRPr="00BE7C13" w:rsidRDefault="007B282A" w:rsidP="005C3CF5">
      <w:pPr>
        <w:jc w:val="both"/>
        <w:rPr>
          <w:rFonts w:ascii="Verdana" w:hAnsi="Verdana"/>
          <w:sz w:val="20"/>
          <w:szCs w:val="20"/>
          <w:lang w:val="es-CR"/>
        </w:rPr>
      </w:pPr>
    </w:p>
    <w:p w:rsidR="006902C1" w:rsidRDefault="006902C1" w:rsidP="005C3CF5">
      <w:pPr>
        <w:jc w:val="both"/>
        <w:rPr>
          <w:rFonts w:ascii="Verdana" w:hAnsi="Verdana"/>
          <w:sz w:val="20"/>
          <w:szCs w:val="20"/>
          <w:lang w:val="es-ES_tradnl"/>
        </w:rPr>
      </w:pPr>
      <w:r w:rsidRPr="00BE7C13">
        <w:rPr>
          <w:rFonts w:ascii="Verdana" w:hAnsi="Verdana"/>
          <w:sz w:val="20"/>
          <w:szCs w:val="20"/>
          <w:lang w:val="es-CR"/>
        </w:rPr>
        <w:t xml:space="preserve">Por lo </w:t>
      </w:r>
      <w:r w:rsidR="007B282A" w:rsidRPr="00BE7C13">
        <w:rPr>
          <w:rFonts w:ascii="Verdana" w:hAnsi="Verdana"/>
          <w:sz w:val="20"/>
          <w:szCs w:val="20"/>
          <w:lang w:val="es-CR"/>
        </w:rPr>
        <w:t>dicho</w:t>
      </w:r>
      <w:r w:rsidRPr="00BE7C13">
        <w:rPr>
          <w:rFonts w:ascii="Verdana" w:hAnsi="Verdana"/>
          <w:sz w:val="20"/>
          <w:szCs w:val="20"/>
          <w:lang w:val="es-CR"/>
        </w:rPr>
        <w:t xml:space="preserve"> la Corte determinó que Colombia</w:t>
      </w:r>
      <w:r w:rsidR="007B282A" w:rsidRPr="00BE7C13">
        <w:rPr>
          <w:rFonts w:ascii="Verdana" w:hAnsi="Verdana"/>
          <w:sz w:val="20"/>
          <w:szCs w:val="20"/>
          <w:lang w:val="es-CR"/>
        </w:rPr>
        <w:t>,</w:t>
      </w:r>
      <w:r w:rsidRPr="00BE7C13">
        <w:rPr>
          <w:rFonts w:ascii="Verdana" w:hAnsi="Verdana"/>
          <w:sz w:val="20"/>
          <w:szCs w:val="20"/>
          <w:lang w:val="es-CR"/>
        </w:rPr>
        <w:t xml:space="preserve"> </w:t>
      </w:r>
      <w:r w:rsidR="007B282A" w:rsidRPr="00BE7C13">
        <w:rPr>
          <w:rFonts w:ascii="Verdana" w:hAnsi="Verdana"/>
          <w:sz w:val="20"/>
          <w:szCs w:val="20"/>
          <w:lang w:val="es-CR"/>
        </w:rPr>
        <w:t>vulneró</w:t>
      </w:r>
      <w:r w:rsidR="007D52E3" w:rsidRPr="00BE7C13">
        <w:rPr>
          <w:rFonts w:ascii="Verdana" w:hAnsi="Verdana"/>
          <w:sz w:val="20"/>
          <w:szCs w:val="20"/>
          <w:lang w:val="es-CR"/>
        </w:rPr>
        <w:t xml:space="preserve"> </w:t>
      </w:r>
      <w:r w:rsidRPr="00BE7C13">
        <w:rPr>
          <w:rFonts w:ascii="Verdana" w:hAnsi="Verdana"/>
          <w:sz w:val="20"/>
          <w:szCs w:val="20"/>
          <w:lang w:val="es-CR"/>
        </w:rPr>
        <w:t>el deber de prevenir la v</w:t>
      </w:r>
      <w:r w:rsidR="007D52E3" w:rsidRPr="00BE7C13">
        <w:rPr>
          <w:rFonts w:ascii="Verdana" w:hAnsi="Verdana"/>
          <w:sz w:val="20"/>
          <w:szCs w:val="20"/>
          <w:lang w:val="es-CR"/>
        </w:rPr>
        <w:t>iolación</w:t>
      </w:r>
      <w:r w:rsidRPr="00BE7C13">
        <w:rPr>
          <w:rFonts w:ascii="Verdana" w:hAnsi="Verdana"/>
          <w:sz w:val="20"/>
          <w:szCs w:val="20"/>
          <w:lang w:val="es-CR"/>
        </w:rPr>
        <w:t xml:space="preserve"> del derecho a la vida, </w:t>
      </w:r>
      <w:r w:rsidR="007B282A" w:rsidRPr="00BE7C13">
        <w:rPr>
          <w:rFonts w:ascii="Verdana" w:hAnsi="Verdana"/>
          <w:sz w:val="20"/>
          <w:szCs w:val="20"/>
          <w:lang w:val="es-CR"/>
        </w:rPr>
        <w:t xml:space="preserve">inobservando </w:t>
      </w:r>
      <w:r w:rsidRPr="00BE7C13">
        <w:rPr>
          <w:rFonts w:ascii="Verdana" w:hAnsi="Verdana"/>
          <w:sz w:val="20"/>
          <w:szCs w:val="20"/>
          <w:lang w:val="es-CR"/>
        </w:rPr>
        <w:t>el artículo 4.1 de la Convención, en relación con el artículo 7.b) de l</w:t>
      </w:r>
      <w:r w:rsidR="007B282A" w:rsidRPr="00BE7C13">
        <w:rPr>
          <w:rFonts w:ascii="Verdana" w:hAnsi="Verdana"/>
          <w:sz w:val="20"/>
          <w:szCs w:val="20"/>
          <w:lang w:val="es-CR"/>
        </w:rPr>
        <w:t>a Convención de Belém do Pará</w:t>
      </w:r>
      <w:r w:rsidR="004A4451">
        <w:rPr>
          <w:rFonts w:ascii="Verdana" w:hAnsi="Verdana"/>
          <w:sz w:val="20"/>
          <w:szCs w:val="20"/>
          <w:lang w:val="es-CR"/>
        </w:rPr>
        <w:t>,</w:t>
      </w:r>
      <w:r w:rsidR="004A4451" w:rsidRPr="004A4451">
        <w:rPr>
          <w:rFonts w:ascii="Verdana" w:hAnsi="Verdana"/>
          <w:sz w:val="20"/>
          <w:szCs w:val="20"/>
          <w:lang w:val="es-CR"/>
        </w:rPr>
        <w:t xml:space="preserve"> </w:t>
      </w:r>
      <w:r w:rsidR="004A4451" w:rsidRPr="00BE7C13">
        <w:rPr>
          <w:rFonts w:ascii="Verdana" w:hAnsi="Verdana"/>
          <w:sz w:val="20"/>
          <w:szCs w:val="20"/>
          <w:lang w:val="es-CR"/>
        </w:rPr>
        <w:t xml:space="preserve">en perjuicio de la señora </w:t>
      </w:r>
      <w:proofErr w:type="spellStart"/>
      <w:r w:rsidR="004A4451" w:rsidRPr="00BE7C13">
        <w:rPr>
          <w:rFonts w:ascii="Verdana" w:hAnsi="Verdana"/>
          <w:sz w:val="20"/>
          <w:szCs w:val="20"/>
          <w:lang w:val="es-CR"/>
        </w:rPr>
        <w:t>Yarce</w:t>
      </w:r>
      <w:proofErr w:type="spellEnd"/>
      <w:proofErr w:type="gramStart"/>
      <w:r w:rsidR="004A4451" w:rsidRPr="00BE7C13">
        <w:rPr>
          <w:rFonts w:ascii="Verdana" w:hAnsi="Verdana"/>
          <w:sz w:val="20"/>
          <w:szCs w:val="20"/>
          <w:lang w:val="es-CR"/>
        </w:rPr>
        <w:t>,</w:t>
      </w:r>
      <w:r w:rsidR="007B282A" w:rsidRPr="00BE7C13">
        <w:rPr>
          <w:rFonts w:ascii="Verdana" w:hAnsi="Verdana"/>
          <w:sz w:val="20"/>
          <w:szCs w:val="20"/>
          <w:lang w:val="es-CR"/>
        </w:rPr>
        <w:t>.</w:t>
      </w:r>
      <w:proofErr w:type="gramEnd"/>
      <w:r w:rsidR="007B282A" w:rsidRPr="00BE7C13">
        <w:rPr>
          <w:rFonts w:ascii="Verdana" w:hAnsi="Verdana"/>
          <w:sz w:val="20"/>
          <w:szCs w:val="20"/>
          <w:lang w:val="es-CR"/>
        </w:rPr>
        <w:t xml:space="preserve"> Asimismo, ello afectó la integridad personal de sus hijos, </w:t>
      </w:r>
      <w:r w:rsidR="005C0D67" w:rsidRPr="00BE7C13">
        <w:rPr>
          <w:rFonts w:ascii="Verdana" w:hAnsi="Verdana"/>
          <w:sz w:val="20"/>
          <w:szCs w:val="20"/>
          <w:lang w:val="es-ES_tradnl"/>
        </w:rPr>
        <w:t xml:space="preserve">Mónica </w:t>
      </w:r>
      <w:proofErr w:type="spellStart"/>
      <w:r w:rsidR="005C0D67" w:rsidRPr="00BE7C13">
        <w:rPr>
          <w:rFonts w:ascii="Verdana" w:hAnsi="Verdana"/>
          <w:sz w:val="20"/>
          <w:szCs w:val="20"/>
          <w:lang w:val="es-ES_tradnl"/>
        </w:rPr>
        <w:t>Dulfari</w:t>
      </w:r>
      <w:proofErr w:type="spellEnd"/>
      <w:r w:rsidR="005C0D67" w:rsidRPr="00BE7C13">
        <w:rPr>
          <w:rFonts w:ascii="Verdana" w:hAnsi="Verdana"/>
          <w:sz w:val="20"/>
          <w:szCs w:val="20"/>
          <w:lang w:val="es-ES_tradnl"/>
        </w:rPr>
        <w:t xml:space="preserve"> Orozco </w:t>
      </w:r>
      <w:proofErr w:type="spellStart"/>
      <w:r w:rsidR="005C0D67" w:rsidRPr="00BE7C13">
        <w:rPr>
          <w:rFonts w:ascii="Verdana" w:hAnsi="Verdana"/>
          <w:sz w:val="20"/>
          <w:szCs w:val="20"/>
          <w:lang w:val="es-ES_tradnl"/>
        </w:rPr>
        <w:t>Yarce</w:t>
      </w:r>
      <w:proofErr w:type="spellEnd"/>
      <w:r w:rsidR="005C0D67" w:rsidRPr="00BE7C13">
        <w:rPr>
          <w:rFonts w:ascii="Verdana" w:hAnsi="Verdana"/>
          <w:sz w:val="20"/>
          <w:szCs w:val="20"/>
          <w:lang w:val="es-ES_tradnl"/>
        </w:rPr>
        <w:t xml:space="preserve">, </w:t>
      </w:r>
      <w:proofErr w:type="spellStart"/>
      <w:r w:rsidR="005C0D67" w:rsidRPr="00BE7C13">
        <w:rPr>
          <w:rFonts w:ascii="Verdana" w:hAnsi="Verdana"/>
          <w:sz w:val="20"/>
          <w:szCs w:val="20"/>
          <w:lang w:val="es-ES_tradnl"/>
        </w:rPr>
        <w:t>Sirley</w:t>
      </w:r>
      <w:proofErr w:type="spellEnd"/>
      <w:r w:rsidR="005C0D67" w:rsidRPr="00BE7C13">
        <w:rPr>
          <w:rFonts w:ascii="Verdana" w:hAnsi="Verdana"/>
          <w:sz w:val="20"/>
          <w:szCs w:val="20"/>
          <w:lang w:val="es-ES_tradnl"/>
        </w:rPr>
        <w:t xml:space="preserve"> Vanessa </w:t>
      </w:r>
      <w:proofErr w:type="spellStart"/>
      <w:r w:rsidR="005C0D67" w:rsidRPr="00BE7C13">
        <w:rPr>
          <w:rFonts w:ascii="Verdana" w:hAnsi="Verdana"/>
          <w:sz w:val="20"/>
          <w:szCs w:val="20"/>
          <w:lang w:val="es-ES_tradnl"/>
        </w:rPr>
        <w:t>Yarce</w:t>
      </w:r>
      <w:proofErr w:type="spellEnd"/>
      <w:r w:rsidR="005C0D67" w:rsidRPr="00BE7C13">
        <w:rPr>
          <w:rFonts w:ascii="Verdana" w:hAnsi="Verdana"/>
          <w:sz w:val="20"/>
          <w:szCs w:val="20"/>
          <w:lang w:val="es-ES_tradnl"/>
        </w:rPr>
        <w:t xml:space="preserve">, John Henry </w:t>
      </w:r>
      <w:proofErr w:type="spellStart"/>
      <w:r w:rsidR="005C0D67" w:rsidRPr="00BE7C13">
        <w:rPr>
          <w:rFonts w:ascii="Verdana" w:hAnsi="Verdana"/>
          <w:sz w:val="20"/>
          <w:szCs w:val="20"/>
          <w:lang w:val="es-ES_tradnl"/>
        </w:rPr>
        <w:t>Yarce</w:t>
      </w:r>
      <w:proofErr w:type="spellEnd"/>
      <w:r w:rsidR="005C0D67" w:rsidRPr="00BE7C13">
        <w:rPr>
          <w:rFonts w:ascii="Verdana" w:hAnsi="Verdana"/>
          <w:sz w:val="20"/>
          <w:szCs w:val="20"/>
          <w:lang w:val="es-ES_tradnl"/>
        </w:rPr>
        <w:t xml:space="preserve">, </w:t>
      </w:r>
      <w:proofErr w:type="spellStart"/>
      <w:r w:rsidR="005C0D67" w:rsidRPr="00BE7C13">
        <w:rPr>
          <w:rFonts w:ascii="Verdana" w:hAnsi="Verdana"/>
          <w:sz w:val="20"/>
          <w:szCs w:val="20"/>
          <w:lang w:val="es-ES_tradnl"/>
        </w:rPr>
        <w:t>Arlex</w:t>
      </w:r>
      <w:proofErr w:type="spellEnd"/>
      <w:r w:rsidR="005C0D67" w:rsidRPr="00BE7C13">
        <w:rPr>
          <w:rFonts w:ascii="Verdana" w:hAnsi="Verdana"/>
          <w:sz w:val="20"/>
          <w:szCs w:val="20"/>
          <w:lang w:val="es-ES_tradnl"/>
        </w:rPr>
        <w:t xml:space="preserve"> Efrén </w:t>
      </w:r>
      <w:proofErr w:type="spellStart"/>
      <w:r w:rsidR="005C0D67" w:rsidRPr="00BE7C13">
        <w:rPr>
          <w:rFonts w:ascii="Verdana" w:hAnsi="Verdana"/>
          <w:sz w:val="20"/>
          <w:szCs w:val="20"/>
          <w:lang w:val="es-ES_tradnl"/>
        </w:rPr>
        <w:t>Yarce</w:t>
      </w:r>
      <w:proofErr w:type="spellEnd"/>
      <w:r w:rsidR="005C0D67" w:rsidRPr="00BE7C13">
        <w:rPr>
          <w:rFonts w:ascii="Verdana" w:hAnsi="Verdana"/>
          <w:sz w:val="20"/>
          <w:szCs w:val="20"/>
          <w:lang w:val="es-ES_tradnl"/>
        </w:rPr>
        <w:t xml:space="preserve"> y James Adrián </w:t>
      </w:r>
      <w:proofErr w:type="spellStart"/>
      <w:r w:rsidR="005C0D67" w:rsidRPr="00BE7C13">
        <w:rPr>
          <w:rFonts w:ascii="Verdana" w:hAnsi="Verdana"/>
          <w:sz w:val="20"/>
          <w:szCs w:val="20"/>
          <w:lang w:val="es-ES_tradnl"/>
        </w:rPr>
        <w:t>Yarce</w:t>
      </w:r>
      <w:proofErr w:type="spellEnd"/>
      <w:r w:rsidR="005C0D67" w:rsidRPr="00BE7C13">
        <w:rPr>
          <w:rFonts w:ascii="Verdana" w:hAnsi="Verdana"/>
          <w:sz w:val="20"/>
          <w:szCs w:val="20"/>
          <w:lang w:val="es-ES_tradnl"/>
        </w:rPr>
        <w:t>,</w:t>
      </w:r>
      <w:r w:rsidR="004A4451">
        <w:rPr>
          <w:rFonts w:ascii="Verdana" w:hAnsi="Verdana"/>
          <w:sz w:val="20"/>
          <w:szCs w:val="20"/>
          <w:lang w:val="es-ES_tradnl"/>
        </w:rPr>
        <w:t xml:space="preserve"> en violación del artículo 5 de la Convención</w:t>
      </w:r>
      <w:r w:rsidR="005B1758">
        <w:rPr>
          <w:rFonts w:ascii="Verdana" w:hAnsi="Verdana"/>
          <w:sz w:val="20"/>
          <w:szCs w:val="20"/>
          <w:lang w:val="es-ES_tradnl"/>
        </w:rPr>
        <w:t>.</w:t>
      </w:r>
    </w:p>
    <w:p w:rsidR="005B1758" w:rsidRPr="00BE7C13" w:rsidRDefault="005B1758" w:rsidP="005C3CF5">
      <w:pPr>
        <w:jc w:val="both"/>
        <w:rPr>
          <w:rFonts w:ascii="Verdana" w:hAnsi="Verdana"/>
          <w:sz w:val="20"/>
          <w:szCs w:val="20"/>
          <w:lang w:val="es-CR"/>
        </w:rPr>
      </w:pPr>
    </w:p>
    <w:p w:rsidR="00AD76B1" w:rsidRPr="00BE7C13" w:rsidRDefault="00615E21" w:rsidP="00AD76B1">
      <w:pPr>
        <w:jc w:val="both"/>
        <w:rPr>
          <w:rFonts w:ascii="Verdana" w:hAnsi="Verdana"/>
          <w:sz w:val="20"/>
          <w:szCs w:val="20"/>
          <w:lang w:val="es-CR"/>
        </w:rPr>
      </w:pPr>
      <w:r w:rsidRPr="00BE7C13">
        <w:rPr>
          <w:rFonts w:ascii="Verdana" w:hAnsi="Verdana"/>
          <w:sz w:val="20"/>
          <w:szCs w:val="20"/>
          <w:lang w:val="es-CR"/>
        </w:rPr>
        <w:t>En relación con los desplazamientos, si bien la Corte entendió que no es posible atribuir responsabilidad a Colombia por haberlos generado, s</w:t>
      </w:r>
      <w:r w:rsidR="00D40620">
        <w:rPr>
          <w:rFonts w:ascii="Verdana" w:hAnsi="Verdana"/>
          <w:sz w:val="20"/>
          <w:szCs w:val="20"/>
          <w:lang w:val="es-CR"/>
        </w:rPr>
        <w:t>í</w:t>
      </w:r>
      <w:r w:rsidRPr="00BE7C13">
        <w:rPr>
          <w:rFonts w:ascii="Verdana" w:hAnsi="Verdana"/>
          <w:sz w:val="20"/>
          <w:szCs w:val="20"/>
          <w:lang w:val="es-CR"/>
        </w:rPr>
        <w:t xml:space="preserve"> consideró que el Estado, habiendo tomado conocimiento de la situación, no brindó asistencia sino en forma limitada y demorada, y no adoptó medidas tendientes a posibilitar el retorno seguro de las personas afectadas, lo que coadyuvó al sufrimiento generado por la situación. </w:t>
      </w:r>
      <w:r w:rsidR="008D2B2C" w:rsidRPr="00BE7C13">
        <w:rPr>
          <w:rFonts w:ascii="Verdana" w:hAnsi="Verdana"/>
          <w:sz w:val="20"/>
          <w:szCs w:val="20"/>
          <w:lang w:val="es-CR"/>
        </w:rPr>
        <w:t xml:space="preserve">Por ello, el Estado violó los derechos de </w:t>
      </w:r>
      <w:r w:rsidR="004A4451">
        <w:rPr>
          <w:rFonts w:ascii="Verdana" w:hAnsi="Verdana"/>
          <w:sz w:val="20"/>
          <w:szCs w:val="20"/>
          <w:lang w:val="es-CR"/>
        </w:rPr>
        <w:t xml:space="preserve">la </w:t>
      </w:r>
      <w:r w:rsidR="008D2B2C" w:rsidRPr="00BE7C13">
        <w:rPr>
          <w:rFonts w:ascii="Verdana" w:hAnsi="Verdana"/>
          <w:sz w:val="20"/>
          <w:szCs w:val="20"/>
          <w:lang w:val="es-CR"/>
        </w:rPr>
        <w:t xml:space="preserve">circulación y de </w:t>
      </w:r>
      <w:r w:rsidR="004A4451">
        <w:rPr>
          <w:rFonts w:ascii="Verdana" w:hAnsi="Verdana"/>
          <w:sz w:val="20"/>
          <w:szCs w:val="20"/>
          <w:lang w:val="es-CR"/>
        </w:rPr>
        <w:t xml:space="preserve">la </w:t>
      </w:r>
      <w:r w:rsidR="008D2B2C" w:rsidRPr="00BE7C13">
        <w:rPr>
          <w:rFonts w:ascii="Verdana" w:hAnsi="Verdana"/>
          <w:sz w:val="20"/>
          <w:szCs w:val="20"/>
          <w:lang w:val="es-CR"/>
        </w:rPr>
        <w:t xml:space="preserve">residencia e integridad personal, </w:t>
      </w:r>
      <w:r w:rsidR="004A4451">
        <w:rPr>
          <w:rFonts w:ascii="Verdana" w:hAnsi="Verdana"/>
          <w:sz w:val="20"/>
          <w:szCs w:val="20"/>
          <w:lang w:val="es-CR"/>
        </w:rPr>
        <w:t xml:space="preserve">consagrados </w:t>
      </w:r>
      <w:r w:rsidR="008D2B2C" w:rsidRPr="00BE7C13">
        <w:rPr>
          <w:rFonts w:ascii="Verdana" w:hAnsi="Verdana"/>
          <w:sz w:val="20"/>
          <w:szCs w:val="20"/>
          <w:lang w:val="es-CR"/>
        </w:rPr>
        <w:t>en los artícul</w:t>
      </w:r>
      <w:r w:rsidR="005645FC" w:rsidRPr="00BE7C13">
        <w:rPr>
          <w:rFonts w:ascii="Verdana" w:hAnsi="Verdana"/>
          <w:sz w:val="20"/>
          <w:szCs w:val="20"/>
          <w:lang w:val="es-CR"/>
        </w:rPr>
        <w:t>os 22.1 y 5.1 de la Convención</w:t>
      </w:r>
      <w:r w:rsidR="008D2B2C" w:rsidRPr="00BE7C13">
        <w:rPr>
          <w:rFonts w:ascii="Verdana" w:hAnsi="Verdana"/>
          <w:sz w:val="20"/>
          <w:szCs w:val="20"/>
          <w:lang w:val="es-CR"/>
        </w:rPr>
        <w:t xml:space="preserve">, en perjuicio de las siguientes personas: la señora Naranjo; la señora Mosquera y </w:t>
      </w:r>
      <w:r w:rsidR="004A4451">
        <w:rPr>
          <w:rFonts w:ascii="Verdana" w:hAnsi="Verdana"/>
          <w:sz w:val="20"/>
          <w:szCs w:val="20"/>
          <w:lang w:val="es-CR"/>
        </w:rPr>
        <w:t xml:space="preserve">sus </w:t>
      </w:r>
      <w:r w:rsidR="008D2B2C" w:rsidRPr="00BE7C13">
        <w:rPr>
          <w:rFonts w:ascii="Verdana" w:hAnsi="Verdana"/>
          <w:sz w:val="20"/>
          <w:szCs w:val="20"/>
          <w:lang w:val="es-CR"/>
        </w:rPr>
        <w:t>familiares</w:t>
      </w:r>
      <w:r w:rsidR="005B1758">
        <w:rPr>
          <w:rFonts w:ascii="Verdana" w:hAnsi="Verdana"/>
          <w:sz w:val="20"/>
          <w:szCs w:val="20"/>
          <w:lang w:val="es-CR"/>
        </w:rPr>
        <w:t xml:space="preserve"> </w:t>
      </w:r>
      <w:r w:rsidR="004A4451">
        <w:rPr>
          <w:rFonts w:ascii="Verdana" w:hAnsi="Verdana"/>
          <w:sz w:val="20"/>
          <w:szCs w:val="20"/>
          <w:lang w:val="es-CR"/>
        </w:rPr>
        <w:t xml:space="preserve">Hilda Milena Villa Mosquera y </w:t>
      </w:r>
      <w:proofErr w:type="spellStart"/>
      <w:r w:rsidR="004A4451">
        <w:rPr>
          <w:rFonts w:ascii="Verdana" w:hAnsi="Verdana"/>
          <w:sz w:val="20"/>
          <w:szCs w:val="20"/>
          <w:lang w:val="es-CR"/>
        </w:rPr>
        <w:t>Lubín</w:t>
      </w:r>
      <w:proofErr w:type="spellEnd"/>
      <w:r w:rsidR="004A4451">
        <w:rPr>
          <w:rFonts w:ascii="Verdana" w:hAnsi="Verdana"/>
          <w:sz w:val="20"/>
          <w:szCs w:val="20"/>
          <w:lang w:val="es-CR"/>
        </w:rPr>
        <w:t xml:space="preserve"> Alfonso Villa Mosquera</w:t>
      </w:r>
      <w:r w:rsidR="008D2B2C" w:rsidRPr="00BE7C13">
        <w:rPr>
          <w:rFonts w:ascii="Verdana" w:hAnsi="Verdana"/>
          <w:sz w:val="20"/>
          <w:szCs w:val="20"/>
          <w:lang w:val="es-CR"/>
        </w:rPr>
        <w:t xml:space="preserve">; la señora Rúa y sus familiares </w:t>
      </w:r>
      <w:r w:rsidR="00AD76B1" w:rsidRPr="00BE7C13">
        <w:rPr>
          <w:rFonts w:ascii="Verdana" w:hAnsi="Verdana"/>
          <w:sz w:val="20"/>
          <w:szCs w:val="20"/>
          <w:lang w:val="es-ES_tradnl"/>
        </w:rPr>
        <w:t>Gustavo de Jesús Tobón Meneses, Bárbara del Sol Palacios Rúa, Úrsula Manuela Palacios Rúa y Valentina Tobón Rúa</w:t>
      </w:r>
      <w:r w:rsidR="008D2B2C" w:rsidRPr="00BE7C13">
        <w:rPr>
          <w:rFonts w:ascii="Verdana" w:hAnsi="Verdana"/>
          <w:sz w:val="20"/>
          <w:szCs w:val="20"/>
          <w:lang w:val="es-ES_tradnl"/>
        </w:rPr>
        <w:t>, y</w:t>
      </w:r>
      <w:r w:rsidR="00AD76B1" w:rsidRPr="00BE7C13">
        <w:rPr>
          <w:rFonts w:ascii="Verdana" w:hAnsi="Verdana"/>
          <w:sz w:val="20"/>
          <w:szCs w:val="20"/>
          <w:lang w:val="es-ES_tradnl"/>
        </w:rPr>
        <w:t xml:space="preserve"> la señora Ospina</w:t>
      </w:r>
      <w:r w:rsidR="008D2B2C" w:rsidRPr="00BE7C13">
        <w:rPr>
          <w:rFonts w:ascii="Verdana" w:hAnsi="Verdana"/>
          <w:sz w:val="20"/>
          <w:szCs w:val="20"/>
          <w:lang w:val="es-ES_tradnl"/>
        </w:rPr>
        <w:t xml:space="preserve"> y sus familiares</w:t>
      </w:r>
      <w:r w:rsidR="00AD76B1" w:rsidRPr="00BE7C13">
        <w:rPr>
          <w:rFonts w:ascii="Verdana" w:hAnsi="Verdana"/>
          <w:sz w:val="20"/>
          <w:szCs w:val="20"/>
          <w:lang w:val="es-ES_tradnl"/>
        </w:rPr>
        <w:t xml:space="preserve"> Oscar Tulio </w:t>
      </w:r>
      <w:r w:rsidR="00AD76B1" w:rsidRPr="00BE7C13">
        <w:rPr>
          <w:rFonts w:ascii="Verdana" w:hAnsi="Verdana"/>
          <w:sz w:val="20"/>
          <w:szCs w:val="20"/>
          <w:lang w:val="es-ES_tradnl"/>
        </w:rPr>
        <w:lastRenderedPageBreak/>
        <w:t xml:space="preserve">Hoyos Oquendo, </w:t>
      </w:r>
      <w:proofErr w:type="spellStart"/>
      <w:r w:rsidR="00AD76B1" w:rsidRPr="00BE7C13">
        <w:rPr>
          <w:rFonts w:ascii="Verdana" w:hAnsi="Verdana"/>
          <w:sz w:val="20"/>
          <w:szCs w:val="20"/>
          <w:lang w:val="es-ES_tradnl"/>
        </w:rPr>
        <w:t>Edid</w:t>
      </w:r>
      <w:proofErr w:type="spellEnd"/>
      <w:r w:rsidR="00AD76B1" w:rsidRPr="00BE7C13">
        <w:rPr>
          <w:rFonts w:ascii="Verdana" w:hAnsi="Verdana"/>
          <w:sz w:val="20"/>
          <w:szCs w:val="20"/>
          <w:lang w:val="es-ES_tradnl"/>
        </w:rPr>
        <w:t xml:space="preserve"> </w:t>
      </w:r>
      <w:proofErr w:type="spellStart"/>
      <w:r w:rsidR="00AD76B1" w:rsidRPr="00BE7C13">
        <w:rPr>
          <w:rFonts w:ascii="Verdana" w:hAnsi="Verdana"/>
          <w:sz w:val="20"/>
          <w:szCs w:val="20"/>
          <w:lang w:val="es-ES_tradnl"/>
        </w:rPr>
        <w:t>Yazmín</w:t>
      </w:r>
      <w:proofErr w:type="spellEnd"/>
      <w:r w:rsidR="00AD76B1" w:rsidRPr="00BE7C13">
        <w:rPr>
          <w:rFonts w:ascii="Verdana" w:hAnsi="Verdana"/>
          <w:sz w:val="20"/>
          <w:szCs w:val="20"/>
          <w:lang w:val="es-ES_tradnl"/>
        </w:rPr>
        <w:t xml:space="preserve"> Hoyos Ospina, Oscar Darío Hoyos Ospina y Migdalia Andrea Hoyos Ospina, y de la señora Mosquera: Hilda Milena Villa Mosquera, y </w:t>
      </w:r>
      <w:proofErr w:type="spellStart"/>
      <w:r w:rsidR="00AD76B1" w:rsidRPr="00BE7C13">
        <w:rPr>
          <w:rFonts w:ascii="Verdana" w:hAnsi="Verdana"/>
          <w:sz w:val="20"/>
          <w:szCs w:val="20"/>
          <w:lang w:val="es-ES_tradnl"/>
        </w:rPr>
        <w:t>Lubín</w:t>
      </w:r>
      <w:proofErr w:type="spellEnd"/>
      <w:r w:rsidR="00AD76B1" w:rsidRPr="00BE7C13">
        <w:rPr>
          <w:rFonts w:ascii="Verdana" w:hAnsi="Verdana"/>
          <w:sz w:val="20"/>
          <w:szCs w:val="20"/>
          <w:lang w:val="es-ES_tradnl"/>
        </w:rPr>
        <w:t xml:space="preserve"> Alfonso Villa Mosquera</w:t>
      </w:r>
      <w:r w:rsidR="008D2B2C" w:rsidRPr="00BE7C13">
        <w:rPr>
          <w:rFonts w:ascii="Verdana" w:hAnsi="Verdana"/>
          <w:sz w:val="20"/>
          <w:szCs w:val="20"/>
          <w:lang w:val="es-ES_tradnl"/>
        </w:rPr>
        <w:t xml:space="preserve">. </w:t>
      </w:r>
    </w:p>
    <w:p w:rsidR="00615E21" w:rsidRPr="00BE7C13" w:rsidRDefault="00615E21" w:rsidP="005C3CF5">
      <w:pPr>
        <w:jc w:val="both"/>
        <w:rPr>
          <w:rFonts w:ascii="Verdana" w:hAnsi="Verdana"/>
          <w:sz w:val="20"/>
          <w:szCs w:val="20"/>
          <w:lang w:val="es-CR"/>
        </w:rPr>
      </w:pPr>
    </w:p>
    <w:p w:rsidR="00DF37DC" w:rsidRPr="00BE7C13" w:rsidRDefault="00DF37DC" w:rsidP="00DF37DC">
      <w:pPr>
        <w:jc w:val="both"/>
        <w:rPr>
          <w:rFonts w:ascii="Verdana" w:hAnsi="Verdana"/>
          <w:sz w:val="20"/>
          <w:szCs w:val="20"/>
          <w:lang w:val="es-ES_tradnl"/>
        </w:rPr>
      </w:pPr>
      <w:r w:rsidRPr="00BE7C13">
        <w:rPr>
          <w:rFonts w:ascii="Verdana" w:hAnsi="Verdana"/>
          <w:sz w:val="20"/>
          <w:szCs w:val="20"/>
          <w:lang w:val="es-CR"/>
        </w:rPr>
        <w:t>Asim</w:t>
      </w:r>
      <w:r w:rsidR="00437031" w:rsidRPr="00BE7C13">
        <w:rPr>
          <w:rFonts w:ascii="Verdana" w:hAnsi="Verdana"/>
          <w:sz w:val="20"/>
          <w:szCs w:val="20"/>
          <w:lang w:val="es-CR"/>
        </w:rPr>
        <w:t>i</w:t>
      </w:r>
      <w:r w:rsidRPr="00BE7C13">
        <w:rPr>
          <w:rFonts w:ascii="Verdana" w:hAnsi="Verdana"/>
          <w:sz w:val="20"/>
          <w:szCs w:val="20"/>
          <w:lang w:val="es-CR"/>
        </w:rPr>
        <w:t xml:space="preserve">smo, la Corte declaró </w:t>
      </w:r>
      <w:r w:rsidRPr="00BE7C13">
        <w:rPr>
          <w:rFonts w:ascii="Verdana" w:hAnsi="Verdana"/>
          <w:sz w:val="20"/>
          <w:szCs w:val="20"/>
          <w:lang w:val="es-ES_tradnl"/>
        </w:rPr>
        <w:t>que en el marco del desplazamiento forzado, la falta de acciones estatales para proteger las viviendas</w:t>
      </w:r>
      <w:r w:rsidR="004A4451">
        <w:rPr>
          <w:rFonts w:ascii="Verdana" w:hAnsi="Verdana"/>
          <w:sz w:val="20"/>
          <w:szCs w:val="20"/>
          <w:lang w:val="es-ES_tradnl"/>
        </w:rPr>
        <w:t>,</w:t>
      </w:r>
      <w:r w:rsidRPr="00BE7C13">
        <w:rPr>
          <w:rFonts w:ascii="Verdana" w:hAnsi="Verdana"/>
          <w:sz w:val="20"/>
          <w:szCs w:val="20"/>
          <w:lang w:val="es-ES_tradnl"/>
        </w:rPr>
        <w:t xml:space="preserve"> </w:t>
      </w:r>
      <w:r w:rsidR="004A4451">
        <w:rPr>
          <w:rFonts w:ascii="Verdana" w:hAnsi="Verdana"/>
          <w:sz w:val="20"/>
          <w:szCs w:val="20"/>
          <w:lang w:val="es-ES_tradnl"/>
        </w:rPr>
        <w:t>las cuales fueron desmanteladas progresivamente hasta quedar en ruinas y saqueadas,</w:t>
      </w:r>
      <w:r w:rsidR="004A4451" w:rsidRPr="00BE7C13">
        <w:rPr>
          <w:rFonts w:ascii="Verdana" w:hAnsi="Verdana"/>
          <w:sz w:val="20"/>
          <w:szCs w:val="20"/>
          <w:lang w:val="es-ES_tradnl"/>
        </w:rPr>
        <w:t xml:space="preserve"> </w:t>
      </w:r>
      <w:r w:rsidRPr="00BE7C13">
        <w:rPr>
          <w:rFonts w:ascii="Verdana" w:hAnsi="Verdana"/>
          <w:sz w:val="20"/>
          <w:szCs w:val="20"/>
          <w:lang w:val="es-ES_tradnl"/>
        </w:rPr>
        <w:t>de las señoras Ospina, R</w:t>
      </w:r>
      <w:r w:rsidR="00330E6E">
        <w:rPr>
          <w:rFonts w:ascii="Verdana" w:hAnsi="Verdana"/>
          <w:sz w:val="20"/>
          <w:szCs w:val="20"/>
          <w:lang w:val="es-ES_tradnl"/>
        </w:rPr>
        <w:t>ú</w:t>
      </w:r>
      <w:r w:rsidRPr="00BE7C13">
        <w:rPr>
          <w:rFonts w:ascii="Verdana" w:hAnsi="Verdana"/>
          <w:sz w:val="20"/>
          <w:szCs w:val="20"/>
          <w:lang w:val="es-ES_tradnl"/>
        </w:rPr>
        <w:t>a y sus familiares ya mencionados</w:t>
      </w:r>
      <w:r w:rsidR="006D6877">
        <w:rPr>
          <w:rFonts w:ascii="Verdana" w:hAnsi="Verdana"/>
          <w:sz w:val="20"/>
          <w:szCs w:val="20"/>
          <w:lang w:val="es-ES_tradnl"/>
        </w:rPr>
        <w:t>,</w:t>
      </w:r>
      <w:r w:rsidRPr="00BE7C13">
        <w:rPr>
          <w:rFonts w:ascii="Verdana" w:hAnsi="Verdana"/>
          <w:sz w:val="20"/>
          <w:szCs w:val="20"/>
          <w:lang w:val="es-ES_tradnl"/>
        </w:rPr>
        <w:t xml:space="preserve"> implicó en su perjuicio una violación al derecho a la propiedad privada</w:t>
      </w:r>
      <w:r w:rsidR="00330E6E">
        <w:rPr>
          <w:rFonts w:ascii="Verdana" w:hAnsi="Verdana"/>
          <w:sz w:val="20"/>
          <w:szCs w:val="20"/>
          <w:lang w:val="es-ES_tradnl"/>
        </w:rPr>
        <w:t xml:space="preserve"> consagrado en </w:t>
      </w:r>
      <w:r w:rsidRPr="00BE7C13">
        <w:rPr>
          <w:rFonts w:ascii="Verdana" w:hAnsi="Verdana"/>
          <w:sz w:val="20"/>
          <w:szCs w:val="20"/>
          <w:lang w:val="es-ES_tradnl"/>
        </w:rPr>
        <w:t xml:space="preserve">el artículo 21 de la Convención. </w:t>
      </w:r>
    </w:p>
    <w:p w:rsidR="00DF37DC" w:rsidRPr="00BE7C13" w:rsidRDefault="00DF37DC" w:rsidP="00DF37DC">
      <w:pPr>
        <w:jc w:val="both"/>
        <w:rPr>
          <w:rFonts w:ascii="Verdana" w:hAnsi="Verdana"/>
          <w:sz w:val="20"/>
          <w:szCs w:val="20"/>
          <w:lang w:val="es-ES_tradnl"/>
        </w:rPr>
      </w:pPr>
    </w:p>
    <w:p w:rsidR="00FF1B27" w:rsidRPr="00BE7C13" w:rsidRDefault="00DF37DC" w:rsidP="00FF1B27">
      <w:pPr>
        <w:jc w:val="both"/>
        <w:rPr>
          <w:rFonts w:ascii="Verdana" w:hAnsi="Verdana"/>
          <w:sz w:val="20"/>
          <w:szCs w:val="20"/>
          <w:lang w:val="es-CR"/>
        </w:rPr>
      </w:pPr>
      <w:r w:rsidRPr="00BE7C13">
        <w:rPr>
          <w:rFonts w:ascii="Verdana" w:hAnsi="Verdana"/>
          <w:sz w:val="20"/>
          <w:szCs w:val="20"/>
          <w:lang w:val="es-ES_tradnl"/>
        </w:rPr>
        <w:t>Por otra parte, la Corte determinó que la omisión de medidas para propiciar el retorno seguro de las personas desplazadas conllevó, además de lo ya indicado, violaciones al derecho a la protección de la familia, establecido en e</w:t>
      </w:r>
      <w:r w:rsidR="00B51144" w:rsidRPr="00BE7C13">
        <w:rPr>
          <w:rFonts w:ascii="Verdana" w:hAnsi="Verdana"/>
          <w:sz w:val="20"/>
          <w:szCs w:val="20"/>
          <w:lang w:val="es-ES_tradnl"/>
        </w:rPr>
        <w:t>l artículo 17 de la Convención</w:t>
      </w:r>
      <w:r w:rsidRPr="00BE7C13">
        <w:rPr>
          <w:rFonts w:ascii="Verdana" w:hAnsi="Verdana"/>
          <w:sz w:val="20"/>
          <w:szCs w:val="20"/>
          <w:lang w:val="es-ES_tradnl"/>
        </w:rPr>
        <w:t>, en perjuicio de: i) las señoras Mosquera, Ospina y Naranjo, ii) los siguientes familiares de la señora Naranjo:</w:t>
      </w:r>
      <w:r w:rsidRPr="00BE7C13">
        <w:rPr>
          <w:rFonts w:ascii="Verdana" w:hAnsi="Verdana"/>
          <w:sz w:val="20"/>
          <w:szCs w:val="20"/>
          <w:lang w:val="es-CR"/>
        </w:rPr>
        <w:t xml:space="preserve"> Juan David Naranjo</w:t>
      </w:r>
      <w:r w:rsidR="00A67E1D">
        <w:rPr>
          <w:rFonts w:ascii="Verdana" w:hAnsi="Verdana"/>
          <w:sz w:val="20"/>
          <w:szCs w:val="20"/>
          <w:lang w:val="es-CR"/>
        </w:rPr>
        <w:t xml:space="preserve"> Jiménez</w:t>
      </w:r>
      <w:r w:rsidRPr="00BE7C13">
        <w:rPr>
          <w:rFonts w:ascii="Verdana" w:hAnsi="Verdana"/>
          <w:sz w:val="20"/>
          <w:szCs w:val="20"/>
          <w:lang w:val="es-CR"/>
        </w:rPr>
        <w:t>, Sandra Janeth Naranjo</w:t>
      </w:r>
      <w:r w:rsidR="00A67E1D">
        <w:rPr>
          <w:rFonts w:ascii="Verdana" w:hAnsi="Verdana"/>
          <w:sz w:val="20"/>
          <w:szCs w:val="20"/>
          <w:lang w:val="es-CR"/>
        </w:rPr>
        <w:t xml:space="preserve"> Jiménez</w:t>
      </w:r>
      <w:r w:rsidRPr="00BE7C13">
        <w:rPr>
          <w:rFonts w:ascii="Verdana" w:hAnsi="Verdana"/>
          <w:sz w:val="20"/>
          <w:szCs w:val="20"/>
          <w:lang w:val="es-CR"/>
        </w:rPr>
        <w:t>, Alejandro Naranjo</w:t>
      </w:r>
      <w:r w:rsidR="00A67E1D">
        <w:rPr>
          <w:rFonts w:ascii="Verdana" w:hAnsi="Verdana"/>
          <w:sz w:val="20"/>
          <w:szCs w:val="20"/>
          <w:lang w:val="es-CR"/>
        </w:rPr>
        <w:t xml:space="preserve"> Jiménez</w:t>
      </w:r>
      <w:r w:rsidRPr="00BE7C13">
        <w:rPr>
          <w:rFonts w:ascii="Verdana" w:hAnsi="Verdana"/>
          <w:sz w:val="20"/>
          <w:szCs w:val="20"/>
          <w:lang w:val="es-CR"/>
        </w:rPr>
        <w:t>, Alba Mery Naranjo</w:t>
      </w:r>
      <w:r w:rsidR="00A67E1D">
        <w:rPr>
          <w:rFonts w:ascii="Verdana" w:hAnsi="Verdana"/>
          <w:sz w:val="20"/>
          <w:szCs w:val="20"/>
          <w:lang w:val="es-CR"/>
        </w:rPr>
        <w:t xml:space="preserve"> Jiménez</w:t>
      </w:r>
      <w:r w:rsidRPr="00BE7C13">
        <w:rPr>
          <w:rFonts w:ascii="Verdana" w:hAnsi="Verdana"/>
          <w:sz w:val="20"/>
          <w:szCs w:val="20"/>
          <w:lang w:val="es-CR"/>
        </w:rPr>
        <w:t>, María Camila Naranjo Jiménez, Aura María Amaya Naranjo, Esteban Torres Naranjo, Erika Johann Gómez, y Heidi Tatiana Naranjo Gómez; iii) los familiares de las</w:t>
      </w:r>
      <w:r w:rsidRPr="00BE7C13">
        <w:rPr>
          <w:rFonts w:ascii="Verdana" w:hAnsi="Verdana"/>
          <w:sz w:val="20"/>
          <w:szCs w:val="20"/>
          <w:lang w:val="es-ES_tradnl"/>
        </w:rPr>
        <w:t xml:space="preserve"> señoras Mosquera y Ospina ya mencionados y también los siguientes: </w:t>
      </w:r>
      <w:proofErr w:type="spellStart"/>
      <w:r w:rsidRPr="00BE7C13">
        <w:rPr>
          <w:rFonts w:ascii="Verdana" w:hAnsi="Verdana"/>
          <w:sz w:val="20"/>
          <w:szCs w:val="20"/>
          <w:lang w:val="es-CR"/>
        </w:rPr>
        <w:t>Lubín</w:t>
      </w:r>
      <w:proofErr w:type="spellEnd"/>
      <w:r w:rsidRPr="00BE7C13">
        <w:rPr>
          <w:rFonts w:ascii="Verdana" w:hAnsi="Verdana"/>
          <w:sz w:val="20"/>
          <w:szCs w:val="20"/>
          <w:lang w:val="es-CR"/>
        </w:rPr>
        <w:t xml:space="preserve"> </w:t>
      </w:r>
      <w:proofErr w:type="spellStart"/>
      <w:r w:rsidRPr="00BE7C13">
        <w:rPr>
          <w:rFonts w:ascii="Verdana" w:hAnsi="Verdana"/>
          <w:sz w:val="20"/>
          <w:szCs w:val="20"/>
          <w:lang w:val="es-CR"/>
        </w:rPr>
        <w:t>Arjadi</w:t>
      </w:r>
      <w:proofErr w:type="spellEnd"/>
      <w:r w:rsidRPr="00BE7C13">
        <w:rPr>
          <w:rFonts w:ascii="Verdana" w:hAnsi="Verdana"/>
          <w:sz w:val="20"/>
          <w:szCs w:val="20"/>
          <w:lang w:val="es-CR"/>
        </w:rPr>
        <w:t xml:space="preserve"> Mosquera, </w:t>
      </w:r>
      <w:proofErr w:type="spellStart"/>
      <w:r w:rsidRPr="00BE7C13">
        <w:rPr>
          <w:rFonts w:ascii="Verdana" w:hAnsi="Verdana"/>
          <w:sz w:val="20"/>
          <w:szCs w:val="20"/>
          <w:lang w:val="es-CR"/>
        </w:rPr>
        <w:t>Ivan</w:t>
      </w:r>
      <w:proofErr w:type="spellEnd"/>
      <w:r w:rsidRPr="00BE7C13">
        <w:rPr>
          <w:rFonts w:ascii="Verdana" w:hAnsi="Verdana"/>
          <w:sz w:val="20"/>
          <w:szCs w:val="20"/>
          <w:lang w:val="es-CR"/>
        </w:rPr>
        <w:t xml:space="preserve"> Alberto Herrera Mosquera, Carlos Mario Villa Mosquera, Luisa Fernanda Herrera Vera, Sofía Herrera Montoya, </w:t>
      </w:r>
      <w:proofErr w:type="spellStart"/>
      <w:r w:rsidRPr="00BE7C13">
        <w:rPr>
          <w:rFonts w:ascii="Verdana" w:hAnsi="Verdana"/>
          <w:sz w:val="20"/>
          <w:szCs w:val="20"/>
          <w:lang w:val="es-CR"/>
        </w:rPr>
        <w:t>Madelen</w:t>
      </w:r>
      <w:proofErr w:type="spellEnd"/>
      <w:r w:rsidRPr="00BE7C13">
        <w:rPr>
          <w:rFonts w:ascii="Verdana" w:hAnsi="Verdana"/>
          <w:sz w:val="20"/>
          <w:szCs w:val="20"/>
          <w:lang w:val="es-CR"/>
        </w:rPr>
        <w:t xml:space="preserve"> Araujo Correa, Daniel </w:t>
      </w:r>
      <w:proofErr w:type="spellStart"/>
      <w:r w:rsidRPr="00BE7C13">
        <w:rPr>
          <w:rFonts w:ascii="Verdana" w:hAnsi="Verdana"/>
          <w:sz w:val="20"/>
          <w:szCs w:val="20"/>
          <w:lang w:val="es-CR"/>
        </w:rPr>
        <w:t>Esteven</w:t>
      </w:r>
      <w:proofErr w:type="spellEnd"/>
      <w:r w:rsidRPr="00BE7C13">
        <w:rPr>
          <w:rFonts w:ascii="Verdana" w:hAnsi="Verdana"/>
          <w:sz w:val="20"/>
          <w:szCs w:val="20"/>
          <w:lang w:val="es-CR"/>
        </w:rPr>
        <w:t xml:space="preserve"> Herrera Vera, Carlos Mario Bedoya Serna, Mateo Rodríguez, Luisa María Mosquera </w:t>
      </w:r>
      <w:proofErr w:type="spellStart"/>
      <w:r w:rsidRPr="00BE7C13">
        <w:rPr>
          <w:rFonts w:ascii="Verdana" w:hAnsi="Verdana"/>
          <w:sz w:val="20"/>
          <w:szCs w:val="20"/>
          <w:lang w:val="es-CR"/>
        </w:rPr>
        <w:t>Guisao</w:t>
      </w:r>
      <w:proofErr w:type="spellEnd"/>
      <w:r w:rsidRPr="00BE7C13">
        <w:rPr>
          <w:rFonts w:ascii="Verdana" w:hAnsi="Verdana"/>
          <w:sz w:val="20"/>
          <w:szCs w:val="20"/>
          <w:lang w:val="es-CR"/>
        </w:rPr>
        <w:t xml:space="preserve">, Luis Alfonso Mosquera </w:t>
      </w:r>
      <w:proofErr w:type="spellStart"/>
      <w:r w:rsidRPr="00BE7C13">
        <w:rPr>
          <w:rFonts w:ascii="Verdana" w:hAnsi="Verdana"/>
          <w:sz w:val="20"/>
          <w:szCs w:val="20"/>
          <w:lang w:val="es-CR"/>
        </w:rPr>
        <w:t>Guisao</w:t>
      </w:r>
      <w:proofErr w:type="spellEnd"/>
      <w:r w:rsidRPr="00BE7C13">
        <w:rPr>
          <w:rFonts w:ascii="Verdana" w:hAnsi="Verdana"/>
          <w:sz w:val="20"/>
          <w:szCs w:val="20"/>
          <w:lang w:val="es-CR"/>
        </w:rPr>
        <w:t xml:space="preserve">, </w:t>
      </w:r>
      <w:proofErr w:type="spellStart"/>
      <w:r w:rsidRPr="00BE7C13">
        <w:rPr>
          <w:rFonts w:ascii="Verdana" w:hAnsi="Verdana"/>
          <w:sz w:val="20"/>
          <w:szCs w:val="20"/>
          <w:lang w:val="es-CR"/>
        </w:rPr>
        <w:t>Lubín</w:t>
      </w:r>
      <w:proofErr w:type="spellEnd"/>
      <w:r w:rsidRPr="00BE7C13">
        <w:rPr>
          <w:rFonts w:ascii="Verdana" w:hAnsi="Verdana"/>
          <w:sz w:val="20"/>
          <w:szCs w:val="20"/>
          <w:lang w:val="es-CR"/>
        </w:rPr>
        <w:t xml:space="preserve"> Alfonso Villa Mosquera, y iv) Sebastián Naranjo Jiménez, Luis Alfonso Mosquera </w:t>
      </w:r>
      <w:proofErr w:type="spellStart"/>
      <w:r w:rsidRPr="00BE7C13">
        <w:rPr>
          <w:rFonts w:ascii="Verdana" w:hAnsi="Verdana"/>
          <w:sz w:val="20"/>
          <w:szCs w:val="20"/>
          <w:lang w:val="es-CR"/>
        </w:rPr>
        <w:t>Guisao</w:t>
      </w:r>
      <w:proofErr w:type="spellEnd"/>
      <w:r w:rsidRPr="00BE7C13">
        <w:rPr>
          <w:rFonts w:ascii="Verdana" w:hAnsi="Verdana"/>
          <w:sz w:val="20"/>
          <w:szCs w:val="20"/>
          <w:lang w:val="es-CR"/>
        </w:rPr>
        <w:t xml:space="preserve">, Luisa María Mosquera </w:t>
      </w:r>
      <w:proofErr w:type="spellStart"/>
      <w:r w:rsidRPr="00BE7C13">
        <w:rPr>
          <w:rFonts w:ascii="Verdana" w:hAnsi="Verdana"/>
          <w:sz w:val="20"/>
          <w:szCs w:val="20"/>
          <w:lang w:val="es-CR"/>
        </w:rPr>
        <w:t>Guisao</w:t>
      </w:r>
      <w:proofErr w:type="spellEnd"/>
      <w:r w:rsidRPr="00BE7C13">
        <w:rPr>
          <w:rFonts w:ascii="Verdana" w:hAnsi="Verdana"/>
          <w:sz w:val="20"/>
          <w:szCs w:val="20"/>
          <w:lang w:val="es-CR"/>
        </w:rPr>
        <w:t xml:space="preserve"> y Marlon Daniel Herrera Mosquera, respecto de quienes, al igual que de Migdalia Andrea Hoyos Ospina y </w:t>
      </w:r>
      <w:proofErr w:type="spellStart"/>
      <w:r w:rsidRPr="00BE7C13">
        <w:rPr>
          <w:rFonts w:ascii="Verdana" w:hAnsi="Verdana"/>
          <w:sz w:val="20"/>
          <w:szCs w:val="20"/>
          <w:lang w:val="es-CR"/>
        </w:rPr>
        <w:t>Lubín</w:t>
      </w:r>
      <w:proofErr w:type="spellEnd"/>
      <w:r w:rsidRPr="00BE7C13">
        <w:rPr>
          <w:rFonts w:ascii="Verdana" w:hAnsi="Verdana"/>
          <w:sz w:val="20"/>
          <w:szCs w:val="20"/>
          <w:lang w:val="es-CR"/>
        </w:rPr>
        <w:t xml:space="preserve"> Alfonso Villa Mosquera, eran niños, por lo que el Tribunal determinó en su perjuicio la violación al artículo 17 de la Convención</w:t>
      </w:r>
      <w:r w:rsidR="00330E6E">
        <w:rPr>
          <w:rFonts w:ascii="Verdana" w:hAnsi="Verdana"/>
          <w:sz w:val="20"/>
          <w:szCs w:val="20"/>
          <w:lang w:val="es-CR"/>
        </w:rPr>
        <w:t>,</w:t>
      </w:r>
      <w:r w:rsidRPr="00BE7C13">
        <w:rPr>
          <w:rFonts w:ascii="Verdana" w:hAnsi="Verdana"/>
          <w:sz w:val="20"/>
          <w:szCs w:val="20"/>
          <w:lang w:val="es-CR"/>
        </w:rPr>
        <w:t xml:space="preserve"> en relación con </w:t>
      </w:r>
      <w:r w:rsidR="00FF1B27" w:rsidRPr="00BE7C13">
        <w:rPr>
          <w:rFonts w:ascii="Verdana" w:hAnsi="Verdana"/>
          <w:sz w:val="20"/>
          <w:szCs w:val="20"/>
          <w:lang w:val="es-CR"/>
        </w:rPr>
        <w:t xml:space="preserve">su artículo 19, que consagra </w:t>
      </w:r>
      <w:r w:rsidR="00B51144" w:rsidRPr="00BE7C13">
        <w:rPr>
          <w:rFonts w:ascii="Verdana" w:hAnsi="Verdana"/>
          <w:sz w:val="20"/>
          <w:szCs w:val="20"/>
          <w:lang w:val="es-CR"/>
        </w:rPr>
        <w:t>los derechos del niño.</w:t>
      </w:r>
    </w:p>
    <w:p w:rsidR="00FF1B27" w:rsidRPr="00BE7C13" w:rsidRDefault="00FF1B27" w:rsidP="00FF1B27">
      <w:pPr>
        <w:jc w:val="both"/>
        <w:rPr>
          <w:rFonts w:ascii="Verdana" w:hAnsi="Verdana"/>
          <w:sz w:val="20"/>
          <w:szCs w:val="20"/>
          <w:lang w:val="es-CR"/>
        </w:rPr>
      </w:pPr>
    </w:p>
    <w:p w:rsidR="00FF1B27" w:rsidRPr="00BE7C13" w:rsidRDefault="00FF1B27" w:rsidP="00FF1B27">
      <w:pPr>
        <w:jc w:val="both"/>
        <w:rPr>
          <w:rFonts w:ascii="Verdana" w:hAnsi="Verdana"/>
          <w:sz w:val="20"/>
          <w:szCs w:val="20"/>
          <w:lang w:val="es-CR"/>
        </w:rPr>
      </w:pPr>
      <w:r w:rsidRPr="00BE7C13">
        <w:rPr>
          <w:rFonts w:ascii="Verdana" w:hAnsi="Verdana"/>
          <w:sz w:val="20"/>
          <w:szCs w:val="20"/>
          <w:lang w:val="es-CR"/>
        </w:rPr>
        <w:t>Por otra parte, dado que l</w:t>
      </w:r>
      <w:r w:rsidRPr="00BE7C13">
        <w:rPr>
          <w:rFonts w:ascii="Verdana" w:hAnsi="Verdana"/>
          <w:sz w:val="20"/>
          <w:szCs w:val="20"/>
          <w:lang w:val="es-CL"/>
        </w:rPr>
        <w:t>a Corte concluyó que el Estado no garantizó las condiciones necesarias para que luego de su desplazamiento forzado las señoras Rúa, Ospina, Mosquera y Naranjo regresen de forma segura a la Comuna 13, y notó que d</w:t>
      </w:r>
      <w:proofErr w:type="spellStart"/>
      <w:r w:rsidRPr="00BE7C13">
        <w:rPr>
          <w:rFonts w:ascii="Verdana" w:eastAsiaTheme="minorHAnsi" w:hAnsi="Verdana" w:cstheme="minorBidi"/>
          <w:sz w:val="20"/>
          <w:szCs w:val="20"/>
          <w:lang w:val="es-CR"/>
        </w:rPr>
        <w:t>urante</w:t>
      </w:r>
      <w:proofErr w:type="spellEnd"/>
      <w:r w:rsidRPr="00BE7C13">
        <w:rPr>
          <w:rFonts w:ascii="Verdana" w:eastAsiaTheme="minorHAnsi" w:hAnsi="Verdana" w:cstheme="minorBidi"/>
          <w:sz w:val="20"/>
          <w:szCs w:val="20"/>
          <w:lang w:val="es-CR"/>
        </w:rPr>
        <w:t xml:space="preserve"> el tiempo que estuvieron desplazadas no pudieron seguir ejerciendo libremente su labor como defensoras de derechos humanos, </w:t>
      </w:r>
      <w:r w:rsidR="00330E6E">
        <w:rPr>
          <w:rFonts w:ascii="Verdana" w:eastAsiaTheme="minorHAnsi" w:hAnsi="Verdana" w:cstheme="minorBidi"/>
          <w:sz w:val="20"/>
          <w:szCs w:val="20"/>
          <w:lang w:val="es-CR"/>
        </w:rPr>
        <w:t xml:space="preserve">en violación de la </w:t>
      </w:r>
      <w:r w:rsidRPr="00BE7C13">
        <w:rPr>
          <w:rFonts w:ascii="Verdana" w:eastAsiaTheme="minorHAnsi" w:hAnsi="Verdana" w:cstheme="minorBidi"/>
          <w:sz w:val="20"/>
          <w:szCs w:val="20"/>
          <w:lang w:val="es-CR"/>
        </w:rPr>
        <w:t>libertad de asociación</w:t>
      </w:r>
      <w:r w:rsidR="00330E6E">
        <w:rPr>
          <w:rFonts w:ascii="Verdana" w:eastAsiaTheme="minorHAnsi" w:hAnsi="Verdana" w:cstheme="minorBidi"/>
          <w:sz w:val="20"/>
          <w:szCs w:val="20"/>
          <w:lang w:val="es-CR"/>
        </w:rPr>
        <w:t xml:space="preserve"> consagrado en </w:t>
      </w:r>
      <w:r w:rsidRPr="00BE7C13">
        <w:rPr>
          <w:rFonts w:ascii="Verdana" w:eastAsiaTheme="minorHAnsi" w:hAnsi="Verdana" w:cstheme="minorBidi"/>
          <w:sz w:val="20"/>
          <w:szCs w:val="20"/>
          <w:lang w:val="es-CR"/>
        </w:rPr>
        <w:t xml:space="preserve"> </w:t>
      </w:r>
      <w:r w:rsidR="00330E6E">
        <w:rPr>
          <w:rFonts w:ascii="Verdana" w:eastAsiaTheme="minorHAnsi" w:hAnsi="Verdana" w:cstheme="minorBidi"/>
          <w:sz w:val="20"/>
          <w:szCs w:val="20"/>
          <w:lang w:val="es-CR"/>
        </w:rPr>
        <w:t xml:space="preserve">el </w:t>
      </w:r>
      <w:r w:rsidRPr="00BE7C13">
        <w:rPr>
          <w:rFonts w:ascii="Verdana" w:eastAsiaTheme="minorHAnsi" w:hAnsi="Verdana" w:cstheme="minorBidi"/>
          <w:sz w:val="20"/>
          <w:szCs w:val="20"/>
          <w:lang w:val="es-CR"/>
        </w:rPr>
        <w:t>artículo 16 de la Convención</w:t>
      </w:r>
      <w:r w:rsidR="00330E6E">
        <w:rPr>
          <w:rFonts w:ascii="Verdana" w:eastAsiaTheme="minorHAnsi" w:hAnsi="Verdana" w:cstheme="minorBidi"/>
          <w:sz w:val="20"/>
          <w:szCs w:val="20"/>
          <w:lang w:val="es-CR"/>
        </w:rPr>
        <w:t>,</w:t>
      </w:r>
      <w:r w:rsidRPr="00BE7C13">
        <w:rPr>
          <w:rFonts w:ascii="Verdana" w:eastAsiaTheme="minorHAnsi" w:hAnsi="Verdana" w:cstheme="minorBidi"/>
          <w:sz w:val="20"/>
          <w:szCs w:val="20"/>
          <w:lang w:val="es-CR"/>
        </w:rPr>
        <w:t xml:space="preserve"> en relación con su artículo 1.1</w:t>
      </w:r>
      <w:r w:rsidR="00330E6E">
        <w:rPr>
          <w:rFonts w:ascii="Verdana" w:eastAsiaTheme="minorHAnsi" w:hAnsi="Verdana" w:cstheme="minorBidi"/>
          <w:sz w:val="20"/>
          <w:szCs w:val="20"/>
          <w:lang w:val="es-CR"/>
        </w:rPr>
        <w:t xml:space="preserve"> del mismo tratado</w:t>
      </w:r>
    </w:p>
    <w:p w:rsidR="00FF1B27" w:rsidRPr="00BE7C13" w:rsidRDefault="00FF1B27" w:rsidP="005C3CF5">
      <w:pPr>
        <w:jc w:val="both"/>
        <w:rPr>
          <w:rFonts w:ascii="Verdana" w:hAnsi="Verdana"/>
          <w:sz w:val="20"/>
          <w:szCs w:val="20"/>
          <w:lang w:val="es-MX"/>
        </w:rPr>
      </w:pPr>
    </w:p>
    <w:p w:rsidR="00FF1B27" w:rsidRPr="00393F91" w:rsidRDefault="00FF1B27" w:rsidP="00FF1B27">
      <w:pPr>
        <w:jc w:val="both"/>
        <w:rPr>
          <w:rFonts w:ascii="Verdana" w:hAnsi="Verdana"/>
          <w:b/>
          <w:sz w:val="20"/>
          <w:szCs w:val="20"/>
          <w:lang w:val="es-CR"/>
        </w:rPr>
      </w:pPr>
      <w:r w:rsidRPr="00BE7C13">
        <w:rPr>
          <w:rFonts w:ascii="Verdana" w:hAnsi="Verdana"/>
          <w:sz w:val="20"/>
          <w:szCs w:val="20"/>
          <w:lang w:val="es-CR"/>
        </w:rPr>
        <w:t>Por último, la Corte en</w:t>
      </w:r>
      <w:r w:rsidR="005645FC" w:rsidRPr="00BE7C13">
        <w:rPr>
          <w:rFonts w:ascii="Verdana" w:hAnsi="Verdana"/>
          <w:sz w:val="20"/>
          <w:szCs w:val="20"/>
          <w:lang w:val="es-CR"/>
        </w:rPr>
        <w:t xml:space="preserve"> relación con</w:t>
      </w:r>
      <w:r w:rsidRPr="00BE7C13">
        <w:rPr>
          <w:rFonts w:ascii="Verdana" w:hAnsi="Verdana"/>
          <w:sz w:val="20"/>
          <w:szCs w:val="20"/>
          <w:lang w:val="es-CR"/>
        </w:rPr>
        <w:t xml:space="preserve"> la</w:t>
      </w:r>
      <w:r w:rsidR="005645FC" w:rsidRPr="00BE7C13">
        <w:rPr>
          <w:rFonts w:ascii="Verdana" w:hAnsi="Verdana"/>
          <w:sz w:val="20"/>
          <w:szCs w:val="20"/>
          <w:lang w:val="es-CR"/>
        </w:rPr>
        <w:t>s</w:t>
      </w:r>
      <w:r w:rsidRPr="00BE7C13">
        <w:rPr>
          <w:rFonts w:ascii="Verdana" w:hAnsi="Verdana"/>
          <w:sz w:val="20"/>
          <w:szCs w:val="20"/>
          <w:lang w:val="es-CR"/>
        </w:rPr>
        <w:t xml:space="preserve"> investigaci</w:t>
      </w:r>
      <w:r w:rsidR="005645FC" w:rsidRPr="00BE7C13">
        <w:rPr>
          <w:rFonts w:ascii="Verdana" w:hAnsi="Verdana"/>
          <w:sz w:val="20"/>
          <w:szCs w:val="20"/>
          <w:lang w:val="es-CR"/>
        </w:rPr>
        <w:t>o</w:t>
      </w:r>
      <w:r w:rsidRPr="00BE7C13">
        <w:rPr>
          <w:rFonts w:ascii="Verdana" w:hAnsi="Verdana"/>
          <w:sz w:val="20"/>
          <w:szCs w:val="20"/>
          <w:lang w:val="es-CR"/>
        </w:rPr>
        <w:t>n</w:t>
      </w:r>
      <w:r w:rsidR="005645FC" w:rsidRPr="00BE7C13">
        <w:rPr>
          <w:rFonts w:ascii="Verdana" w:hAnsi="Verdana"/>
          <w:sz w:val="20"/>
          <w:szCs w:val="20"/>
          <w:lang w:val="es-CR"/>
        </w:rPr>
        <w:t>es</w:t>
      </w:r>
      <w:r w:rsidRPr="00BE7C13">
        <w:rPr>
          <w:rFonts w:ascii="Verdana" w:hAnsi="Verdana"/>
          <w:sz w:val="20"/>
          <w:szCs w:val="20"/>
          <w:lang w:val="es-CR"/>
        </w:rPr>
        <w:t xml:space="preserve"> de los hechos declaró que: </w:t>
      </w:r>
      <w:r w:rsidR="00BE7C13">
        <w:rPr>
          <w:rFonts w:ascii="Verdana" w:hAnsi="Verdana"/>
          <w:sz w:val="20"/>
          <w:szCs w:val="20"/>
          <w:lang w:val="es-CR"/>
        </w:rPr>
        <w:t>i</w:t>
      </w:r>
      <w:r w:rsidRPr="00BE7C13">
        <w:rPr>
          <w:rFonts w:ascii="Verdana" w:hAnsi="Verdana"/>
          <w:sz w:val="20"/>
          <w:szCs w:val="20"/>
          <w:lang w:val="es-CR"/>
        </w:rPr>
        <w:t xml:space="preserve">) hay una situación de impunidad respecto sucedido a la señora Rúa y sus familiares, que viola en su perjuicio los derechos a las garantías judiciales y a la protección judicial, </w:t>
      </w:r>
      <w:r w:rsidR="00A67E1D">
        <w:rPr>
          <w:rFonts w:ascii="Verdana" w:hAnsi="Verdana"/>
          <w:sz w:val="20"/>
          <w:szCs w:val="20"/>
          <w:lang w:val="es-CR"/>
        </w:rPr>
        <w:t>consagrados en</w:t>
      </w:r>
      <w:r w:rsidR="00FF4EBC">
        <w:rPr>
          <w:rFonts w:ascii="Verdana" w:hAnsi="Verdana"/>
          <w:sz w:val="20"/>
          <w:szCs w:val="20"/>
          <w:lang w:val="es-CR"/>
        </w:rPr>
        <w:t xml:space="preserve"> </w:t>
      </w:r>
      <w:r w:rsidRPr="00BE7C13">
        <w:rPr>
          <w:rFonts w:ascii="Verdana" w:hAnsi="Verdana"/>
          <w:sz w:val="20"/>
          <w:szCs w:val="20"/>
          <w:lang w:val="es-CR"/>
        </w:rPr>
        <w:t>los artículos 8.1 y 25.1 de la Convención</w:t>
      </w:r>
      <w:r w:rsidR="00330E6E">
        <w:rPr>
          <w:rFonts w:ascii="Verdana" w:hAnsi="Verdana"/>
          <w:sz w:val="20"/>
          <w:szCs w:val="20"/>
          <w:lang w:val="es-CR"/>
        </w:rPr>
        <w:t>,</w:t>
      </w:r>
      <w:r w:rsidR="00B51144" w:rsidRPr="00BE7C13">
        <w:rPr>
          <w:rFonts w:ascii="Verdana" w:hAnsi="Verdana"/>
          <w:sz w:val="20"/>
          <w:szCs w:val="20"/>
          <w:lang w:val="es-CR"/>
        </w:rPr>
        <w:t xml:space="preserve"> </w:t>
      </w:r>
      <w:r w:rsidRPr="00BE7C13">
        <w:rPr>
          <w:rFonts w:ascii="Verdana" w:hAnsi="Verdana"/>
          <w:sz w:val="20"/>
          <w:szCs w:val="20"/>
          <w:lang w:val="es-CR"/>
        </w:rPr>
        <w:t xml:space="preserve">y </w:t>
      </w:r>
      <w:r w:rsidR="00BE7C13">
        <w:rPr>
          <w:rFonts w:ascii="Verdana" w:hAnsi="Verdana"/>
          <w:sz w:val="20"/>
          <w:szCs w:val="20"/>
          <w:lang w:val="es-CR"/>
        </w:rPr>
        <w:t>ii</w:t>
      </w:r>
      <w:r w:rsidRPr="00BE7C13">
        <w:rPr>
          <w:rFonts w:ascii="Verdana" w:hAnsi="Verdana"/>
          <w:sz w:val="20"/>
          <w:szCs w:val="20"/>
          <w:lang w:val="es-CR"/>
        </w:rPr>
        <w:t xml:space="preserve">) </w:t>
      </w:r>
      <w:r w:rsidR="00601602">
        <w:rPr>
          <w:rFonts w:ascii="Verdana" w:hAnsi="Verdana"/>
          <w:sz w:val="20"/>
          <w:szCs w:val="20"/>
          <w:lang w:val="es-CR"/>
        </w:rPr>
        <w:t>las investigaciones respecto a lo sucedido a la</w:t>
      </w:r>
      <w:r w:rsidR="0002343A" w:rsidRPr="00BE7C13">
        <w:rPr>
          <w:rFonts w:ascii="Verdana" w:hAnsi="Verdana"/>
          <w:sz w:val="20"/>
          <w:szCs w:val="20"/>
          <w:lang w:val="es-CR"/>
        </w:rPr>
        <w:t xml:space="preserve"> señora Ospina y sus familiares, así como </w:t>
      </w:r>
      <w:r w:rsidR="00601602">
        <w:rPr>
          <w:rFonts w:ascii="Verdana" w:hAnsi="Verdana"/>
          <w:sz w:val="20"/>
          <w:szCs w:val="20"/>
          <w:lang w:val="es-CR"/>
        </w:rPr>
        <w:t>a</w:t>
      </w:r>
      <w:r w:rsidR="0002343A" w:rsidRPr="00BE7C13">
        <w:rPr>
          <w:rFonts w:ascii="Verdana" w:hAnsi="Verdana"/>
          <w:sz w:val="20"/>
          <w:szCs w:val="20"/>
          <w:lang w:val="es-CR"/>
        </w:rPr>
        <w:t xml:space="preserve"> las señoras </w:t>
      </w:r>
      <w:proofErr w:type="spellStart"/>
      <w:r w:rsidR="0002343A" w:rsidRPr="00BE7C13">
        <w:rPr>
          <w:rFonts w:ascii="Verdana" w:hAnsi="Verdana"/>
          <w:sz w:val="20"/>
          <w:szCs w:val="20"/>
          <w:lang w:val="es-CR"/>
        </w:rPr>
        <w:t>Yarce</w:t>
      </w:r>
      <w:proofErr w:type="spellEnd"/>
      <w:r w:rsidR="0002343A" w:rsidRPr="00BE7C13">
        <w:rPr>
          <w:rFonts w:ascii="Verdana" w:hAnsi="Verdana"/>
          <w:sz w:val="20"/>
          <w:szCs w:val="20"/>
          <w:lang w:val="es-CR"/>
        </w:rPr>
        <w:t>, Mosquera y Naranjo,</w:t>
      </w:r>
      <w:r w:rsidR="00601602">
        <w:rPr>
          <w:rFonts w:ascii="Verdana" w:hAnsi="Verdana"/>
          <w:sz w:val="20"/>
          <w:szCs w:val="20"/>
          <w:lang w:val="es-CR"/>
        </w:rPr>
        <w:t xml:space="preserve"> respecto a su detención,</w:t>
      </w:r>
      <w:r w:rsidR="0002343A" w:rsidRPr="00BE7C13">
        <w:rPr>
          <w:rFonts w:ascii="Verdana" w:hAnsi="Verdana"/>
          <w:sz w:val="20"/>
          <w:szCs w:val="20"/>
          <w:lang w:val="es-CR"/>
        </w:rPr>
        <w:t xml:space="preserve"> </w:t>
      </w:r>
      <w:r w:rsidR="00601602">
        <w:rPr>
          <w:rFonts w:ascii="Verdana" w:hAnsi="Verdana"/>
          <w:sz w:val="20"/>
          <w:szCs w:val="20"/>
          <w:lang w:val="es-CR"/>
        </w:rPr>
        <w:t xml:space="preserve">no se desarrollaron en un plazo razonable en violación de las garantías judiciales consagradas en </w:t>
      </w:r>
      <w:r w:rsidR="0002343A" w:rsidRPr="00BE7C13">
        <w:rPr>
          <w:rFonts w:ascii="Verdana" w:hAnsi="Verdana"/>
          <w:sz w:val="20"/>
          <w:szCs w:val="20"/>
          <w:lang w:val="es-CR"/>
        </w:rPr>
        <w:t>el artículo 8.1 de la Convención</w:t>
      </w:r>
      <w:r w:rsidR="00601602" w:rsidRPr="00DC7443">
        <w:rPr>
          <w:rFonts w:ascii="Verdana" w:hAnsi="Verdana"/>
          <w:sz w:val="20"/>
          <w:szCs w:val="20"/>
          <w:lang w:val="es-CR"/>
        </w:rPr>
        <w:t>.</w:t>
      </w:r>
    </w:p>
    <w:p w:rsidR="00FF1B27" w:rsidRPr="00BE7C13" w:rsidRDefault="00FF1B27" w:rsidP="005C3CF5">
      <w:pPr>
        <w:jc w:val="both"/>
        <w:rPr>
          <w:rFonts w:ascii="Verdana" w:hAnsi="Verdana"/>
          <w:sz w:val="20"/>
          <w:szCs w:val="20"/>
          <w:lang w:val="es-CR"/>
        </w:rPr>
      </w:pPr>
    </w:p>
    <w:p w:rsidR="00192407" w:rsidRPr="00BE7C13" w:rsidRDefault="00192407" w:rsidP="00192407">
      <w:pPr>
        <w:pStyle w:val="ListParagraph"/>
        <w:numPr>
          <w:ilvl w:val="0"/>
          <w:numId w:val="1"/>
        </w:numPr>
        <w:jc w:val="both"/>
        <w:rPr>
          <w:rFonts w:ascii="Verdana" w:hAnsi="Verdana"/>
          <w:b/>
          <w:sz w:val="20"/>
          <w:szCs w:val="20"/>
          <w:lang w:val="es-CR"/>
        </w:rPr>
      </w:pPr>
      <w:r w:rsidRPr="00BE7C13">
        <w:rPr>
          <w:rFonts w:ascii="Verdana" w:hAnsi="Verdana"/>
          <w:b/>
          <w:sz w:val="20"/>
          <w:szCs w:val="20"/>
          <w:lang w:val="es-CR"/>
        </w:rPr>
        <w:t>Reparaciones</w:t>
      </w:r>
    </w:p>
    <w:p w:rsidR="005C3CF5" w:rsidRPr="00BE7C13" w:rsidRDefault="005C3CF5" w:rsidP="005C3CF5">
      <w:pPr>
        <w:jc w:val="both"/>
        <w:rPr>
          <w:rFonts w:ascii="Verdana" w:hAnsi="Verdana"/>
          <w:sz w:val="20"/>
          <w:szCs w:val="20"/>
          <w:lang w:val="es-CR"/>
        </w:rPr>
      </w:pPr>
    </w:p>
    <w:p w:rsidR="00B51144" w:rsidRPr="00BE7C13" w:rsidRDefault="00B51144" w:rsidP="009E1FDF">
      <w:pPr>
        <w:jc w:val="both"/>
        <w:rPr>
          <w:rFonts w:ascii="Verdana" w:hAnsi="Verdana" w:cs="Verdana"/>
          <w:sz w:val="20"/>
          <w:szCs w:val="20"/>
          <w:lang w:val="es-CR"/>
        </w:rPr>
      </w:pPr>
      <w:r w:rsidRPr="00BE7C13">
        <w:rPr>
          <w:rFonts w:ascii="Verdana" w:hAnsi="Verdana"/>
          <w:sz w:val="20"/>
          <w:szCs w:val="20"/>
          <w:lang w:val="es-CR"/>
        </w:rPr>
        <w:t xml:space="preserve">La Corte estableció que su Sentencia constituye en sí misma una forma de reparación y, adicionalmente, ordenó al Estado, en los plazos fijados en la sentencia: i) </w:t>
      </w:r>
      <w:r w:rsidRPr="00BE7C13">
        <w:rPr>
          <w:rFonts w:ascii="Verdana" w:hAnsi="Verdana" w:cs="Verdana"/>
          <w:sz w:val="20"/>
          <w:szCs w:val="20"/>
          <w:lang w:val="es-CR" w:bidi="en-US"/>
        </w:rPr>
        <w:t xml:space="preserve">adoptar las medidas necesarias para continuar la investigación a fin de </w:t>
      </w:r>
      <w:r w:rsidRPr="00BE7C13">
        <w:rPr>
          <w:rFonts w:ascii="Verdana" w:hAnsi="Verdana"/>
          <w:sz w:val="20"/>
          <w:szCs w:val="20"/>
          <w:lang w:val="es-CR"/>
        </w:rPr>
        <w:t xml:space="preserve">individualizar, juzgar y, en su caso, sancionar a los responsables por el desplazamiento forzado de la señora Rúa y sus familiares; ii) </w:t>
      </w:r>
      <w:r w:rsidRPr="00BE7C13">
        <w:rPr>
          <w:rFonts w:ascii="Verdana" w:eastAsia="Times" w:hAnsi="Verdana"/>
          <w:sz w:val="20"/>
          <w:szCs w:val="20"/>
          <w:lang w:val="es-CR"/>
        </w:rPr>
        <w:t xml:space="preserve">brindar tratamiento de salud y psicológico a las víctimas que sufrieron violaciones a su integridad personal que así lo soliciten; iii) publicar la </w:t>
      </w:r>
      <w:r w:rsidRPr="00BE7C13">
        <w:rPr>
          <w:rFonts w:ascii="Verdana" w:eastAsia="Times" w:hAnsi="Verdana"/>
          <w:sz w:val="20"/>
          <w:szCs w:val="20"/>
          <w:lang w:val="es-CR"/>
        </w:rPr>
        <w:lastRenderedPageBreak/>
        <w:t>Sentencia de la Corte Interamericana y su resumen oficial; iv)</w:t>
      </w:r>
      <w:r w:rsidRPr="00BE7C13">
        <w:rPr>
          <w:rFonts w:ascii="Verdana" w:hAnsi="Verdana"/>
          <w:bCs/>
          <w:sz w:val="20"/>
          <w:szCs w:val="20"/>
          <w:lang w:val="es-CR"/>
        </w:rPr>
        <w:t xml:space="preserve"> realizar un acto público de reconocimiento de responsabilidad internacional; v) </w:t>
      </w:r>
      <w:r w:rsidRPr="00BE7C13">
        <w:rPr>
          <w:rFonts w:ascii="Verdana" w:hAnsi="Verdana"/>
          <w:sz w:val="20"/>
          <w:szCs w:val="20"/>
          <w:lang w:val="es-CR"/>
        </w:rPr>
        <w:t xml:space="preserve">implementar un programa, curso o taller a través de las entidades estatales correspondientes dentro de la Comuna 13, </w:t>
      </w:r>
      <w:r w:rsidR="00BE7C13" w:rsidRPr="00BE7C13">
        <w:rPr>
          <w:rFonts w:ascii="Verdana" w:hAnsi="Verdana"/>
          <w:sz w:val="20"/>
          <w:szCs w:val="20"/>
          <w:lang w:val="es-CR"/>
        </w:rPr>
        <w:t xml:space="preserve">destinado a promover e instruir sobre el trabajo de las defensoras y defensores de derechos humanos, y vi) pagar las cantidades fijadas en la Sentencia por concepto de indemnización por daños materiales e inmateriales y el reintegro de costas y gastos, </w:t>
      </w:r>
      <w:r w:rsidR="00BE7C13" w:rsidRPr="00BE7C13">
        <w:rPr>
          <w:rFonts w:ascii="Verdana" w:hAnsi="Verdana" w:cs="Verdana"/>
          <w:sz w:val="20"/>
          <w:szCs w:val="20"/>
          <w:lang w:val="es-CR"/>
        </w:rPr>
        <w:t>así como el reintegro al Fondo de Asistencia Legal de Víctimas</w:t>
      </w:r>
      <w:r w:rsidR="00BE7C13" w:rsidRPr="00BE7C13">
        <w:rPr>
          <w:rFonts w:ascii="Verdana" w:hAnsi="Verdana"/>
          <w:sz w:val="20"/>
          <w:szCs w:val="20"/>
          <w:lang w:val="es-CR"/>
        </w:rPr>
        <w:t xml:space="preserve"> </w:t>
      </w:r>
    </w:p>
    <w:p w:rsidR="00BE7C13" w:rsidRPr="00BE7C13" w:rsidRDefault="00BE7C13" w:rsidP="009E1FDF">
      <w:pPr>
        <w:ind w:right="-144"/>
        <w:jc w:val="both"/>
        <w:rPr>
          <w:rFonts w:ascii="Verdana" w:eastAsiaTheme="minorHAnsi" w:hAnsi="Verdana"/>
          <w:sz w:val="20"/>
          <w:szCs w:val="20"/>
          <w:lang w:val="es-ES"/>
        </w:rPr>
      </w:pPr>
    </w:p>
    <w:p w:rsidR="00BE7C13" w:rsidRPr="00BE7C13" w:rsidRDefault="00BE7C13" w:rsidP="009E1FDF">
      <w:pPr>
        <w:ind w:right="-144"/>
        <w:jc w:val="both"/>
        <w:rPr>
          <w:rFonts w:ascii="Verdana" w:eastAsiaTheme="minorHAnsi" w:hAnsi="Verdana"/>
          <w:sz w:val="20"/>
          <w:szCs w:val="20"/>
          <w:lang w:val="es-CR"/>
        </w:rPr>
      </w:pPr>
      <w:r w:rsidRPr="00BE7C13">
        <w:rPr>
          <w:rFonts w:ascii="Verdana" w:eastAsiaTheme="minorHAnsi" w:hAnsi="Verdana"/>
          <w:sz w:val="20"/>
          <w:szCs w:val="20"/>
          <w:lang w:val="es-ES"/>
        </w:rPr>
        <w:t xml:space="preserve">Los Jueces </w:t>
      </w:r>
      <w:r w:rsidRPr="00BE7C13">
        <w:rPr>
          <w:rFonts w:ascii="Verdana" w:hAnsi="Verdana" w:cs="Verdana"/>
          <w:sz w:val="20"/>
          <w:szCs w:val="20"/>
          <w:lang w:val="es-CR" w:eastAsia="es-CR"/>
        </w:rPr>
        <w:t>Eduardo Ferrer Mac-</w:t>
      </w:r>
      <w:proofErr w:type="spellStart"/>
      <w:r w:rsidRPr="00BE7C13">
        <w:rPr>
          <w:rFonts w:ascii="Verdana" w:hAnsi="Verdana" w:cs="Verdana"/>
          <w:sz w:val="20"/>
          <w:szCs w:val="20"/>
          <w:lang w:val="es-CR" w:eastAsia="es-CR"/>
        </w:rPr>
        <w:t>Gregor</w:t>
      </w:r>
      <w:proofErr w:type="spellEnd"/>
      <w:r w:rsidRPr="00BE7C13">
        <w:rPr>
          <w:rFonts w:ascii="Verdana" w:hAnsi="Verdana" w:cs="Verdana"/>
          <w:sz w:val="20"/>
          <w:szCs w:val="20"/>
          <w:lang w:val="es-CR" w:eastAsia="es-CR"/>
        </w:rPr>
        <w:t xml:space="preserve"> </w:t>
      </w:r>
      <w:proofErr w:type="spellStart"/>
      <w:r w:rsidRPr="00BE7C13">
        <w:rPr>
          <w:rFonts w:ascii="Verdana" w:hAnsi="Verdana" w:cs="Verdana"/>
          <w:sz w:val="20"/>
          <w:szCs w:val="20"/>
          <w:lang w:val="es-CR" w:eastAsia="es-CR"/>
        </w:rPr>
        <w:t>Poisot</w:t>
      </w:r>
      <w:proofErr w:type="spellEnd"/>
      <w:r w:rsidRPr="00BE7C13">
        <w:rPr>
          <w:rFonts w:ascii="Verdana" w:eastAsiaTheme="minorHAnsi" w:hAnsi="Verdana"/>
          <w:sz w:val="20"/>
          <w:szCs w:val="20"/>
          <w:lang w:val="es-CR"/>
        </w:rPr>
        <w:t xml:space="preserve"> y Eduardo Vio Grossi dieron a conocer a la Corte sus votos individuales concurrentes.</w:t>
      </w:r>
    </w:p>
    <w:p w:rsidR="00BE7C13" w:rsidRPr="00BE7C13" w:rsidRDefault="00BE7C13" w:rsidP="009E1FDF">
      <w:pPr>
        <w:jc w:val="both"/>
        <w:rPr>
          <w:rFonts w:ascii="Verdana" w:hAnsi="Verdana"/>
          <w:sz w:val="20"/>
          <w:szCs w:val="20"/>
          <w:lang w:val="es-CR"/>
        </w:rPr>
      </w:pPr>
    </w:p>
    <w:p w:rsidR="00BE7C13" w:rsidRPr="00BE7C13" w:rsidRDefault="00BE7C13" w:rsidP="009E1FDF">
      <w:pPr>
        <w:pStyle w:val="Default"/>
        <w:jc w:val="both"/>
        <w:rPr>
          <w:sz w:val="20"/>
          <w:szCs w:val="20"/>
        </w:rPr>
      </w:pPr>
      <w:r w:rsidRPr="00BE7C13">
        <w:rPr>
          <w:sz w:val="20"/>
          <w:szCs w:val="20"/>
        </w:rPr>
        <w:t xml:space="preserve">La Corte supervisará el cumplimiento íntegro de </w:t>
      </w:r>
      <w:r>
        <w:rPr>
          <w:sz w:val="20"/>
          <w:szCs w:val="20"/>
        </w:rPr>
        <w:t>l</w:t>
      </w:r>
      <w:r w:rsidRPr="00BE7C13">
        <w:rPr>
          <w:sz w:val="20"/>
          <w:szCs w:val="20"/>
        </w:rPr>
        <w:t xml:space="preserve">a Sentencia, en ejercicio de sus atribuciones y en cumplimiento de sus deberes conforme a la Convención Americana sobre Derechos Humanos, y dará por concluido el presente caso una vez que el Estado haya dado cabal cumplimiento a lo dispuesto en la misma. </w:t>
      </w:r>
    </w:p>
    <w:p w:rsidR="00BE7C13" w:rsidRPr="00BE7C13" w:rsidRDefault="00BE7C13" w:rsidP="009E1FDF">
      <w:pPr>
        <w:jc w:val="both"/>
        <w:rPr>
          <w:rFonts w:ascii="Verdana" w:hAnsi="Verdana"/>
          <w:sz w:val="20"/>
          <w:szCs w:val="20"/>
          <w:lang w:val="es-CR"/>
        </w:rPr>
      </w:pPr>
    </w:p>
    <w:p w:rsidR="009E1FDF" w:rsidRPr="009E1FDF" w:rsidRDefault="00BE7C13" w:rsidP="009E1FDF">
      <w:pPr>
        <w:jc w:val="both"/>
        <w:rPr>
          <w:rFonts w:ascii="Verdana" w:hAnsi="Verdana"/>
          <w:sz w:val="20"/>
          <w:szCs w:val="20"/>
          <w:lang w:val="es-CR"/>
        </w:rPr>
      </w:pPr>
      <w:r w:rsidRPr="009E1FDF">
        <w:rPr>
          <w:rFonts w:ascii="Verdana" w:hAnsi="Verdana"/>
          <w:sz w:val="20"/>
          <w:szCs w:val="20"/>
          <w:lang w:val="es-CR"/>
        </w:rPr>
        <w:t>El texto íntegro de la Sentencia puede cons</w:t>
      </w:r>
      <w:r w:rsidR="009E1FDF">
        <w:rPr>
          <w:rFonts w:ascii="Verdana" w:hAnsi="Verdana"/>
          <w:sz w:val="20"/>
          <w:szCs w:val="20"/>
          <w:lang w:val="es-CR"/>
        </w:rPr>
        <w:t xml:space="preserve">ultarse en el siguiente enlace: </w:t>
      </w:r>
      <w:hyperlink r:id="rId9" w:history="1">
        <w:r w:rsidR="009E1FDF" w:rsidRPr="009E1FDF">
          <w:rPr>
            <w:rStyle w:val="Hyperlink"/>
            <w:rFonts w:ascii="Verdana" w:hAnsi="Verdana"/>
            <w:sz w:val="20"/>
            <w:szCs w:val="20"/>
            <w:lang w:val="es-CR"/>
          </w:rPr>
          <w:t>http://bit.ly/2j0Ykb1</w:t>
        </w:r>
      </w:hyperlink>
    </w:p>
    <w:p w:rsidR="00BE7C13" w:rsidRPr="009E1FDF" w:rsidRDefault="00BE7C13" w:rsidP="009E1FDF">
      <w:pPr>
        <w:jc w:val="both"/>
        <w:rPr>
          <w:rFonts w:ascii="Verdana" w:hAnsi="Verdana"/>
          <w:sz w:val="20"/>
          <w:szCs w:val="20"/>
          <w:lang w:val="es-CR"/>
        </w:rPr>
      </w:pPr>
    </w:p>
    <w:sectPr w:rsidR="00BE7C13" w:rsidRPr="009E1FDF" w:rsidSect="00C54AA5">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49E" w:rsidRDefault="001E449E" w:rsidP="00873463">
      <w:r>
        <w:separator/>
      </w:r>
    </w:p>
  </w:endnote>
  <w:endnote w:type="continuationSeparator" w:id="0">
    <w:p w:rsidR="001E449E" w:rsidRDefault="001E449E" w:rsidP="0087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Italic">
    <w:altName w:val="Arial Unicode MS"/>
    <w:charset w:val="00"/>
    <w:family w:val="auto"/>
    <w:pitch w:val="variable"/>
    <w:sig w:usb0="00000001"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AA5" w:rsidRDefault="00C54A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AA5" w:rsidRDefault="00C54A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AA5" w:rsidRDefault="00C54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49E" w:rsidRDefault="001E449E" w:rsidP="00873463">
      <w:r>
        <w:separator/>
      </w:r>
    </w:p>
  </w:footnote>
  <w:footnote w:type="continuationSeparator" w:id="0">
    <w:p w:rsidR="001E449E" w:rsidRDefault="001E449E" w:rsidP="00873463">
      <w:r>
        <w:continuationSeparator/>
      </w:r>
    </w:p>
  </w:footnote>
  <w:footnote w:id="1">
    <w:p w:rsidR="00A62764" w:rsidRPr="004D1061" w:rsidRDefault="00A62764" w:rsidP="00873463">
      <w:pPr>
        <w:ind w:right="-144"/>
        <w:jc w:val="both"/>
        <w:rPr>
          <w:rFonts w:ascii="Verdana" w:hAnsi="Verdana"/>
          <w:i/>
          <w:sz w:val="16"/>
          <w:szCs w:val="16"/>
          <w:lang w:val="es-CR"/>
        </w:rPr>
      </w:pPr>
      <w:r w:rsidRPr="00C767BA">
        <w:rPr>
          <w:rStyle w:val="FootnoteReference"/>
          <w:rFonts w:ascii="Verdana" w:hAnsi="Verdana"/>
          <w:sz w:val="16"/>
          <w:szCs w:val="16"/>
          <w:lang w:val="es-CR"/>
        </w:rPr>
        <w:t>*</w:t>
      </w:r>
      <w:r w:rsidRPr="00C767BA">
        <w:rPr>
          <w:rFonts w:ascii="Verdana" w:hAnsi="Verdana"/>
          <w:sz w:val="16"/>
          <w:szCs w:val="16"/>
          <w:lang w:val="es-CR"/>
        </w:rPr>
        <w:t xml:space="preserve"> </w:t>
      </w:r>
      <w:r w:rsidRPr="00F067F7">
        <w:rPr>
          <w:rFonts w:ascii="Verdana" w:hAnsi="Verdana" w:cs="Microsoft Sans Serif"/>
          <w:sz w:val="16"/>
          <w:szCs w:val="16"/>
          <w:lang w:val="es-PR"/>
        </w:rPr>
        <w:t xml:space="preserve">La </w:t>
      </w:r>
      <w:r>
        <w:rPr>
          <w:rFonts w:ascii="Verdana" w:hAnsi="Verdana" w:cs="Microsoft Sans Serif"/>
          <w:sz w:val="16"/>
          <w:szCs w:val="16"/>
          <w:lang w:val="es-PR"/>
        </w:rPr>
        <w:t>Sentencia se dictó</w:t>
      </w:r>
      <w:r w:rsidRPr="004D1061">
        <w:rPr>
          <w:rFonts w:ascii="Verdana" w:hAnsi="Verdana" w:cs="Microsoft Sans Serif"/>
          <w:sz w:val="16"/>
          <w:szCs w:val="16"/>
          <w:lang w:val="es-PR"/>
        </w:rPr>
        <w:t xml:space="preserve"> en el 116 Período Ordinario de Sesiones de la Corte. De conformidad con los artículos 54.3 de la Convención Americana sobre Derechos Humanos, 5.3 del Estatuto de la Corte y 17.1 de su Reglamento, “los Jueces cuyo mandato se haya vencido continuarán conociendo de los casos de los que ya hubieren tomado conocimiento y se encuentren en estado de sentencia”. En razón de lo anterior, los Jueces Manuel E. Ventura Robles, Diego García</w:t>
      </w:r>
      <w:r w:rsidR="00BA70C3">
        <w:rPr>
          <w:rFonts w:ascii="Verdana" w:hAnsi="Verdana" w:cs="Microsoft Sans Serif"/>
          <w:sz w:val="16"/>
          <w:szCs w:val="16"/>
          <w:lang w:val="es-PR"/>
        </w:rPr>
        <w:t>-</w:t>
      </w:r>
      <w:r w:rsidRPr="004D1061">
        <w:rPr>
          <w:rFonts w:ascii="Verdana" w:hAnsi="Verdana" w:cs="Microsoft Sans Serif"/>
          <w:sz w:val="16"/>
          <w:szCs w:val="16"/>
          <w:lang w:val="es-PR"/>
        </w:rPr>
        <w:t xml:space="preserve">Sayán y Alberto Pérez </w:t>
      </w:r>
      <w:proofErr w:type="spellStart"/>
      <w:r w:rsidRPr="004D1061">
        <w:rPr>
          <w:rFonts w:ascii="Verdana" w:hAnsi="Verdana" w:cs="Microsoft Sans Serif"/>
          <w:sz w:val="16"/>
          <w:szCs w:val="16"/>
          <w:lang w:val="es-PR"/>
        </w:rPr>
        <w:t>Pérez</w:t>
      </w:r>
      <w:proofErr w:type="spellEnd"/>
      <w:r w:rsidRPr="004D1061">
        <w:rPr>
          <w:rFonts w:ascii="Verdana" w:hAnsi="Verdana" w:cs="Microsoft Sans Serif"/>
          <w:sz w:val="16"/>
          <w:szCs w:val="16"/>
          <w:lang w:val="es-PR"/>
        </w:rPr>
        <w:t xml:space="preserve"> participaron en la deliberación y firma de la presente Sentencia.</w:t>
      </w:r>
      <w:r w:rsidRPr="004D1061">
        <w:rPr>
          <w:rFonts w:ascii="Verdana" w:hAnsi="Verdana"/>
          <w:sz w:val="16"/>
          <w:szCs w:val="16"/>
          <w:lang w:val="es-PR"/>
        </w:rPr>
        <w:t xml:space="preserve"> </w:t>
      </w:r>
      <w:r>
        <w:rPr>
          <w:rFonts w:ascii="Verdana" w:hAnsi="Verdana"/>
          <w:sz w:val="16"/>
          <w:szCs w:val="16"/>
          <w:lang w:val="es-PR"/>
        </w:rPr>
        <w:t xml:space="preserve">Además participaron los Jueces </w:t>
      </w:r>
      <w:r w:rsidRPr="00873463">
        <w:rPr>
          <w:rFonts w:ascii="Verdana" w:hAnsi="Verdana"/>
          <w:sz w:val="16"/>
          <w:szCs w:val="16"/>
          <w:lang w:val="es-PR"/>
        </w:rPr>
        <w:t>Roberto F. Caldas, Presidente; Eduardo Ferrer Mac-</w:t>
      </w:r>
      <w:proofErr w:type="spellStart"/>
      <w:r w:rsidRPr="00873463">
        <w:rPr>
          <w:rFonts w:ascii="Verdana" w:hAnsi="Verdana"/>
          <w:sz w:val="16"/>
          <w:szCs w:val="16"/>
          <w:lang w:val="es-PR"/>
        </w:rPr>
        <w:t>Gregor</w:t>
      </w:r>
      <w:proofErr w:type="spellEnd"/>
      <w:r w:rsidRPr="00873463">
        <w:rPr>
          <w:rFonts w:ascii="Verdana" w:hAnsi="Verdana"/>
          <w:sz w:val="16"/>
          <w:szCs w:val="16"/>
          <w:lang w:val="es-PR"/>
        </w:rPr>
        <w:t xml:space="preserve"> </w:t>
      </w:r>
      <w:proofErr w:type="spellStart"/>
      <w:r w:rsidRPr="00873463">
        <w:rPr>
          <w:rFonts w:ascii="Verdana" w:hAnsi="Verdana"/>
          <w:sz w:val="16"/>
          <w:szCs w:val="16"/>
          <w:lang w:val="es-PR"/>
        </w:rPr>
        <w:t>Poisot</w:t>
      </w:r>
      <w:proofErr w:type="spellEnd"/>
      <w:r w:rsidRPr="00873463">
        <w:rPr>
          <w:rFonts w:ascii="Verdana" w:hAnsi="Verdana"/>
          <w:sz w:val="16"/>
          <w:szCs w:val="16"/>
          <w:lang w:val="es-PR"/>
        </w:rPr>
        <w:t>, Vicepresidente</w:t>
      </w:r>
      <w:r>
        <w:rPr>
          <w:rFonts w:ascii="Verdana" w:hAnsi="Verdana"/>
          <w:sz w:val="16"/>
          <w:szCs w:val="16"/>
          <w:lang w:val="es-PR"/>
        </w:rPr>
        <w:t>, y Eduardo V</w:t>
      </w:r>
      <w:r w:rsidR="00BA70C3">
        <w:rPr>
          <w:rFonts w:ascii="Verdana" w:hAnsi="Verdana"/>
          <w:sz w:val="16"/>
          <w:szCs w:val="16"/>
          <w:lang w:val="es-PR"/>
        </w:rPr>
        <w:t>i</w:t>
      </w:r>
      <w:r>
        <w:rPr>
          <w:rFonts w:ascii="Verdana" w:hAnsi="Verdana"/>
          <w:sz w:val="16"/>
          <w:szCs w:val="16"/>
          <w:lang w:val="es-PR"/>
        </w:rPr>
        <w:t>o Grossi.</w:t>
      </w:r>
      <w:r w:rsidRPr="00873463">
        <w:rPr>
          <w:rFonts w:ascii="Verdana" w:hAnsi="Verdana" w:cs="Arial"/>
          <w:spacing w:val="-4"/>
          <w:sz w:val="16"/>
          <w:szCs w:val="16"/>
          <w:lang w:val="es-PR"/>
        </w:rPr>
        <w:t xml:space="preserve"> </w:t>
      </w:r>
      <w:r w:rsidRPr="004D1061">
        <w:rPr>
          <w:rFonts w:ascii="Verdana" w:hAnsi="Verdana" w:cs="Arial"/>
          <w:spacing w:val="-4"/>
          <w:sz w:val="16"/>
          <w:szCs w:val="16"/>
          <w:lang w:val="es-CR"/>
        </w:rPr>
        <w:t xml:space="preserve">El Juez </w:t>
      </w:r>
      <w:r w:rsidRPr="004D1061">
        <w:rPr>
          <w:rFonts w:ascii="Verdana" w:hAnsi="Verdana"/>
          <w:spacing w:val="-4"/>
          <w:sz w:val="16"/>
          <w:szCs w:val="16"/>
          <w:lang w:val="es-CR"/>
        </w:rPr>
        <w:t>Humberto Antonio Sierra Porto</w:t>
      </w:r>
      <w:r w:rsidRPr="004D1061">
        <w:rPr>
          <w:rFonts w:ascii="Verdana" w:hAnsi="Verdana" w:cs="Arial"/>
          <w:spacing w:val="-4"/>
          <w:sz w:val="16"/>
          <w:szCs w:val="16"/>
          <w:lang w:val="es-CR"/>
        </w:rPr>
        <w:t>, de nacionalidad colombiana, no participó en la deliberación de la Sentencia, de conformidad con lo dispuesto en los artículos 19.2 del Estatuto y 19.1 del Reglamento de la Corte.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AA5" w:rsidRDefault="00C54A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181345"/>
      <w:docPartObj>
        <w:docPartGallery w:val="Page Numbers (Top of Page)"/>
        <w:docPartUnique/>
      </w:docPartObj>
    </w:sdtPr>
    <w:sdtEndPr>
      <w:rPr>
        <w:noProof/>
      </w:rPr>
    </w:sdtEndPr>
    <w:sdtContent>
      <w:p w:rsidR="00A62764" w:rsidRDefault="00A62764">
        <w:pPr>
          <w:pStyle w:val="Header"/>
          <w:jc w:val="center"/>
        </w:pPr>
        <w:r>
          <w:fldChar w:fldCharType="begin"/>
        </w:r>
        <w:r>
          <w:instrText xml:space="preserve"> PAGE   \* MERGEFORMAT </w:instrText>
        </w:r>
        <w:r>
          <w:fldChar w:fldCharType="separate"/>
        </w:r>
        <w:r w:rsidR="00D46AEE">
          <w:rPr>
            <w:noProof/>
          </w:rPr>
          <w:t>2</w:t>
        </w:r>
        <w:r>
          <w:rPr>
            <w:noProof/>
          </w:rPr>
          <w:fldChar w:fldCharType="end"/>
        </w:r>
      </w:p>
    </w:sdtContent>
  </w:sdt>
  <w:p w:rsidR="00A62764" w:rsidRDefault="00A627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AA5" w:rsidRDefault="00C54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F3C0D280"/>
    <w:lvl w:ilvl="0">
      <w:start w:val="297"/>
      <w:numFmt w:val="decimal"/>
      <w:lvlText w:val="%1."/>
      <w:lvlJc w:val="left"/>
      <w:pPr>
        <w:tabs>
          <w:tab w:val="num" w:pos="1276"/>
        </w:tabs>
        <w:ind w:left="1920" w:hanging="360"/>
      </w:pPr>
      <w:rPr>
        <w:rFonts w:ascii="Verdana" w:hAnsi="Verdana" w:hint="default"/>
        <w:b w:val="0"/>
        <w:i w:val="0"/>
        <w:strike w:val="0"/>
        <w:dstrike w:val="0"/>
        <w:color w:val="auto"/>
        <w:sz w:val="20"/>
      </w:rPr>
    </w:lvl>
    <w:lvl w:ilvl="1">
      <w:start w:val="1"/>
      <w:numFmt w:val="upperLetter"/>
      <w:pStyle w:val="Heading2"/>
      <w:lvlText w:val="%2."/>
      <w:lvlJc w:val="left"/>
      <w:pPr>
        <w:tabs>
          <w:tab w:val="num" w:pos="142"/>
        </w:tabs>
        <w:ind w:left="786" w:hanging="360"/>
      </w:pPr>
      <w:rPr>
        <w:rFonts w:ascii="Verdana" w:hAnsi="Verdana" w:hint="default"/>
        <w:b/>
        <w:i/>
        <w:strike w:val="0"/>
        <w:dstrike w:val="0"/>
        <w:color w:val="auto"/>
        <w:sz w:val="20"/>
      </w:rPr>
    </w:lvl>
    <w:lvl w:ilvl="2">
      <w:start w:val="1"/>
      <w:numFmt w:val="lowerRoman"/>
      <w:lvlText w:val="%3."/>
      <w:lvlJc w:val="left"/>
      <w:pPr>
        <w:tabs>
          <w:tab w:val="num" w:pos="0"/>
        </w:tabs>
        <w:ind w:left="2160" w:hanging="180"/>
      </w:pPr>
      <w:rPr>
        <w:rFonts w:hint="default"/>
      </w:rPr>
    </w:lvl>
    <w:lvl w:ilvl="3">
      <w:start w:val="266"/>
      <w:numFmt w:val="decimal"/>
      <w:lvlText w:val="%4."/>
      <w:lvlJc w:val="left"/>
      <w:pPr>
        <w:tabs>
          <w:tab w:val="num" w:pos="0"/>
        </w:tabs>
        <w:ind w:left="2880" w:hanging="360"/>
      </w:pPr>
      <w:rPr>
        <w:rFonts w:hint="default"/>
        <w:b w:val="0"/>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
    <w:nsid w:val="086A05CF"/>
    <w:multiLevelType w:val="hybridMultilevel"/>
    <w:tmpl w:val="A9E685BC"/>
    <w:lvl w:ilvl="0" w:tplc="5CF2345A">
      <w:start w:val="194"/>
      <w:numFmt w:val="decimal"/>
      <w:lvlText w:val="%1."/>
      <w:lvlJc w:val="left"/>
      <w:pPr>
        <w:ind w:left="1302" w:hanging="375"/>
      </w:pPr>
      <w:rPr>
        <w:rFonts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11983637"/>
    <w:multiLevelType w:val="hybridMultilevel"/>
    <w:tmpl w:val="79702A42"/>
    <w:lvl w:ilvl="0" w:tplc="B3F8D712">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4E6C39CB"/>
    <w:multiLevelType w:val="hybridMultilevel"/>
    <w:tmpl w:val="B8CE6B3E"/>
    <w:lvl w:ilvl="0" w:tplc="8496D9F2">
      <w:start w:val="126"/>
      <w:numFmt w:val="decimal"/>
      <w:lvlText w:val="%1."/>
      <w:lvlJc w:val="left"/>
      <w:pPr>
        <w:ind w:left="735" w:hanging="375"/>
      </w:pPr>
      <w:rPr>
        <w:rFonts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7A7D511C"/>
    <w:multiLevelType w:val="hybridMultilevel"/>
    <w:tmpl w:val="9A7C1536"/>
    <w:lvl w:ilvl="0" w:tplc="1FDCBAE8">
      <w:start w:val="1"/>
      <w:numFmt w:val="decimal"/>
      <w:lvlText w:val="%1."/>
      <w:lvlJc w:val="left"/>
      <w:pPr>
        <w:ind w:left="450" w:hanging="360"/>
      </w:pPr>
      <w:rPr>
        <w:rFonts w:ascii="Verdana" w:hAnsi="Verdan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463"/>
    <w:rsid w:val="0002343A"/>
    <w:rsid w:val="00051EC1"/>
    <w:rsid w:val="00066C76"/>
    <w:rsid w:val="00067E74"/>
    <w:rsid w:val="00073E40"/>
    <w:rsid w:val="0009189A"/>
    <w:rsid w:val="000B341A"/>
    <w:rsid w:val="000B39DC"/>
    <w:rsid w:val="000D189A"/>
    <w:rsid w:val="000E3394"/>
    <w:rsid w:val="001117EB"/>
    <w:rsid w:val="0011361C"/>
    <w:rsid w:val="0014052D"/>
    <w:rsid w:val="0016468E"/>
    <w:rsid w:val="00174302"/>
    <w:rsid w:val="00192407"/>
    <w:rsid w:val="001B2B7F"/>
    <w:rsid w:val="001B4369"/>
    <w:rsid w:val="001E449E"/>
    <w:rsid w:val="001F60BA"/>
    <w:rsid w:val="00210CB9"/>
    <w:rsid w:val="00212555"/>
    <w:rsid w:val="00252C17"/>
    <w:rsid w:val="0028557C"/>
    <w:rsid w:val="002B0988"/>
    <w:rsid w:val="0032014A"/>
    <w:rsid w:val="00330E6E"/>
    <w:rsid w:val="00343687"/>
    <w:rsid w:val="00371B5F"/>
    <w:rsid w:val="00376F73"/>
    <w:rsid w:val="003876FF"/>
    <w:rsid w:val="00393F91"/>
    <w:rsid w:val="003B6860"/>
    <w:rsid w:val="003D11B7"/>
    <w:rsid w:val="003D7331"/>
    <w:rsid w:val="00437031"/>
    <w:rsid w:val="004477C9"/>
    <w:rsid w:val="00454F2E"/>
    <w:rsid w:val="00483739"/>
    <w:rsid w:val="0048635C"/>
    <w:rsid w:val="004A0D52"/>
    <w:rsid w:val="004A4451"/>
    <w:rsid w:val="00522C77"/>
    <w:rsid w:val="00530D91"/>
    <w:rsid w:val="00547644"/>
    <w:rsid w:val="005645FC"/>
    <w:rsid w:val="00583F77"/>
    <w:rsid w:val="00590230"/>
    <w:rsid w:val="005A31E0"/>
    <w:rsid w:val="005B1758"/>
    <w:rsid w:val="005C0D67"/>
    <w:rsid w:val="005C3CF5"/>
    <w:rsid w:val="005E044D"/>
    <w:rsid w:val="00601602"/>
    <w:rsid w:val="0061314F"/>
    <w:rsid w:val="00615E21"/>
    <w:rsid w:val="006902C1"/>
    <w:rsid w:val="0069487F"/>
    <w:rsid w:val="006D6877"/>
    <w:rsid w:val="006E74B9"/>
    <w:rsid w:val="0071238D"/>
    <w:rsid w:val="00752415"/>
    <w:rsid w:val="007B282A"/>
    <w:rsid w:val="007C64BE"/>
    <w:rsid w:val="007D0498"/>
    <w:rsid w:val="007D52E3"/>
    <w:rsid w:val="007F751A"/>
    <w:rsid w:val="0082689B"/>
    <w:rsid w:val="00840772"/>
    <w:rsid w:val="00847850"/>
    <w:rsid w:val="00873463"/>
    <w:rsid w:val="008A5395"/>
    <w:rsid w:val="008B45E3"/>
    <w:rsid w:val="008D2B2C"/>
    <w:rsid w:val="00903FEF"/>
    <w:rsid w:val="00904EA9"/>
    <w:rsid w:val="0091164A"/>
    <w:rsid w:val="0095635E"/>
    <w:rsid w:val="00963BC0"/>
    <w:rsid w:val="0096454F"/>
    <w:rsid w:val="00967CBB"/>
    <w:rsid w:val="00982EB0"/>
    <w:rsid w:val="009B4268"/>
    <w:rsid w:val="009C7C31"/>
    <w:rsid w:val="009E1FDF"/>
    <w:rsid w:val="009E4D85"/>
    <w:rsid w:val="00A62764"/>
    <w:rsid w:val="00A67E1D"/>
    <w:rsid w:val="00A9391E"/>
    <w:rsid w:val="00AB6B98"/>
    <w:rsid w:val="00AD28AA"/>
    <w:rsid w:val="00AD76B1"/>
    <w:rsid w:val="00B51144"/>
    <w:rsid w:val="00B56597"/>
    <w:rsid w:val="00B912F8"/>
    <w:rsid w:val="00BA70C3"/>
    <w:rsid w:val="00BD3D9F"/>
    <w:rsid w:val="00BD5773"/>
    <w:rsid w:val="00BE7C13"/>
    <w:rsid w:val="00BF41E4"/>
    <w:rsid w:val="00C1331D"/>
    <w:rsid w:val="00C42374"/>
    <w:rsid w:val="00C54AA5"/>
    <w:rsid w:val="00C65848"/>
    <w:rsid w:val="00CB437E"/>
    <w:rsid w:val="00CB5438"/>
    <w:rsid w:val="00D40620"/>
    <w:rsid w:val="00D422C7"/>
    <w:rsid w:val="00D46AEE"/>
    <w:rsid w:val="00DC7443"/>
    <w:rsid w:val="00DF1D01"/>
    <w:rsid w:val="00DF37DC"/>
    <w:rsid w:val="00DF64D7"/>
    <w:rsid w:val="00E37F34"/>
    <w:rsid w:val="00E42BCF"/>
    <w:rsid w:val="00E70BC5"/>
    <w:rsid w:val="00E80D33"/>
    <w:rsid w:val="00E859FE"/>
    <w:rsid w:val="00E92E06"/>
    <w:rsid w:val="00E977B5"/>
    <w:rsid w:val="00E97BAD"/>
    <w:rsid w:val="00EA0D69"/>
    <w:rsid w:val="00EB4371"/>
    <w:rsid w:val="00EF6442"/>
    <w:rsid w:val="00F24D35"/>
    <w:rsid w:val="00F47C37"/>
    <w:rsid w:val="00FB2D8A"/>
    <w:rsid w:val="00FB56DB"/>
    <w:rsid w:val="00FF1B27"/>
    <w:rsid w:val="00FF4EB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463"/>
    <w:pPr>
      <w:spacing w:after="0" w:line="240" w:lineRule="auto"/>
    </w:pPr>
    <w:rPr>
      <w:rFonts w:ascii="Calibri" w:eastAsia="Times New Roman" w:hAnsi="Calibri" w:cs="Times New Roman"/>
      <w:lang w:val="en-US"/>
    </w:rPr>
  </w:style>
  <w:style w:type="paragraph" w:styleId="Heading2">
    <w:name w:val="heading 2"/>
    <w:basedOn w:val="Normal"/>
    <w:next w:val="Normal"/>
    <w:link w:val="Heading2Char"/>
    <w:uiPriority w:val="9"/>
    <w:qFormat/>
    <w:rsid w:val="00FF1B27"/>
    <w:pPr>
      <w:keepNext/>
      <w:keepLines/>
      <w:numPr>
        <w:ilvl w:val="1"/>
        <w:numId w:val="4"/>
      </w:numPr>
      <w:spacing w:before="240" w:after="240"/>
      <w:jc w:val="both"/>
      <w:outlineLvl w:val="1"/>
    </w:pPr>
    <w:rPr>
      <w:rFonts w:ascii="Verdana" w:hAnsi="Verdana"/>
      <w:b/>
      <w:bCs/>
      <w:i/>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uiPriority w:val="99"/>
    <w:qFormat/>
    <w:rsid w:val="00873463"/>
    <w:rPr>
      <w:vertAlign w:val="superscript"/>
    </w:rPr>
  </w:style>
  <w:style w:type="paragraph" w:customStyle="1" w:styleId="Footnotes">
    <w:name w:val="**. Footnotes"/>
    <w:basedOn w:val="FootnoteText"/>
    <w:link w:val="FootnotesChar"/>
    <w:autoRedefine/>
    <w:qFormat/>
    <w:rsid w:val="00873463"/>
    <w:pPr>
      <w:tabs>
        <w:tab w:val="left" w:pos="720"/>
      </w:tabs>
      <w:jc w:val="center"/>
    </w:pPr>
    <w:rPr>
      <w:rFonts w:ascii="Verdana" w:hAnsi="Verdana" w:cs="Palatino-Italic"/>
      <w:iCs/>
      <w:spacing w:val="-4"/>
      <w:sz w:val="16"/>
      <w:szCs w:val="16"/>
      <w:lang w:bidi="en-US"/>
    </w:rPr>
  </w:style>
  <w:style w:type="character" w:customStyle="1" w:styleId="FootnotesChar">
    <w:name w:val="**. Footnotes Char"/>
    <w:basedOn w:val="DefaultParagraphFont"/>
    <w:link w:val="Footnotes"/>
    <w:rsid w:val="00873463"/>
    <w:rPr>
      <w:rFonts w:ascii="Verdana" w:eastAsia="Times New Roman" w:hAnsi="Verdana" w:cs="Palatino-Italic"/>
      <w:iCs/>
      <w:spacing w:val="-4"/>
      <w:sz w:val="16"/>
      <w:szCs w:val="16"/>
      <w:lang w:val="en-US" w:bidi="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873463"/>
    <w:pPr>
      <w:jc w:val="both"/>
    </w:pPr>
    <w:rPr>
      <w:rFonts w:asciiTheme="minorHAnsi" w:eastAsiaTheme="minorHAnsi" w:hAnsiTheme="minorHAnsi" w:cstheme="minorBidi"/>
      <w:vertAlign w:val="superscript"/>
      <w:lang w:val="es-CR"/>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xt,Ca"/>
    <w:basedOn w:val="Normal"/>
    <w:link w:val="FootnoteTextChar"/>
    <w:unhideWhenUsed/>
    <w:qFormat/>
    <w:rsid w:val="00873463"/>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semiHidden/>
    <w:rsid w:val="00873463"/>
    <w:rPr>
      <w:rFonts w:ascii="Calibri" w:eastAsia="Times New Roman" w:hAnsi="Calibri" w:cs="Times New Roman"/>
      <w:sz w:val="20"/>
      <w:szCs w:val="20"/>
      <w:lang w:val="en-US"/>
    </w:rPr>
  </w:style>
  <w:style w:type="paragraph" w:styleId="ListParagraph">
    <w:name w:val="List Paragraph"/>
    <w:aliases w:val="Footnote,Colorful List - Accent 11,List Paragraph2,List Paragraph1"/>
    <w:basedOn w:val="Normal"/>
    <w:uiPriority w:val="34"/>
    <w:qFormat/>
    <w:rsid w:val="00192407"/>
    <w:pPr>
      <w:ind w:left="720"/>
      <w:contextualSpacing/>
    </w:p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basedOn w:val="DefaultParagraphFont"/>
    <w:rsid w:val="007D0498"/>
    <w:rPr>
      <w:rFonts w:ascii="Calibri" w:eastAsia="Calibri" w:hAnsi="Calibri" w:cs="Calibri"/>
      <w:sz w:val="20"/>
      <w:szCs w:val="20"/>
      <w:lang w:val="es-AR" w:eastAsia="ar-SA"/>
    </w:rPr>
  </w:style>
  <w:style w:type="paragraph" w:customStyle="1" w:styleId="Estilo1">
    <w:name w:val="Estilo1"/>
    <w:basedOn w:val="Normal"/>
    <w:link w:val="Estilo1Car"/>
    <w:qFormat/>
    <w:rsid w:val="0032014A"/>
    <w:pPr>
      <w:tabs>
        <w:tab w:val="left" w:pos="567"/>
        <w:tab w:val="left" w:pos="1134"/>
        <w:tab w:val="left" w:pos="18012"/>
      </w:tabs>
      <w:spacing w:after="120"/>
      <w:jc w:val="both"/>
    </w:pPr>
    <w:rPr>
      <w:rFonts w:ascii="Verdana" w:hAnsi="Verdana"/>
      <w:sz w:val="20"/>
      <w:szCs w:val="20"/>
    </w:rPr>
  </w:style>
  <w:style w:type="character" w:customStyle="1" w:styleId="Estilo1Car">
    <w:name w:val="Estilo1 Car"/>
    <w:link w:val="Estilo1"/>
    <w:locked/>
    <w:rsid w:val="0032014A"/>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F24D35"/>
    <w:rPr>
      <w:rFonts w:ascii="Tahoma" w:hAnsi="Tahoma" w:cs="Tahoma"/>
      <w:sz w:val="16"/>
      <w:szCs w:val="16"/>
    </w:rPr>
  </w:style>
  <w:style w:type="character" w:customStyle="1" w:styleId="BalloonTextChar">
    <w:name w:val="Balloon Text Char"/>
    <w:basedOn w:val="DefaultParagraphFont"/>
    <w:link w:val="BalloonText"/>
    <w:uiPriority w:val="99"/>
    <w:semiHidden/>
    <w:rsid w:val="00F24D35"/>
    <w:rPr>
      <w:rFonts w:ascii="Tahoma" w:eastAsia="Times New Roman" w:hAnsi="Tahoma" w:cs="Tahoma"/>
      <w:sz w:val="16"/>
      <w:szCs w:val="16"/>
      <w:lang w:val="en-US"/>
    </w:rPr>
  </w:style>
  <w:style w:type="paragraph" w:customStyle="1" w:styleId="Estilo5">
    <w:name w:val="Estilo5"/>
    <w:basedOn w:val="ListParagraph"/>
    <w:qFormat/>
    <w:rsid w:val="00F24D35"/>
    <w:pPr>
      <w:tabs>
        <w:tab w:val="num" w:pos="0"/>
      </w:tabs>
      <w:spacing w:after="120" w:line="216" w:lineRule="auto"/>
      <w:ind w:left="0" w:right="18"/>
      <w:contextualSpacing w:val="0"/>
      <w:jc w:val="both"/>
    </w:pPr>
    <w:rPr>
      <w:rFonts w:ascii="Verdana" w:hAnsi="Verdana"/>
      <w:spacing w:val="-2"/>
      <w:sz w:val="20"/>
      <w:szCs w:val="20"/>
      <w:lang w:val="es-MX"/>
    </w:rPr>
  </w:style>
  <w:style w:type="character" w:customStyle="1" w:styleId="Smbolodenotaalpie">
    <w:name w:val="Símbolo de nota al pie"/>
    <w:rsid w:val="005A31E0"/>
    <w:rPr>
      <w:rFonts w:cs="Times New Roman"/>
      <w:szCs w:val="20"/>
      <w:vertAlign w:val="superscript"/>
    </w:rPr>
  </w:style>
  <w:style w:type="character" w:customStyle="1" w:styleId="Heading2Char">
    <w:name w:val="Heading 2 Char"/>
    <w:basedOn w:val="DefaultParagraphFont"/>
    <w:link w:val="Heading2"/>
    <w:uiPriority w:val="9"/>
    <w:rsid w:val="00FF1B27"/>
    <w:rPr>
      <w:rFonts w:ascii="Verdana" w:eastAsia="Times New Roman" w:hAnsi="Verdana" w:cs="Times New Roman"/>
      <w:b/>
      <w:bCs/>
      <w:i/>
      <w:sz w:val="20"/>
      <w:szCs w:val="20"/>
      <w:lang w:val="es-ES_tradnl"/>
    </w:rPr>
  </w:style>
  <w:style w:type="paragraph" w:customStyle="1" w:styleId="Default">
    <w:name w:val="Default"/>
    <w:rsid w:val="00BE7C13"/>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BE7C13"/>
    <w:pPr>
      <w:tabs>
        <w:tab w:val="center" w:pos="4419"/>
        <w:tab w:val="right" w:pos="8838"/>
      </w:tabs>
    </w:pPr>
  </w:style>
  <w:style w:type="character" w:customStyle="1" w:styleId="HeaderChar">
    <w:name w:val="Header Char"/>
    <w:basedOn w:val="DefaultParagraphFont"/>
    <w:link w:val="Header"/>
    <w:uiPriority w:val="99"/>
    <w:rsid w:val="00BE7C13"/>
    <w:rPr>
      <w:rFonts w:ascii="Calibri" w:eastAsia="Times New Roman" w:hAnsi="Calibri" w:cs="Times New Roman"/>
      <w:lang w:val="en-US"/>
    </w:rPr>
  </w:style>
  <w:style w:type="paragraph" w:styleId="Footer">
    <w:name w:val="footer"/>
    <w:basedOn w:val="Normal"/>
    <w:link w:val="FooterChar"/>
    <w:uiPriority w:val="99"/>
    <w:unhideWhenUsed/>
    <w:rsid w:val="00BE7C13"/>
    <w:pPr>
      <w:tabs>
        <w:tab w:val="center" w:pos="4419"/>
        <w:tab w:val="right" w:pos="8838"/>
      </w:tabs>
    </w:pPr>
  </w:style>
  <w:style w:type="character" w:customStyle="1" w:styleId="FooterChar">
    <w:name w:val="Footer Char"/>
    <w:basedOn w:val="DefaultParagraphFont"/>
    <w:link w:val="Footer"/>
    <w:uiPriority w:val="99"/>
    <w:rsid w:val="00BE7C13"/>
    <w:rPr>
      <w:rFonts w:ascii="Calibri" w:eastAsia="Times New Roman" w:hAnsi="Calibri" w:cs="Times New Roman"/>
      <w:lang w:val="en-US"/>
    </w:rPr>
  </w:style>
  <w:style w:type="character" w:styleId="Hyperlink">
    <w:name w:val="Hyperlink"/>
    <w:basedOn w:val="DefaultParagraphFont"/>
    <w:uiPriority w:val="99"/>
    <w:unhideWhenUsed/>
    <w:rsid w:val="009E1FD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463"/>
    <w:pPr>
      <w:spacing w:after="0" w:line="240" w:lineRule="auto"/>
    </w:pPr>
    <w:rPr>
      <w:rFonts w:ascii="Calibri" w:eastAsia="Times New Roman" w:hAnsi="Calibri" w:cs="Times New Roman"/>
      <w:lang w:val="en-US"/>
    </w:rPr>
  </w:style>
  <w:style w:type="paragraph" w:styleId="Heading2">
    <w:name w:val="heading 2"/>
    <w:basedOn w:val="Normal"/>
    <w:next w:val="Normal"/>
    <w:link w:val="Heading2Char"/>
    <w:uiPriority w:val="9"/>
    <w:qFormat/>
    <w:rsid w:val="00FF1B27"/>
    <w:pPr>
      <w:keepNext/>
      <w:keepLines/>
      <w:numPr>
        <w:ilvl w:val="1"/>
        <w:numId w:val="4"/>
      </w:numPr>
      <w:spacing w:before="240" w:after="240"/>
      <w:jc w:val="both"/>
      <w:outlineLvl w:val="1"/>
    </w:pPr>
    <w:rPr>
      <w:rFonts w:ascii="Verdana" w:hAnsi="Verdana"/>
      <w:b/>
      <w:bCs/>
      <w:i/>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link w:val="4GChar"/>
    <w:uiPriority w:val="99"/>
    <w:qFormat/>
    <w:rsid w:val="00873463"/>
    <w:rPr>
      <w:vertAlign w:val="superscript"/>
    </w:rPr>
  </w:style>
  <w:style w:type="paragraph" w:customStyle="1" w:styleId="Footnotes">
    <w:name w:val="**. Footnotes"/>
    <w:basedOn w:val="FootnoteText"/>
    <w:link w:val="FootnotesChar"/>
    <w:autoRedefine/>
    <w:qFormat/>
    <w:rsid w:val="00873463"/>
    <w:pPr>
      <w:tabs>
        <w:tab w:val="left" w:pos="720"/>
      </w:tabs>
      <w:jc w:val="center"/>
    </w:pPr>
    <w:rPr>
      <w:rFonts w:ascii="Verdana" w:hAnsi="Verdana" w:cs="Palatino-Italic"/>
      <w:iCs/>
      <w:spacing w:val="-4"/>
      <w:sz w:val="16"/>
      <w:szCs w:val="16"/>
      <w:lang w:bidi="en-US"/>
    </w:rPr>
  </w:style>
  <w:style w:type="character" w:customStyle="1" w:styleId="FootnotesChar">
    <w:name w:val="**. Footnotes Char"/>
    <w:basedOn w:val="DefaultParagraphFont"/>
    <w:link w:val="Footnotes"/>
    <w:rsid w:val="00873463"/>
    <w:rPr>
      <w:rFonts w:ascii="Verdana" w:eastAsia="Times New Roman" w:hAnsi="Verdana" w:cs="Palatino-Italic"/>
      <w:iCs/>
      <w:spacing w:val="-4"/>
      <w:sz w:val="16"/>
      <w:szCs w:val="16"/>
      <w:lang w:val="en-US" w:bidi="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873463"/>
    <w:pPr>
      <w:jc w:val="both"/>
    </w:pPr>
    <w:rPr>
      <w:rFonts w:asciiTheme="minorHAnsi" w:eastAsiaTheme="minorHAnsi" w:hAnsiTheme="minorHAnsi" w:cstheme="minorBidi"/>
      <w:vertAlign w:val="superscript"/>
      <w:lang w:val="es-CR"/>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xt,Ca"/>
    <w:basedOn w:val="Normal"/>
    <w:link w:val="FootnoteTextChar"/>
    <w:unhideWhenUsed/>
    <w:qFormat/>
    <w:rsid w:val="00873463"/>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semiHidden/>
    <w:rsid w:val="00873463"/>
    <w:rPr>
      <w:rFonts w:ascii="Calibri" w:eastAsia="Times New Roman" w:hAnsi="Calibri" w:cs="Times New Roman"/>
      <w:sz w:val="20"/>
      <w:szCs w:val="20"/>
      <w:lang w:val="en-US"/>
    </w:rPr>
  </w:style>
  <w:style w:type="paragraph" w:styleId="ListParagraph">
    <w:name w:val="List Paragraph"/>
    <w:aliases w:val="Footnote,Colorful List - Accent 11,List Paragraph2,List Paragraph1"/>
    <w:basedOn w:val="Normal"/>
    <w:uiPriority w:val="34"/>
    <w:qFormat/>
    <w:rsid w:val="00192407"/>
    <w:pPr>
      <w:ind w:left="720"/>
      <w:contextualSpacing/>
    </w:p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basedOn w:val="DefaultParagraphFont"/>
    <w:rsid w:val="007D0498"/>
    <w:rPr>
      <w:rFonts w:ascii="Calibri" w:eastAsia="Calibri" w:hAnsi="Calibri" w:cs="Calibri"/>
      <w:sz w:val="20"/>
      <w:szCs w:val="20"/>
      <w:lang w:val="es-AR" w:eastAsia="ar-SA"/>
    </w:rPr>
  </w:style>
  <w:style w:type="paragraph" w:customStyle="1" w:styleId="Estilo1">
    <w:name w:val="Estilo1"/>
    <w:basedOn w:val="Normal"/>
    <w:link w:val="Estilo1Car"/>
    <w:qFormat/>
    <w:rsid w:val="0032014A"/>
    <w:pPr>
      <w:tabs>
        <w:tab w:val="left" w:pos="567"/>
        <w:tab w:val="left" w:pos="1134"/>
        <w:tab w:val="left" w:pos="18012"/>
      </w:tabs>
      <w:spacing w:after="120"/>
      <w:jc w:val="both"/>
    </w:pPr>
    <w:rPr>
      <w:rFonts w:ascii="Verdana" w:hAnsi="Verdana"/>
      <w:sz w:val="20"/>
      <w:szCs w:val="20"/>
    </w:rPr>
  </w:style>
  <w:style w:type="character" w:customStyle="1" w:styleId="Estilo1Car">
    <w:name w:val="Estilo1 Car"/>
    <w:link w:val="Estilo1"/>
    <w:locked/>
    <w:rsid w:val="0032014A"/>
    <w:rPr>
      <w:rFonts w:ascii="Verdana" w:eastAsia="Times New Roman" w:hAnsi="Verdana" w:cs="Times New Roman"/>
      <w:sz w:val="20"/>
      <w:szCs w:val="20"/>
      <w:lang w:val="en-US"/>
    </w:rPr>
  </w:style>
  <w:style w:type="paragraph" w:styleId="BalloonText">
    <w:name w:val="Balloon Text"/>
    <w:basedOn w:val="Normal"/>
    <w:link w:val="BalloonTextChar"/>
    <w:uiPriority w:val="99"/>
    <w:semiHidden/>
    <w:unhideWhenUsed/>
    <w:rsid w:val="00F24D35"/>
    <w:rPr>
      <w:rFonts w:ascii="Tahoma" w:hAnsi="Tahoma" w:cs="Tahoma"/>
      <w:sz w:val="16"/>
      <w:szCs w:val="16"/>
    </w:rPr>
  </w:style>
  <w:style w:type="character" w:customStyle="1" w:styleId="BalloonTextChar">
    <w:name w:val="Balloon Text Char"/>
    <w:basedOn w:val="DefaultParagraphFont"/>
    <w:link w:val="BalloonText"/>
    <w:uiPriority w:val="99"/>
    <w:semiHidden/>
    <w:rsid w:val="00F24D35"/>
    <w:rPr>
      <w:rFonts w:ascii="Tahoma" w:eastAsia="Times New Roman" w:hAnsi="Tahoma" w:cs="Tahoma"/>
      <w:sz w:val="16"/>
      <w:szCs w:val="16"/>
      <w:lang w:val="en-US"/>
    </w:rPr>
  </w:style>
  <w:style w:type="paragraph" w:customStyle="1" w:styleId="Estilo5">
    <w:name w:val="Estilo5"/>
    <w:basedOn w:val="ListParagraph"/>
    <w:qFormat/>
    <w:rsid w:val="00F24D35"/>
    <w:pPr>
      <w:tabs>
        <w:tab w:val="num" w:pos="0"/>
      </w:tabs>
      <w:spacing w:after="120" w:line="216" w:lineRule="auto"/>
      <w:ind w:left="0" w:right="18"/>
      <w:contextualSpacing w:val="0"/>
      <w:jc w:val="both"/>
    </w:pPr>
    <w:rPr>
      <w:rFonts w:ascii="Verdana" w:hAnsi="Verdana"/>
      <w:spacing w:val="-2"/>
      <w:sz w:val="20"/>
      <w:szCs w:val="20"/>
      <w:lang w:val="es-MX"/>
    </w:rPr>
  </w:style>
  <w:style w:type="character" w:customStyle="1" w:styleId="Smbolodenotaalpie">
    <w:name w:val="Símbolo de nota al pie"/>
    <w:rsid w:val="005A31E0"/>
    <w:rPr>
      <w:rFonts w:cs="Times New Roman"/>
      <w:szCs w:val="20"/>
      <w:vertAlign w:val="superscript"/>
    </w:rPr>
  </w:style>
  <w:style w:type="character" w:customStyle="1" w:styleId="Heading2Char">
    <w:name w:val="Heading 2 Char"/>
    <w:basedOn w:val="DefaultParagraphFont"/>
    <w:link w:val="Heading2"/>
    <w:uiPriority w:val="9"/>
    <w:rsid w:val="00FF1B27"/>
    <w:rPr>
      <w:rFonts w:ascii="Verdana" w:eastAsia="Times New Roman" w:hAnsi="Verdana" w:cs="Times New Roman"/>
      <w:b/>
      <w:bCs/>
      <w:i/>
      <w:sz w:val="20"/>
      <w:szCs w:val="20"/>
      <w:lang w:val="es-ES_tradnl"/>
    </w:rPr>
  </w:style>
  <w:style w:type="paragraph" w:customStyle="1" w:styleId="Default">
    <w:name w:val="Default"/>
    <w:rsid w:val="00BE7C13"/>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BE7C13"/>
    <w:pPr>
      <w:tabs>
        <w:tab w:val="center" w:pos="4419"/>
        <w:tab w:val="right" w:pos="8838"/>
      </w:tabs>
    </w:pPr>
  </w:style>
  <w:style w:type="character" w:customStyle="1" w:styleId="HeaderChar">
    <w:name w:val="Header Char"/>
    <w:basedOn w:val="DefaultParagraphFont"/>
    <w:link w:val="Header"/>
    <w:uiPriority w:val="99"/>
    <w:rsid w:val="00BE7C13"/>
    <w:rPr>
      <w:rFonts w:ascii="Calibri" w:eastAsia="Times New Roman" w:hAnsi="Calibri" w:cs="Times New Roman"/>
      <w:lang w:val="en-US"/>
    </w:rPr>
  </w:style>
  <w:style w:type="paragraph" w:styleId="Footer">
    <w:name w:val="footer"/>
    <w:basedOn w:val="Normal"/>
    <w:link w:val="FooterChar"/>
    <w:uiPriority w:val="99"/>
    <w:unhideWhenUsed/>
    <w:rsid w:val="00BE7C13"/>
    <w:pPr>
      <w:tabs>
        <w:tab w:val="center" w:pos="4419"/>
        <w:tab w:val="right" w:pos="8838"/>
      </w:tabs>
    </w:pPr>
  </w:style>
  <w:style w:type="character" w:customStyle="1" w:styleId="FooterChar">
    <w:name w:val="Footer Char"/>
    <w:basedOn w:val="DefaultParagraphFont"/>
    <w:link w:val="Footer"/>
    <w:uiPriority w:val="99"/>
    <w:rsid w:val="00BE7C13"/>
    <w:rPr>
      <w:rFonts w:ascii="Calibri" w:eastAsia="Times New Roman" w:hAnsi="Calibri" w:cs="Times New Roman"/>
      <w:lang w:val="en-US"/>
    </w:rPr>
  </w:style>
  <w:style w:type="character" w:styleId="Hyperlink">
    <w:name w:val="Hyperlink"/>
    <w:basedOn w:val="DefaultParagraphFont"/>
    <w:uiPriority w:val="99"/>
    <w:unhideWhenUsed/>
    <w:rsid w:val="009E1F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95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it.ly/2j0Ykb1"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2DCDE-24F5-412E-A691-7CAF1FE3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2874</Words>
  <Characters>15810</Characters>
  <Application>Microsoft Office Word</Application>
  <DocSecurity>4</DocSecurity>
  <Lines>131</Lines>
  <Paragraphs>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Julliana Saborio</cp:lastModifiedBy>
  <cp:revision>2</cp:revision>
  <cp:lastPrinted>2017-01-10T16:43:00Z</cp:lastPrinted>
  <dcterms:created xsi:type="dcterms:W3CDTF">2017-01-10T19:18:00Z</dcterms:created>
  <dcterms:modified xsi:type="dcterms:W3CDTF">2017-01-10T19:18:00Z</dcterms:modified>
</cp:coreProperties>
</file>