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8C81A9" w14:textId="77777777" w:rsidR="00127C78" w:rsidRDefault="00127C78" w:rsidP="00C255B3">
      <w:pPr>
        <w:rPr>
          <w:b/>
          <w:lang w:val="es-CR" w:eastAsia="es-CR"/>
        </w:rPr>
      </w:pPr>
      <w:bookmarkStart w:id="0" w:name="_Toc304195580"/>
      <w:bookmarkStart w:id="1" w:name="_Toc435523338"/>
      <w:bookmarkStart w:id="2" w:name="_Toc435540837"/>
      <w:bookmarkStart w:id="3" w:name="_GoBack"/>
      <w:bookmarkEnd w:id="3"/>
    </w:p>
    <w:p w14:paraId="181093DE" w14:textId="77777777" w:rsidR="000178E7" w:rsidRDefault="000178E7" w:rsidP="00C255B3">
      <w:pPr>
        <w:rPr>
          <w:b/>
          <w:lang w:val="es-CR" w:eastAsia="es-CR"/>
        </w:rPr>
      </w:pPr>
    </w:p>
    <w:p w14:paraId="1A8E8987" w14:textId="42466A0B" w:rsidR="008F5D36" w:rsidRPr="008F5D36" w:rsidRDefault="008F5D36" w:rsidP="008F5D36">
      <w:pPr>
        <w:jc w:val="center"/>
        <w:rPr>
          <w:b/>
          <w:lang w:val="es-CR" w:eastAsia="es-CR"/>
        </w:rPr>
      </w:pPr>
      <w:r w:rsidRPr="008F5D36">
        <w:rPr>
          <w:b/>
          <w:lang w:val="es-CR" w:eastAsia="es-CR"/>
        </w:rPr>
        <w:t>CORTE INTERAMERICANA DE DERECHOS HUMANOS</w:t>
      </w:r>
      <w:bookmarkEnd w:id="0"/>
      <w:bookmarkEnd w:id="1"/>
      <w:bookmarkEnd w:id="2"/>
      <w:r w:rsidR="00A55E89" w:rsidRPr="005C5833">
        <w:rPr>
          <w:rStyle w:val="FootnoteReference"/>
          <w:rFonts w:eastAsia="Calibri" w:cs="Calibri"/>
          <w:b/>
          <w:szCs w:val="20"/>
          <w:lang w:val="es-CR"/>
        </w:rPr>
        <w:footnoteReference w:customMarkFollows="1" w:id="1"/>
        <w:t>*</w:t>
      </w:r>
    </w:p>
    <w:p w14:paraId="693EBF81" w14:textId="77777777" w:rsidR="008F5D36" w:rsidRPr="008F5D36" w:rsidRDefault="008F5D36" w:rsidP="008F5D36">
      <w:pPr>
        <w:jc w:val="center"/>
        <w:rPr>
          <w:b/>
          <w:snapToGrid w:val="0"/>
          <w:lang w:val="es-CR"/>
        </w:rPr>
      </w:pPr>
    </w:p>
    <w:p w14:paraId="6FBBFA55" w14:textId="77777777" w:rsidR="00C255B3" w:rsidRPr="0023443B" w:rsidRDefault="00C255B3" w:rsidP="00C255B3">
      <w:pPr>
        <w:tabs>
          <w:tab w:val="left" w:pos="567"/>
        </w:tabs>
        <w:jc w:val="center"/>
        <w:rPr>
          <w:b/>
          <w:spacing w:val="-4"/>
          <w:lang w:val="es-CR"/>
        </w:rPr>
      </w:pPr>
      <w:bookmarkStart w:id="4" w:name="_Toc424833991"/>
      <w:bookmarkStart w:id="5" w:name="_Toc424834592"/>
      <w:bookmarkStart w:id="6" w:name="_Toc424834675"/>
      <w:bookmarkStart w:id="7" w:name="_Toc424834742"/>
      <w:r w:rsidRPr="0023443B">
        <w:rPr>
          <w:b/>
          <w:spacing w:val="-4"/>
          <w:lang w:val="es-CR"/>
        </w:rPr>
        <w:t xml:space="preserve">CASO VALENCIA HINOJOSA Y OTRA VS. </w:t>
      </w:r>
      <w:bookmarkEnd w:id="4"/>
      <w:bookmarkEnd w:id="5"/>
      <w:bookmarkEnd w:id="6"/>
      <w:bookmarkEnd w:id="7"/>
      <w:r w:rsidRPr="0023443B">
        <w:rPr>
          <w:b/>
          <w:spacing w:val="-4"/>
          <w:lang w:val="es-CR"/>
        </w:rPr>
        <w:t>ECUADOR</w:t>
      </w:r>
    </w:p>
    <w:p w14:paraId="197F83B2" w14:textId="77777777" w:rsidR="00C255B3" w:rsidRPr="0023443B" w:rsidRDefault="00C255B3" w:rsidP="00C255B3">
      <w:pPr>
        <w:tabs>
          <w:tab w:val="left" w:pos="567"/>
        </w:tabs>
        <w:jc w:val="center"/>
        <w:rPr>
          <w:b/>
          <w:spacing w:val="-4"/>
          <w:lang w:val="es-CR"/>
        </w:rPr>
      </w:pPr>
    </w:p>
    <w:p w14:paraId="4BEBFE08" w14:textId="77777777" w:rsidR="00C255B3" w:rsidRPr="0023443B" w:rsidRDefault="00C255B3" w:rsidP="00C255B3">
      <w:pPr>
        <w:tabs>
          <w:tab w:val="left" w:pos="567"/>
        </w:tabs>
        <w:jc w:val="center"/>
        <w:rPr>
          <w:b/>
          <w:spacing w:val="-4"/>
          <w:lang w:val="es-CR"/>
        </w:rPr>
      </w:pPr>
      <w:bookmarkStart w:id="8" w:name="_Toc424833992"/>
      <w:bookmarkStart w:id="9" w:name="_Toc424834593"/>
      <w:bookmarkStart w:id="10" w:name="_Toc424834676"/>
      <w:bookmarkStart w:id="11" w:name="_Toc424834743"/>
      <w:r w:rsidRPr="0023443B">
        <w:rPr>
          <w:b/>
          <w:spacing w:val="-4"/>
          <w:lang w:val="es-CR"/>
        </w:rPr>
        <w:t xml:space="preserve">SENTENCIA DE </w:t>
      </w:r>
      <w:r>
        <w:rPr>
          <w:b/>
          <w:spacing w:val="-4"/>
          <w:lang w:val="es-CR"/>
        </w:rPr>
        <w:t>29</w:t>
      </w:r>
      <w:r w:rsidRPr="0023443B">
        <w:rPr>
          <w:b/>
          <w:spacing w:val="-4"/>
          <w:lang w:val="es-CR"/>
        </w:rPr>
        <w:t xml:space="preserve"> DE </w:t>
      </w:r>
      <w:r>
        <w:rPr>
          <w:b/>
          <w:spacing w:val="-4"/>
          <w:lang w:val="es-CR"/>
        </w:rPr>
        <w:t>NOVIEMBRE</w:t>
      </w:r>
      <w:r w:rsidRPr="0023443B">
        <w:rPr>
          <w:b/>
          <w:spacing w:val="-4"/>
          <w:lang w:val="es-CR"/>
        </w:rPr>
        <w:t xml:space="preserve"> DE 201</w:t>
      </w:r>
      <w:bookmarkEnd w:id="8"/>
      <w:bookmarkEnd w:id="9"/>
      <w:bookmarkEnd w:id="10"/>
      <w:bookmarkEnd w:id="11"/>
      <w:r w:rsidRPr="0023443B">
        <w:rPr>
          <w:b/>
          <w:spacing w:val="-4"/>
          <w:lang w:val="es-CR"/>
        </w:rPr>
        <w:t>6</w:t>
      </w:r>
    </w:p>
    <w:p w14:paraId="377D65DA" w14:textId="77777777" w:rsidR="00C255B3" w:rsidRPr="0023443B" w:rsidRDefault="00C255B3" w:rsidP="00C255B3">
      <w:pPr>
        <w:tabs>
          <w:tab w:val="left" w:pos="567"/>
        </w:tabs>
        <w:rPr>
          <w:spacing w:val="-4"/>
          <w:lang w:val="es-CR"/>
        </w:rPr>
      </w:pPr>
    </w:p>
    <w:p w14:paraId="60B93A14" w14:textId="77777777" w:rsidR="00C255B3" w:rsidRPr="0023443B" w:rsidRDefault="00C255B3" w:rsidP="00C255B3">
      <w:pPr>
        <w:tabs>
          <w:tab w:val="left" w:pos="567"/>
        </w:tabs>
        <w:jc w:val="center"/>
        <w:rPr>
          <w:b/>
          <w:spacing w:val="-4"/>
          <w:lang w:val="es-CR"/>
        </w:rPr>
      </w:pPr>
      <w:bookmarkStart w:id="12" w:name="_Toc424833993"/>
      <w:bookmarkStart w:id="13" w:name="_Toc424834594"/>
      <w:bookmarkStart w:id="14" w:name="_Toc424834677"/>
      <w:bookmarkStart w:id="15" w:name="_Toc424834744"/>
      <w:r w:rsidRPr="0023443B">
        <w:rPr>
          <w:b/>
          <w:spacing w:val="-4"/>
          <w:lang w:val="es-CR"/>
        </w:rPr>
        <w:t>(</w:t>
      </w:r>
      <w:r w:rsidRPr="0023443B">
        <w:rPr>
          <w:b/>
          <w:i/>
          <w:spacing w:val="-4"/>
          <w:lang w:val="es-CR"/>
        </w:rPr>
        <w:t>Excepciones Preliminares, Fondo, Reparaciones y Costas</w:t>
      </w:r>
      <w:r w:rsidRPr="0023443B">
        <w:rPr>
          <w:b/>
          <w:spacing w:val="-4"/>
          <w:lang w:val="es-CR"/>
        </w:rPr>
        <w:t>)</w:t>
      </w:r>
      <w:bookmarkEnd w:id="12"/>
      <w:bookmarkEnd w:id="13"/>
      <w:bookmarkEnd w:id="14"/>
      <w:bookmarkEnd w:id="15"/>
    </w:p>
    <w:p w14:paraId="4EC70603" w14:textId="77777777" w:rsidR="008F5D36" w:rsidRDefault="008F5D36" w:rsidP="008F5D36">
      <w:pPr>
        <w:jc w:val="both"/>
        <w:rPr>
          <w:lang w:val="es-CR" w:eastAsia="es-CR"/>
        </w:rPr>
      </w:pPr>
    </w:p>
    <w:p w14:paraId="3CF601F5" w14:textId="77777777" w:rsidR="00C255B3" w:rsidRPr="008F5D36" w:rsidRDefault="00C255B3" w:rsidP="008F5D36">
      <w:pPr>
        <w:jc w:val="both"/>
        <w:rPr>
          <w:rFonts w:eastAsia="Calibri"/>
          <w:b/>
          <w:szCs w:val="20"/>
          <w:lang w:val="es-CR" w:eastAsia="es-ES"/>
        </w:rPr>
      </w:pPr>
    </w:p>
    <w:p w14:paraId="443E82B9" w14:textId="77777777" w:rsidR="008F5D36" w:rsidRPr="0095153D" w:rsidRDefault="008F5D36" w:rsidP="008F5D36">
      <w:pPr>
        <w:jc w:val="center"/>
        <w:rPr>
          <w:rFonts w:eastAsia="Calibri"/>
          <w:b/>
          <w:szCs w:val="20"/>
          <w:lang w:val="es-ES_tradnl" w:eastAsia="es-ES"/>
        </w:rPr>
      </w:pPr>
      <w:r w:rsidRPr="0095153D">
        <w:rPr>
          <w:rFonts w:eastAsia="Calibri"/>
          <w:b/>
          <w:szCs w:val="20"/>
          <w:lang w:val="es-ES_tradnl" w:eastAsia="es-ES"/>
        </w:rPr>
        <w:t>RESUMEN OFICIAL EMITIDO POR LA CORTE INTERAMERICANA</w:t>
      </w:r>
    </w:p>
    <w:p w14:paraId="2D29C0AF" w14:textId="77777777" w:rsidR="008F5D36" w:rsidRPr="0095153D" w:rsidRDefault="008F5D36" w:rsidP="008F5D36">
      <w:pPr>
        <w:rPr>
          <w:rFonts w:eastAsia="Calibri"/>
          <w:b/>
          <w:szCs w:val="20"/>
          <w:lang w:val="es-ES_tradnl" w:eastAsia="es-ES"/>
        </w:rPr>
      </w:pPr>
    </w:p>
    <w:p w14:paraId="481964A3" w14:textId="06025643" w:rsidR="00C255B3" w:rsidRPr="00C255B3" w:rsidRDefault="008F5D36" w:rsidP="00C255B3">
      <w:pPr>
        <w:jc w:val="both"/>
        <w:rPr>
          <w:rFonts w:cs="Arial"/>
          <w:lang w:val="es-CR"/>
        </w:rPr>
      </w:pPr>
      <w:r w:rsidRPr="0095153D">
        <w:rPr>
          <w:szCs w:val="20"/>
          <w:lang w:val="es-CO"/>
        </w:rPr>
        <w:t xml:space="preserve">El </w:t>
      </w:r>
      <w:r w:rsidR="00C255B3">
        <w:rPr>
          <w:szCs w:val="20"/>
          <w:lang w:val="es-CO"/>
        </w:rPr>
        <w:t>29</w:t>
      </w:r>
      <w:r>
        <w:rPr>
          <w:szCs w:val="20"/>
          <w:lang w:val="es-CO"/>
        </w:rPr>
        <w:t xml:space="preserve"> de </w:t>
      </w:r>
      <w:r w:rsidR="00C255B3">
        <w:rPr>
          <w:szCs w:val="20"/>
          <w:lang w:val="es-CO"/>
        </w:rPr>
        <w:t xml:space="preserve">noviembre </w:t>
      </w:r>
      <w:r w:rsidR="00F14BC4">
        <w:rPr>
          <w:szCs w:val="20"/>
          <w:lang w:val="es-CO"/>
        </w:rPr>
        <w:t>de 201</w:t>
      </w:r>
      <w:r w:rsidR="00B01BB9">
        <w:rPr>
          <w:szCs w:val="20"/>
          <w:lang w:val="es-CO"/>
        </w:rPr>
        <w:t>6</w:t>
      </w:r>
      <w:r w:rsidRPr="0095153D">
        <w:rPr>
          <w:szCs w:val="20"/>
          <w:lang w:val="es-CO"/>
        </w:rPr>
        <w:t xml:space="preserve"> la Corte Interamericana de Derechos Humanos (en adelante “la Corte Interamericana”, “la Corte” o “este Tribunal”) dictó una Sen</w:t>
      </w:r>
      <w:r w:rsidR="00B01BB9">
        <w:rPr>
          <w:szCs w:val="20"/>
          <w:lang w:val="es-CO"/>
        </w:rPr>
        <w:t>tencia mediante la cual declaró</w:t>
      </w:r>
      <w:r w:rsidRPr="0095153D">
        <w:rPr>
          <w:szCs w:val="20"/>
          <w:lang w:val="es-CO"/>
        </w:rPr>
        <w:t xml:space="preserve"> </w:t>
      </w:r>
      <w:r w:rsidR="00F14BC4">
        <w:rPr>
          <w:szCs w:val="20"/>
          <w:lang w:val="es-CO"/>
        </w:rPr>
        <w:t>responsable internacionalmente al</w:t>
      </w:r>
      <w:r w:rsidRPr="0095153D">
        <w:rPr>
          <w:szCs w:val="20"/>
          <w:lang w:val="es-CO"/>
        </w:rPr>
        <w:t xml:space="preserve"> Estado de</w:t>
      </w:r>
      <w:r w:rsidR="003877C6">
        <w:rPr>
          <w:szCs w:val="20"/>
          <w:lang w:val="es-CO"/>
        </w:rPr>
        <w:t>l</w:t>
      </w:r>
      <w:r w:rsidRPr="0095153D">
        <w:rPr>
          <w:szCs w:val="20"/>
          <w:lang w:val="es-CO"/>
        </w:rPr>
        <w:t xml:space="preserve"> </w:t>
      </w:r>
      <w:r>
        <w:rPr>
          <w:szCs w:val="20"/>
          <w:lang w:val="es-CO"/>
        </w:rPr>
        <w:t>Ecuador</w:t>
      </w:r>
      <w:r w:rsidRPr="0095153D">
        <w:rPr>
          <w:szCs w:val="20"/>
          <w:lang w:val="es-CO"/>
        </w:rPr>
        <w:t xml:space="preserve"> por</w:t>
      </w:r>
      <w:r w:rsidR="00F14BC4">
        <w:rPr>
          <w:rFonts w:cs="Arial"/>
          <w:lang w:val="es-CR"/>
        </w:rPr>
        <w:t xml:space="preserve">: i) </w:t>
      </w:r>
      <w:r w:rsidR="00C255B3" w:rsidRPr="00C255B3">
        <w:rPr>
          <w:rFonts w:cs="Arial"/>
          <w:lang w:val="es-CR"/>
        </w:rPr>
        <w:t xml:space="preserve">la violación de las garantías judiciales de independencia e imparcialidad, consagradas en el artículo 8.1 de la Convención </w:t>
      </w:r>
      <w:r w:rsidR="00C255B3">
        <w:rPr>
          <w:rFonts w:cs="Arial"/>
          <w:lang w:val="es-CR"/>
        </w:rPr>
        <w:t xml:space="preserve">así como </w:t>
      </w:r>
      <w:r w:rsidR="00C255B3" w:rsidRPr="00C255B3">
        <w:rPr>
          <w:rFonts w:cs="Arial"/>
          <w:lang w:val="es-CR"/>
        </w:rPr>
        <w:t>la violación del derecho a una protección judicial efectiva</w:t>
      </w:r>
      <w:r w:rsidR="00C255B3">
        <w:rPr>
          <w:rFonts w:cs="Arial"/>
          <w:lang w:val="es-CR"/>
        </w:rPr>
        <w:t>,</w:t>
      </w:r>
      <w:r w:rsidR="00C255B3" w:rsidRPr="00C255B3">
        <w:rPr>
          <w:rFonts w:cs="Arial"/>
          <w:lang w:val="es-CR"/>
        </w:rPr>
        <w:t xml:space="preserve"> consagrado en el artículo 25.1 de la Convención, </w:t>
      </w:r>
      <w:r w:rsidR="00C255B3">
        <w:rPr>
          <w:rFonts w:cs="Arial"/>
          <w:lang w:val="es-CR"/>
        </w:rPr>
        <w:t xml:space="preserve">ambas </w:t>
      </w:r>
      <w:r w:rsidR="00C255B3" w:rsidRPr="00C255B3">
        <w:rPr>
          <w:rFonts w:cs="Arial"/>
          <w:lang w:val="es-CR"/>
        </w:rPr>
        <w:t>en relación con los artículos 1.1 y 2 del mismo instrumento</w:t>
      </w:r>
      <w:r w:rsidR="00C255B3">
        <w:rPr>
          <w:rFonts w:cs="Arial"/>
          <w:lang w:val="es-CR"/>
        </w:rPr>
        <w:t>,</w:t>
      </w:r>
      <w:r w:rsidR="00C255B3" w:rsidRPr="00C255B3">
        <w:rPr>
          <w:lang w:val="es-CR"/>
        </w:rPr>
        <w:t xml:space="preserve"> </w:t>
      </w:r>
      <w:r w:rsidR="00C255B3" w:rsidRPr="000A347B">
        <w:rPr>
          <w:lang w:val="es-CR"/>
        </w:rPr>
        <w:t>en perjuicio de Luis Jorge Valencia Hinojosa y Patricia Trujillo Esparza</w:t>
      </w:r>
      <w:r w:rsidR="00C255B3">
        <w:rPr>
          <w:lang w:val="es-CR"/>
        </w:rPr>
        <w:t xml:space="preserve">; </w:t>
      </w:r>
      <w:r w:rsidR="00C255B3">
        <w:rPr>
          <w:rFonts w:cs="Arial"/>
          <w:lang w:val="es-CR"/>
        </w:rPr>
        <w:t xml:space="preserve">ii) </w:t>
      </w:r>
      <w:r w:rsidR="00C255B3" w:rsidRPr="00C255B3">
        <w:rPr>
          <w:rFonts w:cs="Arial"/>
          <w:lang w:val="es-CR"/>
        </w:rPr>
        <w:t xml:space="preserve">la violación de </w:t>
      </w:r>
      <w:r w:rsidR="00BF159A">
        <w:rPr>
          <w:rFonts w:cs="Arial"/>
          <w:lang w:val="es-CR"/>
        </w:rPr>
        <w:t xml:space="preserve">la </w:t>
      </w:r>
      <w:r w:rsidR="00C255B3" w:rsidRPr="00C255B3">
        <w:rPr>
          <w:rFonts w:cs="Arial"/>
          <w:lang w:val="es-CR"/>
        </w:rPr>
        <w:t>obligación de garantizar el derecho a la vida de Luis Jorge Valencia Hinojosa, consagrado en el artículo 4.1 de la Convención, en relación con el artículo 1.1 del mismo instrumento</w:t>
      </w:r>
      <w:r w:rsidR="00BF159A">
        <w:rPr>
          <w:rFonts w:cs="Arial"/>
          <w:lang w:val="es-CR"/>
        </w:rPr>
        <w:t>, y</w:t>
      </w:r>
      <w:r w:rsidR="00C255B3">
        <w:rPr>
          <w:rFonts w:cs="Arial"/>
          <w:lang w:val="es-CR"/>
        </w:rPr>
        <w:t xml:space="preserve"> </w:t>
      </w:r>
      <w:r w:rsidR="00B01E4D">
        <w:rPr>
          <w:rFonts w:cs="Arial"/>
          <w:lang w:val="es-CR"/>
        </w:rPr>
        <w:t>(</w:t>
      </w:r>
      <w:r w:rsidR="00C255B3">
        <w:rPr>
          <w:rFonts w:cs="Arial"/>
          <w:lang w:val="es-CR"/>
        </w:rPr>
        <w:t xml:space="preserve">iii) </w:t>
      </w:r>
      <w:r w:rsidR="00C255B3" w:rsidRPr="00C255B3">
        <w:rPr>
          <w:rFonts w:cs="Arial"/>
          <w:lang w:val="es-CR"/>
        </w:rPr>
        <w:t>la violación del derecho a la integridad personal, consagrado en el artículo 5.1 de la Convención Americana, en relación con el artículo 1.1 del mismo instrumento, en perjuic</w:t>
      </w:r>
      <w:r w:rsidR="00C255B3">
        <w:rPr>
          <w:rFonts w:cs="Arial"/>
          <w:lang w:val="es-CR"/>
        </w:rPr>
        <w:t>io de Patricia Trujillo Esparza</w:t>
      </w:r>
      <w:r w:rsidR="00C255B3" w:rsidRPr="00C255B3">
        <w:rPr>
          <w:rFonts w:cs="Arial"/>
          <w:lang w:val="es-CR"/>
        </w:rPr>
        <w:t xml:space="preserve">. </w:t>
      </w:r>
    </w:p>
    <w:p w14:paraId="50E3EB61" w14:textId="77777777" w:rsidR="008F5D36" w:rsidRPr="0095153D" w:rsidRDefault="008F5D36" w:rsidP="008F5D36">
      <w:pPr>
        <w:jc w:val="both"/>
        <w:rPr>
          <w:szCs w:val="20"/>
          <w:lang w:val="es-CO"/>
        </w:rPr>
      </w:pPr>
    </w:p>
    <w:p w14:paraId="79C50AE6" w14:textId="35D40FAB" w:rsidR="00866DF7" w:rsidRPr="00866DF7" w:rsidRDefault="00E81A1E" w:rsidP="00866DF7">
      <w:pPr>
        <w:keepNext/>
        <w:keepLines/>
        <w:numPr>
          <w:ilvl w:val="0"/>
          <w:numId w:val="1"/>
        </w:numPr>
        <w:jc w:val="both"/>
        <w:outlineLvl w:val="0"/>
        <w:rPr>
          <w:rFonts w:eastAsia="MS Gothic"/>
          <w:b/>
          <w:bCs/>
          <w:szCs w:val="20"/>
          <w:lang w:val="es-MX" w:eastAsia="es-ES"/>
        </w:rPr>
      </w:pPr>
      <w:r>
        <w:rPr>
          <w:rFonts w:eastAsia="MS Gothic"/>
          <w:b/>
          <w:bCs/>
          <w:szCs w:val="20"/>
          <w:lang w:val="es-MX" w:eastAsia="es-ES"/>
        </w:rPr>
        <w:t>Excepci</w:t>
      </w:r>
      <w:r w:rsidR="008C2FBD">
        <w:rPr>
          <w:rFonts w:eastAsia="MS Gothic"/>
          <w:b/>
          <w:bCs/>
          <w:szCs w:val="20"/>
          <w:lang w:val="es-MX" w:eastAsia="es-ES"/>
        </w:rPr>
        <w:t>ones</w:t>
      </w:r>
      <w:r w:rsidR="0065066D">
        <w:rPr>
          <w:rFonts w:eastAsia="MS Gothic"/>
          <w:b/>
          <w:bCs/>
          <w:szCs w:val="20"/>
          <w:lang w:val="es-MX" w:eastAsia="es-ES"/>
        </w:rPr>
        <w:t xml:space="preserve"> pre</w:t>
      </w:r>
      <w:r>
        <w:rPr>
          <w:rFonts w:eastAsia="MS Gothic"/>
          <w:b/>
          <w:bCs/>
          <w:szCs w:val="20"/>
          <w:lang w:val="es-MX" w:eastAsia="es-ES"/>
        </w:rPr>
        <w:t>liminar</w:t>
      </w:r>
      <w:r w:rsidR="008C2FBD">
        <w:rPr>
          <w:rFonts w:eastAsia="MS Gothic"/>
          <w:b/>
          <w:bCs/>
          <w:szCs w:val="20"/>
          <w:lang w:val="es-MX" w:eastAsia="es-ES"/>
        </w:rPr>
        <w:t>es</w:t>
      </w:r>
    </w:p>
    <w:p w14:paraId="34284C8B" w14:textId="77777777" w:rsidR="00866DF7" w:rsidRPr="00866DF7" w:rsidRDefault="00866DF7" w:rsidP="00866DF7">
      <w:pPr>
        <w:keepNext/>
        <w:keepLines/>
        <w:ind w:left="1080"/>
        <w:jc w:val="both"/>
        <w:outlineLvl w:val="0"/>
        <w:rPr>
          <w:rFonts w:eastAsia="MS Gothic"/>
          <w:b/>
          <w:bCs/>
          <w:szCs w:val="20"/>
          <w:lang w:val="es-MX" w:eastAsia="es-ES"/>
        </w:rPr>
      </w:pPr>
    </w:p>
    <w:p w14:paraId="503553BD" w14:textId="006B0344" w:rsidR="00866DF7" w:rsidRPr="001D29E7" w:rsidRDefault="00D94E46" w:rsidP="00866DF7">
      <w:pPr>
        <w:pStyle w:val="NoSpacing"/>
        <w:tabs>
          <w:tab w:val="left" w:pos="567"/>
        </w:tabs>
        <w:rPr>
          <w:spacing w:val="-2"/>
          <w:szCs w:val="20"/>
          <w:lang w:val="es-CR"/>
        </w:rPr>
      </w:pPr>
      <w:r>
        <w:rPr>
          <w:szCs w:val="20"/>
          <w:lang w:val="es-CO"/>
        </w:rPr>
        <w:t>E</w:t>
      </w:r>
      <w:r w:rsidR="008F5D36" w:rsidRPr="0095153D">
        <w:rPr>
          <w:szCs w:val="20"/>
          <w:lang w:val="es-CO"/>
        </w:rPr>
        <w:t xml:space="preserve">l Estado interpuso </w:t>
      </w:r>
      <w:r w:rsidR="00866DF7">
        <w:rPr>
          <w:szCs w:val="20"/>
          <w:lang w:val="es-CO"/>
        </w:rPr>
        <w:t xml:space="preserve">dos </w:t>
      </w:r>
      <w:r w:rsidR="00E81A1E">
        <w:rPr>
          <w:szCs w:val="20"/>
          <w:lang w:val="es-CO"/>
        </w:rPr>
        <w:t>excepci</w:t>
      </w:r>
      <w:r w:rsidR="00866DF7">
        <w:rPr>
          <w:szCs w:val="20"/>
          <w:lang w:val="es-CO"/>
        </w:rPr>
        <w:t xml:space="preserve">ones </w:t>
      </w:r>
      <w:bookmarkStart w:id="16" w:name="_Ref462933500"/>
      <w:r w:rsidR="00866DF7" w:rsidRPr="0023443B">
        <w:rPr>
          <w:szCs w:val="20"/>
          <w:lang w:val="es-CR"/>
        </w:rPr>
        <w:t xml:space="preserve">preliminares concernientes </w:t>
      </w:r>
      <w:r w:rsidR="00866DF7">
        <w:rPr>
          <w:szCs w:val="20"/>
          <w:lang w:val="es-CR"/>
        </w:rPr>
        <w:t>en el presente caso:</w:t>
      </w:r>
      <w:r w:rsidR="00866DF7" w:rsidRPr="0023443B">
        <w:rPr>
          <w:szCs w:val="20"/>
          <w:lang w:val="es-CR"/>
        </w:rPr>
        <w:t xml:space="preserve"> </w:t>
      </w:r>
      <w:r w:rsidR="00B73C7B">
        <w:rPr>
          <w:szCs w:val="20"/>
          <w:lang w:val="es-CR"/>
        </w:rPr>
        <w:t>1</w:t>
      </w:r>
      <w:r w:rsidR="00866DF7" w:rsidRPr="0023443B">
        <w:rPr>
          <w:szCs w:val="20"/>
          <w:lang w:val="es-CR"/>
        </w:rPr>
        <w:t xml:space="preserve">) </w:t>
      </w:r>
      <w:r w:rsidR="00866DF7">
        <w:rPr>
          <w:szCs w:val="20"/>
          <w:lang w:val="es-CR"/>
        </w:rPr>
        <w:t xml:space="preserve">la presunta violación del </w:t>
      </w:r>
      <w:r w:rsidR="00866DF7" w:rsidRPr="0023443B">
        <w:rPr>
          <w:szCs w:val="20"/>
          <w:lang w:val="es-CR"/>
        </w:rPr>
        <w:t xml:space="preserve">principio de la “cuarta instancia”, y </w:t>
      </w:r>
      <w:r w:rsidR="00B73C7B">
        <w:rPr>
          <w:szCs w:val="20"/>
          <w:lang w:val="es-CR"/>
        </w:rPr>
        <w:t>2</w:t>
      </w:r>
      <w:r w:rsidR="00866DF7" w:rsidRPr="0023443B">
        <w:rPr>
          <w:szCs w:val="20"/>
          <w:lang w:val="es-CR"/>
        </w:rPr>
        <w:t xml:space="preserve">) </w:t>
      </w:r>
      <w:r w:rsidR="00866DF7">
        <w:rPr>
          <w:szCs w:val="20"/>
          <w:lang w:val="es-CR"/>
        </w:rPr>
        <w:t xml:space="preserve">y la presunta violación de su </w:t>
      </w:r>
      <w:r w:rsidR="00866DF7" w:rsidRPr="0023443B">
        <w:rPr>
          <w:szCs w:val="20"/>
          <w:lang w:val="es-CR"/>
        </w:rPr>
        <w:t xml:space="preserve">debido proceso </w:t>
      </w:r>
      <w:r w:rsidR="00866DF7">
        <w:rPr>
          <w:szCs w:val="20"/>
          <w:lang w:val="es-CR"/>
        </w:rPr>
        <w:t xml:space="preserve">en el trámite </w:t>
      </w:r>
      <w:r w:rsidR="00866DF7" w:rsidRPr="0023443B">
        <w:rPr>
          <w:szCs w:val="20"/>
          <w:lang w:val="es-CR"/>
        </w:rPr>
        <w:t>ante la Comisión Interamericana</w:t>
      </w:r>
      <w:r w:rsidR="00866DF7">
        <w:rPr>
          <w:szCs w:val="20"/>
          <w:lang w:val="es-CR"/>
        </w:rPr>
        <w:t xml:space="preserve">, por </w:t>
      </w:r>
      <w:r w:rsidR="00B73C7B">
        <w:rPr>
          <w:szCs w:val="20"/>
          <w:lang w:val="es-CR"/>
        </w:rPr>
        <w:t xml:space="preserve">i) </w:t>
      </w:r>
      <w:r w:rsidR="00CA28DA">
        <w:rPr>
          <w:lang w:val="es-CR"/>
        </w:rPr>
        <w:t xml:space="preserve">una </w:t>
      </w:r>
      <w:r w:rsidR="00866DF7" w:rsidRPr="001D29E7">
        <w:rPr>
          <w:szCs w:val="20"/>
          <w:lang w:val="es-CR"/>
        </w:rPr>
        <w:t xml:space="preserve">alegada falta de motivación en cuanto a </w:t>
      </w:r>
      <w:r w:rsidR="00CA28DA">
        <w:rPr>
          <w:szCs w:val="20"/>
          <w:lang w:val="es-CR"/>
        </w:rPr>
        <w:t xml:space="preserve">la acumulación de la admisibilidad y el fondo, </w:t>
      </w:r>
      <w:r w:rsidR="00B73C7B">
        <w:rPr>
          <w:szCs w:val="20"/>
          <w:lang w:val="es-CR"/>
        </w:rPr>
        <w:t xml:space="preserve">ii) </w:t>
      </w:r>
      <w:r w:rsidR="00CA28DA">
        <w:rPr>
          <w:szCs w:val="20"/>
          <w:lang w:val="es-CR"/>
        </w:rPr>
        <w:t xml:space="preserve">una </w:t>
      </w:r>
      <w:r w:rsidR="00866DF7" w:rsidRPr="001D29E7">
        <w:rPr>
          <w:szCs w:val="20"/>
          <w:lang w:val="es-CR"/>
        </w:rPr>
        <w:t xml:space="preserve">alegada falta de motivación de la presunta vulneración a los artículos 8 y 25 de la Convención Americana, y </w:t>
      </w:r>
      <w:r w:rsidR="00B73C7B">
        <w:rPr>
          <w:szCs w:val="20"/>
          <w:lang w:val="es-CR"/>
        </w:rPr>
        <w:t xml:space="preserve">(iii) </w:t>
      </w:r>
      <w:r w:rsidR="00CA28DA">
        <w:rPr>
          <w:szCs w:val="20"/>
          <w:lang w:val="es-CR"/>
        </w:rPr>
        <w:t xml:space="preserve">un </w:t>
      </w:r>
      <w:r w:rsidR="00866DF7" w:rsidRPr="001D29E7">
        <w:rPr>
          <w:szCs w:val="20"/>
          <w:lang w:val="es-CR"/>
        </w:rPr>
        <w:t>alegado</w:t>
      </w:r>
      <w:r w:rsidR="00866DF7" w:rsidRPr="001D29E7">
        <w:rPr>
          <w:i/>
          <w:szCs w:val="20"/>
          <w:lang w:val="es-CR"/>
        </w:rPr>
        <w:t xml:space="preserve"> </w:t>
      </w:r>
      <w:r w:rsidR="00866DF7" w:rsidRPr="001D29E7">
        <w:rPr>
          <w:szCs w:val="20"/>
          <w:lang w:val="es-CR"/>
        </w:rPr>
        <w:t xml:space="preserve">retardo injustificado en la tramitación de la causa ante la Comisión. </w:t>
      </w:r>
    </w:p>
    <w:bookmarkEnd w:id="16"/>
    <w:p w14:paraId="2326A5F0" w14:textId="77777777" w:rsidR="00CA28DA" w:rsidRDefault="00CA28DA" w:rsidP="00866DF7">
      <w:pPr>
        <w:pStyle w:val="NoSpacing"/>
        <w:tabs>
          <w:tab w:val="left" w:pos="567"/>
        </w:tabs>
        <w:rPr>
          <w:szCs w:val="20"/>
          <w:lang w:val="es-CR"/>
        </w:rPr>
      </w:pPr>
    </w:p>
    <w:p w14:paraId="6FB1136B" w14:textId="7491ABD1" w:rsidR="00CA28DA" w:rsidRDefault="00CA28DA" w:rsidP="00CA28DA">
      <w:pPr>
        <w:pStyle w:val="NoSpacing"/>
        <w:tabs>
          <w:tab w:val="left" w:pos="567"/>
        </w:tabs>
        <w:rPr>
          <w:szCs w:val="20"/>
          <w:lang w:val="es-CR"/>
        </w:rPr>
      </w:pPr>
      <w:r>
        <w:rPr>
          <w:szCs w:val="20"/>
          <w:lang w:val="es-CR"/>
        </w:rPr>
        <w:t xml:space="preserve">Respecto de la primera excepción, la Corte constató que </w:t>
      </w:r>
      <w:bookmarkStart w:id="17" w:name="_Ref462933440"/>
      <w:r w:rsidRPr="0023443B">
        <w:rPr>
          <w:szCs w:val="20"/>
          <w:lang w:val="es-CR"/>
        </w:rPr>
        <w:t>los argumentos presentados por el Estado guarda</w:t>
      </w:r>
      <w:r>
        <w:rPr>
          <w:szCs w:val="20"/>
          <w:lang w:val="es-CR"/>
        </w:rPr>
        <w:t>ban</w:t>
      </w:r>
      <w:r w:rsidRPr="0023443B">
        <w:rPr>
          <w:szCs w:val="20"/>
          <w:lang w:val="es-CR"/>
        </w:rPr>
        <w:t xml:space="preserve"> relación con las violacione</w:t>
      </w:r>
      <w:r>
        <w:rPr>
          <w:szCs w:val="20"/>
          <w:lang w:val="es-CR"/>
        </w:rPr>
        <w:t xml:space="preserve">s alegadas, por lo cual </w:t>
      </w:r>
      <w:r w:rsidR="00CC3677">
        <w:rPr>
          <w:szCs w:val="20"/>
          <w:lang w:val="es-CR"/>
        </w:rPr>
        <w:t xml:space="preserve">el </w:t>
      </w:r>
      <w:r>
        <w:rPr>
          <w:szCs w:val="20"/>
          <w:lang w:val="es-CR"/>
        </w:rPr>
        <w:t>examen de las mi</w:t>
      </w:r>
      <w:r w:rsidR="00D43E7C">
        <w:rPr>
          <w:szCs w:val="20"/>
          <w:lang w:val="es-CR"/>
        </w:rPr>
        <w:t>s</w:t>
      </w:r>
      <w:r>
        <w:rPr>
          <w:szCs w:val="20"/>
          <w:lang w:val="es-CR"/>
        </w:rPr>
        <w:t xml:space="preserve">mas requería un </w:t>
      </w:r>
      <w:r w:rsidRPr="0023443B">
        <w:rPr>
          <w:rFonts w:cs="Verdana Bold"/>
          <w:bCs/>
          <w:szCs w:val="20"/>
          <w:lang w:val="es-CR"/>
        </w:rPr>
        <w:t>análisis de las etapas procesales internas</w:t>
      </w:r>
      <w:r w:rsidRPr="0023443B">
        <w:rPr>
          <w:szCs w:val="20"/>
          <w:lang w:val="es-CR"/>
        </w:rPr>
        <w:t>, sin que ello represent</w:t>
      </w:r>
      <w:r w:rsidR="00CC3677">
        <w:rPr>
          <w:szCs w:val="20"/>
          <w:lang w:val="es-CR"/>
        </w:rPr>
        <w:t>ara</w:t>
      </w:r>
      <w:r w:rsidRPr="0023443B">
        <w:rPr>
          <w:szCs w:val="20"/>
          <w:lang w:val="es-CR"/>
        </w:rPr>
        <w:t xml:space="preserve"> desconocer el carácter coadyuvante y complementario del sistema interamericano de protección de los derechos humanos o actuar como una cuarta instancia.</w:t>
      </w:r>
    </w:p>
    <w:p w14:paraId="5EA76BEE" w14:textId="7742E1FC" w:rsidR="00CA28DA" w:rsidRDefault="00CA28DA" w:rsidP="00CA28DA">
      <w:pPr>
        <w:pStyle w:val="NoSpacing"/>
        <w:tabs>
          <w:tab w:val="left" w:pos="567"/>
        </w:tabs>
        <w:rPr>
          <w:szCs w:val="20"/>
          <w:lang w:val="es-CR"/>
        </w:rPr>
      </w:pPr>
      <w:r w:rsidRPr="0023443B">
        <w:rPr>
          <w:szCs w:val="20"/>
          <w:lang w:val="es-CR"/>
        </w:rPr>
        <w:t xml:space="preserve"> </w:t>
      </w:r>
    </w:p>
    <w:p w14:paraId="4CCB8640" w14:textId="13795F60" w:rsidR="00CA28DA" w:rsidRPr="00B73C7B" w:rsidRDefault="00CA28DA" w:rsidP="00CA28DA">
      <w:pPr>
        <w:pStyle w:val="NoSpacing"/>
        <w:tabs>
          <w:tab w:val="left" w:pos="567"/>
        </w:tabs>
        <w:rPr>
          <w:spacing w:val="-2"/>
          <w:lang w:val="es-CR"/>
        </w:rPr>
      </w:pPr>
      <w:r>
        <w:rPr>
          <w:szCs w:val="20"/>
          <w:lang w:val="es-CR"/>
        </w:rPr>
        <w:t>Respecto de la segunda excepción preliminar, este Tribunal consideró que</w:t>
      </w:r>
      <w:r w:rsidR="00CC3677">
        <w:rPr>
          <w:szCs w:val="20"/>
          <w:lang w:val="es-CR"/>
        </w:rPr>
        <w:t>:</w:t>
      </w:r>
      <w:r>
        <w:rPr>
          <w:szCs w:val="20"/>
          <w:lang w:val="es-CR"/>
        </w:rPr>
        <w:t xml:space="preserve"> </w:t>
      </w:r>
      <w:r w:rsidR="00B73C7B">
        <w:rPr>
          <w:szCs w:val="20"/>
          <w:lang w:val="es-CR"/>
        </w:rPr>
        <w:t xml:space="preserve">i) </w:t>
      </w:r>
      <w:r w:rsidR="00B73C7B" w:rsidRPr="0023443B">
        <w:rPr>
          <w:szCs w:val="20"/>
          <w:lang w:val="es-CR"/>
        </w:rPr>
        <w:t>el Estado no demostr</w:t>
      </w:r>
      <w:r w:rsidR="00B73C7B">
        <w:rPr>
          <w:szCs w:val="20"/>
          <w:lang w:val="es-CR"/>
        </w:rPr>
        <w:t>ó</w:t>
      </w:r>
      <w:r w:rsidR="00B73C7B" w:rsidRPr="0023443B">
        <w:rPr>
          <w:szCs w:val="20"/>
          <w:lang w:val="es-CR"/>
        </w:rPr>
        <w:t xml:space="preserve"> de qué manera la actuación de la Comisión habría conllevado un error que haya afectado su derecho de defensa ante dicho órgano</w:t>
      </w:r>
      <w:r w:rsidR="00B01E4D">
        <w:rPr>
          <w:szCs w:val="20"/>
          <w:lang w:val="es-CR"/>
        </w:rPr>
        <w:t xml:space="preserve"> o ante la Corte; </w:t>
      </w:r>
      <w:r w:rsidR="00B73C7B">
        <w:rPr>
          <w:szCs w:val="20"/>
          <w:lang w:val="es-CR"/>
        </w:rPr>
        <w:t xml:space="preserve">ii) </w:t>
      </w:r>
      <w:r w:rsidR="00B73C7B" w:rsidRPr="0023443B">
        <w:rPr>
          <w:rFonts w:eastAsia="Times New Roman"/>
          <w:lang w:val="es-CR"/>
        </w:rPr>
        <w:t xml:space="preserve">lo planteado por el Estado constituye una </w:t>
      </w:r>
      <w:r w:rsidR="00B73C7B" w:rsidRPr="0023443B">
        <w:rPr>
          <w:lang w:val="es-CR"/>
        </w:rPr>
        <w:t>discrepancia de criterios frente a lo fundamentado y decidido por la Comisión</w:t>
      </w:r>
      <w:r w:rsidR="00B73C7B">
        <w:rPr>
          <w:lang w:val="es-CR"/>
        </w:rPr>
        <w:t xml:space="preserve">, por lo cual </w:t>
      </w:r>
      <w:r w:rsidR="00B73C7B" w:rsidRPr="0023443B">
        <w:rPr>
          <w:lang w:val="es-CR"/>
        </w:rPr>
        <w:t>deben ser examinados en el análisis de fondo del caso y n</w:t>
      </w:r>
      <w:r w:rsidR="00B73C7B">
        <w:rPr>
          <w:lang w:val="es-CR"/>
        </w:rPr>
        <w:t>o co</w:t>
      </w:r>
      <w:r w:rsidR="00B01E4D">
        <w:rPr>
          <w:lang w:val="es-CR"/>
        </w:rPr>
        <w:t xml:space="preserve">mo una excepción preliminar, y </w:t>
      </w:r>
      <w:r w:rsidR="00B73C7B">
        <w:rPr>
          <w:lang w:val="es-CR"/>
        </w:rPr>
        <w:t>iii)</w:t>
      </w:r>
      <w:r w:rsidR="00B73C7B">
        <w:rPr>
          <w:spacing w:val="-2"/>
          <w:lang w:val="es-CR"/>
        </w:rPr>
        <w:t xml:space="preserve"> </w:t>
      </w:r>
      <w:r>
        <w:rPr>
          <w:szCs w:val="20"/>
          <w:lang w:val="es-CR"/>
        </w:rPr>
        <w:t xml:space="preserve">si bien </w:t>
      </w:r>
      <w:r w:rsidRPr="001D29E7">
        <w:rPr>
          <w:szCs w:val="20"/>
          <w:lang w:val="es-CR"/>
        </w:rPr>
        <w:t>la demora temporal provoca</w:t>
      </w:r>
      <w:r>
        <w:rPr>
          <w:szCs w:val="20"/>
          <w:lang w:val="es-CR"/>
        </w:rPr>
        <w:t xml:space="preserve"> un debilitamiento de la prueba, dicha </w:t>
      </w:r>
      <w:r w:rsidRPr="001D29E7">
        <w:rPr>
          <w:szCs w:val="20"/>
          <w:lang w:val="es-CR"/>
        </w:rPr>
        <w:t xml:space="preserve">demora afecta de manera más acentuada a las víctimas, </w:t>
      </w:r>
      <w:r>
        <w:rPr>
          <w:szCs w:val="20"/>
          <w:lang w:val="es-CR"/>
        </w:rPr>
        <w:t>y l</w:t>
      </w:r>
      <w:r w:rsidRPr="001D29E7">
        <w:rPr>
          <w:szCs w:val="20"/>
          <w:lang w:val="es-CR"/>
        </w:rPr>
        <w:t xml:space="preserve">a responsabilidad de este efecto no puede recaer en la Comisión, </w:t>
      </w:r>
      <w:r w:rsidR="00B73C7B">
        <w:rPr>
          <w:szCs w:val="20"/>
          <w:lang w:val="es-CR"/>
        </w:rPr>
        <w:t xml:space="preserve">sino que </w:t>
      </w:r>
      <w:r w:rsidR="00D43E7C">
        <w:rPr>
          <w:szCs w:val="20"/>
          <w:lang w:val="es-CR"/>
        </w:rPr>
        <w:t xml:space="preserve">podría provenir </w:t>
      </w:r>
      <w:r w:rsidRPr="001D29E7">
        <w:rPr>
          <w:szCs w:val="20"/>
          <w:lang w:val="es-CR"/>
        </w:rPr>
        <w:t xml:space="preserve">directamente de </w:t>
      </w:r>
      <w:r w:rsidR="00B73C7B">
        <w:rPr>
          <w:szCs w:val="20"/>
          <w:lang w:val="es-CR"/>
        </w:rPr>
        <w:t xml:space="preserve">la </w:t>
      </w:r>
      <w:r w:rsidRPr="001D29E7">
        <w:rPr>
          <w:szCs w:val="20"/>
          <w:lang w:val="es-CR"/>
        </w:rPr>
        <w:lastRenderedPageBreak/>
        <w:t xml:space="preserve">omisión colectiva </w:t>
      </w:r>
      <w:r w:rsidR="00B73C7B">
        <w:rPr>
          <w:szCs w:val="20"/>
          <w:lang w:val="es-CR"/>
        </w:rPr>
        <w:t xml:space="preserve">de los Estados </w:t>
      </w:r>
      <w:r w:rsidRPr="001D29E7">
        <w:rPr>
          <w:szCs w:val="20"/>
          <w:lang w:val="es-CR"/>
        </w:rPr>
        <w:t xml:space="preserve">de proveer a la eficacia del sistema </w:t>
      </w:r>
      <w:r w:rsidR="00B73C7B">
        <w:rPr>
          <w:szCs w:val="20"/>
          <w:lang w:val="es-CR"/>
        </w:rPr>
        <w:t xml:space="preserve">interamericano </w:t>
      </w:r>
      <w:r w:rsidRPr="001D29E7">
        <w:rPr>
          <w:szCs w:val="20"/>
          <w:lang w:val="es-CR"/>
        </w:rPr>
        <w:t xml:space="preserve">mediante la adecuación de su infraestructura material y humana a las crecientes demandas de los beneficiarios de su servicio. </w:t>
      </w:r>
    </w:p>
    <w:bookmarkEnd w:id="17"/>
    <w:p w14:paraId="00C982AD" w14:textId="77777777" w:rsidR="00CA28DA" w:rsidRDefault="00CA28DA" w:rsidP="00866DF7">
      <w:pPr>
        <w:pStyle w:val="NoSpacing"/>
        <w:tabs>
          <w:tab w:val="left" w:pos="567"/>
        </w:tabs>
        <w:rPr>
          <w:szCs w:val="20"/>
          <w:lang w:val="es-CR"/>
        </w:rPr>
      </w:pPr>
    </w:p>
    <w:p w14:paraId="47E42DBF" w14:textId="218B3C90" w:rsidR="00A54BA1" w:rsidRPr="00866DF7" w:rsidRDefault="00CA28DA" w:rsidP="00866DF7">
      <w:pPr>
        <w:pStyle w:val="NoSpacing"/>
        <w:tabs>
          <w:tab w:val="left" w:pos="567"/>
        </w:tabs>
        <w:rPr>
          <w:spacing w:val="-2"/>
          <w:lang w:val="es-CR"/>
        </w:rPr>
      </w:pPr>
      <w:r>
        <w:rPr>
          <w:szCs w:val="20"/>
          <w:lang w:val="es-CR"/>
        </w:rPr>
        <w:t>Por tanto, la Corte desestimó las dos excepciones preliminares interpuestas por Ecuador</w:t>
      </w:r>
      <w:r w:rsidR="001879F6">
        <w:rPr>
          <w:szCs w:val="20"/>
          <w:lang w:val="es-CR"/>
        </w:rPr>
        <w:t>.</w:t>
      </w:r>
    </w:p>
    <w:p w14:paraId="1F726ABF" w14:textId="77777777" w:rsidR="008F5D36" w:rsidRPr="0095153D" w:rsidRDefault="008F5D36" w:rsidP="008F5D36">
      <w:pPr>
        <w:jc w:val="both"/>
        <w:rPr>
          <w:szCs w:val="20"/>
          <w:lang w:val="es-CO"/>
        </w:rPr>
      </w:pPr>
    </w:p>
    <w:p w14:paraId="0375F0BD" w14:textId="77777777" w:rsidR="008F5D36" w:rsidRPr="0095153D" w:rsidRDefault="008F5D36" w:rsidP="008F5D36">
      <w:pPr>
        <w:keepNext/>
        <w:keepLines/>
        <w:numPr>
          <w:ilvl w:val="0"/>
          <w:numId w:val="1"/>
        </w:numPr>
        <w:jc w:val="both"/>
        <w:outlineLvl w:val="1"/>
        <w:rPr>
          <w:rFonts w:eastAsia="MS Gothic"/>
          <w:b/>
          <w:bCs/>
          <w:szCs w:val="20"/>
          <w:lang w:val="es-MX" w:eastAsia="es-ES"/>
        </w:rPr>
      </w:pPr>
      <w:r w:rsidRPr="0095153D">
        <w:rPr>
          <w:rFonts w:eastAsia="MS Gothic"/>
          <w:b/>
          <w:bCs/>
          <w:szCs w:val="20"/>
          <w:lang w:val="es-MX" w:eastAsia="es-ES"/>
        </w:rPr>
        <w:t>Hechos</w:t>
      </w:r>
    </w:p>
    <w:p w14:paraId="65DC5126" w14:textId="77777777" w:rsidR="00C253E1" w:rsidRDefault="00C253E1" w:rsidP="00C253E1">
      <w:pPr>
        <w:jc w:val="both"/>
        <w:rPr>
          <w:szCs w:val="20"/>
          <w:lang w:val="es-CR"/>
        </w:rPr>
      </w:pPr>
    </w:p>
    <w:p w14:paraId="7A6FD8C1" w14:textId="39FD0E73" w:rsidR="00866DF7" w:rsidRPr="0023443B" w:rsidRDefault="00C255B3" w:rsidP="00866DF7">
      <w:pPr>
        <w:pStyle w:val="NoSpacing"/>
        <w:tabs>
          <w:tab w:val="left" w:pos="567"/>
        </w:tabs>
        <w:rPr>
          <w:spacing w:val="-2"/>
          <w:szCs w:val="20"/>
          <w:lang w:val="es-CR"/>
        </w:rPr>
      </w:pPr>
      <w:bookmarkStart w:id="18" w:name="_Ref462932343"/>
      <w:r>
        <w:rPr>
          <w:lang w:val="es-CR"/>
        </w:rPr>
        <w:t>E</w:t>
      </w:r>
      <w:r w:rsidRPr="0023443B">
        <w:rPr>
          <w:lang w:val="es-CR"/>
        </w:rPr>
        <w:t>l señor Valencia Hinojosa era un miembro de la Policía Nacional en servicio activo</w:t>
      </w:r>
      <w:r w:rsidR="00866DF7">
        <w:rPr>
          <w:lang w:val="es-CR"/>
        </w:rPr>
        <w:t xml:space="preserve">, quien falleció en la mañana del 3 de diciembre de 1992, cuando se encontraba de servicio. </w:t>
      </w:r>
      <w:r w:rsidR="00866DF7" w:rsidRPr="0023443B">
        <w:rPr>
          <w:szCs w:val="20"/>
          <w:lang w:val="es-CR"/>
        </w:rPr>
        <w:t xml:space="preserve">Aproximadamente </w:t>
      </w:r>
      <w:r w:rsidR="00866DF7" w:rsidRPr="0023443B">
        <w:rPr>
          <w:spacing w:val="-2"/>
          <w:szCs w:val="20"/>
          <w:lang w:val="es-CR"/>
        </w:rPr>
        <w:t xml:space="preserve">a las </w:t>
      </w:r>
      <w:r w:rsidR="00866DF7">
        <w:rPr>
          <w:spacing w:val="-2"/>
          <w:szCs w:val="20"/>
          <w:lang w:val="es-CR"/>
        </w:rPr>
        <w:t>10:00</w:t>
      </w:r>
      <w:r w:rsidR="00866DF7" w:rsidRPr="0023443B">
        <w:rPr>
          <w:spacing w:val="-2"/>
          <w:szCs w:val="20"/>
          <w:lang w:val="es-CR"/>
        </w:rPr>
        <w:t xml:space="preserve"> de la mañana</w:t>
      </w:r>
      <w:r w:rsidR="00866DF7">
        <w:rPr>
          <w:spacing w:val="-2"/>
          <w:szCs w:val="20"/>
          <w:lang w:val="es-CR"/>
        </w:rPr>
        <w:t>,</w:t>
      </w:r>
      <w:r w:rsidR="00866DF7" w:rsidRPr="0023443B">
        <w:rPr>
          <w:spacing w:val="-2"/>
          <w:szCs w:val="20"/>
          <w:lang w:val="es-CR"/>
        </w:rPr>
        <w:t xml:space="preserve"> </w:t>
      </w:r>
      <w:r w:rsidR="00866DF7">
        <w:rPr>
          <w:spacing w:val="-2"/>
          <w:szCs w:val="20"/>
          <w:lang w:val="es-CR"/>
        </w:rPr>
        <w:t xml:space="preserve">el señor Valencia Hinojosa </w:t>
      </w:r>
      <w:r w:rsidR="00866DF7" w:rsidRPr="0023443B">
        <w:rPr>
          <w:spacing w:val="-2"/>
          <w:szCs w:val="20"/>
          <w:lang w:val="es-CR"/>
        </w:rPr>
        <w:t xml:space="preserve">se encontraba con cuatro personas, incluyendo otro policía </w:t>
      </w:r>
      <w:r w:rsidR="00866DF7" w:rsidRPr="0023443B">
        <w:rPr>
          <w:szCs w:val="20"/>
          <w:lang w:val="es-CR"/>
        </w:rPr>
        <w:t>y dos cabos en un lugar público ingiriendo licor</w:t>
      </w:r>
      <w:r w:rsidR="00866DF7">
        <w:rPr>
          <w:szCs w:val="20"/>
          <w:lang w:val="es-CR"/>
        </w:rPr>
        <w:t xml:space="preserve">, cuando se </w:t>
      </w:r>
      <w:r w:rsidR="00866DF7" w:rsidRPr="0023443B">
        <w:rPr>
          <w:szCs w:val="20"/>
          <w:lang w:val="es-CR"/>
        </w:rPr>
        <w:t>produjo un altercado dentro del grupo. Un capitán de la policía se trasladó al lugar y regresó al cuartel con los policías que se encontraban en estado de embriaguez</w:t>
      </w:r>
      <w:r w:rsidR="00866DF7">
        <w:rPr>
          <w:szCs w:val="20"/>
          <w:lang w:val="es-CR"/>
        </w:rPr>
        <w:t xml:space="preserve">, pero al </w:t>
      </w:r>
      <w:r w:rsidR="00866DF7" w:rsidRPr="0023443B">
        <w:rPr>
          <w:szCs w:val="20"/>
          <w:lang w:val="es-CR"/>
        </w:rPr>
        <w:t>solicit</w:t>
      </w:r>
      <w:r w:rsidR="00866DF7">
        <w:rPr>
          <w:szCs w:val="20"/>
          <w:lang w:val="es-CR"/>
        </w:rPr>
        <w:t>arle</w:t>
      </w:r>
      <w:r w:rsidR="00866DF7" w:rsidRPr="0023443B">
        <w:rPr>
          <w:szCs w:val="20"/>
          <w:lang w:val="es-CR"/>
        </w:rPr>
        <w:t xml:space="preserve"> al señor Valencia Hinojosa que entregara su arma de dotación, este se negó. Seguidamente, el señor Valencia Hinojosa efectuó cuatro disparos, hiriendo en la espalda al </w:t>
      </w:r>
      <w:r w:rsidR="00866DF7">
        <w:rPr>
          <w:szCs w:val="20"/>
          <w:lang w:val="es-CR"/>
        </w:rPr>
        <w:t>c</w:t>
      </w:r>
      <w:r w:rsidR="00866DF7" w:rsidRPr="0023443B">
        <w:rPr>
          <w:szCs w:val="20"/>
          <w:lang w:val="es-CR"/>
        </w:rPr>
        <w:t xml:space="preserve">apitán y a un cabo, </w:t>
      </w:r>
      <w:r w:rsidR="00866DF7">
        <w:rPr>
          <w:szCs w:val="20"/>
          <w:lang w:val="es-CR"/>
        </w:rPr>
        <w:t xml:space="preserve">luego de lo cual </w:t>
      </w:r>
      <w:r w:rsidR="00866DF7" w:rsidRPr="0023443B">
        <w:rPr>
          <w:szCs w:val="20"/>
          <w:lang w:val="es-CR"/>
        </w:rPr>
        <w:t>se dio a la fuga</w:t>
      </w:r>
      <w:r w:rsidR="00866DF7" w:rsidRPr="0023443B">
        <w:rPr>
          <w:rFonts w:cs="Arial"/>
          <w:bCs/>
          <w:szCs w:val="20"/>
          <w:lang w:val="es-CR"/>
        </w:rPr>
        <w:t xml:space="preserve"> </w:t>
      </w:r>
      <w:r w:rsidR="00866DF7">
        <w:rPr>
          <w:spacing w:val="-2"/>
          <w:szCs w:val="20"/>
          <w:lang w:val="es-CR"/>
        </w:rPr>
        <w:t xml:space="preserve">y se refugió </w:t>
      </w:r>
      <w:r w:rsidR="00866DF7" w:rsidRPr="0023443B">
        <w:rPr>
          <w:rFonts w:cs="Arial"/>
          <w:bCs/>
          <w:szCs w:val="20"/>
          <w:lang w:val="es-CR"/>
        </w:rPr>
        <w:t xml:space="preserve">en los dormitorios de los conserjes </w:t>
      </w:r>
      <w:r w:rsidR="00866DF7">
        <w:rPr>
          <w:rFonts w:cs="Arial"/>
          <w:bCs/>
          <w:szCs w:val="20"/>
          <w:lang w:val="es-CR"/>
        </w:rPr>
        <w:t xml:space="preserve">de un </w:t>
      </w:r>
      <w:r w:rsidR="00866DF7" w:rsidRPr="0023443B">
        <w:rPr>
          <w:rFonts w:cs="Arial"/>
          <w:bCs/>
          <w:szCs w:val="20"/>
          <w:lang w:val="es-CR"/>
        </w:rPr>
        <w:t>complejo deportivo. El señor Valencia Hinojosa falleció en dichos dormitorios por un disparo en la cabeza</w:t>
      </w:r>
      <w:r w:rsidR="00866DF7">
        <w:rPr>
          <w:rFonts w:cs="Arial"/>
          <w:bCs/>
          <w:szCs w:val="20"/>
          <w:lang w:val="es-CR"/>
        </w:rPr>
        <w:t>, bajo</w:t>
      </w:r>
      <w:r w:rsidR="00866DF7" w:rsidRPr="0023443B">
        <w:rPr>
          <w:rFonts w:cs="Arial"/>
          <w:bCs/>
          <w:szCs w:val="20"/>
          <w:lang w:val="es-CR"/>
        </w:rPr>
        <w:t xml:space="preserve"> circunstancias </w:t>
      </w:r>
      <w:r w:rsidR="00866DF7">
        <w:rPr>
          <w:rFonts w:cs="Arial"/>
          <w:bCs/>
          <w:szCs w:val="20"/>
          <w:lang w:val="es-CR"/>
        </w:rPr>
        <w:t xml:space="preserve">que fueron </w:t>
      </w:r>
      <w:r w:rsidR="00866DF7" w:rsidRPr="0023443B">
        <w:rPr>
          <w:rFonts w:cs="Arial"/>
          <w:bCs/>
          <w:szCs w:val="20"/>
          <w:lang w:val="es-CR"/>
        </w:rPr>
        <w:t>controvertid</w:t>
      </w:r>
      <w:r w:rsidR="00866DF7">
        <w:rPr>
          <w:rFonts w:cs="Arial"/>
          <w:bCs/>
          <w:szCs w:val="20"/>
          <w:lang w:val="es-CR"/>
        </w:rPr>
        <w:t>a</w:t>
      </w:r>
      <w:r w:rsidR="00866DF7" w:rsidRPr="0023443B">
        <w:rPr>
          <w:rFonts w:cs="Arial"/>
          <w:bCs/>
          <w:szCs w:val="20"/>
          <w:lang w:val="es-CR"/>
        </w:rPr>
        <w:t>s</w:t>
      </w:r>
      <w:r w:rsidR="00866DF7">
        <w:rPr>
          <w:rFonts w:cs="Arial"/>
          <w:bCs/>
          <w:szCs w:val="20"/>
          <w:lang w:val="es-CR"/>
        </w:rPr>
        <w:t xml:space="preserve"> ante esta Corte</w:t>
      </w:r>
      <w:r w:rsidR="00866DF7" w:rsidRPr="0023443B">
        <w:rPr>
          <w:rFonts w:cs="Arial"/>
          <w:bCs/>
          <w:szCs w:val="20"/>
          <w:lang w:val="es-CR"/>
        </w:rPr>
        <w:t xml:space="preserve">. </w:t>
      </w:r>
    </w:p>
    <w:p w14:paraId="376FF281" w14:textId="77777777" w:rsidR="00866DF7" w:rsidRDefault="00866DF7" w:rsidP="00C255B3">
      <w:pPr>
        <w:pStyle w:val="NoSpacing"/>
        <w:tabs>
          <w:tab w:val="left" w:pos="567"/>
        </w:tabs>
        <w:rPr>
          <w:lang w:val="es-CR"/>
        </w:rPr>
      </w:pPr>
    </w:p>
    <w:p w14:paraId="6BE12776" w14:textId="5E88FFDC" w:rsidR="00C255B3" w:rsidRPr="00C255B3" w:rsidRDefault="00C255B3" w:rsidP="00C255B3">
      <w:pPr>
        <w:pStyle w:val="NoSpacing"/>
        <w:tabs>
          <w:tab w:val="left" w:pos="567"/>
        </w:tabs>
        <w:rPr>
          <w:lang w:val="es-CR"/>
        </w:rPr>
      </w:pPr>
      <w:r>
        <w:rPr>
          <w:lang w:val="es-CR"/>
        </w:rPr>
        <w:t xml:space="preserve">Los hechos que llevaron a la muerte del señor Valencia Hinojosa fueron </w:t>
      </w:r>
      <w:r w:rsidRPr="0023443B">
        <w:rPr>
          <w:lang w:val="es-CR"/>
        </w:rPr>
        <w:t>investigad</w:t>
      </w:r>
      <w:r>
        <w:rPr>
          <w:lang w:val="es-CR"/>
        </w:rPr>
        <w:t>os</w:t>
      </w:r>
      <w:r w:rsidRPr="0023443B">
        <w:rPr>
          <w:lang w:val="es-CR"/>
        </w:rPr>
        <w:t xml:space="preserve"> por </w:t>
      </w:r>
      <w:r w:rsidR="00866DF7">
        <w:rPr>
          <w:lang w:val="es-CR"/>
        </w:rPr>
        <w:t xml:space="preserve">una </w:t>
      </w:r>
      <w:r w:rsidRPr="0023443B">
        <w:rPr>
          <w:lang w:val="es-CR"/>
        </w:rPr>
        <w:t>jurisdicción penal policial</w:t>
      </w:r>
      <w:r>
        <w:rPr>
          <w:lang w:val="es-CR"/>
        </w:rPr>
        <w:t>, existente en la época de los hechos en el Ecuador, que era un fuero especial</w:t>
      </w:r>
      <w:r w:rsidRPr="0023443B">
        <w:rPr>
          <w:lang w:val="es-CR"/>
        </w:rPr>
        <w:t xml:space="preserve"> aplicable a los miembros </w:t>
      </w:r>
      <w:r>
        <w:rPr>
          <w:lang w:val="es-CR"/>
        </w:rPr>
        <w:t>de la policía</w:t>
      </w:r>
      <w:r w:rsidRPr="0023443B">
        <w:rPr>
          <w:lang w:val="es-CR"/>
        </w:rPr>
        <w:t xml:space="preserve">. </w:t>
      </w:r>
      <w:r w:rsidR="00866DF7">
        <w:rPr>
          <w:lang w:val="es-CR"/>
        </w:rPr>
        <w:t>Aunque l</w:t>
      </w:r>
      <w:r w:rsidRPr="00AF309D">
        <w:rPr>
          <w:lang w:val="es-CR"/>
        </w:rPr>
        <w:t>as circunstancias de su muerte están controvertidas ante la Corte</w:t>
      </w:r>
      <w:r w:rsidR="00866DF7">
        <w:rPr>
          <w:lang w:val="es-CR"/>
        </w:rPr>
        <w:t xml:space="preserve">, </w:t>
      </w:r>
      <w:r w:rsidRPr="00AF309D">
        <w:rPr>
          <w:lang w:val="es-CR"/>
        </w:rPr>
        <w:t xml:space="preserve">a nivel interno, la jurisdicción penal policial del Ecuador sobreseyó definitivamente la causa </w:t>
      </w:r>
      <w:r>
        <w:rPr>
          <w:lang w:val="es-CR"/>
        </w:rPr>
        <w:t xml:space="preserve">judicial </w:t>
      </w:r>
      <w:r w:rsidRPr="00AF309D">
        <w:rPr>
          <w:lang w:val="es-CR"/>
        </w:rPr>
        <w:t>por la</w:t>
      </w:r>
      <w:r w:rsidRPr="0023443B">
        <w:rPr>
          <w:lang w:val="es-CR"/>
        </w:rPr>
        <w:t xml:space="preserve"> muerte del s</w:t>
      </w:r>
      <w:r w:rsidR="00CC3677">
        <w:rPr>
          <w:lang w:val="es-CR"/>
        </w:rPr>
        <w:t xml:space="preserve">eñor Valencia Hinojosa en 1997, </w:t>
      </w:r>
      <w:r w:rsidRPr="0023443B">
        <w:rPr>
          <w:lang w:val="es-CR"/>
        </w:rPr>
        <w:t xml:space="preserve">considerando que se había tratado de un suicidio por lo que no generaba la responsabilidad penal de ninguno de los policías inicialmente </w:t>
      </w:r>
      <w:r w:rsidR="00CC3677">
        <w:rPr>
          <w:lang w:val="es-CR"/>
        </w:rPr>
        <w:t>sindicados</w:t>
      </w:r>
      <w:r w:rsidRPr="0023443B">
        <w:rPr>
          <w:lang w:val="es-CR"/>
        </w:rPr>
        <w:t>.</w:t>
      </w:r>
      <w:bookmarkEnd w:id="18"/>
      <w:r w:rsidRPr="0023443B">
        <w:rPr>
          <w:lang w:val="es-CR"/>
        </w:rPr>
        <w:t xml:space="preserve"> </w:t>
      </w:r>
    </w:p>
    <w:p w14:paraId="37B3C46B" w14:textId="77777777" w:rsidR="00C255B3" w:rsidRPr="0023443B" w:rsidRDefault="00C255B3" w:rsidP="00C255B3">
      <w:pPr>
        <w:pStyle w:val="NoSpacing"/>
        <w:tabs>
          <w:tab w:val="left" w:pos="567"/>
        </w:tabs>
        <w:rPr>
          <w:spacing w:val="-2"/>
          <w:szCs w:val="20"/>
          <w:lang w:val="es-CR"/>
        </w:rPr>
      </w:pPr>
    </w:p>
    <w:p w14:paraId="7E10D67D" w14:textId="48CC8D56" w:rsidR="00C255B3" w:rsidRPr="00C255B3" w:rsidRDefault="00C255B3" w:rsidP="00C255B3">
      <w:pPr>
        <w:pStyle w:val="NoSpacing"/>
        <w:tabs>
          <w:tab w:val="left" w:pos="567"/>
        </w:tabs>
        <w:rPr>
          <w:spacing w:val="-2"/>
          <w:sz w:val="18"/>
          <w:szCs w:val="18"/>
          <w:lang w:val="es-CR"/>
        </w:rPr>
      </w:pPr>
      <w:bookmarkStart w:id="19" w:name="_Ref462100080"/>
      <w:r>
        <w:rPr>
          <w:spacing w:val="-2"/>
          <w:szCs w:val="20"/>
          <w:lang w:val="es-CR"/>
        </w:rPr>
        <w:t xml:space="preserve">Si </w:t>
      </w:r>
      <w:r w:rsidRPr="0023443B">
        <w:rPr>
          <w:spacing w:val="-2"/>
          <w:szCs w:val="20"/>
          <w:lang w:val="es-CR"/>
        </w:rPr>
        <w:t xml:space="preserve">bien en un principio se inició una investigación por la muerte del señor Valencia </w:t>
      </w:r>
      <w:r w:rsidR="00D43E7C">
        <w:rPr>
          <w:spacing w:val="-2"/>
          <w:szCs w:val="20"/>
          <w:lang w:val="es-CR"/>
        </w:rPr>
        <w:t xml:space="preserve">Hinojosa </w:t>
      </w:r>
      <w:r w:rsidRPr="0023443B">
        <w:rPr>
          <w:spacing w:val="-2"/>
          <w:szCs w:val="20"/>
          <w:lang w:val="es-CR"/>
        </w:rPr>
        <w:t xml:space="preserve">en la jurisdicción ordinaria, dicha investigación fue trasladada y acumulada al proceso que paralelamente se había iniciado en la jurisdicción penal policial. </w:t>
      </w:r>
      <w:bookmarkEnd w:id="19"/>
      <w:r w:rsidRPr="0023443B">
        <w:rPr>
          <w:lang w:val="es-CR"/>
        </w:rPr>
        <w:t xml:space="preserve">A partir de </w:t>
      </w:r>
      <w:r>
        <w:rPr>
          <w:lang w:val="es-CR"/>
        </w:rPr>
        <w:t xml:space="preserve">ese </w:t>
      </w:r>
      <w:r w:rsidRPr="0023443B">
        <w:rPr>
          <w:lang w:val="es-CR"/>
        </w:rPr>
        <w:t xml:space="preserve">momento, la investigación fue desarrollada por un juez </w:t>
      </w:r>
      <w:r>
        <w:rPr>
          <w:lang w:val="es-CR"/>
        </w:rPr>
        <w:t>de instrucción policial, que</w:t>
      </w:r>
      <w:r w:rsidRPr="0023443B">
        <w:rPr>
          <w:lang w:val="es-CR"/>
        </w:rPr>
        <w:t xml:space="preserve"> a la vez </w:t>
      </w:r>
      <w:r>
        <w:rPr>
          <w:lang w:val="es-CR"/>
        </w:rPr>
        <w:t xml:space="preserve">fue </w:t>
      </w:r>
      <w:r w:rsidRPr="0023443B">
        <w:rPr>
          <w:lang w:val="es-CR"/>
        </w:rPr>
        <w:t>quien ordenó el sob</w:t>
      </w:r>
      <w:r>
        <w:rPr>
          <w:lang w:val="es-CR"/>
        </w:rPr>
        <w:t>reseimiento definitivo</w:t>
      </w:r>
      <w:r w:rsidR="0056259E">
        <w:rPr>
          <w:lang w:val="es-CR"/>
        </w:rPr>
        <w:t xml:space="preserve"> en 1996</w:t>
      </w:r>
      <w:r>
        <w:rPr>
          <w:lang w:val="es-CR"/>
        </w:rPr>
        <w:t xml:space="preserve">. </w:t>
      </w:r>
      <w:r w:rsidRPr="0023443B">
        <w:rPr>
          <w:lang w:val="es-CR"/>
        </w:rPr>
        <w:t>Dicho sobreseimiento fue con</w:t>
      </w:r>
      <w:r>
        <w:rPr>
          <w:lang w:val="es-CR"/>
        </w:rPr>
        <w:t>firmado por la Primera Corte Distrital</w:t>
      </w:r>
      <w:r w:rsidRPr="0023443B">
        <w:rPr>
          <w:lang w:val="es-CR"/>
        </w:rPr>
        <w:t xml:space="preserve"> en marzo de 1997, con lo cual culminaron las acciones estatales para investigar la muerte del señor Valencia </w:t>
      </w:r>
      <w:r w:rsidR="00CC3677">
        <w:rPr>
          <w:lang w:val="es-CR"/>
        </w:rPr>
        <w:t xml:space="preserve">Hinojosa </w:t>
      </w:r>
      <w:r w:rsidRPr="0023443B">
        <w:rPr>
          <w:lang w:val="es-CR"/>
        </w:rPr>
        <w:t>a nivel interno</w:t>
      </w:r>
      <w:r>
        <w:rPr>
          <w:lang w:val="es-CR"/>
        </w:rPr>
        <w:t>.</w:t>
      </w:r>
    </w:p>
    <w:p w14:paraId="0771B520" w14:textId="77777777" w:rsidR="00230ACA" w:rsidRPr="00C95463" w:rsidRDefault="00230ACA" w:rsidP="00C36DF5">
      <w:pPr>
        <w:pStyle w:val="PrrafodeSentencia"/>
        <w:spacing w:before="0" w:after="0"/>
        <w:ind w:firstLine="0"/>
        <w:rPr>
          <w:lang w:val="es-ES"/>
        </w:rPr>
      </w:pPr>
      <w:bookmarkStart w:id="20" w:name="_Toc431584636"/>
      <w:bookmarkStart w:id="21" w:name="_Toc431585058"/>
      <w:bookmarkStart w:id="22" w:name="_Toc431646575"/>
      <w:bookmarkStart w:id="23" w:name="_Toc431834654"/>
    </w:p>
    <w:p w14:paraId="405277B0" w14:textId="77777777" w:rsidR="006E028A" w:rsidRDefault="00C36DF5" w:rsidP="006E028A">
      <w:pPr>
        <w:keepNext/>
        <w:keepLines/>
        <w:numPr>
          <w:ilvl w:val="0"/>
          <w:numId w:val="1"/>
        </w:numPr>
        <w:jc w:val="both"/>
        <w:outlineLvl w:val="1"/>
        <w:rPr>
          <w:rFonts w:eastAsia="MS Gothic"/>
          <w:b/>
          <w:bCs/>
          <w:szCs w:val="20"/>
          <w:lang w:val="es-MX" w:eastAsia="es-ES"/>
        </w:rPr>
      </w:pPr>
      <w:r w:rsidRPr="0095153D">
        <w:rPr>
          <w:rFonts w:eastAsia="MS Gothic"/>
          <w:b/>
          <w:bCs/>
          <w:szCs w:val="20"/>
          <w:lang w:val="es-MX" w:eastAsia="es-ES"/>
        </w:rPr>
        <w:t>Fondo</w:t>
      </w:r>
      <w:bookmarkEnd w:id="20"/>
      <w:bookmarkEnd w:id="21"/>
      <w:bookmarkEnd w:id="22"/>
      <w:bookmarkEnd w:id="23"/>
    </w:p>
    <w:p w14:paraId="736FCB02" w14:textId="77777777" w:rsidR="006E028A" w:rsidRDefault="006E028A" w:rsidP="006E028A">
      <w:pPr>
        <w:keepNext/>
        <w:keepLines/>
        <w:jc w:val="both"/>
        <w:outlineLvl w:val="1"/>
        <w:rPr>
          <w:rFonts w:eastAsia="MS Gothic"/>
          <w:b/>
          <w:bCs/>
          <w:szCs w:val="20"/>
          <w:lang w:val="es-MX" w:eastAsia="es-ES"/>
        </w:rPr>
      </w:pPr>
    </w:p>
    <w:p w14:paraId="0985148A" w14:textId="77777777" w:rsidR="006E028A" w:rsidRDefault="006E028A" w:rsidP="006E028A">
      <w:pPr>
        <w:pStyle w:val="ListParagraph"/>
        <w:numPr>
          <w:ilvl w:val="0"/>
          <w:numId w:val="20"/>
        </w:numPr>
        <w:tabs>
          <w:tab w:val="left" w:pos="1418"/>
        </w:tabs>
        <w:ind w:left="993"/>
        <w:jc w:val="both"/>
        <w:rPr>
          <w:b/>
          <w:szCs w:val="20"/>
          <w:lang w:val="es-ES_tradnl"/>
        </w:rPr>
      </w:pPr>
      <w:r>
        <w:rPr>
          <w:b/>
          <w:lang w:val="es-CR"/>
        </w:rPr>
        <w:t>Garantías judiciales y protección judicial</w:t>
      </w:r>
      <w:r w:rsidRPr="008126FC">
        <w:rPr>
          <w:b/>
          <w:lang w:val="es-CR"/>
        </w:rPr>
        <w:t xml:space="preserve">, </w:t>
      </w:r>
      <w:r w:rsidRPr="00DA3A57">
        <w:rPr>
          <w:b/>
          <w:lang w:val="es-CR"/>
        </w:rPr>
        <w:t>en relación con la obligación de respetar y garantizar los derechos y el deber de adoptar d</w:t>
      </w:r>
      <w:r>
        <w:rPr>
          <w:b/>
          <w:lang w:val="es-CR"/>
        </w:rPr>
        <w:t>isposiciones de derecho interno</w:t>
      </w:r>
      <w:r w:rsidRPr="00DA3A57">
        <w:rPr>
          <w:b/>
          <w:szCs w:val="20"/>
          <w:lang w:val="es-ES_tradnl"/>
        </w:rPr>
        <w:t xml:space="preserve"> </w:t>
      </w:r>
    </w:p>
    <w:p w14:paraId="3CE7C607" w14:textId="77777777" w:rsidR="00B73C7B" w:rsidRPr="00DA3A57" w:rsidRDefault="00B73C7B" w:rsidP="00B73C7B">
      <w:pPr>
        <w:pStyle w:val="ListParagraph"/>
        <w:tabs>
          <w:tab w:val="left" w:pos="1418"/>
        </w:tabs>
        <w:ind w:left="993"/>
        <w:jc w:val="both"/>
        <w:rPr>
          <w:b/>
          <w:szCs w:val="20"/>
          <w:lang w:val="es-ES_tradnl"/>
        </w:rPr>
      </w:pPr>
    </w:p>
    <w:p w14:paraId="7477B68C" w14:textId="2B669119" w:rsidR="00B73C7B" w:rsidRPr="0023443B" w:rsidRDefault="00B73C7B" w:rsidP="00B73C7B">
      <w:pPr>
        <w:pStyle w:val="NoSpacing"/>
        <w:tabs>
          <w:tab w:val="left" w:pos="567"/>
        </w:tabs>
        <w:rPr>
          <w:lang w:val="es-CR"/>
        </w:rPr>
      </w:pPr>
      <w:r>
        <w:rPr>
          <w:lang w:val="es-CR"/>
        </w:rPr>
        <w:t xml:space="preserve">La </w:t>
      </w:r>
      <w:r w:rsidRPr="0023443B">
        <w:rPr>
          <w:lang w:val="es-CR"/>
        </w:rPr>
        <w:t xml:space="preserve">jurisdicción penal policial </w:t>
      </w:r>
      <w:r>
        <w:rPr>
          <w:lang w:val="es-CR"/>
        </w:rPr>
        <w:t xml:space="preserve">ecuatoriana </w:t>
      </w:r>
      <w:r w:rsidRPr="0023443B">
        <w:rPr>
          <w:lang w:val="es-CR"/>
        </w:rPr>
        <w:t>que investigó la muerte del señor Valencia Hinojosa no formaba parte del Poder Judicial, sino que era dependiente funcional y administrativamente del Poder Ejecutivo. La mayoría de sus funcionarios eran nombrados por el Ministro de Gobierno, a petición del Comandante General de la Policía Nacional y, si bien estaba compuesto por funcionarios que, en su mayoría tenían formación jurídica, se trataba de oficiales que también en su mayoría se encontraban en servicio activo en la Policía Nacional</w:t>
      </w:r>
      <w:r w:rsidRPr="0023443B">
        <w:rPr>
          <w:szCs w:val="20"/>
          <w:lang w:val="es-CR"/>
        </w:rPr>
        <w:t>.</w:t>
      </w:r>
    </w:p>
    <w:p w14:paraId="2FA31637" w14:textId="77777777" w:rsidR="00B73C7B" w:rsidRPr="0023443B" w:rsidRDefault="00B73C7B" w:rsidP="00B73C7B">
      <w:pPr>
        <w:pStyle w:val="NoSpacing"/>
        <w:tabs>
          <w:tab w:val="left" w:pos="567"/>
        </w:tabs>
        <w:rPr>
          <w:lang w:val="es-CR"/>
        </w:rPr>
      </w:pPr>
    </w:p>
    <w:p w14:paraId="1E98117A" w14:textId="02F314BE" w:rsidR="00B73C7B" w:rsidRDefault="00B73C7B" w:rsidP="00B73C7B">
      <w:pPr>
        <w:pStyle w:val="NoSpacing"/>
        <w:tabs>
          <w:tab w:val="left" w:pos="567"/>
        </w:tabs>
        <w:rPr>
          <w:lang w:val="es-CR"/>
        </w:rPr>
      </w:pPr>
      <w:bookmarkStart w:id="24" w:name="_Ref467779807"/>
      <w:r>
        <w:rPr>
          <w:lang w:val="es-CR"/>
        </w:rPr>
        <w:t xml:space="preserve">La </w:t>
      </w:r>
      <w:r w:rsidRPr="0023443B">
        <w:rPr>
          <w:lang w:val="es-CR"/>
        </w:rPr>
        <w:t>Corte concluy</w:t>
      </w:r>
      <w:r>
        <w:rPr>
          <w:lang w:val="es-CR"/>
        </w:rPr>
        <w:t>ó</w:t>
      </w:r>
      <w:r w:rsidRPr="0023443B">
        <w:rPr>
          <w:lang w:val="es-CR"/>
        </w:rPr>
        <w:t xml:space="preserve"> que la dependencia funcional y administrativa del sistema de justicia policial al Poder </w:t>
      </w:r>
      <w:r w:rsidRPr="00D43E7C">
        <w:rPr>
          <w:lang w:val="es-CR"/>
        </w:rPr>
        <w:t>Ejecutivo</w:t>
      </w:r>
      <w:r w:rsidR="0041044F" w:rsidRPr="00D43E7C">
        <w:rPr>
          <w:lang w:val="es-CR"/>
        </w:rPr>
        <w:t xml:space="preserve">, y la </w:t>
      </w:r>
      <w:r w:rsidR="00D43E7C" w:rsidRPr="00D43E7C">
        <w:rPr>
          <w:lang w:val="es-CR"/>
        </w:rPr>
        <w:t xml:space="preserve">imposibilidad </w:t>
      </w:r>
      <w:r w:rsidR="0041044F" w:rsidRPr="00D43E7C">
        <w:rPr>
          <w:lang w:val="es-CR"/>
        </w:rPr>
        <w:t xml:space="preserve">de </w:t>
      </w:r>
      <w:r w:rsidR="0041044F" w:rsidRPr="00D43E7C">
        <w:rPr>
          <w:szCs w:val="20"/>
          <w:lang w:val="es-CR"/>
        </w:rPr>
        <w:t>solicitar una revisión judicial por parte de la jurisdicción ordinaria,</w:t>
      </w:r>
      <w:r w:rsidR="0041044F" w:rsidRPr="00D43E7C">
        <w:rPr>
          <w:lang w:val="es-CR"/>
        </w:rPr>
        <w:t xml:space="preserve"> </w:t>
      </w:r>
      <w:r w:rsidRPr="00D43E7C">
        <w:rPr>
          <w:lang w:val="es-CR"/>
        </w:rPr>
        <w:t>no garantizaba</w:t>
      </w:r>
      <w:r w:rsidR="0041044F" w:rsidRPr="00D43E7C">
        <w:rPr>
          <w:lang w:val="es-CR"/>
        </w:rPr>
        <w:t>n</w:t>
      </w:r>
      <w:r w:rsidRPr="00D43E7C">
        <w:rPr>
          <w:lang w:val="es-CR"/>
        </w:rPr>
        <w:t xml:space="preserve"> la independencia e imparcialidad institucional de la jurisdicción policial. Además, resaltó que la relación de subordinación y cadena de mando, propia de la Policía Nacional</w:t>
      </w:r>
      <w:r>
        <w:rPr>
          <w:lang w:val="es-CR"/>
        </w:rPr>
        <w:t>,</w:t>
      </w:r>
      <w:r w:rsidRPr="0023443B">
        <w:rPr>
          <w:lang w:val="es-CR"/>
        </w:rPr>
        <w:t xml:space="preserve"> no ofrecía garantías suficientes de independencia e </w:t>
      </w:r>
      <w:r w:rsidRPr="0023443B">
        <w:rPr>
          <w:lang w:val="es-CR"/>
        </w:rPr>
        <w:lastRenderedPageBreak/>
        <w:t xml:space="preserve">imparcialidad de los jueces penales policiales, a nivel personal o individual, debido a: </w:t>
      </w:r>
      <w:r w:rsidR="0041044F">
        <w:rPr>
          <w:lang w:val="es-CR"/>
        </w:rPr>
        <w:t xml:space="preserve">i) </w:t>
      </w:r>
      <w:r w:rsidRPr="0023443B">
        <w:rPr>
          <w:lang w:val="es-CR"/>
        </w:rPr>
        <w:t xml:space="preserve">la manera en que eran nombrados; </w:t>
      </w:r>
      <w:r w:rsidR="0041044F">
        <w:rPr>
          <w:lang w:val="es-CR"/>
        </w:rPr>
        <w:t xml:space="preserve">ii) </w:t>
      </w:r>
      <w:r w:rsidRPr="0023443B">
        <w:rPr>
          <w:lang w:val="es-CR"/>
        </w:rPr>
        <w:t xml:space="preserve">la ausencia de garantías suficientes de estabilidad en el cargo (especialmente para los Juzgados de Distrito, cuyos puestos eran de libre nombramiento y remoción y que, como sucedió en este caso, tenían competencia para determinar la continuación o no de la causa), y </w:t>
      </w:r>
      <w:r w:rsidR="0041044F">
        <w:rPr>
          <w:lang w:val="es-CR"/>
        </w:rPr>
        <w:t xml:space="preserve">iii) </w:t>
      </w:r>
      <w:r w:rsidRPr="0023443B">
        <w:rPr>
          <w:lang w:val="es-CR"/>
        </w:rPr>
        <w:t>el estatus de oficiales en servicio activo de la mayoría de los intervinientes (lo cual generaba la posibilidad que los jueces de distrito, por ejemplo, tuvieran que investigar a funcionarios de mayor jerarquía o a sus mismos</w:t>
      </w:r>
      <w:r w:rsidR="0041044F">
        <w:rPr>
          <w:lang w:val="es-CR"/>
        </w:rPr>
        <w:t xml:space="preserve"> compañeros de promoción)</w:t>
      </w:r>
      <w:bookmarkEnd w:id="24"/>
      <w:r w:rsidR="0041044F">
        <w:rPr>
          <w:lang w:val="es-CR"/>
        </w:rPr>
        <w:t>.</w:t>
      </w:r>
    </w:p>
    <w:p w14:paraId="54FD8CF1" w14:textId="77777777" w:rsidR="00B73C7B" w:rsidRPr="000A347B" w:rsidRDefault="00B73C7B" w:rsidP="00B73C7B">
      <w:pPr>
        <w:pStyle w:val="NoSpacing"/>
        <w:tabs>
          <w:tab w:val="left" w:pos="567"/>
        </w:tabs>
        <w:rPr>
          <w:lang w:val="es-CR"/>
        </w:rPr>
      </w:pPr>
    </w:p>
    <w:p w14:paraId="05CE40CC" w14:textId="3C93F57F" w:rsidR="00B73C7B" w:rsidRPr="0041044F" w:rsidRDefault="0041044F" w:rsidP="00B73C7B">
      <w:pPr>
        <w:pStyle w:val="NoSpacing"/>
        <w:tabs>
          <w:tab w:val="left" w:pos="567"/>
        </w:tabs>
        <w:rPr>
          <w:rFonts w:cs="Times New Roman"/>
          <w:lang w:val="es-CR"/>
        </w:rPr>
      </w:pPr>
      <w:r>
        <w:rPr>
          <w:lang w:val="es-CR"/>
        </w:rPr>
        <w:t xml:space="preserve">Respecto a la protección judicial, </w:t>
      </w:r>
      <w:r w:rsidR="00B73C7B" w:rsidRPr="000A347B">
        <w:rPr>
          <w:lang w:val="es-CR"/>
        </w:rPr>
        <w:t>la Corte tom</w:t>
      </w:r>
      <w:r>
        <w:rPr>
          <w:lang w:val="es-CR"/>
        </w:rPr>
        <w:t>ó</w:t>
      </w:r>
      <w:r w:rsidR="00B73C7B" w:rsidRPr="000A347B">
        <w:rPr>
          <w:lang w:val="es-CR"/>
        </w:rPr>
        <w:t xml:space="preserve"> nota de las conclusiones de la Comisión </w:t>
      </w:r>
      <w:r w:rsidR="00D43E7C">
        <w:rPr>
          <w:lang w:val="es-CR"/>
        </w:rPr>
        <w:t>de la</w:t>
      </w:r>
      <w:r w:rsidR="00B73C7B" w:rsidRPr="000A347B">
        <w:rPr>
          <w:lang w:val="es-CR"/>
        </w:rPr>
        <w:t xml:space="preserve"> Verdad del Ecuador, donde se resaltó que </w:t>
      </w:r>
      <w:bookmarkStart w:id="25" w:name="_Ref453707282"/>
      <w:r w:rsidR="00B73C7B" w:rsidRPr="000A347B">
        <w:rPr>
          <w:lang w:val="es-CR"/>
        </w:rPr>
        <w:t xml:space="preserve">la impunidad por la </w:t>
      </w:r>
      <w:r w:rsidR="00B73C7B" w:rsidRPr="000A347B">
        <w:rPr>
          <w:rFonts w:cs="Times New Roman"/>
          <w:lang w:val="es-CR"/>
        </w:rPr>
        <w:t>“mayor parte de violaciones de derechos humanos cometidas por elementos policiales o militares […] ha sido posible por el mantenimiento de fueros especiales que han permitido que policías y militares sean juzgados en sus propios tribunales, en los que, por lo general</w:t>
      </w:r>
      <w:r w:rsidR="00B73C7B" w:rsidRPr="0023443B">
        <w:rPr>
          <w:rFonts w:cs="Times New Roman"/>
          <w:lang w:val="es-CR"/>
        </w:rPr>
        <w:t>, han sido absueltos [y] se ha mantenido un espíritu de cuerpo que ha sido el principal obstáculo para que se descubra la verdad y se haga justicia”. Además, resalt</w:t>
      </w:r>
      <w:r>
        <w:rPr>
          <w:rFonts w:cs="Times New Roman"/>
          <w:lang w:val="es-CR"/>
        </w:rPr>
        <w:t>ó</w:t>
      </w:r>
      <w:r w:rsidR="00B73C7B" w:rsidRPr="0023443B">
        <w:rPr>
          <w:rFonts w:cs="Times New Roman"/>
          <w:lang w:val="es-CR"/>
        </w:rPr>
        <w:t xml:space="preserve"> que la propia Corte Nacional de Justicia ha concluido que</w:t>
      </w:r>
      <w:r w:rsidR="00B73C7B" w:rsidRPr="0023443B">
        <w:rPr>
          <w:rFonts w:cs="Times New Roman"/>
          <w:color w:val="FF0000"/>
          <w:lang w:val="es-CR"/>
        </w:rPr>
        <w:t xml:space="preserve"> </w:t>
      </w:r>
      <w:r w:rsidR="00B73C7B" w:rsidRPr="0023443B">
        <w:rPr>
          <w:rFonts w:cs="Times New Roman"/>
          <w:lang w:val="es-CR"/>
        </w:rPr>
        <w:t>la jurisdicción penal policial “</w:t>
      </w:r>
      <w:r w:rsidR="00B73C7B" w:rsidRPr="0023443B">
        <w:rPr>
          <w:rFonts w:cs="Arial Narrow"/>
          <w:color w:val="000000"/>
          <w:szCs w:val="20"/>
          <w:lang w:val="es-CR"/>
        </w:rPr>
        <w:t>no se encontraba revestid[a] de autonomía e independencia”.</w:t>
      </w:r>
      <w:r>
        <w:rPr>
          <w:rFonts w:cs="Times New Roman"/>
          <w:lang w:val="es-CR"/>
        </w:rPr>
        <w:t xml:space="preserve"> Por tanto, concluyó </w:t>
      </w:r>
      <w:r w:rsidR="00B73C7B" w:rsidRPr="0023443B">
        <w:rPr>
          <w:lang w:val="es-CR"/>
        </w:rPr>
        <w:t xml:space="preserve">que en este caso no se proveyó de un recurso efectivo a los familiares de la víctima, frente a la posible violación de sus derechos humanos. </w:t>
      </w:r>
    </w:p>
    <w:p w14:paraId="54989817" w14:textId="77777777" w:rsidR="00B73C7B" w:rsidRPr="0023443B" w:rsidRDefault="00B73C7B" w:rsidP="00B73C7B">
      <w:pPr>
        <w:pStyle w:val="NoSpacing"/>
        <w:tabs>
          <w:tab w:val="left" w:pos="567"/>
        </w:tabs>
        <w:rPr>
          <w:lang w:val="es-CR"/>
        </w:rPr>
      </w:pPr>
    </w:p>
    <w:p w14:paraId="7D0F9D38" w14:textId="78777365" w:rsidR="00B73C7B" w:rsidRPr="000A347B" w:rsidRDefault="00891586" w:rsidP="00B73C7B">
      <w:pPr>
        <w:pStyle w:val="NoSpacing"/>
        <w:tabs>
          <w:tab w:val="left" w:pos="567"/>
        </w:tabs>
        <w:rPr>
          <w:lang w:val="es-CR"/>
        </w:rPr>
      </w:pPr>
      <w:bookmarkStart w:id="26" w:name="_Ref467780391"/>
      <w:r>
        <w:rPr>
          <w:lang w:val="es-CR"/>
        </w:rPr>
        <w:t xml:space="preserve">Por otra parte, </w:t>
      </w:r>
      <w:r w:rsidR="0041044F">
        <w:rPr>
          <w:lang w:val="es-CR"/>
        </w:rPr>
        <w:t xml:space="preserve">si bien </w:t>
      </w:r>
      <w:r w:rsidR="00B73C7B" w:rsidRPr="0023443B">
        <w:rPr>
          <w:lang w:val="es-CR"/>
        </w:rPr>
        <w:t xml:space="preserve">la Corte </w:t>
      </w:r>
      <w:r w:rsidR="00B73C7B" w:rsidRPr="00A37F28">
        <w:rPr>
          <w:szCs w:val="20"/>
          <w:lang w:val="es-CR"/>
        </w:rPr>
        <w:t>tom</w:t>
      </w:r>
      <w:r w:rsidR="0041044F">
        <w:rPr>
          <w:szCs w:val="20"/>
          <w:lang w:val="es-CR"/>
        </w:rPr>
        <w:t>ó</w:t>
      </w:r>
      <w:r w:rsidR="00B73C7B" w:rsidRPr="00A37F28">
        <w:rPr>
          <w:szCs w:val="20"/>
          <w:lang w:val="es-CR"/>
        </w:rPr>
        <w:t xml:space="preserve"> nota que </w:t>
      </w:r>
      <w:r w:rsidR="0041044F">
        <w:rPr>
          <w:szCs w:val="20"/>
          <w:lang w:val="es-CR"/>
        </w:rPr>
        <w:t xml:space="preserve">Ecuador había </w:t>
      </w:r>
      <w:r w:rsidR="00B73C7B" w:rsidRPr="00A37F28">
        <w:rPr>
          <w:szCs w:val="20"/>
          <w:lang w:val="es-CR"/>
        </w:rPr>
        <w:t>derog</w:t>
      </w:r>
      <w:r w:rsidR="0041044F">
        <w:rPr>
          <w:szCs w:val="20"/>
          <w:lang w:val="es-CR"/>
        </w:rPr>
        <w:t>ado</w:t>
      </w:r>
      <w:r w:rsidR="00B73C7B" w:rsidRPr="00A37F28">
        <w:rPr>
          <w:szCs w:val="20"/>
          <w:lang w:val="es-CR"/>
        </w:rPr>
        <w:t xml:space="preserve"> el fuero policial</w:t>
      </w:r>
      <w:r>
        <w:rPr>
          <w:szCs w:val="20"/>
          <w:lang w:val="es-CR"/>
        </w:rPr>
        <w:t xml:space="preserve"> en 2008</w:t>
      </w:r>
      <w:r w:rsidR="0041044F">
        <w:rPr>
          <w:szCs w:val="20"/>
          <w:lang w:val="es-CR"/>
        </w:rPr>
        <w:t xml:space="preserve">, </w:t>
      </w:r>
      <w:r>
        <w:rPr>
          <w:szCs w:val="20"/>
          <w:lang w:val="es-CR"/>
        </w:rPr>
        <w:t>resaltó</w:t>
      </w:r>
      <w:r w:rsidR="00B73C7B" w:rsidRPr="00A37F28">
        <w:rPr>
          <w:szCs w:val="20"/>
          <w:lang w:val="es-CR"/>
        </w:rPr>
        <w:t xml:space="preserve"> que al momento de los hechos se encontraba vigente dicha jurisdicción, la cual desarrolló y concluyó la investigación por la muerte</w:t>
      </w:r>
      <w:r w:rsidR="00B73C7B" w:rsidRPr="000A347B">
        <w:rPr>
          <w:lang w:val="es-CR"/>
        </w:rPr>
        <w:t xml:space="preserve"> del señor Valencia Hinojosa, en violación de las garantías de independencia e imparcialidad. </w:t>
      </w:r>
      <w:r w:rsidR="0041044F">
        <w:rPr>
          <w:lang w:val="es-CR"/>
        </w:rPr>
        <w:t>Por ello, a</w:t>
      </w:r>
      <w:r w:rsidR="00B73C7B" w:rsidRPr="000A347B">
        <w:rPr>
          <w:lang w:val="es-CR"/>
        </w:rPr>
        <w:t>un cuando valor</w:t>
      </w:r>
      <w:r w:rsidR="0041044F">
        <w:rPr>
          <w:lang w:val="es-CR"/>
        </w:rPr>
        <w:t>ó</w:t>
      </w:r>
      <w:r w:rsidR="00B73C7B" w:rsidRPr="000A347B">
        <w:rPr>
          <w:lang w:val="es-CR"/>
        </w:rPr>
        <w:t xml:space="preserve"> los cambios normativos realizados por el Ecuador, advi</w:t>
      </w:r>
      <w:r>
        <w:rPr>
          <w:lang w:val="es-CR"/>
        </w:rPr>
        <w:t xml:space="preserve">rtió </w:t>
      </w:r>
      <w:r w:rsidR="00B73C7B" w:rsidRPr="000A347B">
        <w:rPr>
          <w:lang w:val="es-CR"/>
        </w:rPr>
        <w:t>que dicha modificación no fue aplicada al caso concreto del señor Valencia Hinojosa</w:t>
      </w:r>
      <w:r>
        <w:rPr>
          <w:lang w:val="es-CR"/>
        </w:rPr>
        <w:t xml:space="preserve">, por lo cual </w:t>
      </w:r>
      <w:r w:rsidR="00B73C7B" w:rsidRPr="000A347B">
        <w:rPr>
          <w:lang w:val="es-CR"/>
        </w:rPr>
        <w:t>consider</w:t>
      </w:r>
      <w:r>
        <w:rPr>
          <w:lang w:val="es-CR"/>
        </w:rPr>
        <w:t>ó</w:t>
      </w:r>
      <w:r w:rsidR="00B73C7B" w:rsidRPr="000A347B">
        <w:rPr>
          <w:lang w:val="es-CR"/>
        </w:rPr>
        <w:t xml:space="preserve"> que el Estado adicionalmente incumplió con su obligación de adecuar su normativa interna a fin de garantizar el acceso a una justicia independiente e imparcial.</w:t>
      </w:r>
      <w:bookmarkEnd w:id="26"/>
      <w:r w:rsidR="00B73C7B" w:rsidRPr="000A347B">
        <w:rPr>
          <w:lang w:val="es-CR"/>
        </w:rPr>
        <w:t xml:space="preserve"> </w:t>
      </w:r>
      <w:bookmarkEnd w:id="25"/>
    </w:p>
    <w:p w14:paraId="5B0F58A4" w14:textId="77777777" w:rsidR="00B73C7B" w:rsidRPr="000A347B" w:rsidRDefault="00B73C7B" w:rsidP="00B73C7B">
      <w:pPr>
        <w:pStyle w:val="NoSpacing"/>
        <w:tabs>
          <w:tab w:val="left" w:pos="567"/>
        </w:tabs>
        <w:rPr>
          <w:lang w:val="es-CR"/>
        </w:rPr>
      </w:pPr>
    </w:p>
    <w:p w14:paraId="724E919C" w14:textId="77777777" w:rsidR="00891586" w:rsidRDefault="00B73C7B" w:rsidP="00B73C7B">
      <w:pPr>
        <w:pStyle w:val="NoSpacing"/>
        <w:tabs>
          <w:tab w:val="left" w:pos="567"/>
        </w:tabs>
        <w:rPr>
          <w:lang w:val="es-CR"/>
        </w:rPr>
      </w:pPr>
      <w:bookmarkStart w:id="27" w:name="_Ref462933293"/>
      <w:r>
        <w:rPr>
          <w:lang w:val="es-CR"/>
        </w:rPr>
        <w:t xml:space="preserve">En consecuencia, </w:t>
      </w:r>
      <w:r w:rsidR="00891586">
        <w:rPr>
          <w:lang w:val="es-CR"/>
        </w:rPr>
        <w:t xml:space="preserve">este Tribunal </w:t>
      </w:r>
      <w:r w:rsidRPr="000A347B">
        <w:rPr>
          <w:lang w:val="es-CR"/>
        </w:rPr>
        <w:t>concluy</w:t>
      </w:r>
      <w:r w:rsidR="00891586">
        <w:rPr>
          <w:lang w:val="es-CR"/>
        </w:rPr>
        <w:t>ó</w:t>
      </w:r>
      <w:r w:rsidRPr="000A347B">
        <w:rPr>
          <w:lang w:val="es-CR"/>
        </w:rPr>
        <w:t xml:space="preserve"> que la investigación de la muerte del señor Valencia Hinojosa y procesamiento de los presuntos responsables por parte de la jurisdicción penal policial violó las garantías de independencia e imparcialidad, consagradas en el artículo 8.1 de la Convención, en relación con los artículos 1.1 y 2 del mismo in</w:t>
      </w:r>
      <w:r w:rsidR="00891586">
        <w:rPr>
          <w:lang w:val="es-CR"/>
        </w:rPr>
        <w:t>s</w:t>
      </w:r>
      <w:r w:rsidRPr="000A347B">
        <w:rPr>
          <w:lang w:val="es-CR"/>
        </w:rPr>
        <w:t>trumento, en perjuicio de Luis Jorge Valencia Hinojosa y Patricia Trujillo Esparza.</w:t>
      </w:r>
      <w:bookmarkStart w:id="28" w:name="_Ref462932391"/>
      <w:bookmarkEnd w:id="27"/>
      <w:r w:rsidR="00891586">
        <w:rPr>
          <w:lang w:val="es-CR"/>
        </w:rPr>
        <w:t xml:space="preserve"> </w:t>
      </w:r>
    </w:p>
    <w:p w14:paraId="4C1D4AA9" w14:textId="77777777" w:rsidR="00891586" w:rsidRDefault="00891586" w:rsidP="00B73C7B">
      <w:pPr>
        <w:pStyle w:val="NoSpacing"/>
        <w:tabs>
          <w:tab w:val="left" w:pos="567"/>
        </w:tabs>
        <w:rPr>
          <w:lang w:val="es-CR"/>
        </w:rPr>
      </w:pPr>
    </w:p>
    <w:p w14:paraId="6D4856C3" w14:textId="122E07EE" w:rsidR="00B73C7B" w:rsidRPr="000A347B" w:rsidRDefault="00B73C7B" w:rsidP="00B73C7B">
      <w:pPr>
        <w:pStyle w:val="NoSpacing"/>
        <w:tabs>
          <w:tab w:val="left" w:pos="567"/>
        </w:tabs>
        <w:rPr>
          <w:lang w:val="es-CR"/>
        </w:rPr>
      </w:pPr>
      <w:r w:rsidRPr="000A347B">
        <w:rPr>
          <w:lang w:val="es-CR"/>
        </w:rPr>
        <w:t>Además, la Corte declar</w:t>
      </w:r>
      <w:r w:rsidR="00891586">
        <w:rPr>
          <w:lang w:val="es-CR"/>
        </w:rPr>
        <w:t>ó</w:t>
      </w:r>
      <w:r w:rsidRPr="000A347B">
        <w:rPr>
          <w:lang w:val="es-CR"/>
        </w:rPr>
        <w:t xml:space="preserve"> que el Estado también </w:t>
      </w:r>
      <w:r w:rsidR="00891586">
        <w:rPr>
          <w:lang w:val="es-CR"/>
        </w:rPr>
        <w:t xml:space="preserve">era </w:t>
      </w:r>
      <w:r w:rsidRPr="000A347B">
        <w:rPr>
          <w:lang w:val="es-CR"/>
        </w:rPr>
        <w:t>responsable de violación del derecho a la protección judicial, consagrado en el artículo 25</w:t>
      </w:r>
      <w:r w:rsidR="00CC3677">
        <w:rPr>
          <w:lang w:val="es-CR"/>
        </w:rPr>
        <w:t>.1</w:t>
      </w:r>
      <w:r w:rsidRPr="000A347B">
        <w:rPr>
          <w:lang w:val="es-CR"/>
        </w:rPr>
        <w:t xml:space="preserve"> de la Convención, en relación con los artículos 1.1 y 2 del mismo instrumento, en perjuicio de Luis Jorge Valencia Hinojosa y Patricia Trujillo Esparza.</w:t>
      </w:r>
      <w:bookmarkEnd w:id="28"/>
    </w:p>
    <w:p w14:paraId="12D96198" w14:textId="77777777" w:rsidR="006E028A" w:rsidRDefault="006E028A" w:rsidP="006E028A">
      <w:pPr>
        <w:jc w:val="both"/>
        <w:rPr>
          <w:szCs w:val="20"/>
          <w:lang w:val="es-MX"/>
        </w:rPr>
      </w:pPr>
    </w:p>
    <w:p w14:paraId="5ADC9994" w14:textId="78E1C3B9" w:rsidR="00B73C7B" w:rsidRPr="00D52AD2" w:rsidRDefault="00B73C7B" w:rsidP="00B73C7B">
      <w:pPr>
        <w:pStyle w:val="NoSpacing"/>
        <w:tabs>
          <w:tab w:val="left" w:pos="567"/>
        </w:tabs>
        <w:rPr>
          <w:rFonts w:eastAsia="MS Mincho" w:cs="Times New Roman"/>
          <w:b/>
          <w:lang w:val="es-CR" w:eastAsia="es-ES"/>
        </w:rPr>
      </w:pPr>
      <w:r>
        <w:rPr>
          <w:szCs w:val="20"/>
        </w:rPr>
        <w:t xml:space="preserve">Finalmente, </w:t>
      </w:r>
      <w:bookmarkStart w:id="29" w:name="_Ref470001048"/>
      <w:r w:rsidRPr="00D52AD2">
        <w:rPr>
          <w:rFonts w:eastAsia="MS Mincho" w:cs="Times New Roman"/>
          <w:lang w:val="es-CR" w:eastAsia="es-ES"/>
        </w:rPr>
        <w:t xml:space="preserve">este Tribunal </w:t>
      </w:r>
      <w:r w:rsidRPr="00D52AD2">
        <w:rPr>
          <w:lang w:val="es-CR"/>
        </w:rPr>
        <w:t>consider</w:t>
      </w:r>
      <w:r w:rsidR="00891586">
        <w:rPr>
          <w:lang w:val="es-CR"/>
        </w:rPr>
        <w:t>ó</w:t>
      </w:r>
      <w:r w:rsidRPr="00D52AD2">
        <w:rPr>
          <w:lang w:val="es-CR"/>
        </w:rPr>
        <w:t xml:space="preserve"> </w:t>
      </w:r>
      <w:r w:rsidR="00891586" w:rsidRPr="00D52AD2">
        <w:rPr>
          <w:lang w:val="es-CR"/>
        </w:rPr>
        <w:t xml:space="preserve">innecesario analizar, de manera adicional, la garantía de competencia o referirse a las otras violaciones </w:t>
      </w:r>
      <w:r w:rsidR="00891586">
        <w:rPr>
          <w:lang w:val="es-CR"/>
        </w:rPr>
        <w:t xml:space="preserve">al debido proceso </w:t>
      </w:r>
      <w:r w:rsidR="00891586" w:rsidRPr="00D52AD2">
        <w:rPr>
          <w:lang w:val="es-CR"/>
        </w:rPr>
        <w:t xml:space="preserve">alegadas </w:t>
      </w:r>
      <w:r w:rsidR="00891586">
        <w:rPr>
          <w:lang w:val="es-CR"/>
        </w:rPr>
        <w:t xml:space="preserve">por la Comisión y los representantes, en el entendido que </w:t>
      </w:r>
      <w:r w:rsidRPr="00D52AD2">
        <w:rPr>
          <w:lang w:val="es-CR"/>
        </w:rPr>
        <w:t xml:space="preserve">al haber declarado que el proceso realizado por la muerte del señor Valencia Hinojosa fue llevado a cabo por autoridades carentes de independencia e imparcialidad se </w:t>
      </w:r>
      <w:r w:rsidR="00891586">
        <w:rPr>
          <w:lang w:val="es-CR"/>
        </w:rPr>
        <w:t xml:space="preserve">estaba </w:t>
      </w:r>
      <w:r w:rsidRPr="00D52AD2">
        <w:rPr>
          <w:lang w:val="es-CR"/>
        </w:rPr>
        <w:t>ante un procedimiento viciado desde su origen</w:t>
      </w:r>
      <w:r w:rsidR="00891586">
        <w:rPr>
          <w:lang w:val="es-CR"/>
        </w:rPr>
        <w:t>.</w:t>
      </w:r>
      <w:r w:rsidRPr="00D52AD2">
        <w:rPr>
          <w:lang w:val="es-CR"/>
        </w:rPr>
        <w:t xml:space="preserve"> </w:t>
      </w:r>
      <w:bookmarkEnd w:id="29"/>
    </w:p>
    <w:p w14:paraId="09AF3344" w14:textId="214E7B4A" w:rsidR="00B73C7B" w:rsidRPr="00B73C7B" w:rsidRDefault="00B73C7B" w:rsidP="006E028A">
      <w:pPr>
        <w:jc w:val="both"/>
        <w:rPr>
          <w:szCs w:val="20"/>
          <w:lang w:val="es-CR"/>
        </w:rPr>
      </w:pPr>
    </w:p>
    <w:p w14:paraId="3881B5D2" w14:textId="77777777" w:rsidR="006E028A" w:rsidRDefault="006E028A" w:rsidP="006E028A">
      <w:pPr>
        <w:pStyle w:val="Heading2"/>
        <w:numPr>
          <w:ilvl w:val="0"/>
          <w:numId w:val="20"/>
        </w:numPr>
        <w:ind w:left="993"/>
        <w:jc w:val="both"/>
        <w:rPr>
          <w:rFonts w:ascii="Verdana" w:hAnsi="Verdana"/>
          <w:bCs/>
          <w:spacing w:val="-4"/>
          <w:lang w:val="es-CO"/>
        </w:rPr>
      </w:pPr>
      <w:bookmarkStart w:id="30" w:name="_Toc427932806"/>
      <w:bookmarkStart w:id="31" w:name="_Toc431584647"/>
      <w:bookmarkStart w:id="32" w:name="_Toc431834665"/>
      <w:r>
        <w:rPr>
          <w:rFonts w:ascii="Verdana" w:hAnsi="Verdana"/>
          <w:bCs/>
          <w:spacing w:val="-4"/>
          <w:lang w:val="es-CO"/>
        </w:rPr>
        <w:t>Derecho a la vida, en relación con la obligación de respetar y garantizar los derechos</w:t>
      </w:r>
      <w:bookmarkEnd w:id="30"/>
      <w:bookmarkEnd w:id="31"/>
      <w:bookmarkEnd w:id="32"/>
    </w:p>
    <w:p w14:paraId="18FF3C6C" w14:textId="77777777" w:rsidR="00E2604A" w:rsidRPr="000A347B" w:rsidRDefault="00E2604A" w:rsidP="00E2604A">
      <w:pPr>
        <w:rPr>
          <w:lang w:val="es-CR" w:eastAsia="es-MX"/>
        </w:rPr>
      </w:pPr>
    </w:p>
    <w:p w14:paraId="12BDA93E" w14:textId="2744DD1E" w:rsidR="00E2604A" w:rsidRPr="007A1650" w:rsidRDefault="00E2604A" w:rsidP="007A1650">
      <w:pPr>
        <w:tabs>
          <w:tab w:val="left" w:pos="567"/>
        </w:tabs>
        <w:jc w:val="both"/>
        <w:rPr>
          <w:rFonts w:eastAsia="Calibri" w:cs="Calibri"/>
          <w:spacing w:val="-2"/>
          <w:szCs w:val="20"/>
          <w:lang w:val="es-CR"/>
        </w:rPr>
      </w:pPr>
      <w:r w:rsidRPr="007A1650">
        <w:rPr>
          <w:lang w:val="es-ES"/>
        </w:rPr>
        <w:t xml:space="preserve">La Corte concluyó que el Estado incumplió su obligación de garantizar el derecho a la vida del señor Valencia Hinojosa, </w:t>
      </w:r>
      <w:r w:rsidR="007A1650" w:rsidRPr="00E2604A">
        <w:rPr>
          <w:rFonts w:eastAsia="Calibri" w:cs="Calibri"/>
          <w:spacing w:val="-2"/>
          <w:szCs w:val="20"/>
          <w:lang w:val="es-CR"/>
        </w:rPr>
        <w:t>al no haber desarrollado una investigación independiente e imparcial por su muerte, ni demostrar la existencia de una regulación adecuada sobre el uso de la fuerza en la época de los hechos</w:t>
      </w:r>
      <w:r w:rsidR="007A1650" w:rsidRPr="007A1650">
        <w:rPr>
          <w:rFonts w:eastAsia="Calibri" w:cs="Calibri"/>
          <w:szCs w:val="20"/>
          <w:lang w:val="es-CR"/>
        </w:rPr>
        <w:t xml:space="preserve">, </w:t>
      </w:r>
      <w:r w:rsidRPr="007A1650">
        <w:rPr>
          <w:lang w:val="es-ES"/>
        </w:rPr>
        <w:t>en contravención de su obligación de garantizar el derecho a la vida, consagrado en el artículo 4</w:t>
      </w:r>
      <w:r w:rsidR="00CC3677">
        <w:rPr>
          <w:lang w:val="es-ES"/>
        </w:rPr>
        <w:t>.1</w:t>
      </w:r>
      <w:r w:rsidRPr="007A1650">
        <w:rPr>
          <w:lang w:val="es-ES"/>
        </w:rPr>
        <w:t xml:space="preserve"> de la Convención Americana, en relación con el artículo 1.1 del mismo instrumento. </w:t>
      </w:r>
    </w:p>
    <w:p w14:paraId="3143991A" w14:textId="77777777" w:rsidR="007A1650" w:rsidRPr="007A1650" w:rsidRDefault="007A1650" w:rsidP="006E028A">
      <w:pPr>
        <w:rPr>
          <w:lang w:val="es-CL" w:eastAsia="es-MX"/>
        </w:rPr>
      </w:pPr>
    </w:p>
    <w:p w14:paraId="3B39DA5E" w14:textId="77777777" w:rsidR="006E028A" w:rsidRPr="006E028A" w:rsidRDefault="006E028A" w:rsidP="006E028A">
      <w:pPr>
        <w:pStyle w:val="Heading2"/>
        <w:numPr>
          <w:ilvl w:val="0"/>
          <w:numId w:val="20"/>
        </w:numPr>
        <w:ind w:left="993"/>
        <w:jc w:val="both"/>
        <w:rPr>
          <w:rFonts w:ascii="Verdana" w:hAnsi="Verdana"/>
          <w:bCs/>
          <w:spacing w:val="-4"/>
          <w:lang w:val="es-CO"/>
        </w:rPr>
      </w:pPr>
      <w:r>
        <w:rPr>
          <w:rFonts w:ascii="Verdana" w:hAnsi="Verdana"/>
          <w:bCs/>
          <w:spacing w:val="-4"/>
          <w:lang w:val="es-CO"/>
        </w:rPr>
        <w:t>Derecho a la integridad personal</w:t>
      </w:r>
      <w:r w:rsidRPr="006E028A">
        <w:rPr>
          <w:rFonts w:ascii="Verdana" w:hAnsi="Verdana"/>
          <w:bCs/>
          <w:spacing w:val="-4"/>
          <w:lang w:val="es-CO"/>
        </w:rPr>
        <w:t xml:space="preserve">, </w:t>
      </w:r>
      <w:r w:rsidRPr="006E028A">
        <w:rPr>
          <w:rFonts w:ascii="Verdana" w:hAnsi="Verdana"/>
          <w:bCs/>
          <w:spacing w:val="-4"/>
          <w:lang w:val="es-ES_tradnl"/>
        </w:rPr>
        <w:t xml:space="preserve">en relación con la obligación de respetar y garantizar los derechos </w:t>
      </w:r>
    </w:p>
    <w:p w14:paraId="22CC0FC1" w14:textId="77777777" w:rsidR="006E028A" w:rsidRDefault="006E028A" w:rsidP="006E028A">
      <w:pPr>
        <w:keepNext/>
        <w:keepLines/>
        <w:jc w:val="both"/>
        <w:outlineLvl w:val="1"/>
        <w:rPr>
          <w:rFonts w:eastAsia="MS Gothic"/>
          <w:b/>
          <w:bCs/>
          <w:szCs w:val="20"/>
          <w:lang w:val="es-CO" w:eastAsia="es-ES"/>
        </w:rPr>
      </w:pPr>
    </w:p>
    <w:p w14:paraId="7961C3D7" w14:textId="6F3D0CE5" w:rsidR="00E2604A" w:rsidRPr="00D43E7C" w:rsidRDefault="00E2604A" w:rsidP="00E2604A">
      <w:pPr>
        <w:tabs>
          <w:tab w:val="left" w:pos="567"/>
        </w:tabs>
        <w:jc w:val="both"/>
        <w:rPr>
          <w:rFonts w:eastAsia="Calibri" w:cs="Calibri"/>
          <w:spacing w:val="-2"/>
          <w:szCs w:val="20"/>
          <w:lang w:val="es-CR"/>
        </w:rPr>
      </w:pPr>
      <w:r w:rsidRPr="00D43E7C">
        <w:rPr>
          <w:rFonts w:eastAsia="Calibri" w:cs="Calibri"/>
          <w:szCs w:val="20"/>
          <w:lang w:val="es-CR"/>
        </w:rPr>
        <w:t xml:space="preserve">La Corte constató que </w:t>
      </w:r>
      <w:r w:rsidRPr="00D43E7C">
        <w:rPr>
          <w:rFonts w:eastAsia="Calibri" w:cs="Calibri"/>
          <w:spacing w:val="-2"/>
          <w:szCs w:val="20"/>
          <w:lang w:val="es-CR"/>
        </w:rPr>
        <w:t xml:space="preserve">la muerte del señor Valencia </w:t>
      </w:r>
      <w:r w:rsidR="00D43E7C" w:rsidRPr="00D43E7C">
        <w:rPr>
          <w:rFonts w:eastAsia="Calibri" w:cs="Calibri"/>
          <w:spacing w:val="-2"/>
          <w:szCs w:val="20"/>
          <w:lang w:val="es-CR"/>
        </w:rPr>
        <w:t xml:space="preserve">Hinojosa </w:t>
      </w:r>
      <w:r w:rsidRPr="00D43E7C">
        <w:rPr>
          <w:rFonts w:eastAsia="Calibri" w:cs="Calibri"/>
          <w:spacing w:val="-2"/>
          <w:szCs w:val="20"/>
          <w:lang w:val="es-CR"/>
        </w:rPr>
        <w:t xml:space="preserve">ocasionó un profundo dolor y sufrimiento a su esposa, quien ha soportado secuelas emocionales y personales como consecuencia de los hechos. Si bien la muerte del señor Valencia </w:t>
      </w:r>
      <w:r w:rsidR="00D43E7C" w:rsidRPr="00D43E7C">
        <w:rPr>
          <w:rFonts w:eastAsia="Calibri" w:cs="Calibri"/>
          <w:spacing w:val="-2"/>
          <w:szCs w:val="20"/>
          <w:lang w:val="es-CR"/>
        </w:rPr>
        <w:t xml:space="preserve">Hinojosa </w:t>
      </w:r>
      <w:r w:rsidRPr="00D43E7C">
        <w:rPr>
          <w:rFonts w:eastAsia="Calibri" w:cs="Calibri"/>
          <w:spacing w:val="-2"/>
          <w:szCs w:val="20"/>
          <w:lang w:val="es-CR"/>
        </w:rPr>
        <w:t>no fue atribuida al Estado, este Tribunal sí concluyó que el Estado había incumplido su obligación de garantizar el derech</w:t>
      </w:r>
      <w:bookmarkStart w:id="33" w:name="_Ref462932782"/>
      <w:r w:rsidRPr="00D43E7C">
        <w:rPr>
          <w:rFonts w:eastAsia="Calibri" w:cs="Calibri"/>
          <w:spacing w:val="-2"/>
          <w:szCs w:val="20"/>
          <w:lang w:val="es-CR"/>
        </w:rPr>
        <w:t>o a la vida del señor Valencia</w:t>
      </w:r>
      <w:r w:rsidR="00D43E7C" w:rsidRPr="00D43E7C">
        <w:rPr>
          <w:rFonts w:eastAsia="Calibri" w:cs="Calibri"/>
          <w:spacing w:val="-2"/>
          <w:szCs w:val="20"/>
          <w:lang w:val="es-CR"/>
        </w:rPr>
        <w:t xml:space="preserve"> Hinojosa</w:t>
      </w:r>
      <w:r w:rsidRPr="00D43E7C">
        <w:rPr>
          <w:rFonts w:eastAsia="Calibri" w:cs="Calibri"/>
          <w:spacing w:val="-2"/>
          <w:szCs w:val="20"/>
          <w:lang w:val="es-CR"/>
        </w:rPr>
        <w:t xml:space="preserve">. </w:t>
      </w:r>
      <w:r w:rsidRPr="00D43E7C">
        <w:rPr>
          <w:rFonts w:eastAsia="Calibri" w:cs="Calibri"/>
          <w:szCs w:val="20"/>
          <w:lang w:val="es-CR"/>
        </w:rPr>
        <w:t>En consecuencia, este Tribunal consideró que el Estado era responsable de una violación del derecho a la integridad personal, consagrado en el artículo 5.1 de la Convención, en relación con el artículo 1.1 de la misma, en perjuicio de Patricia Trujillo Esparza.</w:t>
      </w:r>
      <w:bookmarkEnd w:id="33"/>
    </w:p>
    <w:p w14:paraId="5E810832" w14:textId="77777777" w:rsidR="00E2604A" w:rsidRPr="00E2604A" w:rsidRDefault="00E2604A" w:rsidP="006E028A">
      <w:pPr>
        <w:keepNext/>
        <w:keepLines/>
        <w:jc w:val="both"/>
        <w:outlineLvl w:val="1"/>
        <w:rPr>
          <w:rFonts w:eastAsia="MS Gothic"/>
          <w:b/>
          <w:bCs/>
          <w:szCs w:val="20"/>
          <w:lang w:val="es-CR" w:eastAsia="es-ES"/>
        </w:rPr>
      </w:pPr>
    </w:p>
    <w:p w14:paraId="76D49E5F" w14:textId="36C66079" w:rsidR="008F5D36" w:rsidRPr="006E028A" w:rsidRDefault="0031509D" w:rsidP="006E028A">
      <w:pPr>
        <w:keepNext/>
        <w:keepLines/>
        <w:numPr>
          <w:ilvl w:val="0"/>
          <w:numId w:val="1"/>
        </w:numPr>
        <w:jc w:val="both"/>
        <w:outlineLvl w:val="1"/>
        <w:rPr>
          <w:rFonts w:eastAsia="MS Gothic"/>
          <w:b/>
          <w:bCs/>
          <w:szCs w:val="20"/>
          <w:lang w:val="es-MX" w:eastAsia="es-ES"/>
        </w:rPr>
      </w:pPr>
      <w:r w:rsidRPr="006E028A">
        <w:rPr>
          <w:rFonts w:eastAsia="MS Gothic"/>
          <w:b/>
          <w:bCs/>
          <w:szCs w:val="20"/>
          <w:lang w:val="es-MX" w:eastAsia="es-ES"/>
        </w:rPr>
        <w:t>I</w:t>
      </w:r>
      <w:r w:rsidR="008F5D36" w:rsidRPr="006E028A">
        <w:rPr>
          <w:rFonts w:eastAsia="MS Gothic"/>
          <w:b/>
          <w:bCs/>
          <w:szCs w:val="20"/>
          <w:lang w:val="es-MX" w:eastAsia="es-ES"/>
        </w:rPr>
        <w:t>V. Reparaciones</w:t>
      </w:r>
    </w:p>
    <w:p w14:paraId="55CCA4BC" w14:textId="77777777" w:rsidR="008F5D36" w:rsidRPr="0095153D" w:rsidRDefault="008F5D36" w:rsidP="008F5D36">
      <w:pPr>
        <w:jc w:val="both"/>
        <w:rPr>
          <w:rFonts w:eastAsia="Calibri"/>
          <w:szCs w:val="20"/>
          <w:lang w:val="es-MX" w:eastAsia="es-ES"/>
        </w:rPr>
      </w:pPr>
    </w:p>
    <w:p w14:paraId="629D5458" w14:textId="5262BE30" w:rsidR="008F5D36" w:rsidRDefault="008F5D36" w:rsidP="008F5D36">
      <w:pPr>
        <w:jc w:val="both"/>
        <w:rPr>
          <w:szCs w:val="20"/>
          <w:lang w:val="es-CO"/>
        </w:rPr>
      </w:pPr>
      <w:r w:rsidRPr="0095153D">
        <w:rPr>
          <w:szCs w:val="20"/>
          <w:lang w:val="es-CO"/>
        </w:rPr>
        <w:t>La Corte estableció que su sentencia constituye</w:t>
      </w:r>
      <w:r w:rsidR="008336CF">
        <w:rPr>
          <w:szCs w:val="20"/>
          <w:lang w:val="es-CO"/>
        </w:rPr>
        <w:t xml:space="preserve"> por sí misma</w:t>
      </w:r>
      <w:r w:rsidRPr="0095153D">
        <w:rPr>
          <w:szCs w:val="20"/>
          <w:lang w:val="es-CO"/>
        </w:rPr>
        <w:t xml:space="preserve"> una forma de reparación. Además, ordenó al Estado: </w:t>
      </w:r>
      <w:r w:rsidR="00087F14">
        <w:rPr>
          <w:szCs w:val="20"/>
          <w:lang w:val="es-CO"/>
        </w:rPr>
        <w:t xml:space="preserve">i) </w:t>
      </w:r>
      <w:r w:rsidRPr="0095153D">
        <w:rPr>
          <w:szCs w:val="20"/>
          <w:lang w:val="es-CO"/>
        </w:rPr>
        <w:t xml:space="preserve">publicar la </w:t>
      </w:r>
      <w:r w:rsidR="00FC3D55">
        <w:rPr>
          <w:szCs w:val="20"/>
          <w:lang w:val="es-CO"/>
        </w:rPr>
        <w:t>Sentencia y su resumen oficial</w:t>
      </w:r>
      <w:r w:rsidR="000F3892">
        <w:rPr>
          <w:szCs w:val="20"/>
          <w:lang w:val="es-CO"/>
        </w:rPr>
        <w:t>,</w:t>
      </w:r>
      <w:r w:rsidR="00FC3D55">
        <w:rPr>
          <w:szCs w:val="20"/>
          <w:lang w:val="es-CO"/>
        </w:rPr>
        <w:t xml:space="preserve"> </w:t>
      </w:r>
      <w:r w:rsidR="00B01E4D">
        <w:rPr>
          <w:szCs w:val="20"/>
          <w:lang w:val="es-CO"/>
        </w:rPr>
        <w:t xml:space="preserve">y </w:t>
      </w:r>
      <w:r w:rsidRPr="0095153D">
        <w:rPr>
          <w:szCs w:val="20"/>
          <w:lang w:val="es-CO"/>
        </w:rPr>
        <w:t xml:space="preserve">ii) pagar </w:t>
      </w:r>
      <w:r w:rsidR="005F134C">
        <w:rPr>
          <w:szCs w:val="20"/>
          <w:lang w:val="es-CO"/>
        </w:rPr>
        <w:t xml:space="preserve">las cantidades fijadas </w:t>
      </w:r>
      <w:r w:rsidRPr="0095153D">
        <w:rPr>
          <w:szCs w:val="20"/>
          <w:lang w:val="es-CO"/>
        </w:rPr>
        <w:t>en la Sentencia por concepto de indemnización por daños inmateriales</w:t>
      </w:r>
      <w:r w:rsidR="000F3892">
        <w:rPr>
          <w:szCs w:val="20"/>
          <w:lang w:val="es-CO"/>
        </w:rPr>
        <w:t xml:space="preserve"> y el reintegro </w:t>
      </w:r>
      <w:r w:rsidRPr="0095153D">
        <w:rPr>
          <w:szCs w:val="20"/>
          <w:lang w:val="es-CO"/>
        </w:rPr>
        <w:t xml:space="preserve">de costas y gastos. </w:t>
      </w:r>
    </w:p>
    <w:p w14:paraId="68096807" w14:textId="77777777" w:rsidR="00B11785" w:rsidRDefault="00B11785" w:rsidP="008F5D36">
      <w:pPr>
        <w:jc w:val="both"/>
        <w:rPr>
          <w:szCs w:val="20"/>
          <w:lang w:val="es-CO"/>
        </w:rPr>
      </w:pPr>
    </w:p>
    <w:p w14:paraId="48B9AA6E" w14:textId="77777777" w:rsidR="008F5D36" w:rsidRPr="0095153D" w:rsidRDefault="008F5D36" w:rsidP="008F5D36">
      <w:pPr>
        <w:jc w:val="center"/>
        <w:rPr>
          <w:rFonts w:eastAsia="Calibri"/>
          <w:szCs w:val="20"/>
          <w:lang w:val="es-ES_tradnl" w:eastAsia="es-ES"/>
        </w:rPr>
      </w:pPr>
      <w:r w:rsidRPr="0095153D">
        <w:rPr>
          <w:rFonts w:eastAsia="Calibri"/>
          <w:szCs w:val="20"/>
          <w:lang w:val="es-ES_tradnl" w:eastAsia="es-ES"/>
        </w:rPr>
        <w:t>-----</w:t>
      </w:r>
    </w:p>
    <w:p w14:paraId="15CC1E79" w14:textId="77777777" w:rsidR="008F5D36" w:rsidRPr="0095153D" w:rsidRDefault="008F5D36" w:rsidP="008F5D36">
      <w:pPr>
        <w:jc w:val="center"/>
        <w:rPr>
          <w:rFonts w:eastAsia="Calibri"/>
          <w:szCs w:val="20"/>
          <w:lang w:val="es-ES_tradnl" w:eastAsia="es-ES"/>
        </w:rPr>
      </w:pPr>
    </w:p>
    <w:p w14:paraId="52B9B9A2" w14:textId="77777777" w:rsidR="008F5D36" w:rsidRPr="0095153D" w:rsidRDefault="008F5D36" w:rsidP="008F5D36">
      <w:pPr>
        <w:jc w:val="both"/>
        <w:rPr>
          <w:rFonts w:eastAsia="Calibri"/>
          <w:szCs w:val="20"/>
          <w:lang w:val="es-ES_tradnl" w:eastAsia="es-ES"/>
        </w:rPr>
      </w:pPr>
      <w:r w:rsidRPr="0095153D">
        <w:rPr>
          <w:rFonts w:eastAsia="Calibri"/>
          <w:szCs w:val="20"/>
          <w:lang w:val="es-ES_tradnl" w:eastAsia="es-ES"/>
        </w:rPr>
        <w:t xml:space="preserve">La Corte Interamericana de Derechos Humanos supervisará el cumplimiento íntegro de la Sentencia, en ejercicio de sus atribuciones y en cumplimiento de sus deberes conforme a la Convención Americana sobre Derechos Humanos, y dará por concluido el caso una vez que el Estado haya dado cabal cumplimiento a lo dispuesto en la Sentencia. </w:t>
      </w:r>
    </w:p>
    <w:p w14:paraId="3A13661A" w14:textId="77777777" w:rsidR="008F5D36" w:rsidRPr="0095153D" w:rsidRDefault="008F5D36" w:rsidP="008F5D36">
      <w:pPr>
        <w:jc w:val="both"/>
        <w:rPr>
          <w:rFonts w:eastAsia="Calibri"/>
          <w:szCs w:val="20"/>
          <w:lang w:val="es-ES_tradnl" w:eastAsia="es-ES"/>
        </w:rPr>
      </w:pPr>
    </w:p>
    <w:p w14:paraId="23CFB917" w14:textId="35CCAE3A" w:rsidR="008F5D36" w:rsidRPr="000B46F1" w:rsidRDefault="008F5D36" w:rsidP="000B46F1">
      <w:pPr>
        <w:jc w:val="both"/>
        <w:rPr>
          <w:rFonts w:eastAsia="Calibri"/>
          <w:szCs w:val="20"/>
          <w:lang w:val="es-ES_tradnl" w:eastAsia="es-ES"/>
        </w:rPr>
      </w:pPr>
      <w:r w:rsidRPr="0095153D">
        <w:rPr>
          <w:rFonts w:eastAsia="Calibri"/>
          <w:szCs w:val="20"/>
          <w:lang w:val="es-ES_tradnl" w:eastAsia="es-ES"/>
        </w:rPr>
        <w:t xml:space="preserve">El texto íntegro de la Sentencia puede consultarse en el siguiente enlace: </w:t>
      </w:r>
      <w:hyperlink r:id="rId9" w:history="1">
        <w:r w:rsidRPr="0095153D">
          <w:rPr>
            <w:rFonts w:eastAsia="Calibri"/>
            <w:color w:val="0000FF"/>
            <w:szCs w:val="20"/>
            <w:u w:val="single"/>
            <w:lang w:val="es-ES_tradnl" w:eastAsia="es-ES"/>
          </w:rPr>
          <w:t>http://www.corteidh.or.cr/casos.cfm</w:t>
        </w:r>
      </w:hyperlink>
      <w:r w:rsidRPr="0095153D">
        <w:rPr>
          <w:rFonts w:eastAsia="Calibri"/>
          <w:szCs w:val="20"/>
          <w:lang w:val="es-ES_tradnl" w:eastAsia="es-ES"/>
        </w:rPr>
        <w:t xml:space="preserve"> </w:t>
      </w:r>
    </w:p>
    <w:p w14:paraId="1BC14991" w14:textId="21708420" w:rsidR="005F134C" w:rsidRPr="005F134C" w:rsidRDefault="005F134C">
      <w:pPr>
        <w:rPr>
          <w:lang w:val="es-CR"/>
        </w:rPr>
      </w:pPr>
    </w:p>
    <w:sectPr w:rsidR="005F134C" w:rsidRPr="005F134C" w:rsidSect="00CB4035">
      <w:headerReference w:type="default" r:id="rId10"/>
      <w:headerReference w:type="first" r:id="rId11"/>
      <w:pgSz w:w="12240" w:h="15840"/>
      <w:pgMar w:top="1276" w:right="1418" w:bottom="1134"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D46A78" w14:textId="77777777" w:rsidR="00DA06A7" w:rsidRDefault="00DA06A7" w:rsidP="00213112">
      <w:r>
        <w:separator/>
      </w:r>
    </w:p>
  </w:endnote>
  <w:endnote w:type="continuationSeparator" w:id="0">
    <w:p w14:paraId="6C217DC1" w14:textId="77777777" w:rsidR="00DA06A7" w:rsidRDefault="00DA06A7" w:rsidP="00213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Batang">
    <w:altName w:val="바탕"/>
    <w:panose1 w:val="02030600000101010101"/>
    <w:charset w:val="81"/>
    <w:family w:val="roman"/>
    <w:pitch w:val="variable"/>
    <w:sig w:usb0="B00002AF" w:usb1="69D77CFB" w:usb2="00000030" w:usb3="00000000" w:csb0="0008009F" w:csb1="00000000"/>
  </w:font>
  <w:font w:name="Palatino-Italic">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Bol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31EE00" w14:textId="77777777" w:rsidR="00DA06A7" w:rsidRDefault="00DA06A7" w:rsidP="00213112">
      <w:r>
        <w:separator/>
      </w:r>
    </w:p>
  </w:footnote>
  <w:footnote w:type="continuationSeparator" w:id="0">
    <w:p w14:paraId="071AFD29" w14:textId="77777777" w:rsidR="00DA06A7" w:rsidRDefault="00DA06A7" w:rsidP="00213112">
      <w:r>
        <w:continuationSeparator/>
      </w:r>
    </w:p>
  </w:footnote>
  <w:footnote w:id="1">
    <w:p w14:paraId="225EF972" w14:textId="5C3692FC" w:rsidR="00221658" w:rsidRPr="00CA52FC" w:rsidRDefault="00221658" w:rsidP="00A55E89">
      <w:pPr>
        <w:pStyle w:val="FootnoteText"/>
        <w:tabs>
          <w:tab w:val="left" w:pos="426"/>
        </w:tabs>
        <w:rPr>
          <w:lang w:val="es-ES"/>
        </w:rPr>
      </w:pPr>
      <w:r w:rsidRPr="00CA52FC">
        <w:rPr>
          <w:rStyle w:val="FootnoteReference"/>
        </w:rPr>
        <w:t>*</w:t>
      </w:r>
      <w:r w:rsidRPr="00CA52FC">
        <w:t xml:space="preserve"> </w:t>
      </w:r>
      <w:r w:rsidRPr="00CA52FC">
        <w:tab/>
      </w:r>
      <w:r>
        <w:t>Integrada por los siguientes jueces: Roberto F. Caldas, Presidente; Eduardo Ferrer Mac-</w:t>
      </w:r>
      <w:proofErr w:type="spellStart"/>
      <w:r>
        <w:t>Gregor</w:t>
      </w:r>
      <w:proofErr w:type="spellEnd"/>
      <w:r>
        <w:t xml:space="preserve"> </w:t>
      </w:r>
      <w:proofErr w:type="spellStart"/>
      <w:r>
        <w:t>Poisot</w:t>
      </w:r>
      <w:proofErr w:type="spellEnd"/>
      <w:r>
        <w:t xml:space="preserve">, Vicepresidente; Eduardo Vio Grossi, Juez; Humberto Antonio Sierra Porto, Juez; Elizabeth Odio Benito, Jueza; Eugenio Raúl </w:t>
      </w:r>
      <w:proofErr w:type="spellStart"/>
      <w:r>
        <w:t>Zaffaroni</w:t>
      </w:r>
      <w:proofErr w:type="spellEnd"/>
      <w:r>
        <w:t xml:space="preserve">, Juez. Presentes, además, el Secretario Pablo Saavedra Alessandri y la Secretaria Adjunta Emilia Segares Rodríguez. </w:t>
      </w:r>
      <w:r w:rsidRPr="00CA52FC">
        <w:rPr>
          <w:lang w:val="es-CR" w:eastAsia="en-US"/>
        </w:rPr>
        <w:t>El Juez Patricio Pazmiño Freire, de nacionalidad ecuatoriana, no participó en el conocimiento ni en la deliberación del presente caso, de conformidad con lo dispuesto en el artículo 19.1 del Reglamento de la Corte.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6919876"/>
      <w:docPartObj>
        <w:docPartGallery w:val="Page Numbers (Top of Page)"/>
        <w:docPartUnique/>
      </w:docPartObj>
    </w:sdtPr>
    <w:sdtEndPr>
      <w:rPr>
        <w:noProof/>
      </w:rPr>
    </w:sdtEndPr>
    <w:sdtContent>
      <w:p w14:paraId="2D26B747" w14:textId="6F2B39AF" w:rsidR="00221658" w:rsidRDefault="00221658">
        <w:pPr>
          <w:pStyle w:val="Header"/>
          <w:jc w:val="center"/>
        </w:pPr>
        <w:r>
          <w:t xml:space="preserve">- </w:t>
        </w:r>
        <w:r>
          <w:fldChar w:fldCharType="begin"/>
        </w:r>
        <w:r>
          <w:instrText xml:space="preserve"> PAGE   \* MERGEFORMAT </w:instrText>
        </w:r>
        <w:r>
          <w:fldChar w:fldCharType="separate"/>
        </w:r>
        <w:r w:rsidR="008375B2">
          <w:rPr>
            <w:noProof/>
          </w:rPr>
          <w:t>2</w:t>
        </w:r>
        <w:r>
          <w:rPr>
            <w:noProof/>
          </w:rPr>
          <w:fldChar w:fldCharType="end"/>
        </w:r>
        <w:r>
          <w:rPr>
            <w:noProof/>
          </w:rPr>
          <w:t xml:space="preserve"> -</w:t>
        </w:r>
      </w:p>
    </w:sdtContent>
  </w:sdt>
  <w:p w14:paraId="4151F4BC" w14:textId="77777777" w:rsidR="00221658" w:rsidRDefault="002216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C34F5" w14:textId="7CA3A3EF" w:rsidR="00221658" w:rsidRDefault="00221658" w:rsidP="00B01BB9">
    <w:pPr>
      <w:pStyle w:val="Header"/>
      <w:ind w:hanging="1276"/>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6B66"/>
    <w:multiLevelType w:val="hybridMultilevel"/>
    <w:tmpl w:val="6A6E934C"/>
    <w:lvl w:ilvl="0" w:tplc="6D5CE7FA">
      <w:start w:val="1"/>
      <w:numFmt w:val="decimal"/>
      <w:lvlText w:val="%1."/>
      <w:lvlJc w:val="left"/>
      <w:pPr>
        <w:ind w:left="5130" w:hanging="360"/>
      </w:pPr>
      <w:rPr>
        <w:rFonts w:hint="default"/>
        <w:b w:val="0"/>
        <w:i w:val="0"/>
        <w:strike w:val="0"/>
        <w:color w:val="auto"/>
        <w:sz w:val="20"/>
        <w:szCs w:val="20"/>
        <w:vertAlign w:val="baseline"/>
        <w:lang w:val="es-CR"/>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037A1530"/>
    <w:multiLevelType w:val="hybridMultilevel"/>
    <w:tmpl w:val="38C0782C"/>
    <w:lvl w:ilvl="0" w:tplc="6EAE83CE">
      <w:start w:val="1"/>
      <w:numFmt w:val="upperRoman"/>
      <w:lvlText w:val="%1."/>
      <w:lvlJc w:val="left"/>
      <w:pPr>
        <w:ind w:left="1080" w:hanging="720"/>
      </w:pPr>
      <w:rPr>
        <w:rFonts w:hint="default"/>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50B1F83"/>
    <w:multiLevelType w:val="hybridMultilevel"/>
    <w:tmpl w:val="28EA1F4E"/>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0B137842"/>
    <w:multiLevelType w:val="hybridMultilevel"/>
    <w:tmpl w:val="B1D8364A"/>
    <w:lvl w:ilvl="0" w:tplc="8A94DEBE">
      <w:start w:val="1"/>
      <w:numFmt w:val="lowerLetter"/>
      <w:lvlText w:val="%1."/>
      <w:lvlJc w:val="left"/>
      <w:pPr>
        <w:ind w:left="720" w:hanging="360"/>
      </w:pPr>
      <w:rPr>
        <w:rFonts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0F7F4112"/>
    <w:multiLevelType w:val="hybridMultilevel"/>
    <w:tmpl w:val="5DC27146"/>
    <w:lvl w:ilvl="0" w:tplc="140A0015">
      <w:start w:val="1"/>
      <w:numFmt w:val="upperLetter"/>
      <w:lvlText w:val="%1."/>
      <w:lvlJc w:val="left"/>
      <w:pPr>
        <w:ind w:left="720" w:hanging="360"/>
      </w:pPr>
      <w:rPr>
        <w:rFonts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107F189F"/>
    <w:multiLevelType w:val="hybridMultilevel"/>
    <w:tmpl w:val="1ACEB8FE"/>
    <w:lvl w:ilvl="0" w:tplc="2976F23A">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6">
    <w:nsid w:val="17A55A11"/>
    <w:multiLevelType w:val="hybridMultilevel"/>
    <w:tmpl w:val="5BF663F0"/>
    <w:lvl w:ilvl="0" w:tplc="83E6877E">
      <w:start w:val="1"/>
      <w:numFmt w:val="lowerLetter"/>
      <w:lvlText w:val="%1."/>
      <w:lvlJc w:val="left"/>
      <w:pPr>
        <w:ind w:left="720" w:hanging="360"/>
      </w:pPr>
      <w:rPr>
        <w:rFonts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17BC4D29"/>
    <w:multiLevelType w:val="hybridMultilevel"/>
    <w:tmpl w:val="1090B34E"/>
    <w:lvl w:ilvl="0" w:tplc="6EAE83CE">
      <w:start w:val="1"/>
      <w:numFmt w:val="upperRoman"/>
      <w:lvlText w:val="%1."/>
      <w:lvlJc w:val="left"/>
      <w:pPr>
        <w:ind w:left="1080" w:hanging="720"/>
      </w:pPr>
      <w:rPr>
        <w:rFonts w:hint="default"/>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0BB51D0"/>
    <w:multiLevelType w:val="hybridMultilevel"/>
    <w:tmpl w:val="AE5A2C56"/>
    <w:lvl w:ilvl="0" w:tplc="69962AFE">
      <w:start w:val="1"/>
      <w:numFmt w:val="decimal"/>
      <w:lvlText w:val="%1."/>
      <w:lvlJc w:val="left"/>
      <w:pPr>
        <w:ind w:left="0" w:firstLine="0"/>
      </w:pPr>
      <w:rPr>
        <w:b w:val="0"/>
        <w:i w:val="0"/>
        <w:strike w:val="0"/>
        <w:dstrike w:val="0"/>
        <w:sz w:val="20"/>
        <w:u w:val="none"/>
        <w:effect w:val="none"/>
        <w:lang w:val="es-ES_tradnl"/>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9">
    <w:nsid w:val="20EA7BA2"/>
    <w:multiLevelType w:val="hybridMultilevel"/>
    <w:tmpl w:val="FC62EA48"/>
    <w:lvl w:ilvl="0" w:tplc="4190A54C">
      <w:start w:val="1"/>
      <w:numFmt w:val="lowerLetter"/>
      <w:lvlText w:val="%1."/>
      <w:lvlJc w:val="left"/>
      <w:pPr>
        <w:ind w:left="720" w:hanging="360"/>
      </w:pPr>
      <w:rPr>
        <w:rFonts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24A473A0"/>
    <w:multiLevelType w:val="hybridMultilevel"/>
    <w:tmpl w:val="899E19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6144C9"/>
    <w:multiLevelType w:val="hybridMultilevel"/>
    <w:tmpl w:val="DFC2C88C"/>
    <w:lvl w:ilvl="0" w:tplc="0D003964">
      <w:start w:val="1"/>
      <w:numFmt w:val="decimal"/>
      <w:lvlText w:val="%1."/>
      <w:lvlJc w:val="left"/>
      <w:pPr>
        <w:tabs>
          <w:tab w:val="num" w:pos="12305"/>
        </w:tabs>
        <w:ind w:left="0" w:firstLine="0"/>
      </w:pPr>
      <w:rPr>
        <w:rFonts w:ascii="Verdana" w:eastAsia="Times New Roman" w:hAnsi="Verdana"/>
        <w:b w:val="0"/>
        <w:bCs w:val="0"/>
        <w:i w:val="0"/>
        <w:iCs w:val="0"/>
        <w:strike w:val="0"/>
        <w:dstrike w:val="0"/>
        <w:color w:val="auto"/>
        <w:sz w:val="20"/>
        <w:szCs w:val="20"/>
        <w:u w:val="none"/>
        <w:effect w:val="none"/>
        <w:lang w:val="es-ES"/>
      </w:rPr>
    </w:lvl>
    <w:lvl w:ilvl="1" w:tplc="D8688752">
      <w:start w:val="1"/>
      <w:numFmt w:val="decimal"/>
      <w:lvlText w:val="%2."/>
      <w:lvlJc w:val="left"/>
      <w:pPr>
        <w:tabs>
          <w:tab w:val="num" w:pos="1080"/>
        </w:tabs>
        <w:ind w:left="1080" w:hanging="360"/>
      </w:pPr>
      <w:rPr>
        <w:b/>
        <w:bCs w:val="0"/>
        <w:i w:val="0"/>
        <w:iCs w:val="0"/>
        <w:color w:val="FF0000"/>
        <w:sz w:val="20"/>
        <w:szCs w:val="20"/>
      </w:rPr>
    </w:lvl>
    <w:lvl w:ilvl="2" w:tplc="0409001B">
      <w:start w:val="1"/>
      <w:numFmt w:val="lowerRoman"/>
      <w:lvlText w:val="%3."/>
      <w:lvlJc w:val="right"/>
      <w:pPr>
        <w:tabs>
          <w:tab w:val="num" w:pos="1530"/>
        </w:tabs>
        <w:ind w:left="1530" w:hanging="180"/>
      </w:pPr>
      <w:rPr>
        <w:b w:val="0"/>
        <w:strike w:val="0"/>
        <w:dstrike w:val="0"/>
        <w:u w:val="none"/>
        <w:effect w:val="none"/>
      </w:rPr>
    </w:lvl>
    <w:lvl w:ilvl="3" w:tplc="140A001B">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2D817BBB"/>
    <w:multiLevelType w:val="hybridMultilevel"/>
    <w:tmpl w:val="7DEE7336"/>
    <w:lvl w:ilvl="0" w:tplc="391AE4BE">
      <w:start w:val="1"/>
      <w:numFmt w:val="decimal"/>
      <w:lvlText w:val="%1."/>
      <w:lvlJc w:val="left"/>
      <w:pPr>
        <w:tabs>
          <w:tab w:val="num" w:pos="567"/>
        </w:tabs>
        <w:ind w:left="0" w:firstLine="0"/>
      </w:pPr>
      <w:rPr>
        <w:rFonts w:ascii="Verdana" w:eastAsia="Times New Roman" w:hAnsi="Verdana" w:hint="default"/>
        <w:b w:val="0"/>
        <w:bCs w:val="0"/>
        <w:i w:val="0"/>
        <w:iCs w:val="0"/>
        <w:strike w:val="0"/>
        <w:color w:val="auto"/>
        <w:sz w:val="20"/>
        <w:szCs w:val="20"/>
        <w:lang w:val="es-CR"/>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nsid w:val="2DDF7EE3"/>
    <w:multiLevelType w:val="hybridMultilevel"/>
    <w:tmpl w:val="5F666258"/>
    <w:lvl w:ilvl="0" w:tplc="89002CFE">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nsid w:val="350D7A9D"/>
    <w:multiLevelType w:val="hybridMultilevel"/>
    <w:tmpl w:val="AC26D520"/>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nsid w:val="398A1FFB"/>
    <w:multiLevelType w:val="hybridMultilevel"/>
    <w:tmpl w:val="0C2C2EEE"/>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nsid w:val="459A57B8"/>
    <w:multiLevelType w:val="hybridMultilevel"/>
    <w:tmpl w:val="915869B8"/>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nsid w:val="48D26B43"/>
    <w:multiLevelType w:val="hybridMultilevel"/>
    <w:tmpl w:val="6B8A2C96"/>
    <w:lvl w:ilvl="0" w:tplc="140A0015">
      <w:start w:val="1"/>
      <w:numFmt w:val="upperLetter"/>
      <w:lvlText w:val="%1."/>
      <w:lvlJc w:val="left"/>
      <w:pPr>
        <w:ind w:left="720" w:hanging="360"/>
      </w:pPr>
      <w:rPr>
        <w:rFonts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nsid w:val="53A41471"/>
    <w:multiLevelType w:val="hybridMultilevel"/>
    <w:tmpl w:val="C2A4A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B975E5"/>
    <w:multiLevelType w:val="hybridMultilevel"/>
    <w:tmpl w:val="431C1B14"/>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nsid w:val="67847803"/>
    <w:multiLevelType w:val="hybridMultilevel"/>
    <w:tmpl w:val="4042965A"/>
    <w:lvl w:ilvl="0" w:tplc="BAF82D72">
      <w:start w:val="1"/>
      <w:numFmt w:val="decimal"/>
      <w:lvlText w:val="%1."/>
      <w:lvlJc w:val="left"/>
      <w:pPr>
        <w:ind w:left="930" w:hanging="570"/>
      </w:pPr>
      <w:rPr>
        <w:rFonts w:hint="default"/>
        <w:b w:val="0"/>
        <w:i w:val="0"/>
        <w:color w:val="auto"/>
        <w:lang w:val="es-CR"/>
      </w:rPr>
    </w:lvl>
    <w:lvl w:ilvl="1" w:tplc="35D2116E">
      <w:start w:val="1"/>
      <w:numFmt w:val="lowerLetter"/>
      <w:lvlText w:val="%2)"/>
      <w:lvlJc w:val="left"/>
      <w:pPr>
        <w:ind w:left="1530" w:hanging="360"/>
      </w:pPr>
      <w:rPr>
        <w:rFonts w:hint="default"/>
        <w:b w:val="0"/>
        <w:color w:val="000000" w:themeColor="text1"/>
      </w:rPr>
    </w:lvl>
    <w:lvl w:ilvl="2" w:tplc="70DAD76A">
      <w:start w:val="1"/>
      <w:numFmt w:val="upperLetter"/>
      <w:lvlText w:val="%3."/>
      <w:lvlJc w:val="left"/>
      <w:pPr>
        <w:ind w:left="2340" w:hanging="360"/>
      </w:pPr>
      <w:rPr>
        <w:b/>
        <w:bCs w:val="0"/>
        <w:i/>
        <w:iCs w:val="0"/>
        <w:caps w:val="0"/>
        <w:smallCaps w:val="0"/>
        <w:strike w:val="0"/>
        <w:dstrike w:val="0"/>
        <w:noProof w:val="0"/>
        <w:vanish w:val="0"/>
        <w:color w:val="000000"/>
        <w:spacing w:val="0"/>
        <w:kern w:val="0"/>
        <w:position w:val="0"/>
        <w:u w:val="none"/>
        <w:effect w:val="none"/>
        <w:vertAlign w:val="baseline"/>
        <w:em w:val="none"/>
        <w:specVanish w:val="0"/>
      </w:rPr>
    </w:lvl>
    <w:lvl w:ilvl="3" w:tplc="4F28326A">
      <w:start w:val="1"/>
      <w:numFmt w:val="lowerRoman"/>
      <w:lvlText w:val="%4."/>
      <w:lvlJc w:val="left"/>
      <w:pPr>
        <w:ind w:left="3240" w:hanging="720"/>
      </w:pPr>
      <w:rPr>
        <w:rFonts w:hint="default"/>
        <w:i/>
      </w:r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7"/>
  </w:num>
  <w:num w:numId="2">
    <w:abstractNumId w:val="17"/>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8"/>
  </w:num>
  <w:num w:numId="6">
    <w:abstractNumId w:val="2"/>
  </w:num>
  <w:num w:numId="7">
    <w:abstractNumId w:val="19"/>
  </w:num>
  <w:num w:numId="8">
    <w:abstractNumId w:val="16"/>
  </w:num>
  <w:num w:numId="9">
    <w:abstractNumId w:val="5"/>
  </w:num>
  <w:num w:numId="10">
    <w:abstractNumId w:val="13"/>
  </w:num>
  <w:num w:numId="11">
    <w:abstractNumId w:val="15"/>
  </w:num>
  <w:num w:numId="12">
    <w:abstractNumId w:val="10"/>
  </w:num>
  <w:num w:numId="13">
    <w:abstractNumId w:val="18"/>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1"/>
  </w:num>
  <w:num w:numId="17">
    <w:abstractNumId w:val="6"/>
  </w:num>
  <w:num w:numId="18">
    <w:abstractNumId w:val="9"/>
  </w:num>
  <w:num w:numId="19">
    <w:abstractNumId w:val="3"/>
  </w:num>
  <w:num w:numId="20">
    <w:abstractNumId w:val="4"/>
  </w:num>
  <w:num w:numId="21">
    <w:abstractNumId w:val="1"/>
  </w:num>
  <w:num w:numId="22">
    <w:abstractNumId w:val="2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D36"/>
    <w:rsid w:val="000178E7"/>
    <w:rsid w:val="000312DE"/>
    <w:rsid w:val="00036013"/>
    <w:rsid w:val="0008359A"/>
    <w:rsid w:val="00087F14"/>
    <w:rsid w:val="00093A0B"/>
    <w:rsid w:val="000B46F1"/>
    <w:rsid w:val="000B74BB"/>
    <w:rsid w:val="000D075A"/>
    <w:rsid w:val="000D64D7"/>
    <w:rsid w:val="000E619D"/>
    <w:rsid w:val="000F3892"/>
    <w:rsid w:val="001003B9"/>
    <w:rsid w:val="00127C78"/>
    <w:rsid w:val="00153037"/>
    <w:rsid w:val="00157437"/>
    <w:rsid w:val="00162561"/>
    <w:rsid w:val="00175A27"/>
    <w:rsid w:val="00184834"/>
    <w:rsid w:val="001879F6"/>
    <w:rsid w:val="00191347"/>
    <w:rsid w:val="00194B6B"/>
    <w:rsid w:val="001B6ABD"/>
    <w:rsid w:val="001D4E76"/>
    <w:rsid w:val="001E0B84"/>
    <w:rsid w:val="001F2B2F"/>
    <w:rsid w:val="002052BE"/>
    <w:rsid w:val="002075A9"/>
    <w:rsid w:val="00213112"/>
    <w:rsid w:val="002211E9"/>
    <w:rsid w:val="00221658"/>
    <w:rsid w:val="00230ACA"/>
    <w:rsid w:val="00241709"/>
    <w:rsid w:val="00267364"/>
    <w:rsid w:val="00294ED6"/>
    <w:rsid w:val="00296A37"/>
    <w:rsid w:val="00307435"/>
    <w:rsid w:val="0031509D"/>
    <w:rsid w:val="00325122"/>
    <w:rsid w:val="00325908"/>
    <w:rsid w:val="003344F0"/>
    <w:rsid w:val="00352FB8"/>
    <w:rsid w:val="003554C1"/>
    <w:rsid w:val="00376791"/>
    <w:rsid w:val="003877C6"/>
    <w:rsid w:val="003B496E"/>
    <w:rsid w:val="003B623F"/>
    <w:rsid w:val="003C7A37"/>
    <w:rsid w:val="0041044F"/>
    <w:rsid w:val="00424ABE"/>
    <w:rsid w:val="004260B5"/>
    <w:rsid w:val="00444549"/>
    <w:rsid w:val="004445AB"/>
    <w:rsid w:val="00446002"/>
    <w:rsid w:val="004463F4"/>
    <w:rsid w:val="004476F4"/>
    <w:rsid w:val="00450CBF"/>
    <w:rsid w:val="00450F74"/>
    <w:rsid w:val="00493B0E"/>
    <w:rsid w:val="004C78FF"/>
    <w:rsid w:val="004D273A"/>
    <w:rsid w:val="004D51AA"/>
    <w:rsid w:val="004F76AE"/>
    <w:rsid w:val="00513B90"/>
    <w:rsid w:val="00513E4C"/>
    <w:rsid w:val="00537278"/>
    <w:rsid w:val="00555558"/>
    <w:rsid w:val="0056259E"/>
    <w:rsid w:val="00562EE3"/>
    <w:rsid w:val="0058737C"/>
    <w:rsid w:val="005A1A14"/>
    <w:rsid w:val="005A6812"/>
    <w:rsid w:val="005C46A7"/>
    <w:rsid w:val="005C5833"/>
    <w:rsid w:val="005F041E"/>
    <w:rsid w:val="005F134C"/>
    <w:rsid w:val="005F7226"/>
    <w:rsid w:val="006115E0"/>
    <w:rsid w:val="00622E3F"/>
    <w:rsid w:val="00623607"/>
    <w:rsid w:val="00626F35"/>
    <w:rsid w:val="00631FA7"/>
    <w:rsid w:val="006472EB"/>
    <w:rsid w:val="0065066D"/>
    <w:rsid w:val="00652143"/>
    <w:rsid w:val="00653517"/>
    <w:rsid w:val="00697DCD"/>
    <w:rsid w:val="006A62B8"/>
    <w:rsid w:val="006E028A"/>
    <w:rsid w:val="006F072F"/>
    <w:rsid w:val="006F2C08"/>
    <w:rsid w:val="006F2E04"/>
    <w:rsid w:val="006F7B2E"/>
    <w:rsid w:val="00711D27"/>
    <w:rsid w:val="00717B35"/>
    <w:rsid w:val="007268EF"/>
    <w:rsid w:val="00742044"/>
    <w:rsid w:val="00744157"/>
    <w:rsid w:val="00750E64"/>
    <w:rsid w:val="00767076"/>
    <w:rsid w:val="007A002C"/>
    <w:rsid w:val="007A1650"/>
    <w:rsid w:val="007E7339"/>
    <w:rsid w:val="007E7D2D"/>
    <w:rsid w:val="007F500F"/>
    <w:rsid w:val="00811ACA"/>
    <w:rsid w:val="008126FC"/>
    <w:rsid w:val="00812845"/>
    <w:rsid w:val="00820CB7"/>
    <w:rsid w:val="00827A6D"/>
    <w:rsid w:val="008336CF"/>
    <w:rsid w:val="008375B2"/>
    <w:rsid w:val="00840A7B"/>
    <w:rsid w:val="008577FE"/>
    <w:rsid w:val="00866DF7"/>
    <w:rsid w:val="00891586"/>
    <w:rsid w:val="008C2FBD"/>
    <w:rsid w:val="008E6E78"/>
    <w:rsid w:val="008F5D36"/>
    <w:rsid w:val="008F6D7D"/>
    <w:rsid w:val="0090400B"/>
    <w:rsid w:val="009560C2"/>
    <w:rsid w:val="0098785E"/>
    <w:rsid w:val="009905E2"/>
    <w:rsid w:val="00994B02"/>
    <w:rsid w:val="009A11F6"/>
    <w:rsid w:val="009A1849"/>
    <w:rsid w:val="009B4722"/>
    <w:rsid w:val="009C13A4"/>
    <w:rsid w:val="009C2D25"/>
    <w:rsid w:val="009D630C"/>
    <w:rsid w:val="009D678A"/>
    <w:rsid w:val="009F5067"/>
    <w:rsid w:val="00A02360"/>
    <w:rsid w:val="00A17936"/>
    <w:rsid w:val="00A22C5F"/>
    <w:rsid w:val="00A54BA1"/>
    <w:rsid w:val="00A55E89"/>
    <w:rsid w:val="00A61C95"/>
    <w:rsid w:val="00A82363"/>
    <w:rsid w:val="00A853DC"/>
    <w:rsid w:val="00A94AD9"/>
    <w:rsid w:val="00AC4E2E"/>
    <w:rsid w:val="00AD32C9"/>
    <w:rsid w:val="00AD3B19"/>
    <w:rsid w:val="00AE4CF7"/>
    <w:rsid w:val="00AF29E8"/>
    <w:rsid w:val="00AF3272"/>
    <w:rsid w:val="00AF45A6"/>
    <w:rsid w:val="00B01BB9"/>
    <w:rsid w:val="00B01E4D"/>
    <w:rsid w:val="00B11785"/>
    <w:rsid w:val="00B532EC"/>
    <w:rsid w:val="00B57B4F"/>
    <w:rsid w:val="00B66F66"/>
    <w:rsid w:val="00B73C7B"/>
    <w:rsid w:val="00B84716"/>
    <w:rsid w:val="00B901D9"/>
    <w:rsid w:val="00B935C3"/>
    <w:rsid w:val="00B969BA"/>
    <w:rsid w:val="00BB2B89"/>
    <w:rsid w:val="00BB2CDE"/>
    <w:rsid w:val="00BB66D8"/>
    <w:rsid w:val="00BD0F90"/>
    <w:rsid w:val="00BF159A"/>
    <w:rsid w:val="00BF756B"/>
    <w:rsid w:val="00C1044D"/>
    <w:rsid w:val="00C141B1"/>
    <w:rsid w:val="00C253E1"/>
    <w:rsid w:val="00C255B3"/>
    <w:rsid w:val="00C36DF5"/>
    <w:rsid w:val="00C54FB0"/>
    <w:rsid w:val="00C607D3"/>
    <w:rsid w:val="00C7346A"/>
    <w:rsid w:val="00C749C1"/>
    <w:rsid w:val="00C804C0"/>
    <w:rsid w:val="00C9364A"/>
    <w:rsid w:val="00C95463"/>
    <w:rsid w:val="00C97DBA"/>
    <w:rsid w:val="00CA28DA"/>
    <w:rsid w:val="00CA3191"/>
    <w:rsid w:val="00CA7EA2"/>
    <w:rsid w:val="00CB4035"/>
    <w:rsid w:val="00CC3677"/>
    <w:rsid w:val="00CC37FA"/>
    <w:rsid w:val="00CC53D0"/>
    <w:rsid w:val="00CD4478"/>
    <w:rsid w:val="00CD6DB6"/>
    <w:rsid w:val="00D32B32"/>
    <w:rsid w:val="00D37B84"/>
    <w:rsid w:val="00D41F7D"/>
    <w:rsid w:val="00D43E7C"/>
    <w:rsid w:val="00D50848"/>
    <w:rsid w:val="00D53DAA"/>
    <w:rsid w:val="00D6208D"/>
    <w:rsid w:val="00D6469C"/>
    <w:rsid w:val="00D94E46"/>
    <w:rsid w:val="00DA06A7"/>
    <w:rsid w:val="00DA3A57"/>
    <w:rsid w:val="00DC55C0"/>
    <w:rsid w:val="00E06BFC"/>
    <w:rsid w:val="00E21247"/>
    <w:rsid w:val="00E2604A"/>
    <w:rsid w:val="00E41AEA"/>
    <w:rsid w:val="00E501B2"/>
    <w:rsid w:val="00E632A8"/>
    <w:rsid w:val="00E720C6"/>
    <w:rsid w:val="00E75CC4"/>
    <w:rsid w:val="00E81A1E"/>
    <w:rsid w:val="00E94178"/>
    <w:rsid w:val="00EA75F0"/>
    <w:rsid w:val="00EB08CE"/>
    <w:rsid w:val="00EC5D88"/>
    <w:rsid w:val="00ED6341"/>
    <w:rsid w:val="00EE151C"/>
    <w:rsid w:val="00EF360B"/>
    <w:rsid w:val="00F10AC7"/>
    <w:rsid w:val="00F14BC4"/>
    <w:rsid w:val="00F45A7C"/>
    <w:rsid w:val="00F535ED"/>
    <w:rsid w:val="00F7063F"/>
    <w:rsid w:val="00F77E26"/>
    <w:rsid w:val="00F77F58"/>
    <w:rsid w:val="00F86D09"/>
    <w:rsid w:val="00F93344"/>
    <w:rsid w:val="00FC3D55"/>
    <w:rsid w:val="00FD5CF2"/>
    <w:rsid w:val="00FD5F7E"/>
    <w:rsid w:val="00FE0173"/>
    <w:rsid w:val="00FE7363"/>
    <w:rsid w:val="00FE7759"/>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546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D36"/>
    <w:pPr>
      <w:spacing w:after="0" w:line="240" w:lineRule="auto"/>
    </w:pPr>
    <w:rPr>
      <w:rFonts w:ascii="Verdana" w:eastAsia="Times New Roman" w:hAnsi="Verdana" w:cs="Times New Roman"/>
      <w:sz w:val="20"/>
      <w:szCs w:val="24"/>
      <w:lang w:val="en-US"/>
    </w:rPr>
  </w:style>
  <w:style w:type="paragraph" w:styleId="Heading1">
    <w:name w:val="heading 1"/>
    <w:basedOn w:val="Normal"/>
    <w:next w:val="Normal"/>
    <w:link w:val="Heading1Char"/>
    <w:uiPriority w:val="9"/>
    <w:qFormat/>
    <w:rsid w:val="008126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Normal"/>
    <w:link w:val="Heading2Char"/>
    <w:uiPriority w:val="99"/>
    <w:qFormat/>
    <w:rsid w:val="008F5D36"/>
    <w:pPr>
      <w:keepNext/>
      <w:spacing w:after="0" w:line="240" w:lineRule="auto"/>
      <w:jc w:val="center"/>
      <w:outlineLvl w:val="1"/>
    </w:pPr>
    <w:rPr>
      <w:rFonts w:ascii="Helvetica" w:eastAsia="ヒラギノ角ゴ Pro W3" w:hAnsi="Helvetica" w:cs="Times New Roman"/>
      <w:b/>
      <w:color w:val="000000"/>
      <w:sz w:val="20"/>
      <w:szCs w:val="20"/>
      <w:lang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8F5D36"/>
    <w:rPr>
      <w:rFonts w:ascii="Helvetica" w:eastAsia="ヒラギノ角ゴ Pro W3" w:hAnsi="Helvetica" w:cs="Times New Roman"/>
      <w:b/>
      <w:color w:val="000000"/>
      <w:sz w:val="20"/>
      <w:szCs w:val="20"/>
      <w:lang w:eastAsia="es-MX"/>
    </w:rPr>
  </w:style>
  <w:style w:type="paragraph" w:customStyle="1" w:styleId="PrrafodeSentencia">
    <w:name w:val="*. Párrafo de Sentencia"/>
    <w:link w:val="PrrafodeSentenciaChar"/>
    <w:autoRedefine/>
    <w:qFormat/>
    <w:rsid w:val="008F5D36"/>
    <w:pPr>
      <w:spacing w:before="120" w:after="120" w:line="240" w:lineRule="auto"/>
      <w:ind w:firstLine="720"/>
      <w:jc w:val="both"/>
    </w:pPr>
    <w:rPr>
      <w:rFonts w:ascii="Verdana" w:eastAsia="Batang" w:hAnsi="Verdana" w:cs="Times New Roman"/>
      <w:spacing w:val="-2"/>
      <w:sz w:val="20"/>
      <w:szCs w:val="20"/>
      <w:lang w:val="es-CL" w:eastAsia="es-MX"/>
    </w:rPr>
  </w:style>
  <w:style w:type="character" w:customStyle="1" w:styleId="PrrafodeSentenciaChar">
    <w:name w:val="*. Párrafo de Sentencia Char"/>
    <w:link w:val="PrrafodeSentencia"/>
    <w:rsid w:val="008F5D36"/>
    <w:rPr>
      <w:rFonts w:ascii="Verdana" w:eastAsia="Batang" w:hAnsi="Verdana" w:cs="Times New Roman"/>
      <w:spacing w:val="-2"/>
      <w:sz w:val="20"/>
      <w:szCs w:val="20"/>
      <w:lang w:val="es-CL" w:eastAsia="es-MX"/>
    </w:rPr>
  </w:style>
  <w:style w:type="paragraph" w:styleId="ListParagraph">
    <w:name w:val="List Paragraph"/>
    <w:aliases w:val="Footnote,List Paragraph1,Colorful List - Accent 11,Párrafo de lista1"/>
    <w:basedOn w:val="Normal"/>
    <w:link w:val="ListParagraphChar"/>
    <w:uiPriority w:val="99"/>
    <w:qFormat/>
    <w:rsid w:val="008F5D36"/>
    <w:pPr>
      <w:ind w:left="708"/>
    </w:pPr>
  </w:style>
  <w:style w:type="character" w:customStyle="1" w:styleId="MediumGrid1-Accent2Char">
    <w:name w:val="Medium Grid 1 - Accent 2 Char"/>
    <w:aliases w:val="Footnote Char,List Paragraph1 Char,Colorful List - Accent 11 Char,Párrafo de lista1 Char"/>
    <w:link w:val="MediumGrid1-Accent2"/>
    <w:uiPriority w:val="34"/>
    <w:locked/>
    <w:rsid w:val="008F5D36"/>
    <w:rPr>
      <w:rFonts w:ascii="Verdana" w:hAnsi="Verdana"/>
      <w:sz w:val="20"/>
      <w:lang w:val="es-ES_tradnl" w:eastAsia="es-ES"/>
    </w:rPr>
  </w:style>
  <w:style w:type="table" w:styleId="MediumGrid1-Accent2">
    <w:name w:val="Medium Grid 1 Accent 2"/>
    <w:basedOn w:val="TableNormal"/>
    <w:link w:val="MediumGrid1-Accent2Char"/>
    <w:uiPriority w:val="34"/>
    <w:rsid w:val="008F5D36"/>
    <w:pPr>
      <w:spacing w:after="0" w:line="240" w:lineRule="auto"/>
    </w:pPr>
    <w:rPr>
      <w:rFonts w:ascii="Verdana" w:hAnsi="Verdana"/>
      <w:sz w:val="20"/>
      <w:lang w:val="es-ES_tradnl" w:eastAsia="es-E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FootnoteReference">
    <w:name w:val="footnote reference"/>
    <w:aliases w:val="Appel note de bas de page,Footnotes refss,Footnote number,referencia nota al pie,BVI fnr,f,4_G,16 Point,Superscript 6 Point,Texto nota al pie,Footnote Reference Char3,Footnote Reference Char1 Char,Ref. de nota al,Ref. de nota al pi"/>
    <w:qFormat/>
    <w:rsid w:val="00213112"/>
    <w:rPr>
      <w:vertAlign w:val="superscript"/>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Ca,FA Fu?notentext,C,ft"/>
    <w:basedOn w:val="Normal"/>
    <w:link w:val="FootnoteTextChar"/>
    <w:qFormat/>
    <w:rsid w:val="00213112"/>
    <w:pPr>
      <w:widowControl w:val="0"/>
      <w:tabs>
        <w:tab w:val="left" w:pos="567"/>
      </w:tabs>
      <w:adjustRightInd w:val="0"/>
      <w:jc w:val="both"/>
      <w:textAlignment w:val="baseline"/>
    </w:pPr>
    <w:rPr>
      <w:bCs/>
      <w:sz w:val="16"/>
      <w:szCs w:val="16"/>
      <w:lang w:val="es-ES_tradnl" w:eastAsia="es-CR"/>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rsid w:val="00213112"/>
    <w:rPr>
      <w:rFonts w:ascii="Verdana" w:eastAsia="Times New Roman" w:hAnsi="Verdana" w:cs="Times New Roman"/>
      <w:bCs/>
      <w:sz w:val="16"/>
      <w:szCs w:val="16"/>
      <w:lang w:val="es-ES_tradnl" w:eastAsia="es-CR"/>
    </w:rPr>
  </w:style>
  <w:style w:type="paragraph" w:styleId="Header">
    <w:name w:val="header"/>
    <w:basedOn w:val="Normal"/>
    <w:link w:val="HeaderChar"/>
    <w:uiPriority w:val="99"/>
    <w:unhideWhenUsed/>
    <w:rsid w:val="00191347"/>
    <w:pPr>
      <w:tabs>
        <w:tab w:val="center" w:pos="4419"/>
        <w:tab w:val="right" w:pos="8838"/>
      </w:tabs>
    </w:pPr>
  </w:style>
  <w:style w:type="character" w:customStyle="1" w:styleId="HeaderChar">
    <w:name w:val="Header Char"/>
    <w:basedOn w:val="DefaultParagraphFont"/>
    <w:link w:val="Header"/>
    <w:uiPriority w:val="99"/>
    <w:rsid w:val="00191347"/>
    <w:rPr>
      <w:rFonts w:ascii="Verdana" w:eastAsia="Times New Roman" w:hAnsi="Verdana" w:cs="Times New Roman"/>
      <w:sz w:val="20"/>
      <w:szCs w:val="24"/>
      <w:lang w:val="en-US"/>
    </w:rPr>
  </w:style>
  <w:style w:type="paragraph" w:styleId="Footer">
    <w:name w:val="footer"/>
    <w:basedOn w:val="Normal"/>
    <w:link w:val="FooterChar"/>
    <w:uiPriority w:val="99"/>
    <w:unhideWhenUsed/>
    <w:rsid w:val="00191347"/>
    <w:pPr>
      <w:tabs>
        <w:tab w:val="center" w:pos="4419"/>
        <w:tab w:val="right" w:pos="8838"/>
      </w:tabs>
    </w:pPr>
  </w:style>
  <w:style w:type="character" w:customStyle="1" w:styleId="FooterChar">
    <w:name w:val="Footer Char"/>
    <w:basedOn w:val="DefaultParagraphFont"/>
    <w:link w:val="Footer"/>
    <w:uiPriority w:val="99"/>
    <w:rsid w:val="00191347"/>
    <w:rPr>
      <w:rFonts w:ascii="Verdana" w:eastAsia="Times New Roman" w:hAnsi="Verdana" w:cs="Times New Roman"/>
      <w:sz w:val="20"/>
      <w:szCs w:val="24"/>
      <w:lang w:val="en-US"/>
    </w:rPr>
  </w:style>
  <w:style w:type="paragraph" w:customStyle="1" w:styleId="Footnotes">
    <w:name w:val="**. Footnotes"/>
    <w:basedOn w:val="FootnoteText"/>
    <w:link w:val="FootnotesChar"/>
    <w:autoRedefine/>
    <w:qFormat/>
    <w:rsid w:val="00446002"/>
    <w:pPr>
      <w:widowControl/>
      <w:adjustRightInd/>
      <w:textAlignment w:val="auto"/>
    </w:pPr>
    <w:rPr>
      <w:rFonts w:cs="Palatino-Italic"/>
      <w:bCs w:val="0"/>
      <w:iCs/>
      <w:szCs w:val="18"/>
      <w:lang w:val="es-ES" w:eastAsia="x-none" w:bidi="en-US"/>
    </w:rPr>
  </w:style>
  <w:style w:type="character" w:customStyle="1" w:styleId="FootnotesChar">
    <w:name w:val="**. Footnotes Char"/>
    <w:link w:val="Footnotes"/>
    <w:rsid w:val="00446002"/>
    <w:rPr>
      <w:rFonts w:ascii="Verdana" w:eastAsia="Times New Roman" w:hAnsi="Verdana" w:cs="Palatino-Italic"/>
      <w:iCs/>
      <w:sz w:val="16"/>
      <w:szCs w:val="18"/>
      <w:lang w:val="es-ES" w:eastAsia="x-none" w:bidi="en-US"/>
    </w:rPr>
  </w:style>
  <w:style w:type="character" w:styleId="Strong">
    <w:name w:val="Strong"/>
    <w:uiPriority w:val="22"/>
    <w:qFormat/>
    <w:rsid w:val="00446002"/>
    <w:rPr>
      <w:b/>
      <w:bCs/>
    </w:rPr>
  </w:style>
  <w:style w:type="paragraph" w:styleId="Title">
    <w:name w:val="Title"/>
    <w:basedOn w:val="Normal"/>
    <w:next w:val="Normal"/>
    <w:link w:val="TitleChar"/>
    <w:qFormat/>
    <w:rsid w:val="00513B90"/>
    <w:pPr>
      <w:jc w:val="center"/>
      <w:outlineLvl w:val="0"/>
    </w:pPr>
    <w:rPr>
      <w:rFonts w:eastAsia="Calibri"/>
      <w:b/>
      <w:spacing w:val="-2"/>
      <w:szCs w:val="20"/>
      <w:lang w:val="es-ES_tradnl" w:eastAsia="x-none"/>
    </w:rPr>
  </w:style>
  <w:style w:type="character" w:customStyle="1" w:styleId="TitleChar">
    <w:name w:val="Title Char"/>
    <w:basedOn w:val="DefaultParagraphFont"/>
    <w:link w:val="Title"/>
    <w:rsid w:val="00513B90"/>
    <w:rPr>
      <w:rFonts w:ascii="Verdana" w:eastAsia="Calibri" w:hAnsi="Verdana" w:cs="Times New Roman"/>
      <w:b/>
      <w:spacing w:val="-2"/>
      <w:sz w:val="20"/>
      <w:szCs w:val="20"/>
      <w:lang w:val="es-ES_tradnl" w:eastAsia="x-none"/>
    </w:rPr>
  </w:style>
  <w:style w:type="paragraph" w:customStyle="1" w:styleId="Default">
    <w:name w:val="Default"/>
    <w:rsid w:val="00F10AC7"/>
    <w:pPr>
      <w:autoSpaceDE w:val="0"/>
      <w:autoSpaceDN w:val="0"/>
      <w:adjustRightInd w:val="0"/>
      <w:spacing w:after="0" w:line="240" w:lineRule="auto"/>
    </w:pPr>
    <w:rPr>
      <w:rFonts w:ascii="Verdana" w:eastAsia="Calibri" w:hAnsi="Verdana" w:cs="Verdana"/>
      <w:color w:val="000000"/>
      <w:sz w:val="24"/>
      <w:szCs w:val="24"/>
    </w:rPr>
  </w:style>
  <w:style w:type="paragraph" w:styleId="BalloonText">
    <w:name w:val="Balloon Text"/>
    <w:basedOn w:val="Normal"/>
    <w:link w:val="BalloonTextChar"/>
    <w:uiPriority w:val="99"/>
    <w:semiHidden/>
    <w:unhideWhenUsed/>
    <w:rsid w:val="00555558"/>
    <w:rPr>
      <w:rFonts w:ascii="Tahoma" w:hAnsi="Tahoma" w:cs="Tahoma"/>
      <w:sz w:val="16"/>
      <w:szCs w:val="16"/>
    </w:rPr>
  </w:style>
  <w:style w:type="character" w:customStyle="1" w:styleId="BalloonTextChar">
    <w:name w:val="Balloon Text Char"/>
    <w:basedOn w:val="DefaultParagraphFont"/>
    <w:link w:val="BalloonText"/>
    <w:uiPriority w:val="99"/>
    <w:semiHidden/>
    <w:rsid w:val="00555558"/>
    <w:rPr>
      <w:rFonts w:ascii="Tahoma" w:eastAsia="Times New Roman" w:hAnsi="Tahoma" w:cs="Tahoma"/>
      <w:sz w:val="16"/>
      <w:szCs w:val="16"/>
      <w:lang w:val="en-US"/>
    </w:rPr>
  </w:style>
  <w:style w:type="character" w:styleId="Hyperlink">
    <w:name w:val="Hyperlink"/>
    <w:uiPriority w:val="99"/>
    <w:rsid w:val="00BF756B"/>
    <w:rPr>
      <w:color w:val="0000FF"/>
      <w:u w:val="single"/>
    </w:rPr>
  </w:style>
  <w:style w:type="character" w:customStyle="1" w:styleId="ListParagraphChar">
    <w:name w:val="List Paragraph Char"/>
    <w:aliases w:val="Footnote Char1,List Paragraph1 Char1,Colorful List - Accent 11 Char1,Párrafo de lista1 Char1"/>
    <w:basedOn w:val="DefaultParagraphFont"/>
    <w:link w:val="ListParagraph"/>
    <w:uiPriority w:val="99"/>
    <w:locked/>
    <w:rsid w:val="009C2D25"/>
    <w:rPr>
      <w:rFonts w:ascii="Verdana" w:eastAsia="Times New Roman" w:hAnsi="Verdana" w:cs="Times New Roman"/>
      <w:sz w:val="20"/>
      <w:szCs w:val="24"/>
      <w:lang w:val="en-US"/>
    </w:rPr>
  </w:style>
  <w:style w:type="paragraph" w:styleId="NoSpacing">
    <w:name w:val="No Spacing"/>
    <w:uiPriority w:val="1"/>
    <w:qFormat/>
    <w:rsid w:val="00C255B3"/>
    <w:pPr>
      <w:spacing w:after="0" w:line="240" w:lineRule="auto"/>
      <w:jc w:val="both"/>
    </w:pPr>
    <w:rPr>
      <w:rFonts w:ascii="Verdana" w:eastAsia="Calibri" w:hAnsi="Verdana" w:cs="Calibri"/>
      <w:sz w:val="20"/>
      <w:lang w:val="es-MX"/>
    </w:rPr>
  </w:style>
  <w:style w:type="character" w:customStyle="1" w:styleId="Heading1Char">
    <w:name w:val="Heading 1 Char"/>
    <w:basedOn w:val="DefaultParagraphFont"/>
    <w:link w:val="Heading1"/>
    <w:uiPriority w:val="9"/>
    <w:rsid w:val="008126FC"/>
    <w:rPr>
      <w:rFonts w:asciiTheme="majorHAnsi" w:eastAsiaTheme="majorEastAsia" w:hAnsiTheme="majorHAnsi" w:cstheme="majorBidi"/>
      <w:b/>
      <w:bCs/>
      <w:color w:val="365F91" w:themeColor="accent1" w:themeShade="BF"/>
      <w:sz w:val="28"/>
      <w:szCs w:val="28"/>
      <w:lang w:val="en-US"/>
    </w:rPr>
  </w:style>
  <w:style w:type="character" w:customStyle="1" w:styleId="Smbolodenotaalpie">
    <w:name w:val="Símbolo de nota al pie"/>
    <w:basedOn w:val="DefaultParagraphFont"/>
    <w:rsid w:val="00CA28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D36"/>
    <w:pPr>
      <w:spacing w:after="0" w:line="240" w:lineRule="auto"/>
    </w:pPr>
    <w:rPr>
      <w:rFonts w:ascii="Verdana" w:eastAsia="Times New Roman" w:hAnsi="Verdana" w:cs="Times New Roman"/>
      <w:sz w:val="20"/>
      <w:szCs w:val="24"/>
      <w:lang w:val="en-US"/>
    </w:rPr>
  </w:style>
  <w:style w:type="paragraph" w:styleId="Heading1">
    <w:name w:val="heading 1"/>
    <w:basedOn w:val="Normal"/>
    <w:next w:val="Normal"/>
    <w:link w:val="Heading1Char"/>
    <w:uiPriority w:val="9"/>
    <w:qFormat/>
    <w:rsid w:val="008126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Normal"/>
    <w:link w:val="Heading2Char"/>
    <w:uiPriority w:val="99"/>
    <w:qFormat/>
    <w:rsid w:val="008F5D36"/>
    <w:pPr>
      <w:keepNext/>
      <w:spacing w:after="0" w:line="240" w:lineRule="auto"/>
      <w:jc w:val="center"/>
      <w:outlineLvl w:val="1"/>
    </w:pPr>
    <w:rPr>
      <w:rFonts w:ascii="Helvetica" w:eastAsia="ヒラギノ角ゴ Pro W3" w:hAnsi="Helvetica" w:cs="Times New Roman"/>
      <w:b/>
      <w:color w:val="000000"/>
      <w:sz w:val="20"/>
      <w:szCs w:val="20"/>
      <w:lang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8F5D36"/>
    <w:rPr>
      <w:rFonts w:ascii="Helvetica" w:eastAsia="ヒラギノ角ゴ Pro W3" w:hAnsi="Helvetica" w:cs="Times New Roman"/>
      <w:b/>
      <w:color w:val="000000"/>
      <w:sz w:val="20"/>
      <w:szCs w:val="20"/>
      <w:lang w:eastAsia="es-MX"/>
    </w:rPr>
  </w:style>
  <w:style w:type="paragraph" w:customStyle="1" w:styleId="PrrafodeSentencia">
    <w:name w:val="*. Párrafo de Sentencia"/>
    <w:link w:val="PrrafodeSentenciaChar"/>
    <w:autoRedefine/>
    <w:qFormat/>
    <w:rsid w:val="008F5D36"/>
    <w:pPr>
      <w:spacing w:before="120" w:after="120" w:line="240" w:lineRule="auto"/>
      <w:ind w:firstLine="720"/>
      <w:jc w:val="both"/>
    </w:pPr>
    <w:rPr>
      <w:rFonts w:ascii="Verdana" w:eastAsia="Batang" w:hAnsi="Verdana" w:cs="Times New Roman"/>
      <w:spacing w:val="-2"/>
      <w:sz w:val="20"/>
      <w:szCs w:val="20"/>
      <w:lang w:val="es-CL" w:eastAsia="es-MX"/>
    </w:rPr>
  </w:style>
  <w:style w:type="character" w:customStyle="1" w:styleId="PrrafodeSentenciaChar">
    <w:name w:val="*. Párrafo de Sentencia Char"/>
    <w:link w:val="PrrafodeSentencia"/>
    <w:rsid w:val="008F5D36"/>
    <w:rPr>
      <w:rFonts w:ascii="Verdana" w:eastAsia="Batang" w:hAnsi="Verdana" w:cs="Times New Roman"/>
      <w:spacing w:val="-2"/>
      <w:sz w:val="20"/>
      <w:szCs w:val="20"/>
      <w:lang w:val="es-CL" w:eastAsia="es-MX"/>
    </w:rPr>
  </w:style>
  <w:style w:type="paragraph" w:styleId="ListParagraph">
    <w:name w:val="List Paragraph"/>
    <w:aliases w:val="Footnote,List Paragraph1,Colorful List - Accent 11,Párrafo de lista1"/>
    <w:basedOn w:val="Normal"/>
    <w:link w:val="ListParagraphChar"/>
    <w:uiPriority w:val="99"/>
    <w:qFormat/>
    <w:rsid w:val="008F5D36"/>
    <w:pPr>
      <w:ind w:left="708"/>
    </w:pPr>
  </w:style>
  <w:style w:type="character" w:customStyle="1" w:styleId="MediumGrid1-Accent2Char">
    <w:name w:val="Medium Grid 1 - Accent 2 Char"/>
    <w:aliases w:val="Footnote Char,List Paragraph1 Char,Colorful List - Accent 11 Char,Párrafo de lista1 Char"/>
    <w:link w:val="MediumGrid1-Accent2"/>
    <w:uiPriority w:val="34"/>
    <w:locked/>
    <w:rsid w:val="008F5D36"/>
    <w:rPr>
      <w:rFonts w:ascii="Verdana" w:hAnsi="Verdana"/>
      <w:sz w:val="20"/>
      <w:lang w:val="es-ES_tradnl" w:eastAsia="es-ES"/>
    </w:rPr>
  </w:style>
  <w:style w:type="table" w:styleId="MediumGrid1-Accent2">
    <w:name w:val="Medium Grid 1 Accent 2"/>
    <w:basedOn w:val="TableNormal"/>
    <w:link w:val="MediumGrid1-Accent2Char"/>
    <w:uiPriority w:val="34"/>
    <w:rsid w:val="008F5D36"/>
    <w:pPr>
      <w:spacing w:after="0" w:line="240" w:lineRule="auto"/>
    </w:pPr>
    <w:rPr>
      <w:rFonts w:ascii="Verdana" w:hAnsi="Verdana"/>
      <w:sz w:val="20"/>
      <w:lang w:val="es-ES_tradnl" w:eastAsia="es-E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FootnoteReference">
    <w:name w:val="footnote reference"/>
    <w:aliases w:val="Appel note de bas de page,Footnotes refss,Footnote number,referencia nota al pie,BVI fnr,f,4_G,16 Point,Superscript 6 Point,Texto nota al pie,Footnote Reference Char3,Footnote Reference Char1 Char,Ref. de nota al,Ref. de nota al pi"/>
    <w:qFormat/>
    <w:rsid w:val="00213112"/>
    <w:rPr>
      <w:vertAlign w:val="superscript"/>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Ca,FA Fu?notentext,C,ft"/>
    <w:basedOn w:val="Normal"/>
    <w:link w:val="FootnoteTextChar"/>
    <w:qFormat/>
    <w:rsid w:val="00213112"/>
    <w:pPr>
      <w:widowControl w:val="0"/>
      <w:tabs>
        <w:tab w:val="left" w:pos="567"/>
      </w:tabs>
      <w:adjustRightInd w:val="0"/>
      <w:jc w:val="both"/>
      <w:textAlignment w:val="baseline"/>
    </w:pPr>
    <w:rPr>
      <w:bCs/>
      <w:sz w:val="16"/>
      <w:szCs w:val="16"/>
      <w:lang w:val="es-ES_tradnl" w:eastAsia="es-CR"/>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rsid w:val="00213112"/>
    <w:rPr>
      <w:rFonts w:ascii="Verdana" w:eastAsia="Times New Roman" w:hAnsi="Verdana" w:cs="Times New Roman"/>
      <w:bCs/>
      <w:sz w:val="16"/>
      <w:szCs w:val="16"/>
      <w:lang w:val="es-ES_tradnl" w:eastAsia="es-CR"/>
    </w:rPr>
  </w:style>
  <w:style w:type="paragraph" w:styleId="Header">
    <w:name w:val="header"/>
    <w:basedOn w:val="Normal"/>
    <w:link w:val="HeaderChar"/>
    <w:uiPriority w:val="99"/>
    <w:unhideWhenUsed/>
    <w:rsid w:val="00191347"/>
    <w:pPr>
      <w:tabs>
        <w:tab w:val="center" w:pos="4419"/>
        <w:tab w:val="right" w:pos="8838"/>
      </w:tabs>
    </w:pPr>
  </w:style>
  <w:style w:type="character" w:customStyle="1" w:styleId="HeaderChar">
    <w:name w:val="Header Char"/>
    <w:basedOn w:val="DefaultParagraphFont"/>
    <w:link w:val="Header"/>
    <w:uiPriority w:val="99"/>
    <w:rsid w:val="00191347"/>
    <w:rPr>
      <w:rFonts w:ascii="Verdana" w:eastAsia="Times New Roman" w:hAnsi="Verdana" w:cs="Times New Roman"/>
      <w:sz w:val="20"/>
      <w:szCs w:val="24"/>
      <w:lang w:val="en-US"/>
    </w:rPr>
  </w:style>
  <w:style w:type="paragraph" w:styleId="Footer">
    <w:name w:val="footer"/>
    <w:basedOn w:val="Normal"/>
    <w:link w:val="FooterChar"/>
    <w:uiPriority w:val="99"/>
    <w:unhideWhenUsed/>
    <w:rsid w:val="00191347"/>
    <w:pPr>
      <w:tabs>
        <w:tab w:val="center" w:pos="4419"/>
        <w:tab w:val="right" w:pos="8838"/>
      </w:tabs>
    </w:pPr>
  </w:style>
  <w:style w:type="character" w:customStyle="1" w:styleId="FooterChar">
    <w:name w:val="Footer Char"/>
    <w:basedOn w:val="DefaultParagraphFont"/>
    <w:link w:val="Footer"/>
    <w:uiPriority w:val="99"/>
    <w:rsid w:val="00191347"/>
    <w:rPr>
      <w:rFonts w:ascii="Verdana" w:eastAsia="Times New Roman" w:hAnsi="Verdana" w:cs="Times New Roman"/>
      <w:sz w:val="20"/>
      <w:szCs w:val="24"/>
      <w:lang w:val="en-US"/>
    </w:rPr>
  </w:style>
  <w:style w:type="paragraph" w:customStyle="1" w:styleId="Footnotes">
    <w:name w:val="**. Footnotes"/>
    <w:basedOn w:val="FootnoteText"/>
    <w:link w:val="FootnotesChar"/>
    <w:autoRedefine/>
    <w:qFormat/>
    <w:rsid w:val="00446002"/>
    <w:pPr>
      <w:widowControl/>
      <w:adjustRightInd/>
      <w:textAlignment w:val="auto"/>
    </w:pPr>
    <w:rPr>
      <w:rFonts w:cs="Palatino-Italic"/>
      <w:bCs w:val="0"/>
      <w:iCs/>
      <w:szCs w:val="18"/>
      <w:lang w:val="es-ES" w:eastAsia="x-none" w:bidi="en-US"/>
    </w:rPr>
  </w:style>
  <w:style w:type="character" w:customStyle="1" w:styleId="FootnotesChar">
    <w:name w:val="**. Footnotes Char"/>
    <w:link w:val="Footnotes"/>
    <w:rsid w:val="00446002"/>
    <w:rPr>
      <w:rFonts w:ascii="Verdana" w:eastAsia="Times New Roman" w:hAnsi="Verdana" w:cs="Palatino-Italic"/>
      <w:iCs/>
      <w:sz w:val="16"/>
      <w:szCs w:val="18"/>
      <w:lang w:val="es-ES" w:eastAsia="x-none" w:bidi="en-US"/>
    </w:rPr>
  </w:style>
  <w:style w:type="character" w:styleId="Strong">
    <w:name w:val="Strong"/>
    <w:uiPriority w:val="22"/>
    <w:qFormat/>
    <w:rsid w:val="00446002"/>
    <w:rPr>
      <w:b/>
      <w:bCs/>
    </w:rPr>
  </w:style>
  <w:style w:type="paragraph" w:styleId="Title">
    <w:name w:val="Title"/>
    <w:basedOn w:val="Normal"/>
    <w:next w:val="Normal"/>
    <w:link w:val="TitleChar"/>
    <w:qFormat/>
    <w:rsid w:val="00513B90"/>
    <w:pPr>
      <w:jc w:val="center"/>
      <w:outlineLvl w:val="0"/>
    </w:pPr>
    <w:rPr>
      <w:rFonts w:eastAsia="Calibri"/>
      <w:b/>
      <w:spacing w:val="-2"/>
      <w:szCs w:val="20"/>
      <w:lang w:val="es-ES_tradnl" w:eastAsia="x-none"/>
    </w:rPr>
  </w:style>
  <w:style w:type="character" w:customStyle="1" w:styleId="TitleChar">
    <w:name w:val="Title Char"/>
    <w:basedOn w:val="DefaultParagraphFont"/>
    <w:link w:val="Title"/>
    <w:rsid w:val="00513B90"/>
    <w:rPr>
      <w:rFonts w:ascii="Verdana" w:eastAsia="Calibri" w:hAnsi="Verdana" w:cs="Times New Roman"/>
      <w:b/>
      <w:spacing w:val="-2"/>
      <w:sz w:val="20"/>
      <w:szCs w:val="20"/>
      <w:lang w:val="es-ES_tradnl" w:eastAsia="x-none"/>
    </w:rPr>
  </w:style>
  <w:style w:type="paragraph" w:customStyle="1" w:styleId="Default">
    <w:name w:val="Default"/>
    <w:rsid w:val="00F10AC7"/>
    <w:pPr>
      <w:autoSpaceDE w:val="0"/>
      <w:autoSpaceDN w:val="0"/>
      <w:adjustRightInd w:val="0"/>
      <w:spacing w:after="0" w:line="240" w:lineRule="auto"/>
    </w:pPr>
    <w:rPr>
      <w:rFonts w:ascii="Verdana" w:eastAsia="Calibri" w:hAnsi="Verdana" w:cs="Verdana"/>
      <w:color w:val="000000"/>
      <w:sz w:val="24"/>
      <w:szCs w:val="24"/>
    </w:rPr>
  </w:style>
  <w:style w:type="paragraph" w:styleId="BalloonText">
    <w:name w:val="Balloon Text"/>
    <w:basedOn w:val="Normal"/>
    <w:link w:val="BalloonTextChar"/>
    <w:uiPriority w:val="99"/>
    <w:semiHidden/>
    <w:unhideWhenUsed/>
    <w:rsid w:val="00555558"/>
    <w:rPr>
      <w:rFonts w:ascii="Tahoma" w:hAnsi="Tahoma" w:cs="Tahoma"/>
      <w:sz w:val="16"/>
      <w:szCs w:val="16"/>
    </w:rPr>
  </w:style>
  <w:style w:type="character" w:customStyle="1" w:styleId="BalloonTextChar">
    <w:name w:val="Balloon Text Char"/>
    <w:basedOn w:val="DefaultParagraphFont"/>
    <w:link w:val="BalloonText"/>
    <w:uiPriority w:val="99"/>
    <w:semiHidden/>
    <w:rsid w:val="00555558"/>
    <w:rPr>
      <w:rFonts w:ascii="Tahoma" w:eastAsia="Times New Roman" w:hAnsi="Tahoma" w:cs="Tahoma"/>
      <w:sz w:val="16"/>
      <w:szCs w:val="16"/>
      <w:lang w:val="en-US"/>
    </w:rPr>
  </w:style>
  <w:style w:type="character" w:styleId="Hyperlink">
    <w:name w:val="Hyperlink"/>
    <w:uiPriority w:val="99"/>
    <w:rsid w:val="00BF756B"/>
    <w:rPr>
      <w:color w:val="0000FF"/>
      <w:u w:val="single"/>
    </w:rPr>
  </w:style>
  <w:style w:type="character" w:customStyle="1" w:styleId="ListParagraphChar">
    <w:name w:val="List Paragraph Char"/>
    <w:aliases w:val="Footnote Char1,List Paragraph1 Char1,Colorful List - Accent 11 Char1,Párrafo de lista1 Char1"/>
    <w:basedOn w:val="DefaultParagraphFont"/>
    <w:link w:val="ListParagraph"/>
    <w:uiPriority w:val="99"/>
    <w:locked/>
    <w:rsid w:val="009C2D25"/>
    <w:rPr>
      <w:rFonts w:ascii="Verdana" w:eastAsia="Times New Roman" w:hAnsi="Verdana" w:cs="Times New Roman"/>
      <w:sz w:val="20"/>
      <w:szCs w:val="24"/>
      <w:lang w:val="en-US"/>
    </w:rPr>
  </w:style>
  <w:style w:type="paragraph" w:styleId="NoSpacing">
    <w:name w:val="No Spacing"/>
    <w:uiPriority w:val="1"/>
    <w:qFormat/>
    <w:rsid w:val="00C255B3"/>
    <w:pPr>
      <w:spacing w:after="0" w:line="240" w:lineRule="auto"/>
      <w:jc w:val="both"/>
    </w:pPr>
    <w:rPr>
      <w:rFonts w:ascii="Verdana" w:eastAsia="Calibri" w:hAnsi="Verdana" w:cs="Calibri"/>
      <w:sz w:val="20"/>
      <w:lang w:val="es-MX"/>
    </w:rPr>
  </w:style>
  <w:style w:type="character" w:customStyle="1" w:styleId="Heading1Char">
    <w:name w:val="Heading 1 Char"/>
    <w:basedOn w:val="DefaultParagraphFont"/>
    <w:link w:val="Heading1"/>
    <w:uiPriority w:val="9"/>
    <w:rsid w:val="008126FC"/>
    <w:rPr>
      <w:rFonts w:asciiTheme="majorHAnsi" w:eastAsiaTheme="majorEastAsia" w:hAnsiTheme="majorHAnsi" w:cstheme="majorBidi"/>
      <w:b/>
      <w:bCs/>
      <w:color w:val="365F91" w:themeColor="accent1" w:themeShade="BF"/>
      <w:sz w:val="28"/>
      <w:szCs w:val="28"/>
      <w:lang w:val="en-US"/>
    </w:rPr>
  </w:style>
  <w:style w:type="character" w:customStyle="1" w:styleId="Smbolodenotaalpie">
    <w:name w:val="Símbolo de nota al pie"/>
    <w:basedOn w:val="DefaultParagraphFont"/>
    <w:rsid w:val="00CA28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296117">
      <w:bodyDiv w:val="1"/>
      <w:marLeft w:val="0"/>
      <w:marRight w:val="0"/>
      <w:marTop w:val="0"/>
      <w:marBottom w:val="0"/>
      <w:divBdr>
        <w:top w:val="none" w:sz="0" w:space="0" w:color="auto"/>
        <w:left w:val="none" w:sz="0" w:space="0" w:color="auto"/>
        <w:bottom w:val="none" w:sz="0" w:space="0" w:color="auto"/>
        <w:right w:val="none" w:sz="0" w:space="0" w:color="auto"/>
      </w:divBdr>
    </w:div>
    <w:div w:id="669723384">
      <w:bodyDiv w:val="1"/>
      <w:marLeft w:val="0"/>
      <w:marRight w:val="0"/>
      <w:marTop w:val="0"/>
      <w:marBottom w:val="0"/>
      <w:divBdr>
        <w:top w:val="none" w:sz="0" w:space="0" w:color="auto"/>
        <w:left w:val="none" w:sz="0" w:space="0" w:color="auto"/>
        <w:bottom w:val="none" w:sz="0" w:space="0" w:color="auto"/>
        <w:right w:val="none" w:sz="0" w:space="0" w:color="auto"/>
      </w:divBdr>
    </w:div>
    <w:div w:id="877551723">
      <w:bodyDiv w:val="1"/>
      <w:marLeft w:val="0"/>
      <w:marRight w:val="0"/>
      <w:marTop w:val="0"/>
      <w:marBottom w:val="0"/>
      <w:divBdr>
        <w:top w:val="none" w:sz="0" w:space="0" w:color="auto"/>
        <w:left w:val="none" w:sz="0" w:space="0" w:color="auto"/>
        <w:bottom w:val="none" w:sz="0" w:space="0" w:color="auto"/>
        <w:right w:val="none" w:sz="0" w:space="0" w:color="auto"/>
      </w:divBdr>
    </w:div>
    <w:div w:id="936788948">
      <w:bodyDiv w:val="1"/>
      <w:marLeft w:val="0"/>
      <w:marRight w:val="0"/>
      <w:marTop w:val="0"/>
      <w:marBottom w:val="0"/>
      <w:divBdr>
        <w:top w:val="none" w:sz="0" w:space="0" w:color="auto"/>
        <w:left w:val="none" w:sz="0" w:space="0" w:color="auto"/>
        <w:bottom w:val="none" w:sz="0" w:space="0" w:color="auto"/>
        <w:right w:val="none" w:sz="0" w:space="0" w:color="auto"/>
      </w:divBdr>
    </w:div>
    <w:div w:id="1599676058">
      <w:bodyDiv w:val="1"/>
      <w:marLeft w:val="0"/>
      <w:marRight w:val="0"/>
      <w:marTop w:val="0"/>
      <w:marBottom w:val="0"/>
      <w:divBdr>
        <w:top w:val="none" w:sz="0" w:space="0" w:color="auto"/>
        <w:left w:val="none" w:sz="0" w:space="0" w:color="auto"/>
        <w:bottom w:val="none" w:sz="0" w:space="0" w:color="auto"/>
        <w:right w:val="none" w:sz="0" w:space="0" w:color="auto"/>
      </w:divBdr>
    </w:div>
    <w:div w:id="1641761892">
      <w:bodyDiv w:val="1"/>
      <w:marLeft w:val="0"/>
      <w:marRight w:val="0"/>
      <w:marTop w:val="0"/>
      <w:marBottom w:val="0"/>
      <w:divBdr>
        <w:top w:val="none" w:sz="0" w:space="0" w:color="auto"/>
        <w:left w:val="none" w:sz="0" w:space="0" w:color="auto"/>
        <w:bottom w:val="none" w:sz="0" w:space="0" w:color="auto"/>
        <w:right w:val="none" w:sz="0" w:space="0" w:color="auto"/>
      </w:divBdr>
    </w:div>
    <w:div w:id="1702322149">
      <w:bodyDiv w:val="1"/>
      <w:marLeft w:val="0"/>
      <w:marRight w:val="0"/>
      <w:marTop w:val="0"/>
      <w:marBottom w:val="0"/>
      <w:divBdr>
        <w:top w:val="none" w:sz="0" w:space="0" w:color="auto"/>
        <w:left w:val="none" w:sz="0" w:space="0" w:color="auto"/>
        <w:bottom w:val="none" w:sz="0" w:space="0" w:color="auto"/>
        <w:right w:val="none" w:sz="0" w:space="0" w:color="auto"/>
      </w:divBdr>
    </w:div>
    <w:div w:id="1734618185">
      <w:bodyDiv w:val="1"/>
      <w:marLeft w:val="0"/>
      <w:marRight w:val="0"/>
      <w:marTop w:val="0"/>
      <w:marBottom w:val="0"/>
      <w:divBdr>
        <w:top w:val="none" w:sz="0" w:space="0" w:color="auto"/>
        <w:left w:val="none" w:sz="0" w:space="0" w:color="auto"/>
        <w:bottom w:val="none" w:sz="0" w:space="0" w:color="auto"/>
        <w:right w:val="none" w:sz="0" w:space="0" w:color="auto"/>
      </w:divBdr>
    </w:div>
    <w:div w:id="1797724327">
      <w:bodyDiv w:val="1"/>
      <w:marLeft w:val="0"/>
      <w:marRight w:val="0"/>
      <w:marTop w:val="0"/>
      <w:marBottom w:val="0"/>
      <w:divBdr>
        <w:top w:val="none" w:sz="0" w:space="0" w:color="auto"/>
        <w:left w:val="none" w:sz="0" w:space="0" w:color="auto"/>
        <w:bottom w:val="none" w:sz="0" w:space="0" w:color="auto"/>
        <w:right w:val="none" w:sz="0" w:space="0" w:color="auto"/>
      </w:divBdr>
    </w:div>
    <w:div w:id="184254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rteidh.or.cr/caso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A6D45-1550-45BE-8EF2-2C6DCCC68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1897</Words>
  <Characters>10435</Characters>
  <Application>Microsoft Office Word</Application>
  <DocSecurity>4</DocSecurity>
  <Lines>86</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Corteidh</dc:creator>
  <cp:lastModifiedBy>Jairo Guadamuz</cp:lastModifiedBy>
  <cp:revision>2</cp:revision>
  <cp:lastPrinted>2016-12-21T22:32:00Z</cp:lastPrinted>
  <dcterms:created xsi:type="dcterms:W3CDTF">2016-12-21T23:04:00Z</dcterms:created>
  <dcterms:modified xsi:type="dcterms:W3CDTF">2016-12-21T23:04:00Z</dcterms:modified>
</cp:coreProperties>
</file>