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39" w:rsidRDefault="00747A39" w:rsidP="00620DF0">
      <w:pPr>
        <w:tabs>
          <w:tab w:val="left" w:pos="720"/>
        </w:tabs>
        <w:spacing w:line="240" w:lineRule="auto"/>
        <w:jc w:val="center"/>
        <w:rPr>
          <w:rFonts w:eastAsia="Calibri" w:cs="Calibri"/>
          <w:b/>
          <w:spacing w:val="-2"/>
          <w:sz w:val="20"/>
          <w:szCs w:val="20"/>
        </w:rPr>
      </w:pPr>
    </w:p>
    <w:p w:rsidR="00747A39" w:rsidRDefault="00747A39" w:rsidP="00620DF0">
      <w:pPr>
        <w:tabs>
          <w:tab w:val="left" w:pos="720"/>
        </w:tabs>
        <w:spacing w:line="240" w:lineRule="auto"/>
        <w:jc w:val="center"/>
        <w:rPr>
          <w:rFonts w:eastAsia="Calibri" w:cs="Calibri"/>
          <w:b/>
          <w:spacing w:val="-2"/>
          <w:sz w:val="20"/>
          <w:szCs w:val="20"/>
        </w:rPr>
      </w:pPr>
    </w:p>
    <w:p w:rsidR="00747A39" w:rsidRDefault="00747A39" w:rsidP="00620DF0">
      <w:pPr>
        <w:tabs>
          <w:tab w:val="left" w:pos="720"/>
        </w:tabs>
        <w:spacing w:line="240" w:lineRule="auto"/>
        <w:jc w:val="center"/>
        <w:rPr>
          <w:rFonts w:eastAsia="Calibri" w:cs="Calibri"/>
          <w:b/>
          <w:spacing w:val="-2"/>
          <w:sz w:val="20"/>
          <w:szCs w:val="20"/>
        </w:rPr>
      </w:pPr>
    </w:p>
    <w:p w:rsidR="00747A39" w:rsidRDefault="00747A39" w:rsidP="00620DF0">
      <w:pPr>
        <w:tabs>
          <w:tab w:val="left" w:pos="720"/>
        </w:tabs>
        <w:spacing w:line="240" w:lineRule="auto"/>
        <w:jc w:val="center"/>
        <w:rPr>
          <w:rFonts w:eastAsia="Calibri" w:cs="Calibri"/>
          <w:b/>
          <w:spacing w:val="-2"/>
          <w:sz w:val="20"/>
          <w:szCs w:val="20"/>
        </w:rPr>
      </w:pPr>
    </w:p>
    <w:p w:rsidR="00747A39" w:rsidRDefault="00747A39" w:rsidP="00620DF0">
      <w:pPr>
        <w:tabs>
          <w:tab w:val="left" w:pos="720"/>
        </w:tabs>
        <w:spacing w:line="240" w:lineRule="auto"/>
        <w:jc w:val="center"/>
        <w:rPr>
          <w:rFonts w:eastAsia="Calibri" w:cs="Calibri"/>
          <w:b/>
          <w:spacing w:val="-2"/>
          <w:sz w:val="20"/>
          <w:szCs w:val="20"/>
        </w:rPr>
      </w:pPr>
    </w:p>
    <w:p w:rsidR="009264FB" w:rsidRDefault="009264FB" w:rsidP="00620DF0">
      <w:pPr>
        <w:tabs>
          <w:tab w:val="left" w:pos="720"/>
        </w:tabs>
        <w:spacing w:line="240" w:lineRule="auto"/>
        <w:jc w:val="center"/>
        <w:rPr>
          <w:rFonts w:eastAsia="Calibri" w:cs="Calibri"/>
          <w:b/>
          <w:spacing w:val="-2"/>
          <w:sz w:val="20"/>
          <w:szCs w:val="20"/>
          <w:lang w:val="es-ES_tradnl"/>
        </w:rPr>
      </w:pPr>
      <w:r w:rsidRPr="00370D5D">
        <w:rPr>
          <w:rFonts w:eastAsia="Calibri" w:cs="Calibri"/>
          <w:b/>
          <w:spacing w:val="-2"/>
          <w:sz w:val="20"/>
          <w:szCs w:val="20"/>
        </w:rPr>
        <w:t>CORTE INTERAMERICANA D</w:t>
      </w:r>
      <w:bookmarkStart w:id="0" w:name="_GoBack"/>
      <w:bookmarkEnd w:id="0"/>
      <w:r w:rsidRPr="00370D5D">
        <w:rPr>
          <w:rFonts w:eastAsia="Calibri" w:cs="Calibri"/>
          <w:b/>
          <w:spacing w:val="-2"/>
          <w:sz w:val="20"/>
          <w:szCs w:val="20"/>
        </w:rPr>
        <w:t>E DERECHOS HUMANOS</w:t>
      </w:r>
      <w:r>
        <w:rPr>
          <w:rStyle w:val="FootnoteReference"/>
          <w:rFonts w:eastAsia="Calibri" w:cs="Calibri"/>
          <w:b/>
          <w:spacing w:val="-2"/>
          <w:sz w:val="20"/>
          <w:szCs w:val="20"/>
        </w:rPr>
        <w:footnoteReference w:id="1"/>
      </w:r>
    </w:p>
    <w:p w:rsidR="009264FB" w:rsidRDefault="009264FB" w:rsidP="00620DF0">
      <w:pPr>
        <w:tabs>
          <w:tab w:val="left" w:pos="720"/>
        </w:tabs>
        <w:spacing w:line="240" w:lineRule="auto"/>
        <w:jc w:val="center"/>
        <w:rPr>
          <w:rFonts w:eastAsia="Calibri" w:cs="Calibri"/>
          <w:b/>
          <w:spacing w:val="-2"/>
          <w:sz w:val="20"/>
          <w:szCs w:val="20"/>
          <w:lang w:val="es-ES_tradnl"/>
        </w:rPr>
      </w:pPr>
    </w:p>
    <w:p w:rsidR="00620DF0" w:rsidRDefault="00620DF0" w:rsidP="00620DF0">
      <w:pPr>
        <w:tabs>
          <w:tab w:val="left" w:pos="720"/>
        </w:tabs>
        <w:spacing w:line="240" w:lineRule="auto"/>
        <w:jc w:val="center"/>
        <w:rPr>
          <w:rFonts w:eastAsia="Calibri" w:cs="Calibri"/>
          <w:b/>
          <w:spacing w:val="-2"/>
          <w:sz w:val="20"/>
          <w:szCs w:val="20"/>
          <w:lang w:val="es-ES_tradnl"/>
        </w:rPr>
      </w:pPr>
      <w:r w:rsidRPr="00D846F0">
        <w:rPr>
          <w:rFonts w:eastAsia="Calibri" w:cs="Calibri"/>
          <w:b/>
          <w:spacing w:val="-2"/>
          <w:sz w:val="20"/>
          <w:szCs w:val="20"/>
          <w:lang w:val="es-ES_tradnl"/>
        </w:rPr>
        <w:t>CASO MIEMBROS DE LA ALDEA CHICHUPAC Y COMUNIDADES VECINAS DEL MUNICIPIO DE RABINAL VS. GUATEMALA</w:t>
      </w:r>
    </w:p>
    <w:p w:rsidR="009264FB" w:rsidRDefault="009264FB" w:rsidP="00620DF0">
      <w:pPr>
        <w:tabs>
          <w:tab w:val="left" w:pos="720"/>
        </w:tabs>
        <w:spacing w:line="240" w:lineRule="auto"/>
        <w:jc w:val="center"/>
        <w:rPr>
          <w:rFonts w:eastAsia="Calibri" w:cs="Calibri"/>
          <w:b/>
          <w:spacing w:val="-2"/>
          <w:sz w:val="20"/>
          <w:szCs w:val="20"/>
          <w:lang w:val="es-ES_tradnl"/>
        </w:rPr>
      </w:pPr>
    </w:p>
    <w:p w:rsidR="009264FB" w:rsidRDefault="009264FB" w:rsidP="00620DF0">
      <w:pPr>
        <w:tabs>
          <w:tab w:val="left" w:pos="720"/>
        </w:tabs>
        <w:spacing w:line="240" w:lineRule="auto"/>
        <w:jc w:val="center"/>
        <w:rPr>
          <w:rFonts w:eastAsia="Calibri" w:cs="Calibri"/>
          <w:b/>
          <w:spacing w:val="-2"/>
          <w:sz w:val="20"/>
          <w:szCs w:val="20"/>
          <w:lang w:val="es-ES_tradnl"/>
        </w:rPr>
      </w:pPr>
      <w:r>
        <w:rPr>
          <w:rFonts w:eastAsia="Calibri" w:cs="Calibri"/>
          <w:b/>
          <w:spacing w:val="-2"/>
          <w:sz w:val="20"/>
          <w:szCs w:val="20"/>
          <w:lang w:val="es-ES_tradnl"/>
        </w:rPr>
        <w:t>SENTENCIA DE 30 DE NOVIEMBRE DE 2016</w:t>
      </w:r>
    </w:p>
    <w:p w:rsidR="009264FB" w:rsidRDefault="009264FB" w:rsidP="00620DF0">
      <w:pPr>
        <w:tabs>
          <w:tab w:val="left" w:pos="720"/>
        </w:tabs>
        <w:spacing w:line="240" w:lineRule="auto"/>
        <w:jc w:val="center"/>
        <w:rPr>
          <w:rFonts w:eastAsia="Calibri" w:cs="Calibri"/>
          <w:b/>
          <w:spacing w:val="-2"/>
          <w:sz w:val="20"/>
          <w:szCs w:val="20"/>
          <w:lang w:val="es-ES_tradnl"/>
        </w:rPr>
      </w:pPr>
    </w:p>
    <w:p w:rsidR="009264FB" w:rsidRPr="009264FB" w:rsidRDefault="009264FB" w:rsidP="009264FB">
      <w:pPr>
        <w:tabs>
          <w:tab w:val="left" w:pos="720"/>
        </w:tabs>
        <w:spacing w:line="240" w:lineRule="auto"/>
        <w:jc w:val="center"/>
        <w:rPr>
          <w:rFonts w:eastAsia="Calibri" w:cs="Calibri"/>
          <w:b/>
          <w:i/>
          <w:spacing w:val="-2"/>
          <w:sz w:val="20"/>
          <w:szCs w:val="20"/>
          <w:lang w:val="es-ES_tradnl"/>
        </w:rPr>
      </w:pPr>
      <w:r>
        <w:rPr>
          <w:rFonts w:eastAsia="Calibri" w:cs="Calibri"/>
          <w:b/>
          <w:i/>
          <w:spacing w:val="-2"/>
          <w:sz w:val="20"/>
          <w:szCs w:val="20"/>
          <w:lang w:val="es-ES_tradnl"/>
        </w:rPr>
        <w:t>(Excepciones preliminares, Fondo, Reparaciones y Costas)</w:t>
      </w:r>
    </w:p>
    <w:p w:rsidR="009264FB" w:rsidRDefault="009264FB" w:rsidP="00620DF0">
      <w:pPr>
        <w:tabs>
          <w:tab w:val="left" w:pos="720"/>
        </w:tabs>
        <w:spacing w:line="240" w:lineRule="auto"/>
        <w:jc w:val="center"/>
        <w:rPr>
          <w:rFonts w:eastAsia="Calibri" w:cs="Calibri"/>
          <w:b/>
          <w:spacing w:val="-2"/>
          <w:sz w:val="20"/>
          <w:szCs w:val="20"/>
          <w:lang w:val="es-ES_tradnl"/>
        </w:rPr>
      </w:pPr>
    </w:p>
    <w:p w:rsidR="009264FB" w:rsidRPr="009264FB" w:rsidRDefault="009264FB" w:rsidP="00620DF0">
      <w:pPr>
        <w:tabs>
          <w:tab w:val="left" w:pos="720"/>
        </w:tabs>
        <w:spacing w:line="240" w:lineRule="auto"/>
        <w:jc w:val="center"/>
        <w:rPr>
          <w:rFonts w:eastAsia="Calibri" w:cs="Calibri"/>
          <w:b/>
          <w:spacing w:val="-2"/>
          <w:sz w:val="20"/>
          <w:szCs w:val="20"/>
        </w:rPr>
      </w:pPr>
      <w:r w:rsidRPr="009264FB">
        <w:rPr>
          <w:rFonts w:eastAsia="Calibri" w:cs="Calibri"/>
          <w:b/>
          <w:spacing w:val="-2"/>
          <w:sz w:val="20"/>
          <w:szCs w:val="20"/>
        </w:rPr>
        <w:t>RESUMEN OFICIAL EMITIDO POR LA CORTE INTERAMERICANA</w:t>
      </w:r>
    </w:p>
    <w:p w:rsidR="00620DF0" w:rsidRPr="000B1E3E" w:rsidRDefault="00620DF0" w:rsidP="008B45B5">
      <w:pPr>
        <w:tabs>
          <w:tab w:val="left" w:pos="720"/>
        </w:tabs>
        <w:spacing w:line="240" w:lineRule="auto"/>
        <w:jc w:val="center"/>
        <w:rPr>
          <w:rFonts w:eastAsia="Calibri" w:cs="Calibri"/>
          <w:b/>
          <w:spacing w:val="-2"/>
          <w:sz w:val="20"/>
          <w:szCs w:val="20"/>
          <w:lang w:val="es-ES_tradnl"/>
        </w:rPr>
      </w:pPr>
    </w:p>
    <w:p w:rsidR="009264FB" w:rsidRDefault="002A4349" w:rsidP="002A4349">
      <w:pPr>
        <w:tabs>
          <w:tab w:val="left" w:pos="720"/>
          <w:tab w:val="center" w:pos="4896"/>
        </w:tabs>
        <w:spacing w:line="240" w:lineRule="auto"/>
        <w:rPr>
          <w:sz w:val="20"/>
          <w:szCs w:val="20"/>
        </w:rPr>
      </w:pPr>
      <w:r>
        <w:rPr>
          <w:rFonts w:eastAsia="Calibri" w:cs="Calibri"/>
          <w:spacing w:val="-2"/>
          <w:sz w:val="20"/>
          <w:szCs w:val="20"/>
          <w:lang w:val="es-ES_tradnl"/>
        </w:rPr>
        <w:t>El 30 de noviembre de 2016 la C</w:t>
      </w:r>
      <w:r w:rsidRPr="002A4349">
        <w:rPr>
          <w:rFonts w:eastAsia="Calibri" w:cs="Calibri"/>
          <w:spacing w:val="-2"/>
          <w:sz w:val="20"/>
          <w:szCs w:val="20"/>
          <w:lang w:val="es-ES_tradnl"/>
        </w:rPr>
        <w:t>orte Interamericana de Derechos Humanos (en adelante “la</w:t>
      </w:r>
      <w:r>
        <w:rPr>
          <w:rFonts w:eastAsia="Calibri" w:cs="Calibri"/>
          <w:spacing w:val="-2"/>
          <w:sz w:val="20"/>
          <w:szCs w:val="20"/>
          <w:lang w:val="es-ES_tradnl"/>
        </w:rPr>
        <w:t xml:space="preserve"> </w:t>
      </w:r>
      <w:r w:rsidRPr="002A4349">
        <w:rPr>
          <w:rFonts w:eastAsia="Calibri" w:cs="Calibri"/>
          <w:spacing w:val="-2"/>
          <w:sz w:val="20"/>
          <w:szCs w:val="20"/>
          <w:lang w:val="es-ES_tradnl"/>
        </w:rPr>
        <w:t>Corte</w:t>
      </w:r>
      <w:r>
        <w:rPr>
          <w:rFonts w:eastAsia="Calibri" w:cs="Calibri"/>
          <w:spacing w:val="-2"/>
          <w:sz w:val="20"/>
          <w:szCs w:val="20"/>
          <w:lang w:val="es-ES_tradnl"/>
        </w:rPr>
        <w:t xml:space="preserve"> </w:t>
      </w:r>
      <w:r w:rsidRPr="002A4349">
        <w:rPr>
          <w:rFonts w:eastAsia="Calibri" w:cs="Calibri"/>
          <w:spacing w:val="-2"/>
          <w:sz w:val="20"/>
          <w:szCs w:val="20"/>
          <w:lang w:val="es-ES_tradnl"/>
        </w:rPr>
        <w:t>Interamericana”, “la Corte” o “este Tribunal”) dictó una Sentencia mediante la cual</w:t>
      </w:r>
      <w:r>
        <w:rPr>
          <w:rFonts w:eastAsia="Calibri" w:cs="Calibri"/>
          <w:spacing w:val="-2"/>
          <w:sz w:val="20"/>
          <w:szCs w:val="20"/>
          <w:lang w:val="es-ES_tradnl"/>
        </w:rPr>
        <w:t xml:space="preserve"> </w:t>
      </w:r>
      <w:r w:rsidRPr="002A4349">
        <w:rPr>
          <w:rFonts w:eastAsia="Calibri" w:cs="Calibri"/>
          <w:spacing w:val="-2"/>
          <w:sz w:val="20"/>
          <w:szCs w:val="20"/>
          <w:lang w:val="es-ES_tradnl"/>
        </w:rPr>
        <w:t>declaró responsable internacionalmente al Estado de</w:t>
      </w:r>
      <w:r>
        <w:rPr>
          <w:rFonts w:eastAsia="Calibri" w:cs="Calibri"/>
          <w:spacing w:val="-2"/>
          <w:sz w:val="20"/>
          <w:szCs w:val="20"/>
          <w:lang w:val="es-ES_tradnl"/>
        </w:rPr>
        <w:t xml:space="preserve"> Guatemala</w:t>
      </w:r>
      <w:r w:rsidRPr="002A4349">
        <w:rPr>
          <w:rFonts w:eastAsia="Calibri" w:cs="Calibri"/>
          <w:spacing w:val="-2"/>
          <w:sz w:val="20"/>
          <w:szCs w:val="20"/>
          <w:lang w:val="es-ES_tradnl"/>
        </w:rPr>
        <w:t xml:space="preserve"> </w:t>
      </w:r>
      <w:r w:rsidR="00222B0B">
        <w:rPr>
          <w:rFonts w:eastAsia="Calibri" w:cs="Calibri"/>
          <w:spacing w:val="-2"/>
          <w:sz w:val="20"/>
          <w:szCs w:val="20"/>
          <w:lang w:val="es-ES_tradnl"/>
        </w:rPr>
        <w:t xml:space="preserve">por </w:t>
      </w:r>
      <w:r w:rsidRPr="002A4349">
        <w:rPr>
          <w:rFonts w:eastAsia="Calibri" w:cs="Calibri"/>
          <w:spacing w:val="-2"/>
          <w:sz w:val="20"/>
          <w:szCs w:val="20"/>
          <w:lang w:val="es-ES_tradnl"/>
        </w:rPr>
        <w:t>la violación</w:t>
      </w:r>
      <w:r>
        <w:rPr>
          <w:rFonts w:eastAsia="Calibri" w:cs="Calibri"/>
          <w:spacing w:val="-2"/>
          <w:sz w:val="20"/>
          <w:szCs w:val="20"/>
          <w:lang w:val="es-ES_tradnl"/>
        </w:rPr>
        <w:t xml:space="preserve"> de</w:t>
      </w:r>
      <w:r w:rsidRPr="002A4349">
        <w:rPr>
          <w:rFonts w:eastAsia="Calibri" w:cs="Calibri"/>
          <w:spacing w:val="-2"/>
          <w:sz w:val="20"/>
          <w:szCs w:val="20"/>
          <w:lang w:val="es-ES_tradnl"/>
        </w:rPr>
        <w:t>:</w:t>
      </w:r>
      <w:r>
        <w:rPr>
          <w:rFonts w:eastAsia="Calibri" w:cs="Calibri"/>
          <w:spacing w:val="-2"/>
          <w:sz w:val="20"/>
          <w:szCs w:val="20"/>
          <w:lang w:val="es-ES_tradnl"/>
        </w:rPr>
        <w:t xml:space="preserve"> i) </w:t>
      </w:r>
      <w:r w:rsidRPr="00370D5D">
        <w:rPr>
          <w:sz w:val="20"/>
          <w:szCs w:val="20"/>
        </w:rPr>
        <w:t xml:space="preserve">los derechos a la libertad personal, integridad personal, vida y al reconocimiento de la personalidad jurídica, reconocidos en los artículos 7, 5.1 y 5.2, 4.1 y 3 de la Convención Americana, en relación con el artículo 1.1 del mismo instrumento y con el artículo </w:t>
      </w:r>
      <w:proofErr w:type="spellStart"/>
      <w:r w:rsidRPr="00370D5D">
        <w:rPr>
          <w:sz w:val="20"/>
          <w:szCs w:val="20"/>
        </w:rPr>
        <w:t>I.a</w:t>
      </w:r>
      <w:proofErr w:type="spellEnd"/>
      <w:r w:rsidRPr="00370D5D">
        <w:rPr>
          <w:sz w:val="20"/>
          <w:szCs w:val="20"/>
        </w:rPr>
        <w:t>) de la Convención Interamericana sobre Desaparición Forzada de Personas, en perjuicio de 22 víctimas de desaparición forzada</w:t>
      </w:r>
      <w:r>
        <w:rPr>
          <w:sz w:val="20"/>
          <w:szCs w:val="20"/>
        </w:rPr>
        <w:t xml:space="preserve">; ii) los derechos a </w:t>
      </w:r>
      <w:r w:rsidRPr="00370D5D">
        <w:rPr>
          <w:spacing w:val="-2"/>
          <w:sz w:val="20"/>
          <w:szCs w:val="20"/>
        </w:rPr>
        <w:t>la integridad psíquica y moral y a la protección a la familia</w:t>
      </w:r>
      <w:r>
        <w:rPr>
          <w:spacing w:val="-2"/>
          <w:sz w:val="20"/>
          <w:szCs w:val="20"/>
        </w:rPr>
        <w:t>,</w:t>
      </w:r>
      <w:r w:rsidRPr="002A4349">
        <w:t xml:space="preserve"> </w:t>
      </w:r>
      <w:r w:rsidRPr="002A4349">
        <w:rPr>
          <w:spacing w:val="-2"/>
          <w:sz w:val="20"/>
          <w:szCs w:val="20"/>
        </w:rPr>
        <w:t>establecidos en los artículos 5.1 y 17.1 de la Convención Americana, en relación con el artículo 1.1 del mismo instrumento, en perjuicio de los familiares de las víctimas de desaparición forzada</w:t>
      </w:r>
      <w:r>
        <w:rPr>
          <w:spacing w:val="-2"/>
          <w:sz w:val="20"/>
          <w:szCs w:val="20"/>
        </w:rPr>
        <w:t xml:space="preserve">; iii) el </w:t>
      </w:r>
      <w:r w:rsidRPr="00370D5D">
        <w:rPr>
          <w:rFonts w:eastAsia="Batang" w:cs="Times"/>
          <w:sz w:val="20"/>
          <w:szCs w:val="20"/>
        </w:rPr>
        <w:t>derecho a la circulación y residencia establecido en el artículo 22.1 de la Convención Americana</w:t>
      </w:r>
      <w:r w:rsidR="00EC0364">
        <w:rPr>
          <w:rFonts w:eastAsia="Batang" w:cs="Times"/>
          <w:sz w:val="20"/>
          <w:szCs w:val="20"/>
        </w:rPr>
        <w:t>, en perjuicio</w:t>
      </w:r>
      <w:r>
        <w:rPr>
          <w:rFonts w:eastAsia="Batang" w:cs="Times"/>
          <w:sz w:val="20"/>
          <w:szCs w:val="20"/>
        </w:rPr>
        <w:t xml:space="preserve"> de </w:t>
      </w:r>
      <w:r w:rsidR="00EC0364">
        <w:rPr>
          <w:rFonts w:eastAsia="Batang" w:cs="Times"/>
          <w:sz w:val="20"/>
          <w:szCs w:val="20"/>
        </w:rPr>
        <w:t xml:space="preserve">las </w:t>
      </w:r>
      <w:r>
        <w:rPr>
          <w:rFonts w:eastAsia="Batang" w:cs="Times"/>
          <w:sz w:val="20"/>
          <w:szCs w:val="20"/>
        </w:rPr>
        <w:t>personas</w:t>
      </w:r>
      <w:r w:rsidR="00EC0364">
        <w:rPr>
          <w:rFonts w:eastAsia="Batang" w:cs="Times"/>
          <w:sz w:val="20"/>
          <w:szCs w:val="20"/>
        </w:rPr>
        <w:t xml:space="preserve"> que permanecieron desplazadas luego del 9 de marzo de 1987</w:t>
      </w:r>
      <w:r>
        <w:rPr>
          <w:rFonts w:eastAsia="Batang" w:cs="Times"/>
          <w:sz w:val="20"/>
          <w:szCs w:val="20"/>
        </w:rPr>
        <w:t xml:space="preserve">, y iv) </w:t>
      </w:r>
      <w:r w:rsidRPr="00370D5D">
        <w:rPr>
          <w:rFonts w:eastAsia="Batang" w:cs="Times"/>
          <w:sz w:val="20"/>
          <w:szCs w:val="20"/>
        </w:rPr>
        <w:t xml:space="preserve">los derechos a las garantías y la protección judiciales reconocidos en </w:t>
      </w:r>
      <w:r w:rsidRPr="00370D5D">
        <w:rPr>
          <w:sz w:val="20"/>
          <w:szCs w:val="20"/>
        </w:rPr>
        <w:t xml:space="preserve">los artículos 8.1 y 25.1 de la Convención Americana, en relación con el artículo 1.1 de la misma, así como por el incumplimiento de las obligaciones establecidas en los </w:t>
      </w:r>
      <w:r w:rsidRPr="00370D5D">
        <w:rPr>
          <w:rFonts w:eastAsia="Batang"/>
          <w:bCs/>
          <w:snapToGrid w:val="0"/>
          <w:kern w:val="32"/>
          <w:sz w:val="20"/>
          <w:szCs w:val="20"/>
          <w:lang w:eastAsia="es-ES"/>
        </w:rPr>
        <w:t>artículos</w:t>
      </w:r>
      <w:r w:rsidRPr="00370D5D">
        <w:rPr>
          <w:sz w:val="20"/>
          <w:szCs w:val="20"/>
        </w:rPr>
        <w:t xml:space="preserve"> 1, 6 y 8 de la Convención Interamericana para Prevenir y Sancionar la Tortura, el artículo </w:t>
      </w:r>
      <w:proofErr w:type="spellStart"/>
      <w:r w:rsidRPr="00370D5D">
        <w:rPr>
          <w:sz w:val="20"/>
          <w:szCs w:val="20"/>
        </w:rPr>
        <w:t>I.b</w:t>
      </w:r>
      <w:proofErr w:type="spellEnd"/>
      <w:r w:rsidRPr="00370D5D">
        <w:rPr>
          <w:sz w:val="20"/>
          <w:szCs w:val="20"/>
        </w:rPr>
        <w:t xml:space="preserve">) de la </w:t>
      </w:r>
      <w:r w:rsidR="002A3B85" w:rsidRPr="002A3B85">
        <w:rPr>
          <w:sz w:val="20"/>
          <w:szCs w:val="20"/>
        </w:rPr>
        <w:t xml:space="preserve">Convención Interamericana sobre Desaparición Forzada de Personas </w:t>
      </w:r>
      <w:r w:rsidRPr="00370D5D">
        <w:rPr>
          <w:sz w:val="20"/>
          <w:szCs w:val="20"/>
        </w:rPr>
        <w:t xml:space="preserve">y el artículo 7.b de la </w:t>
      </w:r>
      <w:r w:rsidRPr="00370D5D">
        <w:rPr>
          <w:rFonts w:eastAsia="Calibri"/>
          <w:sz w:val="20"/>
          <w:szCs w:val="20"/>
        </w:rPr>
        <w:t>Convención Interamericana para Prevenir, Sancionar y Erradicar la Violencia contra la Mujer</w:t>
      </w:r>
      <w:r w:rsidR="000E37B8">
        <w:rPr>
          <w:rFonts w:eastAsia="Calibri"/>
          <w:sz w:val="20"/>
          <w:szCs w:val="20"/>
        </w:rPr>
        <w:t>,</w:t>
      </w:r>
      <w:r w:rsidRPr="00370D5D">
        <w:rPr>
          <w:sz w:val="20"/>
          <w:szCs w:val="20"/>
        </w:rPr>
        <w:t xml:space="preserve"> a partir del momento en que estas entraron en vigor en Guatemala. Todo ello, en perjuicio de las víctimas o sus familiares, en sus respectivas circunstancias</w:t>
      </w:r>
      <w:r>
        <w:rPr>
          <w:sz w:val="20"/>
          <w:szCs w:val="20"/>
        </w:rPr>
        <w:t xml:space="preserve">. </w:t>
      </w:r>
      <w:r w:rsidRPr="00370D5D">
        <w:rPr>
          <w:sz w:val="20"/>
          <w:szCs w:val="20"/>
        </w:rPr>
        <w:t>Además, el Estado violó el derecho de los familiares de las víctimas desaparecidas a conocer la verdad</w:t>
      </w:r>
      <w:r>
        <w:rPr>
          <w:sz w:val="20"/>
          <w:szCs w:val="20"/>
        </w:rPr>
        <w:t>.</w:t>
      </w:r>
    </w:p>
    <w:p w:rsidR="009264FB" w:rsidRDefault="009264FB" w:rsidP="002A4349">
      <w:pPr>
        <w:tabs>
          <w:tab w:val="left" w:pos="720"/>
          <w:tab w:val="center" w:pos="4896"/>
        </w:tabs>
        <w:spacing w:line="240" w:lineRule="auto"/>
        <w:rPr>
          <w:sz w:val="20"/>
          <w:szCs w:val="20"/>
        </w:rPr>
      </w:pPr>
    </w:p>
    <w:p w:rsidR="00A973BD" w:rsidRPr="0032127E" w:rsidRDefault="00A45606" w:rsidP="002A4349">
      <w:pPr>
        <w:tabs>
          <w:tab w:val="left" w:pos="720"/>
          <w:tab w:val="center" w:pos="4896"/>
        </w:tabs>
        <w:spacing w:line="240" w:lineRule="auto"/>
        <w:rPr>
          <w:sz w:val="20"/>
          <w:szCs w:val="20"/>
        </w:rPr>
      </w:pPr>
      <w:r>
        <w:rPr>
          <w:sz w:val="20"/>
          <w:szCs w:val="20"/>
        </w:rPr>
        <w:t>La</w:t>
      </w:r>
      <w:r w:rsidR="00222B0B">
        <w:rPr>
          <w:sz w:val="20"/>
          <w:szCs w:val="20"/>
        </w:rPr>
        <w:t xml:space="preserve"> Corte </w:t>
      </w:r>
      <w:r>
        <w:rPr>
          <w:sz w:val="20"/>
          <w:szCs w:val="20"/>
        </w:rPr>
        <w:t>declaró que</w:t>
      </w:r>
      <w:r w:rsidR="009C09A7">
        <w:rPr>
          <w:sz w:val="20"/>
          <w:szCs w:val="20"/>
        </w:rPr>
        <w:t>, como Guatemala reconoció su competencia contenciosa el 9 de marzo de 1987,</w:t>
      </w:r>
      <w:r>
        <w:rPr>
          <w:sz w:val="20"/>
          <w:szCs w:val="20"/>
        </w:rPr>
        <w:t xml:space="preserve"> </w:t>
      </w:r>
      <w:r w:rsidR="00222B0B">
        <w:rPr>
          <w:sz w:val="20"/>
          <w:szCs w:val="20"/>
        </w:rPr>
        <w:t>no tenía competencia temporal para conocer de</w:t>
      </w:r>
      <w:r w:rsidR="009264FB">
        <w:rPr>
          <w:sz w:val="20"/>
          <w:szCs w:val="20"/>
        </w:rPr>
        <w:t xml:space="preserve"> </w:t>
      </w:r>
      <w:r>
        <w:rPr>
          <w:sz w:val="20"/>
          <w:szCs w:val="20"/>
        </w:rPr>
        <w:t xml:space="preserve">la </w:t>
      </w:r>
      <w:r w:rsidR="00307EAE">
        <w:rPr>
          <w:sz w:val="20"/>
          <w:szCs w:val="20"/>
        </w:rPr>
        <w:t>masacre de 32 personas</w:t>
      </w:r>
      <w:r>
        <w:rPr>
          <w:sz w:val="20"/>
          <w:szCs w:val="20"/>
        </w:rPr>
        <w:t xml:space="preserve"> ocurrida el 8 de enero de 1982</w:t>
      </w:r>
      <w:r w:rsidR="00307EAE">
        <w:rPr>
          <w:sz w:val="20"/>
          <w:szCs w:val="20"/>
        </w:rPr>
        <w:t>, así como de una</w:t>
      </w:r>
      <w:r w:rsidR="009264FB">
        <w:rPr>
          <w:sz w:val="20"/>
          <w:szCs w:val="20"/>
        </w:rPr>
        <w:t xml:space="preserve"> serie de </w:t>
      </w:r>
      <w:r w:rsidR="009264FB" w:rsidRPr="009264FB">
        <w:rPr>
          <w:sz w:val="20"/>
          <w:szCs w:val="20"/>
        </w:rPr>
        <w:t>ejecuciones, torturas, violaciones sexuales, detenciones, desplazamiento forz</w:t>
      </w:r>
      <w:r w:rsidR="00307EAE">
        <w:rPr>
          <w:sz w:val="20"/>
          <w:szCs w:val="20"/>
        </w:rPr>
        <w:t>oso</w:t>
      </w:r>
      <w:r w:rsidR="009264FB" w:rsidRPr="009264FB">
        <w:rPr>
          <w:sz w:val="20"/>
          <w:szCs w:val="20"/>
        </w:rPr>
        <w:t xml:space="preserve"> y trabajos forz</w:t>
      </w:r>
      <w:r w:rsidR="00307EAE">
        <w:rPr>
          <w:sz w:val="20"/>
          <w:szCs w:val="20"/>
        </w:rPr>
        <w:t>osos</w:t>
      </w:r>
      <w:r>
        <w:rPr>
          <w:sz w:val="20"/>
          <w:szCs w:val="20"/>
        </w:rPr>
        <w:t>, entre otros,</w:t>
      </w:r>
      <w:r w:rsidR="009264FB" w:rsidRPr="009264FB">
        <w:rPr>
          <w:sz w:val="20"/>
          <w:szCs w:val="20"/>
        </w:rPr>
        <w:t xml:space="preserve"> cometidos </w:t>
      </w:r>
      <w:r w:rsidR="00222B0B" w:rsidRPr="009264FB">
        <w:rPr>
          <w:sz w:val="20"/>
          <w:szCs w:val="20"/>
        </w:rPr>
        <w:t xml:space="preserve">entre </w:t>
      </w:r>
      <w:r w:rsidR="00222B0B">
        <w:rPr>
          <w:sz w:val="20"/>
          <w:szCs w:val="20"/>
        </w:rPr>
        <w:t xml:space="preserve">los años </w:t>
      </w:r>
      <w:r w:rsidR="00222B0B" w:rsidRPr="009264FB">
        <w:rPr>
          <w:sz w:val="20"/>
          <w:szCs w:val="20"/>
        </w:rPr>
        <w:t>1981 y 1986</w:t>
      </w:r>
      <w:r w:rsidR="00DD0F92">
        <w:rPr>
          <w:sz w:val="20"/>
          <w:szCs w:val="20"/>
        </w:rPr>
        <w:t xml:space="preserve"> </w:t>
      </w:r>
      <w:r w:rsidR="009264FB" w:rsidRPr="009264FB">
        <w:rPr>
          <w:sz w:val="20"/>
          <w:szCs w:val="20"/>
        </w:rPr>
        <w:t xml:space="preserve">en </w:t>
      </w:r>
      <w:r w:rsidR="00307EAE">
        <w:rPr>
          <w:sz w:val="20"/>
          <w:szCs w:val="20"/>
        </w:rPr>
        <w:t>contra</w:t>
      </w:r>
      <w:r w:rsidR="009264FB" w:rsidRPr="009264FB">
        <w:rPr>
          <w:sz w:val="20"/>
          <w:szCs w:val="20"/>
        </w:rPr>
        <w:t xml:space="preserve"> de los indígenas maya </w:t>
      </w:r>
      <w:proofErr w:type="spellStart"/>
      <w:r w:rsidR="009264FB" w:rsidRPr="009264FB">
        <w:rPr>
          <w:sz w:val="20"/>
          <w:szCs w:val="20"/>
        </w:rPr>
        <w:t>achí</w:t>
      </w:r>
      <w:proofErr w:type="spellEnd"/>
      <w:r w:rsidR="009264FB" w:rsidRPr="009264FB">
        <w:rPr>
          <w:sz w:val="20"/>
          <w:szCs w:val="20"/>
        </w:rPr>
        <w:t xml:space="preserve"> de </w:t>
      </w:r>
      <w:r w:rsidR="00307EAE">
        <w:rPr>
          <w:sz w:val="20"/>
          <w:szCs w:val="20"/>
        </w:rPr>
        <w:t>la</w:t>
      </w:r>
      <w:r w:rsidR="009264FB" w:rsidRPr="009264FB">
        <w:rPr>
          <w:sz w:val="20"/>
          <w:szCs w:val="20"/>
        </w:rPr>
        <w:t xml:space="preserve"> aldea</w:t>
      </w:r>
      <w:r w:rsidR="00307EAE">
        <w:rPr>
          <w:sz w:val="20"/>
          <w:szCs w:val="20"/>
        </w:rPr>
        <w:t xml:space="preserve"> </w:t>
      </w:r>
      <w:proofErr w:type="spellStart"/>
      <w:r w:rsidR="00307EAE">
        <w:rPr>
          <w:sz w:val="20"/>
          <w:szCs w:val="20"/>
        </w:rPr>
        <w:t>Chichupac</w:t>
      </w:r>
      <w:proofErr w:type="spellEnd"/>
      <w:r w:rsidR="009264FB" w:rsidRPr="009264FB">
        <w:rPr>
          <w:sz w:val="20"/>
          <w:szCs w:val="20"/>
        </w:rPr>
        <w:t xml:space="preserve"> y comunidades vecinas </w:t>
      </w:r>
      <w:r w:rsidR="00222B0B">
        <w:rPr>
          <w:sz w:val="20"/>
          <w:szCs w:val="20"/>
        </w:rPr>
        <w:t>del municipio de Rabinal</w:t>
      </w:r>
      <w:r>
        <w:rPr>
          <w:sz w:val="20"/>
          <w:szCs w:val="20"/>
        </w:rPr>
        <w:t>, hechos que no fueron negados por el Estado. Sin embargo,</w:t>
      </w:r>
      <w:r w:rsidR="00DD0F92">
        <w:rPr>
          <w:sz w:val="20"/>
          <w:szCs w:val="20"/>
        </w:rPr>
        <w:t xml:space="preserve"> </w:t>
      </w:r>
      <w:r w:rsidR="00B47A8E">
        <w:rPr>
          <w:sz w:val="20"/>
          <w:szCs w:val="20"/>
        </w:rPr>
        <w:t>e</w:t>
      </w:r>
      <w:r w:rsidR="00307EAE">
        <w:rPr>
          <w:sz w:val="20"/>
          <w:szCs w:val="20"/>
        </w:rPr>
        <w:t xml:space="preserve">l Tribunal determinó </w:t>
      </w:r>
      <w:r w:rsidR="00B47A8E">
        <w:rPr>
          <w:sz w:val="20"/>
          <w:szCs w:val="20"/>
        </w:rPr>
        <w:t>la responsabilidad del Estado por</w:t>
      </w:r>
      <w:r w:rsidR="00DD0F92">
        <w:rPr>
          <w:sz w:val="20"/>
          <w:szCs w:val="20"/>
        </w:rPr>
        <w:t xml:space="preserve"> </w:t>
      </w:r>
      <w:r>
        <w:rPr>
          <w:sz w:val="20"/>
          <w:szCs w:val="20"/>
        </w:rPr>
        <w:t xml:space="preserve">los hechos sobre los cuales sí tenía competencia temporal, a saber, </w:t>
      </w:r>
      <w:r w:rsidR="00DD0F92">
        <w:rPr>
          <w:sz w:val="20"/>
          <w:szCs w:val="20"/>
        </w:rPr>
        <w:t xml:space="preserve">las </w:t>
      </w:r>
      <w:r w:rsidR="00DD0F92" w:rsidRPr="00DD0F92">
        <w:rPr>
          <w:sz w:val="20"/>
          <w:szCs w:val="20"/>
        </w:rPr>
        <w:t>desaparici</w:t>
      </w:r>
      <w:r w:rsidR="00DD0F92">
        <w:rPr>
          <w:sz w:val="20"/>
          <w:szCs w:val="20"/>
        </w:rPr>
        <w:t xml:space="preserve">ones forzadas </w:t>
      </w:r>
      <w:r w:rsidR="009C09A7">
        <w:rPr>
          <w:sz w:val="20"/>
          <w:szCs w:val="20"/>
        </w:rPr>
        <w:t>por su carácter continuo,</w:t>
      </w:r>
      <w:r w:rsidR="00DD0F92" w:rsidRPr="00DD0F92">
        <w:rPr>
          <w:sz w:val="20"/>
          <w:szCs w:val="20"/>
        </w:rPr>
        <w:t xml:space="preserve"> </w:t>
      </w:r>
      <w:r w:rsidR="00DD0F92">
        <w:rPr>
          <w:sz w:val="20"/>
          <w:szCs w:val="20"/>
        </w:rPr>
        <w:t xml:space="preserve">así como </w:t>
      </w:r>
      <w:r w:rsidR="00B47A8E">
        <w:rPr>
          <w:sz w:val="20"/>
          <w:szCs w:val="20"/>
        </w:rPr>
        <w:t>por</w:t>
      </w:r>
      <w:r w:rsidR="00DD0F92" w:rsidRPr="00DD0F92">
        <w:rPr>
          <w:sz w:val="20"/>
          <w:szCs w:val="20"/>
        </w:rPr>
        <w:t xml:space="preserve"> </w:t>
      </w:r>
      <w:r w:rsidR="00B47A8E">
        <w:rPr>
          <w:sz w:val="20"/>
          <w:szCs w:val="20"/>
        </w:rPr>
        <w:t xml:space="preserve">la </w:t>
      </w:r>
      <w:r w:rsidR="00DD0F92" w:rsidRPr="00DD0F92">
        <w:rPr>
          <w:sz w:val="20"/>
          <w:szCs w:val="20"/>
        </w:rPr>
        <w:t>omisión por parte del Estado de implementar</w:t>
      </w:r>
      <w:r w:rsidR="00C1283A">
        <w:rPr>
          <w:sz w:val="20"/>
          <w:szCs w:val="20"/>
        </w:rPr>
        <w:t>,</w:t>
      </w:r>
      <w:r w:rsidR="00DD0F92" w:rsidRPr="00DD0F92">
        <w:rPr>
          <w:sz w:val="20"/>
          <w:szCs w:val="20"/>
        </w:rPr>
        <w:t xml:space="preserve"> </w:t>
      </w:r>
      <w:r w:rsidR="00C1283A">
        <w:rPr>
          <w:sz w:val="20"/>
          <w:szCs w:val="20"/>
        </w:rPr>
        <w:t xml:space="preserve">con posterioridad a dicha fecha, </w:t>
      </w:r>
      <w:r w:rsidR="00DD0F92" w:rsidRPr="00DD0F92">
        <w:rPr>
          <w:sz w:val="20"/>
          <w:szCs w:val="20"/>
        </w:rPr>
        <w:t xml:space="preserve">garantías de retorno o un reasentamiento voluntario a favor de aquellas personas </w:t>
      </w:r>
      <w:r w:rsidR="00DD0F92">
        <w:rPr>
          <w:sz w:val="20"/>
          <w:szCs w:val="20"/>
        </w:rPr>
        <w:t>que permanecieron desplazadas</w:t>
      </w:r>
      <w:r w:rsidR="00F6284D">
        <w:rPr>
          <w:sz w:val="20"/>
          <w:szCs w:val="20"/>
        </w:rPr>
        <w:t>. Además</w:t>
      </w:r>
      <w:r w:rsidR="00DD0F92">
        <w:rPr>
          <w:sz w:val="20"/>
          <w:szCs w:val="20"/>
        </w:rPr>
        <w:t>,</w:t>
      </w:r>
      <w:r w:rsidR="00F6284D">
        <w:rPr>
          <w:sz w:val="20"/>
          <w:szCs w:val="20"/>
        </w:rPr>
        <w:t xml:space="preserve"> declaró la responsabilidad de Guatemala</w:t>
      </w:r>
      <w:r w:rsidR="00DD0F92" w:rsidRPr="00DD0F92">
        <w:rPr>
          <w:sz w:val="20"/>
          <w:szCs w:val="20"/>
        </w:rPr>
        <w:t xml:space="preserve"> </w:t>
      </w:r>
      <w:r w:rsidR="00B47A8E">
        <w:rPr>
          <w:sz w:val="20"/>
          <w:szCs w:val="20"/>
        </w:rPr>
        <w:t xml:space="preserve">por </w:t>
      </w:r>
      <w:r w:rsidR="00B47A8E" w:rsidRPr="00B47A8E">
        <w:rPr>
          <w:sz w:val="20"/>
          <w:szCs w:val="20"/>
        </w:rPr>
        <w:t xml:space="preserve">no dirigir eficazmente la investigación de los hechos, con debida diligencia y dentro de un plazo razonable de modo que se examinaran de </w:t>
      </w:r>
      <w:r w:rsidR="00B47A8E" w:rsidRPr="00B47A8E">
        <w:rPr>
          <w:sz w:val="20"/>
          <w:szCs w:val="20"/>
        </w:rPr>
        <w:lastRenderedPageBreak/>
        <w:t>forma completa y exhaustiva la multiplicidad de graves violaciones a los derechos humanos ocasionadas o alegadas, dentro del particular contexto en el cual sucedieron</w:t>
      </w:r>
      <w:r w:rsidR="00B47A8E">
        <w:rPr>
          <w:sz w:val="20"/>
          <w:szCs w:val="20"/>
        </w:rPr>
        <w:t>.</w:t>
      </w:r>
    </w:p>
    <w:p w:rsidR="00A973BD" w:rsidRPr="00987267" w:rsidRDefault="00A973BD" w:rsidP="00A973BD">
      <w:pPr>
        <w:tabs>
          <w:tab w:val="left" w:pos="720"/>
        </w:tabs>
        <w:spacing w:line="240" w:lineRule="auto"/>
        <w:rPr>
          <w:rFonts w:eastAsia="Calibri" w:cs="Calibri"/>
          <w:b/>
          <w:spacing w:val="-2"/>
          <w:sz w:val="20"/>
          <w:szCs w:val="20"/>
          <w:lang w:val="es-ES_tradnl"/>
        </w:rPr>
      </w:pPr>
    </w:p>
    <w:p w:rsidR="00666D16" w:rsidRPr="0032127E" w:rsidRDefault="00666D16" w:rsidP="00666D16">
      <w:pPr>
        <w:tabs>
          <w:tab w:val="left" w:pos="720"/>
        </w:tabs>
        <w:spacing w:line="240" w:lineRule="auto"/>
        <w:rPr>
          <w:rFonts w:eastAsia="Calibri" w:cs="Calibri"/>
          <w:b/>
          <w:spacing w:val="-2"/>
          <w:sz w:val="20"/>
          <w:szCs w:val="20"/>
          <w:lang w:val="es-ES_tradnl"/>
        </w:rPr>
      </w:pPr>
      <w:r w:rsidRPr="0032127E">
        <w:rPr>
          <w:rFonts w:eastAsia="Calibri" w:cs="Calibri"/>
          <w:b/>
          <w:spacing w:val="-2"/>
          <w:sz w:val="20"/>
          <w:szCs w:val="20"/>
          <w:lang w:val="es-ES_tradnl"/>
        </w:rPr>
        <w:t>I. EXCEPCIONES PRELIMINARES</w:t>
      </w:r>
      <w:r w:rsidRPr="0032127E">
        <w:rPr>
          <w:rFonts w:eastAsia="Calibri" w:cs="Calibri"/>
          <w:b/>
          <w:spacing w:val="-2"/>
          <w:sz w:val="20"/>
          <w:szCs w:val="20"/>
          <w:lang w:val="es-ES_tradnl"/>
        </w:rPr>
        <w:tab/>
      </w:r>
    </w:p>
    <w:p w:rsidR="00666D16" w:rsidRPr="00987267" w:rsidRDefault="00666D16" w:rsidP="00666D16">
      <w:pPr>
        <w:tabs>
          <w:tab w:val="left" w:pos="720"/>
        </w:tabs>
        <w:spacing w:line="240" w:lineRule="auto"/>
        <w:rPr>
          <w:rFonts w:eastAsia="Calibri" w:cs="Calibri"/>
          <w:b/>
          <w:spacing w:val="-2"/>
          <w:sz w:val="20"/>
          <w:szCs w:val="20"/>
          <w:lang w:val="es-ES_tradnl"/>
        </w:rPr>
      </w:pPr>
    </w:p>
    <w:p w:rsidR="00666D16" w:rsidRPr="000C73B1" w:rsidRDefault="00666D16" w:rsidP="00666D16">
      <w:pPr>
        <w:tabs>
          <w:tab w:val="left" w:pos="567"/>
        </w:tabs>
        <w:spacing w:line="240" w:lineRule="auto"/>
        <w:ind w:right="4"/>
        <w:rPr>
          <w:sz w:val="20"/>
          <w:szCs w:val="20"/>
          <w:lang w:val="es-ES_tradnl"/>
        </w:rPr>
      </w:pPr>
      <w:r w:rsidRPr="0032127E">
        <w:rPr>
          <w:rFonts w:eastAsia="Batang" w:cs="Arial"/>
          <w:iCs/>
          <w:spacing w:val="-2"/>
          <w:sz w:val="20"/>
          <w:szCs w:val="20"/>
          <w:lang w:val="es-ES_tradnl" w:eastAsia="en-US"/>
        </w:rPr>
        <w:t>El Estado presentó 4 excepciones preliminares en su escrito de contestación</w:t>
      </w:r>
      <w:r w:rsidR="0032127E" w:rsidRPr="00987267">
        <w:rPr>
          <w:rFonts w:eastAsia="Batang" w:cs="Arial"/>
          <w:iCs/>
          <w:sz w:val="20"/>
          <w:szCs w:val="20"/>
          <w:lang w:val="es-ES_tradnl" w:eastAsia="en-US"/>
        </w:rPr>
        <w:t xml:space="preserve">. Primero, </w:t>
      </w:r>
      <w:r w:rsidR="0032127E" w:rsidRPr="0032127E">
        <w:rPr>
          <w:rFonts w:eastAsia="Batang" w:cs="Times"/>
          <w:sz w:val="20"/>
          <w:szCs w:val="20"/>
          <w:lang w:eastAsia="en-US"/>
        </w:rPr>
        <w:t>opuso una excepción</w:t>
      </w:r>
      <w:r w:rsidR="0032127E" w:rsidRPr="0032127E">
        <w:rPr>
          <w:rFonts w:eastAsia="Batang" w:cs="Times"/>
          <w:sz w:val="20"/>
          <w:szCs w:val="20"/>
          <w:lang w:val="es-GT" w:eastAsia="en-US"/>
        </w:rPr>
        <w:t xml:space="preserve"> preliminar </w:t>
      </w:r>
      <w:proofErr w:type="spellStart"/>
      <w:r w:rsidR="0032127E" w:rsidRPr="00987267">
        <w:rPr>
          <w:rFonts w:eastAsia="Batang" w:cs="Times"/>
          <w:i/>
          <w:sz w:val="20"/>
          <w:szCs w:val="20"/>
          <w:lang w:val="es-GT" w:eastAsia="en-US"/>
        </w:rPr>
        <w:t>ratione</w:t>
      </w:r>
      <w:proofErr w:type="spellEnd"/>
      <w:r w:rsidR="0032127E" w:rsidRPr="00987267">
        <w:rPr>
          <w:rFonts w:eastAsia="Batang" w:cs="Times"/>
          <w:i/>
          <w:sz w:val="20"/>
          <w:szCs w:val="20"/>
          <w:lang w:val="es-GT" w:eastAsia="en-US"/>
        </w:rPr>
        <w:t xml:space="preserve"> </w:t>
      </w:r>
      <w:proofErr w:type="spellStart"/>
      <w:r w:rsidR="0032127E" w:rsidRPr="00987267">
        <w:rPr>
          <w:rFonts w:eastAsia="Batang" w:cs="Times"/>
          <w:i/>
          <w:sz w:val="20"/>
          <w:szCs w:val="20"/>
          <w:lang w:val="es-GT" w:eastAsia="en-US"/>
        </w:rPr>
        <w:t>temporis</w:t>
      </w:r>
      <w:proofErr w:type="spellEnd"/>
      <w:r w:rsidR="0032127E" w:rsidRPr="0032127E">
        <w:rPr>
          <w:rFonts w:eastAsia="Batang" w:cs="Times"/>
          <w:sz w:val="20"/>
          <w:szCs w:val="20"/>
          <w:lang w:val="es-GT" w:eastAsia="en-US"/>
        </w:rPr>
        <w:t>.</w:t>
      </w:r>
      <w:r w:rsidR="0032127E" w:rsidRPr="0032127E">
        <w:rPr>
          <w:rFonts w:eastAsia="Batang" w:cs="Times"/>
          <w:sz w:val="20"/>
          <w:szCs w:val="20"/>
          <w:lang w:eastAsia="en-US"/>
        </w:rPr>
        <w:t xml:space="preserve"> </w:t>
      </w:r>
      <w:r w:rsidR="001A40F6" w:rsidRPr="0032127E">
        <w:rPr>
          <w:sz w:val="20"/>
          <w:szCs w:val="20"/>
        </w:rPr>
        <w:t xml:space="preserve">Al respecto, la Corte </w:t>
      </w:r>
      <w:r w:rsidRPr="0032127E">
        <w:rPr>
          <w:sz w:val="20"/>
          <w:szCs w:val="20"/>
        </w:rPr>
        <w:t>estableció que tiene competencia para</w:t>
      </w:r>
      <w:r w:rsidRPr="00987267">
        <w:rPr>
          <w:sz w:val="20"/>
          <w:szCs w:val="20"/>
        </w:rPr>
        <w:t xml:space="preserve"> conocer de hechos que hayan tenido lugar con posterioridad al 9 de marzo de 1987, fecha en que Guatemala reconoció la competencia contenciosa de</w:t>
      </w:r>
      <w:r w:rsidR="00B47A8E" w:rsidRPr="00987267">
        <w:rPr>
          <w:sz w:val="20"/>
          <w:szCs w:val="20"/>
        </w:rPr>
        <w:t>l Tribunal</w:t>
      </w:r>
      <w:r w:rsidR="0032127E">
        <w:rPr>
          <w:sz w:val="20"/>
          <w:szCs w:val="20"/>
        </w:rPr>
        <w:t xml:space="preserve">, así como </w:t>
      </w:r>
      <w:r w:rsidRPr="0032127E">
        <w:rPr>
          <w:sz w:val="20"/>
          <w:szCs w:val="20"/>
          <w:lang w:val="es-MX"/>
        </w:rPr>
        <w:t xml:space="preserve">para conocer de violaciones de derechos humanos de carácter continuo o permanente aunque el primer acto de ejecución haya tenido lugar antes de </w:t>
      </w:r>
      <w:r w:rsidR="00AB4386">
        <w:rPr>
          <w:sz w:val="20"/>
          <w:szCs w:val="20"/>
          <w:lang w:val="es-MX"/>
        </w:rPr>
        <w:t>esa</w:t>
      </w:r>
      <w:r w:rsidR="00AB4386" w:rsidRPr="0032127E">
        <w:rPr>
          <w:sz w:val="20"/>
          <w:szCs w:val="20"/>
          <w:lang w:val="es-MX"/>
        </w:rPr>
        <w:t xml:space="preserve"> </w:t>
      </w:r>
      <w:r w:rsidRPr="0032127E">
        <w:rPr>
          <w:sz w:val="20"/>
          <w:szCs w:val="20"/>
          <w:lang w:val="es-MX"/>
        </w:rPr>
        <w:t xml:space="preserve">fecha, si dichas violaciones persisten con posterioridad a dicho reconocimiento. </w:t>
      </w:r>
      <w:r w:rsidR="0032127E">
        <w:rPr>
          <w:sz w:val="20"/>
          <w:szCs w:val="20"/>
          <w:lang w:val="es-MX"/>
        </w:rPr>
        <w:t>Respecto de los hechos del caso ocurridos con anterioridad a</w:t>
      </w:r>
      <w:r w:rsidR="00AB4386">
        <w:rPr>
          <w:sz w:val="20"/>
          <w:szCs w:val="20"/>
          <w:lang w:val="es-MX"/>
        </w:rPr>
        <w:t xml:space="preserve">l </w:t>
      </w:r>
      <w:r w:rsidR="00AB4386" w:rsidRPr="00987267">
        <w:rPr>
          <w:sz w:val="20"/>
          <w:szCs w:val="20"/>
        </w:rPr>
        <w:t>al 9 de marzo de 1987</w:t>
      </w:r>
      <w:r w:rsidR="001A40F6" w:rsidRPr="0032127E">
        <w:rPr>
          <w:sz w:val="20"/>
          <w:szCs w:val="20"/>
          <w:lang w:val="es-MX"/>
        </w:rPr>
        <w:t>,</w:t>
      </w:r>
      <w:r w:rsidR="0032127E">
        <w:rPr>
          <w:sz w:val="20"/>
          <w:szCs w:val="20"/>
          <w:lang w:val="es-MX"/>
        </w:rPr>
        <w:t xml:space="preserve"> la Corte</w:t>
      </w:r>
      <w:r w:rsidR="001A40F6" w:rsidRPr="0032127E">
        <w:rPr>
          <w:sz w:val="20"/>
          <w:szCs w:val="20"/>
          <w:lang w:val="es-MX"/>
        </w:rPr>
        <w:t xml:space="preserve"> estableció que </w:t>
      </w:r>
      <w:r w:rsidR="001A40F6" w:rsidRPr="0032127E">
        <w:rPr>
          <w:sz w:val="20"/>
          <w:szCs w:val="20"/>
        </w:rPr>
        <w:t>un Estado puede renunciar a una limitación temporal al ejercicio de su competencia de forma expresa o tácita</w:t>
      </w:r>
      <w:r w:rsidR="001A40F6" w:rsidRPr="00370D5D">
        <w:rPr>
          <w:sz w:val="20"/>
          <w:szCs w:val="20"/>
        </w:rPr>
        <w:t>, como por ejemplo, a través de un reconocimiento de responsabilidad internacional. Sin embargo, para que la Corte ejerza su competencia, la voluntad del Estado de ser juzgado debe desprenderse claramente de su conducta procesal</w:t>
      </w:r>
      <w:r w:rsidR="001A40F6">
        <w:rPr>
          <w:sz w:val="20"/>
          <w:szCs w:val="20"/>
        </w:rPr>
        <w:t xml:space="preserve">. En este caso, </w:t>
      </w:r>
      <w:r w:rsidR="00B47A8E" w:rsidRPr="001A40F6">
        <w:rPr>
          <w:sz w:val="20"/>
          <w:szCs w:val="20"/>
        </w:rPr>
        <w:t xml:space="preserve">en todo momento </w:t>
      </w:r>
      <w:r w:rsidR="001A40F6">
        <w:rPr>
          <w:sz w:val="20"/>
          <w:szCs w:val="20"/>
        </w:rPr>
        <w:t>Guatemala</w:t>
      </w:r>
      <w:r w:rsidR="001A40F6" w:rsidRPr="001A40F6">
        <w:rPr>
          <w:sz w:val="20"/>
          <w:szCs w:val="20"/>
        </w:rPr>
        <w:t xml:space="preserve"> negó expresamente su consentimiento </w:t>
      </w:r>
      <w:r w:rsidR="002A3B85">
        <w:rPr>
          <w:sz w:val="20"/>
          <w:szCs w:val="20"/>
        </w:rPr>
        <w:t>par</w:t>
      </w:r>
      <w:r w:rsidR="001A40F6" w:rsidRPr="001A40F6">
        <w:rPr>
          <w:sz w:val="20"/>
          <w:szCs w:val="20"/>
        </w:rPr>
        <w:t>a que el Tribunal conociera los hechos ocurridos con anterioridad a la fecha en que aceptó su competencia.</w:t>
      </w:r>
      <w:r w:rsidR="0032127E">
        <w:rPr>
          <w:sz w:val="20"/>
          <w:szCs w:val="20"/>
          <w:lang w:val="es-MX"/>
        </w:rPr>
        <w:t xml:space="preserve"> </w:t>
      </w:r>
      <w:r w:rsidRPr="000C73B1">
        <w:rPr>
          <w:sz w:val="20"/>
          <w:szCs w:val="20"/>
          <w:lang w:val="es-ES_tradnl"/>
        </w:rPr>
        <w:t xml:space="preserve">En vista de lo anterior, </w:t>
      </w:r>
      <w:r>
        <w:rPr>
          <w:sz w:val="20"/>
          <w:szCs w:val="20"/>
          <w:lang w:val="es-ES_tradnl"/>
        </w:rPr>
        <w:t>el</w:t>
      </w:r>
      <w:r w:rsidRPr="000C73B1">
        <w:rPr>
          <w:sz w:val="20"/>
          <w:szCs w:val="20"/>
          <w:lang w:val="es-ES_tradnl"/>
        </w:rPr>
        <w:t xml:space="preserve"> Tribunal acog</w:t>
      </w:r>
      <w:r>
        <w:rPr>
          <w:sz w:val="20"/>
          <w:szCs w:val="20"/>
          <w:lang w:val="es-ES_tradnl"/>
        </w:rPr>
        <w:t>ió</w:t>
      </w:r>
      <w:r w:rsidRPr="000C73B1">
        <w:rPr>
          <w:sz w:val="20"/>
          <w:szCs w:val="20"/>
          <w:lang w:val="es-ES_tradnl"/>
        </w:rPr>
        <w:t xml:space="preserve"> parcialmente la excepción preliminar de falta de competencia </w:t>
      </w:r>
      <w:proofErr w:type="spellStart"/>
      <w:r w:rsidRPr="00FD29E8">
        <w:rPr>
          <w:i/>
          <w:sz w:val="20"/>
          <w:szCs w:val="20"/>
          <w:lang w:val="es-ES_tradnl"/>
        </w:rPr>
        <w:t>ratione</w:t>
      </w:r>
      <w:proofErr w:type="spellEnd"/>
      <w:r w:rsidRPr="00FD29E8">
        <w:rPr>
          <w:i/>
          <w:sz w:val="20"/>
          <w:szCs w:val="20"/>
          <w:lang w:val="es-ES_tradnl"/>
        </w:rPr>
        <w:t xml:space="preserve"> </w:t>
      </w:r>
      <w:proofErr w:type="spellStart"/>
      <w:r w:rsidRPr="00FD29E8">
        <w:rPr>
          <w:i/>
          <w:sz w:val="20"/>
          <w:szCs w:val="20"/>
          <w:lang w:val="es-ES_tradnl"/>
        </w:rPr>
        <w:t>temporis</w:t>
      </w:r>
      <w:proofErr w:type="spellEnd"/>
      <w:r>
        <w:rPr>
          <w:sz w:val="20"/>
          <w:szCs w:val="20"/>
          <w:lang w:val="es-ES_tradnl"/>
        </w:rPr>
        <w:t>.</w:t>
      </w:r>
      <w:r w:rsidRPr="000C73B1">
        <w:rPr>
          <w:sz w:val="20"/>
          <w:szCs w:val="20"/>
          <w:lang w:val="es-ES_tradnl"/>
        </w:rPr>
        <w:t xml:space="preserve"> </w:t>
      </w:r>
    </w:p>
    <w:p w:rsidR="00666D16" w:rsidRPr="00A72E8E" w:rsidRDefault="00666D16" w:rsidP="00666D16">
      <w:pPr>
        <w:tabs>
          <w:tab w:val="left" w:pos="720"/>
        </w:tabs>
        <w:spacing w:line="240" w:lineRule="auto"/>
        <w:rPr>
          <w:rFonts w:eastAsia="Calibri" w:cs="Calibri"/>
          <w:b/>
          <w:i/>
          <w:spacing w:val="-2"/>
          <w:sz w:val="16"/>
          <w:szCs w:val="20"/>
          <w:lang w:val="es-ES_tradnl"/>
        </w:rPr>
      </w:pPr>
    </w:p>
    <w:p w:rsidR="00666D16" w:rsidRDefault="00987267" w:rsidP="00E37184">
      <w:pPr>
        <w:tabs>
          <w:tab w:val="left" w:pos="567"/>
        </w:tabs>
        <w:spacing w:line="240" w:lineRule="auto"/>
        <w:ind w:right="4"/>
        <w:rPr>
          <w:sz w:val="20"/>
          <w:szCs w:val="20"/>
          <w:lang w:val="es-ES_tradnl"/>
        </w:rPr>
      </w:pPr>
      <w:r>
        <w:rPr>
          <w:sz w:val="20"/>
          <w:szCs w:val="20"/>
        </w:rPr>
        <w:t>Segundo, Guatemala</w:t>
      </w:r>
      <w:r w:rsidR="003F442E" w:rsidRPr="00370D5D">
        <w:rPr>
          <w:sz w:val="20"/>
          <w:szCs w:val="20"/>
        </w:rPr>
        <w:t xml:space="preserve"> opuso una excepción de falta de competencia </w:t>
      </w:r>
      <w:proofErr w:type="spellStart"/>
      <w:r w:rsidR="003F442E" w:rsidRPr="00370D5D">
        <w:rPr>
          <w:i/>
          <w:sz w:val="20"/>
          <w:szCs w:val="20"/>
        </w:rPr>
        <w:t>ratione</w:t>
      </w:r>
      <w:proofErr w:type="spellEnd"/>
      <w:r w:rsidR="003F442E" w:rsidRPr="00370D5D">
        <w:rPr>
          <w:i/>
          <w:sz w:val="20"/>
          <w:szCs w:val="20"/>
        </w:rPr>
        <w:t xml:space="preserve"> </w:t>
      </w:r>
      <w:proofErr w:type="spellStart"/>
      <w:r w:rsidR="003F442E" w:rsidRPr="00370D5D">
        <w:rPr>
          <w:i/>
          <w:sz w:val="20"/>
          <w:szCs w:val="20"/>
        </w:rPr>
        <w:t>materiae</w:t>
      </w:r>
      <w:proofErr w:type="spellEnd"/>
      <w:r w:rsidR="003F442E" w:rsidRPr="00370D5D">
        <w:rPr>
          <w:sz w:val="20"/>
          <w:szCs w:val="20"/>
        </w:rPr>
        <w:t xml:space="preserve"> </w:t>
      </w:r>
      <w:r w:rsidR="00F65FBC">
        <w:rPr>
          <w:sz w:val="20"/>
          <w:szCs w:val="20"/>
        </w:rPr>
        <w:t xml:space="preserve">respecto a la aplicación de diversos instrumentos internacionales y la posibilidad de que la Corte se pronuncie sobre </w:t>
      </w:r>
      <w:r w:rsidR="00666070">
        <w:rPr>
          <w:sz w:val="20"/>
          <w:szCs w:val="20"/>
        </w:rPr>
        <w:t xml:space="preserve">aspectos </w:t>
      </w:r>
      <w:r w:rsidR="00F65FBC">
        <w:rPr>
          <w:sz w:val="20"/>
          <w:szCs w:val="20"/>
        </w:rPr>
        <w:t>específicos</w:t>
      </w:r>
      <w:r w:rsidR="00666070">
        <w:rPr>
          <w:sz w:val="20"/>
          <w:szCs w:val="20"/>
        </w:rPr>
        <w:t xml:space="preserve"> que fueron planteados </w:t>
      </w:r>
      <w:r w:rsidR="00F65FBC">
        <w:rPr>
          <w:sz w:val="20"/>
          <w:szCs w:val="20"/>
        </w:rPr>
        <w:t>en el caso</w:t>
      </w:r>
      <w:r w:rsidR="003F442E">
        <w:rPr>
          <w:sz w:val="20"/>
          <w:szCs w:val="20"/>
        </w:rPr>
        <w:t xml:space="preserve">. </w:t>
      </w:r>
      <w:r w:rsidR="00666D16">
        <w:rPr>
          <w:sz w:val="20"/>
          <w:szCs w:val="20"/>
          <w:lang w:val="es-ES_tradnl"/>
        </w:rPr>
        <w:t xml:space="preserve">La Corte </w:t>
      </w:r>
      <w:r w:rsidR="00E37184">
        <w:rPr>
          <w:sz w:val="20"/>
          <w:szCs w:val="20"/>
          <w:lang w:val="es-ES_tradnl"/>
        </w:rPr>
        <w:t>desestimó</w:t>
      </w:r>
      <w:r w:rsidR="00666D16">
        <w:rPr>
          <w:sz w:val="20"/>
          <w:szCs w:val="20"/>
          <w:lang w:val="es-ES_tradnl"/>
        </w:rPr>
        <w:t xml:space="preserve"> la excepción preliminar por los siguientes motivos: i) </w:t>
      </w:r>
      <w:r w:rsidR="00E37184" w:rsidRPr="00370D5D">
        <w:rPr>
          <w:spacing w:val="-2"/>
          <w:sz w:val="20"/>
          <w:szCs w:val="20"/>
        </w:rPr>
        <w:t xml:space="preserve">el artículo XIII de la </w:t>
      </w:r>
      <w:r w:rsidR="002A3B85" w:rsidRPr="00370D5D">
        <w:rPr>
          <w:sz w:val="20"/>
          <w:szCs w:val="20"/>
        </w:rPr>
        <w:t>Convención Interamericana sobre Desaparición Forzada de Personas</w:t>
      </w:r>
      <w:r w:rsidR="002A3B85">
        <w:rPr>
          <w:sz w:val="20"/>
          <w:szCs w:val="20"/>
        </w:rPr>
        <w:t xml:space="preserve"> </w:t>
      </w:r>
      <w:r w:rsidR="00E37184" w:rsidRPr="00370D5D">
        <w:rPr>
          <w:spacing w:val="-2"/>
          <w:sz w:val="20"/>
          <w:szCs w:val="20"/>
        </w:rPr>
        <w:t xml:space="preserve">fija la facultad del Tribunal para conocer de los asuntos relacionados con </w:t>
      </w:r>
      <w:r w:rsidR="00E37184" w:rsidRPr="00370D5D">
        <w:rPr>
          <w:sz w:val="20"/>
          <w:szCs w:val="20"/>
        </w:rPr>
        <w:t>el</w:t>
      </w:r>
      <w:r w:rsidR="00E37184" w:rsidRPr="00370D5D">
        <w:rPr>
          <w:spacing w:val="-2"/>
          <w:sz w:val="20"/>
          <w:szCs w:val="20"/>
        </w:rPr>
        <w:t xml:space="preserve"> cumplimiento de los compromisos contraídos</w:t>
      </w:r>
      <w:r w:rsidR="009E1C02">
        <w:rPr>
          <w:spacing w:val="-2"/>
          <w:sz w:val="20"/>
          <w:szCs w:val="20"/>
        </w:rPr>
        <w:t xml:space="preserve"> a</w:t>
      </w:r>
      <w:r w:rsidR="00E37184" w:rsidRPr="00370D5D">
        <w:rPr>
          <w:spacing w:val="-2"/>
          <w:sz w:val="20"/>
          <w:szCs w:val="20"/>
        </w:rPr>
        <w:t xml:space="preserve"> través de dicho instrumento</w:t>
      </w:r>
      <w:r w:rsidR="00666D16">
        <w:rPr>
          <w:sz w:val="20"/>
          <w:szCs w:val="20"/>
          <w:lang w:val="es-ES_tradnl"/>
        </w:rPr>
        <w:t xml:space="preserve">; ii) </w:t>
      </w:r>
      <w:r w:rsidR="00E37184" w:rsidRPr="00370D5D">
        <w:rPr>
          <w:rFonts w:eastAsia="Calibri" w:cs="Arial"/>
          <w:sz w:val="20"/>
          <w:szCs w:val="20"/>
        </w:rPr>
        <w:t xml:space="preserve">el tenor literal del artículo 12 de la </w:t>
      </w:r>
      <w:r w:rsidR="000E37B8" w:rsidRPr="00370D5D">
        <w:rPr>
          <w:rFonts w:eastAsia="Calibri"/>
          <w:sz w:val="20"/>
          <w:szCs w:val="20"/>
        </w:rPr>
        <w:t>Convención Interamericana para Prevenir, Sancionar y Erradicar la Violencia contra la Mujer</w:t>
      </w:r>
      <w:r w:rsidR="000E37B8" w:rsidRPr="00370D5D">
        <w:rPr>
          <w:sz w:val="20"/>
          <w:szCs w:val="20"/>
        </w:rPr>
        <w:t xml:space="preserve"> </w:t>
      </w:r>
      <w:r w:rsidR="00E37184" w:rsidRPr="00370D5D">
        <w:rPr>
          <w:rFonts w:eastAsia="Calibri" w:cs="Arial"/>
          <w:sz w:val="20"/>
          <w:szCs w:val="20"/>
        </w:rPr>
        <w:t>concede competencia a la Corte</w:t>
      </w:r>
      <w:r w:rsidR="00E37184">
        <w:rPr>
          <w:rFonts w:eastAsia="Calibri" w:cs="Arial"/>
          <w:sz w:val="20"/>
          <w:szCs w:val="20"/>
        </w:rPr>
        <w:t xml:space="preserve"> para pronunciarse sobre alegadas violaciones del artículo 7 de dicho tratado; iii) </w:t>
      </w:r>
      <w:r w:rsidR="00666D16" w:rsidRPr="007752EC">
        <w:rPr>
          <w:rFonts w:eastAsia="Calibri" w:cs="Arial"/>
          <w:sz w:val="20"/>
          <w:szCs w:val="20"/>
        </w:rPr>
        <w:t xml:space="preserve">ni la Comisión ni los representantes han solicitado al Tribunal declarar una violación de </w:t>
      </w:r>
      <w:r w:rsidR="00666D16" w:rsidRPr="007752EC">
        <w:rPr>
          <w:sz w:val="20"/>
          <w:szCs w:val="20"/>
          <w:lang w:val="es-ES_tradnl"/>
        </w:rPr>
        <w:t>la Convención para la Prevención y la Sanción del Delito de Genocidio</w:t>
      </w:r>
      <w:r w:rsidR="00666D16">
        <w:rPr>
          <w:sz w:val="20"/>
          <w:szCs w:val="20"/>
          <w:lang w:val="es-ES_tradnl"/>
        </w:rPr>
        <w:t xml:space="preserve">, por lo que el alegato del Estado </w:t>
      </w:r>
      <w:r w:rsidR="00E37184">
        <w:rPr>
          <w:sz w:val="20"/>
          <w:szCs w:val="20"/>
          <w:lang w:val="es-ES_tradnl"/>
        </w:rPr>
        <w:t xml:space="preserve">oponiéndose a la competencia del Tribunal </w:t>
      </w:r>
      <w:r w:rsidR="003F442E">
        <w:rPr>
          <w:sz w:val="20"/>
          <w:szCs w:val="20"/>
          <w:lang w:val="es-ES_tradnl"/>
        </w:rPr>
        <w:t>para ello</w:t>
      </w:r>
      <w:r w:rsidR="00E37184">
        <w:rPr>
          <w:sz w:val="20"/>
          <w:szCs w:val="20"/>
          <w:lang w:val="es-ES_tradnl"/>
        </w:rPr>
        <w:t xml:space="preserve"> </w:t>
      </w:r>
      <w:r w:rsidR="00666D16">
        <w:rPr>
          <w:sz w:val="20"/>
          <w:szCs w:val="20"/>
          <w:lang w:val="es-ES_tradnl"/>
        </w:rPr>
        <w:t>carece de objeto; i</w:t>
      </w:r>
      <w:r w:rsidR="00E37184">
        <w:rPr>
          <w:sz w:val="20"/>
          <w:szCs w:val="20"/>
          <w:lang w:val="es-ES_tradnl"/>
        </w:rPr>
        <w:t>v</w:t>
      </w:r>
      <w:r w:rsidR="00666D16">
        <w:rPr>
          <w:sz w:val="20"/>
          <w:szCs w:val="20"/>
          <w:lang w:val="es-ES_tradnl"/>
        </w:rPr>
        <w:t xml:space="preserve">) </w:t>
      </w:r>
      <w:r w:rsidR="00E37184">
        <w:rPr>
          <w:sz w:val="20"/>
          <w:szCs w:val="20"/>
          <w:lang w:val="es-ES_tradnl"/>
        </w:rPr>
        <w:t>en cuanto a</w:t>
      </w:r>
      <w:r w:rsidR="00666D16">
        <w:rPr>
          <w:sz w:val="20"/>
          <w:szCs w:val="20"/>
          <w:lang w:val="es-ES_tradnl"/>
        </w:rPr>
        <w:t xml:space="preserve"> la alegada falta de competencia para determinar la comisión de delitos,</w:t>
      </w:r>
      <w:r>
        <w:rPr>
          <w:sz w:val="20"/>
          <w:szCs w:val="20"/>
          <w:lang w:val="es-ES_tradnl"/>
        </w:rPr>
        <w:t xml:space="preserve"> </w:t>
      </w:r>
      <w:r w:rsidR="002A3B85" w:rsidRPr="002A3B85">
        <w:rPr>
          <w:sz w:val="20"/>
          <w:szCs w:val="20"/>
          <w:lang w:val="es-ES_tradnl"/>
        </w:rPr>
        <w:t>la Corte</w:t>
      </w:r>
      <w:r w:rsidR="002A3B85">
        <w:rPr>
          <w:sz w:val="20"/>
          <w:szCs w:val="20"/>
          <w:lang w:val="es-ES_tradnl"/>
        </w:rPr>
        <w:t xml:space="preserve"> ya aclaró que</w:t>
      </w:r>
      <w:r w:rsidR="002A3B85" w:rsidRPr="002A3B85">
        <w:rPr>
          <w:sz w:val="20"/>
          <w:szCs w:val="20"/>
          <w:lang w:val="es-ES_tradnl"/>
        </w:rPr>
        <w:t xml:space="preserve"> no le corresponde analizar ni determinar responsabilidades individuales</w:t>
      </w:r>
      <w:r w:rsidR="00666D16">
        <w:rPr>
          <w:sz w:val="20"/>
          <w:szCs w:val="20"/>
          <w:lang w:val="es-ES_tradnl"/>
        </w:rPr>
        <w:t xml:space="preserve">, y v) </w:t>
      </w:r>
      <w:r w:rsidR="00E37184" w:rsidRPr="00E37184">
        <w:rPr>
          <w:sz w:val="20"/>
          <w:szCs w:val="20"/>
          <w:lang w:val="es-ES_tradnl"/>
        </w:rPr>
        <w:t xml:space="preserve">en cuanto a la alegada falta de competencia para </w:t>
      </w:r>
      <w:r w:rsidR="00666D16" w:rsidRPr="00475C2E">
        <w:rPr>
          <w:sz w:val="20"/>
          <w:szCs w:val="20"/>
          <w:lang w:val="es-ES_tradnl"/>
        </w:rPr>
        <w:t>“decret</w:t>
      </w:r>
      <w:r w:rsidR="00E37184">
        <w:rPr>
          <w:sz w:val="20"/>
          <w:szCs w:val="20"/>
          <w:lang w:val="es-ES_tradnl"/>
        </w:rPr>
        <w:t xml:space="preserve">ar la invalidez de la amnistía”, el Tribunal </w:t>
      </w:r>
      <w:r w:rsidR="007C1919">
        <w:rPr>
          <w:sz w:val="20"/>
          <w:szCs w:val="20"/>
          <w:lang w:val="es-ES_tradnl"/>
        </w:rPr>
        <w:t xml:space="preserve">señaló </w:t>
      </w:r>
      <w:r w:rsidR="00E37184">
        <w:rPr>
          <w:sz w:val="20"/>
          <w:szCs w:val="20"/>
          <w:lang w:val="es-ES_tradnl"/>
        </w:rPr>
        <w:t xml:space="preserve">que </w:t>
      </w:r>
      <w:r w:rsidR="00E37184" w:rsidRPr="00370D5D">
        <w:rPr>
          <w:sz w:val="20"/>
          <w:szCs w:val="20"/>
        </w:rPr>
        <w:t>el análisis de la validez de una ley es una cuestión de fondo. Además, ni la Comisión ni los representantes han solicitado al Tribunal declarar la invalidez de la Ley de Reconciliación Nacional en sí misma, sino que cuestionan su posible aplicación en el presente caso</w:t>
      </w:r>
      <w:r>
        <w:rPr>
          <w:sz w:val="20"/>
          <w:szCs w:val="20"/>
        </w:rPr>
        <w:t>.</w:t>
      </w:r>
    </w:p>
    <w:p w:rsidR="00666D16" w:rsidRPr="00A72E8E" w:rsidRDefault="00666D16" w:rsidP="00666D16">
      <w:pPr>
        <w:tabs>
          <w:tab w:val="left" w:pos="567"/>
        </w:tabs>
        <w:spacing w:line="240" w:lineRule="auto"/>
        <w:ind w:right="4"/>
        <w:rPr>
          <w:sz w:val="16"/>
          <w:szCs w:val="20"/>
          <w:lang w:val="es-ES_tradnl"/>
        </w:rPr>
      </w:pPr>
    </w:p>
    <w:p w:rsidR="00666D16" w:rsidRPr="005477AE" w:rsidRDefault="00987267" w:rsidP="00666D16">
      <w:pPr>
        <w:tabs>
          <w:tab w:val="left" w:pos="567"/>
        </w:tabs>
        <w:spacing w:line="240" w:lineRule="auto"/>
        <w:ind w:right="4"/>
        <w:rPr>
          <w:rFonts w:cs="Cambria"/>
          <w:sz w:val="20"/>
          <w:szCs w:val="20"/>
          <w:lang w:val="es-ES_tradnl"/>
        </w:rPr>
      </w:pPr>
      <w:r w:rsidRPr="00987267">
        <w:rPr>
          <w:sz w:val="20"/>
          <w:szCs w:val="20"/>
          <w:lang w:val="es-ES"/>
        </w:rPr>
        <w:t>Tercer</w:t>
      </w:r>
      <w:r>
        <w:rPr>
          <w:sz w:val="20"/>
          <w:szCs w:val="20"/>
          <w:lang w:val="es-ES"/>
        </w:rPr>
        <w:t>o</w:t>
      </w:r>
      <w:r w:rsidRPr="00987267">
        <w:rPr>
          <w:sz w:val="20"/>
          <w:szCs w:val="20"/>
          <w:lang w:val="es-ES"/>
        </w:rPr>
        <w:t>, el</w:t>
      </w:r>
      <w:r w:rsidR="003F442E" w:rsidRPr="003F442E">
        <w:rPr>
          <w:sz w:val="20"/>
          <w:szCs w:val="20"/>
          <w:lang w:val="es-ES"/>
        </w:rPr>
        <w:t xml:space="preserve"> Estado </w:t>
      </w:r>
      <w:r w:rsidR="00877BC4">
        <w:rPr>
          <w:sz w:val="20"/>
          <w:szCs w:val="20"/>
          <w:lang w:val="es-ES"/>
        </w:rPr>
        <w:t>opuso</w:t>
      </w:r>
      <w:r w:rsidR="00877BC4" w:rsidRPr="003F442E">
        <w:rPr>
          <w:sz w:val="20"/>
          <w:szCs w:val="20"/>
          <w:lang w:val="es-ES"/>
        </w:rPr>
        <w:t xml:space="preserve"> </w:t>
      </w:r>
      <w:r w:rsidR="003F442E" w:rsidRPr="003F442E">
        <w:rPr>
          <w:sz w:val="20"/>
          <w:szCs w:val="20"/>
          <w:lang w:val="es-ES"/>
        </w:rPr>
        <w:t>una excepción de falta de agotamiento de los recursos internos</w:t>
      </w:r>
      <w:r>
        <w:rPr>
          <w:sz w:val="20"/>
          <w:szCs w:val="20"/>
          <w:lang w:val="es-ES"/>
        </w:rPr>
        <w:t>.</w:t>
      </w:r>
      <w:r w:rsidR="003F442E">
        <w:rPr>
          <w:sz w:val="20"/>
          <w:szCs w:val="20"/>
          <w:lang w:val="es-ES"/>
        </w:rPr>
        <w:t xml:space="preserve"> La Corte determinó que e</w:t>
      </w:r>
      <w:r w:rsidR="00666D16" w:rsidRPr="00A906C3">
        <w:rPr>
          <w:sz w:val="20"/>
          <w:szCs w:val="20"/>
          <w:lang w:val="es-ES"/>
        </w:rPr>
        <w:t xml:space="preserve">l </w:t>
      </w:r>
      <w:r w:rsidR="00666D16" w:rsidRPr="003F442E">
        <w:rPr>
          <w:rFonts w:cs="Cambria"/>
          <w:sz w:val="20"/>
          <w:szCs w:val="20"/>
          <w:lang w:val="es-ES_tradnl"/>
        </w:rPr>
        <w:t xml:space="preserve">Estado no mencionó la disponibilidad del recurso de hábeas corpus o exhibición personal </w:t>
      </w:r>
      <w:r w:rsidR="003F442E" w:rsidRPr="00370D5D">
        <w:rPr>
          <w:rFonts w:cs="Cambria"/>
          <w:sz w:val="20"/>
          <w:szCs w:val="20"/>
          <w:lang w:val="es-ES_tradnl"/>
        </w:rPr>
        <w:t>durante la etapa de admisibilidad ante la Comisión</w:t>
      </w:r>
      <w:r w:rsidR="003F442E">
        <w:rPr>
          <w:rFonts w:cs="Cambria"/>
          <w:sz w:val="20"/>
          <w:szCs w:val="20"/>
          <w:lang w:val="es-ES_tradnl"/>
        </w:rPr>
        <w:t xml:space="preserve">, por lo que </w:t>
      </w:r>
      <w:r>
        <w:rPr>
          <w:rFonts w:cs="Cambria"/>
          <w:sz w:val="20"/>
          <w:szCs w:val="20"/>
          <w:lang w:val="es-ES_tradnl"/>
        </w:rPr>
        <w:t xml:space="preserve">el </w:t>
      </w:r>
      <w:r w:rsidR="00666D16" w:rsidRPr="003F442E">
        <w:rPr>
          <w:rFonts w:cs="Cambria"/>
          <w:sz w:val="20"/>
          <w:szCs w:val="20"/>
          <w:lang w:val="es-ES_tradnl"/>
        </w:rPr>
        <w:t>alegato del Estado</w:t>
      </w:r>
      <w:r w:rsidR="003F442E">
        <w:rPr>
          <w:rFonts w:cs="Cambria"/>
          <w:sz w:val="20"/>
          <w:szCs w:val="20"/>
          <w:lang w:val="es-ES_tradnl"/>
        </w:rPr>
        <w:t xml:space="preserve"> </w:t>
      </w:r>
      <w:r>
        <w:rPr>
          <w:rFonts w:cs="Cambria"/>
          <w:sz w:val="20"/>
          <w:szCs w:val="20"/>
          <w:lang w:val="es-ES_tradnl"/>
        </w:rPr>
        <w:t xml:space="preserve">en cuanto a dicho recurso </w:t>
      </w:r>
      <w:r w:rsidR="00666D16" w:rsidRPr="003F442E">
        <w:rPr>
          <w:rFonts w:cs="Cambria"/>
          <w:sz w:val="20"/>
          <w:szCs w:val="20"/>
          <w:lang w:val="es-ES_tradnl"/>
        </w:rPr>
        <w:t xml:space="preserve">es extemporáneo. </w:t>
      </w:r>
      <w:r w:rsidR="00D53B7A">
        <w:rPr>
          <w:rFonts w:cs="Cambria"/>
          <w:sz w:val="20"/>
          <w:szCs w:val="20"/>
          <w:lang w:val="es-ES_tradnl"/>
        </w:rPr>
        <w:t>Por otra parte</w:t>
      </w:r>
      <w:r w:rsidR="00666D16" w:rsidRPr="003F442E">
        <w:rPr>
          <w:rFonts w:cs="Cambria"/>
          <w:sz w:val="20"/>
          <w:szCs w:val="20"/>
          <w:lang w:val="es-ES_tradnl"/>
        </w:rPr>
        <w:t xml:space="preserve">, </w:t>
      </w:r>
      <w:r>
        <w:rPr>
          <w:rFonts w:cs="Cambria"/>
          <w:sz w:val="20"/>
          <w:szCs w:val="20"/>
          <w:lang w:val="es-ES_tradnl"/>
        </w:rPr>
        <w:t>Guatemala tampoco</w:t>
      </w:r>
      <w:r w:rsidR="00666D16" w:rsidRPr="003F442E">
        <w:rPr>
          <w:rFonts w:cs="Cambria"/>
          <w:sz w:val="20"/>
          <w:szCs w:val="20"/>
          <w:lang w:val="es-ES_tradnl"/>
        </w:rPr>
        <w:t xml:space="preserve"> indicó al Tribunal los motivos por los cuales el </w:t>
      </w:r>
      <w:r w:rsidR="002A3B85" w:rsidRPr="00D846F0">
        <w:rPr>
          <w:sz w:val="20"/>
          <w:szCs w:val="20"/>
          <w:lang w:val="es-ES_tradnl"/>
        </w:rPr>
        <w:t>Programa Nacional de Resarcimiento</w:t>
      </w:r>
      <w:r w:rsidR="002A3B85" w:rsidRPr="003F442E" w:rsidDel="002A3B85">
        <w:rPr>
          <w:rFonts w:cs="Cambria"/>
          <w:sz w:val="20"/>
          <w:szCs w:val="20"/>
          <w:lang w:val="es-ES_tradnl"/>
        </w:rPr>
        <w:t xml:space="preserve"> </w:t>
      </w:r>
      <w:r w:rsidR="00666D16" w:rsidRPr="003F442E">
        <w:rPr>
          <w:rFonts w:cs="Cambria"/>
          <w:sz w:val="20"/>
          <w:szCs w:val="20"/>
          <w:lang w:val="es-ES_tradnl"/>
        </w:rPr>
        <w:t>sería un recurso adecuado, idóneo y efectivo para reparar las violaciones específicas alegadas en el presente caso sobre las cuales esta Corte tiene competencia</w:t>
      </w:r>
      <w:r w:rsidR="00666D16" w:rsidRPr="00E17DA5">
        <w:rPr>
          <w:sz w:val="20"/>
          <w:szCs w:val="20"/>
        </w:rPr>
        <w:t xml:space="preserve">. </w:t>
      </w:r>
      <w:r w:rsidR="00D53B7A">
        <w:rPr>
          <w:sz w:val="20"/>
          <w:szCs w:val="20"/>
        </w:rPr>
        <w:t xml:space="preserve">Además, </w:t>
      </w:r>
      <w:r w:rsidR="00D53B7A" w:rsidRPr="00370D5D">
        <w:rPr>
          <w:rFonts w:cs="Cambria"/>
          <w:sz w:val="20"/>
          <w:szCs w:val="20"/>
          <w:lang w:val="es-ES_tradnl"/>
        </w:rPr>
        <w:t xml:space="preserve">en casos como el presente, en que se alegan graves violaciones </w:t>
      </w:r>
      <w:r w:rsidR="00D53B7A">
        <w:rPr>
          <w:rFonts w:cs="Cambria"/>
          <w:sz w:val="20"/>
          <w:szCs w:val="20"/>
          <w:lang w:val="es-ES_tradnl"/>
        </w:rPr>
        <w:t>de</w:t>
      </w:r>
      <w:r w:rsidR="00D53B7A" w:rsidRPr="00370D5D">
        <w:rPr>
          <w:rFonts w:cs="Cambria"/>
          <w:sz w:val="20"/>
          <w:szCs w:val="20"/>
          <w:lang w:val="es-ES_tradnl"/>
        </w:rPr>
        <w:t xml:space="preserve"> los derechos humanos, la interposición de la denuncia penal es suficiente para satisfacer los requerimientos del artículo 46.1.a de la </w:t>
      </w:r>
      <w:r w:rsidR="00D53B7A" w:rsidRPr="00370D5D">
        <w:rPr>
          <w:rFonts w:eastAsia="Batang" w:cs="Times"/>
          <w:sz w:val="20"/>
          <w:szCs w:val="20"/>
          <w:lang w:eastAsia="en-US"/>
        </w:rPr>
        <w:t>Convención</w:t>
      </w:r>
      <w:r w:rsidR="00D53B7A">
        <w:rPr>
          <w:rFonts w:eastAsia="Batang" w:cs="Times"/>
          <w:sz w:val="20"/>
          <w:szCs w:val="20"/>
          <w:lang w:eastAsia="en-US"/>
        </w:rPr>
        <w:t xml:space="preserve">. </w:t>
      </w:r>
      <w:r w:rsidR="00666D16" w:rsidRPr="005477AE">
        <w:rPr>
          <w:rFonts w:cs="Cambria"/>
          <w:sz w:val="20"/>
          <w:szCs w:val="20"/>
          <w:lang w:val="es-ES_tradnl"/>
        </w:rPr>
        <w:t>En vista de lo anterior, la Corte desestimó la excepción preliminar de falta de agotamiento de los recursos internos.</w:t>
      </w:r>
    </w:p>
    <w:p w:rsidR="00666D16" w:rsidRPr="00A72E8E" w:rsidRDefault="00666D16" w:rsidP="00666D16">
      <w:pPr>
        <w:pStyle w:val="Heading2"/>
        <w:rPr>
          <w:sz w:val="16"/>
          <w:lang w:val="es-ES_tradnl"/>
        </w:rPr>
      </w:pPr>
    </w:p>
    <w:p w:rsidR="00666D16" w:rsidRPr="00D846F0" w:rsidRDefault="00987267" w:rsidP="00D53B7A">
      <w:pPr>
        <w:spacing w:line="240" w:lineRule="auto"/>
        <w:rPr>
          <w:i/>
          <w:sz w:val="20"/>
          <w:szCs w:val="20"/>
          <w:lang w:val="es-ES_tradnl"/>
        </w:rPr>
      </w:pPr>
      <w:r>
        <w:rPr>
          <w:sz w:val="20"/>
          <w:szCs w:val="20"/>
          <w:lang w:val="es-ES_tradnl"/>
        </w:rPr>
        <w:t xml:space="preserve">Cuarto, el </w:t>
      </w:r>
      <w:r w:rsidR="00666D16" w:rsidRPr="00DC08F3">
        <w:rPr>
          <w:sz w:val="20"/>
          <w:szCs w:val="20"/>
          <w:lang w:val="es-ES_tradnl"/>
        </w:rPr>
        <w:t>Estado</w:t>
      </w:r>
      <w:r w:rsidR="00666D16" w:rsidRPr="00D846F0">
        <w:rPr>
          <w:sz w:val="20"/>
          <w:szCs w:val="20"/>
          <w:lang w:val="es-ES_tradnl"/>
        </w:rPr>
        <w:t xml:space="preserve"> solicitó a la Corte abstenerse de conocer del presente caso, ya que</w:t>
      </w:r>
      <w:r w:rsidR="000D4D45">
        <w:rPr>
          <w:sz w:val="20"/>
          <w:szCs w:val="20"/>
          <w:lang w:val="es-ES_tradnl"/>
        </w:rPr>
        <w:t>, según alegó,</w:t>
      </w:r>
      <w:r w:rsidR="00666D16" w:rsidRPr="00D846F0">
        <w:rPr>
          <w:sz w:val="20"/>
          <w:szCs w:val="20"/>
          <w:lang w:val="es-ES_tradnl"/>
        </w:rPr>
        <w:t xml:space="preserve"> la mayoría de las presuntas víctimas </w:t>
      </w:r>
      <w:r>
        <w:rPr>
          <w:sz w:val="20"/>
          <w:szCs w:val="20"/>
          <w:lang w:val="es-ES_tradnl"/>
        </w:rPr>
        <w:t xml:space="preserve">habrían </w:t>
      </w:r>
      <w:r w:rsidR="00666D16" w:rsidRPr="00D846F0">
        <w:rPr>
          <w:sz w:val="20"/>
          <w:szCs w:val="20"/>
          <w:lang w:val="es-ES_tradnl"/>
        </w:rPr>
        <w:t>sido resarcidas a través del Programa Nacional de Resarcimiento</w:t>
      </w:r>
      <w:r>
        <w:rPr>
          <w:sz w:val="20"/>
          <w:szCs w:val="20"/>
          <w:lang w:val="es-ES_tradnl"/>
        </w:rPr>
        <w:t>.</w:t>
      </w:r>
      <w:r w:rsidR="00666D16" w:rsidRPr="00D846F0">
        <w:rPr>
          <w:sz w:val="20"/>
          <w:szCs w:val="20"/>
          <w:lang w:val="es-ES_tradnl"/>
        </w:rPr>
        <w:t xml:space="preserve"> </w:t>
      </w:r>
      <w:r w:rsidR="00D53B7A">
        <w:rPr>
          <w:sz w:val="20"/>
          <w:szCs w:val="20"/>
          <w:lang w:val="es-ES_tradnl"/>
        </w:rPr>
        <w:t xml:space="preserve">Al respecto, la Corte </w:t>
      </w:r>
      <w:r w:rsidR="00666D16" w:rsidRPr="00D368EE">
        <w:rPr>
          <w:sz w:val="20"/>
          <w:szCs w:val="20"/>
        </w:rPr>
        <w:t>consider</w:t>
      </w:r>
      <w:r w:rsidR="00666D16">
        <w:rPr>
          <w:sz w:val="20"/>
          <w:szCs w:val="20"/>
        </w:rPr>
        <w:t>ó</w:t>
      </w:r>
      <w:r w:rsidR="00666D16" w:rsidRPr="00D368EE">
        <w:rPr>
          <w:sz w:val="20"/>
          <w:szCs w:val="20"/>
        </w:rPr>
        <w:t xml:space="preserve"> que, como en otros casos, </w:t>
      </w:r>
      <w:r w:rsidR="00666D16" w:rsidRPr="00D368EE">
        <w:rPr>
          <w:spacing w:val="-2"/>
          <w:sz w:val="20"/>
          <w:szCs w:val="20"/>
          <w:lang w:val="es-ES"/>
        </w:rPr>
        <w:t xml:space="preserve">los </w:t>
      </w:r>
      <w:r w:rsidR="00666D16" w:rsidRPr="00D368EE">
        <w:rPr>
          <w:spacing w:val="-2"/>
          <w:sz w:val="20"/>
          <w:szCs w:val="20"/>
          <w:lang w:val="es-ES"/>
        </w:rPr>
        <w:lastRenderedPageBreak/>
        <w:t xml:space="preserve">alegatos del Estado deben ser analizados en el Capítulo </w:t>
      </w:r>
      <w:r w:rsidR="00D53B7A">
        <w:rPr>
          <w:spacing w:val="-2"/>
          <w:sz w:val="20"/>
          <w:szCs w:val="20"/>
          <w:lang w:val="es-ES"/>
        </w:rPr>
        <w:t>d</w:t>
      </w:r>
      <w:r w:rsidR="00666D16" w:rsidRPr="00D368EE">
        <w:rPr>
          <w:spacing w:val="-2"/>
          <w:sz w:val="20"/>
          <w:szCs w:val="20"/>
          <w:lang w:val="es-ES"/>
        </w:rPr>
        <w:t>e Reparaciones</w:t>
      </w:r>
      <w:r w:rsidR="00D53B7A">
        <w:rPr>
          <w:spacing w:val="-2"/>
          <w:sz w:val="20"/>
          <w:szCs w:val="20"/>
          <w:lang w:val="es-ES"/>
        </w:rPr>
        <w:t>.</w:t>
      </w:r>
      <w:r w:rsidR="00666D16" w:rsidRPr="00D368EE">
        <w:rPr>
          <w:spacing w:val="-2"/>
          <w:sz w:val="20"/>
          <w:szCs w:val="20"/>
          <w:lang w:val="es-ES"/>
        </w:rPr>
        <w:t xml:space="preserve"> </w:t>
      </w:r>
      <w:r w:rsidR="00666D16">
        <w:rPr>
          <w:sz w:val="20"/>
          <w:szCs w:val="20"/>
          <w:lang w:val="es-ES_tradnl"/>
        </w:rPr>
        <w:t>Por lo tanto</w:t>
      </w:r>
      <w:r w:rsidR="00666D16" w:rsidRPr="00D368EE">
        <w:rPr>
          <w:sz w:val="20"/>
          <w:szCs w:val="20"/>
          <w:lang w:val="es-ES_tradnl"/>
        </w:rPr>
        <w:t>, el Tribunal desestim</w:t>
      </w:r>
      <w:r w:rsidR="00D53B7A">
        <w:rPr>
          <w:sz w:val="20"/>
          <w:szCs w:val="20"/>
          <w:lang w:val="es-ES_tradnl"/>
        </w:rPr>
        <w:t>ó</w:t>
      </w:r>
      <w:r w:rsidR="00666D16" w:rsidRPr="00D368EE">
        <w:rPr>
          <w:sz w:val="20"/>
          <w:szCs w:val="20"/>
          <w:lang w:val="es-ES_tradnl"/>
        </w:rPr>
        <w:t xml:space="preserve"> </w:t>
      </w:r>
      <w:r w:rsidR="00666D16">
        <w:rPr>
          <w:sz w:val="20"/>
          <w:szCs w:val="20"/>
          <w:lang w:val="es-ES_tradnl"/>
        </w:rPr>
        <w:t>esta</w:t>
      </w:r>
      <w:r w:rsidR="00666D16" w:rsidRPr="00D368EE">
        <w:rPr>
          <w:sz w:val="20"/>
          <w:szCs w:val="20"/>
          <w:lang w:val="es-ES_tradnl"/>
        </w:rPr>
        <w:t xml:space="preserve"> excepción preliminar.</w:t>
      </w:r>
      <w:r w:rsidR="00666D16" w:rsidRPr="00D846F0">
        <w:rPr>
          <w:i/>
          <w:sz w:val="20"/>
          <w:szCs w:val="20"/>
          <w:lang w:val="es-ES_tradnl"/>
        </w:rPr>
        <w:t xml:space="preserve"> </w:t>
      </w:r>
    </w:p>
    <w:p w:rsidR="00666D16" w:rsidRDefault="00666D16" w:rsidP="00A973BD">
      <w:pPr>
        <w:tabs>
          <w:tab w:val="left" w:pos="720"/>
        </w:tabs>
        <w:spacing w:line="240" w:lineRule="auto"/>
        <w:rPr>
          <w:rFonts w:eastAsia="Calibri" w:cs="Calibri"/>
          <w:b/>
          <w:spacing w:val="-2"/>
          <w:sz w:val="20"/>
          <w:szCs w:val="20"/>
          <w:lang w:val="es-ES_tradnl"/>
        </w:rPr>
      </w:pPr>
    </w:p>
    <w:p w:rsidR="00780D6D" w:rsidRPr="00780D6D" w:rsidRDefault="00A973BD" w:rsidP="00A973BD">
      <w:pPr>
        <w:tabs>
          <w:tab w:val="left" w:pos="720"/>
        </w:tabs>
        <w:spacing w:line="240" w:lineRule="auto"/>
        <w:rPr>
          <w:rFonts w:eastAsia="Calibri" w:cs="Calibri"/>
          <w:b/>
          <w:spacing w:val="-2"/>
          <w:sz w:val="20"/>
          <w:szCs w:val="20"/>
          <w:lang w:val="es-ES_tradnl"/>
        </w:rPr>
      </w:pPr>
      <w:r>
        <w:rPr>
          <w:rFonts w:eastAsia="Calibri" w:cs="Calibri"/>
          <w:b/>
          <w:spacing w:val="-2"/>
          <w:sz w:val="20"/>
          <w:szCs w:val="20"/>
          <w:lang w:val="es-ES_tradnl"/>
        </w:rPr>
        <w:t>I</w:t>
      </w:r>
      <w:r w:rsidR="00666D16">
        <w:rPr>
          <w:rFonts w:eastAsia="Calibri" w:cs="Calibri"/>
          <w:b/>
          <w:spacing w:val="-2"/>
          <w:sz w:val="20"/>
          <w:szCs w:val="20"/>
          <w:lang w:val="es-ES_tradnl"/>
        </w:rPr>
        <w:t>I</w:t>
      </w:r>
      <w:r>
        <w:rPr>
          <w:rFonts w:eastAsia="Calibri" w:cs="Calibri"/>
          <w:b/>
          <w:spacing w:val="-2"/>
          <w:sz w:val="20"/>
          <w:szCs w:val="20"/>
          <w:lang w:val="es-ES_tradnl"/>
        </w:rPr>
        <w:t xml:space="preserve">. </w:t>
      </w:r>
      <w:r w:rsidR="00780D6D" w:rsidRPr="00780D6D">
        <w:rPr>
          <w:rFonts w:eastAsia="Calibri" w:cs="Calibri"/>
          <w:b/>
          <w:spacing w:val="-2"/>
          <w:sz w:val="20"/>
          <w:szCs w:val="20"/>
          <w:lang w:val="es-ES_tradnl"/>
        </w:rPr>
        <w:t>RECONOCIMIE</w:t>
      </w:r>
      <w:r w:rsidR="00780D6D">
        <w:rPr>
          <w:rFonts w:eastAsia="Calibri" w:cs="Calibri"/>
          <w:b/>
          <w:spacing w:val="-2"/>
          <w:sz w:val="20"/>
          <w:szCs w:val="20"/>
          <w:lang w:val="es-ES_tradnl"/>
        </w:rPr>
        <w:t>NTO PARCIAL DE RESPONSABILIDAD</w:t>
      </w:r>
      <w:r w:rsidR="00780D6D">
        <w:rPr>
          <w:rFonts w:eastAsia="Calibri" w:cs="Calibri"/>
          <w:b/>
          <w:spacing w:val="-2"/>
          <w:sz w:val="20"/>
          <w:szCs w:val="20"/>
          <w:lang w:val="es-ES_tradnl"/>
        </w:rPr>
        <w:tab/>
      </w:r>
    </w:p>
    <w:p w:rsidR="00780D6D" w:rsidRPr="0094663B" w:rsidRDefault="00780D6D" w:rsidP="00780D6D">
      <w:pPr>
        <w:tabs>
          <w:tab w:val="left" w:pos="720"/>
        </w:tabs>
        <w:spacing w:line="240" w:lineRule="auto"/>
        <w:rPr>
          <w:rFonts w:eastAsia="Calibri" w:cs="Calibri"/>
          <w:b/>
          <w:spacing w:val="-2"/>
          <w:sz w:val="16"/>
          <w:szCs w:val="20"/>
          <w:lang w:val="es-ES_tradnl"/>
        </w:rPr>
      </w:pPr>
    </w:p>
    <w:p w:rsidR="00780D6D" w:rsidRPr="00CC6CA6" w:rsidRDefault="00780D6D" w:rsidP="00780D6D">
      <w:pPr>
        <w:tabs>
          <w:tab w:val="left" w:pos="567"/>
        </w:tabs>
        <w:spacing w:line="240" w:lineRule="auto"/>
        <w:ind w:right="4"/>
        <w:rPr>
          <w:spacing w:val="-2"/>
          <w:sz w:val="20"/>
          <w:szCs w:val="20"/>
        </w:rPr>
      </w:pPr>
      <w:r w:rsidRPr="009264FB">
        <w:rPr>
          <w:sz w:val="20"/>
          <w:szCs w:val="20"/>
        </w:rPr>
        <w:t>El</w:t>
      </w:r>
      <w:r>
        <w:rPr>
          <w:sz w:val="20"/>
          <w:szCs w:val="20"/>
        </w:rPr>
        <w:t xml:space="preserve"> </w:t>
      </w:r>
      <w:r w:rsidRPr="005D58A8">
        <w:rPr>
          <w:spacing w:val="-2"/>
          <w:sz w:val="20"/>
          <w:szCs w:val="20"/>
          <w:lang w:val="es-ES_tradnl"/>
        </w:rPr>
        <w:t>Tribunal acept</w:t>
      </w:r>
      <w:r w:rsidR="0018211E">
        <w:rPr>
          <w:spacing w:val="-2"/>
          <w:sz w:val="20"/>
          <w:szCs w:val="20"/>
          <w:lang w:val="es-ES_tradnl"/>
        </w:rPr>
        <w:t>ó</w:t>
      </w:r>
      <w:r w:rsidRPr="005D58A8">
        <w:rPr>
          <w:spacing w:val="-2"/>
          <w:sz w:val="20"/>
          <w:szCs w:val="20"/>
          <w:lang w:val="es-ES_tradnl"/>
        </w:rPr>
        <w:t xml:space="preserve"> el reconocimiento parcial de responsabilidad formulado por el Estado, en sentido que violó los artículos 8 y 25 de la Convención</w:t>
      </w:r>
      <w:r>
        <w:rPr>
          <w:spacing w:val="-2"/>
          <w:sz w:val="20"/>
          <w:szCs w:val="20"/>
          <w:lang w:val="es-ES_tradnl"/>
        </w:rPr>
        <w:t xml:space="preserve"> Americana</w:t>
      </w:r>
      <w:r w:rsidRPr="005D58A8">
        <w:rPr>
          <w:spacing w:val="-2"/>
          <w:sz w:val="20"/>
          <w:szCs w:val="20"/>
          <w:lang w:val="es-ES_tradnl"/>
        </w:rPr>
        <w:t>. Sin perjuicio de ello, la Corte not</w:t>
      </w:r>
      <w:r w:rsidR="00AF64A3">
        <w:rPr>
          <w:spacing w:val="-2"/>
          <w:sz w:val="20"/>
          <w:szCs w:val="20"/>
          <w:lang w:val="es-ES_tradnl"/>
        </w:rPr>
        <w:t>ó</w:t>
      </w:r>
      <w:r w:rsidRPr="005D58A8">
        <w:rPr>
          <w:spacing w:val="-2"/>
          <w:sz w:val="20"/>
          <w:szCs w:val="20"/>
          <w:lang w:val="es-ES_tradnl"/>
        </w:rPr>
        <w:t xml:space="preserve"> que subsist</w:t>
      </w:r>
      <w:r w:rsidR="0018211E">
        <w:rPr>
          <w:spacing w:val="-2"/>
          <w:sz w:val="20"/>
          <w:szCs w:val="20"/>
          <w:lang w:val="es-ES_tradnl"/>
        </w:rPr>
        <w:t>ía</w:t>
      </w:r>
      <w:r w:rsidRPr="005D58A8">
        <w:rPr>
          <w:spacing w:val="-2"/>
          <w:sz w:val="20"/>
          <w:szCs w:val="20"/>
          <w:lang w:val="es-ES_tradnl"/>
        </w:rPr>
        <w:t xml:space="preserve"> la controversia en cuanto al alcance de dichas violaciones, así como en cuanto a quiénes fueron las personas perjudicadas por las mismas.</w:t>
      </w:r>
      <w:r>
        <w:rPr>
          <w:spacing w:val="-2"/>
          <w:sz w:val="20"/>
          <w:szCs w:val="20"/>
          <w:lang w:val="es-ES_tradnl"/>
        </w:rPr>
        <w:t xml:space="preserve"> </w:t>
      </w:r>
      <w:r w:rsidRPr="005D58A8">
        <w:rPr>
          <w:spacing w:val="-2"/>
          <w:sz w:val="20"/>
          <w:szCs w:val="20"/>
          <w:lang w:val="es-ES_tradnl"/>
        </w:rPr>
        <w:t xml:space="preserve">También </w:t>
      </w:r>
      <w:r w:rsidR="00666D16">
        <w:rPr>
          <w:spacing w:val="-2"/>
          <w:sz w:val="20"/>
          <w:szCs w:val="20"/>
          <w:lang w:val="es-ES_tradnl"/>
        </w:rPr>
        <w:t xml:space="preserve">declaró que </w:t>
      </w:r>
      <w:r w:rsidRPr="005D58A8">
        <w:rPr>
          <w:spacing w:val="-2"/>
          <w:sz w:val="20"/>
          <w:szCs w:val="20"/>
          <w:lang w:val="es-ES_tradnl"/>
        </w:rPr>
        <w:t>subsist</w:t>
      </w:r>
      <w:r w:rsidR="0018211E">
        <w:rPr>
          <w:spacing w:val="-2"/>
          <w:sz w:val="20"/>
          <w:szCs w:val="20"/>
          <w:lang w:val="es-ES_tradnl"/>
        </w:rPr>
        <w:t>ía</w:t>
      </w:r>
      <w:r w:rsidRPr="005D58A8">
        <w:rPr>
          <w:spacing w:val="-2"/>
          <w:sz w:val="20"/>
          <w:szCs w:val="20"/>
          <w:lang w:val="es-ES_tradnl"/>
        </w:rPr>
        <w:t xml:space="preserve"> la controversia </w:t>
      </w:r>
      <w:r w:rsidR="002A3B85" w:rsidRPr="00D13792">
        <w:rPr>
          <w:spacing w:val="-2"/>
          <w:sz w:val="20"/>
          <w:szCs w:val="20"/>
        </w:rPr>
        <w:t xml:space="preserve">en cuanto a </w:t>
      </w:r>
      <w:r w:rsidR="00AA7E80" w:rsidRPr="00D13792">
        <w:rPr>
          <w:sz w:val="20"/>
          <w:szCs w:val="20"/>
        </w:rPr>
        <w:t>la</w:t>
      </w:r>
      <w:r w:rsidR="00AA7E80">
        <w:rPr>
          <w:sz w:val="20"/>
          <w:szCs w:val="20"/>
        </w:rPr>
        <w:t>s</w:t>
      </w:r>
      <w:r w:rsidR="00AA7E80" w:rsidRPr="00D13792">
        <w:rPr>
          <w:sz w:val="20"/>
          <w:szCs w:val="20"/>
        </w:rPr>
        <w:t xml:space="preserve"> violaci</w:t>
      </w:r>
      <w:r w:rsidR="00AA7E80">
        <w:rPr>
          <w:sz w:val="20"/>
          <w:szCs w:val="20"/>
        </w:rPr>
        <w:t>ones</w:t>
      </w:r>
      <w:r w:rsidR="00AA7E80" w:rsidRPr="00D13792">
        <w:rPr>
          <w:sz w:val="20"/>
          <w:szCs w:val="20"/>
        </w:rPr>
        <w:t xml:space="preserve"> </w:t>
      </w:r>
      <w:r w:rsidR="002A3B85" w:rsidRPr="00D13792">
        <w:rPr>
          <w:sz w:val="20"/>
          <w:szCs w:val="20"/>
        </w:rPr>
        <w:t>de los derechos establecidos en los artículos 3, 4, 5, 6, 7, 11, 12, 16, 17, 19, 21, 22, 23 y 24 de la Convención Americana, en relación el artículo 1.1 de la misma; del artículo I de la Convención Interamericana sobre Desaparición Forzada de Personas, y del artículo 7 de la Convención Interamericana para Prevenir, Sancionar y Erradicar la Violencia contra la Mujer, alegad</w:t>
      </w:r>
      <w:r w:rsidR="009B0664">
        <w:rPr>
          <w:sz w:val="20"/>
          <w:szCs w:val="20"/>
        </w:rPr>
        <w:t>a</w:t>
      </w:r>
      <w:r w:rsidR="00AA7E80">
        <w:rPr>
          <w:sz w:val="20"/>
          <w:szCs w:val="20"/>
        </w:rPr>
        <w:t>s</w:t>
      </w:r>
      <w:r w:rsidR="002A3B85" w:rsidRPr="00D13792">
        <w:rPr>
          <w:sz w:val="20"/>
          <w:szCs w:val="20"/>
        </w:rPr>
        <w:t xml:space="preserve"> por la Comisión y/o los representantes</w:t>
      </w:r>
      <w:r w:rsidR="0071005B">
        <w:rPr>
          <w:sz w:val="20"/>
          <w:szCs w:val="20"/>
          <w:lang w:val="es-ES_tradnl"/>
        </w:rPr>
        <w:t>.</w:t>
      </w:r>
      <w:r w:rsidR="00987267">
        <w:rPr>
          <w:sz w:val="20"/>
          <w:szCs w:val="20"/>
          <w:lang w:val="es-PR"/>
        </w:rPr>
        <w:t xml:space="preserve"> </w:t>
      </w:r>
      <w:r w:rsidR="00666D16">
        <w:rPr>
          <w:sz w:val="20"/>
          <w:szCs w:val="20"/>
          <w:lang w:val="es-PR"/>
        </w:rPr>
        <w:t xml:space="preserve">Asimismo, </w:t>
      </w:r>
      <w:r w:rsidRPr="00CC6CA6">
        <w:rPr>
          <w:sz w:val="20"/>
          <w:szCs w:val="20"/>
        </w:rPr>
        <w:t xml:space="preserve">la Corte </w:t>
      </w:r>
      <w:r w:rsidRPr="00F42BE0">
        <w:rPr>
          <w:sz w:val="20"/>
          <w:szCs w:val="20"/>
        </w:rPr>
        <w:t>consider</w:t>
      </w:r>
      <w:r w:rsidR="00AF64A3">
        <w:rPr>
          <w:sz w:val="20"/>
          <w:szCs w:val="20"/>
        </w:rPr>
        <w:t>ó</w:t>
      </w:r>
      <w:r>
        <w:rPr>
          <w:sz w:val="20"/>
          <w:szCs w:val="20"/>
        </w:rPr>
        <w:t xml:space="preserve"> </w:t>
      </w:r>
      <w:r w:rsidRPr="00F42BE0">
        <w:rPr>
          <w:sz w:val="20"/>
          <w:szCs w:val="20"/>
        </w:rPr>
        <w:t>aceptados los hechos</w:t>
      </w:r>
      <w:r>
        <w:rPr>
          <w:sz w:val="20"/>
          <w:szCs w:val="20"/>
        </w:rPr>
        <w:t xml:space="preserve"> del caso y </w:t>
      </w:r>
      <w:r w:rsidR="00666D16">
        <w:rPr>
          <w:sz w:val="20"/>
          <w:szCs w:val="20"/>
        </w:rPr>
        <w:t xml:space="preserve">declaró que </w:t>
      </w:r>
      <w:r>
        <w:rPr>
          <w:sz w:val="20"/>
          <w:szCs w:val="20"/>
        </w:rPr>
        <w:t>los tendr</w:t>
      </w:r>
      <w:r w:rsidR="00666D16">
        <w:rPr>
          <w:sz w:val="20"/>
          <w:szCs w:val="20"/>
        </w:rPr>
        <w:t>ía</w:t>
      </w:r>
      <w:r>
        <w:rPr>
          <w:sz w:val="20"/>
          <w:szCs w:val="20"/>
        </w:rPr>
        <w:t xml:space="preserve"> como ciertos </w:t>
      </w:r>
      <w:r w:rsidRPr="00BD1875">
        <w:rPr>
          <w:sz w:val="20"/>
          <w:szCs w:val="20"/>
        </w:rPr>
        <w:t xml:space="preserve">mientras lo contrario no </w:t>
      </w:r>
      <w:r w:rsidR="00666D16">
        <w:rPr>
          <w:sz w:val="20"/>
          <w:szCs w:val="20"/>
        </w:rPr>
        <w:t>apareciera</w:t>
      </w:r>
      <w:r w:rsidRPr="00BD1875">
        <w:rPr>
          <w:sz w:val="20"/>
          <w:szCs w:val="20"/>
        </w:rPr>
        <w:t xml:space="preserve"> de los autos o no result</w:t>
      </w:r>
      <w:r w:rsidR="00666D16">
        <w:rPr>
          <w:sz w:val="20"/>
          <w:szCs w:val="20"/>
        </w:rPr>
        <w:t>ara</w:t>
      </w:r>
      <w:r w:rsidRPr="00BD1875">
        <w:rPr>
          <w:sz w:val="20"/>
          <w:szCs w:val="20"/>
        </w:rPr>
        <w:t xml:space="preserve"> de la convicción judicial</w:t>
      </w:r>
      <w:r>
        <w:rPr>
          <w:sz w:val="20"/>
          <w:szCs w:val="20"/>
        </w:rPr>
        <w:t xml:space="preserve">. </w:t>
      </w:r>
    </w:p>
    <w:p w:rsidR="00780D6D" w:rsidRPr="00780D6D" w:rsidRDefault="00780D6D" w:rsidP="00780D6D">
      <w:pPr>
        <w:tabs>
          <w:tab w:val="left" w:pos="720"/>
        </w:tabs>
        <w:spacing w:line="240" w:lineRule="auto"/>
        <w:rPr>
          <w:rFonts w:eastAsia="Calibri" w:cs="Calibri"/>
          <w:b/>
          <w:spacing w:val="-2"/>
          <w:sz w:val="20"/>
          <w:szCs w:val="20"/>
        </w:rPr>
      </w:pPr>
    </w:p>
    <w:p w:rsidR="001E5A6C" w:rsidRDefault="00666D16" w:rsidP="001E5A6C">
      <w:pPr>
        <w:tabs>
          <w:tab w:val="left" w:pos="720"/>
        </w:tabs>
        <w:spacing w:line="240" w:lineRule="auto"/>
        <w:rPr>
          <w:rFonts w:eastAsia="Calibri" w:cs="Calibri"/>
          <w:b/>
          <w:spacing w:val="-2"/>
          <w:sz w:val="20"/>
          <w:szCs w:val="20"/>
          <w:lang w:val="es-ES_tradnl"/>
        </w:rPr>
      </w:pPr>
      <w:r>
        <w:rPr>
          <w:rFonts w:eastAsia="Calibri" w:cs="Calibri"/>
          <w:b/>
          <w:spacing w:val="-2"/>
          <w:sz w:val="20"/>
          <w:szCs w:val="20"/>
          <w:lang w:val="es-ES_tradnl"/>
        </w:rPr>
        <w:t>II</w:t>
      </w:r>
      <w:r w:rsidR="001E5A6C" w:rsidRPr="001E5A6C">
        <w:rPr>
          <w:rFonts w:eastAsia="Calibri" w:cs="Calibri"/>
          <w:b/>
          <w:spacing w:val="-2"/>
          <w:sz w:val="20"/>
          <w:szCs w:val="20"/>
          <w:lang w:val="es-ES_tradnl"/>
        </w:rPr>
        <w:t>I. CONSIDERACIÓN PREVIA</w:t>
      </w:r>
    </w:p>
    <w:p w:rsidR="00B6274A" w:rsidRPr="00A50EA6" w:rsidRDefault="00B6274A" w:rsidP="001E5A6C">
      <w:pPr>
        <w:tabs>
          <w:tab w:val="left" w:pos="720"/>
        </w:tabs>
        <w:spacing w:line="240" w:lineRule="auto"/>
        <w:rPr>
          <w:rFonts w:eastAsia="Calibri" w:cs="Calibri"/>
          <w:b/>
          <w:spacing w:val="-2"/>
          <w:sz w:val="16"/>
          <w:szCs w:val="20"/>
          <w:lang w:val="es-ES_tradnl"/>
        </w:rPr>
      </w:pPr>
    </w:p>
    <w:p w:rsidR="00E17DA5" w:rsidRPr="00E353B7" w:rsidRDefault="00987267" w:rsidP="00E353B7">
      <w:pPr>
        <w:tabs>
          <w:tab w:val="left" w:pos="720"/>
        </w:tabs>
        <w:spacing w:line="240" w:lineRule="auto"/>
        <w:rPr>
          <w:rFonts w:eastAsia="Calibri" w:cs="Calibri"/>
          <w:spacing w:val="-2"/>
          <w:sz w:val="20"/>
          <w:szCs w:val="20"/>
          <w:lang w:val="es-ES_tradnl"/>
        </w:rPr>
      </w:pPr>
      <w:r>
        <w:rPr>
          <w:sz w:val="20"/>
          <w:szCs w:val="20"/>
        </w:rPr>
        <w:t>E</w:t>
      </w:r>
      <w:r w:rsidR="00111199" w:rsidRPr="00294E22">
        <w:rPr>
          <w:sz w:val="20"/>
          <w:szCs w:val="20"/>
        </w:rPr>
        <w:t xml:space="preserve">n aplicación del artículo 35.2 del Reglamento, </w:t>
      </w:r>
      <w:r w:rsidR="0036111C">
        <w:rPr>
          <w:sz w:val="20"/>
          <w:szCs w:val="20"/>
        </w:rPr>
        <w:t>la</w:t>
      </w:r>
      <w:r w:rsidR="00111199" w:rsidRPr="00294E22">
        <w:rPr>
          <w:sz w:val="20"/>
          <w:szCs w:val="20"/>
        </w:rPr>
        <w:t xml:space="preserve"> Corte </w:t>
      </w:r>
      <w:r w:rsidR="00E17DA5" w:rsidRPr="00902088">
        <w:rPr>
          <w:sz w:val="20"/>
          <w:szCs w:val="20"/>
        </w:rPr>
        <w:t>consider</w:t>
      </w:r>
      <w:r w:rsidR="0036111C">
        <w:rPr>
          <w:sz w:val="20"/>
          <w:szCs w:val="20"/>
        </w:rPr>
        <w:t>ó</w:t>
      </w:r>
      <w:r w:rsidR="00E17DA5" w:rsidRPr="00902088">
        <w:rPr>
          <w:sz w:val="20"/>
          <w:szCs w:val="20"/>
        </w:rPr>
        <w:t xml:space="preserve"> como presuntas víctimas a aquellas personas identificadas e individualizadas por la Comisión en el Informe de Fondo, así como por los representantes en el “Listado General de Víctimas” y en el listado de “Personas individualizadas y desplazadas”, remitidos el 2 de junio de 2016, ya que, según aquellos, dichos listados “muestran y aglutinan la mayor cantidad de víctimas del caso”. Lo anterior, siempre y cuando el Tribunal </w:t>
      </w:r>
      <w:r w:rsidR="0036111C">
        <w:rPr>
          <w:sz w:val="20"/>
          <w:szCs w:val="20"/>
        </w:rPr>
        <w:t>contara</w:t>
      </w:r>
      <w:r w:rsidR="00E17DA5" w:rsidRPr="00902088">
        <w:rPr>
          <w:sz w:val="20"/>
          <w:szCs w:val="20"/>
        </w:rPr>
        <w:t xml:space="preserve"> con la prueba necesaria para verificar la identidad de cada una de esas personas. Dichas personas se encuentran identificadas</w:t>
      </w:r>
      <w:r w:rsidR="00E17DA5" w:rsidRPr="00902088">
        <w:rPr>
          <w:i/>
          <w:sz w:val="20"/>
          <w:szCs w:val="20"/>
        </w:rPr>
        <w:t xml:space="preserve"> </w:t>
      </w:r>
      <w:r w:rsidR="00E17DA5" w:rsidRPr="00902088">
        <w:rPr>
          <w:sz w:val="20"/>
          <w:szCs w:val="20"/>
        </w:rPr>
        <w:t xml:space="preserve">en los Anexos I y II de </w:t>
      </w:r>
      <w:r w:rsidR="0036111C">
        <w:rPr>
          <w:sz w:val="20"/>
          <w:szCs w:val="20"/>
        </w:rPr>
        <w:t>la</w:t>
      </w:r>
      <w:r w:rsidR="00E17DA5" w:rsidRPr="00902088">
        <w:rPr>
          <w:sz w:val="20"/>
          <w:szCs w:val="20"/>
        </w:rPr>
        <w:t xml:space="preserve"> Sentencia.</w:t>
      </w:r>
    </w:p>
    <w:p w:rsidR="00111199" w:rsidRDefault="00111199" w:rsidP="00E17DA5">
      <w:pPr>
        <w:tabs>
          <w:tab w:val="left" w:pos="567"/>
        </w:tabs>
        <w:spacing w:line="240" w:lineRule="auto"/>
        <w:ind w:right="4"/>
        <w:rPr>
          <w:rFonts w:eastAsia="Calibri" w:cs="Calibri"/>
          <w:spacing w:val="-2"/>
          <w:sz w:val="20"/>
          <w:szCs w:val="20"/>
        </w:rPr>
      </w:pPr>
    </w:p>
    <w:p w:rsidR="004E55D8" w:rsidRDefault="0036111C" w:rsidP="0032127E">
      <w:pPr>
        <w:tabs>
          <w:tab w:val="left" w:pos="720"/>
        </w:tabs>
        <w:spacing w:line="240" w:lineRule="auto"/>
        <w:rPr>
          <w:rFonts w:eastAsia="Calibri" w:cs="Calibri"/>
          <w:b/>
          <w:spacing w:val="-2"/>
          <w:sz w:val="20"/>
          <w:szCs w:val="20"/>
        </w:rPr>
      </w:pPr>
      <w:r>
        <w:rPr>
          <w:rFonts w:eastAsia="Calibri" w:cs="Calibri"/>
          <w:b/>
          <w:spacing w:val="-2"/>
          <w:sz w:val="20"/>
          <w:szCs w:val="20"/>
        </w:rPr>
        <w:t>IV</w:t>
      </w:r>
      <w:r w:rsidR="00863E23">
        <w:rPr>
          <w:rFonts w:eastAsia="Calibri" w:cs="Calibri"/>
          <w:b/>
          <w:spacing w:val="-2"/>
          <w:sz w:val="20"/>
          <w:szCs w:val="20"/>
        </w:rPr>
        <w:t xml:space="preserve">. </w:t>
      </w:r>
      <w:r w:rsidR="004E55D8">
        <w:rPr>
          <w:rFonts w:eastAsia="Calibri" w:cs="Calibri"/>
          <w:b/>
          <w:spacing w:val="-2"/>
          <w:sz w:val="20"/>
          <w:szCs w:val="20"/>
        </w:rPr>
        <w:t>HECHOS</w:t>
      </w:r>
    </w:p>
    <w:p w:rsidR="004E55D8" w:rsidRPr="00A50EA6" w:rsidRDefault="004E55D8" w:rsidP="001E5A6C">
      <w:pPr>
        <w:tabs>
          <w:tab w:val="left" w:pos="720"/>
        </w:tabs>
        <w:spacing w:line="240" w:lineRule="auto"/>
        <w:rPr>
          <w:rFonts w:eastAsia="Calibri" w:cs="Calibri"/>
          <w:b/>
          <w:spacing w:val="-2"/>
          <w:sz w:val="16"/>
          <w:szCs w:val="20"/>
        </w:rPr>
      </w:pPr>
    </w:p>
    <w:p w:rsidR="00BE429E" w:rsidRDefault="0036111C" w:rsidP="001E5A6C">
      <w:pPr>
        <w:tabs>
          <w:tab w:val="left" w:pos="720"/>
        </w:tabs>
        <w:spacing w:line="240" w:lineRule="auto"/>
        <w:rPr>
          <w:rFonts w:cs="Arial"/>
          <w:sz w:val="20"/>
          <w:szCs w:val="20"/>
        </w:rPr>
      </w:pPr>
      <w:r>
        <w:rPr>
          <w:rFonts w:cs="Arial"/>
          <w:sz w:val="20"/>
          <w:szCs w:val="20"/>
        </w:rPr>
        <w:t>En este capítulo</w:t>
      </w:r>
      <w:r w:rsidRPr="00380E6E">
        <w:rPr>
          <w:rFonts w:cs="Arial"/>
          <w:sz w:val="20"/>
          <w:szCs w:val="20"/>
        </w:rPr>
        <w:t xml:space="preserve"> </w:t>
      </w:r>
      <w:r w:rsidR="004E55D8" w:rsidRPr="00380E6E">
        <w:rPr>
          <w:rFonts w:cs="Arial"/>
          <w:sz w:val="20"/>
          <w:szCs w:val="20"/>
        </w:rPr>
        <w:t>Corte se refi</w:t>
      </w:r>
      <w:r w:rsidR="004E55D8">
        <w:rPr>
          <w:rFonts w:cs="Arial"/>
          <w:sz w:val="20"/>
          <w:szCs w:val="20"/>
        </w:rPr>
        <w:t>ere</w:t>
      </w:r>
      <w:r w:rsidR="004E55D8" w:rsidRPr="00380E6E">
        <w:rPr>
          <w:rFonts w:cs="Arial"/>
          <w:sz w:val="20"/>
          <w:szCs w:val="20"/>
        </w:rPr>
        <w:t xml:space="preserve"> a: </w:t>
      </w:r>
    </w:p>
    <w:p w:rsidR="00BE429E" w:rsidRPr="00A50EA6" w:rsidRDefault="00BE429E" w:rsidP="001E5A6C">
      <w:pPr>
        <w:tabs>
          <w:tab w:val="left" w:pos="720"/>
        </w:tabs>
        <w:spacing w:line="240" w:lineRule="auto"/>
        <w:rPr>
          <w:rFonts w:cs="Arial"/>
          <w:sz w:val="16"/>
          <w:szCs w:val="20"/>
        </w:rPr>
      </w:pPr>
    </w:p>
    <w:p w:rsidR="00BE429E" w:rsidRDefault="004E55D8" w:rsidP="001E5A6C">
      <w:pPr>
        <w:tabs>
          <w:tab w:val="left" w:pos="720"/>
        </w:tabs>
        <w:spacing w:line="240" w:lineRule="auto"/>
        <w:rPr>
          <w:rFonts w:cs="Arial"/>
          <w:sz w:val="20"/>
          <w:szCs w:val="20"/>
        </w:rPr>
      </w:pPr>
      <w:r w:rsidRPr="00380E6E">
        <w:rPr>
          <w:rFonts w:cs="Arial"/>
          <w:sz w:val="20"/>
          <w:szCs w:val="20"/>
        </w:rPr>
        <w:t xml:space="preserve">A) </w:t>
      </w:r>
      <w:r w:rsidRPr="00B446EE">
        <w:rPr>
          <w:rFonts w:cs="Arial"/>
          <w:i/>
          <w:sz w:val="20"/>
          <w:szCs w:val="20"/>
        </w:rPr>
        <w:t>los antecedentes del caso</w:t>
      </w:r>
      <w:r w:rsidR="00BE429E">
        <w:rPr>
          <w:rFonts w:cs="Arial"/>
          <w:sz w:val="20"/>
          <w:szCs w:val="20"/>
        </w:rPr>
        <w:t xml:space="preserve">, los cuales incluyen </w:t>
      </w:r>
      <w:r w:rsidR="00BE429E" w:rsidRPr="00BE429E">
        <w:rPr>
          <w:rFonts w:cs="Arial"/>
          <w:sz w:val="20"/>
          <w:szCs w:val="20"/>
        </w:rPr>
        <w:t>un contexto sistemático de violaciones graves y masivas de los derechos humanos en Guatemala</w:t>
      </w:r>
      <w:r w:rsidR="00BE429E">
        <w:rPr>
          <w:rFonts w:cs="Arial"/>
          <w:sz w:val="20"/>
          <w:szCs w:val="20"/>
        </w:rPr>
        <w:t xml:space="preserve"> durante el conflicto armado interno, en el cual la población maya fue particularmente afectada</w:t>
      </w:r>
      <w:r w:rsidRPr="00380E6E">
        <w:rPr>
          <w:sz w:val="20"/>
          <w:szCs w:val="20"/>
        </w:rPr>
        <w:t>;</w:t>
      </w:r>
      <w:r w:rsidRPr="00380E6E">
        <w:rPr>
          <w:rFonts w:cs="Arial"/>
          <w:sz w:val="20"/>
          <w:szCs w:val="20"/>
        </w:rPr>
        <w:t xml:space="preserve"> </w:t>
      </w:r>
    </w:p>
    <w:p w:rsidR="00BE429E" w:rsidRDefault="00BE429E" w:rsidP="001E5A6C">
      <w:pPr>
        <w:tabs>
          <w:tab w:val="left" w:pos="720"/>
        </w:tabs>
        <w:spacing w:line="240" w:lineRule="auto"/>
        <w:rPr>
          <w:rFonts w:cs="Arial"/>
          <w:sz w:val="20"/>
          <w:szCs w:val="20"/>
        </w:rPr>
      </w:pPr>
    </w:p>
    <w:p w:rsidR="00BE429E" w:rsidRDefault="004E55D8" w:rsidP="001E5A6C">
      <w:pPr>
        <w:tabs>
          <w:tab w:val="left" w:pos="720"/>
        </w:tabs>
        <w:spacing w:line="240" w:lineRule="auto"/>
        <w:rPr>
          <w:sz w:val="20"/>
          <w:szCs w:val="20"/>
        </w:rPr>
      </w:pPr>
      <w:r w:rsidRPr="00380E6E">
        <w:rPr>
          <w:rFonts w:cs="Arial"/>
          <w:sz w:val="20"/>
          <w:szCs w:val="20"/>
        </w:rPr>
        <w:t xml:space="preserve">B) </w:t>
      </w:r>
      <w:r w:rsidRPr="00B446EE">
        <w:rPr>
          <w:i/>
          <w:sz w:val="20"/>
          <w:szCs w:val="20"/>
          <w:lang w:val="es-ES"/>
        </w:rPr>
        <w:t>los hechos acontecidos en</w:t>
      </w:r>
      <w:r w:rsidR="00BE429E" w:rsidRPr="00B446EE">
        <w:rPr>
          <w:i/>
          <w:sz w:val="20"/>
          <w:szCs w:val="20"/>
          <w:lang w:val="es-ES"/>
        </w:rPr>
        <w:t>tre los años 1981 y 1986</w:t>
      </w:r>
      <w:r w:rsidR="00BE429E">
        <w:rPr>
          <w:sz w:val="20"/>
          <w:szCs w:val="20"/>
          <w:lang w:val="es-ES"/>
        </w:rPr>
        <w:t xml:space="preserve"> en</w:t>
      </w:r>
      <w:r w:rsidRPr="00380E6E">
        <w:rPr>
          <w:sz w:val="20"/>
          <w:szCs w:val="20"/>
          <w:lang w:val="es-ES"/>
        </w:rPr>
        <w:t xml:space="preserve"> </w:t>
      </w:r>
      <w:r w:rsidRPr="00380E6E">
        <w:rPr>
          <w:sz w:val="20"/>
          <w:szCs w:val="20"/>
        </w:rPr>
        <w:t xml:space="preserve">la aldea </w:t>
      </w:r>
      <w:proofErr w:type="spellStart"/>
      <w:r w:rsidRPr="00380E6E">
        <w:rPr>
          <w:sz w:val="20"/>
          <w:szCs w:val="20"/>
        </w:rPr>
        <w:t>Chichupac</w:t>
      </w:r>
      <w:proofErr w:type="spellEnd"/>
      <w:r w:rsidRPr="00380E6E">
        <w:rPr>
          <w:sz w:val="20"/>
          <w:szCs w:val="20"/>
        </w:rPr>
        <w:t xml:space="preserve"> y comunidades vecinas</w:t>
      </w:r>
      <w:r w:rsidR="0045167B">
        <w:rPr>
          <w:sz w:val="20"/>
          <w:szCs w:val="20"/>
        </w:rPr>
        <w:t xml:space="preserve"> </w:t>
      </w:r>
      <w:r w:rsidR="00BE429E" w:rsidRPr="00D846F0">
        <w:rPr>
          <w:sz w:val="20"/>
          <w:szCs w:val="20"/>
        </w:rPr>
        <w:t xml:space="preserve">de </w:t>
      </w:r>
      <w:proofErr w:type="spellStart"/>
      <w:r w:rsidR="00BE429E" w:rsidRPr="00D846F0">
        <w:rPr>
          <w:sz w:val="20"/>
          <w:szCs w:val="20"/>
        </w:rPr>
        <w:t>Xeabaj</w:t>
      </w:r>
      <w:proofErr w:type="spellEnd"/>
      <w:r w:rsidR="00BE429E" w:rsidRPr="00D846F0">
        <w:rPr>
          <w:sz w:val="20"/>
          <w:szCs w:val="20"/>
        </w:rPr>
        <w:t xml:space="preserve">, </w:t>
      </w:r>
      <w:proofErr w:type="spellStart"/>
      <w:r w:rsidR="00BE429E" w:rsidRPr="00D846F0">
        <w:rPr>
          <w:sz w:val="20"/>
          <w:szCs w:val="20"/>
        </w:rPr>
        <w:t>Chijom</w:t>
      </w:r>
      <w:proofErr w:type="spellEnd"/>
      <w:r w:rsidR="00BE429E" w:rsidRPr="00D846F0">
        <w:rPr>
          <w:sz w:val="20"/>
          <w:szCs w:val="20"/>
        </w:rPr>
        <w:t xml:space="preserve">, </w:t>
      </w:r>
      <w:proofErr w:type="spellStart"/>
      <w:r w:rsidR="00BE429E" w:rsidRPr="00D846F0">
        <w:rPr>
          <w:sz w:val="20"/>
          <w:szCs w:val="20"/>
        </w:rPr>
        <w:t>Coyojá</w:t>
      </w:r>
      <w:proofErr w:type="spellEnd"/>
      <w:r w:rsidR="00BE429E" w:rsidRPr="00D846F0">
        <w:rPr>
          <w:sz w:val="20"/>
          <w:szCs w:val="20"/>
        </w:rPr>
        <w:t xml:space="preserve">, El Tablón, </w:t>
      </w:r>
      <w:proofErr w:type="spellStart"/>
      <w:r w:rsidR="00BE429E" w:rsidRPr="00D846F0">
        <w:rPr>
          <w:sz w:val="20"/>
          <w:szCs w:val="20"/>
        </w:rPr>
        <w:t>Toloxcoc</w:t>
      </w:r>
      <w:proofErr w:type="spellEnd"/>
      <w:r w:rsidR="00BE429E" w:rsidRPr="00D846F0">
        <w:rPr>
          <w:sz w:val="20"/>
          <w:szCs w:val="20"/>
        </w:rPr>
        <w:t xml:space="preserve">, </w:t>
      </w:r>
      <w:proofErr w:type="spellStart"/>
      <w:r w:rsidR="00BE429E" w:rsidRPr="00D846F0">
        <w:rPr>
          <w:sz w:val="20"/>
          <w:szCs w:val="20"/>
        </w:rPr>
        <w:t>Chirrum</w:t>
      </w:r>
      <w:proofErr w:type="spellEnd"/>
      <w:r w:rsidR="00BE429E" w:rsidRPr="00D846F0">
        <w:rPr>
          <w:sz w:val="20"/>
          <w:szCs w:val="20"/>
        </w:rPr>
        <w:t xml:space="preserve">, </w:t>
      </w:r>
      <w:r w:rsidR="00BE429E" w:rsidRPr="00D846F0">
        <w:rPr>
          <w:iCs/>
          <w:sz w:val="20"/>
          <w:szCs w:val="20"/>
        </w:rPr>
        <w:t>El Chol,</w:t>
      </w:r>
      <w:r w:rsidR="00BE429E" w:rsidRPr="00D846F0">
        <w:rPr>
          <w:sz w:val="20"/>
          <w:szCs w:val="20"/>
        </w:rPr>
        <w:t xml:space="preserve"> y El Apazote</w:t>
      </w:r>
      <w:r w:rsidR="0045167B">
        <w:rPr>
          <w:sz w:val="20"/>
          <w:szCs w:val="20"/>
        </w:rPr>
        <w:t>, todas ellas ubicadas dentro del municipio de Rabinal y pobladas por personas maya</w:t>
      </w:r>
      <w:r w:rsidR="00B81039">
        <w:rPr>
          <w:sz w:val="20"/>
          <w:szCs w:val="20"/>
        </w:rPr>
        <w:t xml:space="preserve"> </w:t>
      </w:r>
      <w:proofErr w:type="spellStart"/>
      <w:r w:rsidR="0045167B">
        <w:rPr>
          <w:sz w:val="20"/>
          <w:szCs w:val="20"/>
        </w:rPr>
        <w:t>achí</w:t>
      </w:r>
      <w:proofErr w:type="spellEnd"/>
      <w:r w:rsidR="00BE429E">
        <w:rPr>
          <w:sz w:val="20"/>
          <w:szCs w:val="20"/>
        </w:rPr>
        <w:t xml:space="preserve">. </w:t>
      </w:r>
      <w:r w:rsidR="00D5230F">
        <w:rPr>
          <w:sz w:val="20"/>
          <w:szCs w:val="20"/>
        </w:rPr>
        <w:t>Dichos hechos incluyen</w:t>
      </w:r>
      <w:r w:rsidR="0045167B" w:rsidRPr="0045167B">
        <w:rPr>
          <w:sz w:val="20"/>
          <w:szCs w:val="20"/>
        </w:rPr>
        <w:t xml:space="preserve"> desapariciones, ejecuciones, </w:t>
      </w:r>
      <w:r w:rsidR="00D5230F">
        <w:rPr>
          <w:sz w:val="20"/>
          <w:szCs w:val="20"/>
        </w:rPr>
        <w:t xml:space="preserve">detenciones, </w:t>
      </w:r>
      <w:r w:rsidR="0045167B" w:rsidRPr="0045167B">
        <w:rPr>
          <w:sz w:val="20"/>
          <w:szCs w:val="20"/>
        </w:rPr>
        <w:t>desplazamiento</w:t>
      </w:r>
      <w:r w:rsidR="0045167B">
        <w:rPr>
          <w:sz w:val="20"/>
          <w:szCs w:val="20"/>
        </w:rPr>
        <w:t>s</w:t>
      </w:r>
      <w:r w:rsidR="0045167B" w:rsidRPr="0045167B">
        <w:rPr>
          <w:sz w:val="20"/>
          <w:szCs w:val="20"/>
        </w:rPr>
        <w:t xml:space="preserve"> </w:t>
      </w:r>
      <w:r w:rsidR="00E4130A">
        <w:rPr>
          <w:sz w:val="20"/>
          <w:szCs w:val="20"/>
        </w:rPr>
        <w:t>forzados</w:t>
      </w:r>
      <w:r w:rsidR="0045167B" w:rsidRPr="0045167B">
        <w:rPr>
          <w:sz w:val="20"/>
          <w:szCs w:val="20"/>
        </w:rPr>
        <w:t xml:space="preserve">, actos de tortura, violencia sexual </w:t>
      </w:r>
      <w:r w:rsidR="0045167B">
        <w:rPr>
          <w:sz w:val="20"/>
          <w:szCs w:val="20"/>
        </w:rPr>
        <w:t>y trabajos forzosos</w:t>
      </w:r>
      <w:r w:rsidR="00D5230F">
        <w:rPr>
          <w:sz w:val="20"/>
          <w:szCs w:val="20"/>
        </w:rPr>
        <w:t>, entre otros</w:t>
      </w:r>
      <w:r w:rsidR="0045167B">
        <w:rPr>
          <w:sz w:val="20"/>
          <w:szCs w:val="20"/>
        </w:rPr>
        <w:t xml:space="preserve">. Estos hechos sucedieron antes y después de la masacre en la clínica de la aldea </w:t>
      </w:r>
      <w:proofErr w:type="spellStart"/>
      <w:r w:rsidR="0045167B">
        <w:rPr>
          <w:sz w:val="20"/>
          <w:szCs w:val="20"/>
        </w:rPr>
        <w:t>Chichupac</w:t>
      </w:r>
      <w:proofErr w:type="spellEnd"/>
      <w:r w:rsidR="0045167B">
        <w:rPr>
          <w:sz w:val="20"/>
          <w:szCs w:val="20"/>
        </w:rPr>
        <w:t xml:space="preserve"> perpetrada el 8 de enero de 1982, donde 32 hombres de la comunidad fueron seleccionados de una </w:t>
      </w:r>
      <w:r w:rsidR="00796C78">
        <w:rPr>
          <w:sz w:val="20"/>
          <w:szCs w:val="20"/>
        </w:rPr>
        <w:t xml:space="preserve">lista, torturados y ejecutados, y </w:t>
      </w:r>
    </w:p>
    <w:p w:rsidR="00BE429E" w:rsidRDefault="00BE429E" w:rsidP="001E5A6C">
      <w:pPr>
        <w:tabs>
          <w:tab w:val="left" w:pos="720"/>
        </w:tabs>
        <w:spacing w:line="240" w:lineRule="auto"/>
        <w:rPr>
          <w:sz w:val="20"/>
          <w:szCs w:val="20"/>
        </w:rPr>
      </w:pPr>
    </w:p>
    <w:p w:rsidR="00BE429E" w:rsidRPr="00B446EE" w:rsidRDefault="004E55D8" w:rsidP="00B446EE">
      <w:pPr>
        <w:tabs>
          <w:tab w:val="left" w:pos="567"/>
        </w:tabs>
        <w:spacing w:line="240" w:lineRule="auto"/>
        <w:ind w:right="4"/>
        <w:rPr>
          <w:rFonts w:cs="Arial"/>
          <w:sz w:val="20"/>
          <w:szCs w:val="20"/>
        </w:rPr>
      </w:pPr>
      <w:r w:rsidRPr="00380E6E">
        <w:rPr>
          <w:rFonts w:cs="Arial"/>
          <w:sz w:val="20"/>
          <w:szCs w:val="20"/>
        </w:rPr>
        <w:t xml:space="preserve">C) </w:t>
      </w:r>
      <w:r w:rsidRPr="00B446EE">
        <w:rPr>
          <w:rFonts w:cs="Arial"/>
          <w:i/>
          <w:sz w:val="20"/>
          <w:szCs w:val="20"/>
        </w:rPr>
        <w:t xml:space="preserve">los hechos relativos a </w:t>
      </w:r>
      <w:r w:rsidRPr="00B446EE">
        <w:rPr>
          <w:i/>
          <w:sz w:val="20"/>
          <w:szCs w:val="20"/>
        </w:rPr>
        <w:t xml:space="preserve">las investigaciones </w:t>
      </w:r>
      <w:r w:rsidRPr="00B446EE">
        <w:rPr>
          <w:rFonts w:cs="Arial"/>
          <w:i/>
          <w:sz w:val="20"/>
          <w:szCs w:val="20"/>
        </w:rPr>
        <w:t>abiertas</w:t>
      </w:r>
      <w:r w:rsidRPr="00380E6E">
        <w:rPr>
          <w:rFonts w:cs="Arial"/>
          <w:sz w:val="20"/>
          <w:szCs w:val="20"/>
        </w:rPr>
        <w:t>.</w:t>
      </w:r>
      <w:r w:rsidR="00BE429E">
        <w:rPr>
          <w:rFonts w:cs="Arial"/>
          <w:sz w:val="20"/>
          <w:szCs w:val="20"/>
        </w:rPr>
        <w:t xml:space="preserve"> </w:t>
      </w:r>
      <w:r w:rsidR="00916496">
        <w:rPr>
          <w:rFonts w:eastAsia="Calibri"/>
          <w:sz w:val="20"/>
          <w:szCs w:val="20"/>
        </w:rPr>
        <w:t>E</w:t>
      </w:r>
      <w:r w:rsidR="00BE429E" w:rsidRPr="00D6185A">
        <w:rPr>
          <w:rFonts w:eastAsia="Calibri"/>
          <w:sz w:val="20"/>
          <w:szCs w:val="20"/>
        </w:rPr>
        <w:t xml:space="preserve">n este caso se </w:t>
      </w:r>
      <w:r w:rsidR="00BE429E">
        <w:rPr>
          <w:rFonts w:eastAsia="Calibri"/>
          <w:sz w:val="20"/>
          <w:szCs w:val="20"/>
        </w:rPr>
        <w:t xml:space="preserve">tramitaron </w:t>
      </w:r>
      <w:r w:rsidR="00BE429E" w:rsidRPr="00D5230F">
        <w:rPr>
          <w:rFonts w:eastAsia="Calibri"/>
          <w:sz w:val="20"/>
          <w:szCs w:val="20"/>
        </w:rPr>
        <w:t>dos</w:t>
      </w:r>
      <w:r w:rsidR="00BE429E" w:rsidRPr="00D6185A">
        <w:rPr>
          <w:rFonts w:eastAsia="Calibri"/>
          <w:sz w:val="20"/>
          <w:szCs w:val="20"/>
        </w:rPr>
        <w:t xml:space="preserve"> expedientes relacionados con la investigación de los hechos de la masacre </w:t>
      </w:r>
      <w:r w:rsidR="00BE429E" w:rsidRPr="00D6185A">
        <w:rPr>
          <w:sz w:val="20"/>
          <w:szCs w:val="20"/>
        </w:rPr>
        <w:t>de</w:t>
      </w:r>
      <w:r w:rsidR="00BE429E" w:rsidRPr="00D6185A">
        <w:rPr>
          <w:rFonts w:eastAsia="Calibri"/>
          <w:sz w:val="20"/>
          <w:szCs w:val="20"/>
        </w:rPr>
        <w:t xml:space="preserve"> 8 de enero de 1982</w:t>
      </w:r>
      <w:r w:rsidR="00B446EE">
        <w:rPr>
          <w:rFonts w:eastAsia="Calibri"/>
          <w:sz w:val="20"/>
          <w:szCs w:val="20"/>
        </w:rPr>
        <w:t xml:space="preserve">, uno </w:t>
      </w:r>
      <w:r w:rsidR="00B446EE" w:rsidRPr="00B446EE">
        <w:rPr>
          <w:rFonts w:eastAsia="Calibri"/>
          <w:sz w:val="20"/>
          <w:szCs w:val="20"/>
        </w:rPr>
        <w:t>ante la Unidad de Casos Especiales y Violaciones a los Derechos Humanos del Ministerio Público</w:t>
      </w:r>
      <w:r w:rsidR="008822C3">
        <w:rPr>
          <w:rFonts w:eastAsia="Calibri"/>
          <w:sz w:val="20"/>
          <w:szCs w:val="20"/>
        </w:rPr>
        <w:t>, abierto a partir de una denuncia interpuesta en marzo de 1993</w:t>
      </w:r>
      <w:r w:rsidR="00B446EE" w:rsidRPr="00B446EE">
        <w:rPr>
          <w:rFonts w:eastAsia="Calibri"/>
          <w:sz w:val="20"/>
          <w:szCs w:val="20"/>
        </w:rPr>
        <w:t xml:space="preserve"> y aún en etapa de investigación, y </w:t>
      </w:r>
      <w:r w:rsidR="00B446EE">
        <w:rPr>
          <w:rFonts w:eastAsia="Calibri"/>
          <w:sz w:val="20"/>
          <w:szCs w:val="20"/>
        </w:rPr>
        <w:t>otro</w:t>
      </w:r>
      <w:r w:rsidR="00B446EE" w:rsidRPr="00B446EE">
        <w:rPr>
          <w:rFonts w:eastAsia="Calibri"/>
          <w:sz w:val="20"/>
          <w:szCs w:val="20"/>
        </w:rPr>
        <w:t xml:space="preserve"> ante el Procurador de los Derechos Humanos de Guatemala, quien dictó una resolución e</w:t>
      </w:r>
      <w:r w:rsidR="00B446EE">
        <w:rPr>
          <w:rFonts w:eastAsia="Calibri"/>
          <w:sz w:val="20"/>
          <w:szCs w:val="20"/>
        </w:rPr>
        <w:t xml:space="preserve">n </w:t>
      </w:r>
      <w:r w:rsidR="00B446EE" w:rsidRPr="00B446EE">
        <w:rPr>
          <w:rFonts w:eastAsia="Calibri"/>
          <w:sz w:val="20"/>
          <w:szCs w:val="20"/>
        </w:rPr>
        <w:t xml:space="preserve">septiembre de 1996 relacionada con los cementerios clandestinos localizados, entre otros lugares, en la aldea </w:t>
      </w:r>
      <w:proofErr w:type="spellStart"/>
      <w:r w:rsidR="00B446EE" w:rsidRPr="00B446EE">
        <w:rPr>
          <w:rFonts w:eastAsia="Calibri"/>
          <w:sz w:val="20"/>
          <w:szCs w:val="20"/>
        </w:rPr>
        <w:t>Chichupac</w:t>
      </w:r>
      <w:proofErr w:type="spellEnd"/>
      <w:r w:rsidR="00B446EE" w:rsidRPr="00B446EE">
        <w:rPr>
          <w:rFonts w:eastAsia="Calibri"/>
          <w:sz w:val="20"/>
          <w:szCs w:val="20"/>
        </w:rPr>
        <w:t>.</w:t>
      </w:r>
      <w:r w:rsidR="00D5230F">
        <w:rPr>
          <w:rFonts w:eastAsia="Calibri"/>
          <w:sz w:val="20"/>
          <w:szCs w:val="20"/>
        </w:rPr>
        <w:t xml:space="preserve"> </w:t>
      </w:r>
      <w:r w:rsidR="00B446EE">
        <w:rPr>
          <w:rFonts w:eastAsia="Calibri"/>
          <w:sz w:val="20"/>
          <w:szCs w:val="20"/>
        </w:rPr>
        <w:t xml:space="preserve">Por otro lado, se abrieron </w:t>
      </w:r>
      <w:r w:rsidR="00BE429E" w:rsidRPr="00D5230F">
        <w:rPr>
          <w:rFonts w:eastAsia="Calibri"/>
          <w:sz w:val="20"/>
          <w:szCs w:val="20"/>
        </w:rPr>
        <w:t>nueve</w:t>
      </w:r>
      <w:r w:rsidR="00BE429E" w:rsidRPr="00F11C3C">
        <w:rPr>
          <w:rFonts w:eastAsia="Calibri"/>
          <w:sz w:val="20"/>
          <w:szCs w:val="20"/>
        </w:rPr>
        <w:t xml:space="preserve"> expedientes relacionados</w:t>
      </w:r>
      <w:r w:rsidR="00BE429E" w:rsidRPr="00D6185A">
        <w:rPr>
          <w:rFonts w:eastAsia="Calibri"/>
          <w:sz w:val="20"/>
          <w:szCs w:val="20"/>
        </w:rPr>
        <w:t xml:space="preserve"> con los hechos del caso cometidos antes y después de </w:t>
      </w:r>
      <w:r w:rsidR="00B446EE">
        <w:rPr>
          <w:rFonts w:eastAsia="Calibri"/>
          <w:sz w:val="20"/>
          <w:szCs w:val="20"/>
        </w:rPr>
        <w:t>dicha</w:t>
      </w:r>
      <w:r w:rsidR="00BE429E" w:rsidRPr="00D6185A">
        <w:rPr>
          <w:rFonts w:eastAsia="Calibri"/>
          <w:sz w:val="20"/>
          <w:szCs w:val="20"/>
        </w:rPr>
        <w:t xml:space="preserve"> masacre</w:t>
      </w:r>
      <w:r w:rsidR="00B446EE">
        <w:rPr>
          <w:rFonts w:eastAsia="Calibri"/>
          <w:sz w:val="20"/>
          <w:szCs w:val="20"/>
        </w:rPr>
        <w:t xml:space="preserve">, </w:t>
      </w:r>
      <w:r w:rsidR="0045167B">
        <w:rPr>
          <w:rFonts w:eastAsia="Calibri"/>
          <w:sz w:val="20"/>
          <w:szCs w:val="20"/>
        </w:rPr>
        <w:t xml:space="preserve">a partir de denuncias interpuestas </w:t>
      </w:r>
      <w:r w:rsidR="00BE429E">
        <w:rPr>
          <w:rFonts w:cs="Verdana"/>
          <w:color w:val="000000"/>
          <w:sz w:val="20"/>
          <w:szCs w:val="20"/>
          <w:lang w:val="es-PR"/>
        </w:rPr>
        <w:t>e</w:t>
      </w:r>
      <w:r w:rsidR="00BE429E" w:rsidRPr="004A14FF">
        <w:rPr>
          <w:rFonts w:cs="Verdana"/>
          <w:color w:val="000000"/>
          <w:sz w:val="20"/>
          <w:szCs w:val="20"/>
          <w:lang w:val="es-PR"/>
        </w:rPr>
        <w:t>n</w:t>
      </w:r>
      <w:r w:rsidR="00BE429E">
        <w:rPr>
          <w:rFonts w:cs="Verdana"/>
          <w:color w:val="000000"/>
          <w:sz w:val="20"/>
          <w:szCs w:val="20"/>
          <w:lang w:val="es-PR"/>
        </w:rPr>
        <w:t>tre los años 1995 y 2010</w:t>
      </w:r>
      <w:r w:rsidR="0045167B">
        <w:rPr>
          <w:rFonts w:cs="Verdana"/>
          <w:color w:val="000000"/>
          <w:sz w:val="20"/>
          <w:szCs w:val="20"/>
          <w:lang w:val="es-PR"/>
        </w:rPr>
        <w:t xml:space="preserve">. Todos estos estarían aún en etapa de investigación. </w:t>
      </w:r>
      <w:r w:rsidR="00BE429E" w:rsidRPr="00D6185A">
        <w:rPr>
          <w:rFonts w:eastAsia="Calibri"/>
          <w:sz w:val="20"/>
          <w:szCs w:val="20"/>
        </w:rPr>
        <w:t>No se advierten acciones</w:t>
      </w:r>
      <w:r w:rsidR="00BE429E" w:rsidRPr="00D6185A">
        <w:rPr>
          <w:color w:val="000000"/>
          <w:sz w:val="20"/>
          <w:szCs w:val="20"/>
          <w:lang w:val="es-GT"/>
        </w:rPr>
        <w:t xml:space="preserve"> dirigidas a la determinación de los responsables en </w:t>
      </w:r>
      <w:r w:rsidR="00BE429E" w:rsidRPr="00327ECF">
        <w:rPr>
          <w:color w:val="000000"/>
          <w:sz w:val="20"/>
          <w:szCs w:val="20"/>
          <w:lang w:val="es-GT"/>
        </w:rPr>
        <w:t>siete de estos nueve</w:t>
      </w:r>
      <w:r w:rsidR="00BE429E" w:rsidRPr="00B446EE">
        <w:rPr>
          <w:color w:val="000000"/>
          <w:sz w:val="20"/>
          <w:szCs w:val="20"/>
          <w:lang w:val="es-GT"/>
        </w:rPr>
        <w:t xml:space="preserve"> </w:t>
      </w:r>
      <w:r w:rsidR="00BE429E" w:rsidRPr="008569B8">
        <w:rPr>
          <w:rFonts w:eastAsia="Calibri"/>
          <w:sz w:val="20"/>
          <w:szCs w:val="20"/>
        </w:rPr>
        <w:t>expedientes</w:t>
      </w:r>
      <w:r w:rsidR="00BE429E" w:rsidRPr="00D6185A">
        <w:rPr>
          <w:color w:val="000000"/>
          <w:sz w:val="20"/>
          <w:szCs w:val="20"/>
          <w:lang w:val="es-GT"/>
        </w:rPr>
        <w:t xml:space="preserve">. </w:t>
      </w:r>
      <w:r w:rsidR="00B446EE">
        <w:rPr>
          <w:color w:val="000000"/>
          <w:sz w:val="20"/>
          <w:szCs w:val="20"/>
          <w:lang w:val="es-GT"/>
        </w:rPr>
        <w:t xml:space="preserve">En los dos expedientes restantes </w:t>
      </w:r>
      <w:r w:rsidR="00BE429E" w:rsidRPr="00D6185A">
        <w:rPr>
          <w:rFonts w:eastAsia="Calibri"/>
          <w:color w:val="000000"/>
          <w:sz w:val="20"/>
          <w:szCs w:val="20"/>
          <w:lang w:val="es-PR"/>
        </w:rPr>
        <w:t xml:space="preserve">se registran </w:t>
      </w:r>
      <w:r w:rsidR="00BE429E" w:rsidRPr="00D6185A">
        <w:rPr>
          <w:rFonts w:eastAsia="Calibri"/>
          <w:color w:val="000000"/>
          <w:sz w:val="20"/>
          <w:szCs w:val="20"/>
          <w:lang w:val="es-PR"/>
        </w:rPr>
        <w:lastRenderedPageBreak/>
        <w:t xml:space="preserve">algunas actuaciones dirigidas a determinar </w:t>
      </w:r>
      <w:r w:rsidR="00BE429E" w:rsidRPr="004A14FF">
        <w:rPr>
          <w:rFonts w:eastAsia="Calibri"/>
          <w:color w:val="000000"/>
          <w:sz w:val="20"/>
          <w:szCs w:val="20"/>
          <w:lang w:val="es-PR"/>
        </w:rPr>
        <w:t>responsabilidades, pero estas fueron mínimas</w:t>
      </w:r>
      <w:r w:rsidR="00BE429E" w:rsidRPr="004A14FF">
        <w:rPr>
          <w:color w:val="000000"/>
          <w:sz w:val="20"/>
          <w:szCs w:val="20"/>
          <w:lang w:val="es-GT"/>
        </w:rPr>
        <w:t>.</w:t>
      </w:r>
      <w:r w:rsidR="00BE429E" w:rsidRPr="004A14FF">
        <w:rPr>
          <w:rFonts w:cs="Verdana"/>
          <w:color w:val="000000"/>
          <w:sz w:val="20"/>
          <w:szCs w:val="20"/>
          <w:lang w:val="es-PR"/>
        </w:rPr>
        <w:t xml:space="preserve"> </w:t>
      </w:r>
    </w:p>
    <w:p w:rsidR="004E55D8" w:rsidRPr="000B1E3E" w:rsidRDefault="004E55D8" w:rsidP="001E5A6C">
      <w:pPr>
        <w:tabs>
          <w:tab w:val="left" w:pos="720"/>
        </w:tabs>
        <w:spacing w:line="240" w:lineRule="auto"/>
        <w:rPr>
          <w:rFonts w:eastAsia="Calibri" w:cs="Calibri"/>
          <w:b/>
          <w:spacing w:val="-2"/>
          <w:sz w:val="16"/>
          <w:szCs w:val="20"/>
        </w:rPr>
      </w:pPr>
    </w:p>
    <w:p w:rsidR="0090692F" w:rsidRDefault="00BF6FDD" w:rsidP="0090692F">
      <w:pPr>
        <w:tabs>
          <w:tab w:val="left" w:pos="720"/>
        </w:tabs>
        <w:spacing w:line="240" w:lineRule="auto"/>
        <w:rPr>
          <w:rFonts w:eastAsia="Calibri" w:cs="Calibri"/>
          <w:b/>
          <w:spacing w:val="-2"/>
          <w:sz w:val="20"/>
          <w:szCs w:val="20"/>
        </w:rPr>
      </w:pPr>
      <w:r>
        <w:rPr>
          <w:rFonts w:eastAsia="Calibri" w:cs="Calibri"/>
          <w:b/>
          <w:spacing w:val="-2"/>
          <w:sz w:val="20"/>
          <w:szCs w:val="20"/>
        </w:rPr>
        <w:t>V</w:t>
      </w:r>
      <w:r w:rsidR="0090692F">
        <w:rPr>
          <w:rFonts w:eastAsia="Calibri" w:cs="Calibri"/>
          <w:b/>
          <w:spacing w:val="-2"/>
          <w:sz w:val="20"/>
          <w:szCs w:val="20"/>
        </w:rPr>
        <w:t>. FONDO</w:t>
      </w:r>
    </w:p>
    <w:p w:rsidR="004D1814" w:rsidRPr="00A50EA6" w:rsidRDefault="004D1814" w:rsidP="0090692F">
      <w:pPr>
        <w:tabs>
          <w:tab w:val="left" w:pos="720"/>
        </w:tabs>
        <w:spacing w:line="240" w:lineRule="auto"/>
        <w:rPr>
          <w:rFonts w:eastAsia="Calibri" w:cs="Calibri"/>
          <w:b/>
          <w:spacing w:val="-2"/>
          <w:sz w:val="16"/>
          <w:szCs w:val="20"/>
        </w:rPr>
      </w:pPr>
    </w:p>
    <w:p w:rsidR="004C5051" w:rsidRPr="0045135C" w:rsidRDefault="00BF6FDD" w:rsidP="009D7069">
      <w:pPr>
        <w:pStyle w:val="TOC1"/>
        <w:rPr>
          <w:rFonts w:asciiTheme="minorHAnsi" w:eastAsiaTheme="minorEastAsia" w:hAnsiTheme="minorHAnsi" w:cstheme="minorBidi"/>
          <w:sz w:val="22"/>
          <w:szCs w:val="22"/>
        </w:rPr>
      </w:pPr>
      <w:r w:rsidRPr="0045135C">
        <w:t>V</w:t>
      </w:r>
      <w:r w:rsidR="004C5051" w:rsidRPr="0045135C">
        <w:t>.I</w:t>
      </w:r>
      <w:r w:rsidR="00F64B07" w:rsidRPr="009D7069">
        <w:t>.</w:t>
      </w:r>
      <w:r w:rsidR="004C5051" w:rsidRPr="0045135C">
        <w:t xml:space="preserve"> Derechos a la libertad personal, integridad personal, vida y reconocimiento de la personalidad jurídica de las víctimas de desaparición forzada, así como derecho</w:t>
      </w:r>
      <w:r w:rsidR="00E607FD" w:rsidRPr="009D7069">
        <w:t>s</w:t>
      </w:r>
      <w:r w:rsidR="004C5051" w:rsidRPr="0045135C">
        <w:t xml:space="preserve"> a la integridad personal </w:t>
      </w:r>
      <w:r w:rsidR="00E607FD" w:rsidRPr="0045135C">
        <w:t xml:space="preserve">y a la protección a la familia </w:t>
      </w:r>
      <w:r w:rsidR="004C5051" w:rsidRPr="0045135C">
        <w:t>de sus familiares</w:t>
      </w:r>
    </w:p>
    <w:p w:rsidR="0090692F" w:rsidRDefault="0090692F" w:rsidP="001E5A6C">
      <w:pPr>
        <w:tabs>
          <w:tab w:val="left" w:pos="720"/>
        </w:tabs>
        <w:spacing w:line="240" w:lineRule="auto"/>
        <w:rPr>
          <w:rFonts w:eastAsia="Calibri" w:cs="Calibri"/>
          <w:b/>
          <w:spacing w:val="-2"/>
          <w:sz w:val="16"/>
          <w:szCs w:val="20"/>
          <w:lang w:val="es-PR"/>
        </w:rPr>
      </w:pPr>
    </w:p>
    <w:p w:rsidR="00666070" w:rsidRPr="00370D5D" w:rsidRDefault="00666070" w:rsidP="00666070">
      <w:pPr>
        <w:tabs>
          <w:tab w:val="left" w:pos="567"/>
        </w:tabs>
        <w:spacing w:line="240" w:lineRule="auto"/>
        <w:ind w:right="4"/>
        <w:rPr>
          <w:sz w:val="20"/>
          <w:szCs w:val="20"/>
        </w:rPr>
      </w:pPr>
      <w:r>
        <w:rPr>
          <w:bCs/>
          <w:sz w:val="20"/>
          <w:szCs w:val="20"/>
        </w:rPr>
        <w:t>La Corte recordó que</w:t>
      </w:r>
      <w:r w:rsidRPr="00370D5D">
        <w:rPr>
          <w:sz w:val="20"/>
          <w:szCs w:val="20"/>
        </w:rPr>
        <w:t xml:space="preserve"> “una de las características de la desaparición forzada, a diferencia de la ejecución extrajudicial, es que conlleva la negativa del Estado de reconocer que la víctima está bajo su control y de proporcionar información al respecto, con el propósito de generar incertidumbre acerca de su paradero, vida o muerte, de provocar intimidación y supresión de derechos”. </w:t>
      </w:r>
      <w:r>
        <w:rPr>
          <w:sz w:val="20"/>
          <w:szCs w:val="20"/>
        </w:rPr>
        <w:t xml:space="preserve">Asimismo, reiteró que </w:t>
      </w:r>
      <w:r w:rsidRPr="00370D5D">
        <w:rPr>
          <w:rFonts w:cs="Times"/>
          <w:spacing w:val="-2"/>
          <w:sz w:val="20"/>
          <w:szCs w:val="20"/>
        </w:rPr>
        <w:t xml:space="preserve">la desaparición forzada ha incluido con frecuencia la ejecución de los detenidos, en secreto y sin fórmula de juicio, seguida del ocultamiento del cadáver con el objeto de borrar toda huella material del crimen y procurar la impunidad de quienes lo cometieron. </w:t>
      </w:r>
      <w:r w:rsidRPr="00370D5D">
        <w:rPr>
          <w:rFonts w:cs="Cambria"/>
          <w:sz w:val="20"/>
          <w:szCs w:val="20"/>
        </w:rPr>
        <w:t xml:space="preserve">En este sentido, </w:t>
      </w:r>
      <w:r w:rsidR="0030787B">
        <w:rPr>
          <w:rFonts w:cs="Cambria"/>
          <w:sz w:val="20"/>
          <w:szCs w:val="20"/>
        </w:rPr>
        <w:t xml:space="preserve">advirtió que </w:t>
      </w:r>
      <w:r w:rsidRPr="00370D5D">
        <w:rPr>
          <w:rFonts w:cs="Cambria"/>
          <w:sz w:val="20"/>
          <w:szCs w:val="20"/>
        </w:rPr>
        <w:t>ha conocido de casos en los cuales la existencia de mayores o menores indicios sobre la muerte de las víctimas no modificó la calificación como desaparición forzada</w:t>
      </w:r>
      <w:r w:rsidRPr="00370D5D">
        <w:rPr>
          <w:bCs/>
          <w:sz w:val="20"/>
          <w:szCs w:val="20"/>
          <w:shd w:val="clear" w:color="auto" w:fill="FFFFFF"/>
        </w:rPr>
        <w:t>. F</w:t>
      </w:r>
      <w:r w:rsidRPr="00370D5D">
        <w:rPr>
          <w:rFonts w:cs="Cambria"/>
          <w:sz w:val="20"/>
          <w:szCs w:val="20"/>
        </w:rPr>
        <w:t xml:space="preserve">ue precisamente lo que los agentes estatales hicieron después de dar muerte a las víctimas, esto es, la adopción de medidas dirigidas a ocultar lo que realmente había ocurrido o borrar todo rastro de los cuerpos para evitar su identificación o que su destino y paradero fuera establecido, lo que permitió a la Corte concluir la desaparición forzada de las víctimas. </w:t>
      </w:r>
    </w:p>
    <w:p w:rsidR="0030787B" w:rsidRPr="00A50EA6" w:rsidRDefault="0030787B" w:rsidP="001E5A6C">
      <w:pPr>
        <w:tabs>
          <w:tab w:val="left" w:pos="720"/>
        </w:tabs>
        <w:spacing w:line="240" w:lineRule="auto"/>
        <w:rPr>
          <w:rFonts w:eastAsia="Calibri" w:cs="Calibri"/>
          <w:b/>
          <w:spacing w:val="-2"/>
          <w:sz w:val="16"/>
          <w:szCs w:val="20"/>
          <w:lang w:val="es-PR"/>
        </w:rPr>
      </w:pPr>
    </w:p>
    <w:p w:rsidR="00BF6FDD" w:rsidRPr="00B27FD5" w:rsidRDefault="0030787B" w:rsidP="00051BBE">
      <w:pPr>
        <w:tabs>
          <w:tab w:val="left" w:pos="7063"/>
        </w:tabs>
        <w:spacing w:line="240" w:lineRule="auto"/>
        <w:rPr>
          <w:sz w:val="20"/>
          <w:szCs w:val="20"/>
          <w:lang w:val="es-ES"/>
        </w:rPr>
      </w:pPr>
      <w:r>
        <w:rPr>
          <w:sz w:val="20"/>
          <w:szCs w:val="20"/>
        </w:rPr>
        <w:t>En el caso concreto</w:t>
      </w:r>
      <w:r w:rsidR="00051BBE">
        <w:rPr>
          <w:sz w:val="20"/>
          <w:szCs w:val="20"/>
        </w:rPr>
        <w:t xml:space="preserve"> y</w:t>
      </w:r>
      <w:r w:rsidR="00051BBE" w:rsidRPr="00051BBE">
        <w:rPr>
          <w:sz w:val="20"/>
          <w:szCs w:val="20"/>
        </w:rPr>
        <w:t xml:space="preserve"> </w:t>
      </w:r>
      <w:r w:rsidR="00051BBE">
        <w:rPr>
          <w:sz w:val="20"/>
          <w:szCs w:val="20"/>
        </w:rPr>
        <w:t xml:space="preserve">teniendo en cuenta </w:t>
      </w:r>
      <w:r w:rsidR="00051BBE" w:rsidRPr="00A30A2D">
        <w:rPr>
          <w:sz w:val="20"/>
          <w:szCs w:val="20"/>
        </w:rPr>
        <w:t xml:space="preserve">las actuaciones llevadas a cabo por las </w:t>
      </w:r>
      <w:r w:rsidR="00051BBE">
        <w:rPr>
          <w:sz w:val="20"/>
          <w:szCs w:val="20"/>
        </w:rPr>
        <w:t xml:space="preserve">fuerzas de seguridad del Estado, </w:t>
      </w:r>
      <w:r w:rsidR="00366DA2">
        <w:rPr>
          <w:sz w:val="20"/>
          <w:szCs w:val="20"/>
        </w:rPr>
        <w:t>la Corte analiz</w:t>
      </w:r>
      <w:r w:rsidR="006C1B18">
        <w:rPr>
          <w:sz w:val="20"/>
          <w:szCs w:val="20"/>
        </w:rPr>
        <w:t>ó</w:t>
      </w:r>
      <w:r w:rsidR="007507D4">
        <w:rPr>
          <w:sz w:val="20"/>
          <w:szCs w:val="20"/>
        </w:rPr>
        <w:t xml:space="preserve"> la situación de 81 personas cuya desaparición forzada fue alegada</w:t>
      </w:r>
      <w:r>
        <w:rPr>
          <w:sz w:val="20"/>
          <w:szCs w:val="20"/>
        </w:rPr>
        <w:t>, y concluyó</w:t>
      </w:r>
      <w:r w:rsidR="003301BA" w:rsidRPr="003301BA">
        <w:rPr>
          <w:sz w:val="20"/>
          <w:szCs w:val="20"/>
        </w:rPr>
        <w:t xml:space="preserve"> que</w:t>
      </w:r>
      <w:r w:rsidR="008E077B">
        <w:rPr>
          <w:sz w:val="20"/>
          <w:szCs w:val="20"/>
        </w:rPr>
        <w:t xml:space="preserve"> </w:t>
      </w:r>
      <w:r w:rsidR="008E077B" w:rsidRPr="003301BA">
        <w:rPr>
          <w:sz w:val="20"/>
          <w:szCs w:val="20"/>
          <w:lang w:val="es-ES"/>
        </w:rPr>
        <w:t xml:space="preserve">no </w:t>
      </w:r>
      <w:r>
        <w:rPr>
          <w:sz w:val="20"/>
          <w:szCs w:val="20"/>
          <w:lang w:val="es-ES"/>
        </w:rPr>
        <w:t>era</w:t>
      </w:r>
      <w:r w:rsidRPr="003301BA">
        <w:rPr>
          <w:sz w:val="20"/>
          <w:szCs w:val="20"/>
          <w:lang w:val="es-ES"/>
        </w:rPr>
        <w:t xml:space="preserve"> </w:t>
      </w:r>
      <w:r w:rsidR="008E077B" w:rsidRPr="003301BA">
        <w:rPr>
          <w:sz w:val="20"/>
          <w:szCs w:val="20"/>
          <w:lang w:val="es-ES"/>
        </w:rPr>
        <w:t xml:space="preserve">procedente concluir que </w:t>
      </w:r>
      <w:r w:rsidR="008E077B">
        <w:rPr>
          <w:sz w:val="20"/>
          <w:szCs w:val="20"/>
          <w:lang w:val="es-ES"/>
        </w:rPr>
        <w:t>59</w:t>
      </w:r>
      <w:r w:rsidR="008E077B" w:rsidRPr="003301BA">
        <w:rPr>
          <w:sz w:val="20"/>
          <w:szCs w:val="20"/>
          <w:lang w:val="es-ES"/>
        </w:rPr>
        <w:t xml:space="preserve"> personas fueron víctimas de desaparición forzada</w:t>
      </w:r>
      <w:r w:rsidR="008E077B">
        <w:rPr>
          <w:sz w:val="20"/>
          <w:szCs w:val="20"/>
          <w:lang w:val="es-ES"/>
        </w:rPr>
        <w:t>, ya que</w:t>
      </w:r>
      <w:r w:rsidR="00BF6FDD">
        <w:rPr>
          <w:sz w:val="20"/>
          <w:szCs w:val="20"/>
          <w:lang w:val="es-ES"/>
        </w:rPr>
        <w:t xml:space="preserve">: i) </w:t>
      </w:r>
      <w:r w:rsidR="008E077B">
        <w:rPr>
          <w:sz w:val="20"/>
          <w:szCs w:val="20"/>
          <w:lang w:val="es-ES"/>
        </w:rPr>
        <w:t xml:space="preserve">respecto de </w:t>
      </w:r>
      <w:r w:rsidR="00BF6FDD">
        <w:rPr>
          <w:sz w:val="20"/>
          <w:szCs w:val="20"/>
          <w:lang w:val="es-ES"/>
        </w:rPr>
        <w:t xml:space="preserve">21 de </w:t>
      </w:r>
      <w:r w:rsidR="008E077B">
        <w:rPr>
          <w:sz w:val="20"/>
          <w:szCs w:val="20"/>
          <w:lang w:val="es-ES"/>
        </w:rPr>
        <w:t xml:space="preserve">ellas, </w:t>
      </w:r>
      <w:r w:rsidR="00BF6FDD" w:rsidRPr="00370D5D">
        <w:rPr>
          <w:sz w:val="20"/>
          <w:szCs w:val="20"/>
        </w:rPr>
        <w:t>no se desprend</w:t>
      </w:r>
      <w:r w:rsidR="00BF6FDD">
        <w:rPr>
          <w:sz w:val="20"/>
          <w:szCs w:val="20"/>
        </w:rPr>
        <w:t>e</w:t>
      </w:r>
      <w:r w:rsidR="00BF6FDD" w:rsidRPr="00370D5D">
        <w:rPr>
          <w:sz w:val="20"/>
          <w:szCs w:val="20"/>
        </w:rPr>
        <w:t xml:space="preserve"> que haya mediado intento alguno de </w:t>
      </w:r>
      <w:r w:rsidR="00BF6FDD" w:rsidRPr="00370D5D">
        <w:rPr>
          <w:rFonts w:cs="Cambria"/>
          <w:sz w:val="20"/>
          <w:szCs w:val="20"/>
        </w:rPr>
        <w:t>los agentes estatales de</w:t>
      </w:r>
      <w:r w:rsidR="00BF6FDD" w:rsidRPr="00370D5D">
        <w:rPr>
          <w:sz w:val="20"/>
          <w:szCs w:val="20"/>
        </w:rPr>
        <w:t xml:space="preserve"> ocultar su muerte y lo que realmente ocurrió, o </w:t>
      </w:r>
      <w:r w:rsidR="003921FC">
        <w:rPr>
          <w:sz w:val="20"/>
          <w:szCs w:val="20"/>
        </w:rPr>
        <w:t xml:space="preserve">de </w:t>
      </w:r>
      <w:r w:rsidR="00BF6FDD" w:rsidRPr="00370D5D">
        <w:rPr>
          <w:sz w:val="20"/>
          <w:szCs w:val="20"/>
        </w:rPr>
        <w:t>borrar todo rastro de los cuerpos para evitar su identificación o que su destino y paradero fuera establecido</w:t>
      </w:r>
      <w:r w:rsidR="00051BBE" w:rsidRPr="00370D5D">
        <w:rPr>
          <w:sz w:val="20"/>
          <w:szCs w:val="20"/>
        </w:rPr>
        <w:t>, y tampoco eliminar las evidencias de lo sucedido</w:t>
      </w:r>
      <w:r w:rsidR="00B76123">
        <w:rPr>
          <w:sz w:val="20"/>
          <w:szCs w:val="20"/>
        </w:rPr>
        <w:t>. Ello debido a que</w:t>
      </w:r>
      <w:r w:rsidR="00051BBE">
        <w:rPr>
          <w:sz w:val="20"/>
          <w:szCs w:val="20"/>
        </w:rPr>
        <w:t xml:space="preserve"> una vez que fueron </w:t>
      </w:r>
      <w:r w:rsidR="00051BBE" w:rsidRPr="00370D5D">
        <w:rPr>
          <w:sz w:val="20"/>
          <w:szCs w:val="20"/>
        </w:rPr>
        <w:t>privadas de la vida por fuerzas de seguridad del Estado</w:t>
      </w:r>
      <w:r w:rsidR="00051BBE">
        <w:rPr>
          <w:sz w:val="20"/>
          <w:szCs w:val="20"/>
        </w:rPr>
        <w:t>,</w:t>
      </w:r>
      <w:r w:rsidR="00051BBE" w:rsidRPr="00370D5D">
        <w:rPr>
          <w:sz w:val="20"/>
          <w:szCs w:val="20"/>
        </w:rPr>
        <w:t xml:space="preserve"> sus cuerpos</w:t>
      </w:r>
      <w:r w:rsidR="00051BBE">
        <w:rPr>
          <w:sz w:val="20"/>
          <w:szCs w:val="20"/>
        </w:rPr>
        <w:t xml:space="preserve"> fueron abandonados a la intemperie, </w:t>
      </w:r>
      <w:r w:rsidR="00051BBE" w:rsidRPr="00370D5D">
        <w:rPr>
          <w:sz w:val="20"/>
          <w:szCs w:val="20"/>
        </w:rPr>
        <w:t xml:space="preserve">encontrados por familiares y vecinos, </w:t>
      </w:r>
      <w:r w:rsidR="00051BBE">
        <w:rPr>
          <w:sz w:val="20"/>
          <w:szCs w:val="20"/>
        </w:rPr>
        <w:t>e inhumados</w:t>
      </w:r>
      <w:r w:rsidR="00051BBE" w:rsidRPr="00370D5D">
        <w:rPr>
          <w:sz w:val="20"/>
          <w:szCs w:val="20"/>
        </w:rPr>
        <w:t xml:space="preserve"> </w:t>
      </w:r>
      <w:r w:rsidR="00B76123">
        <w:rPr>
          <w:sz w:val="20"/>
          <w:szCs w:val="20"/>
        </w:rPr>
        <w:t>por estos</w:t>
      </w:r>
      <w:r w:rsidR="00B76123" w:rsidRPr="00370D5D">
        <w:rPr>
          <w:sz w:val="20"/>
          <w:szCs w:val="20"/>
        </w:rPr>
        <w:t xml:space="preserve"> </w:t>
      </w:r>
      <w:r w:rsidR="00051BBE" w:rsidRPr="00370D5D">
        <w:rPr>
          <w:sz w:val="20"/>
          <w:szCs w:val="20"/>
        </w:rPr>
        <w:t>en fosas clandestinas</w:t>
      </w:r>
      <w:r w:rsidR="00051BBE">
        <w:rPr>
          <w:sz w:val="20"/>
          <w:szCs w:val="20"/>
        </w:rPr>
        <w:t xml:space="preserve">. </w:t>
      </w:r>
      <w:r w:rsidR="00051BBE" w:rsidRPr="00370D5D">
        <w:rPr>
          <w:rFonts w:cs="Cambria"/>
          <w:sz w:val="20"/>
          <w:szCs w:val="20"/>
        </w:rPr>
        <w:t xml:space="preserve">Es decir, a partir de su muerte </w:t>
      </w:r>
      <w:r w:rsidR="00051BBE" w:rsidRPr="00370D5D">
        <w:rPr>
          <w:sz w:val="20"/>
        </w:rPr>
        <w:t xml:space="preserve">y </w:t>
      </w:r>
      <w:r w:rsidR="00051BBE" w:rsidRPr="00370D5D">
        <w:rPr>
          <w:spacing w:val="-2"/>
          <w:sz w:val="20"/>
          <w:szCs w:val="20"/>
        </w:rPr>
        <w:t xml:space="preserve">en todo momento posterior, los familiares de estas 21 personas </w:t>
      </w:r>
      <w:r w:rsidR="00B76123" w:rsidRPr="00370D5D">
        <w:rPr>
          <w:spacing w:val="-2"/>
          <w:sz w:val="20"/>
          <w:szCs w:val="20"/>
        </w:rPr>
        <w:t>han tenido</w:t>
      </w:r>
      <w:r w:rsidR="00051BBE" w:rsidRPr="00370D5D">
        <w:rPr>
          <w:spacing w:val="-2"/>
          <w:sz w:val="20"/>
          <w:szCs w:val="20"/>
        </w:rPr>
        <w:t xml:space="preserve"> conocimiento claro d</w:t>
      </w:r>
      <w:r w:rsidR="00051BBE" w:rsidRPr="00370D5D">
        <w:rPr>
          <w:rFonts w:cs="Times"/>
          <w:sz w:val="20"/>
          <w:szCs w:val="20"/>
        </w:rPr>
        <w:t>e que las víctimas fueron ejecutadas, así como del lugar en que incluso ellos mismos enterraron sus restos</w:t>
      </w:r>
      <w:r w:rsidR="00BF6FDD">
        <w:rPr>
          <w:sz w:val="20"/>
          <w:szCs w:val="20"/>
        </w:rPr>
        <w:t>; ii) respecto de otras 34 personas,</w:t>
      </w:r>
      <w:r w:rsidR="00DB32FE">
        <w:rPr>
          <w:sz w:val="20"/>
          <w:szCs w:val="20"/>
        </w:rPr>
        <w:t xml:space="preserve"> </w:t>
      </w:r>
      <w:r w:rsidR="00BF6FDD" w:rsidRPr="00370D5D">
        <w:rPr>
          <w:sz w:val="20"/>
          <w:szCs w:val="20"/>
        </w:rPr>
        <w:t>si bien</w:t>
      </w:r>
      <w:r w:rsidR="00DB32FE">
        <w:rPr>
          <w:sz w:val="20"/>
          <w:szCs w:val="20"/>
        </w:rPr>
        <w:t xml:space="preserve"> </w:t>
      </w:r>
      <w:r w:rsidR="00BF6FDD" w:rsidRPr="00370D5D">
        <w:rPr>
          <w:sz w:val="20"/>
          <w:szCs w:val="20"/>
        </w:rPr>
        <w:t>existió un primer intento</w:t>
      </w:r>
      <w:r w:rsidR="00BF6FDD">
        <w:rPr>
          <w:sz w:val="20"/>
          <w:szCs w:val="20"/>
        </w:rPr>
        <w:t xml:space="preserve"> por parte de agentes estatales</w:t>
      </w:r>
      <w:r w:rsidR="00BF6FDD" w:rsidRPr="00370D5D">
        <w:rPr>
          <w:sz w:val="20"/>
          <w:szCs w:val="20"/>
        </w:rPr>
        <w:t xml:space="preserve"> de ocultar </w:t>
      </w:r>
      <w:r w:rsidR="00BF6FDD">
        <w:rPr>
          <w:sz w:val="20"/>
          <w:szCs w:val="20"/>
        </w:rPr>
        <w:t>sus</w:t>
      </w:r>
      <w:r w:rsidR="00BF6FDD" w:rsidRPr="00370D5D">
        <w:rPr>
          <w:sz w:val="20"/>
          <w:szCs w:val="20"/>
        </w:rPr>
        <w:t xml:space="preserve"> cuerpos sin vida</w:t>
      </w:r>
      <w:r w:rsidR="00DB32FE">
        <w:rPr>
          <w:sz w:val="20"/>
          <w:szCs w:val="20"/>
        </w:rPr>
        <w:t xml:space="preserve"> mediante un</w:t>
      </w:r>
      <w:r w:rsidR="00DB32FE" w:rsidRPr="00370D5D">
        <w:rPr>
          <w:sz w:val="20"/>
          <w:szCs w:val="20"/>
        </w:rPr>
        <w:t xml:space="preserve"> enterramiento que no se completó</w:t>
      </w:r>
      <w:r w:rsidR="00B27FD5">
        <w:rPr>
          <w:sz w:val="20"/>
          <w:szCs w:val="20"/>
        </w:rPr>
        <w:t>,</w:t>
      </w:r>
      <w:r w:rsidR="00DB32FE">
        <w:rPr>
          <w:sz w:val="20"/>
          <w:szCs w:val="20"/>
        </w:rPr>
        <w:t xml:space="preserve"> </w:t>
      </w:r>
      <w:r w:rsidR="00DB32FE" w:rsidRPr="00370D5D">
        <w:rPr>
          <w:sz w:val="20"/>
          <w:szCs w:val="20"/>
        </w:rPr>
        <w:t>los restos fueron encontrados parcialmente a la intemperie por sus familiares y vecinos, quienes procedieron a realizar un enterramiento más profundo de dichas personas en fosas clandestinas</w:t>
      </w:r>
      <w:r w:rsidR="00DB32FE">
        <w:rPr>
          <w:sz w:val="20"/>
          <w:szCs w:val="20"/>
        </w:rPr>
        <w:t xml:space="preserve">. Por ende, </w:t>
      </w:r>
      <w:r w:rsidR="00BF6FDD" w:rsidRPr="00370D5D">
        <w:rPr>
          <w:sz w:val="20"/>
          <w:szCs w:val="20"/>
        </w:rPr>
        <w:t>estos han tenido</w:t>
      </w:r>
      <w:r w:rsidR="00BF6FDD" w:rsidRPr="00370D5D">
        <w:rPr>
          <w:sz w:val="20"/>
        </w:rPr>
        <w:t xml:space="preserve"> conocimiento </w:t>
      </w:r>
      <w:r w:rsidR="00BF6FDD" w:rsidRPr="00370D5D">
        <w:rPr>
          <w:sz w:val="20"/>
          <w:szCs w:val="20"/>
        </w:rPr>
        <w:t xml:space="preserve">desde ese entonces </w:t>
      </w:r>
      <w:r w:rsidR="00BF6FDD" w:rsidRPr="00370D5D">
        <w:rPr>
          <w:rFonts w:cs="Times"/>
          <w:sz w:val="20"/>
          <w:szCs w:val="20"/>
        </w:rPr>
        <w:t>del lugar en que se encuentran inhumados dichos restos</w:t>
      </w:r>
      <w:r w:rsidR="00BF6FDD">
        <w:rPr>
          <w:rFonts w:cs="Times"/>
          <w:sz w:val="20"/>
          <w:szCs w:val="20"/>
        </w:rPr>
        <w:t>, y iii) respecto de otras 4 personas, de los hechos se desprende</w:t>
      </w:r>
      <w:r w:rsidR="003921FC">
        <w:rPr>
          <w:rFonts w:cs="Times"/>
          <w:sz w:val="20"/>
          <w:szCs w:val="20"/>
        </w:rPr>
        <w:t xml:space="preserve"> que sus familiares conocieron</w:t>
      </w:r>
      <w:r w:rsidR="00BF6FDD">
        <w:rPr>
          <w:rFonts w:cs="Times"/>
          <w:sz w:val="20"/>
          <w:szCs w:val="20"/>
        </w:rPr>
        <w:t xml:space="preserve"> la forma en que estos murieron, así como su paradero</w:t>
      </w:r>
      <w:r w:rsidR="00DB32FE">
        <w:rPr>
          <w:rFonts w:cs="Times"/>
          <w:sz w:val="20"/>
          <w:szCs w:val="20"/>
        </w:rPr>
        <w:t>, ya que participaron en el enterramiento de sus cuerpos</w:t>
      </w:r>
      <w:r w:rsidR="00BF6FDD">
        <w:rPr>
          <w:rFonts w:cs="Times"/>
          <w:sz w:val="20"/>
          <w:szCs w:val="20"/>
        </w:rPr>
        <w:t xml:space="preserve">. </w:t>
      </w:r>
      <w:r w:rsidR="00BF6FDD" w:rsidRPr="00816A36">
        <w:rPr>
          <w:sz w:val="20"/>
          <w:szCs w:val="20"/>
        </w:rPr>
        <w:t xml:space="preserve">Sin perjuicio de </w:t>
      </w:r>
      <w:r w:rsidR="00BF6FDD">
        <w:rPr>
          <w:sz w:val="20"/>
          <w:szCs w:val="20"/>
        </w:rPr>
        <w:t>ello</w:t>
      </w:r>
      <w:r w:rsidR="00BF6FDD" w:rsidRPr="00816A36">
        <w:rPr>
          <w:sz w:val="20"/>
          <w:szCs w:val="20"/>
        </w:rPr>
        <w:t xml:space="preserve">, la Corte </w:t>
      </w:r>
      <w:r w:rsidR="00BF6FDD">
        <w:rPr>
          <w:sz w:val="20"/>
          <w:szCs w:val="20"/>
        </w:rPr>
        <w:t>destacó que</w:t>
      </w:r>
      <w:r w:rsidR="00942AA4">
        <w:rPr>
          <w:sz w:val="20"/>
          <w:szCs w:val="20"/>
        </w:rPr>
        <w:t xml:space="preserve"> de estas </w:t>
      </w:r>
      <w:r w:rsidR="00942AA4">
        <w:rPr>
          <w:sz w:val="20"/>
          <w:szCs w:val="20"/>
          <w:lang w:val="es-ES"/>
        </w:rPr>
        <w:t>59</w:t>
      </w:r>
      <w:r w:rsidR="00942AA4" w:rsidRPr="003301BA">
        <w:rPr>
          <w:sz w:val="20"/>
          <w:szCs w:val="20"/>
          <w:lang w:val="es-ES"/>
        </w:rPr>
        <w:t xml:space="preserve"> personas</w:t>
      </w:r>
      <w:r w:rsidR="00BF6FDD" w:rsidRPr="00816A36">
        <w:rPr>
          <w:sz w:val="20"/>
          <w:szCs w:val="20"/>
        </w:rPr>
        <w:t xml:space="preserve"> aún no ha sido posible exhumar y/o identificar en su totalidad los restos de 31 personas que fueron enterradas por familiares y vecinos en cementerios clandestinos en la época del confli</w:t>
      </w:r>
      <w:r w:rsidR="00BF6FDD">
        <w:rPr>
          <w:sz w:val="20"/>
          <w:szCs w:val="20"/>
        </w:rPr>
        <w:t>cto armado interno en Guatemala.</w:t>
      </w:r>
    </w:p>
    <w:p w:rsidR="00BF6FDD" w:rsidRDefault="00BF6FDD" w:rsidP="00BF6FDD">
      <w:pPr>
        <w:tabs>
          <w:tab w:val="left" w:pos="360"/>
        </w:tabs>
        <w:spacing w:line="240" w:lineRule="auto"/>
        <w:rPr>
          <w:rFonts w:eastAsia="Calibri" w:cs="Calibri"/>
          <w:spacing w:val="-2"/>
          <w:sz w:val="20"/>
          <w:szCs w:val="20"/>
          <w:lang w:val="es-PR"/>
        </w:rPr>
      </w:pPr>
    </w:p>
    <w:p w:rsidR="00816A36" w:rsidRPr="00BF6FDD" w:rsidRDefault="00BF6FDD" w:rsidP="00BF6FDD">
      <w:pPr>
        <w:tabs>
          <w:tab w:val="left" w:pos="360"/>
        </w:tabs>
        <w:spacing w:line="240" w:lineRule="auto"/>
        <w:rPr>
          <w:rFonts w:eastAsia="Calibri" w:cs="Calibri"/>
          <w:spacing w:val="-2"/>
          <w:sz w:val="20"/>
          <w:szCs w:val="20"/>
          <w:lang w:val="es-PR"/>
        </w:rPr>
      </w:pPr>
      <w:r>
        <w:rPr>
          <w:rFonts w:eastAsia="Calibri" w:cs="Calibri"/>
          <w:spacing w:val="-2"/>
          <w:sz w:val="20"/>
          <w:szCs w:val="20"/>
          <w:lang w:val="es-PR"/>
        </w:rPr>
        <w:t xml:space="preserve">Ahora bien, respecto de otras </w:t>
      </w:r>
      <w:r w:rsidR="00816A36" w:rsidRPr="00BF6FDD">
        <w:rPr>
          <w:rFonts w:eastAsia="Calibri" w:cs="Calibri"/>
          <w:spacing w:val="-2"/>
          <w:sz w:val="20"/>
          <w:szCs w:val="20"/>
          <w:lang w:val="es-PR"/>
        </w:rPr>
        <w:t xml:space="preserve">22 </w:t>
      </w:r>
      <w:r>
        <w:rPr>
          <w:rFonts w:eastAsia="Calibri" w:cs="Calibri"/>
          <w:spacing w:val="-2"/>
          <w:sz w:val="20"/>
          <w:szCs w:val="20"/>
          <w:lang w:val="es-PR"/>
        </w:rPr>
        <w:t xml:space="preserve">personas, la Corte determinó que estas </w:t>
      </w:r>
      <w:r w:rsidR="00816A36" w:rsidRPr="00BF6FDD">
        <w:rPr>
          <w:rFonts w:eastAsia="Calibri" w:cs="Calibri"/>
          <w:spacing w:val="-2"/>
          <w:sz w:val="20"/>
          <w:szCs w:val="20"/>
          <w:lang w:val="es-PR"/>
        </w:rPr>
        <w:t>fueron privadas de libertad por miembros de las fuerzas de seguridad del Estado en el marco del conflicto interno, y lo último que se supo de ellas es que se encontraban bajo custodia estatal</w:t>
      </w:r>
      <w:r w:rsidR="00DF47CD" w:rsidRPr="00BF6FDD">
        <w:rPr>
          <w:rFonts w:eastAsia="Calibri" w:cs="Calibri"/>
          <w:spacing w:val="-2"/>
          <w:sz w:val="20"/>
          <w:szCs w:val="20"/>
          <w:lang w:val="es-PR"/>
        </w:rPr>
        <w:t>;</w:t>
      </w:r>
      <w:r w:rsidR="00816A36" w:rsidRPr="00BF6FDD">
        <w:rPr>
          <w:rFonts w:eastAsia="Calibri" w:cs="Calibri"/>
          <w:spacing w:val="-2"/>
          <w:sz w:val="20"/>
          <w:szCs w:val="20"/>
          <w:lang w:val="es-PR"/>
        </w:rPr>
        <w:t xml:space="preserve"> posteriormente, se desconoció su paradero. Por tanto, estas personas son víctimas de desaparición forzada y el Tribunal declaró la violación de los artículos 3, 4</w:t>
      </w:r>
      <w:r w:rsidR="00DF47CD" w:rsidRPr="00BF6FDD">
        <w:rPr>
          <w:rFonts w:eastAsia="Calibri" w:cs="Calibri"/>
          <w:spacing w:val="-2"/>
          <w:sz w:val="20"/>
          <w:szCs w:val="20"/>
          <w:lang w:val="es-PR"/>
        </w:rPr>
        <w:t>.1</w:t>
      </w:r>
      <w:r w:rsidR="00816A36" w:rsidRPr="00BF6FDD">
        <w:rPr>
          <w:rFonts w:eastAsia="Calibri" w:cs="Calibri"/>
          <w:spacing w:val="-2"/>
          <w:sz w:val="20"/>
          <w:szCs w:val="20"/>
          <w:lang w:val="es-PR"/>
        </w:rPr>
        <w:t>, 5</w:t>
      </w:r>
      <w:r w:rsidR="00DF47CD" w:rsidRPr="00BF6FDD">
        <w:rPr>
          <w:rFonts w:eastAsia="Calibri" w:cs="Calibri"/>
          <w:spacing w:val="-2"/>
          <w:sz w:val="20"/>
          <w:szCs w:val="20"/>
          <w:lang w:val="es-PR"/>
        </w:rPr>
        <w:t>.1, 5.2</w:t>
      </w:r>
      <w:r w:rsidR="00816A36" w:rsidRPr="00BF6FDD">
        <w:rPr>
          <w:rFonts w:eastAsia="Calibri" w:cs="Calibri"/>
          <w:spacing w:val="-2"/>
          <w:sz w:val="20"/>
          <w:szCs w:val="20"/>
          <w:lang w:val="es-PR"/>
        </w:rPr>
        <w:t xml:space="preserve"> y 7 de la Convención Americana, en relación con el artículo 1.1 de la misma y el artículo </w:t>
      </w:r>
      <w:proofErr w:type="spellStart"/>
      <w:r w:rsidR="00816A36" w:rsidRPr="00BF6FDD">
        <w:rPr>
          <w:rFonts w:eastAsia="Calibri" w:cs="Calibri"/>
          <w:spacing w:val="-2"/>
          <w:sz w:val="20"/>
          <w:szCs w:val="20"/>
          <w:lang w:val="es-PR"/>
        </w:rPr>
        <w:t>I.a</w:t>
      </w:r>
      <w:proofErr w:type="spellEnd"/>
      <w:r w:rsidR="00816A36" w:rsidRPr="00BF6FDD">
        <w:rPr>
          <w:rFonts w:eastAsia="Calibri" w:cs="Calibri"/>
          <w:spacing w:val="-2"/>
          <w:sz w:val="20"/>
          <w:szCs w:val="20"/>
          <w:lang w:val="es-PR"/>
        </w:rPr>
        <w:t xml:space="preserve">) de la </w:t>
      </w:r>
      <w:r w:rsidR="000E37B8">
        <w:rPr>
          <w:sz w:val="20"/>
          <w:szCs w:val="20"/>
        </w:rPr>
        <w:t>Convención Interamericana sobre Desaparición Forzada de Personas</w:t>
      </w:r>
      <w:r w:rsidR="00816A36" w:rsidRPr="00BF6FDD">
        <w:rPr>
          <w:rFonts w:eastAsia="Calibri" w:cs="Calibri"/>
          <w:spacing w:val="-2"/>
          <w:sz w:val="20"/>
          <w:szCs w:val="20"/>
          <w:lang w:val="es-PR"/>
        </w:rPr>
        <w:t xml:space="preserve">, en </w:t>
      </w:r>
      <w:r w:rsidR="004D5889">
        <w:rPr>
          <w:rFonts w:eastAsia="Calibri" w:cs="Calibri"/>
          <w:spacing w:val="-2"/>
          <w:sz w:val="20"/>
          <w:szCs w:val="20"/>
          <w:lang w:val="es-PR"/>
        </w:rPr>
        <w:t xml:space="preserve">su </w:t>
      </w:r>
      <w:r w:rsidR="00816A36" w:rsidRPr="00BF6FDD">
        <w:rPr>
          <w:rFonts w:eastAsia="Calibri" w:cs="Calibri"/>
          <w:spacing w:val="-2"/>
          <w:sz w:val="20"/>
          <w:szCs w:val="20"/>
          <w:lang w:val="es-PR"/>
        </w:rPr>
        <w:t>perjuicio</w:t>
      </w:r>
      <w:r w:rsidR="004D5889">
        <w:rPr>
          <w:rFonts w:eastAsia="Calibri" w:cs="Calibri"/>
          <w:spacing w:val="-2"/>
          <w:sz w:val="20"/>
          <w:szCs w:val="20"/>
          <w:lang w:val="es-PR"/>
        </w:rPr>
        <w:t>.</w:t>
      </w:r>
    </w:p>
    <w:p w:rsidR="00816A36" w:rsidRDefault="00816A36" w:rsidP="00816A36">
      <w:pPr>
        <w:tabs>
          <w:tab w:val="left" w:pos="720"/>
        </w:tabs>
        <w:spacing w:line="240" w:lineRule="auto"/>
        <w:rPr>
          <w:sz w:val="20"/>
          <w:szCs w:val="20"/>
        </w:rPr>
      </w:pPr>
    </w:p>
    <w:p w:rsidR="00A51FE0" w:rsidRPr="00370D5D" w:rsidRDefault="00A51FE0" w:rsidP="00BF6FDD">
      <w:pPr>
        <w:tabs>
          <w:tab w:val="left" w:pos="567"/>
        </w:tabs>
        <w:spacing w:line="240" w:lineRule="auto"/>
        <w:ind w:right="4"/>
        <w:rPr>
          <w:rFonts w:eastAsia="Calibri"/>
          <w:spacing w:val="-2"/>
          <w:sz w:val="20"/>
          <w:szCs w:val="20"/>
        </w:rPr>
      </w:pPr>
      <w:r>
        <w:rPr>
          <w:sz w:val="20"/>
          <w:szCs w:val="20"/>
          <w:lang w:val="es-ES"/>
        </w:rPr>
        <w:t>Por otra parte</w:t>
      </w:r>
      <w:r w:rsidR="00E607FD">
        <w:rPr>
          <w:sz w:val="20"/>
          <w:szCs w:val="20"/>
          <w:lang w:val="es-ES"/>
        </w:rPr>
        <w:t xml:space="preserve">, </w:t>
      </w:r>
      <w:r w:rsidR="00816A36">
        <w:rPr>
          <w:sz w:val="20"/>
          <w:szCs w:val="20"/>
        </w:rPr>
        <w:t>la Corte aplic</w:t>
      </w:r>
      <w:r w:rsidR="00DF47CD">
        <w:rPr>
          <w:sz w:val="20"/>
          <w:szCs w:val="20"/>
        </w:rPr>
        <w:t>ó</w:t>
      </w:r>
      <w:r w:rsidR="00816A36">
        <w:rPr>
          <w:sz w:val="20"/>
          <w:szCs w:val="20"/>
        </w:rPr>
        <w:t xml:space="preserve"> la presunción </w:t>
      </w:r>
      <w:r w:rsidR="00816A36">
        <w:rPr>
          <w:i/>
          <w:sz w:val="20"/>
          <w:szCs w:val="20"/>
        </w:rPr>
        <w:t xml:space="preserve">iuris tantum </w:t>
      </w:r>
      <w:r w:rsidR="00816A36">
        <w:rPr>
          <w:sz w:val="20"/>
          <w:szCs w:val="20"/>
        </w:rPr>
        <w:t>respect</w:t>
      </w:r>
      <w:r w:rsidR="008A0346">
        <w:rPr>
          <w:sz w:val="20"/>
          <w:szCs w:val="20"/>
        </w:rPr>
        <w:t>o del</w:t>
      </w:r>
      <w:r w:rsidR="008A0346" w:rsidRPr="00D846F0">
        <w:rPr>
          <w:spacing w:val="-2"/>
          <w:sz w:val="20"/>
          <w:szCs w:val="20"/>
        </w:rPr>
        <w:t xml:space="preserve"> </w:t>
      </w:r>
      <w:r w:rsidR="008A0346" w:rsidRPr="009151C2">
        <w:rPr>
          <w:rFonts w:eastAsia="Calibri"/>
          <w:spacing w:val="-2"/>
          <w:sz w:val="20"/>
          <w:szCs w:val="20"/>
        </w:rPr>
        <w:t xml:space="preserve">severo sufrimiento de los </w:t>
      </w:r>
      <w:r w:rsidR="008A0346" w:rsidRPr="009151C2">
        <w:rPr>
          <w:rFonts w:eastAsia="Calibri"/>
          <w:spacing w:val="-2"/>
          <w:sz w:val="20"/>
          <w:szCs w:val="20"/>
        </w:rPr>
        <w:lastRenderedPageBreak/>
        <w:t>familiares</w:t>
      </w:r>
      <w:r w:rsidR="008A0346">
        <w:rPr>
          <w:rFonts w:eastAsia="Calibri"/>
          <w:spacing w:val="-2"/>
          <w:sz w:val="20"/>
          <w:szCs w:val="20"/>
        </w:rPr>
        <w:t xml:space="preserve"> de víctimas de desaparición forzada y declar</w:t>
      </w:r>
      <w:r w:rsidR="00DF47CD">
        <w:rPr>
          <w:rFonts w:eastAsia="Calibri"/>
          <w:spacing w:val="-2"/>
          <w:sz w:val="20"/>
          <w:szCs w:val="20"/>
        </w:rPr>
        <w:t>ó</w:t>
      </w:r>
      <w:r w:rsidR="008A0346">
        <w:rPr>
          <w:rFonts w:eastAsia="Calibri"/>
          <w:spacing w:val="-2"/>
          <w:sz w:val="20"/>
          <w:szCs w:val="20"/>
        </w:rPr>
        <w:t xml:space="preserve"> la violación del </w:t>
      </w:r>
      <w:r w:rsidR="005863A7">
        <w:rPr>
          <w:rFonts w:eastAsia="Calibri"/>
          <w:spacing w:val="-2"/>
          <w:sz w:val="20"/>
          <w:szCs w:val="20"/>
        </w:rPr>
        <w:t xml:space="preserve">derecho a la integridad personal de aquellos, establecido en el </w:t>
      </w:r>
      <w:r w:rsidR="008A0346">
        <w:rPr>
          <w:rFonts w:eastAsia="Calibri"/>
          <w:spacing w:val="-2"/>
          <w:sz w:val="20"/>
          <w:szCs w:val="20"/>
        </w:rPr>
        <w:t xml:space="preserve">artículo 5.1 de la Convención, en relación con el artículo 1.1 de la misma. </w:t>
      </w:r>
      <w:r>
        <w:rPr>
          <w:rFonts w:eastAsia="Calibri"/>
          <w:spacing w:val="-2"/>
          <w:sz w:val="20"/>
          <w:szCs w:val="20"/>
        </w:rPr>
        <w:t>Asimismo</w:t>
      </w:r>
      <w:r w:rsidR="00DF47CD">
        <w:rPr>
          <w:rFonts w:eastAsia="Calibri"/>
          <w:spacing w:val="-2"/>
          <w:sz w:val="20"/>
          <w:szCs w:val="20"/>
        </w:rPr>
        <w:t xml:space="preserve">, </w:t>
      </w:r>
      <w:r w:rsidRPr="00370D5D">
        <w:rPr>
          <w:sz w:val="20"/>
          <w:szCs w:val="20"/>
        </w:rPr>
        <w:t xml:space="preserve">Guatemala violó el </w:t>
      </w:r>
      <w:r w:rsidR="005863A7">
        <w:rPr>
          <w:sz w:val="20"/>
          <w:szCs w:val="20"/>
        </w:rPr>
        <w:t xml:space="preserve">derecho a la protección a la familia establecido en el </w:t>
      </w:r>
      <w:r w:rsidRPr="00370D5D">
        <w:rPr>
          <w:sz w:val="20"/>
          <w:szCs w:val="20"/>
        </w:rPr>
        <w:t xml:space="preserve">artículo 17.1 de la Convención Americana, en relación con el artículo 1.1 del mismo instrumento, en perjuicio de </w:t>
      </w:r>
      <w:r w:rsidR="008E077B">
        <w:rPr>
          <w:sz w:val="20"/>
          <w:szCs w:val="20"/>
        </w:rPr>
        <w:t>dichos</w:t>
      </w:r>
      <w:r w:rsidRPr="00370D5D">
        <w:rPr>
          <w:sz w:val="20"/>
          <w:szCs w:val="20"/>
        </w:rPr>
        <w:t xml:space="preserve"> familiares</w:t>
      </w:r>
      <w:r>
        <w:rPr>
          <w:sz w:val="20"/>
          <w:szCs w:val="20"/>
        </w:rPr>
        <w:t>, debido a que</w:t>
      </w:r>
      <w:r w:rsidR="008E077B">
        <w:rPr>
          <w:sz w:val="20"/>
          <w:szCs w:val="20"/>
        </w:rPr>
        <w:t>:</w:t>
      </w:r>
      <w:r>
        <w:rPr>
          <w:rFonts w:eastAsia="Calibri"/>
          <w:spacing w:val="-2"/>
          <w:sz w:val="20"/>
          <w:szCs w:val="20"/>
        </w:rPr>
        <w:t xml:space="preserve"> </w:t>
      </w:r>
      <w:r w:rsidR="008E077B">
        <w:rPr>
          <w:rFonts w:eastAsia="Calibri"/>
          <w:spacing w:val="-2"/>
          <w:sz w:val="20"/>
          <w:szCs w:val="20"/>
        </w:rPr>
        <w:t xml:space="preserve">i) </w:t>
      </w:r>
      <w:r w:rsidRPr="00370D5D">
        <w:rPr>
          <w:bCs/>
          <w:spacing w:val="-2"/>
          <w:sz w:val="20"/>
          <w:szCs w:val="20"/>
        </w:rPr>
        <w:t xml:space="preserve">en </w:t>
      </w:r>
      <w:r w:rsidR="008E077B">
        <w:rPr>
          <w:bCs/>
          <w:spacing w:val="-2"/>
          <w:sz w:val="20"/>
          <w:szCs w:val="20"/>
        </w:rPr>
        <w:t xml:space="preserve">este </w:t>
      </w:r>
      <w:r w:rsidRPr="00370D5D">
        <w:rPr>
          <w:bCs/>
          <w:spacing w:val="-2"/>
          <w:sz w:val="20"/>
          <w:szCs w:val="20"/>
        </w:rPr>
        <w:t xml:space="preserve">caso </w:t>
      </w:r>
      <w:r w:rsidRPr="00370D5D">
        <w:rPr>
          <w:sz w:val="20"/>
          <w:szCs w:val="20"/>
        </w:rPr>
        <w:t>las familias tuvieron que enfrentar el dolor de la desaparición forzada de varios de sus miembros</w:t>
      </w:r>
      <w:r w:rsidR="008E077B">
        <w:rPr>
          <w:sz w:val="20"/>
          <w:szCs w:val="20"/>
        </w:rPr>
        <w:t>;</w:t>
      </w:r>
      <w:r w:rsidRPr="00370D5D">
        <w:rPr>
          <w:sz w:val="20"/>
          <w:szCs w:val="20"/>
        </w:rPr>
        <w:t xml:space="preserve"> </w:t>
      </w:r>
      <w:r w:rsidR="008E077B">
        <w:rPr>
          <w:sz w:val="20"/>
          <w:szCs w:val="20"/>
        </w:rPr>
        <w:t xml:space="preserve">ii) </w:t>
      </w:r>
      <w:r w:rsidRPr="00370D5D">
        <w:rPr>
          <w:sz w:val="20"/>
          <w:szCs w:val="20"/>
        </w:rPr>
        <w:t>en una gran mayoría de los casos, los familiares presenciaron la detención de las víctimas en sus propias viviendas o en las inmediaciones, y esa fue la última vez que los vieron con vida</w:t>
      </w:r>
      <w:r w:rsidR="008E077B">
        <w:rPr>
          <w:sz w:val="20"/>
          <w:szCs w:val="20"/>
        </w:rPr>
        <w:t xml:space="preserve">, por lo que </w:t>
      </w:r>
      <w:r w:rsidRPr="00370D5D">
        <w:rPr>
          <w:sz w:val="20"/>
          <w:szCs w:val="20"/>
        </w:rPr>
        <w:t>el modo en que se realizaron dichas detenciones ocasionó una clara percepción de desprotección en las familias que persistió en el tiempo</w:t>
      </w:r>
      <w:r w:rsidR="008E077B">
        <w:rPr>
          <w:sz w:val="20"/>
          <w:szCs w:val="20"/>
        </w:rPr>
        <w:t>; iii)</w:t>
      </w:r>
      <w:r w:rsidRPr="00370D5D">
        <w:rPr>
          <w:sz w:val="20"/>
          <w:szCs w:val="20"/>
        </w:rPr>
        <w:t xml:space="preserve"> la falta de un entierro de acuerdo con las tradiciones de la cultura maya </w:t>
      </w:r>
      <w:proofErr w:type="spellStart"/>
      <w:r w:rsidRPr="00370D5D">
        <w:rPr>
          <w:sz w:val="20"/>
          <w:szCs w:val="20"/>
        </w:rPr>
        <w:t>achí</w:t>
      </w:r>
      <w:proofErr w:type="spellEnd"/>
      <w:r w:rsidRPr="00370D5D">
        <w:rPr>
          <w:sz w:val="20"/>
          <w:szCs w:val="20"/>
        </w:rPr>
        <w:t xml:space="preserve"> rompió las relaciones de reciprocidad y armonía entre vivos </w:t>
      </w:r>
      <w:r w:rsidRPr="00370D5D">
        <w:rPr>
          <w:rFonts w:cs="Arial"/>
          <w:sz w:val="20"/>
          <w:szCs w:val="20"/>
        </w:rPr>
        <w:t xml:space="preserve">y </w:t>
      </w:r>
      <w:r w:rsidRPr="00370D5D">
        <w:rPr>
          <w:sz w:val="20"/>
          <w:szCs w:val="20"/>
        </w:rPr>
        <w:t>muertos, afectando la unión de las familias con sus ancestros</w:t>
      </w:r>
      <w:r w:rsidR="008E077B">
        <w:rPr>
          <w:sz w:val="20"/>
          <w:szCs w:val="20"/>
        </w:rPr>
        <w:t xml:space="preserve">, y iv) </w:t>
      </w:r>
      <w:r w:rsidRPr="00370D5D">
        <w:rPr>
          <w:sz w:val="20"/>
          <w:szCs w:val="20"/>
        </w:rPr>
        <w:t>la desaparición forzada y el desplazamiento provocó la separación y/o desintegración de las familias</w:t>
      </w:r>
      <w:r>
        <w:rPr>
          <w:sz w:val="20"/>
          <w:szCs w:val="20"/>
        </w:rPr>
        <w:t>.</w:t>
      </w:r>
    </w:p>
    <w:p w:rsidR="00E607FD" w:rsidRDefault="00E607FD" w:rsidP="00DF47CD">
      <w:pPr>
        <w:tabs>
          <w:tab w:val="left" w:pos="720"/>
        </w:tabs>
        <w:spacing w:line="240" w:lineRule="auto"/>
        <w:rPr>
          <w:rFonts w:eastAsia="Calibri"/>
          <w:spacing w:val="-2"/>
          <w:sz w:val="20"/>
          <w:szCs w:val="20"/>
        </w:rPr>
      </w:pPr>
    </w:p>
    <w:p w:rsidR="00553328" w:rsidRPr="004E6861" w:rsidRDefault="00F64B07" w:rsidP="009D7069">
      <w:pPr>
        <w:pStyle w:val="TOC1"/>
      </w:pPr>
      <w:bookmarkStart w:id="1" w:name="_Toc460938879"/>
      <w:r>
        <w:t>V</w:t>
      </w:r>
      <w:r w:rsidR="00553328" w:rsidRPr="004E6861">
        <w:t>.II</w:t>
      </w:r>
      <w:bookmarkEnd w:id="1"/>
      <w:r w:rsidR="00553328">
        <w:t>.</w:t>
      </w:r>
      <w:bookmarkStart w:id="2" w:name="_Toc460938880"/>
      <w:r w:rsidR="00553328">
        <w:t xml:space="preserve"> </w:t>
      </w:r>
      <w:r w:rsidR="00315DDF">
        <w:t>Derecho d</w:t>
      </w:r>
      <w:r w:rsidR="00315DDF" w:rsidRPr="004E6861">
        <w:t xml:space="preserve">e </w:t>
      </w:r>
      <w:r w:rsidR="00BF6FDD">
        <w:t>c</w:t>
      </w:r>
      <w:r w:rsidR="00315DDF" w:rsidRPr="004E6861">
        <w:t xml:space="preserve">irculación </w:t>
      </w:r>
      <w:r w:rsidR="00315DDF">
        <w:t>y</w:t>
      </w:r>
      <w:r w:rsidR="00315DDF" w:rsidRPr="004E6861">
        <w:t xml:space="preserve"> </w:t>
      </w:r>
      <w:r w:rsidR="00BF6FDD">
        <w:t>r</w:t>
      </w:r>
      <w:r w:rsidR="00315DDF" w:rsidRPr="004E6861">
        <w:t>esidencia</w:t>
      </w:r>
      <w:bookmarkEnd w:id="2"/>
    </w:p>
    <w:p w:rsidR="00553328" w:rsidRPr="00A50EA6" w:rsidRDefault="00553328" w:rsidP="00816A36">
      <w:pPr>
        <w:tabs>
          <w:tab w:val="left" w:pos="720"/>
        </w:tabs>
        <w:spacing w:line="240" w:lineRule="auto"/>
        <w:rPr>
          <w:rFonts w:eastAsia="Calibri" w:cs="Calibri"/>
          <w:spacing w:val="-2"/>
          <w:sz w:val="16"/>
          <w:szCs w:val="20"/>
        </w:rPr>
      </w:pPr>
    </w:p>
    <w:p w:rsidR="00B8574D" w:rsidRDefault="00E771AF" w:rsidP="00F56FFE">
      <w:pPr>
        <w:pStyle w:val="Prrafodelista2"/>
        <w:tabs>
          <w:tab w:val="left" w:pos="720"/>
        </w:tabs>
        <w:ind w:left="0" w:right="-90"/>
        <w:jc w:val="both"/>
        <w:rPr>
          <w:rFonts w:eastAsia="Times"/>
        </w:rPr>
      </w:pPr>
      <w:r>
        <w:rPr>
          <w:rFonts w:eastAsia="Times"/>
        </w:rPr>
        <w:t>L</w:t>
      </w:r>
      <w:r>
        <w:rPr>
          <w:rFonts w:eastAsia="Batang" w:cs="Times"/>
          <w:lang w:val="es-PA"/>
        </w:rPr>
        <w:t xml:space="preserve">a Corte </w:t>
      </w:r>
      <w:r w:rsidR="00817EFF">
        <w:rPr>
          <w:rFonts w:eastAsia="Batang" w:cs="Times"/>
          <w:lang w:val="es-PA"/>
        </w:rPr>
        <w:t>constat</w:t>
      </w:r>
      <w:r w:rsidR="006C1B18">
        <w:rPr>
          <w:rFonts w:eastAsia="Batang" w:cs="Times"/>
          <w:lang w:val="es-PA"/>
        </w:rPr>
        <w:t>ó</w:t>
      </w:r>
      <w:r w:rsidR="00817EFF" w:rsidRPr="00BD2B41">
        <w:rPr>
          <w:rFonts w:eastAsia="Times"/>
        </w:rPr>
        <w:t xml:space="preserve"> </w:t>
      </w:r>
      <w:r w:rsidR="00F56FFE" w:rsidRPr="00BD2B41">
        <w:rPr>
          <w:rFonts w:eastAsia="Times"/>
        </w:rPr>
        <w:t xml:space="preserve">que hubo comunidades que quedaron completamente vacías durante mucho tiempo y esta situación perduró luego del 9 de marzo 1987, fecha en que Guatemala reconoció la competencia de este Tribunal, y que muchos de los miembros de la aldea </w:t>
      </w:r>
      <w:proofErr w:type="spellStart"/>
      <w:r w:rsidR="00F56FFE" w:rsidRPr="00BD2B41">
        <w:rPr>
          <w:rFonts w:eastAsia="Times"/>
        </w:rPr>
        <w:t>Chichupac</w:t>
      </w:r>
      <w:proofErr w:type="spellEnd"/>
      <w:r w:rsidR="00F56FFE" w:rsidRPr="00BD2B41">
        <w:rPr>
          <w:rFonts w:eastAsia="Times"/>
        </w:rPr>
        <w:t xml:space="preserve"> y comunidades vecinas del municipio de Rabinal</w:t>
      </w:r>
      <w:r w:rsidR="00F56FFE">
        <w:rPr>
          <w:rFonts w:eastAsia="Times"/>
        </w:rPr>
        <w:t xml:space="preserve"> </w:t>
      </w:r>
      <w:r w:rsidR="00F56FFE" w:rsidRPr="00F1355D">
        <w:rPr>
          <w:rFonts w:eastAsia="Batang" w:cs="Times"/>
          <w:lang w:val="es-PA"/>
        </w:rPr>
        <w:t>permanecen desplazad</w:t>
      </w:r>
      <w:r w:rsidR="00F56FFE">
        <w:rPr>
          <w:rFonts w:eastAsia="Batang" w:cs="Times"/>
          <w:lang w:val="es-PA"/>
        </w:rPr>
        <w:t>o</w:t>
      </w:r>
      <w:r w:rsidR="00F56FFE" w:rsidRPr="00F1355D">
        <w:rPr>
          <w:rFonts w:eastAsia="Batang" w:cs="Times"/>
          <w:lang w:val="es-PA"/>
        </w:rPr>
        <w:t xml:space="preserve">s hasta </w:t>
      </w:r>
      <w:r w:rsidR="00F56FFE">
        <w:rPr>
          <w:rFonts w:eastAsia="Batang" w:cs="Times"/>
          <w:lang w:val="es-PA"/>
        </w:rPr>
        <w:t>el día de hoy</w:t>
      </w:r>
      <w:r w:rsidR="00F56FFE" w:rsidRPr="00F1355D">
        <w:rPr>
          <w:rFonts w:eastAsia="Times"/>
        </w:rPr>
        <w:t xml:space="preserve">. </w:t>
      </w:r>
    </w:p>
    <w:p w:rsidR="00B8574D" w:rsidRDefault="00B8574D" w:rsidP="00F56FFE">
      <w:pPr>
        <w:pStyle w:val="Prrafodelista2"/>
        <w:tabs>
          <w:tab w:val="left" w:pos="720"/>
        </w:tabs>
        <w:ind w:left="0" w:right="-90"/>
        <w:jc w:val="both"/>
        <w:rPr>
          <w:rFonts w:eastAsia="Times"/>
        </w:rPr>
      </w:pPr>
    </w:p>
    <w:p w:rsidR="00F56FFE" w:rsidRDefault="00E771AF" w:rsidP="00F56FFE">
      <w:pPr>
        <w:pStyle w:val="Prrafodelista2"/>
        <w:tabs>
          <w:tab w:val="left" w:pos="720"/>
        </w:tabs>
        <w:ind w:left="0" w:right="-90"/>
        <w:jc w:val="both"/>
        <w:rPr>
          <w:iCs/>
        </w:rPr>
      </w:pPr>
      <w:r>
        <w:rPr>
          <w:rFonts w:eastAsia="Times"/>
        </w:rPr>
        <w:t>Seguidamente, la</w:t>
      </w:r>
      <w:r w:rsidR="00F56FFE">
        <w:rPr>
          <w:rFonts w:eastAsia="Batang" w:cs="Times"/>
          <w:lang w:val="es-PA"/>
        </w:rPr>
        <w:t xml:space="preserve"> Corte </w:t>
      </w:r>
      <w:r w:rsidR="00721040">
        <w:rPr>
          <w:rFonts w:eastAsia="Batang" w:cs="Times"/>
          <w:lang w:val="es-PA"/>
        </w:rPr>
        <w:t>notó</w:t>
      </w:r>
      <w:r w:rsidR="00F56FFE">
        <w:rPr>
          <w:rFonts w:eastAsia="Batang" w:cs="Times"/>
          <w:lang w:val="es-PA"/>
        </w:rPr>
        <w:t xml:space="preserve"> que </w:t>
      </w:r>
      <w:r w:rsidRPr="00AC5645">
        <w:rPr>
          <w:rFonts w:eastAsia="Batang" w:cs="Times"/>
          <w:lang w:val="es-ES"/>
        </w:rPr>
        <w:t>actualmente los miembros de las comunidades que desean retornar a sus tierras</w:t>
      </w:r>
      <w:r w:rsidRPr="00AC5645">
        <w:rPr>
          <w:rFonts w:eastAsia="Batang" w:cs="Times"/>
          <w:lang w:val="es-PA"/>
        </w:rPr>
        <w:t xml:space="preserve"> se encuentran</w:t>
      </w:r>
      <w:r w:rsidRPr="00D846F0">
        <w:rPr>
          <w:rFonts w:eastAsia="Batang" w:cs="Times"/>
          <w:lang w:val="es-PA"/>
        </w:rPr>
        <w:t xml:space="preserve"> en la imposibilidad material de hacerlo</w:t>
      </w:r>
      <w:r>
        <w:rPr>
          <w:rFonts w:eastAsia="Times"/>
        </w:rPr>
        <w:t xml:space="preserve">, debido a </w:t>
      </w:r>
      <w:r w:rsidRPr="00B277D7">
        <w:rPr>
          <w:rFonts w:eastAsia="Times" w:cs="Arial"/>
        </w:rPr>
        <w:t xml:space="preserve">que existe miedo e inseguridad de </w:t>
      </w:r>
      <w:r w:rsidRPr="00B277D7">
        <w:rPr>
          <w:iCs/>
        </w:rPr>
        <w:t xml:space="preserve">la población sobreviviente debido a la </w:t>
      </w:r>
      <w:r w:rsidRPr="00B277D7">
        <w:rPr>
          <w:rFonts w:eastAsia="Times"/>
        </w:rPr>
        <w:t>presencia</w:t>
      </w:r>
      <w:r w:rsidRPr="00B277D7">
        <w:rPr>
          <w:iCs/>
        </w:rPr>
        <w:t xml:space="preserve"> actual de los responsables </w:t>
      </w:r>
      <w:r w:rsidRPr="00B277D7">
        <w:rPr>
          <w:rFonts w:eastAsia="Batang" w:cs="Times"/>
          <w:lang w:val="es-PA"/>
        </w:rPr>
        <w:t xml:space="preserve">de la </w:t>
      </w:r>
      <w:r w:rsidRPr="00B277D7">
        <w:rPr>
          <w:iCs/>
        </w:rPr>
        <w:t>violencia en el entorno de Rabinal</w:t>
      </w:r>
      <w:r>
        <w:rPr>
          <w:iCs/>
        </w:rPr>
        <w:t xml:space="preserve">, y </w:t>
      </w:r>
      <w:r>
        <w:rPr>
          <w:rFonts w:eastAsia="Calibri" w:cs="Arial"/>
        </w:rPr>
        <w:t xml:space="preserve">que </w:t>
      </w:r>
      <w:r w:rsidRPr="00D846F0">
        <w:rPr>
          <w:rFonts w:eastAsia="Times" w:cs="Arial"/>
        </w:rPr>
        <w:t xml:space="preserve">las </w:t>
      </w:r>
      <w:r w:rsidRPr="00D846F0">
        <w:rPr>
          <w:rFonts w:eastAsia="Calibri" w:cs="Arial"/>
        </w:rPr>
        <w:t>parcelas</w:t>
      </w:r>
      <w:r>
        <w:rPr>
          <w:rFonts w:eastAsia="Calibri" w:cs="Arial"/>
        </w:rPr>
        <w:t xml:space="preserve"> de los miembros de la </w:t>
      </w:r>
      <w:r w:rsidR="000D3DAF">
        <w:rPr>
          <w:rFonts w:eastAsia="Calibri" w:cs="Arial"/>
        </w:rPr>
        <w:t>al</w:t>
      </w:r>
      <w:r>
        <w:rPr>
          <w:rFonts w:eastAsia="Calibri" w:cs="Arial"/>
        </w:rPr>
        <w:t xml:space="preserve">dea </w:t>
      </w:r>
      <w:proofErr w:type="spellStart"/>
      <w:r>
        <w:rPr>
          <w:rFonts w:eastAsia="Calibri" w:cs="Arial"/>
        </w:rPr>
        <w:t>Chichupac</w:t>
      </w:r>
      <w:proofErr w:type="spellEnd"/>
      <w:r>
        <w:rPr>
          <w:rFonts w:eastAsia="Calibri" w:cs="Arial"/>
        </w:rPr>
        <w:t xml:space="preserve"> y comunidades vecinas han sido ocupadas</w:t>
      </w:r>
      <w:r w:rsidRPr="00D846F0">
        <w:rPr>
          <w:rFonts w:eastAsia="Calibri" w:cs="Arial"/>
        </w:rPr>
        <w:t xml:space="preserve"> sin</w:t>
      </w:r>
      <w:r>
        <w:rPr>
          <w:rFonts w:eastAsia="Calibri" w:cs="Arial"/>
        </w:rPr>
        <w:t xml:space="preserve"> la</w:t>
      </w:r>
      <w:r w:rsidRPr="00D846F0">
        <w:rPr>
          <w:rFonts w:eastAsia="Calibri" w:cs="Arial"/>
        </w:rPr>
        <w:t xml:space="preserve"> autorización de sus anteriores ocupantes y </w:t>
      </w:r>
      <w:r w:rsidRPr="00D846F0">
        <w:rPr>
          <w:iCs/>
        </w:rPr>
        <w:t>propietarios originales</w:t>
      </w:r>
      <w:r>
        <w:rPr>
          <w:iCs/>
        </w:rPr>
        <w:t xml:space="preserve">, o bien, fueron vendidas por necesidad. </w:t>
      </w:r>
    </w:p>
    <w:p w:rsidR="001E2C8D" w:rsidRDefault="001E2C8D" w:rsidP="00F56FFE">
      <w:pPr>
        <w:pStyle w:val="Prrafodelista2"/>
        <w:tabs>
          <w:tab w:val="left" w:pos="720"/>
        </w:tabs>
        <w:ind w:left="0" w:right="-90"/>
        <w:jc w:val="both"/>
        <w:rPr>
          <w:iCs/>
        </w:rPr>
      </w:pPr>
    </w:p>
    <w:p w:rsidR="002D4060" w:rsidRDefault="001E2C8D" w:rsidP="00F56FFE">
      <w:pPr>
        <w:pStyle w:val="Prrafodelista2"/>
        <w:tabs>
          <w:tab w:val="left" w:pos="720"/>
        </w:tabs>
        <w:ind w:left="0" w:right="-90"/>
        <w:jc w:val="both"/>
      </w:pPr>
      <w:r>
        <w:rPr>
          <w:iCs/>
        </w:rPr>
        <w:t xml:space="preserve">Frente a ello, la Corte </w:t>
      </w:r>
      <w:r w:rsidR="00C1671D">
        <w:rPr>
          <w:iCs/>
        </w:rPr>
        <w:t>establec</w:t>
      </w:r>
      <w:r w:rsidR="00256DC9">
        <w:rPr>
          <w:iCs/>
        </w:rPr>
        <w:t>ió</w:t>
      </w:r>
      <w:r>
        <w:rPr>
          <w:iCs/>
        </w:rPr>
        <w:t xml:space="preserve"> la ausencia de medidas </w:t>
      </w:r>
      <w:r w:rsidRPr="00D846F0">
        <w:rPr>
          <w:rFonts w:eastAsia="Times"/>
        </w:rPr>
        <w:t>suficientes y efectivas</w:t>
      </w:r>
      <w:r>
        <w:rPr>
          <w:iCs/>
        </w:rPr>
        <w:t xml:space="preserve"> por parte del Estado para revertir los efectos del desplazamiento, pese a que tuvo conocimiento de dichos efectos al menos desde el año 1997, a través de reiteradas denuncias.</w:t>
      </w:r>
      <w:r w:rsidRPr="001E2C8D">
        <w:t xml:space="preserve"> </w:t>
      </w:r>
      <w:r w:rsidR="00EB476F">
        <w:t>Indic</w:t>
      </w:r>
      <w:r w:rsidR="007C6431">
        <w:t>ó</w:t>
      </w:r>
      <w:r w:rsidR="00EB476F">
        <w:t xml:space="preserve"> que: i)</w:t>
      </w:r>
      <w:r w:rsidR="00C1671D">
        <w:t xml:space="preserve"> no</w:t>
      </w:r>
      <w:r w:rsidR="002D4060" w:rsidRPr="002D4060">
        <w:t xml:space="preserve"> consta que Guatemala </w:t>
      </w:r>
      <w:r w:rsidR="002D4060">
        <w:t>haya investigado</w:t>
      </w:r>
      <w:r w:rsidR="00C1671D">
        <w:t xml:space="preserve"> adecuadamente</w:t>
      </w:r>
      <w:r w:rsidR="002D4060">
        <w:t xml:space="preserve"> los hechos de este caso</w:t>
      </w:r>
      <w:r w:rsidR="00B8574D">
        <w:t xml:space="preserve">, ni investigó </w:t>
      </w:r>
      <w:r w:rsidR="002D4060">
        <w:t xml:space="preserve">el </w:t>
      </w:r>
      <w:r w:rsidR="002D4060" w:rsidRPr="002D4060">
        <w:t>señalamiento de que los responsables de la violencia seguirían viviendo en las comunidades vecinas del Rabinal</w:t>
      </w:r>
      <w:r w:rsidR="002D4060">
        <w:t>, ni</w:t>
      </w:r>
      <w:r w:rsidR="002D4060" w:rsidRPr="002D4060">
        <w:t xml:space="preserve"> las denuncias de que en el año 1999, algunos de los supuestos responsables seguirían robando, violando a las mujeres, matando a personas en la zona y amenazando a los pobladores</w:t>
      </w:r>
      <w:r w:rsidR="00EB476F">
        <w:t>; ii)</w:t>
      </w:r>
      <w:r w:rsidR="00C1671D">
        <w:rPr>
          <w:rFonts w:eastAsia="Times" w:cs="Arial"/>
        </w:rPr>
        <w:t xml:space="preserve"> no</w:t>
      </w:r>
      <w:r w:rsidR="002D4060">
        <w:rPr>
          <w:rFonts w:eastAsia="Times" w:cs="Arial"/>
        </w:rPr>
        <w:t xml:space="preserve"> consta que</w:t>
      </w:r>
      <w:r w:rsidR="002D4060">
        <w:rPr>
          <w:iCs/>
        </w:rPr>
        <w:t xml:space="preserve"> el Estado haya establecido métodos para que los miembros de la </w:t>
      </w:r>
      <w:r w:rsidR="000D3DAF">
        <w:rPr>
          <w:iCs/>
        </w:rPr>
        <w:t>a</w:t>
      </w:r>
      <w:r w:rsidR="002D4060">
        <w:rPr>
          <w:iCs/>
        </w:rPr>
        <w:t xml:space="preserve">ldea </w:t>
      </w:r>
      <w:proofErr w:type="spellStart"/>
      <w:r w:rsidR="002D4060">
        <w:rPr>
          <w:iCs/>
        </w:rPr>
        <w:t>Chichupac</w:t>
      </w:r>
      <w:proofErr w:type="spellEnd"/>
      <w:r w:rsidR="002D4060">
        <w:rPr>
          <w:iCs/>
        </w:rPr>
        <w:t xml:space="preserve"> y comunidades vecinas que hayan perdido la documentación que acreditaba la posesión de sus tierras y bienes a causa de los hechos del caso obtengan dichos documentos o comprueben su posesión de formas alternativas</w:t>
      </w:r>
      <w:r w:rsidR="00EB476F">
        <w:rPr>
          <w:iCs/>
        </w:rPr>
        <w:t>, y iii)</w:t>
      </w:r>
      <w:r w:rsidR="00C1671D" w:rsidRPr="00D846F0">
        <w:rPr>
          <w:rFonts w:eastAsia="Times"/>
          <w:bCs/>
        </w:rPr>
        <w:t xml:space="preserve"> no cuenta </w:t>
      </w:r>
      <w:r w:rsidR="00C1671D">
        <w:rPr>
          <w:rFonts w:eastAsia="Times"/>
          <w:bCs/>
        </w:rPr>
        <w:t xml:space="preserve">con información sobre si el </w:t>
      </w:r>
      <w:r w:rsidR="000E37B8">
        <w:t>Programa Nacional de Resarcimiento</w:t>
      </w:r>
      <w:r w:rsidR="000E37B8" w:rsidDel="000E37B8">
        <w:rPr>
          <w:rFonts w:eastAsia="Times"/>
          <w:bCs/>
        </w:rPr>
        <w:t xml:space="preserve"> </w:t>
      </w:r>
      <w:r w:rsidR="00C1671D" w:rsidRPr="00D846F0">
        <w:rPr>
          <w:rFonts w:eastAsia="Times"/>
          <w:bCs/>
        </w:rPr>
        <w:t xml:space="preserve">contemplaría medidas concretas sobre un posible retorno </w:t>
      </w:r>
      <w:r w:rsidR="00C1671D" w:rsidRPr="00D846F0">
        <w:rPr>
          <w:rFonts w:cs="Verdana"/>
        </w:rPr>
        <w:t xml:space="preserve">o </w:t>
      </w:r>
      <w:r w:rsidR="00C1671D" w:rsidRPr="00D846F0">
        <w:rPr>
          <w:rFonts w:eastAsia="Batang" w:cs="Times"/>
          <w:lang w:val="es-PA"/>
        </w:rPr>
        <w:t>un</w:t>
      </w:r>
      <w:r w:rsidR="00C1671D" w:rsidRPr="00D846F0">
        <w:rPr>
          <w:rFonts w:cs="Verdana"/>
        </w:rPr>
        <w:t xml:space="preserve"> reasentamiento voluntario</w:t>
      </w:r>
      <w:r w:rsidR="00C1671D">
        <w:rPr>
          <w:rFonts w:cs="Verdana"/>
        </w:rPr>
        <w:t xml:space="preserve"> y el Estado no controvirtió que la oficina</w:t>
      </w:r>
      <w:r w:rsidR="00C1671D" w:rsidRPr="00D846F0">
        <w:rPr>
          <w:rFonts w:eastAsia="Times"/>
          <w:bCs/>
        </w:rPr>
        <w:t xml:space="preserve"> municipal</w:t>
      </w:r>
      <w:r w:rsidR="00C1671D">
        <w:rPr>
          <w:rFonts w:eastAsia="Times"/>
          <w:bCs/>
        </w:rPr>
        <w:t xml:space="preserve"> del PRN</w:t>
      </w:r>
      <w:r w:rsidR="00C1671D" w:rsidRPr="00D846F0">
        <w:rPr>
          <w:rFonts w:eastAsia="Times"/>
          <w:bCs/>
        </w:rPr>
        <w:t xml:space="preserve"> en Rabinal</w:t>
      </w:r>
      <w:r w:rsidR="00C1671D">
        <w:rPr>
          <w:rFonts w:eastAsia="Times"/>
          <w:bCs/>
        </w:rPr>
        <w:t xml:space="preserve"> fue cerrada en marzo 2016. </w:t>
      </w:r>
    </w:p>
    <w:p w:rsidR="002D4060" w:rsidRDefault="002D4060" w:rsidP="00F56FFE">
      <w:pPr>
        <w:pStyle w:val="Prrafodelista2"/>
        <w:tabs>
          <w:tab w:val="left" w:pos="720"/>
        </w:tabs>
        <w:ind w:left="0" w:right="-90"/>
        <w:jc w:val="both"/>
      </w:pPr>
    </w:p>
    <w:p w:rsidR="00553328" w:rsidRDefault="007C6431" w:rsidP="00EB476F">
      <w:pPr>
        <w:pStyle w:val="Prrafodelista2"/>
        <w:tabs>
          <w:tab w:val="left" w:pos="720"/>
        </w:tabs>
        <w:ind w:left="0" w:right="-90"/>
        <w:jc w:val="both"/>
        <w:rPr>
          <w:iCs/>
        </w:rPr>
      </w:pPr>
      <w:r>
        <w:rPr>
          <w:iCs/>
        </w:rPr>
        <w:t>Por lo anterio</w:t>
      </w:r>
      <w:r w:rsidR="003C724E">
        <w:rPr>
          <w:iCs/>
        </w:rPr>
        <w:t>r,</w:t>
      </w:r>
      <w:r>
        <w:rPr>
          <w:iCs/>
        </w:rPr>
        <w:t xml:space="preserve"> </w:t>
      </w:r>
      <w:r w:rsidR="00EB476F" w:rsidRPr="00EB476F">
        <w:rPr>
          <w:iCs/>
        </w:rPr>
        <w:t>la Corte conclu</w:t>
      </w:r>
      <w:r>
        <w:rPr>
          <w:iCs/>
        </w:rPr>
        <w:t>yó</w:t>
      </w:r>
      <w:r w:rsidR="00EB476F" w:rsidRPr="00EB476F">
        <w:rPr>
          <w:iCs/>
        </w:rPr>
        <w:t xml:space="preserve"> que el Estado no adoptó medidas suficientes y efectivas para garantizar a las personas desplazadas de </w:t>
      </w:r>
      <w:proofErr w:type="spellStart"/>
      <w:r w:rsidR="00EB476F" w:rsidRPr="00EB476F">
        <w:rPr>
          <w:iCs/>
        </w:rPr>
        <w:t>Chichupac</w:t>
      </w:r>
      <w:proofErr w:type="spellEnd"/>
      <w:r w:rsidR="00EB476F" w:rsidRPr="00EB476F">
        <w:rPr>
          <w:iCs/>
        </w:rPr>
        <w:t xml:space="preserve"> y comunidades vecinas, un retorno digno y seguro a sus lugares de residencia habitual o un reasentamiento voluntario en otra parte del país, o, en su caso, una indemnización adecuada. Tampoco estableció el Estado las condiciones ni proporcionó los medios indispensables para reparar o mitigar los efectos del desplazamiento de los miembros de las comunidades que se reasentaron con posterioridad al 9 de marzo 1987. </w:t>
      </w:r>
      <w:r w:rsidR="003C724E" w:rsidRPr="00370D5D">
        <w:rPr>
          <w:rFonts w:eastAsia="Times"/>
        </w:rPr>
        <w:t xml:space="preserve">En consecuencia, el Estado no garantizó la </w:t>
      </w:r>
      <w:r w:rsidR="003C724E" w:rsidRPr="00370D5D">
        <w:rPr>
          <w:rFonts w:eastAsia="Batang" w:cs="Times"/>
        </w:rPr>
        <w:t xml:space="preserve">libertad de circulación y de residencia de los miembros de la aldea </w:t>
      </w:r>
      <w:proofErr w:type="spellStart"/>
      <w:r w:rsidR="003C724E" w:rsidRPr="00370D5D">
        <w:rPr>
          <w:rFonts w:eastAsia="Batang" w:cs="Times"/>
        </w:rPr>
        <w:t>Chichupac</w:t>
      </w:r>
      <w:proofErr w:type="spellEnd"/>
      <w:r w:rsidR="003C724E" w:rsidRPr="00370D5D">
        <w:rPr>
          <w:rFonts w:eastAsia="Batang" w:cs="Times"/>
        </w:rPr>
        <w:t xml:space="preserve"> y comunidades vecinas del municipio de Rabinal que fueron desplazados de </w:t>
      </w:r>
      <w:r w:rsidR="003C724E" w:rsidRPr="00370D5D">
        <w:rPr>
          <w:rFonts w:eastAsia="Times"/>
        </w:rPr>
        <w:t xml:space="preserve">sus comunidades, en violación del </w:t>
      </w:r>
      <w:r w:rsidR="003C724E" w:rsidRPr="00370D5D">
        <w:rPr>
          <w:rFonts w:eastAsia="Batang" w:cs="Times"/>
        </w:rPr>
        <w:t>artículo 22.1 de la Convención Americana, en relación con el artículo 1.1 de la misma</w:t>
      </w:r>
      <w:r w:rsidR="003C724E" w:rsidRPr="00370D5D">
        <w:rPr>
          <w:rFonts w:eastAsia="Times"/>
        </w:rPr>
        <w:t>.</w:t>
      </w:r>
    </w:p>
    <w:p w:rsidR="00EB476F" w:rsidRDefault="00EB476F" w:rsidP="00EB476F">
      <w:pPr>
        <w:pStyle w:val="Prrafodelista2"/>
        <w:tabs>
          <w:tab w:val="left" w:pos="720"/>
        </w:tabs>
        <w:ind w:left="0" w:right="-90"/>
        <w:jc w:val="both"/>
        <w:rPr>
          <w:iCs/>
        </w:rPr>
      </w:pPr>
    </w:p>
    <w:p w:rsidR="00EE293F" w:rsidRDefault="00504CF6" w:rsidP="00E47571">
      <w:pPr>
        <w:pStyle w:val="Prrafodelista2"/>
        <w:tabs>
          <w:tab w:val="left" w:pos="720"/>
        </w:tabs>
        <w:ind w:left="0" w:right="-90"/>
        <w:jc w:val="both"/>
        <w:rPr>
          <w:lang w:val="es-ES"/>
        </w:rPr>
      </w:pPr>
      <w:r>
        <w:rPr>
          <w:iCs/>
        </w:rPr>
        <w:lastRenderedPageBreak/>
        <w:t>En cuanto a</w:t>
      </w:r>
      <w:r w:rsidR="00EE293F">
        <w:rPr>
          <w:iCs/>
        </w:rPr>
        <w:t xml:space="preserve"> este punto, la Corte </w:t>
      </w:r>
      <w:r w:rsidR="00EE293F">
        <w:rPr>
          <w:rFonts w:eastAsia="Batang" w:cs="Times"/>
          <w:lang w:val="es-PA"/>
        </w:rPr>
        <w:t>destac</w:t>
      </w:r>
      <w:r w:rsidR="007C6431">
        <w:rPr>
          <w:rFonts w:eastAsia="Batang" w:cs="Times"/>
          <w:lang w:val="es-PA"/>
        </w:rPr>
        <w:t>ó</w:t>
      </w:r>
      <w:r w:rsidR="00EE293F">
        <w:rPr>
          <w:rFonts w:eastAsia="Batang" w:cs="Times"/>
          <w:lang w:val="es-PA"/>
        </w:rPr>
        <w:t xml:space="preserve"> los impactos diferenciados que el desplazamiento y la falta de garantías de retorno han tenido en </w:t>
      </w:r>
      <w:r w:rsidR="00EE293F" w:rsidRPr="00D7230B">
        <w:rPr>
          <w:rFonts w:eastAsia="Batang" w:cs="Times"/>
          <w:lang w:val="es-PA"/>
        </w:rPr>
        <w:t xml:space="preserve">los miembros de la aldea </w:t>
      </w:r>
      <w:proofErr w:type="spellStart"/>
      <w:r w:rsidR="00EE293F" w:rsidRPr="00D7230B">
        <w:rPr>
          <w:rFonts w:eastAsia="Batang" w:cs="Times"/>
          <w:lang w:val="es-PA"/>
        </w:rPr>
        <w:t>Chichupac</w:t>
      </w:r>
      <w:proofErr w:type="spellEnd"/>
      <w:r w:rsidR="00EE293F" w:rsidRPr="00D7230B">
        <w:rPr>
          <w:rFonts w:eastAsia="Batang" w:cs="Times"/>
          <w:lang w:val="es-PA"/>
        </w:rPr>
        <w:t xml:space="preserve"> y comunidades vecinas del municipio de Rabinal</w:t>
      </w:r>
      <w:r w:rsidR="00EE293F">
        <w:rPr>
          <w:rFonts w:eastAsia="Batang" w:cs="Times"/>
          <w:lang w:val="es-PA"/>
        </w:rPr>
        <w:t xml:space="preserve">: a) en su identidad </w:t>
      </w:r>
      <w:r w:rsidR="00EE293F" w:rsidRPr="00A558AF">
        <w:rPr>
          <w:rFonts w:eastAsia="Batang" w:cs="Times"/>
          <w:lang w:val="es-ES"/>
        </w:rPr>
        <w:t>étnica</w:t>
      </w:r>
      <w:r w:rsidR="00EE293F">
        <w:rPr>
          <w:rFonts w:eastAsia="Batang" w:cs="Times"/>
          <w:lang w:val="es-PA"/>
        </w:rPr>
        <w:t xml:space="preserve"> y cultural, lo cual los ha colocado </w:t>
      </w:r>
      <w:r w:rsidR="00EE293F">
        <w:t>en una situación de especial vulnerabilidad</w:t>
      </w:r>
      <w:r w:rsidR="00EE293F">
        <w:rPr>
          <w:rFonts w:eastAsia="Batang" w:cs="Times"/>
          <w:lang w:val="es-ES"/>
        </w:rPr>
        <w:t>,</w:t>
      </w:r>
      <w:r w:rsidR="00EE293F">
        <w:rPr>
          <w:rFonts w:eastAsia="Batang" w:cs="Times"/>
          <w:lang w:val="es-PA"/>
        </w:rPr>
        <w:t xml:space="preserve"> debido a que se</w:t>
      </w:r>
      <w:r w:rsidR="00EE293F" w:rsidRPr="007F21B2">
        <w:rPr>
          <w:rFonts w:eastAsia="Batang" w:cs="Times"/>
          <w:lang w:val="es-PA"/>
        </w:rPr>
        <w:t xml:space="preserve"> ha afectado de forma particularmente grave las </w:t>
      </w:r>
      <w:r w:rsidR="00EE293F" w:rsidRPr="007F21B2">
        <w:rPr>
          <w:rFonts w:eastAsia="Times"/>
          <w:lang w:val="es-PA"/>
        </w:rPr>
        <w:t xml:space="preserve">prácticas </w:t>
      </w:r>
      <w:r w:rsidR="00EE293F">
        <w:rPr>
          <w:rFonts w:eastAsia="Times"/>
          <w:lang w:val="es-PA"/>
        </w:rPr>
        <w:t xml:space="preserve">comunitarias, </w:t>
      </w:r>
      <w:r w:rsidR="00EE293F" w:rsidRPr="007F21B2">
        <w:rPr>
          <w:rFonts w:eastAsia="Times"/>
          <w:lang w:val="es-PA"/>
        </w:rPr>
        <w:t xml:space="preserve">culturales </w:t>
      </w:r>
      <w:r w:rsidR="00EE293F">
        <w:rPr>
          <w:rFonts w:eastAsia="Times"/>
          <w:lang w:val="es-PA"/>
        </w:rPr>
        <w:t>y religiosas tradicionales</w:t>
      </w:r>
      <w:r w:rsidR="00EE293F" w:rsidRPr="007F21B2">
        <w:rPr>
          <w:rFonts w:eastAsia="Times"/>
          <w:lang w:val="es-PA"/>
        </w:rPr>
        <w:t>,</w:t>
      </w:r>
      <w:r w:rsidR="00EE293F" w:rsidRPr="007F21B2">
        <w:rPr>
          <w:rFonts w:eastAsia="Times"/>
        </w:rPr>
        <w:t xml:space="preserve"> la </w:t>
      </w:r>
      <w:r w:rsidR="00EE293F" w:rsidRPr="007F21B2">
        <w:rPr>
          <w:rFonts w:eastAsia="Times"/>
          <w:lang w:val="es-ES"/>
        </w:rPr>
        <w:t>estructura familiar y social</w:t>
      </w:r>
      <w:r w:rsidR="00EE293F">
        <w:rPr>
          <w:rFonts w:eastAsia="Times"/>
          <w:lang w:val="es-ES"/>
        </w:rPr>
        <w:t>,</w:t>
      </w:r>
      <w:r w:rsidR="00EE293F" w:rsidRPr="007F21B2">
        <w:rPr>
          <w:rFonts w:eastAsia="Times"/>
          <w:lang w:val="es-ES"/>
        </w:rPr>
        <w:t xml:space="preserve"> </w:t>
      </w:r>
      <w:r w:rsidR="00EE293F" w:rsidRPr="007F21B2">
        <w:rPr>
          <w:rFonts w:eastAsia="Batang" w:cs="Times"/>
          <w:lang w:val="es-PA"/>
        </w:rPr>
        <w:t>los</w:t>
      </w:r>
      <w:r w:rsidR="00EE293F" w:rsidRPr="007F21B2">
        <w:rPr>
          <w:rFonts w:eastAsia="Times"/>
        </w:rPr>
        <w:t xml:space="preserve"> marcadores de identidad</w:t>
      </w:r>
      <w:r w:rsidR="00EE293F" w:rsidRPr="007F21B2">
        <w:rPr>
          <w:rFonts w:eastAsia="Batang" w:cs="Times"/>
          <w:lang w:val="es-PA"/>
        </w:rPr>
        <w:t>,</w:t>
      </w:r>
      <w:r w:rsidR="00EE293F" w:rsidRPr="007F21B2">
        <w:rPr>
          <w:rFonts w:eastAsia="Batang" w:cs="Times"/>
        </w:rPr>
        <w:t xml:space="preserve"> </w:t>
      </w:r>
      <w:r w:rsidR="00EE293F">
        <w:rPr>
          <w:rFonts w:eastAsia="Batang" w:cs="Times"/>
        </w:rPr>
        <w:t>y</w:t>
      </w:r>
      <w:r w:rsidR="00EE293F" w:rsidRPr="007F21B2">
        <w:rPr>
          <w:rFonts w:eastAsia="Batang" w:cs="Times"/>
        </w:rPr>
        <w:t xml:space="preserve"> </w:t>
      </w:r>
      <w:r w:rsidR="00EE293F" w:rsidRPr="007F21B2">
        <w:rPr>
          <w:rFonts w:eastAsia="Times"/>
        </w:rPr>
        <w:t>el</w:t>
      </w:r>
      <w:r w:rsidR="00EE293F" w:rsidRPr="007F21B2">
        <w:rPr>
          <w:rFonts w:eastAsia="Times"/>
          <w:lang w:val="es-ES"/>
        </w:rPr>
        <w:t xml:space="preserve"> idioma </w:t>
      </w:r>
      <w:r w:rsidR="00EE293F" w:rsidRPr="007F21B2">
        <w:rPr>
          <w:rFonts w:eastAsia="Batang" w:cs="Times"/>
          <w:lang w:val="es-PA"/>
        </w:rPr>
        <w:t xml:space="preserve">del pueblo maya </w:t>
      </w:r>
      <w:proofErr w:type="spellStart"/>
      <w:r w:rsidR="00EE293F" w:rsidRPr="007F21B2">
        <w:rPr>
          <w:rFonts w:eastAsia="Batang" w:cs="Times"/>
          <w:lang w:val="es-PA"/>
        </w:rPr>
        <w:t>achí</w:t>
      </w:r>
      <w:proofErr w:type="spellEnd"/>
      <w:r w:rsidR="00EE293F" w:rsidRPr="007F21B2">
        <w:rPr>
          <w:rFonts w:eastAsia="Batang" w:cs="Times"/>
          <w:lang w:val="es-PA"/>
        </w:rPr>
        <w:t xml:space="preserve"> de </w:t>
      </w:r>
      <w:r w:rsidR="00EE293F">
        <w:rPr>
          <w:rFonts w:eastAsia="Batang" w:cs="Times"/>
          <w:lang w:val="es-PA"/>
        </w:rPr>
        <w:t xml:space="preserve">dicha </w:t>
      </w:r>
      <w:r w:rsidR="00EE293F" w:rsidRPr="007F21B2">
        <w:rPr>
          <w:rFonts w:eastAsia="Batang" w:cs="Times"/>
          <w:lang w:val="es-PA"/>
        </w:rPr>
        <w:t>aldea y comunidades</w:t>
      </w:r>
      <w:r w:rsidR="00EE293F">
        <w:rPr>
          <w:rFonts w:eastAsia="Times"/>
          <w:lang w:val="es-ES"/>
        </w:rPr>
        <w:t>, lo cual</w:t>
      </w:r>
      <w:r w:rsidR="00EE293F" w:rsidRPr="005E74DE">
        <w:rPr>
          <w:rFonts w:eastAsia="Batang" w:cs="Times"/>
          <w:lang w:val="es-PA"/>
        </w:rPr>
        <w:t xml:space="preserve"> ha significado una pérdida</w:t>
      </w:r>
      <w:r w:rsidR="00EE293F" w:rsidRPr="005E74DE">
        <w:rPr>
          <w:rFonts w:eastAsia="Batang" w:cs="Times"/>
        </w:rPr>
        <w:t xml:space="preserve"> de parte de la cultura maya que aún no ha sido evaluada en su totalidad</w:t>
      </w:r>
      <w:r w:rsidR="00EE293F">
        <w:rPr>
          <w:rFonts w:eastAsia="Batang" w:cs="Times"/>
          <w:lang w:val="es-PA"/>
        </w:rPr>
        <w:t xml:space="preserve">; b) en </w:t>
      </w:r>
      <w:r w:rsidR="00EE293F" w:rsidRPr="005E74DE">
        <w:rPr>
          <w:rFonts w:eastAsia="Batang" w:cs="Times"/>
          <w:lang w:val="es-PA"/>
        </w:rPr>
        <w:t>las mujeres</w:t>
      </w:r>
      <w:r w:rsidR="00EE293F">
        <w:rPr>
          <w:rFonts w:eastAsia="Batang" w:cs="Times"/>
          <w:lang w:val="es-PA"/>
        </w:rPr>
        <w:t xml:space="preserve"> </w:t>
      </w:r>
      <w:r w:rsidR="00EE293F" w:rsidRPr="005E74DE">
        <w:rPr>
          <w:lang w:val="es-ES"/>
        </w:rPr>
        <w:t>a nivel cultural, social, familiar e individual</w:t>
      </w:r>
      <w:r w:rsidR="00EE293F">
        <w:rPr>
          <w:rFonts w:eastAsia="Batang" w:cs="Times"/>
          <w:lang w:val="es-ES"/>
        </w:rPr>
        <w:t xml:space="preserve">, </w:t>
      </w:r>
      <w:r w:rsidR="00EE293F">
        <w:rPr>
          <w:rFonts w:eastAsia="Batang" w:cs="Times"/>
          <w:lang w:val="es-PA"/>
        </w:rPr>
        <w:t>lo cual las colocó</w:t>
      </w:r>
      <w:r w:rsidR="00EE293F" w:rsidRPr="005E74DE">
        <w:rPr>
          <w:rFonts w:eastAsia="Batang" w:cs="Times"/>
          <w:lang w:val="es-PA"/>
        </w:rPr>
        <w:t xml:space="preserve"> en una especial situación de riesgo de sufrir otras formas de violencia</w:t>
      </w:r>
      <w:r w:rsidR="00ED4283">
        <w:rPr>
          <w:rFonts w:eastAsia="Batang" w:cs="Times"/>
          <w:lang w:val="es-PA"/>
        </w:rPr>
        <w:t xml:space="preserve">, </w:t>
      </w:r>
      <w:r w:rsidR="009E6213">
        <w:rPr>
          <w:rFonts w:eastAsia="Batang" w:cs="Times"/>
          <w:lang w:val="es-PA"/>
        </w:rPr>
        <w:t xml:space="preserve">y </w:t>
      </w:r>
      <w:r w:rsidR="00ED4283">
        <w:rPr>
          <w:rFonts w:eastAsia="Batang" w:cs="Times"/>
          <w:lang w:val="es-PA"/>
        </w:rPr>
        <w:t xml:space="preserve">quienes </w:t>
      </w:r>
      <w:r w:rsidR="00ED4283" w:rsidRPr="00370D5D">
        <w:rPr>
          <w:rFonts w:eastAsia="Calibri" w:cs="Arial"/>
        </w:rPr>
        <w:t xml:space="preserve">sufrieron agresiones </w:t>
      </w:r>
      <w:r w:rsidR="00E47571">
        <w:rPr>
          <w:rFonts w:eastAsia="Calibri" w:cs="Arial"/>
        </w:rPr>
        <w:t>y</w:t>
      </w:r>
      <w:r w:rsidR="00ED4283" w:rsidRPr="00370D5D">
        <w:rPr>
          <w:rFonts w:eastAsia="Calibri" w:cs="Arial"/>
        </w:rPr>
        <w:t xml:space="preserve"> violaciones sexuales</w:t>
      </w:r>
      <w:r w:rsidR="00E47571">
        <w:rPr>
          <w:rFonts w:eastAsia="Calibri" w:cs="Arial"/>
        </w:rPr>
        <w:t xml:space="preserve"> que</w:t>
      </w:r>
      <w:r w:rsidR="00ED4283" w:rsidRPr="00370D5D">
        <w:rPr>
          <w:rFonts w:eastAsia="Calibri" w:cs="Arial"/>
        </w:rPr>
        <w:t xml:space="preserve"> </w:t>
      </w:r>
      <w:r w:rsidR="00E47571">
        <w:rPr>
          <w:lang w:eastAsia="es-MX"/>
        </w:rPr>
        <w:t>en algunos casos</w:t>
      </w:r>
      <w:r w:rsidR="00ED4283" w:rsidRPr="00370D5D">
        <w:rPr>
          <w:lang w:eastAsia="es-MX"/>
        </w:rPr>
        <w:t xml:space="preserve"> </w:t>
      </w:r>
      <w:r w:rsidR="00ED4283" w:rsidRPr="00370D5D">
        <w:rPr>
          <w:rFonts w:eastAsia="Times"/>
        </w:rPr>
        <w:t>resultaron en embarazos</w:t>
      </w:r>
      <w:r w:rsidR="00ED4283" w:rsidRPr="00370D5D">
        <w:rPr>
          <w:rFonts w:eastAsia="Times" w:cs="Arial"/>
        </w:rPr>
        <w:t xml:space="preserve"> y en el nacimiento de sus hijos</w:t>
      </w:r>
      <w:r w:rsidR="00E47571">
        <w:rPr>
          <w:rFonts w:eastAsia="Times" w:cs="Arial"/>
        </w:rPr>
        <w:t xml:space="preserve">, y aún en las circunstancias de su desplazamiento </w:t>
      </w:r>
      <w:r w:rsidR="00E47571">
        <w:rPr>
          <w:rFonts w:eastAsia="HiddenHorzOCR"/>
        </w:rPr>
        <w:t>t</w:t>
      </w:r>
      <w:r w:rsidR="00E47571" w:rsidRPr="00370D5D">
        <w:rPr>
          <w:color w:val="000000"/>
        </w:rPr>
        <w:t>uvieron que dedicarse a buscar a los desaparecidos</w:t>
      </w:r>
      <w:r w:rsidR="00D83A31">
        <w:rPr>
          <w:color w:val="000000"/>
        </w:rPr>
        <w:t>,</w:t>
      </w:r>
      <w:r w:rsidR="00E47571" w:rsidRPr="00370D5D">
        <w:rPr>
          <w:color w:val="000000"/>
        </w:rPr>
        <w:t xml:space="preserve"> preservar la vida de los que quedaron y garantizar la sobrevivencia </w:t>
      </w:r>
      <w:r w:rsidR="00E47571" w:rsidRPr="00370D5D">
        <w:t>personal</w:t>
      </w:r>
      <w:r w:rsidR="00E47571" w:rsidRPr="00370D5D">
        <w:rPr>
          <w:color w:val="000000"/>
        </w:rPr>
        <w:t xml:space="preserve"> y familiar</w:t>
      </w:r>
      <w:r w:rsidR="00D83A31">
        <w:rPr>
          <w:rFonts w:eastAsia="Batang" w:cs="Times"/>
        </w:rPr>
        <w:t>, y</w:t>
      </w:r>
      <w:r w:rsidR="00D83A31" w:rsidRPr="00370D5D">
        <w:t xml:space="preserve"> junto a sus hijos enfrentar el dolor de la violencia </w:t>
      </w:r>
      <w:r w:rsidR="00D83A31">
        <w:rPr>
          <w:rFonts w:eastAsia="Times" w:cs="Arial"/>
        </w:rPr>
        <w:t>y</w:t>
      </w:r>
      <w:r w:rsidR="00D83A31" w:rsidRPr="00370D5D">
        <w:t xml:space="preserve"> </w:t>
      </w:r>
      <w:r w:rsidR="00D83A31">
        <w:rPr>
          <w:rFonts w:eastAsia="Times"/>
        </w:rPr>
        <w:t>el horror vivido</w:t>
      </w:r>
      <w:r w:rsidR="00EE293F">
        <w:rPr>
          <w:rFonts w:eastAsia="Batang" w:cs="Times"/>
          <w:lang w:val="es-PA"/>
        </w:rPr>
        <w:t xml:space="preserve">; c) en las </w:t>
      </w:r>
      <w:r w:rsidR="00EE293F" w:rsidRPr="00D06A22">
        <w:rPr>
          <w:rFonts w:eastAsia="Times"/>
          <w:spacing w:val="-2"/>
          <w:lang w:val="es-GT"/>
        </w:rPr>
        <w:t>niñas y niños</w:t>
      </w:r>
      <w:r w:rsidR="00EE293F">
        <w:rPr>
          <w:rFonts w:eastAsia="Times"/>
        </w:rPr>
        <w:t xml:space="preserve"> que</w:t>
      </w:r>
      <w:r w:rsidR="00EE293F" w:rsidRPr="00D06A22">
        <w:rPr>
          <w:rFonts w:eastAsia="Times"/>
        </w:rPr>
        <w:t xml:space="preserve"> se vieron forzados a vivir en una cultura que no era la de ellos, lo cual les causó pérdida de identidad y </w:t>
      </w:r>
      <w:r w:rsidR="00EE293F" w:rsidRPr="00D06A22">
        <w:rPr>
          <w:rFonts w:eastAsia="Batang" w:cs="Times"/>
          <w:lang w:val="es-PA"/>
        </w:rPr>
        <w:t>desarraigo</w:t>
      </w:r>
      <w:r w:rsidR="00EE293F" w:rsidRPr="00D06A22">
        <w:rPr>
          <w:rFonts w:eastAsia="Times"/>
        </w:rPr>
        <w:t xml:space="preserve"> cultural, </w:t>
      </w:r>
      <w:r w:rsidR="00EE293F">
        <w:rPr>
          <w:rFonts w:eastAsia="Batang" w:cs="Times"/>
          <w:lang w:val="es-PA"/>
        </w:rPr>
        <w:t>lo cual</w:t>
      </w:r>
      <w:r w:rsidR="00EE293F" w:rsidRPr="00D06A22">
        <w:rPr>
          <w:rFonts w:eastAsia="Batang" w:cs="Times"/>
          <w:lang w:val="es-PA"/>
        </w:rPr>
        <w:t xml:space="preserve"> los</w:t>
      </w:r>
      <w:r w:rsidR="00EE293F">
        <w:rPr>
          <w:rFonts w:eastAsia="Batang" w:cs="Times"/>
          <w:lang w:val="es-PA"/>
        </w:rPr>
        <w:t xml:space="preserve"> colocó </w:t>
      </w:r>
      <w:r w:rsidR="00EE293F">
        <w:t>en una situación de especial vulnerabilidad</w:t>
      </w:r>
      <w:r w:rsidR="003C724E">
        <w:t>,</w:t>
      </w:r>
      <w:r w:rsidR="00EE293F">
        <w:t xml:space="preserve"> y d) en las niñas y niños nacidos de las violaciones sexuales de sus madres en el marco del conflicto armado interno</w:t>
      </w:r>
      <w:r w:rsidR="00EE293F" w:rsidRPr="00F0699F">
        <w:rPr>
          <w:lang w:val="es-ES"/>
        </w:rPr>
        <w:t xml:space="preserve"> y que a su vez fueron víctimas de </w:t>
      </w:r>
      <w:r w:rsidR="00EE293F">
        <w:rPr>
          <w:lang w:val="es-ES"/>
        </w:rPr>
        <w:t>la</w:t>
      </w:r>
      <w:r w:rsidR="00EE293F" w:rsidRPr="00F0699F">
        <w:rPr>
          <w:lang w:val="es-ES"/>
        </w:rPr>
        <w:t xml:space="preserve"> violencia</w:t>
      </w:r>
      <w:r w:rsidR="00EE293F">
        <w:rPr>
          <w:lang w:val="es-ES"/>
        </w:rPr>
        <w:t xml:space="preserve"> de la época</w:t>
      </w:r>
      <w:r w:rsidR="00EE293F" w:rsidRPr="00F0699F">
        <w:rPr>
          <w:lang w:val="es-ES"/>
        </w:rPr>
        <w:t>,</w:t>
      </w:r>
      <w:r w:rsidR="00EE293F">
        <w:rPr>
          <w:lang w:val="es-ES"/>
        </w:rPr>
        <w:t xml:space="preserve"> y</w:t>
      </w:r>
      <w:r w:rsidR="00EE293F" w:rsidRPr="00F0699F">
        <w:rPr>
          <w:lang w:val="es-ES"/>
        </w:rPr>
        <w:t xml:space="preserve"> quienes han sido especialmente vulnerables debido a las posibilidades de enfrentar la estigmatización, discriminación, abandono, infanticidio, u otras formas de violencia.</w:t>
      </w:r>
    </w:p>
    <w:p w:rsidR="008F78BE" w:rsidRPr="00A50EA6" w:rsidRDefault="008F78BE" w:rsidP="008F78BE">
      <w:pPr>
        <w:pStyle w:val="Prrafodelista2"/>
        <w:tabs>
          <w:tab w:val="left" w:pos="720"/>
        </w:tabs>
        <w:ind w:left="0" w:right="-90"/>
        <w:jc w:val="both"/>
        <w:rPr>
          <w:iCs/>
          <w:lang w:val="es-ES"/>
        </w:rPr>
      </w:pPr>
    </w:p>
    <w:p w:rsidR="00EB476F" w:rsidRPr="00D846F0" w:rsidRDefault="00EB476F" w:rsidP="008F78BE">
      <w:pPr>
        <w:pStyle w:val="Prrafodelista2"/>
        <w:tabs>
          <w:tab w:val="left" w:pos="720"/>
        </w:tabs>
        <w:ind w:left="0" w:right="-90"/>
        <w:jc w:val="both"/>
        <w:rPr>
          <w:rFonts w:eastAsia="Times"/>
          <w:spacing w:val="-2"/>
          <w:lang w:val="es-GT"/>
        </w:rPr>
      </w:pPr>
      <w:r w:rsidRPr="005B4E5E">
        <w:rPr>
          <w:rFonts w:eastAsia="Times"/>
        </w:rPr>
        <w:t>Por</w:t>
      </w:r>
      <w:r w:rsidRPr="00A30AF6">
        <w:t xml:space="preserve"> </w:t>
      </w:r>
      <w:r w:rsidR="008F78BE">
        <w:t>otro lado, el</w:t>
      </w:r>
      <w:r w:rsidRPr="00A30AF6">
        <w:t xml:space="preserve"> Tribunal estim</w:t>
      </w:r>
      <w:r w:rsidR="007C6431">
        <w:t>ó</w:t>
      </w:r>
      <w:r w:rsidRPr="00A30AF6">
        <w:t xml:space="preserve"> que</w:t>
      </w:r>
      <w:r w:rsidR="00AF35BD">
        <w:t xml:space="preserve"> no era necesario emitir un pronunciamiento autónomo respecto a</w:t>
      </w:r>
      <w:r w:rsidRPr="00A30AF6">
        <w:t xml:space="preserve"> la alegada violación del artículo </w:t>
      </w:r>
      <w:r>
        <w:t>12</w:t>
      </w:r>
      <w:r w:rsidRPr="00A30AF6">
        <w:t xml:space="preserve"> de la Convención Americana</w:t>
      </w:r>
      <w:r w:rsidR="00AF35BD">
        <w:t>. Además</w:t>
      </w:r>
      <w:r w:rsidR="008F78BE">
        <w:t xml:space="preserve">, </w:t>
      </w:r>
      <w:r w:rsidRPr="00D846F0">
        <w:rPr>
          <w:rFonts w:eastAsia="Times"/>
          <w:lang w:val="es-ES"/>
        </w:rPr>
        <w:t>consider</w:t>
      </w:r>
      <w:r w:rsidR="003C724E">
        <w:rPr>
          <w:rFonts w:eastAsia="Times"/>
          <w:lang w:val="es-ES"/>
        </w:rPr>
        <w:t>ó</w:t>
      </w:r>
      <w:r w:rsidRPr="00D846F0">
        <w:rPr>
          <w:rFonts w:eastAsia="Times"/>
          <w:lang w:val="es-ES"/>
        </w:rPr>
        <w:t xml:space="preserve"> que la aldea </w:t>
      </w:r>
      <w:proofErr w:type="spellStart"/>
      <w:r w:rsidRPr="00D846F0">
        <w:rPr>
          <w:rFonts w:eastAsia="Times"/>
          <w:lang w:val="es-ES"/>
        </w:rPr>
        <w:t>Chichupac</w:t>
      </w:r>
      <w:proofErr w:type="spellEnd"/>
      <w:r w:rsidRPr="00D846F0">
        <w:rPr>
          <w:rFonts w:eastAsia="Times"/>
          <w:lang w:val="es-ES"/>
        </w:rPr>
        <w:t xml:space="preserve"> y comunidades vecinas del Rabinal no puede</w:t>
      </w:r>
      <w:r w:rsidR="00AF35BD">
        <w:rPr>
          <w:rFonts w:eastAsia="Times"/>
          <w:lang w:val="es-ES"/>
        </w:rPr>
        <w:t>n</w:t>
      </w:r>
      <w:r w:rsidRPr="00D846F0">
        <w:rPr>
          <w:rFonts w:eastAsia="Times"/>
          <w:lang w:val="es-ES"/>
        </w:rPr>
        <w:t xml:space="preserve"> asimilarse necesariamente a una “asociación” en los términos del artículo 16 de la Convención Americana. Por lo tanto, el Tribunal estim</w:t>
      </w:r>
      <w:r w:rsidR="003C724E">
        <w:rPr>
          <w:rFonts w:eastAsia="Times"/>
          <w:lang w:val="es-ES"/>
        </w:rPr>
        <w:t>ó</w:t>
      </w:r>
      <w:r w:rsidRPr="00D846F0">
        <w:rPr>
          <w:rFonts w:eastAsia="Times"/>
          <w:lang w:val="es-ES"/>
        </w:rPr>
        <w:t xml:space="preserve"> que dicha disposición no es aplicable a los hechos del presente caso.</w:t>
      </w:r>
    </w:p>
    <w:p w:rsidR="00EB476F" w:rsidRPr="000B1E3E" w:rsidRDefault="00EB476F" w:rsidP="00EB476F">
      <w:pPr>
        <w:pStyle w:val="Prrafodelista2"/>
        <w:tabs>
          <w:tab w:val="left" w:pos="720"/>
        </w:tabs>
        <w:ind w:left="0" w:right="-90"/>
        <w:jc w:val="both"/>
        <w:rPr>
          <w:iCs/>
          <w:sz w:val="16"/>
          <w:lang w:val="es-GT"/>
        </w:rPr>
      </w:pPr>
    </w:p>
    <w:p w:rsidR="00086410" w:rsidRPr="009D7069" w:rsidRDefault="00F64B07" w:rsidP="00086410">
      <w:pPr>
        <w:pStyle w:val="Prrafodelista2"/>
        <w:tabs>
          <w:tab w:val="left" w:pos="720"/>
        </w:tabs>
        <w:ind w:left="0" w:right="-90"/>
        <w:jc w:val="both"/>
        <w:rPr>
          <w:b/>
          <w:i/>
          <w:iCs/>
          <w:lang w:val="es-CR"/>
        </w:rPr>
      </w:pPr>
      <w:r w:rsidRPr="009D7069">
        <w:rPr>
          <w:b/>
          <w:i/>
          <w:iCs/>
          <w:lang w:val="es-CR"/>
        </w:rPr>
        <w:t>V</w:t>
      </w:r>
      <w:r w:rsidR="00086410" w:rsidRPr="009D7069">
        <w:rPr>
          <w:b/>
          <w:i/>
          <w:iCs/>
          <w:lang w:val="es-CR"/>
        </w:rPr>
        <w:t xml:space="preserve">.III. </w:t>
      </w:r>
      <w:r w:rsidR="007A3946" w:rsidRPr="009D7069">
        <w:rPr>
          <w:b/>
          <w:i/>
          <w:iCs/>
          <w:lang w:val="es-CR"/>
        </w:rPr>
        <w:t xml:space="preserve">Garantías judiciales y protección judicial de la </w:t>
      </w:r>
      <w:r w:rsidRPr="009D7069">
        <w:rPr>
          <w:b/>
          <w:i/>
          <w:iCs/>
          <w:lang w:val="es-CR"/>
        </w:rPr>
        <w:t>C</w:t>
      </w:r>
      <w:r w:rsidR="007A3946" w:rsidRPr="009D7069">
        <w:rPr>
          <w:b/>
          <w:i/>
          <w:iCs/>
          <w:lang w:val="es-CR"/>
        </w:rPr>
        <w:t xml:space="preserve">onvención </w:t>
      </w:r>
      <w:r w:rsidRPr="009D7069">
        <w:rPr>
          <w:b/>
          <w:i/>
          <w:iCs/>
          <w:lang w:val="es-CR"/>
        </w:rPr>
        <w:t>A</w:t>
      </w:r>
      <w:r w:rsidR="007A3946" w:rsidRPr="009D7069">
        <w:rPr>
          <w:b/>
          <w:i/>
          <w:iCs/>
          <w:lang w:val="es-CR"/>
        </w:rPr>
        <w:t xml:space="preserve">mericana, e incumplimiento </w:t>
      </w:r>
      <w:r w:rsidR="007A3946" w:rsidRPr="000E37B8">
        <w:rPr>
          <w:b/>
          <w:i/>
          <w:iCs/>
          <w:lang w:val="es-CR"/>
        </w:rPr>
        <w:t xml:space="preserve">de los artículos </w:t>
      </w:r>
      <w:proofErr w:type="spellStart"/>
      <w:r w:rsidR="00315DDF" w:rsidRPr="000E37B8">
        <w:rPr>
          <w:b/>
          <w:i/>
          <w:iCs/>
          <w:lang w:val="es-CR"/>
        </w:rPr>
        <w:t>I</w:t>
      </w:r>
      <w:r w:rsidR="003C724E" w:rsidRPr="000E37B8">
        <w:rPr>
          <w:b/>
          <w:i/>
          <w:iCs/>
          <w:lang w:val="es-CR"/>
        </w:rPr>
        <w:t>.b</w:t>
      </w:r>
      <w:proofErr w:type="spellEnd"/>
      <w:r w:rsidR="00C13EBF">
        <w:rPr>
          <w:b/>
          <w:i/>
          <w:iCs/>
          <w:lang w:val="es-CR"/>
        </w:rPr>
        <w:t>)</w:t>
      </w:r>
      <w:r w:rsidR="007A3946" w:rsidRPr="000E37B8">
        <w:rPr>
          <w:b/>
          <w:i/>
          <w:iCs/>
          <w:lang w:val="es-CR"/>
        </w:rPr>
        <w:t xml:space="preserve"> de la </w:t>
      </w:r>
      <w:r w:rsidR="000E37B8" w:rsidRPr="00C13EBF">
        <w:rPr>
          <w:b/>
        </w:rPr>
        <w:t>Convención Interamericana sobre Desaparición Forzada de Personas</w:t>
      </w:r>
      <w:r w:rsidR="007A3946" w:rsidRPr="000E37B8">
        <w:rPr>
          <w:b/>
          <w:i/>
          <w:iCs/>
          <w:lang w:val="es-CR"/>
        </w:rPr>
        <w:t xml:space="preserve">, 1, 6 y 8 de la </w:t>
      </w:r>
      <w:r w:rsidR="000E37B8" w:rsidRPr="00C13EBF">
        <w:rPr>
          <w:b/>
        </w:rPr>
        <w:t>Convención Interamericana para Prevenir y Sancionar la Tortura</w:t>
      </w:r>
      <w:r w:rsidR="007A3946" w:rsidRPr="000E37B8">
        <w:rPr>
          <w:b/>
          <w:i/>
          <w:iCs/>
          <w:lang w:val="es-CR"/>
        </w:rPr>
        <w:t xml:space="preserve">, y 7.b de la </w:t>
      </w:r>
      <w:r w:rsidR="000E37B8" w:rsidRPr="00C13EBF">
        <w:rPr>
          <w:rFonts w:eastAsia="Calibri"/>
          <w:b/>
        </w:rPr>
        <w:t>Convención Interamericana para Prevenir, Sancionar y Erradicar la Violencia contra la Mujer</w:t>
      </w:r>
    </w:p>
    <w:p w:rsidR="0074539E" w:rsidRPr="000B1E3E" w:rsidRDefault="0074539E" w:rsidP="00086410">
      <w:pPr>
        <w:pStyle w:val="Prrafodelista2"/>
        <w:tabs>
          <w:tab w:val="left" w:pos="720"/>
        </w:tabs>
        <w:ind w:left="0" w:right="-90"/>
        <w:jc w:val="both"/>
        <w:rPr>
          <w:b/>
          <w:i/>
          <w:iCs/>
          <w:sz w:val="16"/>
          <w:lang w:val="es-CR"/>
        </w:rPr>
      </w:pPr>
    </w:p>
    <w:p w:rsidR="003E1F5E" w:rsidRDefault="00903811" w:rsidP="003E1F5E">
      <w:pPr>
        <w:pStyle w:val="Prrafodelista2"/>
        <w:tabs>
          <w:tab w:val="left" w:pos="720"/>
        </w:tabs>
        <w:ind w:left="0" w:right="-90"/>
        <w:jc w:val="both"/>
        <w:rPr>
          <w:rFonts w:cs="Arial"/>
          <w:color w:val="000000"/>
          <w:lang w:val="es-CR"/>
        </w:rPr>
      </w:pPr>
      <w:r w:rsidRPr="00746AA2">
        <w:rPr>
          <w:color w:val="000000"/>
          <w:lang w:val="es-GT"/>
        </w:rPr>
        <w:t xml:space="preserve">El Estado </w:t>
      </w:r>
      <w:r w:rsidR="007C6431">
        <w:rPr>
          <w:color w:val="000000"/>
          <w:lang w:val="es-GT"/>
        </w:rPr>
        <w:t>reconoció su</w:t>
      </w:r>
      <w:r w:rsidRPr="00746AA2">
        <w:rPr>
          <w:color w:val="000000"/>
          <w:lang w:val="es-GT"/>
        </w:rPr>
        <w:t xml:space="preserve"> responsabilidad por la violación de los artículos 8 y 25 de la Convención</w:t>
      </w:r>
      <w:r w:rsidR="00AF35BD">
        <w:rPr>
          <w:color w:val="000000"/>
          <w:lang w:val="es-GT"/>
        </w:rPr>
        <w:t xml:space="preserve"> Americana</w:t>
      </w:r>
      <w:r w:rsidRPr="00746AA2">
        <w:rPr>
          <w:color w:val="000000"/>
          <w:lang w:val="es-GT"/>
        </w:rPr>
        <w:t xml:space="preserve">. Sin embargo, </w:t>
      </w:r>
      <w:r w:rsidR="00352A38">
        <w:rPr>
          <w:color w:val="000000"/>
          <w:lang w:val="es-GT"/>
        </w:rPr>
        <w:t>n</w:t>
      </w:r>
      <w:r w:rsidRPr="00746AA2">
        <w:rPr>
          <w:color w:val="000000"/>
          <w:lang w:val="es-GT"/>
        </w:rPr>
        <w:t xml:space="preserve">o especificó los hechos que generarían dichas violaciones ni en perjuicio de quiénes se configurarían. </w:t>
      </w:r>
    </w:p>
    <w:p w:rsidR="003E1F5E" w:rsidRDefault="003E1F5E" w:rsidP="00041121">
      <w:pPr>
        <w:pStyle w:val="Prrafodelista2"/>
        <w:tabs>
          <w:tab w:val="left" w:pos="720"/>
        </w:tabs>
        <w:ind w:left="0" w:right="-90"/>
        <w:jc w:val="both"/>
        <w:rPr>
          <w:rFonts w:cs="Arial"/>
          <w:color w:val="000000"/>
          <w:lang w:val="es-CR"/>
        </w:rPr>
      </w:pPr>
    </w:p>
    <w:p w:rsidR="00352A38" w:rsidRDefault="003E1F5E" w:rsidP="00041121">
      <w:pPr>
        <w:pStyle w:val="Prrafodelista2"/>
        <w:tabs>
          <w:tab w:val="left" w:pos="720"/>
        </w:tabs>
        <w:ind w:left="0" w:right="-90"/>
        <w:jc w:val="both"/>
        <w:rPr>
          <w:color w:val="000000"/>
          <w:lang w:val="es-PE"/>
        </w:rPr>
      </w:pPr>
      <w:r>
        <w:rPr>
          <w:rFonts w:cs="Arial"/>
          <w:color w:val="000000"/>
          <w:lang w:val="es-CR"/>
        </w:rPr>
        <w:t>La Corte establec</w:t>
      </w:r>
      <w:r w:rsidR="007C6431">
        <w:rPr>
          <w:rFonts w:cs="Arial"/>
          <w:color w:val="000000"/>
          <w:lang w:val="es-CR"/>
        </w:rPr>
        <w:t>ió</w:t>
      </w:r>
      <w:r>
        <w:rPr>
          <w:rFonts w:cs="Arial"/>
          <w:color w:val="000000"/>
          <w:lang w:val="es-CR"/>
        </w:rPr>
        <w:t xml:space="preserve"> que,</w:t>
      </w:r>
      <w:r>
        <w:rPr>
          <w:color w:val="000000"/>
          <w:lang w:val="es-PE"/>
        </w:rPr>
        <w:t xml:space="preserve"> más de 30 años de sucedidos los hechos y 23 años de las primeras denuncias, las investigaciones abiertas en relación con los hechos </w:t>
      </w:r>
      <w:r w:rsidR="0045135C">
        <w:rPr>
          <w:color w:val="000000"/>
          <w:lang w:val="es-PE"/>
        </w:rPr>
        <w:t>del</w:t>
      </w:r>
      <w:r>
        <w:rPr>
          <w:color w:val="000000"/>
          <w:lang w:val="es-PE"/>
        </w:rPr>
        <w:t xml:space="preserve"> caso permanecen en etapa de investigación, se constatan demoras prolongadas y omisiones en el recaudo de prueba, y en la mayoría de los expedientes examinados </w:t>
      </w:r>
      <w:r w:rsidRPr="0007195F">
        <w:rPr>
          <w:rFonts w:eastAsia="Calibri"/>
        </w:rPr>
        <w:t>no se advierten acciones</w:t>
      </w:r>
      <w:r w:rsidRPr="0007195F">
        <w:rPr>
          <w:color w:val="000000"/>
          <w:lang w:val="es-GT"/>
        </w:rPr>
        <w:t xml:space="preserve"> dirigidas a la determinación de los responsables de los hechos</w:t>
      </w:r>
      <w:r>
        <w:rPr>
          <w:color w:val="000000"/>
          <w:lang w:val="es-GT"/>
        </w:rPr>
        <w:t xml:space="preserve">, o bien, solo se realizaron indagaciones respecto de miembros de las </w:t>
      </w:r>
      <w:r w:rsidR="002A3B85">
        <w:rPr>
          <w:color w:val="000000"/>
          <w:lang w:val="es-GT"/>
        </w:rPr>
        <w:t>patrullas de autodefensa civil</w:t>
      </w:r>
      <w:r>
        <w:rPr>
          <w:color w:val="000000"/>
          <w:lang w:val="es-GT"/>
        </w:rPr>
        <w:t xml:space="preserve">, sin que </w:t>
      </w:r>
      <w:r w:rsidRPr="005C3769">
        <w:rPr>
          <w:rFonts w:cs="Calibri,Bold"/>
          <w:bCs/>
          <w:color w:val="000000"/>
          <w:lang w:val="es-CR"/>
        </w:rPr>
        <w:t xml:space="preserve">se haya investigado a </w:t>
      </w:r>
      <w:r>
        <w:rPr>
          <w:rFonts w:cs="Calibri,Bold"/>
          <w:bCs/>
          <w:color w:val="000000"/>
          <w:lang w:val="es-CR"/>
        </w:rPr>
        <w:t>algún miembro del ejército g</w:t>
      </w:r>
      <w:r w:rsidRPr="005C3769">
        <w:rPr>
          <w:rFonts w:cs="Calibri,Bold"/>
          <w:bCs/>
          <w:color w:val="000000"/>
          <w:lang w:val="es-CR"/>
        </w:rPr>
        <w:t>uatemalteco</w:t>
      </w:r>
      <w:r>
        <w:rPr>
          <w:rFonts w:cs="Calibri,Bold"/>
          <w:bCs/>
          <w:color w:val="000000"/>
          <w:lang w:val="es-CR"/>
        </w:rPr>
        <w:t xml:space="preserve">. Lo anterior, pese a que en reiteradas oportunidades se denunció la participación de estos últimos en los hechos y a que los denunciantes brindaron los nombres de los presuntos responsables y los lugares donde podrían ser encontrados. </w:t>
      </w:r>
      <w:r>
        <w:rPr>
          <w:color w:val="000000"/>
          <w:lang w:val="es-PE"/>
        </w:rPr>
        <w:t xml:space="preserve">Así, </w:t>
      </w:r>
      <w:r w:rsidRPr="00D846F0">
        <w:rPr>
          <w:color w:val="000000"/>
          <w:lang w:val="es-PE"/>
        </w:rPr>
        <w:t>la investigación</w:t>
      </w:r>
      <w:r w:rsidR="009600B1">
        <w:rPr>
          <w:color w:val="000000"/>
          <w:lang w:val="es-PE"/>
        </w:rPr>
        <w:t xml:space="preserve"> </w:t>
      </w:r>
      <w:r w:rsidRPr="00D846F0">
        <w:rPr>
          <w:color w:val="000000"/>
          <w:lang w:val="es-PE"/>
        </w:rPr>
        <w:t xml:space="preserve">y eventual sanción de los responsables de los hechos del caso, incluyendo los autores materiales e intelectuales, no </w:t>
      </w:r>
      <w:r w:rsidR="007C6431">
        <w:rPr>
          <w:color w:val="000000"/>
          <w:lang w:val="es-PE"/>
        </w:rPr>
        <w:t>fue</w:t>
      </w:r>
      <w:r w:rsidRPr="00D846F0">
        <w:rPr>
          <w:color w:val="000000"/>
          <w:lang w:val="es-PE"/>
        </w:rPr>
        <w:t xml:space="preserve"> dirigida eficazmente</w:t>
      </w:r>
      <w:r>
        <w:rPr>
          <w:color w:val="000000"/>
          <w:lang w:val="es-PE"/>
        </w:rPr>
        <w:t xml:space="preserve">, </w:t>
      </w:r>
      <w:r w:rsidRPr="00D846F0">
        <w:rPr>
          <w:color w:val="000000"/>
          <w:lang w:val="es-PE"/>
        </w:rPr>
        <w:t>con debida diligencia</w:t>
      </w:r>
      <w:r>
        <w:rPr>
          <w:color w:val="000000"/>
          <w:lang w:val="es-PE"/>
        </w:rPr>
        <w:t xml:space="preserve"> y dentro de un plazo razonable</w:t>
      </w:r>
      <w:r w:rsidRPr="00D846F0">
        <w:rPr>
          <w:color w:val="000000"/>
          <w:lang w:val="es-PE"/>
        </w:rPr>
        <w:t xml:space="preserve"> de modo que se examin</w:t>
      </w:r>
      <w:r w:rsidR="007C6431">
        <w:rPr>
          <w:color w:val="000000"/>
          <w:lang w:val="es-PE"/>
        </w:rPr>
        <w:t>aran</w:t>
      </w:r>
      <w:r w:rsidRPr="00D846F0">
        <w:rPr>
          <w:color w:val="000000"/>
          <w:lang w:val="es-PE"/>
        </w:rPr>
        <w:t xml:space="preserve"> de forma completa y exhaustiva la multiplicidad de graves violaciones a los derechos humanos ocasionadas o alegadas, dentro del particular contexto en el cual sucedieron. </w:t>
      </w:r>
    </w:p>
    <w:p w:rsidR="009600B1" w:rsidRDefault="009600B1" w:rsidP="00041121">
      <w:pPr>
        <w:pStyle w:val="Prrafodelista2"/>
        <w:tabs>
          <w:tab w:val="left" w:pos="720"/>
        </w:tabs>
        <w:ind w:left="0" w:right="-90"/>
        <w:jc w:val="both"/>
        <w:rPr>
          <w:color w:val="000000"/>
          <w:lang w:val="es-PE"/>
        </w:rPr>
      </w:pPr>
    </w:p>
    <w:p w:rsidR="00CC0A98" w:rsidRDefault="00CC0A98" w:rsidP="00041121">
      <w:pPr>
        <w:pStyle w:val="Prrafodelista2"/>
        <w:tabs>
          <w:tab w:val="left" w:pos="720"/>
        </w:tabs>
        <w:ind w:left="0" w:right="-90"/>
        <w:jc w:val="both"/>
        <w:rPr>
          <w:color w:val="000000"/>
          <w:lang w:val="es-PR"/>
        </w:rPr>
      </w:pPr>
      <w:r>
        <w:rPr>
          <w:color w:val="000000"/>
          <w:lang w:val="es-PE"/>
        </w:rPr>
        <w:t xml:space="preserve">En cuanto a este punto, la Corte </w:t>
      </w:r>
      <w:r w:rsidRPr="00CC0A98">
        <w:rPr>
          <w:color w:val="000000"/>
          <w:lang w:val="es-PE"/>
        </w:rPr>
        <w:t>destac</w:t>
      </w:r>
      <w:r w:rsidR="007C6431">
        <w:rPr>
          <w:color w:val="000000"/>
          <w:lang w:val="es-PE"/>
        </w:rPr>
        <w:t>ó</w:t>
      </w:r>
      <w:r w:rsidRPr="00CC0A98">
        <w:rPr>
          <w:color w:val="000000"/>
          <w:lang w:val="es-PE"/>
        </w:rPr>
        <w:t xml:space="preserve"> que los hechos del caso se </w:t>
      </w:r>
      <w:r w:rsidR="0045135C" w:rsidRPr="00CC0A98">
        <w:rPr>
          <w:color w:val="000000"/>
          <w:lang w:val="es-PE"/>
        </w:rPr>
        <w:t>refi</w:t>
      </w:r>
      <w:r w:rsidR="0045135C">
        <w:rPr>
          <w:color w:val="000000"/>
          <w:lang w:val="es-PE"/>
        </w:rPr>
        <w:t>rieron</w:t>
      </w:r>
      <w:r w:rsidRPr="00CC0A98">
        <w:rPr>
          <w:color w:val="000000"/>
          <w:lang w:val="es-PE"/>
        </w:rPr>
        <w:t xml:space="preserve"> a desapariciones forzadas y desplazamiento forzoso, así como ejecuciones, actos de tortura, violencia</w:t>
      </w:r>
      <w:r w:rsidR="007C6431">
        <w:rPr>
          <w:color w:val="000000"/>
          <w:lang w:val="es-PE"/>
        </w:rPr>
        <w:t>,</w:t>
      </w:r>
      <w:r w:rsidRPr="00CC0A98">
        <w:rPr>
          <w:color w:val="000000"/>
          <w:lang w:val="es-PE"/>
        </w:rPr>
        <w:t xml:space="preserve"> violación sexual, y trabajos forzosos, entre otros, dentro de un contexto de violaciones graves, masivas y sistemáticas de los derechos humanos en Guatemala</w:t>
      </w:r>
      <w:r w:rsidR="007C6431">
        <w:rPr>
          <w:color w:val="000000"/>
          <w:lang w:val="es-PE"/>
        </w:rPr>
        <w:t>,</w:t>
      </w:r>
      <w:r>
        <w:rPr>
          <w:color w:val="000000"/>
          <w:lang w:val="es-PE"/>
        </w:rPr>
        <w:t xml:space="preserve"> los cuales </w:t>
      </w:r>
      <w:r w:rsidRPr="00CC0A98">
        <w:rPr>
          <w:color w:val="000000"/>
          <w:lang w:val="es-PE"/>
        </w:rPr>
        <w:t xml:space="preserve">fueron puestos en conocimiento </w:t>
      </w:r>
      <w:r w:rsidRPr="00CC0A98">
        <w:rPr>
          <w:color w:val="000000"/>
          <w:lang w:val="es-PE"/>
        </w:rPr>
        <w:lastRenderedPageBreak/>
        <w:t>del Estado entre los años 1993 y 2010</w:t>
      </w:r>
      <w:r>
        <w:rPr>
          <w:color w:val="000000"/>
          <w:lang w:val="es-PE"/>
        </w:rPr>
        <w:t xml:space="preserve">. </w:t>
      </w:r>
      <w:r w:rsidRPr="00D846F0">
        <w:rPr>
          <w:color w:val="000000"/>
          <w:lang w:val="es-PR"/>
        </w:rPr>
        <w:t>El Tribunal estim</w:t>
      </w:r>
      <w:r w:rsidR="007C6431">
        <w:rPr>
          <w:color w:val="000000"/>
          <w:lang w:val="es-PR"/>
        </w:rPr>
        <w:t>ó</w:t>
      </w:r>
      <w:r w:rsidRPr="00D846F0">
        <w:rPr>
          <w:color w:val="000000"/>
          <w:lang w:val="es-PR"/>
        </w:rPr>
        <w:t xml:space="preserve"> que la falta de investigación </w:t>
      </w:r>
      <w:r w:rsidR="007C6431">
        <w:rPr>
          <w:color w:val="000000"/>
          <w:lang w:val="es-PR"/>
        </w:rPr>
        <w:t xml:space="preserve">de </w:t>
      </w:r>
      <w:r w:rsidRPr="00CC0A98">
        <w:rPr>
          <w:color w:val="000000"/>
          <w:lang w:val="es-PR"/>
        </w:rPr>
        <w:t>graves violaciones de los derechos humanos</w:t>
      </w:r>
      <w:r w:rsidRPr="00D846F0">
        <w:rPr>
          <w:color w:val="000000"/>
          <w:lang w:val="es-PR"/>
        </w:rPr>
        <w:t xml:space="preserve"> constituy</w:t>
      </w:r>
      <w:r>
        <w:rPr>
          <w:color w:val="000000"/>
          <w:lang w:val="es-PR"/>
        </w:rPr>
        <w:t>e</w:t>
      </w:r>
      <w:r w:rsidRPr="00D846F0">
        <w:rPr>
          <w:color w:val="000000"/>
          <w:lang w:val="es-PR"/>
        </w:rPr>
        <w:t xml:space="preserve"> un incumplimiento de las obligaciones del Estado</w:t>
      </w:r>
      <w:r>
        <w:rPr>
          <w:color w:val="000000"/>
          <w:lang w:val="es-PR"/>
        </w:rPr>
        <w:t xml:space="preserve"> </w:t>
      </w:r>
      <w:r w:rsidRPr="00D846F0">
        <w:rPr>
          <w:color w:val="000000"/>
          <w:lang w:val="es-PR"/>
        </w:rPr>
        <w:t xml:space="preserve">de conformidad con la Convención Americana y en este caso a la luz de la </w:t>
      </w:r>
      <w:r w:rsidR="000E37B8">
        <w:t>Convención Interamericana sobre Desaparición Forzada de Personas</w:t>
      </w:r>
      <w:r w:rsidRPr="00D846F0">
        <w:rPr>
          <w:color w:val="000000"/>
          <w:lang w:val="es-PR"/>
        </w:rPr>
        <w:t xml:space="preserve">, la </w:t>
      </w:r>
      <w:r w:rsidR="000E37B8">
        <w:t xml:space="preserve">Convención Interamericana para Prevenir y Sancionar la Tortura </w:t>
      </w:r>
      <w:r w:rsidRPr="00D846F0">
        <w:rPr>
          <w:color w:val="000000"/>
          <w:lang w:val="es-PR"/>
        </w:rPr>
        <w:t xml:space="preserve">y la </w:t>
      </w:r>
      <w:r w:rsidR="000E37B8">
        <w:rPr>
          <w:rFonts w:eastAsia="Calibri"/>
        </w:rPr>
        <w:t>Convención Interamericana para Prevenir, Sancionar y Erradicar la Violencia contra la Mujer</w:t>
      </w:r>
      <w:r w:rsidR="009600B1">
        <w:rPr>
          <w:color w:val="000000"/>
          <w:lang w:val="es-PR"/>
        </w:rPr>
        <w:t>. Asimismo, la Corte</w:t>
      </w:r>
      <w:r>
        <w:rPr>
          <w:color w:val="000000"/>
          <w:lang w:val="es-PR"/>
        </w:rPr>
        <w:t xml:space="preserve"> rec</w:t>
      </w:r>
      <w:r w:rsidR="007C6431">
        <w:rPr>
          <w:color w:val="000000"/>
          <w:lang w:val="es-PR"/>
        </w:rPr>
        <w:t>o</w:t>
      </w:r>
      <w:r>
        <w:rPr>
          <w:color w:val="000000"/>
          <w:lang w:val="es-PR"/>
        </w:rPr>
        <w:t>rd</w:t>
      </w:r>
      <w:r w:rsidR="007C6431">
        <w:rPr>
          <w:color w:val="000000"/>
          <w:lang w:val="es-PR"/>
        </w:rPr>
        <w:t>ó</w:t>
      </w:r>
      <w:r>
        <w:rPr>
          <w:color w:val="000000"/>
          <w:lang w:val="es-PR"/>
        </w:rPr>
        <w:t xml:space="preserve"> su reiterada jurisprudencia en sentido que </w:t>
      </w:r>
      <w:r w:rsidR="00A50EA6" w:rsidRPr="00D846F0">
        <w:rPr>
          <w:color w:val="000000"/>
          <w:lang w:val="es-CR"/>
        </w:rPr>
        <w:t>son inadmisibles</w:t>
      </w:r>
      <w:r w:rsidR="009600B1">
        <w:rPr>
          <w:color w:val="000000"/>
          <w:lang w:val="es-CR"/>
        </w:rPr>
        <w:t xml:space="preserve"> </w:t>
      </w:r>
      <w:r w:rsidR="009D7069" w:rsidRPr="00370D5D">
        <w:rPr>
          <w:color w:val="000000"/>
          <w:lang w:val="es-CR"/>
        </w:rPr>
        <w:t xml:space="preserve"> las disposiciones de amnistía, las </w:t>
      </w:r>
      <w:r w:rsidR="009D7069" w:rsidRPr="00370D5D">
        <w:rPr>
          <w:rFonts w:eastAsia="Calibri"/>
          <w:color w:val="000000"/>
          <w:lang w:val="es-CR"/>
        </w:rPr>
        <w:t>disposiciones</w:t>
      </w:r>
      <w:r w:rsidR="009D7069" w:rsidRPr="00370D5D">
        <w:rPr>
          <w:color w:val="000000"/>
          <w:lang w:val="es-CR"/>
        </w:rPr>
        <w:t xml:space="preserve"> de prescripción, así como otras pretendidas excluyentes de responsabilidad que en realidad sean pretexto para impedir la investigación de violaciones graves de los derechos humanos</w:t>
      </w:r>
      <w:r w:rsidR="009D7069">
        <w:rPr>
          <w:color w:val="000000"/>
          <w:lang w:val="es-CR"/>
        </w:rPr>
        <w:t>.</w:t>
      </w:r>
    </w:p>
    <w:p w:rsidR="00CC0A98" w:rsidRDefault="00CC0A98" w:rsidP="00041121">
      <w:pPr>
        <w:pStyle w:val="Prrafodelista2"/>
        <w:tabs>
          <w:tab w:val="left" w:pos="720"/>
        </w:tabs>
        <w:ind w:left="0" w:right="-90"/>
        <w:jc w:val="both"/>
        <w:rPr>
          <w:color w:val="000000"/>
          <w:lang w:val="es-PR"/>
        </w:rPr>
      </w:pPr>
    </w:p>
    <w:p w:rsidR="00CC0A98" w:rsidRDefault="00CC0A98" w:rsidP="00041121">
      <w:pPr>
        <w:pStyle w:val="Prrafodelista2"/>
        <w:tabs>
          <w:tab w:val="left" w:pos="720"/>
        </w:tabs>
        <w:ind w:left="0" w:right="-90"/>
        <w:jc w:val="both"/>
        <w:rPr>
          <w:rFonts w:eastAsia="Calibri"/>
          <w:color w:val="000000"/>
          <w:lang w:val="es-CR"/>
        </w:rPr>
      </w:pPr>
      <w:r>
        <w:rPr>
          <w:color w:val="000000"/>
          <w:lang w:val="es-PR"/>
        </w:rPr>
        <w:t>En relación con lo anterior, la Corte not</w:t>
      </w:r>
      <w:r w:rsidR="007C6431">
        <w:rPr>
          <w:color w:val="000000"/>
          <w:lang w:val="es-PR"/>
        </w:rPr>
        <w:t>ó</w:t>
      </w:r>
      <w:r>
        <w:rPr>
          <w:color w:val="000000"/>
          <w:lang w:val="es-PR"/>
        </w:rPr>
        <w:t xml:space="preserve"> que </w:t>
      </w:r>
      <w:r w:rsidRPr="00CC0A98">
        <w:rPr>
          <w:color w:val="000000"/>
          <w:lang w:val="es-PR"/>
        </w:rPr>
        <w:t>no tiene competencia temporal para pronunciarse sobre una gran parte de los hechos y las violaciones de derechos human</w:t>
      </w:r>
      <w:r w:rsidR="009600B1">
        <w:rPr>
          <w:color w:val="000000"/>
          <w:lang w:val="es-PR"/>
        </w:rPr>
        <w:t>o</w:t>
      </w:r>
      <w:r w:rsidRPr="00CC0A98">
        <w:rPr>
          <w:color w:val="000000"/>
          <w:lang w:val="es-PR"/>
        </w:rPr>
        <w:t>s alegad</w:t>
      </w:r>
      <w:r w:rsidR="009600B1">
        <w:rPr>
          <w:color w:val="000000"/>
          <w:lang w:val="es-PR"/>
        </w:rPr>
        <w:t>o</w:t>
      </w:r>
      <w:r>
        <w:rPr>
          <w:color w:val="000000"/>
          <w:lang w:val="es-PR"/>
        </w:rPr>
        <w:t xml:space="preserve">s en este caso, por lo que no </w:t>
      </w:r>
      <w:r w:rsidR="009D7069">
        <w:rPr>
          <w:color w:val="000000"/>
          <w:lang w:val="es-PR"/>
        </w:rPr>
        <w:t xml:space="preserve">contó </w:t>
      </w:r>
      <w:r>
        <w:rPr>
          <w:lang w:val="es-PE"/>
        </w:rPr>
        <w:t>con los elementos para realizar una calificación</w:t>
      </w:r>
      <w:r>
        <w:rPr>
          <w:color w:val="000000"/>
          <w:lang w:val="es-PR"/>
        </w:rPr>
        <w:t xml:space="preserve"> de genocidio como la solicitada por la Comisión y los representantes. Sin embargo, constató que </w:t>
      </w:r>
      <w:r w:rsidRPr="00D846F0">
        <w:rPr>
          <w:rFonts w:cs="Arial"/>
          <w:color w:val="000000"/>
          <w:lang w:val="es-CR"/>
        </w:rPr>
        <w:t xml:space="preserve">al menos desde </w:t>
      </w:r>
      <w:r>
        <w:rPr>
          <w:rFonts w:cs="Arial"/>
          <w:color w:val="000000"/>
          <w:lang w:val="es-CR"/>
        </w:rPr>
        <w:t xml:space="preserve">el año </w:t>
      </w:r>
      <w:r w:rsidRPr="00D846F0">
        <w:rPr>
          <w:rFonts w:cs="Arial"/>
          <w:color w:val="000000"/>
          <w:lang w:val="es-CR"/>
        </w:rPr>
        <w:t xml:space="preserve">1996 el Estado tenía conocimiento de que existían posibles crímenes de lesa humanidad en el Municipio de Rabinal, </w:t>
      </w:r>
      <w:r>
        <w:rPr>
          <w:rFonts w:cs="Arial"/>
          <w:color w:val="000000"/>
          <w:lang w:val="es-CR"/>
        </w:rPr>
        <w:t xml:space="preserve">y al menos desde junio de 1999 </w:t>
      </w:r>
      <w:r w:rsidRPr="00D846F0">
        <w:rPr>
          <w:rFonts w:cs="Arial"/>
          <w:color w:val="000000"/>
          <w:lang w:val="es-CR"/>
        </w:rPr>
        <w:t>tenía conocimiento de que los hechos cometidos en este caso posiblemente fueron motivados por conceptos racistas y/o constituyeron actos de genocidio. Por tanto, el Estado tenía la obligación de investigar los hechos del caso tomando en cuenta dichos alegatos, pero no consta que esto se haya hecho. De este modo, Guatemala no puede alegar</w:t>
      </w:r>
      <w:r w:rsidRPr="00D846F0">
        <w:rPr>
          <w:color w:val="000000"/>
          <w:spacing w:val="-3"/>
          <w:lang w:val="es-PR"/>
        </w:rPr>
        <w:t xml:space="preserve"> que “</w:t>
      </w:r>
      <w:r w:rsidRPr="00D846F0">
        <w:rPr>
          <w:rFonts w:eastAsia="Calibri"/>
          <w:color w:val="000000"/>
          <w:lang w:val="es-CR"/>
        </w:rPr>
        <w:t xml:space="preserve">no sería aplicable el delito de genocidio a los hechos del caso”, sin que conste que se haya realizado una investigación en </w:t>
      </w:r>
      <w:r w:rsidRPr="00D846F0">
        <w:rPr>
          <w:rFonts w:cs="Arial"/>
          <w:color w:val="000000"/>
          <w:lang w:val="es-CR"/>
        </w:rPr>
        <w:t>cuanto a este aspecto</w:t>
      </w:r>
      <w:r w:rsidRPr="00D846F0">
        <w:rPr>
          <w:rFonts w:eastAsia="Calibri"/>
          <w:color w:val="000000"/>
          <w:lang w:val="es-CR"/>
        </w:rPr>
        <w:t xml:space="preserve"> a fin de esclarecer los hechos y determinar las responsabilidades que correspondan.</w:t>
      </w:r>
    </w:p>
    <w:p w:rsidR="00A50EA6" w:rsidRDefault="00A50EA6" w:rsidP="00041121">
      <w:pPr>
        <w:pStyle w:val="Prrafodelista2"/>
        <w:tabs>
          <w:tab w:val="left" w:pos="720"/>
        </w:tabs>
        <w:ind w:left="0" w:right="-90"/>
        <w:jc w:val="both"/>
        <w:rPr>
          <w:rFonts w:eastAsia="Calibri"/>
          <w:color w:val="000000"/>
          <w:lang w:val="es-CR"/>
        </w:rPr>
      </w:pPr>
    </w:p>
    <w:p w:rsidR="00A50EA6" w:rsidRDefault="009600B1" w:rsidP="00041121">
      <w:pPr>
        <w:pStyle w:val="Prrafodelista2"/>
        <w:tabs>
          <w:tab w:val="left" w:pos="720"/>
        </w:tabs>
        <w:ind w:left="0" w:right="-90"/>
        <w:jc w:val="both"/>
        <w:rPr>
          <w:color w:val="000000"/>
          <w:lang w:val="es-PR"/>
        </w:rPr>
      </w:pPr>
      <w:r>
        <w:rPr>
          <w:color w:val="000000"/>
          <w:lang w:val="es-PE"/>
        </w:rPr>
        <w:t>Por otra parte</w:t>
      </w:r>
      <w:r w:rsidRPr="00D846F0">
        <w:rPr>
          <w:color w:val="000000"/>
          <w:lang w:val="es-PE"/>
        </w:rPr>
        <w:t xml:space="preserve">, </w:t>
      </w:r>
      <w:r w:rsidR="00A50EA6">
        <w:rPr>
          <w:rFonts w:cs="Arial"/>
          <w:color w:val="000000"/>
          <w:lang w:val="es-CR"/>
        </w:rPr>
        <w:t xml:space="preserve">en cuanto a la falta de investigación de las violaciones sexuales cometidas por agentes de seguridad del </w:t>
      </w:r>
      <w:r w:rsidR="00A50EA6" w:rsidRPr="002C4A0E">
        <w:rPr>
          <w:rFonts w:cs="Arial"/>
          <w:color w:val="000000"/>
          <w:lang w:val="es-CR"/>
        </w:rPr>
        <w:t xml:space="preserve">Estado, </w:t>
      </w:r>
      <w:r w:rsidR="00A50EA6" w:rsidRPr="002C4A0E">
        <w:rPr>
          <w:lang w:val="es-ES"/>
        </w:rPr>
        <w:t>la Corte consider</w:t>
      </w:r>
      <w:r w:rsidR="00FB78A3">
        <w:rPr>
          <w:lang w:val="es-ES"/>
        </w:rPr>
        <w:t>ó</w:t>
      </w:r>
      <w:r w:rsidR="00A50EA6" w:rsidRPr="002C4A0E">
        <w:rPr>
          <w:lang w:val="es-ES"/>
        </w:rPr>
        <w:t xml:space="preserve"> que toda vez que existan indicios de violencia sexual en el marco de un conflicto armado interno, esta no debe ser tratada como un delito colateral, sino que su investigación debe formar parte de cada etapa de la estrategia global de investigación de posibles </w:t>
      </w:r>
      <w:r w:rsidR="00A50EA6">
        <w:rPr>
          <w:lang w:val="es-ES"/>
        </w:rPr>
        <w:t xml:space="preserve">torturas, </w:t>
      </w:r>
      <w:r w:rsidR="00A50EA6" w:rsidRPr="002C4A0E">
        <w:rPr>
          <w:lang w:val="es-ES"/>
        </w:rPr>
        <w:t>crímenes de lesa humanidad, crímenes de guerra o actos de genocidio que pudieran haberse cometido. La investigación de violencia sexual deberá llevarse a cabo respetando las características culturales de las víctimas. Por otra parte, se deberán investigar posibles vínculos entre los responsables directos de la violencia sexual y sus superiores jerárquicos, así como la existencia de componentes que demostrarían una intención discriminatoria y/o la intención cometer un genocidio.</w:t>
      </w:r>
      <w:r w:rsidR="00A50EA6" w:rsidRPr="005A7C9F">
        <w:rPr>
          <w:sz w:val="16"/>
          <w:szCs w:val="16"/>
          <w:lang w:val="es-ES"/>
        </w:rPr>
        <w:t xml:space="preserve"> </w:t>
      </w:r>
      <w:r w:rsidR="00A50EA6" w:rsidRPr="005A7C9F">
        <w:rPr>
          <w:sz w:val="16"/>
          <w:szCs w:val="16"/>
          <w:lang w:val="es-PR"/>
        </w:rPr>
        <w:t xml:space="preserve"> </w:t>
      </w:r>
    </w:p>
    <w:p w:rsidR="00CC0A98" w:rsidRPr="00A50EA6" w:rsidRDefault="00CC0A98" w:rsidP="00041121">
      <w:pPr>
        <w:pStyle w:val="Prrafodelista2"/>
        <w:tabs>
          <w:tab w:val="left" w:pos="720"/>
        </w:tabs>
        <w:ind w:left="0" w:right="-90"/>
        <w:jc w:val="both"/>
        <w:rPr>
          <w:color w:val="000000"/>
          <w:lang w:val="es-PR"/>
        </w:rPr>
      </w:pPr>
    </w:p>
    <w:p w:rsidR="003E1F5E" w:rsidRDefault="009600B1" w:rsidP="00041121">
      <w:pPr>
        <w:pStyle w:val="Prrafodelista2"/>
        <w:tabs>
          <w:tab w:val="left" w:pos="720"/>
        </w:tabs>
        <w:ind w:left="0" w:right="-90"/>
        <w:jc w:val="both"/>
        <w:rPr>
          <w:color w:val="000000"/>
          <w:lang w:val="es-PE"/>
        </w:rPr>
      </w:pPr>
      <w:r>
        <w:rPr>
          <w:rFonts w:cs="Arial"/>
          <w:color w:val="000000"/>
          <w:lang w:val="es-CR"/>
        </w:rPr>
        <w:t>Finalmente, la Corte not</w:t>
      </w:r>
      <w:r w:rsidR="00847938">
        <w:rPr>
          <w:rFonts w:cs="Arial"/>
          <w:color w:val="000000"/>
          <w:lang w:val="es-CR"/>
        </w:rPr>
        <w:t>ó</w:t>
      </w:r>
      <w:r>
        <w:rPr>
          <w:rFonts w:cs="Arial"/>
          <w:color w:val="000000"/>
          <w:lang w:val="es-CR"/>
        </w:rPr>
        <w:t xml:space="preserve"> que </w:t>
      </w:r>
      <w:r w:rsidR="003E1F5E" w:rsidRPr="00D846F0">
        <w:rPr>
          <w:color w:val="000000"/>
          <w:lang w:val="es-PE"/>
        </w:rPr>
        <w:t>la</w:t>
      </w:r>
      <w:r w:rsidR="003E1F5E">
        <w:rPr>
          <w:color w:val="000000"/>
          <w:lang w:val="es-PE"/>
        </w:rPr>
        <w:t>s</w:t>
      </w:r>
      <w:r w:rsidR="003E1F5E" w:rsidRPr="00D846F0">
        <w:rPr>
          <w:color w:val="000000"/>
          <w:lang w:val="es-PE"/>
        </w:rPr>
        <w:t xml:space="preserve"> investigaci</w:t>
      </w:r>
      <w:r w:rsidR="003E1F5E">
        <w:rPr>
          <w:color w:val="000000"/>
          <w:lang w:val="es-PE"/>
        </w:rPr>
        <w:t xml:space="preserve">ones </w:t>
      </w:r>
      <w:r w:rsidR="003E1F5E" w:rsidRPr="00D846F0">
        <w:rPr>
          <w:color w:val="000000"/>
          <w:lang w:val="es-PE"/>
        </w:rPr>
        <w:t>tampoco ha</w:t>
      </w:r>
      <w:r w:rsidR="003E1F5E">
        <w:rPr>
          <w:color w:val="000000"/>
          <w:lang w:val="es-PE"/>
        </w:rPr>
        <w:t>n sid</w:t>
      </w:r>
      <w:r w:rsidR="003E1F5E" w:rsidRPr="00D846F0">
        <w:rPr>
          <w:color w:val="000000"/>
          <w:lang w:val="es-PE"/>
        </w:rPr>
        <w:t>o encaminada</w:t>
      </w:r>
      <w:r w:rsidR="003E1F5E">
        <w:rPr>
          <w:color w:val="000000"/>
          <w:lang w:val="es-PE"/>
        </w:rPr>
        <w:t>s</w:t>
      </w:r>
      <w:r w:rsidR="003E1F5E" w:rsidRPr="00D846F0">
        <w:rPr>
          <w:color w:val="000000"/>
          <w:lang w:val="es-PE"/>
        </w:rPr>
        <w:t xml:space="preserve"> hacia la localización de todas las víctimas desaparecidas, ni han sido debida y oportunamente ide</w:t>
      </w:r>
      <w:r w:rsidR="003E1F5E">
        <w:rPr>
          <w:color w:val="000000"/>
          <w:lang w:val="es-PE"/>
        </w:rPr>
        <w:t xml:space="preserve">ntificados todos los restos </w:t>
      </w:r>
      <w:r w:rsidR="003E1F5E" w:rsidRPr="00D846F0">
        <w:rPr>
          <w:color w:val="000000"/>
          <w:lang w:val="es-PE"/>
        </w:rPr>
        <w:t>encontrados en las diversas exhumaciones realizadas</w:t>
      </w:r>
      <w:r>
        <w:rPr>
          <w:color w:val="000000"/>
          <w:lang w:val="es-PE"/>
        </w:rPr>
        <w:t xml:space="preserve"> </w:t>
      </w:r>
      <w:r w:rsidR="003E1F5E" w:rsidRPr="00D846F0">
        <w:rPr>
          <w:color w:val="000000"/>
          <w:lang w:val="es-PE"/>
        </w:rPr>
        <w:t xml:space="preserve">a partir del impulso procesal de los familiares de las víctimas. </w:t>
      </w:r>
      <w:r w:rsidR="003E1F5E">
        <w:rPr>
          <w:color w:val="000000"/>
          <w:lang w:val="es-PE"/>
        </w:rPr>
        <w:t>Todo ello</w:t>
      </w:r>
      <w:r w:rsidR="003E1F5E" w:rsidRPr="00D846F0">
        <w:rPr>
          <w:color w:val="000000"/>
          <w:lang w:val="es-PE"/>
        </w:rPr>
        <w:t xml:space="preserve"> ha vulnerado</w:t>
      </w:r>
      <w:r w:rsidR="003E1F5E">
        <w:rPr>
          <w:color w:val="000000"/>
          <w:lang w:val="es-PE"/>
        </w:rPr>
        <w:t>, en particular,</w:t>
      </w:r>
      <w:r w:rsidR="003E1F5E" w:rsidRPr="00D846F0">
        <w:rPr>
          <w:color w:val="000000"/>
          <w:lang w:val="es-PE"/>
        </w:rPr>
        <w:t xml:space="preserve"> el derecho a la verdad de</w:t>
      </w:r>
      <w:r w:rsidR="003E1F5E">
        <w:rPr>
          <w:color w:val="000000"/>
          <w:lang w:val="es-PE"/>
        </w:rPr>
        <w:t xml:space="preserve"> los familiares de las víctimas desaparecidas. </w:t>
      </w:r>
    </w:p>
    <w:p w:rsidR="00A50EA6" w:rsidRDefault="00A50EA6" w:rsidP="00915B4A">
      <w:pPr>
        <w:pStyle w:val="Prrafodelista2"/>
        <w:tabs>
          <w:tab w:val="left" w:pos="720"/>
        </w:tabs>
        <w:ind w:left="0" w:right="-90"/>
        <w:jc w:val="both"/>
        <w:rPr>
          <w:rFonts w:cs="Calibri,Bold"/>
          <w:bCs/>
        </w:rPr>
      </w:pPr>
    </w:p>
    <w:p w:rsidR="00330B2C" w:rsidRDefault="009600B1" w:rsidP="00086410">
      <w:pPr>
        <w:pStyle w:val="Prrafodelista2"/>
        <w:tabs>
          <w:tab w:val="left" w:pos="720"/>
        </w:tabs>
        <w:ind w:left="0" w:right="-90"/>
        <w:jc w:val="both"/>
        <w:rPr>
          <w:iCs/>
          <w:lang w:val="es-GT"/>
        </w:rPr>
      </w:pPr>
      <w:r>
        <w:rPr>
          <w:color w:val="000000"/>
        </w:rPr>
        <w:t xml:space="preserve">Por todo lo anterior, </w:t>
      </w:r>
      <w:r w:rsidR="00B4369E">
        <w:rPr>
          <w:color w:val="000000"/>
        </w:rPr>
        <w:t>l</w:t>
      </w:r>
      <w:r w:rsidR="0007181F" w:rsidRPr="0007181F">
        <w:rPr>
          <w:color w:val="000000"/>
        </w:rPr>
        <w:t>a Corte consider</w:t>
      </w:r>
      <w:r w:rsidR="007C6431">
        <w:rPr>
          <w:color w:val="000000"/>
        </w:rPr>
        <w:t>ó</w:t>
      </w:r>
      <w:r w:rsidR="0007181F" w:rsidRPr="0007181F">
        <w:rPr>
          <w:color w:val="000000"/>
        </w:rPr>
        <w:t xml:space="preserve"> que la actuación del Estado en la investigación de los hechos del caso dem</w:t>
      </w:r>
      <w:r w:rsidR="007C6431">
        <w:rPr>
          <w:color w:val="000000"/>
        </w:rPr>
        <w:t>o</w:t>
      </w:r>
      <w:r w:rsidR="0007181F" w:rsidRPr="0007181F">
        <w:rPr>
          <w:color w:val="000000"/>
        </w:rPr>
        <w:t>str</w:t>
      </w:r>
      <w:r w:rsidR="007C6431">
        <w:rPr>
          <w:color w:val="000000"/>
        </w:rPr>
        <w:t>ó</w:t>
      </w:r>
      <w:r w:rsidR="0007181F" w:rsidRPr="0007181F">
        <w:rPr>
          <w:color w:val="000000"/>
        </w:rPr>
        <w:t xml:space="preserve"> una clara voluntad por parte de las autoridades de que los mismos permanezcan en la más absoluta impunidad, lo cual resulta en una responsabilidad agravada por el incumplimiento de su deber de investigar graves violaciones a los derechos humanos.</w:t>
      </w:r>
      <w:r w:rsidR="0007181F">
        <w:rPr>
          <w:color w:val="000000"/>
        </w:rPr>
        <w:t xml:space="preserve"> Así, l</w:t>
      </w:r>
      <w:r w:rsidR="00A50EA6" w:rsidRPr="00D846F0">
        <w:rPr>
          <w:color w:val="000000"/>
          <w:lang w:val="es-PE"/>
        </w:rPr>
        <w:t>a Corte estim</w:t>
      </w:r>
      <w:r w:rsidR="007C6431">
        <w:rPr>
          <w:color w:val="000000"/>
          <w:lang w:val="es-PE"/>
        </w:rPr>
        <w:t>ó</w:t>
      </w:r>
      <w:r w:rsidR="00A50EA6" w:rsidRPr="00D846F0">
        <w:rPr>
          <w:color w:val="000000"/>
          <w:lang w:val="es-PE"/>
        </w:rPr>
        <w:t xml:space="preserve"> que Guatemala es responsable de la violación de los derechos reconocidos en los artículos 8.1 y 25.1 de la Convención Americana, en relación con el artículo 1.1 de la misma, así como por el incumplimiento de las obligaciones establecidas en el artículo </w:t>
      </w:r>
      <w:proofErr w:type="spellStart"/>
      <w:r w:rsidR="00A50EA6" w:rsidRPr="00D846F0">
        <w:rPr>
          <w:color w:val="000000"/>
          <w:lang w:val="es-PE"/>
        </w:rPr>
        <w:t>I.b</w:t>
      </w:r>
      <w:proofErr w:type="spellEnd"/>
      <w:r w:rsidR="00A50EA6" w:rsidRPr="00D846F0">
        <w:rPr>
          <w:color w:val="000000"/>
          <w:lang w:val="es-PE"/>
        </w:rPr>
        <w:t xml:space="preserve">) de la </w:t>
      </w:r>
      <w:r w:rsidR="000E37B8">
        <w:t>Convención Interamericana sobre Desaparición Forzada de Personas</w:t>
      </w:r>
      <w:r w:rsidR="00A50EA6" w:rsidRPr="00D846F0">
        <w:rPr>
          <w:color w:val="000000"/>
          <w:lang w:val="es-PE"/>
        </w:rPr>
        <w:t xml:space="preserve">, el artículo </w:t>
      </w:r>
      <w:r w:rsidR="00A50EA6" w:rsidRPr="00D846F0">
        <w:rPr>
          <w:color w:val="000000"/>
          <w:lang w:val="es-ES"/>
        </w:rPr>
        <w:t xml:space="preserve">7.b de la </w:t>
      </w:r>
      <w:r w:rsidR="000E37B8">
        <w:rPr>
          <w:rFonts w:eastAsia="Calibri"/>
        </w:rPr>
        <w:t>Convención Interamericana para Prevenir, Sancionar y Erradicar la Violencia contra la Mujer</w:t>
      </w:r>
      <w:r w:rsidR="000E37B8">
        <w:t xml:space="preserve"> </w:t>
      </w:r>
      <w:r w:rsidR="00A50EA6">
        <w:rPr>
          <w:color w:val="000000"/>
          <w:lang w:val="es-ES"/>
        </w:rPr>
        <w:t>y</w:t>
      </w:r>
      <w:r w:rsidR="00B4369E">
        <w:rPr>
          <w:color w:val="000000"/>
          <w:lang w:val="es-ES"/>
        </w:rPr>
        <w:t>,</w:t>
      </w:r>
      <w:r w:rsidR="00A50EA6">
        <w:rPr>
          <w:color w:val="000000"/>
          <w:lang w:val="es-ES"/>
        </w:rPr>
        <w:t xml:space="preserve"> en aplicación del principio </w:t>
      </w:r>
      <w:proofErr w:type="spellStart"/>
      <w:r w:rsidR="00A50EA6">
        <w:rPr>
          <w:i/>
          <w:color w:val="000000"/>
          <w:lang w:val="es-ES"/>
        </w:rPr>
        <w:t>iura</w:t>
      </w:r>
      <w:proofErr w:type="spellEnd"/>
      <w:r w:rsidR="00A50EA6">
        <w:rPr>
          <w:i/>
          <w:color w:val="000000"/>
          <w:lang w:val="es-ES"/>
        </w:rPr>
        <w:t xml:space="preserve"> </w:t>
      </w:r>
      <w:proofErr w:type="spellStart"/>
      <w:r w:rsidR="00A50EA6">
        <w:rPr>
          <w:i/>
          <w:color w:val="000000"/>
          <w:lang w:val="es-ES"/>
        </w:rPr>
        <w:t>novit</w:t>
      </w:r>
      <w:proofErr w:type="spellEnd"/>
      <w:r w:rsidR="00A50EA6">
        <w:rPr>
          <w:i/>
          <w:color w:val="000000"/>
          <w:lang w:val="es-ES"/>
        </w:rPr>
        <w:t xml:space="preserve"> curia,</w:t>
      </w:r>
      <w:r w:rsidR="00A50EA6">
        <w:rPr>
          <w:color w:val="000000"/>
          <w:lang w:val="es-ES"/>
        </w:rPr>
        <w:t xml:space="preserve"> también en relación con </w:t>
      </w:r>
      <w:r w:rsidR="00A50EA6" w:rsidRPr="00D846F0">
        <w:rPr>
          <w:color w:val="000000"/>
          <w:lang w:val="es-PE"/>
        </w:rPr>
        <w:t xml:space="preserve">los </w:t>
      </w:r>
      <w:r w:rsidR="00A50EA6" w:rsidRPr="00B42628">
        <w:rPr>
          <w:rFonts w:eastAsia="Batang"/>
          <w:bCs/>
          <w:snapToGrid w:val="0"/>
          <w:color w:val="000000"/>
          <w:kern w:val="32"/>
          <w:lang w:eastAsia="es-ES"/>
        </w:rPr>
        <w:t>artículos</w:t>
      </w:r>
      <w:r w:rsidR="00A50EA6" w:rsidRPr="00D846F0">
        <w:rPr>
          <w:color w:val="000000"/>
          <w:lang w:val="es-PE"/>
        </w:rPr>
        <w:t xml:space="preserve"> 1, 6 y 8 de la </w:t>
      </w:r>
      <w:r w:rsidR="000E37B8">
        <w:t>Convención Interamericana para Prevenir y Sancionar la Tortura</w:t>
      </w:r>
      <w:r w:rsidR="00A50EA6" w:rsidRPr="00D846F0">
        <w:rPr>
          <w:color w:val="000000"/>
          <w:lang w:val="es-PE"/>
        </w:rPr>
        <w:t>,</w:t>
      </w:r>
      <w:r w:rsidR="00A50EA6" w:rsidRPr="00D846F0">
        <w:rPr>
          <w:color w:val="000000"/>
          <w:lang w:val="es-ES"/>
        </w:rPr>
        <w:t xml:space="preserve"> </w:t>
      </w:r>
      <w:r w:rsidR="00A50EA6" w:rsidRPr="00D846F0">
        <w:rPr>
          <w:color w:val="000000"/>
          <w:lang w:val="es-PR"/>
        </w:rPr>
        <w:t xml:space="preserve">en perjuicio de las víctimas del presente caso o sus familiares, en sus respectivas circunstancias. </w:t>
      </w:r>
      <w:r w:rsidR="00124206">
        <w:rPr>
          <w:rFonts w:cs="Calibri,Bold"/>
          <w:bCs/>
        </w:rPr>
        <w:t xml:space="preserve">Por otra parte, la Corte no contó con </w:t>
      </w:r>
      <w:r w:rsidR="00124206" w:rsidRPr="00A50EA6">
        <w:rPr>
          <w:rFonts w:cs="Calibri,Bold"/>
          <w:bCs/>
        </w:rPr>
        <w:t xml:space="preserve">elementos suficientes para pronunciarse sobre </w:t>
      </w:r>
      <w:r w:rsidR="00124206">
        <w:rPr>
          <w:rFonts w:cs="Calibri,Bold"/>
          <w:bCs/>
        </w:rPr>
        <w:t>la alegada violación del</w:t>
      </w:r>
      <w:r w:rsidR="00A50EA6" w:rsidRPr="00A50EA6">
        <w:rPr>
          <w:rFonts w:cs="Calibri,Bold"/>
          <w:bCs/>
        </w:rPr>
        <w:t xml:space="preserve"> artículo 24 de la Convención</w:t>
      </w:r>
      <w:r w:rsidR="00124206">
        <w:rPr>
          <w:rFonts w:cs="Calibri,Bold"/>
          <w:bCs/>
        </w:rPr>
        <w:t>.</w:t>
      </w:r>
    </w:p>
    <w:p w:rsidR="00B23E60" w:rsidRPr="000B1E3E" w:rsidRDefault="00B23E60" w:rsidP="00086410">
      <w:pPr>
        <w:pStyle w:val="Prrafodelista2"/>
        <w:tabs>
          <w:tab w:val="left" w:pos="720"/>
        </w:tabs>
        <w:ind w:left="0" w:right="-90"/>
        <w:jc w:val="both"/>
        <w:rPr>
          <w:iCs/>
          <w:sz w:val="16"/>
          <w:lang w:val="es-GT"/>
        </w:rPr>
      </w:pPr>
    </w:p>
    <w:p w:rsidR="00B23E60" w:rsidRDefault="00B23E60" w:rsidP="00086410">
      <w:pPr>
        <w:pStyle w:val="Prrafodelista2"/>
        <w:tabs>
          <w:tab w:val="left" w:pos="720"/>
        </w:tabs>
        <w:ind w:left="0" w:right="-90"/>
        <w:jc w:val="both"/>
        <w:rPr>
          <w:b/>
          <w:iCs/>
          <w:lang w:val="es-GT"/>
        </w:rPr>
      </w:pPr>
      <w:r>
        <w:rPr>
          <w:b/>
          <w:iCs/>
          <w:lang w:val="es-GT"/>
        </w:rPr>
        <w:lastRenderedPageBreak/>
        <w:t>X. REPARACIONES</w:t>
      </w:r>
    </w:p>
    <w:p w:rsidR="00B23E60" w:rsidRPr="000B1E3E" w:rsidRDefault="00B23E60" w:rsidP="00086410">
      <w:pPr>
        <w:pStyle w:val="Prrafodelista2"/>
        <w:tabs>
          <w:tab w:val="left" w:pos="720"/>
        </w:tabs>
        <w:ind w:left="0" w:right="-90"/>
        <w:jc w:val="both"/>
        <w:rPr>
          <w:b/>
          <w:iCs/>
          <w:sz w:val="16"/>
          <w:lang w:val="es-GT"/>
        </w:rPr>
      </w:pPr>
    </w:p>
    <w:p w:rsidR="00B23E60" w:rsidRPr="00B23E60" w:rsidRDefault="00B23E60" w:rsidP="00086410">
      <w:pPr>
        <w:pStyle w:val="Prrafodelista2"/>
        <w:tabs>
          <w:tab w:val="left" w:pos="720"/>
        </w:tabs>
        <w:ind w:left="0" w:right="-90"/>
        <w:jc w:val="both"/>
        <w:rPr>
          <w:iCs/>
          <w:lang w:val="es-EC"/>
        </w:rPr>
      </w:pPr>
      <w:r>
        <w:rPr>
          <w:iCs/>
          <w:lang w:val="es-GT"/>
        </w:rPr>
        <w:t>La Corte orden</w:t>
      </w:r>
      <w:r w:rsidR="001A2C88">
        <w:rPr>
          <w:iCs/>
          <w:lang w:val="es-GT"/>
        </w:rPr>
        <w:t>ó</w:t>
      </w:r>
      <w:r>
        <w:rPr>
          <w:iCs/>
          <w:lang w:val="es-GT"/>
        </w:rPr>
        <w:t xml:space="preserve"> al Estado: i)</w:t>
      </w:r>
      <w:r w:rsidRPr="008D781E">
        <w:t xml:space="preserve"> remover todos los obstáculos, </w:t>
      </w:r>
      <w:r w:rsidRPr="008D781E">
        <w:rPr>
          <w:i/>
        </w:rPr>
        <w:t>de facto</w:t>
      </w:r>
      <w:r w:rsidRPr="008D781E">
        <w:t xml:space="preserve"> y </w:t>
      </w:r>
      <w:r w:rsidRPr="008D781E">
        <w:rPr>
          <w:i/>
        </w:rPr>
        <w:t>de jure</w:t>
      </w:r>
      <w:r w:rsidRPr="008D781E">
        <w:t xml:space="preserve">, que mantienen la impunidad en este caso, e iniciar, continuar, impulsar y reabrir las investigaciones que sean necesarias para determinar y, en su caso, sancionar a los </w:t>
      </w:r>
      <w:r w:rsidRPr="0094719A">
        <w:t>responsables de l</w:t>
      </w:r>
      <w:r w:rsidR="0094719A" w:rsidRPr="0094719A">
        <w:t>os hechos</w:t>
      </w:r>
      <w:r w:rsidRPr="0094719A">
        <w:t xml:space="preserve"> objeto del presente caso; </w:t>
      </w:r>
      <w:r w:rsidRPr="0094719A">
        <w:rPr>
          <w:rFonts w:cs="Arial"/>
        </w:rPr>
        <w:t>ii)</w:t>
      </w:r>
      <w:r w:rsidRPr="0094719A">
        <w:rPr>
          <w:rFonts w:cs="Verdana"/>
          <w:spacing w:val="-2"/>
          <w:lang w:val="es-PR"/>
        </w:rPr>
        <w:t xml:space="preserve"> </w:t>
      </w:r>
      <w:r w:rsidR="00283B1F" w:rsidRPr="0094719A">
        <w:rPr>
          <w:spacing w:val="-2"/>
        </w:rPr>
        <w:t>realizar o continuar, de manera sistemática</w:t>
      </w:r>
      <w:r w:rsidR="00283B1F" w:rsidRPr="00370D5D">
        <w:rPr>
          <w:spacing w:val="-2"/>
        </w:rPr>
        <w:t xml:space="preserve">, rigurosa y con los recursos humanos y económicos adecuados, </w:t>
      </w:r>
      <w:r w:rsidR="00283B1F" w:rsidRPr="00370D5D">
        <w:rPr>
          <w:rFonts w:cs="Cambria"/>
          <w:spacing w:val="-2"/>
        </w:rPr>
        <w:t>las</w:t>
      </w:r>
      <w:r w:rsidR="00283B1F" w:rsidRPr="00370D5D">
        <w:rPr>
          <w:spacing w:val="-2"/>
        </w:rPr>
        <w:t xml:space="preserve"> acciones necesarias tanto</w:t>
      </w:r>
      <w:r w:rsidR="00283B1F" w:rsidRPr="00370D5D">
        <w:rPr>
          <w:rFonts w:cs="Verdana"/>
          <w:spacing w:val="-2"/>
        </w:rPr>
        <w:t xml:space="preserve"> para </w:t>
      </w:r>
      <w:r w:rsidR="00283B1F" w:rsidRPr="00370D5D">
        <w:t xml:space="preserve">determinar el paradero de los miembros de la aldea de </w:t>
      </w:r>
      <w:proofErr w:type="spellStart"/>
      <w:r w:rsidR="00283B1F" w:rsidRPr="00370D5D">
        <w:t>Chichupac</w:t>
      </w:r>
      <w:proofErr w:type="spellEnd"/>
      <w:r w:rsidR="00283B1F" w:rsidRPr="00370D5D">
        <w:t xml:space="preserve"> y comunidades vecinas desaparecidos forzadamente, así como localizar, exhumar e identificar a las personas que fallecieron y que fueron inhumadas en fosas clandestinas a raíz de los hechos del caso</w:t>
      </w:r>
      <w:r>
        <w:rPr>
          <w:lang w:val="es-PR"/>
        </w:rPr>
        <w:t>; iii)</w:t>
      </w:r>
      <w:r w:rsidR="00283B1F" w:rsidRPr="00124206">
        <w:rPr>
          <w:rFonts w:eastAsia="Times New Roman"/>
          <w:lang w:val="es-CR" w:eastAsia="es-CR" w:bidi="ar-SA"/>
        </w:rPr>
        <w:t xml:space="preserve"> </w:t>
      </w:r>
      <w:r w:rsidR="00B401FD" w:rsidRPr="00124206">
        <w:rPr>
          <w:rFonts w:eastAsia="Times New Roman"/>
          <w:lang w:val="es-CR" w:eastAsia="es-CR" w:bidi="ar-SA"/>
        </w:rPr>
        <w:t>implementar las medidas necesarias para garantizar, en coordinación con los representantes del presente caso, las condiciones adecuadas para</w:t>
      </w:r>
      <w:r w:rsidR="00B401FD" w:rsidRPr="00124206">
        <w:rPr>
          <w:rFonts w:eastAsia="Times New Roman" w:cs="Arial"/>
          <w:lang w:val="es-CR" w:eastAsia="es-CR" w:bidi="ar-SA"/>
        </w:rPr>
        <w:t xml:space="preserve"> que</w:t>
      </w:r>
      <w:r w:rsidR="00B401FD" w:rsidRPr="00124206">
        <w:rPr>
          <w:rFonts w:eastAsia="Times New Roman"/>
          <w:lang w:val="es-CR" w:eastAsia="es-CR" w:bidi="ar-SA"/>
        </w:rPr>
        <w:t xml:space="preserve"> las personas que permanecen desplazadas puedan retornar a sus comunidades de origen, si así lo desean</w:t>
      </w:r>
      <w:r w:rsidR="00283B1F">
        <w:rPr>
          <w:rFonts w:eastAsia="Times New Roman"/>
          <w:lang w:val="es-CR" w:eastAsia="es-CR" w:bidi="ar-SA"/>
        </w:rPr>
        <w:t xml:space="preserve"> (la Corte no supervisará este punto)</w:t>
      </w:r>
      <w:r>
        <w:t xml:space="preserve">; iv) </w:t>
      </w:r>
      <w:r w:rsidRPr="008D781E">
        <w:rPr>
          <w:lang w:val="es-MX"/>
        </w:rPr>
        <w:t>brindar</w:t>
      </w:r>
      <w:r w:rsidRPr="008D781E">
        <w:t xml:space="preserve"> tratamiento médico y psicológico</w:t>
      </w:r>
      <w:r w:rsidR="00283B1F">
        <w:t xml:space="preserve"> y/o psiquiátrico</w:t>
      </w:r>
      <w:r w:rsidRPr="008D781E">
        <w:t xml:space="preserve"> a las víctimas del caso</w:t>
      </w:r>
      <w:r>
        <w:t>; v)</w:t>
      </w:r>
      <w:r w:rsidRPr="008D781E">
        <w:t xml:space="preserve"> </w:t>
      </w:r>
      <w:r w:rsidRPr="008D781E">
        <w:rPr>
          <w:lang w:val="es-MX"/>
        </w:rPr>
        <w:t>realizar</w:t>
      </w:r>
      <w:r w:rsidRPr="008D781E">
        <w:t xml:space="preserve"> un acto público de reconocimiento de responsabilidad internacional por los hechos del caso</w:t>
      </w:r>
      <w:r w:rsidR="00124206">
        <w:t>;</w:t>
      </w:r>
      <w:r>
        <w:t xml:space="preserve"> vi)</w:t>
      </w:r>
      <w:r w:rsidR="00283B1F">
        <w:t xml:space="preserve"> publicar la Sentencia y su resumen oficial en idiomas español y maya </w:t>
      </w:r>
      <w:proofErr w:type="spellStart"/>
      <w:r w:rsidR="00283B1F">
        <w:t>achí</w:t>
      </w:r>
      <w:proofErr w:type="spellEnd"/>
      <w:r w:rsidR="0045135C">
        <w:t>; vii)</w:t>
      </w:r>
      <w:r>
        <w:t xml:space="preserve"> </w:t>
      </w:r>
      <w:r w:rsidR="00D50DA3" w:rsidRPr="00370D5D">
        <w:t>incluir formación</w:t>
      </w:r>
      <w:r w:rsidR="00D50DA3" w:rsidRPr="00370D5D">
        <w:rPr>
          <w:b/>
        </w:rPr>
        <w:t xml:space="preserve"> </w:t>
      </w:r>
      <w:r w:rsidR="00D50DA3" w:rsidRPr="00370D5D">
        <w:t>en derechos humanos y derecho internacional humanitario de forma permanente en el pensum de los diferentes centros de formación, profesionalización vocacional y capacitación del Ejército de Guatemala</w:t>
      </w:r>
      <w:r>
        <w:t>; vii</w:t>
      </w:r>
      <w:r w:rsidR="0045135C">
        <w:t>i</w:t>
      </w:r>
      <w:r>
        <w:t xml:space="preserve">) </w:t>
      </w:r>
      <w:r w:rsidR="00D50DA3" w:rsidRPr="00370D5D">
        <w:rPr>
          <w:rFonts w:eastAsia="Batang" w:cs="Times"/>
        </w:rPr>
        <w:t>diseñar e implementar, en los pensum permanente de formación de la carrera judicial y de la carrera fiscal, respectivamente, programas de educación en derechos humanos y derecho internacional humanitario</w:t>
      </w:r>
      <w:r w:rsidRPr="0007181F">
        <w:rPr>
          <w:rFonts w:eastAsia="Batang" w:cs="Times"/>
        </w:rPr>
        <w:t>;</w:t>
      </w:r>
      <w:r w:rsidR="001A2C88">
        <w:rPr>
          <w:rFonts w:eastAsia="Batang" w:cs="Times"/>
        </w:rPr>
        <w:t xml:space="preserve"> </w:t>
      </w:r>
      <w:r w:rsidR="005D6027">
        <w:rPr>
          <w:rFonts w:eastAsia="Batang" w:cs="Times"/>
        </w:rPr>
        <w:t>ix</w:t>
      </w:r>
      <w:r w:rsidR="001A2C88">
        <w:rPr>
          <w:rFonts w:eastAsia="Batang" w:cs="Times"/>
        </w:rPr>
        <w:t xml:space="preserve">) </w:t>
      </w:r>
      <w:r w:rsidR="001A2C88" w:rsidRPr="00917CD8">
        <w:rPr>
          <w:rFonts w:eastAsia="Batang" w:cs="Times"/>
        </w:rPr>
        <w:t>incorporar al currículo del Sistema Educativo Nacional, en todos sus niveles, un programa de educación cuyo contenido refleje la naturaleza pluricultural y multilingüe de la sociedad guatemalteca, impulsando el respeto y el conocimiento de las diversas culturas indígenas, incluyendo sus cosmovisiones, historias, lenguas, conocimientos, valores, culturas, prácticas y formas de vida</w:t>
      </w:r>
      <w:r w:rsidR="001A2C88">
        <w:rPr>
          <w:rFonts w:eastAsia="Batang" w:cs="Times"/>
        </w:rPr>
        <w:t>; x</w:t>
      </w:r>
      <w:r w:rsidRPr="0007181F">
        <w:rPr>
          <w:rFonts w:eastAsia="Batang" w:cs="Times"/>
        </w:rPr>
        <w:t>)</w:t>
      </w:r>
      <w:r w:rsidR="0045135C">
        <w:rPr>
          <w:rFonts w:eastAsia="Batang" w:cs="Times"/>
        </w:rPr>
        <w:t xml:space="preserve"> </w:t>
      </w:r>
      <w:r w:rsidR="0045135C" w:rsidRPr="00370D5D">
        <w:t>fortalecer los organismos existentes o los que vaya a crear con el fin de erradicar la discriminación racial y étnica</w:t>
      </w:r>
      <w:r w:rsidR="0045135C">
        <w:t>, y x</w:t>
      </w:r>
      <w:r w:rsidR="005D6027">
        <w:t>i</w:t>
      </w:r>
      <w:r w:rsidR="0045135C">
        <w:t>)</w:t>
      </w:r>
      <w:r w:rsidRPr="0007181F">
        <w:rPr>
          <w:rFonts w:eastAsia="Batang" w:cs="Times"/>
        </w:rPr>
        <w:t xml:space="preserve"> p</w:t>
      </w:r>
      <w:r w:rsidRPr="0007181F">
        <w:t>agar las cantidades</w:t>
      </w:r>
      <w:r w:rsidRPr="008D781E">
        <w:t xml:space="preserve"> fijadas en la Sentencia por </w:t>
      </w:r>
      <w:r w:rsidRPr="008D781E">
        <w:rPr>
          <w:lang w:val="es-MX"/>
        </w:rPr>
        <w:t>concepto</w:t>
      </w:r>
      <w:r w:rsidRPr="008D781E">
        <w:t xml:space="preserve"> de indemnizaciones por daño material e inmaterial, y por el reintegro de costas y gastos</w:t>
      </w:r>
      <w:r w:rsidR="0045135C">
        <w:t>.</w:t>
      </w:r>
    </w:p>
    <w:sectPr w:rsidR="00B23E60" w:rsidRPr="00B23E60" w:rsidSect="000B1E3E">
      <w:headerReference w:type="default" r:id="rId12"/>
      <w:headerReference w:type="first" r:id="rId13"/>
      <w:pgSz w:w="12240" w:h="15840"/>
      <w:pgMar w:top="1224" w:right="1224" w:bottom="1224"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8D" w:rsidRDefault="008B438D" w:rsidP="00780D6D">
      <w:pPr>
        <w:spacing w:line="240" w:lineRule="auto"/>
      </w:pPr>
      <w:r>
        <w:separator/>
      </w:r>
    </w:p>
  </w:endnote>
  <w:endnote w:type="continuationSeparator" w:id="0">
    <w:p w:rsidR="008B438D" w:rsidRDefault="008B438D" w:rsidP="00780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8D" w:rsidRDefault="008B438D" w:rsidP="00780D6D">
      <w:pPr>
        <w:spacing w:line="240" w:lineRule="auto"/>
      </w:pPr>
      <w:r>
        <w:separator/>
      </w:r>
    </w:p>
  </w:footnote>
  <w:footnote w:type="continuationSeparator" w:id="0">
    <w:p w:rsidR="008B438D" w:rsidRDefault="008B438D" w:rsidP="00780D6D">
      <w:pPr>
        <w:spacing w:line="240" w:lineRule="auto"/>
      </w:pPr>
      <w:r>
        <w:continuationSeparator/>
      </w:r>
    </w:p>
  </w:footnote>
  <w:footnote w:id="1">
    <w:p w:rsidR="009264FB" w:rsidRPr="00987267" w:rsidRDefault="009264FB" w:rsidP="00987267">
      <w:pPr>
        <w:tabs>
          <w:tab w:val="left" w:pos="720"/>
        </w:tabs>
        <w:spacing w:line="240" w:lineRule="auto"/>
        <w:rPr>
          <w:sz w:val="16"/>
          <w:szCs w:val="16"/>
          <w:lang w:val="es-PR"/>
        </w:rPr>
      </w:pPr>
      <w:r w:rsidRPr="00987267">
        <w:rPr>
          <w:rStyle w:val="FootnoteReference"/>
          <w:sz w:val="16"/>
          <w:szCs w:val="16"/>
        </w:rPr>
        <w:footnoteRef/>
      </w:r>
      <w:r w:rsidRPr="00987267">
        <w:rPr>
          <w:sz w:val="16"/>
          <w:szCs w:val="16"/>
        </w:rPr>
        <w:t xml:space="preserve"> </w:t>
      </w:r>
      <w:r w:rsidRPr="00987267">
        <w:rPr>
          <w:sz w:val="16"/>
          <w:szCs w:val="16"/>
          <w:lang w:val="es-PR"/>
        </w:rPr>
        <w:tab/>
      </w:r>
      <w:r w:rsidRPr="00987267">
        <w:rPr>
          <w:rFonts w:eastAsia="Calibri" w:cs="Verdana"/>
          <w:spacing w:val="-2"/>
          <w:sz w:val="16"/>
          <w:szCs w:val="16"/>
          <w:lang w:val="es-PR"/>
        </w:rPr>
        <w:t>I</w:t>
      </w:r>
      <w:proofErr w:type="spellStart"/>
      <w:r w:rsidRPr="00987267">
        <w:rPr>
          <w:rFonts w:eastAsia="Calibri" w:cs="Verdana"/>
          <w:spacing w:val="-2"/>
          <w:sz w:val="16"/>
          <w:szCs w:val="16"/>
        </w:rPr>
        <w:t>ntegrada</w:t>
      </w:r>
      <w:proofErr w:type="spellEnd"/>
      <w:r w:rsidRPr="00987267">
        <w:rPr>
          <w:rFonts w:eastAsia="Calibri" w:cs="Verdana"/>
          <w:spacing w:val="-2"/>
          <w:sz w:val="16"/>
          <w:szCs w:val="16"/>
        </w:rPr>
        <w:t xml:space="preserve"> por los siguientes jueces: </w:t>
      </w:r>
      <w:r w:rsidRPr="00987267">
        <w:rPr>
          <w:rFonts w:eastAsia="Calibri" w:cs="Verdana"/>
          <w:spacing w:val="-2"/>
          <w:sz w:val="16"/>
          <w:szCs w:val="16"/>
          <w:lang w:val="es-PR"/>
        </w:rPr>
        <w:t xml:space="preserve">Roberto F. Caldas, Presidente; </w:t>
      </w:r>
      <w:r w:rsidRPr="00987267">
        <w:rPr>
          <w:rFonts w:eastAsia="Calibri" w:cs="Verdana"/>
          <w:spacing w:val="-2"/>
          <w:sz w:val="16"/>
          <w:szCs w:val="16"/>
          <w:lang w:val="pt-BR"/>
        </w:rPr>
        <w:t xml:space="preserve">Eduardo Ferrer Mac-Gregor Poisot, Vicepresidente; </w:t>
      </w:r>
      <w:r w:rsidRPr="00987267">
        <w:rPr>
          <w:rFonts w:eastAsia="Calibri" w:cs="Verdana"/>
          <w:spacing w:val="-2"/>
          <w:sz w:val="16"/>
          <w:szCs w:val="16"/>
        </w:rPr>
        <w:t xml:space="preserve">Eduardo Vio Grossi, Juez, Humberto Antonio Sierra Porto, Juez; Elizabeth Odio Benito; Jueza; Eugenio Raúl </w:t>
      </w:r>
      <w:proofErr w:type="spellStart"/>
      <w:r w:rsidRPr="00987267">
        <w:rPr>
          <w:rFonts w:eastAsia="Calibri" w:cs="Verdana"/>
          <w:spacing w:val="-2"/>
          <w:sz w:val="16"/>
          <w:szCs w:val="16"/>
        </w:rPr>
        <w:t>Zaffaroni</w:t>
      </w:r>
      <w:proofErr w:type="spellEnd"/>
      <w:r w:rsidRPr="00987267">
        <w:rPr>
          <w:rFonts w:eastAsia="Calibri" w:cs="Verdana"/>
          <w:spacing w:val="-2"/>
          <w:sz w:val="16"/>
          <w:szCs w:val="16"/>
        </w:rPr>
        <w:t xml:space="preserve">, Juez, y L. Patricio Pazmiño Freire, Juez. </w:t>
      </w:r>
      <w:r w:rsidRPr="00987267">
        <w:rPr>
          <w:sz w:val="16"/>
          <w:szCs w:val="16"/>
        </w:rPr>
        <w:t>Presentes, además, el Secretario Pablo Saavedra Alessandri y la Secretaria Adjunta Emilia Segares Rodríguez.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49556"/>
      <w:docPartObj>
        <w:docPartGallery w:val="Page Numbers (Top of Page)"/>
        <w:docPartUnique/>
      </w:docPartObj>
    </w:sdtPr>
    <w:sdtEndPr>
      <w:rPr>
        <w:noProof/>
        <w:sz w:val="20"/>
      </w:rPr>
    </w:sdtEndPr>
    <w:sdtContent>
      <w:p w:rsidR="00B401FD" w:rsidRPr="000B1E3E" w:rsidRDefault="00B401FD">
        <w:pPr>
          <w:pStyle w:val="Header"/>
          <w:jc w:val="center"/>
          <w:rPr>
            <w:sz w:val="20"/>
          </w:rPr>
        </w:pPr>
        <w:r w:rsidRPr="000B1E3E">
          <w:rPr>
            <w:sz w:val="20"/>
          </w:rPr>
          <w:fldChar w:fldCharType="begin"/>
        </w:r>
        <w:r w:rsidRPr="000B1E3E">
          <w:rPr>
            <w:sz w:val="20"/>
          </w:rPr>
          <w:instrText xml:space="preserve"> PAGE   \* MERGEFORMAT </w:instrText>
        </w:r>
        <w:r w:rsidRPr="000B1E3E">
          <w:rPr>
            <w:sz w:val="20"/>
          </w:rPr>
          <w:fldChar w:fldCharType="separate"/>
        </w:r>
        <w:r w:rsidR="00747A39">
          <w:rPr>
            <w:noProof/>
            <w:sz w:val="20"/>
          </w:rPr>
          <w:t>8</w:t>
        </w:r>
        <w:r w:rsidRPr="000B1E3E">
          <w:rPr>
            <w:noProof/>
            <w:sz w:val="20"/>
          </w:rPr>
          <w:fldChar w:fldCharType="end"/>
        </w:r>
      </w:p>
    </w:sdtContent>
  </w:sdt>
  <w:p w:rsidR="00B401FD" w:rsidRDefault="00B40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FD" w:rsidRPr="000B1E3E" w:rsidRDefault="00B401FD" w:rsidP="000B1E3E">
    <w:pPr>
      <w:pStyle w:val="Header"/>
      <w:jc w:val="right"/>
      <w:rPr>
        <w:i/>
        <w:sz w:val="16"/>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187A"/>
    <w:multiLevelType w:val="hybridMultilevel"/>
    <w:tmpl w:val="62BE95CC"/>
    <w:lvl w:ilvl="0" w:tplc="BC489D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0FF8"/>
    <w:multiLevelType w:val="hybridMultilevel"/>
    <w:tmpl w:val="0EB46236"/>
    <w:lvl w:ilvl="0" w:tplc="C55A862A">
      <w:start w:val="1"/>
      <w:numFmt w:val="decimal"/>
      <w:lvlText w:val="%1."/>
      <w:lvlJc w:val="left"/>
      <w:pPr>
        <w:tabs>
          <w:tab w:val="num" w:pos="14735"/>
        </w:tabs>
      </w:pPr>
      <w:rPr>
        <w:rFonts w:ascii="Verdana" w:eastAsia="Times New Roman" w:hAnsi="Verdana"/>
        <w:b w:val="0"/>
        <w:bCs w:val="0"/>
        <w:i w:val="0"/>
        <w:iCs w:val="0"/>
        <w:strike w:val="0"/>
        <w:color w:val="auto"/>
        <w:sz w:val="20"/>
        <w:szCs w:val="20"/>
        <w:lang w:val="es-CR"/>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4157F73"/>
    <w:multiLevelType w:val="hybridMultilevel"/>
    <w:tmpl w:val="93AA5BE8"/>
    <w:lvl w:ilvl="0" w:tplc="64B4C796">
      <w:start w:val="207"/>
      <w:numFmt w:val="decimal"/>
      <w:lvlText w:val="%1."/>
      <w:lvlJc w:val="left"/>
      <w:pPr>
        <w:tabs>
          <w:tab w:val="num" w:pos="14735"/>
        </w:tabs>
        <w:ind w:left="0" w:firstLine="0"/>
      </w:pPr>
      <w:rPr>
        <w:rFonts w:ascii="Verdana" w:eastAsia="Times New Roman" w:hAnsi="Verdana" w:hint="default"/>
        <w:b w:val="0"/>
        <w:bCs w:val="0"/>
        <w:i w:val="0"/>
        <w:iCs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616061"/>
    <w:multiLevelType w:val="hybridMultilevel"/>
    <w:tmpl w:val="F2F89A10"/>
    <w:lvl w:ilvl="0" w:tplc="EF7639DE">
      <w:start w:val="1"/>
      <w:numFmt w:val="upperLetter"/>
      <w:lvlText w:val="%1."/>
      <w:lvlJc w:val="left"/>
      <w:pPr>
        <w:ind w:left="720" w:hanging="360"/>
      </w:pPr>
      <w:rPr>
        <w:rFonts w:cs="Arial"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5C681E"/>
    <w:multiLevelType w:val="hybridMultilevel"/>
    <w:tmpl w:val="F2F89A10"/>
    <w:lvl w:ilvl="0" w:tplc="EF7639DE">
      <w:start w:val="1"/>
      <w:numFmt w:val="upperLetter"/>
      <w:lvlText w:val="%1."/>
      <w:lvlJc w:val="left"/>
      <w:pPr>
        <w:ind w:left="720" w:hanging="360"/>
      </w:pPr>
      <w:rPr>
        <w:rFonts w:cs="Arial"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3202E9"/>
    <w:multiLevelType w:val="hybridMultilevel"/>
    <w:tmpl w:val="0EB46236"/>
    <w:lvl w:ilvl="0" w:tplc="C55A862A">
      <w:start w:val="1"/>
      <w:numFmt w:val="decimal"/>
      <w:lvlText w:val="%1."/>
      <w:lvlJc w:val="left"/>
      <w:pPr>
        <w:tabs>
          <w:tab w:val="num" w:pos="14735"/>
        </w:tabs>
      </w:pPr>
      <w:rPr>
        <w:rFonts w:ascii="Verdana" w:eastAsia="Times New Roman" w:hAnsi="Verdana"/>
        <w:b w:val="0"/>
        <w:bCs w:val="0"/>
        <w:i w:val="0"/>
        <w:iCs w:val="0"/>
        <w:strike w:val="0"/>
        <w:color w:val="auto"/>
        <w:sz w:val="20"/>
        <w:szCs w:val="20"/>
        <w:lang w:val="es-CR"/>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F0"/>
    <w:rsid w:val="000023E1"/>
    <w:rsid w:val="0001603E"/>
    <w:rsid w:val="000170A5"/>
    <w:rsid w:val="000227EB"/>
    <w:rsid w:val="00041121"/>
    <w:rsid w:val="00046D3A"/>
    <w:rsid w:val="00051BBE"/>
    <w:rsid w:val="0007181F"/>
    <w:rsid w:val="00083658"/>
    <w:rsid w:val="00086410"/>
    <w:rsid w:val="00094A78"/>
    <w:rsid w:val="00095AC1"/>
    <w:rsid w:val="00097901"/>
    <w:rsid w:val="000A3C18"/>
    <w:rsid w:val="000A64DA"/>
    <w:rsid w:val="000B1E3E"/>
    <w:rsid w:val="000C7340"/>
    <w:rsid w:val="000D3DAF"/>
    <w:rsid w:val="000D4D45"/>
    <w:rsid w:val="000D560E"/>
    <w:rsid w:val="000E37B8"/>
    <w:rsid w:val="00111199"/>
    <w:rsid w:val="0011445D"/>
    <w:rsid w:val="00124206"/>
    <w:rsid w:val="00152B2D"/>
    <w:rsid w:val="0018211E"/>
    <w:rsid w:val="001A2C88"/>
    <w:rsid w:val="001A40F6"/>
    <w:rsid w:val="001B17C2"/>
    <w:rsid w:val="001D616D"/>
    <w:rsid w:val="001E2C8D"/>
    <w:rsid w:val="001E5A6C"/>
    <w:rsid w:val="001F0DF8"/>
    <w:rsid w:val="001F448D"/>
    <w:rsid w:val="00222B0B"/>
    <w:rsid w:val="00232490"/>
    <w:rsid w:val="00246E33"/>
    <w:rsid w:val="002476B7"/>
    <w:rsid w:val="00250907"/>
    <w:rsid w:val="00256DC9"/>
    <w:rsid w:val="002826EE"/>
    <w:rsid w:val="00283B1F"/>
    <w:rsid w:val="002878D6"/>
    <w:rsid w:val="002A3B85"/>
    <w:rsid w:val="002A4349"/>
    <w:rsid w:val="002D4060"/>
    <w:rsid w:val="002F424C"/>
    <w:rsid w:val="0030787B"/>
    <w:rsid w:val="00307EAE"/>
    <w:rsid w:val="00315DDF"/>
    <w:rsid w:val="00317F38"/>
    <w:rsid w:val="0032127E"/>
    <w:rsid w:val="0032790C"/>
    <w:rsid w:val="003301BA"/>
    <w:rsid w:val="00330B2C"/>
    <w:rsid w:val="00351174"/>
    <w:rsid w:val="00352A38"/>
    <w:rsid w:val="0036111C"/>
    <w:rsid w:val="00366DA2"/>
    <w:rsid w:val="00367D3B"/>
    <w:rsid w:val="00374BF5"/>
    <w:rsid w:val="003921FC"/>
    <w:rsid w:val="00395B3B"/>
    <w:rsid w:val="003A2667"/>
    <w:rsid w:val="003B083B"/>
    <w:rsid w:val="003C24C9"/>
    <w:rsid w:val="003C724E"/>
    <w:rsid w:val="003D39AF"/>
    <w:rsid w:val="003E1F5E"/>
    <w:rsid w:val="003F436A"/>
    <w:rsid w:val="003F442E"/>
    <w:rsid w:val="003F5FE1"/>
    <w:rsid w:val="0041003D"/>
    <w:rsid w:val="00416A15"/>
    <w:rsid w:val="00426659"/>
    <w:rsid w:val="0045135C"/>
    <w:rsid w:val="0045167B"/>
    <w:rsid w:val="00454183"/>
    <w:rsid w:val="00475C2E"/>
    <w:rsid w:val="00491508"/>
    <w:rsid w:val="00493977"/>
    <w:rsid w:val="004B140D"/>
    <w:rsid w:val="004C5051"/>
    <w:rsid w:val="004D1814"/>
    <w:rsid w:val="004D2CF1"/>
    <w:rsid w:val="004D5301"/>
    <w:rsid w:val="004D5889"/>
    <w:rsid w:val="004D592A"/>
    <w:rsid w:val="004E55D8"/>
    <w:rsid w:val="00504CF6"/>
    <w:rsid w:val="00505E18"/>
    <w:rsid w:val="00516C0C"/>
    <w:rsid w:val="005375EB"/>
    <w:rsid w:val="005477AE"/>
    <w:rsid w:val="00553328"/>
    <w:rsid w:val="00566209"/>
    <w:rsid w:val="005863A7"/>
    <w:rsid w:val="00595157"/>
    <w:rsid w:val="005A03B4"/>
    <w:rsid w:val="005B6B76"/>
    <w:rsid w:val="005B6E0E"/>
    <w:rsid w:val="005C4E56"/>
    <w:rsid w:val="005C606E"/>
    <w:rsid w:val="005D6027"/>
    <w:rsid w:val="005D7FDC"/>
    <w:rsid w:val="00611984"/>
    <w:rsid w:val="00615F25"/>
    <w:rsid w:val="00620DF0"/>
    <w:rsid w:val="00666070"/>
    <w:rsid w:val="00666D16"/>
    <w:rsid w:val="00677FC5"/>
    <w:rsid w:val="00686079"/>
    <w:rsid w:val="0069382E"/>
    <w:rsid w:val="006A0DB9"/>
    <w:rsid w:val="006B713F"/>
    <w:rsid w:val="006B7859"/>
    <w:rsid w:val="006C1B18"/>
    <w:rsid w:val="006C3AA2"/>
    <w:rsid w:val="006E7072"/>
    <w:rsid w:val="006F2B85"/>
    <w:rsid w:val="006F535A"/>
    <w:rsid w:val="00706AE2"/>
    <w:rsid w:val="0071005B"/>
    <w:rsid w:val="00721040"/>
    <w:rsid w:val="0074539E"/>
    <w:rsid w:val="00747A39"/>
    <w:rsid w:val="007507D4"/>
    <w:rsid w:val="007550EC"/>
    <w:rsid w:val="00764AD0"/>
    <w:rsid w:val="007661B3"/>
    <w:rsid w:val="00775A9B"/>
    <w:rsid w:val="00780D6D"/>
    <w:rsid w:val="00796C78"/>
    <w:rsid w:val="007A3946"/>
    <w:rsid w:val="007A4A25"/>
    <w:rsid w:val="007B058B"/>
    <w:rsid w:val="007C1919"/>
    <w:rsid w:val="007C6431"/>
    <w:rsid w:val="007D4E55"/>
    <w:rsid w:val="007E0478"/>
    <w:rsid w:val="007E7D90"/>
    <w:rsid w:val="007F041A"/>
    <w:rsid w:val="007F48BA"/>
    <w:rsid w:val="00816A36"/>
    <w:rsid w:val="00817EFF"/>
    <w:rsid w:val="00847938"/>
    <w:rsid w:val="00863E23"/>
    <w:rsid w:val="0087305A"/>
    <w:rsid w:val="00875E29"/>
    <w:rsid w:val="00877BC4"/>
    <w:rsid w:val="008822C3"/>
    <w:rsid w:val="00885A8C"/>
    <w:rsid w:val="00886A86"/>
    <w:rsid w:val="008A0346"/>
    <w:rsid w:val="008A08B9"/>
    <w:rsid w:val="008A0CDB"/>
    <w:rsid w:val="008B438D"/>
    <w:rsid w:val="008B45B5"/>
    <w:rsid w:val="008C3F0E"/>
    <w:rsid w:val="008E077B"/>
    <w:rsid w:val="008E32E7"/>
    <w:rsid w:val="008E556B"/>
    <w:rsid w:val="008F200D"/>
    <w:rsid w:val="008F78BE"/>
    <w:rsid w:val="00902D3C"/>
    <w:rsid w:val="00903811"/>
    <w:rsid w:val="0090692F"/>
    <w:rsid w:val="00915B4A"/>
    <w:rsid w:val="00916496"/>
    <w:rsid w:val="009264FB"/>
    <w:rsid w:val="00942AA4"/>
    <w:rsid w:val="0094663B"/>
    <w:rsid w:val="0094719A"/>
    <w:rsid w:val="009579E2"/>
    <w:rsid w:val="009600B1"/>
    <w:rsid w:val="0097290F"/>
    <w:rsid w:val="00987267"/>
    <w:rsid w:val="00994D8A"/>
    <w:rsid w:val="009B0664"/>
    <w:rsid w:val="009C09A7"/>
    <w:rsid w:val="009D7069"/>
    <w:rsid w:val="009E1C02"/>
    <w:rsid w:val="009E6213"/>
    <w:rsid w:val="00A050A7"/>
    <w:rsid w:val="00A2046D"/>
    <w:rsid w:val="00A30DCB"/>
    <w:rsid w:val="00A33650"/>
    <w:rsid w:val="00A45606"/>
    <w:rsid w:val="00A50EA6"/>
    <w:rsid w:val="00A51FE0"/>
    <w:rsid w:val="00A529A1"/>
    <w:rsid w:val="00A72E8E"/>
    <w:rsid w:val="00A74956"/>
    <w:rsid w:val="00A833F0"/>
    <w:rsid w:val="00A87F09"/>
    <w:rsid w:val="00A906C3"/>
    <w:rsid w:val="00A973BD"/>
    <w:rsid w:val="00AA4D1C"/>
    <w:rsid w:val="00AA7E80"/>
    <w:rsid w:val="00AB4386"/>
    <w:rsid w:val="00AF35BD"/>
    <w:rsid w:val="00AF64A3"/>
    <w:rsid w:val="00B04C3C"/>
    <w:rsid w:val="00B14C87"/>
    <w:rsid w:val="00B23E60"/>
    <w:rsid w:val="00B27FD5"/>
    <w:rsid w:val="00B401FD"/>
    <w:rsid w:val="00B4369E"/>
    <w:rsid w:val="00B446EE"/>
    <w:rsid w:val="00B47A8E"/>
    <w:rsid w:val="00B6274A"/>
    <w:rsid w:val="00B70EFB"/>
    <w:rsid w:val="00B76123"/>
    <w:rsid w:val="00B76D97"/>
    <w:rsid w:val="00B81039"/>
    <w:rsid w:val="00B8574D"/>
    <w:rsid w:val="00B917AF"/>
    <w:rsid w:val="00BA0AE3"/>
    <w:rsid w:val="00BA19A1"/>
    <w:rsid w:val="00BA2B78"/>
    <w:rsid w:val="00BA5925"/>
    <w:rsid w:val="00BA78D4"/>
    <w:rsid w:val="00BE429E"/>
    <w:rsid w:val="00BF106F"/>
    <w:rsid w:val="00BF2869"/>
    <w:rsid w:val="00BF6FDD"/>
    <w:rsid w:val="00C1283A"/>
    <w:rsid w:val="00C13EBF"/>
    <w:rsid w:val="00C1671D"/>
    <w:rsid w:val="00C3001A"/>
    <w:rsid w:val="00C64A7C"/>
    <w:rsid w:val="00C657DC"/>
    <w:rsid w:val="00CA25F6"/>
    <w:rsid w:val="00CA2B73"/>
    <w:rsid w:val="00CC0A98"/>
    <w:rsid w:val="00CC4B68"/>
    <w:rsid w:val="00CC68AD"/>
    <w:rsid w:val="00CE0E77"/>
    <w:rsid w:val="00CF6A20"/>
    <w:rsid w:val="00CF7F16"/>
    <w:rsid w:val="00D50DA3"/>
    <w:rsid w:val="00D5230F"/>
    <w:rsid w:val="00D53B7A"/>
    <w:rsid w:val="00D83A31"/>
    <w:rsid w:val="00DA1566"/>
    <w:rsid w:val="00DB32FE"/>
    <w:rsid w:val="00DB4FCC"/>
    <w:rsid w:val="00DB5266"/>
    <w:rsid w:val="00DC0336"/>
    <w:rsid w:val="00DC08F3"/>
    <w:rsid w:val="00DC0E9D"/>
    <w:rsid w:val="00DC3BD8"/>
    <w:rsid w:val="00DD049C"/>
    <w:rsid w:val="00DD0F92"/>
    <w:rsid w:val="00DD3791"/>
    <w:rsid w:val="00DD785B"/>
    <w:rsid w:val="00DF47CD"/>
    <w:rsid w:val="00E13612"/>
    <w:rsid w:val="00E17DA5"/>
    <w:rsid w:val="00E353B7"/>
    <w:rsid w:val="00E37184"/>
    <w:rsid w:val="00E40F69"/>
    <w:rsid w:val="00E4130A"/>
    <w:rsid w:val="00E47491"/>
    <w:rsid w:val="00E47571"/>
    <w:rsid w:val="00E56C69"/>
    <w:rsid w:val="00E607FD"/>
    <w:rsid w:val="00E771AF"/>
    <w:rsid w:val="00E81063"/>
    <w:rsid w:val="00E8346D"/>
    <w:rsid w:val="00E976AC"/>
    <w:rsid w:val="00EA22E0"/>
    <w:rsid w:val="00EB1809"/>
    <w:rsid w:val="00EB476F"/>
    <w:rsid w:val="00EB5060"/>
    <w:rsid w:val="00EC0364"/>
    <w:rsid w:val="00EC1D86"/>
    <w:rsid w:val="00ED4283"/>
    <w:rsid w:val="00EE293F"/>
    <w:rsid w:val="00EE2B77"/>
    <w:rsid w:val="00EE3E79"/>
    <w:rsid w:val="00F3656D"/>
    <w:rsid w:val="00F47609"/>
    <w:rsid w:val="00F56FFE"/>
    <w:rsid w:val="00F6284D"/>
    <w:rsid w:val="00F638D3"/>
    <w:rsid w:val="00F64B07"/>
    <w:rsid w:val="00F65FBC"/>
    <w:rsid w:val="00F77D27"/>
    <w:rsid w:val="00FB78A3"/>
    <w:rsid w:val="00FC7AD9"/>
    <w:rsid w:val="00FE667B"/>
    <w:rsid w:val="00FE66D4"/>
    <w:rsid w:val="00FE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F0"/>
    <w:pPr>
      <w:widowControl w:val="0"/>
      <w:adjustRightInd w:val="0"/>
      <w:spacing w:after="0" w:line="360" w:lineRule="atLeast"/>
      <w:jc w:val="both"/>
      <w:textAlignment w:val="baseline"/>
    </w:pPr>
    <w:rPr>
      <w:rFonts w:ascii="Verdana" w:eastAsia="Times New Roman" w:hAnsi="Verdana" w:cs="Times New Roman"/>
      <w:sz w:val="24"/>
      <w:szCs w:val="24"/>
      <w:lang w:val="es-CR" w:eastAsia="es-CR"/>
    </w:rPr>
  </w:style>
  <w:style w:type="paragraph" w:styleId="Heading1">
    <w:name w:val="heading 1"/>
    <w:basedOn w:val="Normal"/>
    <w:next w:val="Normal"/>
    <w:link w:val="Heading1Char"/>
    <w:uiPriority w:val="9"/>
    <w:qFormat/>
    <w:rsid w:val="005533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227EB"/>
    <w:pPr>
      <w:tabs>
        <w:tab w:val="left" w:pos="720"/>
      </w:tabs>
      <w:spacing w:line="240" w:lineRule="auto"/>
      <w:contextualSpacing/>
      <w:outlineLvl w:val="1"/>
    </w:pPr>
    <w:rPr>
      <w:b/>
      <w:i/>
      <w:spacing w:val="-2"/>
      <w:sz w:val="20"/>
      <w:szCs w:val="20"/>
      <w:lang w:val="x-none"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link w:val="4GChar"/>
    <w:qFormat/>
    <w:rsid w:val="00780D6D"/>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qFormat/>
    <w:rsid w:val="00780D6D"/>
    <w:pPr>
      <w:spacing w:line="240" w:lineRule="auto"/>
    </w:pPr>
    <w:rPr>
      <w:sz w:val="20"/>
      <w:szCs w:val="20"/>
      <w:lang w:val="es-ES_tradnl"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780D6D"/>
    <w:rPr>
      <w:rFonts w:ascii="Verdana" w:eastAsia="Times New Roman" w:hAnsi="Verdana" w:cs="Times New Roman"/>
      <w:sz w:val="20"/>
      <w:szCs w:val="20"/>
      <w:lang w:val="es-ES_tradnl" w:eastAsia="x-none"/>
    </w:rPr>
  </w:style>
  <w:style w:type="paragraph" w:styleId="ListParagraph">
    <w:name w:val="List Paragraph"/>
    <w:aliases w:val="List Paragraph2,Lista vistosa - Énfasis 11"/>
    <w:basedOn w:val="Normal"/>
    <w:uiPriority w:val="34"/>
    <w:qFormat/>
    <w:rsid w:val="00780D6D"/>
    <w:pPr>
      <w:widowControl/>
      <w:adjustRightInd/>
      <w:spacing w:after="200" w:line="276" w:lineRule="auto"/>
      <w:ind w:left="720"/>
      <w:contextualSpacing/>
      <w:jc w:val="left"/>
      <w:textAlignment w:val="auto"/>
    </w:pPr>
    <w:rPr>
      <w:rFonts w:ascii="Calibri" w:hAnsi="Calibri"/>
      <w:sz w:val="22"/>
      <w:szCs w:val="22"/>
      <w:lang w:val="es-MX"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780D6D"/>
    <w:pPr>
      <w:widowControl/>
      <w:adjustRightInd/>
      <w:spacing w:line="240" w:lineRule="auto"/>
      <w:textAlignment w:val="auto"/>
    </w:pPr>
    <w:rPr>
      <w:rFonts w:asciiTheme="minorHAnsi" w:eastAsiaTheme="minorHAnsi" w:hAnsiTheme="minorHAnsi" w:cstheme="minorBidi"/>
      <w:sz w:val="22"/>
      <w:szCs w:val="22"/>
      <w:vertAlign w:val="superscript"/>
      <w:lang w:val="en-US" w:eastAsia="en-US"/>
    </w:rPr>
  </w:style>
  <w:style w:type="character" w:customStyle="1" w:styleId="Heading2Char">
    <w:name w:val="Heading 2 Char"/>
    <w:basedOn w:val="DefaultParagraphFont"/>
    <w:link w:val="Heading2"/>
    <w:rsid w:val="000227EB"/>
    <w:rPr>
      <w:rFonts w:ascii="Verdana" w:eastAsia="Times New Roman" w:hAnsi="Verdana" w:cs="Times New Roman"/>
      <w:b/>
      <w:i/>
      <w:spacing w:val="-2"/>
      <w:sz w:val="20"/>
      <w:szCs w:val="20"/>
      <w:lang w:val="x-none" w:eastAsia="es-MX"/>
    </w:rPr>
  </w:style>
  <w:style w:type="character" w:styleId="Hyperlink">
    <w:name w:val="Hyperlink"/>
    <w:uiPriority w:val="99"/>
    <w:rsid w:val="00FC7AD9"/>
    <w:rPr>
      <w:color w:val="0000FF"/>
      <w:u w:val="single"/>
    </w:rPr>
  </w:style>
  <w:style w:type="character" w:styleId="Strong">
    <w:name w:val="Strong"/>
    <w:uiPriority w:val="22"/>
    <w:qFormat/>
    <w:rsid w:val="00FC7AD9"/>
    <w:rPr>
      <w:b/>
      <w:bCs/>
    </w:rPr>
  </w:style>
  <w:style w:type="character" w:customStyle="1" w:styleId="apple-converted-space">
    <w:name w:val="apple-converted-space"/>
    <w:basedOn w:val="DefaultParagraphFont"/>
    <w:rsid w:val="004D592A"/>
  </w:style>
  <w:style w:type="paragraph" w:styleId="BalloonText">
    <w:name w:val="Balloon Text"/>
    <w:basedOn w:val="Normal"/>
    <w:link w:val="BalloonTextChar"/>
    <w:uiPriority w:val="99"/>
    <w:semiHidden/>
    <w:unhideWhenUsed/>
    <w:rsid w:val="004D59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2A"/>
    <w:rPr>
      <w:rFonts w:ascii="Tahoma" w:eastAsia="Times New Roman" w:hAnsi="Tahoma" w:cs="Tahoma"/>
      <w:sz w:val="16"/>
      <w:szCs w:val="16"/>
      <w:lang w:val="es-CR" w:eastAsia="es-CR"/>
    </w:rPr>
  </w:style>
  <w:style w:type="paragraph" w:styleId="TOC1">
    <w:name w:val="toc 1"/>
    <w:basedOn w:val="Normal"/>
    <w:next w:val="Normal"/>
    <w:autoRedefine/>
    <w:uiPriority w:val="39"/>
    <w:unhideWhenUsed/>
    <w:qFormat/>
    <w:rsid w:val="009D7069"/>
    <w:pPr>
      <w:tabs>
        <w:tab w:val="right" w:leader="dot" w:pos="9639"/>
      </w:tabs>
      <w:spacing w:line="240" w:lineRule="auto"/>
    </w:pPr>
    <w:rPr>
      <w:rFonts w:eastAsia="ヒラギノ角ゴ Pro W3"/>
      <w:b/>
      <w:i/>
      <w:noProof/>
      <w:sz w:val="20"/>
      <w:szCs w:val="18"/>
      <w:lang w:val="es-PR" w:eastAsia="x-none"/>
    </w:rPr>
  </w:style>
  <w:style w:type="character" w:customStyle="1" w:styleId="Heading1Char">
    <w:name w:val="Heading 1 Char"/>
    <w:basedOn w:val="DefaultParagraphFont"/>
    <w:link w:val="Heading1"/>
    <w:uiPriority w:val="9"/>
    <w:rsid w:val="00553328"/>
    <w:rPr>
      <w:rFonts w:asciiTheme="majorHAnsi" w:eastAsiaTheme="majorEastAsia" w:hAnsiTheme="majorHAnsi" w:cstheme="majorBidi"/>
      <w:b/>
      <w:bCs/>
      <w:color w:val="365F91" w:themeColor="accent1" w:themeShade="BF"/>
      <w:sz w:val="28"/>
      <w:szCs w:val="28"/>
      <w:lang w:val="es-CR" w:eastAsia="es-CR"/>
    </w:rPr>
  </w:style>
  <w:style w:type="paragraph" w:customStyle="1" w:styleId="Prrafodelista2">
    <w:name w:val="Párrafo de lista2"/>
    <w:basedOn w:val="Normal"/>
    <w:uiPriority w:val="99"/>
    <w:rsid w:val="00F56FFE"/>
    <w:pPr>
      <w:widowControl/>
      <w:adjustRightInd/>
      <w:spacing w:line="240" w:lineRule="auto"/>
      <w:ind w:left="720"/>
      <w:jc w:val="left"/>
      <w:textAlignment w:val="auto"/>
    </w:pPr>
    <w:rPr>
      <w:rFonts w:eastAsia="MS Mincho"/>
      <w:sz w:val="20"/>
      <w:szCs w:val="20"/>
      <w:lang w:val="es-ES_tradnl" w:eastAsia="en-US" w:bidi="en-US"/>
    </w:rPr>
  </w:style>
  <w:style w:type="character" w:customStyle="1" w:styleId="apple-style-span">
    <w:name w:val="apple-style-span"/>
    <w:rsid w:val="00B23E60"/>
    <w:rPr>
      <w:rFonts w:cs="Times New Roman"/>
    </w:rPr>
  </w:style>
  <w:style w:type="paragraph" w:styleId="Header">
    <w:name w:val="header"/>
    <w:basedOn w:val="Normal"/>
    <w:link w:val="HeaderChar"/>
    <w:unhideWhenUsed/>
    <w:rsid w:val="000B1E3E"/>
    <w:pPr>
      <w:tabs>
        <w:tab w:val="center" w:pos="4680"/>
        <w:tab w:val="right" w:pos="9360"/>
      </w:tabs>
      <w:spacing w:line="240" w:lineRule="auto"/>
    </w:pPr>
  </w:style>
  <w:style w:type="character" w:customStyle="1" w:styleId="HeaderChar">
    <w:name w:val="Header Char"/>
    <w:basedOn w:val="DefaultParagraphFont"/>
    <w:link w:val="Header"/>
    <w:uiPriority w:val="99"/>
    <w:rsid w:val="000B1E3E"/>
    <w:rPr>
      <w:rFonts w:ascii="Verdana" w:eastAsia="Times New Roman" w:hAnsi="Verdana" w:cs="Times New Roman"/>
      <w:sz w:val="24"/>
      <w:szCs w:val="24"/>
      <w:lang w:val="es-CR" w:eastAsia="es-CR"/>
    </w:rPr>
  </w:style>
  <w:style w:type="paragraph" w:styleId="Footer">
    <w:name w:val="footer"/>
    <w:basedOn w:val="Normal"/>
    <w:link w:val="FooterChar"/>
    <w:uiPriority w:val="99"/>
    <w:unhideWhenUsed/>
    <w:rsid w:val="000B1E3E"/>
    <w:pPr>
      <w:tabs>
        <w:tab w:val="center" w:pos="4680"/>
        <w:tab w:val="right" w:pos="9360"/>
      </w:tabs>
      <w:spacing w:line="240" w:lineRule="auto"/>
    </w:pPr>
  </w:style>
  <w:style w:type="character" w:customStyle="1" w:styleId="FooterChar">
    <w:name w:val="Footer Char"/>
    <w:basedOn w:val="DefaultParagraphFont"/>
    <w:link w:val="Footer"/>
    <w:uiPriority w:val="99"/>
    <w:rsid w:val="000B1E3E"/>
    <w:rPr>
      <w:rFonts w:ascii="Verdana" w:eastAsia="Times New Roman" w:hAnsi="Verdana" w:cs="Times New Roman"/>
      <w:sz w:val="24"/>
      <w:szCs w:val="24"/>
      <w:lang w:val="es-CR" w:eastAsia="es-CR"/>
    </w:rPr>
  </w:style>
  <w:style w:type="paragraph" w:styleId="NormalWeb">
    <w:name w:val="Normal (Web)"/>
    <w:basedOn w:val="Normal"/>
    <w:uiPriority w:val="99"/>
    <w:unhideWhenUsed/>
    <w:rsid w:val="009264FB"/>
  </w:style>
  <w:style w:type="character" w:styleId="CommentReference">
    <w:name w:val="annotation reference"/>
    <w:basedOn w:val="DefaultParagraphFont"/>
    <w:uiPriority w:val="99"/>
    <w:semiHidden/>
    <w:unhideWhenUsed/>
    <w:rsid w:val="006E7072"/>
    <w:rPr>
      <w:sz w:val="16"/>
      <w:szCs w:val="16"/>
    </w:rPr>
  </w:style>
  <w:style w:type="paragraph" w:styleId="CommentText">
    <w:name w:val="annotation text"/>
    <w:basedOn w:val="Normal"/>
    <w:link w:val="CommentTextChar"/>
    <w:uiPriority w:val="99"/>
    <w:semiHidden/>
    <w:unhideWhenUsed/>
    <w:rsid w:val="006E7072"/>
    <w:pPr>
      <w:spacing w:line="240" w:lineRule="auto"/>
    </w:pPr>
    <w:rPr>
      <w:sz w:val="20"/>
      <w:szCs w:val="20"/>
    </w:rPr>
  </w:style>
  <w:style w:type="character" w:customStyle="1" w:styleId="CommentTextChar">
    <w:name w:val="Comment Text Char"/>
    <w:basedOn w:val="DefaultParagraphFont"/>
    <w:link w:val="CommentText"/>
    <w:uiPriority w:val="99"/>
    <w:semiHidden/>
    <w:rsid w:val="006E7072"/>
    <w:rPr>
      <w:rFonts w:ascii="Verdana" w:eastAsia="Times New Roman" w:hAnsi="Verdana" w:cs="Times New Roman"/>
      <w:sz w:val="20"/>
      <w:szCs w:val="20"/>
      <w:lang w:val="es-CR" w:eastAsia="es-CR"/>
    </w:rPr>
  </w:style>
  <w:style w:type="paragraph" w:styleId="CommentSubject">
    <w:name w:val="annotation subject"/>
    <w:basedOn w:val="CommentText"/>
    <w:next w:val="CommentText"/>
    <w:link w:val="CommentSubjectChar"/>
    <w:uiPriority w:val="99"/>
    <w:semiHidden/>
    <w:unhideWhenUsed/>
    <w:rsid w:val="006E7072"/>
    <w:rPr>
      <w:b/>
      <w:bCs/>
    </w:rPr>
  </w:style>
  <w:style w:type="character" w:customStyle="1" w:styleId="CommentSubjectChar">
    <w:name w:val="Comment Subject Char"/>
    <w:basedOn w:val="CommentTextChar"/>
    <w:link w:val="CommentSubject"/>
    <w:uiPriority w:val="99"/>
    <w:semiHidden/>
    <w:rsid w:val="006E7072"/>
    <w:rPr>
      <w:rFonts w:ascii="Verdana" w:eastAsia="Times New Roman" w:hAnsi="Verdana" w:cs="Times New Roman"/>
      <w:b/>
      <w:bCs/>
      <w:sz w:val="20"/>
      <w:szCs w:val="20"/>
      <w:lang w:val="es-CR" w:eastAsia="es-CR"/>
    </w:rPr>
  </w:style>
  <w:style w:type="paragraph" w:styleId="Revision">
    <w:name w:val="Revision"/>
    <w:hidden/>
    <w:uiPriority w:val="99"/>
    <w:semiHidden/>
    <w:rsid w:val="00B76D97"/>
    <w:pPr>
      <w:spacing w:after="0" w:line="240" w:lineRule="auto"/>
    </w:pPr>
    <w:rPr>
      <w:rFonts w:ascii="Verdana" w:eastAsia="Times New Roman" w:hAnsi="Verdana" w:cs="Times New Roman"/>
      <w:sz w:val="24"/>
      <w:szCs w:val="24"/>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F0"/>
    <w:pPr>
      <w:widowControl w:val="0"/>
      <w:adjustRightInd w:val="0"/>
      <w:spacing w:after="0" w:line="360" w:lineRule="atLeast"/>
      <w:jc w:val="both"/>
      <w:textAlignment w:val="baseline"/>
    </w:pPr>
    <w:rPr>
      <w:rFonts w:ascii="Verdana" w:eastAsia="Times New Roman" w:hAnsi="Verdana" w:cs="Times New Roman"/>
      <w:sz w:val="24"/>
      <w:szCs w:val="24"/>
      <w:lang w:val="es-CR" w:eastAsia="es-CR"/>
    </w:rPr>
  </w:style>
  <w:style w:type="paragraph" w:styleId="Heading1">
    <w:name w:val="heading 1"/>
    <w:basedOn w:val="Normal"/>
    <w:next w:val="Normal"/>
    <w:link w:val="Heading1Char"/>
    <w:uiPriority w:val="9"/>
    <w:qFormat/>
    <w:rsid w:val="005533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227EB"/>
    <w:pPr>
      <w:tabs>
        <w:tab w:val="left" w:pos="720"/>
      </w:tabs>
      <w:spacing w:line="240" w:lineRule="auto"/>
      <w:contextualSpacing/>
      <w:outlineLvl w:val="1"/>
    </w:pPr>
    <w:rPr>
      <w:b/>
      <w:i/>
      <w:spacing w:val="-2"/>
      <w:sz w:val="20"/>
      <w:szCs w:val="20"/>
      <w:lang w:val="x-none"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link w:val="4GChar"/>
    <w:qFormat/>
    <w:rsid w:val="00780D6D"/>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qFormat/>
    <w:rsid w:val="00780D6D"/>
    <w:pPr>
      <w:spacing w:line="240" w:lineRule="auto"/>
    </w:pPr>
    <w:rPr>
      <w:sz w:val="20"/>
      <w:szCs w:val="20"/>
      <w:lang w:val="es-ES_tradnl"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780D6D"/>
    <w:rPr>
      <w:rFonts w:ascii="Verdana" w:eastAsia="Times New Roman" w:hAnsi="Verdana" w:cs="Times New Roman"/>
      <w:sz w:val="20"/>
      <w:szCs w:val="20"/>
      <w:lang w:val="es-ES_tradnl" w:eastAsia="x-none"/>
    </w:rPr>
  </w:style>
  <w:style w:type="paragraph" w:styleId="ListParagraph">
    <w:name w:val="List Paragraph"/>
    <w:aliases w:val="List Paragraph2,Lista vistosa - Énfasis 11"/>
    <w:basedOn w:val="Normal"/>
    <w:uiPriority w:val="34"/>
    <w:qFormat/>
    <w:rsid w:val="00780D6D"/>
    <w:pPr>
      <w:widowControl/>
      <w:adjustRightInd/>
      <w:spacing w:after="200" w:line="276" w:lineRule="auto"/>
      <w:ind w:left="720"/>
      <w:contextualSpacing/>
      <w:jc w:val="left"/>
      <w:textAlignment w:val="auto"/>
    </w:pPr>
    <w:rPr>
      <w:rFonts w:ascii="Calibri" w:hAnsi="Calibri"/>
      <w:sz w:val="22"/>
      <w:szCs w:val="22"/>
      <w:lang w:val="es-MX"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780D6D"/>
    <w:pPr>
      <w:widowControl/>
      <w:adjustRightInd/>
      <w:spacing w:line="240" w:lineRule="auto"/>
      <w:textAlignment w:val="auto"/>
    </w:pPr>
    <w:rPr>
      <w:rFonts w:asciiTheme="minorHAnsi" w:eastAsiaTheme="minorHAnsi" w:hAnsiTheme="minorHAnsi" w:cstheme="minorBidi"/>
      <w:sz w:val="22"/>
      <w:szCs w:val="22"/>
      <w:vertAlign w:val="superscript"/>
      <w:lang w:val="en-US" w:eastAsia="en-US"/>
    </w:rPr>
  </w:style>
  <w:style w:type="character" w:customStyle="1" w:styleId="Heading2Char">
    <w:name w:val="Heading 2 Char"/>
    <w:basedOn w:val="DefaultParagraphFont"/>
    <w:link w:val="Heading2"/>
    <w:rsid w:val="000227EB"/>
    <w:rPr>
      <w:rFonts w:ascii="Verdana" w:eastAsia="Times New Roman" w:hAnsi="Verdana" w:cs="Times New Roman"/>
      <w:b/>
      <w:i/>
      <w:spacing w:val="-2"/>
      <w:sz w:val="20"/>
      <w:szCs w:val="20"/>
      <w:lang w:val="x-none" w:eastAsia="es-MX"/>
    </w:rPr>
  </w:style>
  <w:style w:type="character" w:styleId="Hyperlink">
    <w:name w:val="Hyperlink"/>
    <w:uiPriority w:val="99"/>
    <w:rsid w:val="00FC7AD9"/>
    <w:rPr>
      <w:color w:val="0000FF"/>
      <w:u w:val="single"/>
    </w:rPr>
  </w:style>
  <w:style w:type="character" w:styleId="Strong">
    <w:name w:val="Strong"/>
    <w:uiPriority w:val="22"/>
    <w:qFormat/>
    <w:rsid w:val="00FC7AD9"/>
    <w:rPr>
      <w:b/>
      <w:bCs/>
    </w:rPr>
  </w:style>
  <w:style w:type="character" w:customStyle="1" w:styleId="apple-converted-space">
    <w:name w:val="apple-converted-space"/>
    <w:basedOn w:val="DefaultParagraphFont"/>
    <w:rsid w:val="004D592A"/>
  </w:style>
  <w:style w:type="paragraph" w:styleId="BalloonText">
    <w:name w:val="Balloon Text"/>
    <w:basedOn w:val="Normal"/>
    <w:link w:val="BalloonTextChar"/>
    <w:uiPriority w:val="99"/>
    <w:semiHidden/>
    <w:unhideWhenUsed/>
    <w:rsid w:val="004D59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2A"/>
    <w:rPr>
      <w:rFonts w:ascii="Tahoma" w:eastAsia="Times New Roman" w:hAnsi="Tahoma" w:cs="Tahoma"/>
      <w:sz w:val="16"/>
      <w:szCs w:val="16"/>
      <w:lang w:val="es-CR" w:eastAsia="es-CR"/>
    </w:rPr>
  </w:style>
  <w:style w:type="paragraph" w:styleId="TOC1">
    <w:name w:val="toc 1"/>
    <w:basedOn w:val="Normal"/>
    <w:next w:val="Normal"/>
    <w:autoRedefine/>
    <w:uiPriority w:val="39"/>
    <w:unhideWhenUsed/>
    <w:qFormat/>
    <w:rsid w:val="009D7069"/>
    <w:pPr>
      <w:tabs>
        <w:tab w:val="right" w:leader="dot" w:pos="9639"/>
      </w:tabs>
      <w:spacing w:line="240" w:lineRule="auto"/>
    </w:pPr>
    <w:rPr>
      <w:rFonts w:eastAsia="ヒラギノ角ゴ Pro W3"/>
      <w:b/>
      <w:i/>
      <w:noProof/>
      <w:sz w:val="20"/>
      <w:szCs w:val="18"/>
      <w:lang w:val="es-PR" w:eastAsia="x-none"/>
    </w:rPr>
  </w:style>
  <w:style w:type="character" w:customStyle="1" w:styleId="Heading1Char">
    <w:name w:val="Heading 1 Char"/>
    <w:basedOn w:val="DefaultParagraphFont"/>
    <w:link w:val="Heading1"/>
    <w:uiPriority w:val="9"/>
    <w:rsid w:val="00553328"/>
    <w:rPr>
      <w:rFonts w:asciiTheme="majorHAnsi" w:eastAsiaTheme="majorEastAsia" w:hAnsiTheme="majorHAnsi" w:cstheme="majorBidi"/>
      <w:b/>
      <w:bCs/>
      <w:color w:val="365F91" w:themeColor="accent1" w:themeShade="BF"/>
      <w:sz w:val="28"/>
      <w:szCs w:val="28"/>
      <w:lang w:val="es-CR" w:eastAsia="es-CR"/>
    </w:rPr>
  </w:style>
  <w:style w:type="paragraph" w:customStyle="1" w:styleId="Prrafodelista2">
    <w:name w:val="Párrafo de lista2"/>
    <w:basedOn w:val="Normal"/>
    <w:uiPriority w:val="99"/>
    <w:rsid w:val="00F56FFE"/>
    <w:pPr>
      <w:widowControl/>
      <w:adjustRightInd/>
      <w:spacing w:line="240" w:lineRule="auto"/>
      <w:ind w:left="720"/>
      <w:jc w:val="left"/>
      <w:textAlignment w:val="auto"/>
    </w:pPr>
    <w:rPr>
      <w:rFonts w:eastAsia="MS Mincho"/>
      <w:sz w:val="20"/>
      <w:szCs w:val="20"/>
      <w:lang w:val="es-ES_tradnl" w:eastAsia="en-US" w:bidi="en-US"/>
    </w:rPr>
  </w:style>
  <w:style w:type="character" w:customStyle="1" w:styleId="apple-style-span">
    <w:name w:val="apple-style-span"/>
    <w:rsid w:val="00B23E60"/>
    <w:rPr>
      <w:rFonts w:cs="Times New Roman"/>
    </w:rPr>
  </w:style>
  <w:style w:type="paragraph" w:styleId="Header">
    <w:name w:val="header"/>
    <w:basedOn w:val="Normal"/>
    <w:link w:val="HeaderChar"/>
    <w:unhideWhenUsed/>
    <w:rsid w:val="000B1E3E"/>
    <w:pPr>
      <w:tabs>
        <w:tab w:val="center" w:pos="4680"/>
        <w:tab w:val="right" w:pos="9360"/>
      </w:tabs>
      <w:spacing w:line="240" w:lineRule="auto"/>
    </w:pPr>
  </w:style>
  <w:style w:type="character" w:customStyle="1" w:styleId="HeaderChar">
    <w:name w:val="Header Char"/>
    <w:basedOn w:val="DefaultParagraphFont"/>
    <w:link w:val="Header"/>
    <w:uiPriority w:val="99"/>
    <w:rsid w:val="000B1E3E"/>
    <w:rPr>
      <w:rFonts w:ascii="Verdana" w:eastAsia="Times New Roman" w:hAnsi="Verdana" w:cs="Times New Roman"/>
      <w:sz w:val="24"/>
      <w:szCs w:val="24"/>
      <w:lang w:val="es-CR" w:eastAsia="es-CR"/>
    </w:rPr>
  </w:style>
  <w:style w:type="paragraph" w:styleId="Footer">
    <w:name w:val="footer"/>
    <w:basedOn w:val="Normal"/>
    <w:link w:val="FooterChar"/>
    <w:uiPriority w:val="99"/>
    <w:unhideWhenUsed/>
    <w:rsid w:val="000B1E3E"/>
    <w:pPr>
      <w:tabs>
        <w:tab w:val="center" w:pos="4680"/>
        <w:tab w:val="right" w:pos="9360"/>
      </w:tabs>
      <w:spacing w:line="240" w:lineRule="auto"/>
    </w:pPr>
  </w:style>
  <w:style w:type="character" w:customStyle="1" w:styleId="FooterChar">
    <w:name w:val="Footer Char"/>
    <w:basedOn w:val="DefaultParagraphFont"/>
    <w:link w:val="Footer"/>
    <w:uiPriority w:val="99"/>
    <w:rsid w:val="000B1E3E"/>
    <w:rPr>
      <w:rFonts w:ascii="Verdana" w:eastAsia="Times New Roman" w:hAnsi="Verdana" w:cs="Times New Roman"/>
      <w:sz w:val="24"/>
      <w:szCs w:val="24"/>
      <w:lang w:val="es-CR" w:eastAsia="es-CR"/>
    </w:rPr>
  </w:style>
  <w:style w:type="paragraph" w:styleId="NormalWeb">
    <w:name w:val="Normal (Web)"/>
    <w:basedOn w:val="Normal"/>
    <w:uiPriority w:val="99"/>
    <w:unhideWhenUsed/>
    <w:rsid w:val="009264FB"/>
  </w:style>
  <w:style w:type="character" w:styleId="CommentReference">
    <w:name w:val="annotation reference"/>
    <w:basedOn w:val="DefaultParagraphFont"/>
    <w:uiPriority w:val="99"/>
    <w:semiHidden/>
    <w:unhideWhenUsed/>
    <w:rsid w:val="006E7072"/>
    <w:rPr>
      <w:sz w:val="16"/>
      <w:szCs w:val="16"/>
    </w:rPr>
  </w:style>
  <w:style w:type="paragraph" w:styleId="CommentText">
    <w:name w:val="annotation text"/>
    <w:basedOn w:val="Normal"/>
    <w:link w:val="CommentTextChar"/>
    <w:uiPriority w:val="99"/>
    <w:semiHidden/>
    <w:unhideWhenUsed/>
    <w:rsid w:val="006E7072"/>
    <w:pPr>
      <w:spacing w:line="240" w:lineRule="auto"/>
    </w:pPr>
    <w:rPr>
      <w:sz w:val="20"/>
      <w:szCs w:val="20"/>
    </w:rPr>
  </w:style>
  <w:style w:type="character" w:customStyle="1" w:styleId="CommentTextChar">
    <w:name w:val="Comment Text Char"/>
    <w:basedOn w:val="DefaultParagraphFont"/>
    <w:link w:val="CommentText"/>
    <w:uiPriority w:val="99"/>
    <w:semiHidden/>
    <w:rsid w:val="006E7072"/>
    <w:rPr>
      <w:rFonts w:ascii="Verdana" w:eastAsia="Times New Roman" w:hAnsi="Verdana" w:cs="Times New Roman"/>
      <w:sz w:val="20"/>
      <w:szCs w:val="20"/>
      <w:lang w:val="es-CR" w:eastAsia="es-CR"/>
    </w:rPr>
  </w:style>
  <w:style w:type="paragraph" w:styleId="CommentSubject">
    <w:name w:val="annotation subject"/>
    <w:basedOn w:val="CommentText"/>
    <w:next w:val="CommentText"/>
    <w:link w:val="CommentSubjectChar"/>
    <w:uiPriority w:val="99"/>
    <w:semiHidden/>
    <w:unhideWhenUsed/>
    <w:rsid w:val="006E7072"/>
    <w:rPr>
      <w:b/>
      <w:bCs/>
    </w:rPr>
  </w:style>
  <w:style w:type="character" w:customStyle="1" w:styleId="CommentSubjectChar">
    <w:name w:val="Comment Subject Char"/>
    <w:basedOn w:val="CommentTextChar"/>
    <w:link w:val="CommentSubject"/>
    <w:uiPriority w:val="99"/>
    <w:semiHidden/>
    <w:rsid w:val="006E7072"/>
    <w:rPr>
      <w:rFonts w:ascii="Verdana" w:eastAsia="Times New Roman" w:hAnsi="Verdana" w:cs="Times New Roman"/>
      <w:b/>
      <w:bCs/>
      <w:sz w:val="20"/>
      <w:szCs w:val="20"/>
      <w:lang w:val="es-CR" w:eastAsia="es-CR"/>
    </w:rPr>
  </w:style>
  <w:style w:type="paragraph" w:styleId="Revision">
    <w:name w:val="Revision"/>
    <w:hidden/>
    <w:uiPriority w:val="99"/>
    <w:semiHidden/>
    <w:rsid w:val="00B76D97"/>
    <w:pPr>
      <w:spacing w:after="0" w:line="240" w:lineRule="auto"/>
    </w:pPr>
    <w:rPr>
      <w:rFonts w:ascii="Verdana" w:eastAsia="Times New Roman" w:hAnsi="Verdana" w:cs="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BC93F-0B20-42EF-B3A4-2A4BF0121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121C47-D20B-4D85-A2CC-5920CD7B1390}">
  <ds:schemaRefs>
    <ds:schemaRef ds:uri="http://schemas.microsoft.com/office/2006/metadata/properties"/>
  </ds:schemaRefs>
</ds:datastoreItem>
</file>

<file path=customXml/itemProps3.xml><?xml version="1.0" encoding="utf-8"?>
<ds:datastoreItem xmlns:ds="http://schemas.openxmlformats.org/officeDocument/2006/customXml" ds:itemID="{FF8EE8CE-8A1C-4D77-AF94-09C6C3B48B0C}">
  <ds:schemaRefs>
    <ds:schemaRef ds:uri="http://schemas.microsoft.com/sharepoint/v3/contenttype/forms"/>
  </ds:schemaRefs>
</ds:datastoreItem>
</file>

<file path=customXml/itemProps4.xml><?xml version="1.0" encoding="utf-8"?>
<ds:datastoreItem xmlns:ds="http://schemas.openxmlformats.org/officeDocument/2006/customXml" ds:itemID="{EF13C431-57CC-4126-A44E-D6BD77B8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4862</Words>
  <Characters>26745</Characters>
  <Application>Microsoft Office Word</Application>
  <DocSecurity>4</DocSecurity>
  <Lines>222</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3</cp:revision>
  <cp:lastPrinted>2016-12-21T19:06:00Z</cp:lastPrinted>
  <dcterms:created xsi:type="dcterms:W3CDTF">2016-12-21T19:06:00Z</dcterms:created>
  <dcterms:modified xsi:type="dcterms:W3CDTF">2016-12-21T19:31:00Z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