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P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0866D1" w:rsidRDefault="000866D1" w:rsidP="009E1889">
      <w:pPr>
        <w:tabs>
          <w:tab w:val="left" w:pos="567"/>
        </w:tabs>
        <w:spacing w:after="0" w:line="240" w:lineRule="auto"/>
        <w:jc w:val="center"/>
        <w:rPr>
          <w:rFonts w:eastAsia="Times New Roman" w:cs="Verdana"/>
          <w:b/>
          <w:bCs/>
          <w:caps/>
          <w:snapToGrid w:val="0"/>
          <w:spacing w:val="-2"/>
          <w:szCs w:val="20"/>
          <w:lang w:val="es-ES_tradnl" w:eastAsia="es-ES"/>
        </w:rPr>
      </w:pPr>
    </w:p>
    <w:p w:rsidR="00781B90" w:rsidRPr="000866D1" w:rsidRDefault="00781B90" w:rsidP="009E1889">
      <w:pPr>
        <w:tabs>
          <w:tab w:val="left" w:pos="567"/>
        </w:tabs>
        <w:spacing w:after="0" w:line="240" w:lineRule="auto"/>
        <w:jc w:val="center"/>
        <w:rPr>
          <w:rFonts w:eastAsia="Times New Roman" w:cs="Verdana"/>
          <w:b/>
          <w:bCs/>
          <w:caps/>
          <w:snapToGrid w:val="0"/>
          <w:spacing w:val="-2"/>
          <w:szCs w:val="20"/>
          <w:lang w:val="es-ES_tradnl" w:eastAsia="es-ES"/>
        </w:rPr>
      </w:pPr>
    </w:p>
    <w:p w:rsidR="007063CB" w:rsidRPr="000866D1" w:rsidRDefault="007063CB" w:rsidP="009E1889">
      <w:pPr>
        <w:tabs>
          <w:tab w:val="left" w:pos="567"/>
        </w:tabs>
        <w:spacing w:after="0" w:line="240" w:lineRule="auto"/>
        <w:rPr>
          <w:rFonts w:eastAsia="Times New Roman" w:cs="Verdana"/>
          <w:b/>
          <w:bCs/>
          <w:caps/>
          <w:snapToGrid w:val="0"/>
          <w:spacing w:val="-2"/>
          <w:szCs w:val="20"/>
          <w:lang w:val="es-ES_tradnl" w:eastAsia="es-ES"/>
        </w:rPr>
      </w:pPr>
    </w:p>
    <w:p w:rsidR="00970448" w:rsidRPr="000866D1" w:rsidRDefault="00970448" w:rsidP="009E1889">
      <w:pPr>
        <w:tabs>
          <w:tab w:val="left" w:pos="567"/>
        </w:tabs>
        <w:spacing w:after="0" w:line="240" w:lineRule="auto"/>
        <w:rPr>
          <w:rFonts w:eastAsia="Times New Roman" w:cs="Verdana"/>
          <w:b/>
          <w:bCs/>
          <w:caps/>
          <w:snapToGrid w:val="0"/>
          <w:spacing w:val="-2"/>
          <w:szCs w:val="20"/>
          <w:lang w:val="es-ES_tradnl" w:eastAsia="es-ES"/>
        </w:rPr>
      </w:pPr>
    </w:p>
    <w:p w:rsidR="00496F2F" w:rsidRPr="000866D1" w:rsidRDefault="00496F2F" w:rsidP="009E1889">
      <w:pPr>
        <w:pStyle w:val="Title"/>
        <w:rPr>
          <w:spacing w:val="-2"/>
          <w:lang w:eastAsia="es-CR"/>
        </w:rPr>
      </w:pPr>
      <w:r w:rsidRPr="000866D1">
        <w:rPr>
          <w:spacing w:val="-2"/>
          <w:lang w:eastAsia="es-CR"/>
        </w:rPr>
        <w:t>CORTE INTERAMERICANA DE DERECHOS HUMANOS</w:t>
      </w:r>
    </w:p>
    <w:p w:rsidR="00496F2F" w:rsidRPr="000866D1" w:rsidRDefault="00496F2F" w:rsidP="009E1889">
      <w:pPr>
        <w:spacing w:after="0"/>
        <w:rPr>
          <w:snapToGrid w:val="0"/>
          <w:spacing w:val="-2"/>
        </w:rPr>
      </w:pPr>
      <w:r w:rsidRPr="000866D1">
        <w:rPr>
          <w:snapToGrid w:val="0"/>
          <w:spacing w:val="-2"/>
        </w:rPr>
        <w:t xml:space="preserve"> </w:t>
      </w:r>
    </w:p>
    <w:p w:rsidR="00496F2F" w:rsidRPr="000866D1" w:rsidRDefault="00496F2F" w:rsidP="009E1889">
      <w:pPr>
        <w:pStyle w:val="Title"/>
        <w:rPr>
          <w:spacing w:val="-2"/>
          <w:lang w:val="es-CR" w:eastAsia="es-CR"/>
        </w:rPr>
      </w:pPr>
      <w:bookmarkStart w:id="0" w:name="_Toc418072829"/>
      <w:bookmarkStart w:id="1" w:name="_Toc418074047"/>
      <w:bookmarkStart w:id="2" w:name="_Toc418503852"/>
      <w:bookmarkStart w:id="3" w:name="_Toc418912493"/>
      <w:bookmarkStart w:id="4" w:name="_Toc418912576"/>
      <w:bookmarkStart w:id="5" w:name="_Toc418912665"/>
      <w:bookmarkStart w:id="6" w:name="_Toc418912777"/>
      <w:bookmarkStart w:id="7" w:name="_Toc419394358"/>
      <w:bookmarkStart w:id="8" w:name="_Toc419394580"/>
      <w:bookmarkStart w:id="9" w:name="_Toc419394693"/>
      <w:bookmarkStart w:id="10" w:name="_Toc419469657"/>
      <w:bookmarkStart w:id="11" w:name="_Toc419470124"/>
      <w:bookmarkStart w:id="12" w:name="_Toc423359686"/>
      <w:bookmarkStart w:id="13" w:name="_Toc423360962"/>
      <w:bookmarkStart w:id="14" w:name="_Toc429490224"/>
      <w:bookmarkStart w:id="15" w:name="_Toc429497881"/>
      <w:bookmarkStart w:id="16" w:name="_Toc429498224"/>
      <w:bookmarkStart w:id="17" w:name="_Toc429503736"/>
      <w:bookmarkStart w:id="18" w:name="_Toc429503844"/>
      <w:bookmarkStart w:id="19" w:name="_Toc429504242"/>
      <w:bookmarkStart w:id="20" w:name="_Toc429504344"/>
      <w:bookmarkStart w:id="21" w:name="_Toc429677955"/>
      <w:bookmarkStart w:id="22" w:name="_Toc429678063"/>
      <w:bookmarkStart w:id="23" w:name="_Toc430017118"/>
      <w:bookmarkStart w:id="24" w:name="_Toc430017226"/>
      <w:bookmarkStart w:id="25" w:name="_Toc430017347"/>
      <w:bookmarkStart w:id="26" w:name="_Toc430017652"/>
      <w:bookmarkStart w:id="27" w:name="_Toc430018629"/>
      <w:bookmarkStart w:id="28" w:name="_Toc430018731"/>
      <w:bookmarkStart w:id="29" w:name="_Toc430125227"/>
      <w:bookmarkStart w:id="30" w:name="_Toc430125335"/>
      <w:r w:rsidRPr="001B7141">
        <w:rPr>
          <w:spacing w:val="-2"/>
          <w:lang w:val="es-CR" w:eastAsia="es-CR"/>
        </w:rPr>
        <w:t xml:space="preserve">CASO WONG HO WING VS. </w:t>
      </w:r>
      <w:r w:rsidRPr="000866D1">
        <w:rPr>
          <w:spacing w:val="-2"/>
          <w:lang w:val="es-CR" w:eastAsia="es-CR"/>
        </w:rPr>
        <w:t>PERÚ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496F2F" w:rsidRPr="000866D1" w:rsidRDefault="00496F2F" w:rsidP="009E1889">
      <w:pPr>
        <w:spacing w:after="0"/>
        <w:rPr>
          <w:spacing w:val="-2"/>
          <w:lang w:eastAsia="es-CR"/>
        </w:rPr>
      </w:pPr>
    </w:p>
    <w:p w:rsidR="00496F2F" w:rsidRPr="000866D1" w:rsidRDefault="00496F2F" w:rsidP="009E1889">
      <w:pPr>
        <w:pStyle w:val="Title"/>
        <w:rPr>
          <w:snapToGrid w:val="0"/>
          <w:spacing w:val="-2"/>
        </w:rPr>
      </w:pPr>
      <w:bookmarkStart w:id="31" w:name="_Toc418072830"/>
      <w:bookmarkStart w:id="32" w:name="_Toc418074048"/>
      <w:bookmarkStart w:id="33" w:name="_Toc418503853"/>
      <w:bookmarkStart w:id="34" w:name="_Toc418912494"/>
      <w:bookmarkStart w:id="35" w:name="_Toc418912577"/>
      <w:bookmarkStart w:id="36" w:name="_Toc418912666"/>
      <w:bookmarkStart w:id="37" w:name="_Toc418912778"/>
      <w:bookmarkStart w:id="38" w:name="_Toc419394359"/>
      <w:bookmarkStart w:id="39" w:name="_Toc419394581"/>
      <w:bookmarkStart w:id="40" w:name="_Toc419394694"/>
      <w:bookmarkStart w:id="41" w:name="_Toc419469658"/>
      <w:bookmarkStart w:id="42" w:name="_Toc419470125"/>
      <w:bookmarkStart w:id="43" w:name="_Toc423359687"/>
      <w:bookmarkStart w:id="44" w:name="_Toc423360963"/>
      <w:bookmarkStart w:id="45" w:name="_Toc429490225"/>
      <w:bookmarkStart w:id="46" w:name="_Toc429497882"/>
      <w:bookmarkStart w:id="47" w:name="_Toc429498225"/>
      <w:bookmarkStart w:id="48" w:name="_Toc429503737"/>
      <w:bookmarkStart w:id="49" w:name="_Toc429503845"/>
      <w:bookmarkStart w:id="50" w:name="_Toc429504243"/>
      <w:bookmarkStart w:id="51" w:name="_Toc429504345"/>
      <w:bookmarkStart w:id="52" w:name="_Toc429677956"/>
      <w:bookmarkStart w:id="53" w:name="_Toc429678064"/>
      <w:bookmarkStart w:id="54" w:name="_Toc430017119"/>
      <w:bookmarkStart w:id="55" w:name="_Toc430017227"/>
      <w:bookmarkStart w:id="56" w:name="_Toc430017348"/>
      <w:bookmarkStart w:id="57" w:name="_Toc430017653"/>
      <w:bookmarkStart w:id="58" w:name="_Toc430018630"/>
      <w:bookmarkStart w:id="59" w:name="_Toc430018732"/>
      <w:bookmarkStart w:id="60" w:name="_Toc430125228"/>
      <w:bookmarkStart w:id="61" w:name="_Toc430125336"/>
      <w:r w:rsidRPr="000866D1">
        <w:rPr>
          <w:snapToGrid w:val="0"/>
          <w:spacing w:val="-2"/>
        </w:rPr>
        <w:t xml:space="preserve">SENTENCIA DE </w:t>
      </w:r>
      <w:r w:rsidR="002807AB">
        <w:rPr>
          <w:snapToGrid w:val="0"/>
          <w:spacing w:val="-2"/>
        </w:rPr>
        <w:t>22</w:t>
      </w:r>
      <w:r w:rsidRPr="000866D1">
        <w:rPr>
          <w:snapToGrid w:val="0"/>
          <w:spacing w:val="-2"/>
        </w:rPr>
        <w:t xml:space="preserve"> DE </w:t>
      </w:r>
      <w:r w:rsidR="007F6D48">
        <w:rPr>
          <w:snapToGrid w:val="0"/>
          <w:spacing w:val="-2"/>
        </w:rPr>
        <w:t>JUNIO</w:t>
      </w:r>
      <w:r w:rsidRPr="000866D1">
        <w:rPr>
          <w:snapToGrid w:val="0"/>
          <w:spacing w:val="-2"/>
        </w:rPr>
        <w:t xml:space="preserve"> DE 201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866D1">
        <w:rPr>
          <w:snapToGrid w:val="0"/>
          <w:spacing w:val="-2"/>
        </w:rPr>
        <w:t>6</w:t>
      </w:r>
    </w:p>
    <w:p w:rsidR="004542DE" w:rsidRPr="000866D1" w:rsidRDefault="004542DE" w:rsidP="009E1889">
      <w:pPr>
        <w:tabs>
          <w:tab w:val="left" w:pos="0"/>
          <w:tab w:val="left" w:pos="567"/>
        </w:tabs>
        <w:spacing w:after="0" w:line="240" w:lineRule="auto"/>
        <w:rPr>
          <w:rFonts w:eastAsia="Times New Roman"/>
          <w:b/>
          <w:bCs/>
          <w:caps/>
          <w:snapToGrid w:val="0"/>
          <w:spacing w:val="-2"/>
          <w:szCs w:val="20"/>
          <w:lang w:val="es-ES_tradnl" w:eastAsia="es-ES"/>
        </w:rPr>
      </w:pPr>
    </w:p>
    <w:p w:rsidR="00C2489D" w:rsidRPr="000866D1" w:rsidRDefault="00970448" w:rsidP="009E1889">
      <w:pPr>
        <w:tabs>
          <w:tab w:val="left" w:pos="567"/>
        </w:tabs>
        <w:spacing w:after="0" w:line="240" w:lineRule="auto"/>
        <w:jc w:val="center"/>
        <w:rPr>
          <w:rFonts w:eastAsia="Times New Roman" w:cs="Verdana"/>
          <w:b/>
          <w:bCs/>
          <w:i/>
          <w:iCs/>
          <w:snapToGrid w:val="0"/>
          <w:spacing w:val="-2"/>
          <w:szCs w:val="20"/>
          <w:lang w:val="es-ES_tradnl" w:eastAsia="es-ES"/>
        </w:rPr>
      </w:pPr>
      <w:r w:rsidRPr="000866D1">
        <w:rPr>
          <w:rFonts w:eastAsia="Times New Roman" w:cs="Verdana"/>
          <w:b/>
          <w:bCs/>
          <w:i/>
          <w:iCs/>
          <w:snapToGrid w:val="0"/>
          <w:spacing w:val="-2"/>
          <w:szCs w:val="20"/>
          <w:lang w:val="es-ES_tradnl" w:eastAsia="es-ES"/>
        </w:rPr>
        <w:t xml:space="preserve">(Interpretación de la Sentencia de </w:t>
      </w:r>
      <w:r w:rsidR="00C2489D" w:rsidRPr="000866D1">
        <w:rPr>
          <w:rFonts w:eastAsia="Times New Roman" w:cs="Verdana"/>
          <w:b/>
          <w:bCs/>
          <w:i/>
          <w:iCs/>
          <w:snapToGrid w:val="0"/>
          <w:spacing w:val="-2"/>
          <w:szCs w:val="20"/>
          <w:lang w:val="es-ES_tradnl" w:eastAsia="es-ES"/>
        </w:rPr>
        <w:t xml:space="preserve">Excepción Preliminar, </w:t>
      </w:r>
    </w:p>
    <w:p w:rsidR="00970448" w:rsidRPr="000866D1" w:rsidRDefault="00970448" w:rsidP="009E1889">
      <w:pPr>
        <w:tabs>
          <w:tab w:val="left" w:pos="567"/>
        </w:tabs>
        <w:spacing w:after="0" w:line="240" w:lineRule="auto"/>
        <w:jc w:val="center"/>
        <w:rPr>
          <w:rFonts w:eastAsia="Times New Roman" w:cs="Verdana"/>
          <w:b/>
          <w:bCs/>
          <w:i/>
          <w:snapToGrid w:val="0"/>
          <w:spacing w:val="-2"/>
          <w:szCs w:val="20"/>
          <w:lang w:val="es-ES_tradnl" w:eastAsia="es-ES"/>
        </w:rPr>
      </w:pPr>
      <w:r w:rsidRPr="000866D1">
        <w:rPr>
          <w:rFonts w:eastAsia="Times New Roman" w:cs="Verdana"/>
          <w:b/>
          <w:bCs/>
          <w:i/>
          <w:iCs/>
          <w:snapToGrid w:val="0"/>
          <w:spacing w:val="-2"/>
          <w:szCs w:val="20"/>
          <w:lang w:val="es-ES_tradnl" w:eastAsia="es-ES"/>
        </w:rPr>
        <w:t>Fondo, Reparaciones y Costas)</w:t>
      </w:r>
    </w:p>
    <w:p w:rsidR="00970448" w:rsidRPr="000866D1" w:rsidRDefault="00970448" w:rsidP="009E1889">
      <w:pPr>
        <w:tabs>
          <w:tab w:val="left" w:pos="567"/>
          <w:tab w:val="left" w:pos="720"/>
        </w:tabs>
        <w:spacing w:after="0" w:line="240" w:lineRule="auto"/>
        <w:rPr>
          <w:rFonts w:eastAsia="Times New Roman"/>
          <w:b/>
          <w:bCs/>
          <w:smallCaps/>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i/>
          <w:iCs/>
          <w:spacing w:val="-2"/>
          <w:szCs w:val="20"/>
          <w:lang w:val="es-ES_tradnl"/>
        </w:rPr>
      </w:pPr>
      <w:r w:rsidRPr="000866D1">
        <w:rPr>
          <w:rFonts w:eastAsia="Times New Roman" w:cs="Verdana"/>
          <w:spacing w:val="-2"/>
          <w:szCs w:val="20"/>
          <w:lang w:val="es-ES_tradnl"/>
        </w:rPr>
        <w:t>En el caso</w:t>
      </w:r>
      <w:r w:rsidRPr="000866D1">
        <w:rPr>
          <w:rFonts w:eastAsia="Times New Roman" w:cs="Verdana"/>
          <w:i/>
          <w:iCs/>
          <w:spacing w:val="-2"/>
          <w:szCs w:val="20"/>
          <w:lang w:val="es-ES_tradnl"/>
        </w:rPr>
        <w:t xml:space="preserve"> </w:t>
      </w:r>
      <w:r w:rsidR="00496F2F" w:rsidRPr="000866D1">
        <w:rPr>
          <w:i/>
          <w:spacing w:val="-2"/>
          <w:lang w:eastAsia="es-CR"/>
        </w:rPr>
        <w:t>Wong Ho Wing</w:t>
      </w:r>
      <w:r w:rsidRPr="000866D1">
        <w:rPr>
          <w:rFonts w:eastAsia="Times New Roman" w:cs="Verdana"/>
          <w:i/>
          <w:iCs/>
          <w:spacing w:val="-2"/>
          <w:szCs w:val="20"/>
          <w:lang w:val="es-ES_tradnl"/>
        </w:rPr>
        <w:t xml:space="preserve">, </w:t>
      </w: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la Corte Interamericana de Derechos Humanos (en adelante “la Corte Interamericana”, “la Corte” o “este </w:t>
      </w:r>
      <w:r w:rsidRPr="000866D1">
        <w:rPr>
          <w:rStyle w:val="LineNumber"/>
          <w:spacing w:val="-2"/>
          <w:sz w:val="20"/>
          <w:szCs w:val="20"/>
          <w:lang w:val="es-ES_tradnl"/>
        </w:rPr>
        <w:t>Tribunal</w:t>
      </w:r>
      <w:r w:rsidRPr="000866D1">
        <w:rPr>
          <w:rFonts w:eastAsia="Times New Roman" w:cs="Verdana"/>
          <w:spacing w:val="-2"/>
          <w:szCs w:val="20"/>
          <w:lang w:val="es-ES_tradnl"/>
        </w:rPr>
        <w:t>”), integrada por los siguientes jueces</w:t>
      </w:r>
      <w:bookmarkStart w:id="62" w:name="_Ref454270375"/>
      <w:r w:rsidR="007F6D48">
        <w:rPr>
          <w:rStyle w:val="FootnoteReference"/>
          <w:rFonts w:eastAsia="Times New Roman" w:cs="Verdana"/>
          <w:spacing w:val="-2"/>
          <w:szCs w:val="20"/>
          <w:lang w:val="es-ES_tradnl"/>
        </w:rPr>
        <w:footnoteReference w:id="1"/>
      </w:r>
      <w:bookmarkEnd w:id="62"/>
      <w:r w:rsidR="003A272C" w:rsidRPr="000866D1">
        <w:rPr>
          <w:rFonts w:eastAsia="Times New Roman" w:cs="Verdana"/>
          <w:spacing w:val="-2"/>
          <w:szCs w:val="20"/>
          <w:lang w:val="es-ES_tradnl"/>
        </w:rPr>
        <w:t>:</w:t>
      </w: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
    <w:p w:rsidR="00496F2F" w:rsidRPr="007F6D48" w:rsidRDefault="000866D1" w:rsidP="009E1889">
      <w:pPr>
        <w:tabs>
          <w:tab w:val="left" w:pos="567"/>
          <w:tab w:val="left" w:pos="720"/>
        </w:tabs>
        <w:spacing w:after="0" w:line="240" w:lineRule="auto"/>
        <w:jc w:val="both"/>
        <w:rPr>
          <w:rFonts w:eastAsia="Times New Roman" w:cs="Verdana"/>
          <w:spacing w:val="-2"/>
          <w:szCs w:val="20"/>
          <w:lang w:val="pt-BR"/>
        </w:rPr>
      </w:pPr>
      <w:r w:rsidRPr="007F6D48">
        <w:rPr>
          <w:rFonts w:eastAsia="Times New Roman" w:cs="Verdana"/>
          <w:spacing w:val="-2"/>
          <w:szCs w:val="20"/>
          <w:lang w:val="pt-BR"/>
        </w:rPr>
        <w:t>Roberto F. Caldas</w:t>
      </w:r>
      <w:r w:rsidR="00496F2F" w:rsidRPr="007F6D48">
        <w:rPr>
          <w:rFonts w:eastAsia="Times New Roman" w:cs="Verdana"/>
          <w:spacing w:val="-2"/>
          <w:szCs w:val="20"/>
          <w:lang w:val="pt-BR"/>
        </w:rPr>
        <w:t>, Presidente;</w:t>
      </w:r>
    </w:p>
    <w:p w:rsidR="00496F2F" w:rsidRPr="007F6D48" w:rsidRDefault="000866D1" w:rsidP="009E1889">
      <w:pPr>
        <w:tabs>
          <w:tab w:val="left" w:pos="567"/>
          <w:tab w:val="left" w:pos="720"/>
        </w:tabs>
        <w:spacing w:after="0" w:line="240" w:lineRule="auto"/>
        <w:jc w:val="both"/>
        <w:rPr>
          <w:rFonts w:eastAsia="Times New Roman" w:cs="Verdana"/>
          <w:spacing w:val="-2"/>
          <w:szCs w:val="20"/>
          <w:lang w:val="pt-BR"/>
        </w:rPr>
      </w:pPr>
      <w:r w:rsidRPr="007F6D48">
        <w:rPr>
          <w:rFonts w:eastAsia="Times New Roman" w:cs="Verdana"/>
          <w:spacing w:val="-2"/>
          <w:szCs w:val="20"/>
          <w:lang w:val="pt-BR"/>
        </w:rPr>
        <w:t>Eduardo Ferrer Mac-Gregor Poisot</w:t>
      </w:r>
      <w:r w:rsidR="00496F2F" w:rsidRPr="007F6D48">
        <w:rPr>
          <w:rFonts w:eastAsia="Times New Roman" w:cs="Verdana"/>
          <w:spacing w:val="-2"/>
          <w:szCs w:val="20"/>
          <w:lang w:val="pt-BR"/>
        </w:rPr>
        <w:t xml:space="preserve">, Vicepresidente; </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Manuel E. Ventura Robles, Juez; </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Eduardo Vio Grossi, Juez, y </w:t>
      </w:r>
    </w:p>
    <w:p w:rsidR="00160152" w:rsidRPr="000866D1" w:rsidRDefault="000866D1"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Humberto Antonio Sierra Porto</w:t>
      </w:r>
      <w:r w:rsidR="00496F2F" w:rsidRPr="000866D1">
        <w:rPr>
          <w:rFonts w:eastAsia="Times New Roman" w:cs="Verdana"/>
          <w:spacing w:val="-2"/>
          <w:szCs w:val="20"/>
          <w:lang w:val="es-ES_tradnl"/>
        </w:rPr>
        <w:t>, Juez;</w:t>
      </w:r>
    </w:p>
    <w:p w:rsidR="00496F2F" w:rsidRPr="000866D1" w:rsidRDefault="00496F2F" w:rsidP="009E1889">
      <w:pPr>
        <w:tabs>
          <w:tab w:val="left" w:pos="567"/>
          <w:tab w:val="left" w:pos="720"/>
        </w:tabs>
        <w:spacing w:after="0" w:line="240" w:lineRule="auto"/>
        <w:jc w:val="both"/>
        <w:rPr>
          <w:rFonts w:eastAsia="Times New Roman" w:cs="Verdana"/>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presentes además,</w:t>
      </w: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p>
    <w:p w:rsidR="00970448" w:rsidRPr="000866D1" w:rsidRDefault="00970448" w:rsidP="009E1889">
      <w:pPr>
        <w:tabs>
          <w:tab w:val="left" w:pos="567"/>
          <w:tab w:val="left" w:pos="720"/>
        </w:tabs>
        <w:spacing w:after="0" w:line="240" w:lineRule="auto"/>
        <w:jc w:val="both"/>
        <w:rPr>
          <w:rFonts w:eastAsia="Times New Roman" w:cs="Verdana"/>
          <w:spacing w:val="-2"/>
          <w:szCs w:val="20"/>
          <w:lang w:val="es-ES_tradnl"/>
        </w:rPr>
      </w:pPr>
      <w:r w:rsidRPr="000866D1">
        <w:rPr>
          <w:rFonts w:eastAsia="Times New Roman" w:cs="Verdana"/>
          <w:spacing w:val="-2"/>
          <w:szCs w:val="20"/>
          <w:lang w:val="es-ES_tradnl"/>
        </w:rPr>
        <w:t xml:space="preserve">Pablo Saavedra Alessandri, Secretario, y </w:t>
      </w:r>
    </w:p>
    <w:p w:rsidR="00970448" w:rsidRPr="000866D1" w:rsidRDefault="00970448" w:rsidP="009E1889">
      <w:pPr>
        <w:tabs>
          <w:tab w:val="left" w:pos="567"/>
          <w:tab w:val="left" w:pos="720"/>
        </w:tabs>
        <w:spacing w:after="0" w:line="240" w:lineRule="auto"/>
        <w:jc w:val="both"/>
        <w:rPr>
          <w:rFonts w:eastAsia="Times New Roman"/>
          <w:spacing w:val="-2"/>
          <w:szCs w:val="20"/>
          <w:lang w:val="es-ES_tradnl"/>
        </w:rPr>
      </w:pPr>
      <w:r w:rsidRPr="000866D1">
        <w:rPr>
          <w:rFonts w:eastAsia="Times New Roman" w:cs="Verdana"/>
          <w:spacing w:val="-2"/>
          <w:szCs w:val="20"/>
          <w:lang w:val="es-ES_tradnl" w:eastAsia="es-MX"/>
        </w:rPr>
        <w:t>Emilia Segares Rodríguez, Secretaria Adjunta,</w:t>
      </w:r>
    </w:p>
    <w:p w:rsidR="00970448" w:rsidRPr="000866D1" w:rsidRDefault="00970448" w:rsidP="009E1889">
      <w:pPr>
        <w:tabs>
          <w:tab w:val="left" w:pos="567"/>
        </w:tabs>
        <w:spacing w:after="0" w:line="240" w:lineRule="auto"/>
        <w:jc w:val="center"/>
        <w:rPr>
          <w:rFonts w:eastAsia="Times New Roman" w:cs="Verdana"/>
          <w:b/>
          <w:bCs/>
          <w:caps/>
          <w:snapToGrid w:val="0"/>
          <w:spacing w:val="-2"/>
          <w:szCs w:val="20"/>
          <w:lang w:val="es-ES_tradnl" w:eastAsia="es-ES"/>
        </w:rPr>
      </w:pPr>
    </w:p>
    <w:p w:rsidR="00970448" w:rsidRPr="000866D1" w:rsidRDefault="00970448" w:rsidP="009E1889">
      <w:pPr>
        <w:tabs>
          <w:tab w:val="left" w:pos="567"/>
        </w:tabs>
        <w:autoSpaceDE w:val="0"/>
        <w:autoSpaceDN w:val="0"/>
        <w:adjustRightInd w:val="0"/>
        <w:spacing w:after="0" w:line="240" w:lineRule="auto"/>
        <w:jc w:val="both"/>
        <w:rPr>
          <w:rFonts w:cs="Verdana"/>
          <w:spacing w:val="-2"/>
          <w:szCs w:val="20"/>
          <w:lang w:val="es-ES_tradnl"/>
        </w:rPr>
      </w:pPr>
      <w:r w:rsidRPr="000866D1">
        <w:rPr>
          <w:rFonts w:cs="Verdana"/>
          <w:spacing w:val="-2"/>
          <w:szCs w:val="20"/>
          <w:lang w:val="es-ES_tradnl"/>
        </w:rPr>
        <w:t>de conformidad con el artículo 67 de la Convención Americana sobre Derechos Humanos (en adelante también “la Convención Americana” o “la Convención”) y el artículo 68 del Reglamento de la Corte (en adelante “el Reglamento”), resuelve la solicitud de interpretación de la Sentencia de</w:t>
      </w:r>
      <w:r w:rsidR="00475443" w:rsidRPr="000866D1">
        <w:rPr>
          <w:rFonts w:cs="Verdana"/>
          <w:spacing w:val="-2"/>
          <w:szCs w:val="20"/>
          <w:lang w:val="es-ES_tradnl"/>
        </w:rPr>
        <w:t xml:space="preserve"> excepción preliminar,</w:t>
      </w:r>
      <w:r w:rsidRPr="000866D1">
        <w:rPr>
          <w:rFonts w:cs="Verdana"/>
          <w:spacing w:val="-2"/>
          <w:szCs w:val="20"/>
          <w:lang w:val="es-ES_tradnl"/>
        </w:rPr>
        <w:t xml:space="preserve"> fondo, reparaciones y costas emitida por este Tribunal el </w:t>
      </w:r>
      <w:r w:rsidR="007063CB" w:rsidRPr="000866D1">
        <w:rPr>
          <w:rFonts w:cs="Verdana"/>
          <w:spacing w:val="-2"/>
          <w:szCs w:val="20"/>
          <w:lang w:val="es-ES_tradnl"/>
        </w:rPr>
        <w:t xml:space="preserve">30 </w:t>
      </w:r>
      <w:r w:rsidR="00475443" w:rsidRPr="000866D1">
        <w:rPr>
          <w:rFonts w:cs="Verdana"/>
          <w:spacing w:val="-2"/>
          <w:szCs w:val="20"/>
          <w:lang w:val="es-ES_tradnl"/>
        </w:rPr>
        <w:t xml:space="preserve">de </w:t>
      </w:r>
      <w:r w:rsidR="007063CB" w:rsidRPr="000866D1">
        <w:rPr>
          <w:rFonts w:cs="Verdana"/>
          <w:spacing w:val="-2"/>
          <w:szCs w:val="20"/>
          <w:lang w:val="es-ES_tradnl"/>
        </w:rPr>
        <w:t xml:space="preserve">junio </w:t>
      </w:r>
      <w:r w:rsidR="00475443"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en el presente caso (en adelante también “la Sentencia”), interpuesta el </w:t>
      </w:r>
      <w:r w:rsidR="00F85E0D" w:rsidRPr="000866D1">
        <w:rPr>
          <w:rFonts w:cs="Verdana"/>
          <w:spacing w:val="-2"/>
          <w:szCs w:val="20"/>
          <w:lang w:val="es-ES_tradnl"/>
        </w:rPr>
        <w:t>1</w:t>
      </w:r>
      <w:r w:rsidR="007063CB" w:rsidRPr="000866D1">
        <w:rPr>
          <w:rFonts w:cs="Verdana"/>
          <w:spacing w:val="-2"/>
          <w:szCs w:val="20"/>
          <w:lang w:val="es-ES_tradnl"/>
        </w:rPr>
        <w:t>4</w:t>
      </w:r>
      <w:r w:rsidR="00F85E0D" w:rsidRPr="000866D1">
        <w:rPr>
          <w:rFonts w:cs="Verdana"/>
          <w:spacing w:val="-2"/>
          <w:szCs w:val="20"/>
          <w:lang w:val="es-ES_tradnl"/>
        </w:rPr>
        <w:t xml:space="preserve"> de </w:t>
      </w:r>
      <w:r w:rsidR="007063CB" w:rsidRPr="000866D1">
        <w:rPr>
          <w:rFonts w:cs="Verdana"/>
          <w:spacing w:val="-2"/>
          <w:szCs w:val="20"/>
          <w:lang w:val="es-ES_tradnl"/>
        </w:rPr>
        <w:t xml:space="preserve">diciembre </w:t>
      </w:r>
      <w:r w:rsidR="00F85E0D"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por </w:t>
      </w:r>
      <w:r w:rsidR="007063CB" w:rsidRPr="000866D1">
        <w:rPr>
          <w:rFonts w:cs="Verdana"/>
          <w:spacing w:val="-2"/>
          <w:szCs w:val="20"/>
          <w:lang w:val="es-ES_tradnl"/>
        </w:rPr>
        <w:t xml:space="preserve">el </w:t>
      </w:r>
      <w:r w:rsidR="00F85E0D" w:rsidRPr="000866D1">
        <w:rPr>
          <w:rFonts w:eastAsia="Times"/>
          <w:bCs/>
          <w:spacing w:val="-2"/>
          <w:szCs w:val="20"/>
          <w:lang w:val="es-ES_tradnl"/>
        </w:rPr>
        <w:t>Estado de</w:t>
      </w:r>
      <w:r w:rsidR="001B0639" w:rsidRPr="000866D1">
        <w:rPr>
          <w:rFonts w:eastAsia="Times"/>
          <w:bCs/>
          <w:spacing w:val="-2"/>
          <w:szCs w:val="20"/>
          <w:lang w:val="es-ES_tradnl"/>
        </w:rPr>
        <w:t>l</w:t>
      </w:r>
      <w:r w:rsidR="00F85E0D" w:rsidRPr="000866D1">
        <w:rPr>
          <w:rFonts w:eastAsia="Times"/>
          <w:bCs/>
          <w:spacing w:val="-2"/>
          <w:szCs w:val="20"/>
          <w:lang w:val="es-ES_tradnl"/>
        </w:rPr>
        <w:t xml:space="preserve"> Perú </w:t>
      </w:r>
      <w:r w:rsidR="00F85E0D" w:rsidRPr="000866D1">
        <w:rPr>
          <w:spacing w:val="-2"/>
          <w:szCs w:val="20"/>
          <w:lang w:val="es-ES_tradnl"/>
        </w:rPr>
        <w:t>(en adelante “Perú” o “el Estado”)</w:t>
      </w:r>
      <w:r w:rsidRPr="000866D1">
        <w:rPr>
          <w:rFonts w:cs="Verdana"/>
          <w:spacing w:val="-2"/>
          <w:szCs w:val="20"/>
          <w:lang w:val="es-ES_tradnl"/>
        </w:rPr>
        <w:t>.</w:t>
      </w:r>
    </w:p>
    <w:p w:rsidR="007063CB" w:rsidRPr="000866D1" w:rsidRDefault="007063CB" w:rsidP="009E1889">
      <w:pPr>
        <w:tabs>
          <w:tab w:val="left" w:pos="567"/>
        </w:tabs>
        <w:autoSpaceDE w:val="0"/>
        <w:autoSpaceDN w:val="0"/>
        <w:adjustRightInd w:val="0"/>
        <w:spacing w:after="0" w:line="240" w:lineRule="auto"/>
        <w:jc w:val="both"/>
        <w:rPr>
          <w:rFonts w:cs="Verdana"/>
          <w:spacing w:val="-2"/>
          <w:szCs w:val="20"/>
          <w:lang w:val="es-ES_tradnl"/>
        </w:rPr>
      </w:pPr>
    </w:p>
    <w:p w:rsidR="00970448" w:rsidRPr="000866D1" w:rsidRDefault="00970448" w:rsidP="009E1889">
      <w:pPr>
        <w:keepNext/>
        <w:tabs>
          <w:tab w:val="left" w:pos="567"/>
        </w:tabs>
        <w:spacing w:after="0" w:line="240" w:lineRule="auto"/>
        <w:jc w:val="center"/>
        <w:outlineLvl w:val="1"/>
        <w:rPr>
          <w:rFonts w:eastAsia="Times New Roman" w:cs="Verdana"/>
          <w:b/>
          <w:bCs/>
          <w:iCs/>
          <w:caps/>
          <w:snapToGrid w:val="0"/>
          <w:spacing w:val="-2"/>
          <w:szCs w:val="20"/>
          <w:lang w:val="es-ES_tradnl" w:eastAsia="es-ES"/>
        </w:rPr>
      </w:pPr>
      <w:r w:rsidRPr="000866D1">
        <w:rPr>
          <w:rFonts w:eastAsia="Times New Roman" w:cs="Verdana"/>
          <w:b/>
          <w:bCs/>
          <w:iCs/>
          <w:caps/>
          <w:snapToGrid w:val="0"/>
          <w:spacing w:val="-2"/>
          <w:szCs w:val="20"/>
          <w:lang w:val="es-ES_tradnl" w:eastAsia="es-ES"/>
        </w:rPr>
        <w:lastRenderedPageBreak/>
        <w:t>I</w:t>
      </w:r>
    </w:p>
    <w:p w:rsidR="00970448" w:rsidRPr="000866D1" w:rsidRDefault="00970448" w:rsidP="009E1889">
      <w:pPr>
        <w:tabs>
          <w:tab w:val="left" w:pos="567"/>
        </w:tabs>
        <w:autoSpaceDE w:val="0"/>
        <w:autoSpaceDN w:val="0"/>
        <w:adjustRightInd w:val="0"/>
        <w:spacing w:after="0" w:line="240" w:lineRule="auto"/>
        <w:jc w:val="center"/>
        <w:rPr>
          <w:rFonts w:cs="Verdana"/>
          <w:b/>
          <w:bCs/>
          <w:spacing w:val="-2"/>
          <w:szCs w:val="20"/>
          <w:lang w:val="es-ES_tradnl"/>
        </w:rPr>
      </w:pPr>
      <w:r w:rsidRPr="000866D1">
        <w:rPr>
          <w:rFonts w:cs="Verdana"/>
          <w:b/>
          <w:bCs/>
          <w:spacing w:val="-2"/>
          <w:szCs w:val="20"/>
          <w:lang w:val="es-ES_tradnl"/>
        </w:rPr>
        <w:t>SOLICITUD DE INTERPRETACIÓN</w:t>
      </w:r>
    </w:p>
    <w:p w:rsidR="00970448" w:rsidRPr="000866D1" w:rsidRDefault="00970448" w:rsidP="009E1889">
      <w:pPr>
        <w:tabs>
          <w:tab w:val="left" w:pos="567"/>
        </w:tabs>
        <w:spacing w:after="0" w:line="240" w:lineRule="auto"/>
        <w:jc w:val="center"/>
        <w:rPr>
          <w:rFonts w:eastAsia="Times"/>
          <w:spacing w:val="-2"/>
          <w:szCs w:val="20"/>
          <w:lang w:val="es-ES_tradnl" w:eastAsia="es-ES"/>
        </w:rPr>
      </w:pPr>
      <w:r w:rsidRPr="000866D1">
        <w:rPr>
          <w:rFonts w:cs="Verdana"/>
          <w:b/>
          <w:bCs/>
          <w:spacing w:val="-2"/>
          <w:szCs w:val="20"/>
          <w:lang w:val="es-ES_tradnl"/>
        </w:rPr>
        <w:t>Y PROCEDIMIENTO ANTE LA CORTE</w:t>
      </w:r>
    </w:p>
    <w:p w:rsidR="00970448" w:rsidRPr="000866D1" w:rsidRDefault="00970448" w:rsidP="009E1889">
      <w:pPr>
        <w:tabs>
          <w:tab w:val="left" w:pos="567"/>
        </w:tabs>
        <w:spacing w:after="0" w:line="240" w:lineRule="auto"/>
        <w:jc w:val="both"/>
        <w:rPr>
          <w:rFonts w:eastAsia="Times"/>
          <w:spacing w:val="-2"/>
          <w:szCs w:val="20"/>
          <w:lang w:val="es-ES_tradnl"/>
        </w:rPr>
      </w:pPr>
    </w:p>
    <w:p w:rsidR="00970448"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cs="Verdana"/>
          <w:spacing w:val="-2"/>
          <w:szCs w:val="20"/>
          <w:lang w:val="es-ES_tradnl"/>
        </w:rPr>
      </w:pPr>
      <w:bookmarkStart w:id="63" w:name="_Ref395106623"/>
      <w:r w:rsidRPr="000866D1">
        <w:rPr>
          <w:rFonts w:cs="Verdana"/>
          <w:spacing w:val="-2"/>
          <w:szCs w:val="20"/>
          <w:lang w:val="es-ES_tradnl"/>
        </w:rPr>
        <w:t xml:space="preserve">El </w:t>
      </w:r>
      <w:r w:rsidR="007063CB" w:rsidRPr="000866D1">
        <w:rPr>
          <w:rFonts w:cs="Verdana"/>
          <w:spacing w:val="-2"/>
          <w:szCs w:val="20"/>
          <w:lang w:val="es-ES_tradnl"/>
        </w:rPr>
        <w:t>30</w:t>
      </w:r>
      <w:r w:rsidR="00475443" w:rsidRPr="000866D1">
        <w:rPr>
          <w:rFonts w:cs="Verdana"/>
          <w:spacing w:val="-2"/>
          <w:szCs w:val="20"/>
          <w:lang w:val="es-ES_tradnl"/>
        </w:rPr>
        <w:t xml:space="preserve"> de </w:t>
      </w:r>
      <w:r w:rsidR="007063CB" w:rsidRPr="000866D1">
        <w:rPr>
          <w:rFonts w:cs="Verdana"/>
          <w:spacing w:val="-2"/>
          <w:szCs w:val="20"/>
          <w:lang w:val="es-ES_tradnl"/>
        </w:rPr>
        <w:t xml:space="preserve">junio </w:t>
      </w:r>
      <w:r w:rsidR="00475443" w:rsidRPr="000866D1">
        <w:rPr>
          <w:rFonts w:cs="Verdana"/>
          <w:spacing w:val="-2"/>
          <w:szCs w:val="20"/>
          <w:lang w:val="es-ES_tradnl"/>
        </w:rPr>
        <w:t>de 201</w:t>
      </w:r>
      <w:r w:rsidR="007063CB" w:rsidRPr="000866D1">
        <w:rPr>
          <w:rFonts w:cs="Verdana"/>
          <w:spacing w:val="-2"/>
          <w:szCs w:val="20"/>
          <w:lang w:val="es-ES_tradnl"/>
        </w:rPr>
        <w:t>5</w:t>
      </w:r>
      <w:r w:rsidRPr="000866D1">
        <w:rPr>
          <w:rFonts w:eastAsia="Times"/>
          <w:spacing w:val="-2"/>
          <w:szCs w:val="20"/>
          <w:lang w:val="es-ES_tradnl"/>
        </w:rPr>
        <w:t xml:space="preserve"> la Corte emitió la Sentencia, la cual fue notificada a las partes y a la Comisión Interamericana de </w:t>
      </w:r>
      <w:r w:rsidRPr="000866D1">
        <w:rPr>
          <w:rFonts w:cs="Verdana"/>
          <w:spacing w:val="-2"/>
          <w:szCs w:val="20"/>
          <w:lang w:val="es-ES_tradnl"/>
        </w:rPr>
        <w:t xml:space="preserve">Derechos Humanos (en adelante “la Comisión Interamericana” o “la Comisión”) </w:t>
      </w:r>
      <w:r w:rsidRPr="000866D1">
        <w:rPr>
          <w:rFonts w:eastAsia="Times"/>
          <w:spacing w:val="-2"/>
          <w:szCs w:val="20"/>
          <w:lang w:val="es-ES_tradnl"/>
        </w:rPr>
        <w:t xml:space="preserve">el </w:t>
      </w:r>
      <w:r w:rsidR="007063CB" w:rsidRPr="000866D1">
        <w:rPr>
          <w:rFonts w:eastAsia="Times"/>
          <w:spacing w:val="-2"/>
          <w:szCs w:val="20"/>
          <w:lang w:val="es-ES_tradnl"/>
        </w:rPr>
        <w:t xml:space="preserve">16 </w:t>
      </w:r>
      <w:r w:rsidR="00475443" w:rsidRPr="000866D1">
        <w:rPr>
          <w:rFonts w:eastAsia="Times"/>
          <w:spacing w:val="-2"/>
          <w:szCs w:val="20"/>
          <w:lang w:val="es-ES_tradnl"/>
        </w:rPr>
        <w:t xml:space="preserve">de </w:t>
      </w:r>
      <w:r w:rsidR="007063CB" w:rsidRPr="000866D1">
        <w:rPr>
          <w:rFonts w:eastAsia="Times"/>
          <w:spacing w:val="-2"/>
          <w:szCs w:val="20"/>
          <w:lang w:val="es-ES_tradnl"/>
        </w:rPr>
        <w:t xml:space="preserve">septiembre </w:t>
      </w:r>
      <w:r w:rsidRPr="000866D1">
        <w:rPr>
          <w:rFonts w:eastAsia="Times"/>
          <w:spacing w:val="-2"/>
          <w:szCs w:val="20"/>
          <w:lang w:val="es-ES_tradnl"/>
        </w:rPr>
        <w:t>del mismo año</w:t>
      </w:r>
      <w:r w:rsidR="00002230" w:rsidRPr="000866D1">
        <w:rPr>
          <w:rFonts w:eastAsia="Times"/>
          <w:spacing w:val="-2"/>
          <w:szCs w:val="20"/>
          <w:lang w:val="es-ES_tradnl"/>
        </w:rPr>
        <w:t>.</w:t>
      </w:r>
      <w:r w:rsidR="00475443" w:rsidRPr="000866D1">
        <w:rPr>
          <w:rFonts w:eastAsia="Times"/>
          <w:spacing w:val="-2"/>
          <w:szCs w:val="20"/>
          <w:lang w:val="es-ES_tradnl"/>
        </w:rPr>
        <w:t xml:space="preserve"> </w:t>
      </w:r>
      <w:bookmarkEnd w:id="63"/>
    </w:p>
    <w:p w:rsidR="00970448" w:rsidRPr="000866D1" w:rsidRDefault="00970448" w:rsidP="009E1889">
      <w:pPr>
        <w:tabs>
          <w:tab w:val="left" w:pos="567"/>
        </w:tabs>
        <w:autoSpaceDE w:val="0"/>
        <w:autoSpaceDN w:val="0"/>
        <w:adjustRightInd w:val="0"/>
        <w:spacing w:after="0" w:line="240" w:lineRule="auto"/>
        <w:jc w:val="both"/>
        <w:rPr>
          <w:rFonts w:cs="Verdana"/>
          <w:spacing w:val="-2"/>
          <w:szCs w:val="20"/>
          <w:lang w:val="es-ES_tradnl"/>
        </w:rPr>
      </w:pPr>
    </w:p>
    <w:p w:rsidR="00DC61D1" w:rsidRPr="000866D1" w:rsidRDefault="00475443" w:rsidP="007063CB">
      <w:pPr>
        <w:numPr>
          <w:ilvl w:val="0"/>
          <w:numId w:val="1"/>
        </w:numPr>
        <w:tabs>
          <w:tab w:val="left" w:pos="567"/>
          <w:tab w:val="num" w:pos="720"/>
        </w:tabs>
        <w:autoSpaceDE w:val="0"/>
        <w:autoSpaceDN w:val="0"/>
        <w:adjustRightInd w:val="0"/>
        <w:spacing w:after="0" w:line="240" w:lineRule="auto"/>
        <w:jc w:val="both"/>
        <w:rPr>
          <w:rFonts w:cs="Verdana"/>
          <w:spacing w:val="-2"/>
          <w:szCs w:val="20"/>
          <w:u w:val="single"/>
          <w:lang w:val="es-ES_tradnl"/>
        </w:rPr>
      </w:pPr>
      <w:bookmarkStart w:id="64" w:name="_Ref395083029"/>
      <w:bookmarkStart w:id="65" w:name="_Ref403060836"/>
      <w:bookmarkStart w:id="66" w:name="_Ref363085373"/>
      <w:r w:rsidRPr="000866D1">
        <w:rPr>
          <w:rFonts w:cs="Verdana"/>
          <w:spacing w:val="-2"/>
          <w:szCs w:val="20"/>
          <w:lang w:val="es-ES_tradnl"/>
        </w:rPr>
        <w:t xml:space="preserve">El </w:t>
      </w:r>
      <w:r w:rsidR="00002230" w:rsidRPr="000866D1">
        <w:rPr>
          <w:rFonts w:cs="Verdana"/>
          <w:spacing w:val="-2"/>
          <w:szCs w:val="20"/>
          <w:lang w:val="es-ES_tradnl"/>
        </w:rPr>
        <w:t>1</w:t>
      </w:r>
      <w:r w:rsidR="007063CB" w:rsidRPr="000866D1">
        <w:rPr>
          <w:rFonts w:cs="Verdana"/>
          <w:spacing w:val="-2"/>
          <w:szCs w:val="20"/>
          <w:lang w:val="es-ES_tradnl"/>
        </w:rPr>
        <w:t>4</w:t>
      </w:r>
      <w:r w:rsidR="00002230" w:rsidRPr="000866D1">
        <w:rPr>
          <w:rFonts w:cs="Verdana"/>
          <w:spacing w:val="-2"/>
          <w:szCs w:val="20"/>
          <w:lang w:val="es-ES_tradnl"/>
        </w:rPr>
        <w:t xml:space="preserve"> </w:t>
      </w:r>
      <w:r w:rsidRPr="000866D1">
        <w:rPr>
          <w:rFonts w:cs="Verdana"/>
          <w:spacing w:val="-2"/>
          <w:szCs w:val="20"/>
          <w:lang w:val="es-ES_tradnl"/>
        </w:rPr>
        <w:t xml:space="preserve">de </w:t>
      </w:r>
      <w:r w:rsidR="007063CB" w:rsidRPr="000866D1">
        <w:rPr>
          <w:rFonts w:cs="Verdana"/>
          <w:spacing w:val="-2"/>
          <w:szCs w:val="20"/>
          <w:lang w:val="es-ES_tradnl"/>
        </w:rPr>
        <w:t xml:space="preserve">diciembre </w:t>
      </w:r>
      <w:r w:rsidRPr="000866D1">
        <w:rPr>
          <w:rFonts w:cs="Verdana"/>
          <w:spacing w:val="-2"/>
          <w:szCs w:val="20"/>
          <w:lang w:val="es-ES_tradnl"/>
        </w:rPr>
        <w:t>de 201</w:t>
      </w:r>
      <w:r w:rsidR="007063CB" w:rsidRPr="000866D1">
        <w:rPr>
          <w:rFonts w:cs="Verdana"/>
          <w:spacing w:val="-2"/>
          <w:szCs w:val="20"/>
          <w:lang w:val="es-ES_tradnl"/>
        </w:rPr>
        <w:t>5</w:t>
      </w:r>
      <w:r w:rsidRPr="000866D1">
        <w:rPr>
          <w:rFonts w:cs="Verdana"/>
          <w:spacing w:val="-2"/>
          <w:szCs w:val="20"/>
          <w:lang w:val="es-ES_tradnl"/>
        </w:rPr>
        <w:t xml:space="preserve"> </w:t>
      </w:r>
      <w:bookmarkStart w:id="67" w:name="_Ref403060837"/>
      <w:bookmarkStart w:id="68" w:name="_Ref395083031"/>
      <w:bookmarkEnd w:id="64"/>
      <w:bookmarkEnd w:id="65"/>
      <w:bookmarkEnd w:id="66"/>
      <w:r w:rsidR="00FA15D0" w:rsidRPr="000866D1">
        <w:rPr>
          <w:rFonts w:cs="Verdana"/>
          <w:spacing w:val="-2"/>
          <w:szCs w:val="20"/>
          <w:lang w:val="es-ES_tradnl"/>
        </w:rPr>
        <w:t xml:space="preserve">el Estado </w:t>
      </w:r>
      <w:r w:rsidR="008D6DDA" w:rsidRPr="000866D1">
        <w:rPr>
          <w:rFonts w:cs="Verdana"/>
          <w:spacing w:val="-2"/>
          <w:szCs w:val="20"/>
          <w:lang w:val="es-ES_tradnl"/>
        </w:rPr>
        <w:t xml:space="preserve">sometió </w:t>
      </w:r>
      <w:r w:rsidR="007A0139" w:rsidRPr="000866D1">
        <w:rPr>
          <w:rFonts w:cs="Verdana"/>
          <w:spacing w:val="-2"/>
          <w:szCs w:val="20"/>
          <w:lang w:val="es-ES_tradnl"/>
        </w:rPr>
        <w:t xml:space="preserve">una solicitud de interpretación </w:t>
      </w:r>
      <w:r w:rsidR="003F7D58" w:rsidRPr="000866D1">
        <w:rPr>
          <w:rFonts w:cs="Verdana"/>
          <w:spacing w:val="-2"/>
          <w:szCs w:val="20"/>
          <w:lang w:val="es-ES_tradnl"/>
        </w:rPr>
        <w:t xml:space="preserve">respecto de la revisión judicial a la cual debe ser sometida la decisión del Poder Ejecutivo que declara procedente la extradición. </w:t>
      </w:r>
      <w:r w:rsidR="009D22C8" w:rsidRPr="000866D1">
        <w:rPr>
          <w:rFonts w:cs="Verdana"/>
          <w:spacing w:val="-2"/>
          <w:szCs w:val="20"/>
          <w:lang w:val="es-ES_tradnl"/>
        </w:rPr>
        <w:t xml:space="preserve">En particular, el Estado </w:t>
      </w:r>
      <w:r w:rsidR="006D45B9" w:rsidRPr="000866D1">
        <w:rPr>
          <w:rFonts w:cs="Verdana"/>
          <w:spacing w:val="-2"/>
          <w:szCs w:val="20"/>
          <w:lang w:val="es-ES_tradnl"/>
        </w:rPr>
        <w:t xml:space="preserve">solicitó </w:t>
      </w:r>
      <w:r w:rsidR="00DC61D1" w:rsidRPr="000866D1">
        <w:rPr>
          <w:rFonts w:cs="Verdana"/>
          <w:spacing w:val="-2"/>
          <w:szCs w:val="20"/>
          <w:lang w:val="es-ES_tradnl"/>
        </w:rPr>
        <w:t>a la Corte que</w:t>
      </w:r>
      <w:r w:rsidR="003F7D58" w:rsidRPr="000866D1">
        <w:rPr>
          <w:rFonts w:cs="Verdana"/>
          <w:spacing w:val="-2"/>
          <w:szCs w:val="20"/>
          <w:lang w:val="es-ES_tradnl"/>
        </w:rPr>
        <w:t xml:space="preserve"> aclare</w:t>
      </w:r>
      <w:bookmarkEnd w:id="67"/>
      <w:r w:rsidR="003F7D58" w:rsidRPr="000866D1">
        <w:rPr>
          <w:rFonts w:cs="Verdana"/>
          <w:spacing w:val="-2"/>
          <w:szCs w:val="20"/>
          <w:lang w:val="es-ES_tradnl"/>
        </w:rPr>
        <w:t xml:space="preserve"> si </w:t>
      </w:r>
      <w:r w:rsidR="003F7D58" w:rsidRPr="000866D1">
        <w:rPr>
          <w:rFonts w:eastAsiaTheme="minorHAnsi"/>
          <w:spacing w:val="-2"/>
          <w:szCs w:val="20"/>
        </w:rPr>
        <w:t>el objeto de control constitucional</w:t>
      </w:r>
      <w:r w:rsidR="00656A66">
        <w:rPr>
          <w:rFonts w:eastAsiaTheme="minorHAnsi"/>
          <w:spacing w:val="-2"/>
          <w:szCs w:val="20"/>
        </w:rPr>
        <w:t>,</w:t>
      </w:r>
      <w:r w:rsidR="003F7D58" w:rsidRPr="000866D1">
        <w:rPr>
          <w:rFonts w:eastAsiaTheme="minorHAnsi"/>
          <w:spacing w:val="-2"/>
          <w:szCs w:val="20"/>
        </w:rPr>
        <w:t xml:space="preserve"> al que hace referencia el párrafo 205 de la Sentencia</w:t>
      </w:r>
      <w:r w:rsidR="00656A66">
        <w:rPr>
          <w:rFonts w:eastAsiaTheme="minorHAnsi"/>
          <w:spacing w:val="-2"/>
          <w:szCs w:val="20"/>
        </w:rPr>
        <w:t>,</w:t>
      </w:r>
      <w:r w:rsidR="003F7D58" w:rsidRPr="000866D1">
        <w:rPr>
          <w:rFonts w:eastAsiaTheme="minorHAnsi"/>
          <w:spacing w:val="-2"/>
          <w:szCs w:val="20"/>
        </w:rPr>
        <w:t xml:space="preserve"> corresponde únicamente a la decisión definitiva adoptada por el Poder Ejecutivo sobre el pedido de extradición o se extiende a cualquier acto relacionado con el procedimiento de ejecución de extradición que el señor Wong Ho Wing considere afecte sus derechos</w:t>
      </w:r>
      <w:r w:rsidR="00120B2D" w:rsidRPr="000866D1">
        <w:rPr>
          <w:rFonts w:eastAsiaTheme="minorHAnsi"/>
          <w:spacing w:val="-2"/>
          <w:szCs w:val="20"/>
        </w:rPr>
        <w:t>.</w:t>
      </w:r>
      <w:r w:rsidR="00365B6F">
        <w:rPr>
          <w:rFonts w:eastAsiaTheme="minorHAnsi"/>
          <w:spacing w:val="-2"/>
          <w:szCs w:val="20"/>
        </w:rPr>
        <w:t xml:space="preserve"> </w:t>
      </w:r>
    </w:p>
    <w:bookmarkEnd w:id="68"/>
    <w:p w:rsidR="00970448" w:rsidRPr="000866D1" w:rsidRDefault="00970448" w:rsidP="009E1889">
      <w:pPr>
        <w:tabs>
          <w:tab w:val="left" w:pos="567"/>
        </w:tabs>
        <w:autoSpaceDE w:val="0"/>
        <w:autoSpaceDN w:val="0"/>
        <w:adjustRightInd w:val="0"/>
        <w:spacing w:after="0" w:line="240" w:lineRule="auto"/>
        <w:jc w:val="both"/>
        <w:rPr>
          <w:rFonts w:cs="Verdana"/>
          <w:spacing w:val="-2"/>
          <w:szCs w:val="20"/>
          <w:u w:val="single"/>
          <w:lang w:val="es-ES_tradnl"/>
        </w:rPr>
      </w:pPr>
    </w:p>
    <w:p w:rsidR="00970448" w:rsidRPr="000866D1" w:rsidRDefault="00970448" w:rsidP="00EF6E1D">
      <w:pPr>
        <w:numPr>
          <w:ilvl w:val="0"/>
          <w:numId w:val="1"/>
        </w:numPr>
        <w:tabs>
          <w:tab w:val="left" w:pos="567"/>
          <w:tab w:val="num" w:pos="720"/>
        </w:tabs>
        <w:autoSpaceDE w:val="0"/>
        <w:autoSpaceDN w:val="0"/>
        <w:adjustRightInd w:val="0"/>
        <w:spacing w:after="0" w:line="240" w:lineRule="auto"/>
        <w:jc w:val="both"/>
        <w:rPr>
          <w:rFonts w:cs="Verdana"/>
          <w:spacing w:val="-2"/>
          <w:szCs w:val="20"/>
          <w:lang w:val="es-ES_tradnl"/>
        </w:rPr>
      </w:pPr>
      <w:bookmarkStart w:id="69" w:name="_Ref403065790"/>
      <w:r w:rsidRPr="000866D1">
        <w:rPr>
          <w:rFonts w:cs="Verdana"/>
          <w:spacing w:val="-2"/>
          <w:szCs w:val="20"/>
          <w:lang w:val="es-ES_tradnl"/>
        </w:rPr>
        <w:t>El</w:t>
      </w:r>
      <w:r w:rsidR="00EF6E1D" w:rsidRPr="000866D1">
        <w:rPr>
          <w:rFonts w:cs="Verdana"/>
          <w:spacing w:val="-2"/>
          <w:szCs w:val="20"/>
          <w:lang w:val="es-ES_tradnl"/>
        </w:rPr>
        <w:t xml:space="preserve"> 17</w:t>
      </w:r>
      <w:r w:rsidR="00570E40" w:rsidRPr="000866D1">
        <w:rPr>
          <w:rFonts w:cs="Verdana"/>
          <w:spacing w:val="-2"/>
          <w:szCs w:val="20"/>
          <w:lang w:val="es-ES_tradnl"/>
        </w:rPr>
        <w:t xml:space="preserve"> de </w:t>
      </w:r>
      <w:r w:rsidR="00EF6E1D" w:rsidRPr="000866D1">
        <w:rPr>
          <w:rFonts w:cs="Verdana"/>
          <w:spacing w:val="-2"/>
          <w:szCs w:val="20"/>
          <w:lang w:val="es-ES_tradnl"/>
        </w:rPr>
        <w:t xml:space="preserve">diciembre </w:t>
      </w:r>
      <w:r w:rsidR="00570E40" w:rsidRPr="000866D1">
        <w:rPr>
          <w:rFonts w:cs="Verdana"/>
          <w:spacing w:val="-2"/>
          <w:szCs w:val="20"/>
          <w:lang w:val="es-ES_tradnl"/>
        </w:rPr>
        <w:t>de 201</w:t>
      </w:r>
      <w:r w:rsidR="00EF6E1D" w:rsidRPr="000866D1">
        <w:rPr>
          <w:rFonts w:cs="Verdana"/>
          <w:spacing w:val="-2"/>
          <w:szCs w:val="20"/>
          <w:lang w:val="es-ES_tradnl"/>
        </w:rPr>
        <w:t>5</w:t>
      </w:r>
      <w:r w:rsidRPr="000866D1">
        <w:rPr>
          <w:rFonts w:cs="Verdana"/>
          <w:spacing w:val="-2"/>
          <w:szCs w:val="20"/>
          <w:lang w:val="es-ES_tradnl"/>
        </w:rPr>
        <w:t xml:space="preserve">, de conformidad con el artículo 68.2 del Reglamento y siguiendo instrucciones del Presidente de la Corte, la Secretaría transmitió </w:t>
      </w:r>
      <w:r w:rsidR="00EF6E1D" w:rsidRPr="000866D1">
        <w:rPr>
          <w:rFonts w:cs="Verdana"/>
          <w:spacing w:val="-2"/>
          <w:szCs w:val="20"/>
          <w:lang w:val="es-ES_tradnl"/>
        </w:rPr>
        <w:t xml:space="preserve">la </w:t>
      </w:r>
      <w:r w:rsidRPr="000866D1">
        <w:rPr>
          <w:rFonts w:cs="Verdana"/>
          <w:spacing w:val="-2"/>
          <w:szCs w:val="20"/>
          <w:lang w:val="es-ES_tradnl"/>
        </w:rPr>
        <w:t>referida solicitud de interpretación a</w:t>
      </w:r>
      <w:r w:rsidR="00EF6E1D" w:rsidRPr="000866D1">
        <w:rPr>
          <w:rFonts w:cs="Verdana"/>
          <w:spacing w:val="-2"/>
          <w:szCs w:val="20"/>
          <w:lang w:val="es-ES_tradnl"/>
        </w:rPr>
        <w:t>l</w:t>
      </w:r>
      <w:r w:rsidR="00BE46CC" w:rsidRPr="000866D1">
        <w:rPr>
          <w:rFonts w:cs="Verdana"/>
          <w:spacing w:val="-2"/>
          <w:szCs w:val="20"/>
          <w:lang w:val="es-ES_tradnl"/>
        </w:rPr>
        <w:t xml:space="preserve"> </w:t>
      </w:r>
      <w:r w:rsidR="004B12BF" w:rsidRPr="000866D1">
        <w:rPr>
          <w:rFonts w:cs="Verdana"/>
          <w:spacing w:val="-2"/>
          <w:szCs w:val="20"/>
          <w:lang w:val="es-ES_tradnl"/>
        </w:rPr>
        <w:t>representante</w:t>
      </w:r>
      <w:r w:rsidR="00E536CF">
        <w:rPr>
          <w:rStyle w:val="FootnoteReference"/>
          <w:rFonts w:cs="Verdana"/>
          <w:spacing w:val="-2"/>
          <w:szCs w:val="20"/>
          <w:lang w:val="es-ES_tradnl"/>
        </w:rPr>
        <w:footnoteReference w:id="2"/>
      </w:r>
      <w:r w:rsidR="00BE46CC" w:rsidRPr="000866D1">
        <w:rPr>
          <w:rFonts w:cs="Verdana"/>
          <w:spacing w:val="-2"/>
          <w:szCs w:val="20"/>
          <w:lang w:val="es-ES_tradnl"/>
        </w:rPr>
        <w:t xml:space="preserve"> y</w:t>
      </w:r>
      <w:r w:rsidRPr="000866D1">
        <w:rPr>
          <w:rFonts w:cs="Verdana"/>
          <w:spacing w:val="-2"/>
          <w:szCs w:val="20"/>
          <w:lang w:val="es-ES_tradnl"/>
        </w:rPr>
        <w:t xml:space="preserve"> a la Comisión y les otorgó un plazo para </w:t>
      </w:r>
      <w:r w:rsidR="00EF6E1D" w:rsidRPr="000866D1">
        <w:rPr>
          <w:rFonts w:cs="Verdana"/>
          <w:spacing w:val="-2"/>
          <w:szCs w:val="20"/>
          <w:lang w:val="es-ES_tradnl"/>
        </w:rPr>
        <w:t xml:space="preserve">que presentaran </w:t>
      </w:r>
      <w:r w:rsidRPr="000866D1">
        <w:rPr>
          <w:rFonts w:cs="Verdana"/>
          <w:spacing w:val="-2"/>
          <w:szCs w:val="20"/>
          <w:lang w:val="es-ES_tradnl"/>
        </w:rPr>
        <w:t xml:space="preserve">las alegaciones escritas que estimaran pertinentes. </w:t>
      </w:r>
      <w:bookmarkStart w:id="70" w:name="_Ref324683819"/>
      <w:bookmarkStart w:id="71" w:name="_Ref364679847"/>
      <w:bookmarkEnd w:id="69"/>
      <w:r w:rsidR="004B12BF" w:rsidRPr="000866D1">
        <w:rPr>
          <w:rFonts w:cs="Verdana"/>
          <w:spacing w:val="-2"/>
          <w:szCs w:val="20"/>
          <w:lang w:val="es-ES_tradnl"/>
        </w:rPr>
        <w:t xml:space="preserve">El </w:t>
      </w:r>
      <w:r w:rsidR="00EF6E1D" w:rsidRPr="000866D1">
        <w:rPr>
          <w:rFonts w:cs="Verdana"/>
          <w:spacing w:val="-2"/>
          <w:szCs w:val="20"/>
          <w:lang w:val="es-ES_tradnl"/>
        </w:rPr>
        <w:t>22</w:t>
      </w:r>
      <w:r w:rsidR="004B12BF" w:rsidRPr="000866D1">
        <w:rPr>
          <w:rFonts w:cs="Verdana"/>
          <w:spacing w:val="-2"/>
          <w:szCs w:val="20"/>
          <w:lang w:val="es-ES_tradnl"/>
        </w:rPr>
        <w:t xml:space="preserve"> de </w:t>
      </w:r>
      <w:r w:rsidR="00EF6E1D" w:rsidRPr="000866D1">
        <w:rPr>
          <w:rFonts w:cs="Verdana"/>
          <w:spacing w:val="-2"/>
          <w:szCs w:val="20"/>
          <w:lang w:val="es-ES_tradnl"/>
        </w:rPr>
        <w:t xml:space="preserve">enero y 23 de febrero </w:t>
      </w:r>
      <w:r w:rsidR="004B12BF" w:rsidRPr="000866D1">
        <w:rPr>
          <w:rFonts w:cs="Verdana"/>
          <w:spacing w:val="-2"/>
          <w:szCs w:val="20"/>
          <w:lang w:val="es-ES_tradnl"/>
        </w:rPr>
        <w:t>de 201</w:t>
      </w:r>
      <w:r w:rsidR="00EF6E1D" w:rsidRPr="000866D1">
        <w:rPr>
          <w:rFonts w:cs="Verdana"/>
          <w:spacing w:val="-2"/>
          <w:szCs w:val="20"/>
          <w:lang w:val="es-ES_tradnl"/>
        </w:rPr>
        <w:t>6</w:t>
      </w:r>
      <w:r w:rsidR="00BE46CC" w:rsidRPr="000866D1">
        <w:rPr>
          <w:rFonts w:cs="Verdana"/>
          <w:spacing w:val="-2"/>
          <w:szCs w:val="20"/>
          <w:lang w:val="es-ES_tradnl"/>
        </w:rPr>
        <w:t xml:space="preserve"> </w:t>
      </w:r>
      <w:r w:rsidRPr="000866D1">
        <w:rPr>
          <w:rFonts w:cs="Verdana"/>
          <w:spacing w:val="-2"/>
          <w:szCs w:val="20"/>
          <w:lang w:val="es-ES_tradnl"/>
        </w:rPr>
        <w:t xml:space="preserve">la Comisión y el </w:t>
      </w:r>
      <w:r w:rsidR="00EF6E1D" w:rsidRPr="000866D1">
        <w:rPr>
          <w:rFonts w:cs="Verdana"/>
          <w:spacing w:val="-2"/>
          <w:szCs w:val="20"/>
          <w:lang w:val="es-ES_tradnl"/>
        </w:rPr>
        <w:t xml:space="preserve">representante </w:t>
      </w:r>
      <w:r w:rsidRPr="000866D1">
        <w:rPr>
          <w:rFonts w:cs="Verdana"/>
          <w:spacing w:val="-2"/>
          <w:szCs w:val="20"/>
          <w:lang w:val="es-ES_tradnl"/>
        </w:rPr>
        <w:t>presentaron</w:t>
      </w:r>
      <w:r w:rsidR="00663E13" w:rsidRPr="000866D1">
        <w:rPr>
          <w:rFonts w:cs="Verdana"/>
          <w:spacing w:val="-2"/>
          <w:szCs w:val="20"/>
          <w:lang w:val="es-ES_tradnl"/>
        </w:rPr>
        <w:t>, respectivamente,</w:t>
      </w:r>
      <w:r w:rsidRPr="000866D1">
        <w:rPr>
          <w:rFonts w:cs="Verdana"/>
          <w:spacing w:val="-2"/>
          <w:szCs w:val="20"/>
          <w:lang w:val="es-ES_tradnl"/>
        </w:rPr>
        <w:t xml:space="preserve"> sus alegaciones escritas.</w:t>
      </w:r>
      <w:bookmarkEnd w:id="70"/>
      <w:r w:rsidRPr="000866D1">
        <w:rPr>
          <w:rFonts w:cs="Verdana"/>
          <w:spacing w:val="-2"/>
          <w:szCs w:val="20"/>
          <w:lang w:val="es-ES_tradnl"/>
        </w:rPr>
        <w:t xml:space="preserve"> </w:t>
      </w:r>
      <w:bookmarkEnd w:id="71"/>
    </w:p>
    <w:p w:rsidR="002E76B8" w:rsidRPr="000866D1" w:rsidRDefault="002E76B8" w:rsidP="009E1889">
      <w:pPr>
        <w:tabs>
          <w:tab w:val="left" w:pos="567"/>
        </w:tabs>
        <w:autoSpaceDE w:val="0"/>
        <w:autoSpaceDN w:val="0"/>
        <w:adjustRightInd w:val="0"/>
        <w:spacing w:after="0" w:line="240" w:lineRule="auto"/>
        <w:jc w:val="both"/>
        <w:rPr>
          <w:rFonts w:cs="Verdana"/>
          <w:b/>
          <w:color w:val="00B050"/>
          <w:spacing w:val="-2"/>
          <w:szCs w:val="20"/>
          <w:lang w:val="es-ES_tradnl"/>
        </w:rPr>
      </w:pPr>
    </w:p>
    <w:p w:rsidR="00970448" w:rsidRPr="000866D1" w:rsidRDefault="00970448" w:rsidP="009E1889">
      <w:pPr>
        <w:tabs>
          <w:tab w:val="left" w:pos="567"/>
        </w:tabs>
        <w:spacing w:after="0" w:line="240" w:lineRule="auto"/>
        <w:jc w:val="center"/>
        <w:rPr>
          <w:rFonts w:eastAsia="Times"/>
          <w:b/>
          <w:bCs/>
          <w:spacing w:val="-2"/>
          <w:szCs w:val="20"/>
          <w:lang w:val="es-ES_tradnl"/>
        </w:rPr>
      </w:pPr>
      <w:r w:rsidRPr="000866D1">
        <w:rPr>
          <w:rFonts w:eastAsia="Times"/>
          <w:b/>
          <w:bCs/>
          <w:spacing w:val="-2"/>
          <w:szCs w:val="20"/>
          <w:lang w:val="es-ES_tradnl"/>
        </w:rPr>
        <w:t>II</w:t>
      </w:r>
    </w:p>
    <w:p w:rsidR="00970448" w:rsidRPr="000866D1" w:rsidRDefault="00970448" w:rsidP="009E1889">
      <w:pPr>
        <w:tabs>
          <w:tab w:val="left" w:pos="567"/>
        </w:tabs>
        <w:spacing w:after="0" w:line="240" w:lineRule="auto"/>
        <w:jc w:val="center"/>
        <w:rPr>
          <w:rFonts w:eastAsia="Times"/>
          <w:b/>
          <w:bCs/>
          <w:spacing w:val="-2"/>
          <w:szCs w:val="20"/>
          <w:lang w:val="es-ES_tradnl"/>
        </w:rPr>
      </w:pPr>
      <w:r w:rsidRPr="000866D1">
        <w:rPr>
          <w:rFonts w:eastAsia="Times"/>
          <w:b/>
          <w:bCs/>
          <w:spacing w:val="-2"/>
          <w:szCs w:val="20"/>
          <w:lang w:val="es-ES_tradnl"/>
        </w:rPr>
        <w:t>COMPETENCIA</w:t>
      </w:r>
    </w:p>
    <w:p w:rsidR="00970448" w:rsidRPr="000866D1" w:rsidRDefault="00970448" w:rsidP="009E1889">
      <w:pPr>
        <w:tabs>
          <w:tab w:val="left" w:pos="567"/>
        </w:tabs>
        <w:spacing w:after="0" w:line="240" w:lineRule="auto"/>
        <w:ind w:left="720"/>
        <w:jc w:val="both"/>
        <w:rPr>
          <w:rFonts w:eastAsia="Batang"/>
          <w:spacing w:val="-2"/>
          <w:szCs w:val="24"/>
          <w:lang w:val="es-ES_tradnl"/>
        </w:rPr>
      </w:pPr>
    </w:p>
    <w:p w:rsidR="00970448"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bookmarkStart w:id="72" w:name="_Ref361668910"/>
      <w:r w:rsidRPr="000866D1">
        <w:rPr>
          <w:rFonts w:eastAsia="Times"/>
          <w:spacing w:val="-2"/>
          <w:szCs w:val="20"/>
          <w:lang w:val="es-ES_tradnl"/>
        </w:rPr>
        <w:t>El artículo 67 de la Convención establece que:</w:t>
      </w:r>
      <w:bookmarkEnd w:id="72"/>
    </w:p>
    <w:p w:rsidR="00970448" w:rsidRPr="000866D1" w:rsidRDefault="00970448" w:rsidP="009E1889">
      <w:pPr>
        <w:tabs>
          <w:tab w:val="left" w:pos="567"/>
        </w:tabs>
        <w:autoSpaceDE w:val="0"/>
        <w:autoSpaceDN w:val="0"/>
        <w:adjustRightInd w:val="0"/>
        <w:spacing w:after="0" w:line="240" w:lineRule="auto"/>
        <w:jc w:val="both"/>
        <w:rPr>
          <w:rFonts w:eastAsia="Times"/>
          <w:bCs/>
          <w:spacing w:val="-2"/>
          <w:szCs w:val="20"/>
          <w:lang w:val="es-ES_tradnl"/>
        </w:rPr>
      </w:pPr>
    </w:p>
    <w:p w:rsidR="00970448" w:rsidRPr="000866D1" w:rsidRDefault="00970448" w:rsidP="00F22FB2">
      <w:pPr>
        <w:tabs>
          <w:tab w:val="left" w:pos="709"/>
        </w:tabs>
        <w:spacing w:after="0" w:line="240" w:lineRule="auto"/>
        <w:ind w:left="709" w:right="639"/>
        <w:jc w:val="both"/>
        <w:rPr>
          <w:rFonts w:eastAsia="Times"/>
          <w:spacing w:val="-2"/>
          <w:sz w:val="18"/>
          <w:szCs w:val="18"/>
          <w:lang w:val="es-ES_tradnl"/>
        </w:rPr>
      </w:pPr>
      <w:r w:rsidRPr="000866D1">
        <w:rPr>
          <w:rFonts w:eastAsia="Times"/>
          <w:spacing w:val="-2"/>
          <w:sz w:val="18"/>
          <w:szCs w:val="18"/>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970448" w:rsidRPr="000866D1" w:rsidRDefault="00970448" w:rsidP="009E1889">
      <w:pPr>
        <w:tabs>
          <w:tab w:val="left" w:pos="567"/>
        </w:tabs>
        <w:spacing w:after="0" w:line="240" w:lineRule="auto"/>
        <w:ind w:left="720" w:right="639"/>
        <w:jc w:val="both"/>
        <w:rPr>
          <w:rFonts w:eastAsia="Times"/>
          <w:spacing w:val="-2"/>
          <w:sz w:val="18"/>
          <w:szCs w:val="18"/>
          <w:lang w:val="es-ES_tradnl"/>
        </w:rPr>
      </w:pPr>
    </w:p>
    <w:p w:rsidR="006D7279" w:rsidRPr="000866D1" w:rsidRDefault="0097044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r w:rsidRPr="000866D1">
        <w:rPr>
          <w:rFonts w:eastAsia="Times"/>
          <w:spacing w:val="-2"/>
          <w:szCs w:val="20"/>
          <w:lang w:val="es-ES_tradnl"/>
        </w:rPr>
        <w:t>De conformidad con el artículo citado, la Corte es competente para interpretar sus fallos. Para realizar el examen de la</w:t>
      </w:r>
      <w:r w:rsidR="006D7279" w:rsidRPr="000866D1">
        <w:rPr>
          <w:rFonts w:eastAsia="Times"/>
          <w:spacing w:val="-2"/>
          <w:szCs w:val="20"/>
          <w:lang w:val="es-ES_tradnl"/>
        </w:rPr>
        <w:t>s</w:t>
      </w:r>
      <w:r w:rsidRPr="000866D1">
        <w:rPr>
          <w:rFonts w:eastAsia="Times"/>
          <w:spacing w:val="-2"/>
          <w:szCs w:val="20"/>
          <w:lang w:val="es-ES_tradnl"/>
        </w:rPr>
        <w:t xml:space="preserve"> solicitud</w:t>
      </w:r>
      <w:r w:rsidR="006D7279" w:rsidRPr="000866D1">
        <w:rPr>
          <w:rFonts w:eastAsia="Times"/>
          <w:spacing w:val="-2"/>
          <w:szCs w:val="20"/>
          <w:lang w:val="es-ES_tradnl"/>
        </w:rPr>
        <w:t>es</w:t>
      </w:r>
      <w:r w:rsidRPr="000866D1">
        <w:rPr>
          <w:rFonts w:eastAsia="Times"/>
          <w:spacing w:val="-2"/>
          <w:szCs w:val="20"/>
          <w:lang w:val="es-ES_tradnl"/>
        </w:rPr>
        <w:t xml:space="preserve"> de interpretación y resolver lo que a este respecto corresponda, el Tribunal debe tener, si es posible, la misma composición que tenía al dictar la Sentencia respectiva, de acuerdo con el artículo 68.3 del Reglamento. En es</w:t>
      </w:r>
      <w:r w:rsidR="00374259" w:rsidRPr="000866D1">
        <w:rPr>
          <w:rFonts w:eastAsia="Times"/>
          <w:spacing w:val="-2"/>
          <w:szCs w:val="20"/>
          <w:lang w:val="es-ES_tradnl"/>
        </w:rPr>
        <w:t>ta ocasión, la Corte se integra</w:t>
      </w:r>
      <w:r w:rsidR="007F6D48">
        <w:t>, en su mayoría, con los jueces que dictaron la Sentencia cuya interpretación ha sido solicitada (</w:t>
      </w:r>
      <w:r w:rsidR="007F6D48" w:rsidRPr="007F6D48">
        <w:rPr>
          <w:i/>
        </w:rPr>
        <w:t>supra</w:t>
      </w:r>
      <w:r w:rsidR="007F6D48">
        <w:t xml:space="preserve"> nota </w:t>
      </w:r>
      <w:r w:rsidR="007F6D48">
        <w:fldChar w:fldCharType="begin"/>
      </w:r>
      <w:r w:rsidR="007F6D48">
        <w:instrText xml:space="preserve"> NOTEREF _Ref454270375 \h </w:instrText>
      </w:r>
      <w:r w:rsidR="007F6D48">
        <w:fldChar w:fldCharType="separate"/>
      </w:r>
      <w:r w:rsidR="002807AB">
        <w:t>1</w:t>
      </w:r>
      <w:r w:rsidR="007F6D48">
        <w:fldChar w:fldCharType="end"/>
      </w:r>
      <w:r w:rsidR="007F6D48">
        <w:t xml:space="preserve">). </w:t>
      </w:r>
    </w:p>
    <w:p w:rsidR="006D7279" w:rsidRPr="000866D1" w:rsidRDefault="006D7279" w:rsidP="009E1889">
      <w:pPr>
        <w:tabs>
          <w:tab w:val="left" w:pos="567"/>
        </w:tabs>
        <w:autoSpaceDE w:val="0"/>
        <w:autoSpaceDN w:val="0"/>
        <w:adjustRightInd w:val="0"/>
        <w:spacing w:after="0" w:line="240" w:lineRule="auto"/>
        <w:jc w:val="both"/>
        <w:rPr>
          <w:rFonts w:eastAsia="Times"/>
          <w:spacing w:val="-2"/>
          <w:szCs w:val="20"/>
          <w:lang w:val="es-ES_tradnl"/>
        </w:rPr>
      </w:pPr>
    </w:p>
    <w:p w:rsidR="00E723EE" w:rsidRPr="000866D1" w:rsidRDefault="00E723EE"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III</w:t>
      </w:r>
    </w:p>
    <w:p w:rsidR="00E723EE" w:rsidRPr="000866D1" w:rsidRDefault="00E723EE"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ADMISIBILIDAD </w:t>
      </w:r>
    </w:p>
    <w:p w:rsidR="00E723EE" w:rsidRPr="000866D1" w:rsidRDefault="00E723EE" w:rsidP="009E1889">
      <w:pPr>
        <w:tabs>
          <w:tab w:val="left" w:pos="567"/>
        </w:tabs>
        <w:autoSpaceDE w:val="0"/>
        <w:autoSpaceDN w:val="0"/>
        <w:adjustRightInd w:val="0"/>
        <w:spacing w:after="0" w:line="240" w:lineRule="auto"/>
        <w:jc w:val="both"/>
        <w:rPr>
          <w:rFonts w:eastAsia="Times"/>
          <w:bCs/>
          <w:spacing w:val="-2"/>
          <w:szCs w:val="20"/>
          <w:lang w:val="es-ES_tradnl"/>
        </w:rPr>
      </w:pPr>
    </w:p>
    <w:p w:rsidR="00E723EE" w:rsidRPr="000866D1" w:rsidRDefault="00E723EE"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bookmarkStart w:id="73" w:name="_Ref403060963"/>
      <w:r w:rsidRPr="000866D1">
        <w:rPr>
          <w:spacing w:val="-2"/>
          <w:szCs w:val="20"/>
          <w:lang w:val="es-ES_tradnl"/>
        </w:rPr>
        <w:t>Corresp</w:t>
      </w:r>
      <w:r w:rsidR="00EF6E1D" w:rsidRPr="000866D1">
        <w:rPr>
          <w:spacing w:val="-2"/>
          <w:szCs w:val="20"/>
          <w:lang w:val="es-ES_tradnl"/>
        </w:rPr>
        <w:t>onde a la Corte verificar si la solicitud presentad</w:t>
      </w:r>
      <w:r w:rsidR="00964560">
        <w:rPr>
          <w:spacing w:val="-2"/>
          <w:szCs w:val="20"/>
          <w:lang w:val="es-ES_tradnl"/>
        </w:rPr>
        <w:t>a</w:t>
      </w:r>
      <w:r w:rsidRPr="000866D1">
        <w:rPr>
          <w:spacing w:val="-2"/>
          <w:szCs w:val="20"/>
          <w:lang w:val="es-ES_tradnl"/>
        </w:rPr>
        <w:t xml:space="preserve"> por el Estado </w:t>
      </w:r>
      <w:r w:rsidR="00EF6E1D" w:rsidRPr="000866D1">
        <w:rPr>
          <w:spacing w:val="-2"/>
          <w:szCs w:val="20"/>
          <w:lang w:val="es-ES_tradnl"/>
        </w:rPr>
        <w:t>cumple</w:t>
      </w:r>
      <w:r w:rsidRPr="000866D1">
        <w:rPr>
          <w:spacing w:val="-2"/>
          <w:szCs w:val="20"/>
          <w:lang w:val="es-ES_tradnl"/>
        </w:rPr>
        <w:t xml:space="preserve"> con los requisitos establecidos en las normas aplicables a una solicitud de interpretación de Sentencia, a saber, el artículo 67 de la Convención, anteriormente citado, y el artículo 68 del Reglamento</w:t>
      </w:r>
      <w:r w:rsidR="00F22FB2">
        <w:rPr>
          <w:spacing w:val="-2"/>
          <w:szCs w:val="20"/>
          <w:lang w:val="es-ES_tradnl"/>
        </w:rPr>
        <w:t>. Esta última</w:t>
      </w:r>
      <w:r w:rsidRPr="000866D1">
        <w:rPr>
          <w:spacing w:val="-2"/>
          <w:szCs w:val="20"/>
          <w:lang w:val="es-ES_tradnl"/>
        </w:rPr>
        <w:t xml:space="preserve"> </w:t>
      </w:r>
      <w:r w:rsidR="00F22FB2">
        <w:rPr>
          <w:spacing w:val="-2"/>
          <w:szCs w:val="20"/>
          <w:lang w:val="es-ES_tradnl"/>
        </w:rPr>
        <w:t xml:space="preserve">norma </w:t>
      </w:r>
      <w:r w:rsidRPr="000866D1">
        <w:rPr>
          <w:spacing w:val="-2"/>
          <w:szCs w:val="20"/>
          <w:lang w:val="es-ES_tradnl"/>
        </w:rPr>
        <w:t>dispone, en lo pertinente, que:</w:t>
      </w:r>
      <w:bookmarkEnd w:id="73"/>
    </w:p>
    <w:p w:rsidR="00E723EE" w:rsidRPr="000866D1" w:rsidRDefault="00E723EE" w:rsidP="009E1889">
      <w:pPr>
        <w:tabs>
          <w:tab w:val="left" w:pos="567"/>
        </w:tabs>
        <w:autoSpaceDE w:val="0"/>
        <w:autoSpaceDN w:val="0"/>
        <w:adjustRightInd w:val="0"/>
        <w:spacing w:after="0" w:line="240" w:lineRule="auto"/>
        <w:jc w:val="both"/>
        <w:rPr>
          <w:spacing w:val="-2"/>
          <w:szCs w:val="20"/>
          <w:lang w:val="es-ES_tradnl"/>
        </w:rPr>
      </w:pP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t>1.</w:t>
      </w:r>
      <w:r w:rsidRPr="000866D1">
        <w:rPr>
          <w:rFonts w:ascii="Verdana" w:hAnsi="Verdana"/>
          <w:spacing w:val="-2"/>
          <w:sz w:val="16"/>
          <w:szCs w:val="16"/>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t>[…]</w:t>
      </w:r>
    </w:p>
    <w:p w:rsidR="00E723EE" w:rsidRPr="000866D1" w:rsidRDefault="00E723EE" w:rsidP="009E1889">
      <w:pPr>
        <w:pStyle w:val="NoSpacing"/>
        <w:tabs>
          <w:tab w:val="left" w:pos="1134"/>
        </w:tabs>
        <w:ind w:left="720" w:right="616"/>
        <w:jc w:val="both"/>
        <w:rPr>
          <w:rFonts w:ascii="Verdana" w:hAnsi="Verdana"/>
          <w:spacing w:val="-2"/>
          <w:sz w:val="16"/>
          <w:szCs w:val="16"/>
          <w:lang w:val="es-ES_tradnl"/>
        </w:rPr>
      </w:pPr>
      <w:r w:rsidRPr="000866D1">
        <w:rPr>
          <w:rFonts w:ascii="Verdana" w:hAnsi="Verdana"/>
          <w:spacing w:val="-2"/>
          <w:sz w:val="16"/>
          <w:szCs w:val="16"/>
          <w:lang w:val="es-ES_tradnl"/>
        </w:rPr>
        <w:lastRenderedPageBreak/>
        <w:t>4.</w:t>
      </w:r>
      <w:r w:rsidRPr="000866D1">
        <w:rPr>
          <w:rFonts w:ascii="Verdana" w:hAnsi="Verdana"/>
          <w:spacing w:val="-2"/>
          <w:sz w:val="16"/>
          <w:szCs w:val="16"/>
          <w:lang w:val="es-ES_tradnl"/>
        </w:rPr>
        <w:tab/>
        <w:t>La solicitud de interpretación no suspenderá la ejecución de la sentencia.</w:t>
      </w:r>
    </w:p>
    <w:p w:rsidR="00E723EE" w:rsidRPr="000866D1" w:rsidRDefault="00E723EE" w:rsidP="009E1889">
      <w:pPr>
        <w:tabs>
          <w:tab w:val="left" w:pos="567"/>
        </w:tabs>
        <w:autoSpaceDE w:val="0"/>
        <w:autoSpaceDN w:val="0"/>
        <w:adjustRightInd w:val="0"/>
        <w:spacing w:after="0" w:line="240" w:lineRule="auto"/>
        <w:jc w:val="both"/>
        <w:rPr>
          <w:rFonts w:eastAsia="Times"/>
          <w:bCs/>
          <w:spacing w:val="-2"/>
          <w:szCs w:val="20"/>
          <w:lang w:val="es-ES_tradnl"/>
        </w:rPr>
      </w:pPr>
    </w:p>
    <w:p w:rsidR="00E723EE" w:rsidRPr="000866D1" w:rsidRDefault="00E723EE" w:rsidP="009E1889">
      <w:pPr>
        <w:pStyle w:val="NoSpacing"/>
        <w:numPr>
          <w:ilvl w:val="0"/>
          <w:numId w:val="1"/>
        </w:numPr>
        <w:tabs>
          <w:tab w:val="clear" w:pos="1247"/>
          <w:tab w:val="num" w:pos="567"/>
        </w:tabs>
        <w:jc w:val="both"/>
        <w:rPr>
          <w:rFonts w:ascii="Verdana" w:hAnsi="Verdana"/>
          <w:spacing w:val="-2"/>
          <w:sz w:val="20"/>
          <w:szCs w:val="20"/>
          <w:lang w:val="es-ES_tradnl"/>
        </w:rPr>
      </w:pPr>
      <w:bookmarkStart w:id="74" w:name="_Ref406407984"/>
      <w:r w:rsidRPr="000866D1">
        <w:rPr>
          <w:rFonts w:ascii="Verdana" w:hAnsi="Verdana"/>
          <w:spacing w:val="-2"/>
          <w:sz w:val="20"/>
          <w:szCs w:val="20"/>
          <w:lang w:val="es-ES_tradnl"/>
        </w:rPr>
        <w:t>Asimismo, el artículo 31.3 del Reglamento establece que “[c]ontra las sentencias y resoluciones de la Corte no procede ningún medio de impugnación”.</w:t>
      </w:r>
      <w:bookmarkEnd w:id="74"/>
    </w:p>
    <w:p w:rsidR="00E723EE" w:rsidRPr="000866D1" w:rsidRDefault="00E723EE" w:rsidP="009E1889">
      <w:pPr>
        <w:pStyle w:val="NoSpacing"/>
        <w:jc w:val="both"/>
        <w:rPr>
          <w:rFonts w:ascii="Verdana" w:hAnsi="Verdana"/>
          <w:spacing w:val="-2"/>
          <w:sz w:val="20"/>
          <w:szCs w:val="20"/>
          <w:lang w:val="es-ES_tradnl"/>
        </w:rPr>
      </w:pPr>
    </w:p>
    <w:p w:rsidR="00E723EE" w:rsidRPr="000866D1" w:rsidRDefault="00E723EE" w:rsidP="009E1889">
      <w:pPr>
        <w:pStyle w:val="NoSpacing"/>
        <w:numPr>
          <w:ilvl w:val="0"/>
          <w:numId w:val="1"/>
        </w:numPr>
        <w:tabs>
          <w:tab w:val="clear" w:pos="1247"/>
          <w:tab w:val="num" w:pos="567"/>
        </w:tabs>
        <w:jc w:val="both"/>
        <w:rPr>
          <w:rFonts w:ascii="Verdana" w:hAnsi="Verdana"/>
          <w:spacing w:val="-2"/>
          <w:sz w:val="20"/>
          <w:szCs w:val="20"/>
          <w:lang w:val="es-ES_tradnl"/>
        </w:rPr>
      </w:pPr>
      <w:r w:rsidRPr="000866D1">
        <w:rPr>
          <w:rFonts w:ascii="Verdana" w:hAnsi="Verdana"/>
          <w:spacing w:val="-2"/>
          <w:sz w:val="20"/>
          <w:szCs w:val="20"/>
          <w:lang w:val="es-ES_tradnl"/>
        </w:rPr>
        <w:t xml:space="preserve">La Corte observa que </w:t>
      </w:r>
      <w:r w:rsidR="00795C6E" w:rsidRPr="000866D1">
        <w:rPr>
          <w:rFonts w:ascii="Verdana" w:hAnsi="Verdana"/>
          <w:spacing w:val="-2"/>
          <w:sz w:val="20"/>
          <w:szCs w:val="20"/>
          <w:lang w:val="es-ES_tradnl"/>
        </w:rPr>
        <w:t xml:space="preserve">el Estado </w:t>
      </w:r>
      <w:r w:rsidR="00EF6E1D" w:rsidRPr="000866D1">
        <w:rPr>
          <w:rFonts w:ascii="Verdana" w:hAnsi="Verdana"/>
          <w:spacing w:val="-2"/>
          <w:sz w:val="20"/>
          <w:szCs w:val="20"/>
          <w:lang w:val="es-ES_tradnl"/>
        </w:rPr>
        <w:t>presentó su</w:t>
      </w:r>
      <w:r w:rsidRPr="000866D1">
        <w:rPr>
          <w:rFonts w:ascii="Verdana" w:hAnsi="Verdana"/>
          <w:spacing w:val="-2"/>
          <w:sz w:val="20"/>
          <w:szCs w:val="20"/>
          <w:lang w:val="es-ES_tradnl"/>
        </w:rPr>
        <w:t xml:space="preserve"> solicitu</w:t>
      </w:r>
      <w:r w:rsidR="00EF6E1D" w:rsidRPr="000866D1">
        <w:rPr>
          <w:rFonts w:ascii="Verdana" w:hAnsi="Verdana"/>
          <w:spacing w:val="-2"/>
          <w:sz w:val="20"/>
          <w:szCs w:val="20"/>
          <w:lang w:val="es-ES_tradnl"/>
        </w:rPr>
        <w:t>d</w:t>
      </w:r>
      <w:r w:rsidRPr="000866D1">
        <w:rPr>
          <w:rFonts w:ascii="Verdana" w:hAnsi="Verdana"/>
          <w:spacing w:val="-2"/>
          <w:sz w:val="20"/>
          <w:szCs w:val="20"/>
          <w:lang w:val="es-ES_tradnl"/>
        </w:rPr>
        <w:t xml:space="preserve"> de interpretación </w:t>
      </w:r>
      <w:r w:rsidR="00350AB4" w:rsidRPr="000866D1">
        <w:rPr>
          <w:rFonts w:ascii="Verdana" w:hAnsi="Verdana"/>
          <w:spacing w:val="-2"/>
          <w:sz w:val="20"/>
          <w:szCs w:val="20"/>
          <w:lang w:val="es-ES_tradnl"/>
        </w:rPr>
        <w:t xml:space="preserve">el </w:t>
      </w:r>
      <w:r w:rsidR="00EF6E1D" w:rsidRPr="000866D1">
        <w:rPr>
          <w:rFonts w:ascii="Verdana" w:hAnsi="Verdana"/>
          <w:spacing w:val="-2"/>
          <w:sz w:val="20"/>
          <w:szCs w:val="20"/>
          <w:lang w:val="es-ES_tradnl"/>
        </w:rPr>
        <w:t xml:space="preserve">14 </w:t>
      </w:r>
      <w:r w:rsidR="00350AB4" w:rsidRPr="000866D1">
        <w:rPr>
          <w:rFonts w:ascii="Verdana" w:hAnsi="Verdana"/>
          <w:spacing w:val="-2"/>
          <w:sz w:val="20"/>
          <w:szCs w:val="20"/>
          <w:lang w:val="es-ES_tradnl"/>
        </w:rPr>
        <w:t xml:space="preserve">de </w:t>
      </w:r>
      <w:r w:rsidR="00EF6E1D" w:rsidRPr="000866D1">
        <w:rPr>
          <w:rFonts w:ascii="Verdana" w:hAnsi="Verdana"/>
          <w:spacing w:val="-2"/>
          <w:sz w:val="20"/>
          <w:szCs w:val="20"/>
          <w:lang w:val="es-ES_tradnl"/>
        </w:rPr>
        <w:t>diciembre de 2015</w:t>
      </w:r>
      <w:r w:rsidR="00350AB4" w:rsidRPr="000866D1">
        <w:rPr>
          <w:rFonts w:ascii="Verdana" w:hAnsi="Verdana"/>
          <w:spacing w:val="-2"/>
          <w:sz w:val="20"/>
          <w:szCs w:val="20"/>
          <w:lang w:val="es-ES_tradnl"/>
        </w:rPr>
        <w:t>,</w:t>
      </w:r>
      <w:r w:rsidRPr="000866D1">
        <w:rPr>
          <w:rFonts w:ascii="Verdana" w:hAnsi="Verdana"/>
          <w:spacing w:val="-2"/>
          <w:sz w:val="20"/>
          <w:szCs w:val="20"/>
          <w:lang w:val="es-ES_tradnl"/>
        </w:rPr>
        <w:t xml:space="preserve"> dentro del plazo de noventa días establecido en el artículo 67 de la </w:t>
      </w:r>
      <w:r w:rsidR="00350AB4" w:rsidRPr="000866D1">
        <w:rPr>
          <w:rFonts w:ascii="Verdana" w:eastAsia="Times" w:hAnsi="Verdana"/>
          <w:spacing w:val="-2"/>
          <w:sz w:val="20"/>
          <w:szCs w:val="20"/>
          <w:lang w:val="es-ES_tradnl"/>
        </w:rPr>
        <w:t>Convención para la presentación de una solicitud de interpretación de la Sentencia</w:t>
      </w:r>
      <w:r w:rsidRPr="000866D1">
        <w:rPr>
          <w:rFonts w:ascii="Verdana" w:hAnsi="Verdana"/>
          <w:spacing w:val="-2"/>
          <w:sz w:val="20"/>
          <w:szCs w:val="20"/>
          <w:lang w:val="es-ES_tradnl"/>
        </w:rPr>
        <w:t xml:space="preserve">, ya que la misma fue notificada el </w:t>
      </w:r>
      <w:r w:rsidR="00EF6E1D" w:rsidRPr="000866D1">
        <w:rPr>
          <w:rFonts w:ascii="Verdana" w:hAnsi="Verdana"/>
          <w:spacing w:val="-2"/>
          <w:sz w:val="20"/>
          <w:szCs w:val="20"/>
          <w:lang w:val="es-ES_tradnl"/>
        </w:rPr>
        <w:t xml:space="preserve">16 </w:t>
      </w:r>
      <w:r w:rsidRPr="000866D1">
        <w:rPr>
          <w:rFonts w:ascii="Verdana" w:hAnsi="Verdana"/>
          <w:spacing w:val="-2"/>
          <w:sz w:val="20"/>
          <w:szCs w:val="20"/>
          <w:lang w:val="es-ES_tradnl"/>
        </w:rPr>
        <w:t xml:space="preserve">de </w:t>
      </w:r>
      <w:r w:rsidR="00EF6E1D" w:rsidRPr="000866D1">
        <w:rPr>
          <w:rFonts w:ascii="Verdana" w:hAnsi="Verdana"/>
          <w:spacing w:val="-2"/>
          <w:sz w:val="20"/>
          <w:szCs w:val="20"/>
          <w:lang w:val="es-ES_tradnl"/>
        </w:rPr>
        <w:t xml:space="preserve">septiembre </w:t>
      </w:r>
      <w:r w:rsidRPr="000866D1">
        <w:rPr>
          <w:rFonts w:ascii="Verdana" w:hAnsi="Verdana"/>
          <w:spacing w:val="-2"/>
          <w:sz w:val="20"/>
          <w:szCs w:val="20"/>
          <w:lang w:val="es-ES_tradnl"/>
        </w:rPr>
        <w:t>de 201</w:t>
      </w:r>
      <w:r w:rsidR="00EF6E1D" w:rsidRPr="000866D1">
        <w:rPr>
          <w:rFonts w:ascii="Verdana" w:hAnsi="Verdana"/>
          <w:spacing w:val="-2"/>
          <w:sz w:val="20"/>
          <w:szCs w:val="20"/>
          <w:lang w:val="es-ES_tradnl"/>
        </w:rPr>
        <w:t>5</w:t>
      </w:r>
      <w:r w:rsidR="00F86650">
        <w:rPr>
          <w:rFonts w:ascii="Verdana" w:hAnsi="Verdana"/>
          <w:spacing w:val="-2"/>
          <w:sz w:val="20"/>
          <w:szCs w:val="20"/>
          <w:lang w:val="es-ES_tradnl"/>
        </w:rPr>
        <w:t xml:space="preserve"> </w:t>
      </w:r>
      <w:r w:rsidR="00F86650" w:rsidRPr="000866D1">
        <w:rPr>
          <w:rFonts w:ascii="Verdana" w:eastAsia="Times" w:hAnsi="Verdana"/>
          <w:spacing w:val="-2"/>
          <w:sz w:val="20"/>
          <w:szCs w:val="20"/>
          <w:lang w:val="es-ES_tradnl"/>
        </w:rPr>
        <w:t>(</w:t>
      </w:r>
      <w:r w:rsidR="00F86650" w:rsidRPr="000866D1">
        <w:rPr>
          <w:rFonts w:ascii="Verdana" w:eastAsia="Times" w:hAnsi="Verdana"/>
          <w:i/>
          <w:spacing w:val="-2"/>
          <w:sz w:val="20"/>
          <w:szCs w:val="20"/>
          <w:lang w:val="es-ES_tradnl"/>
        </w:rPr>
        <w:t>supra</w:t>
      </w:r>
      <w:r w:rsidR="00F86650" w:rsidRPr="000866D1">
        <w:rPr>
          <w:rFonts w:ascii="Verdana" w:eastAsia="Times" w:hAnsi="Verdana"/>
          <w:spacing w:val="-2"/>
          <w:sz w:val="20"/>
          <w:szCs w:val="20"/>
          <w:lang w:val="es-ES_tradnl"/>
        </w:rPr>
        <w:t xml:space="preserve"> párr. </w:t>
      </w:r>
      <w:r w:rsidR="00F86650" w:rsidRPr="000866D1">
        <w:rPr>
          <w:rFonts w:ascii="Verdana" w:eastAsia="Times" w:hAnsi="Verdana"/>
          <w:spacing w:val="-2"/>
          <w:sz w:val="20"/>
          <w:szCs w:val="20"/>
          <w:lang w:val="es-ES_tradnl"/>
        </w:rPr>
        <w:fldChar w:fldCharType="begin"/>
      </w:r>
      <w:r w:rsidR="00F86650" w:rsidRPr="000866D1">
        <w:rPr>
          <w:rFonts w:ascii="Verdana" w:eastAsia="Times" w:hAnsi="Verdana"/>
          <w:spacing w:val="-2"/>
          <w:sz w:val="20"/>
          <w:szCs w:val="20"/>
          <w:lang w:val="es-ES_tradnl"/>
        </w:rPr>
        <w:instrText xml:space="preserve"> REF _Ref395083029 \r \h </w:instrText>
      </w:r>
      <w:r w:rsidR="00F86650">
        <w:rPr>
          <w:rFonts w:ascii="Verdana" w:eastAsia="Times" w:hAnsi="Verdana"/>
          <w:spacing w:val="-2"/>
          <w:sz w:val="20"/>
          <w:szCs w:val="20"/>
          <w:lang w:val="es-ES_tradnl"/>
        </w:rPr>
        <w:instrText xml:space="preserve"> \* MERGEFORMAT </w:instrText>
      </w:r>
      <w:r w:rsidR="00F86650" w:rsidRPr="000866D1">
        <w:rPr>
          <w:rFonts w:ascii="Verdana" w:eastAsia="Times" w:hAnsi="Verdana"/>
          <w:spacing w:val="-2"/>
          <w:sz w:val="20"/>
          <w:szCs w:val="20"/>
          <w:lang w:val="es-ES_tradnl"/>
        </w:rPr>
      </w:r>
      <w:r w:rsidR="00F86650" w:rsidRPr="000866D1">
        <w:rPr>
          <w:rFonts w:ascii="Verdana" w:eastAsia="Times" w:hAnsi="Verdana"/>
          <w:spacing w:val="-2"/>
          <w:sz w:val="20"/>
          <w:szCs w:val="20"/>
          <w:lang w:val="es-ES_tradnl"/>
        </w:rPr>
        <w:fldChar w:fldCharType="separate"/>
      </w:r>
      <w:r w:rsidR="00F86650">
        <w:rPr>
          <w:rFonts w:ascii="Verdana" w:eastAsia="Times" w:hAnsi="Verdana"/>
          <w:spacing w:val="-2"/>
          <w:sz w:val="20"/>
          <w:szCs w:val="20"/>
          <w:lang w:val="es-ES_tradnl"/>
        </w:rPr>
        <w:t>2</w:t>
      </w:r>
      <w:r w:rsidR="00F86650" w:rsidRPr="000866D1">
        <w:rPr>
          <w:rFonts w:ascii="Verdana" w:eastAsia="Times" w:hAnsi="Verdana"/>
          <w:spacing w:val="-2"/>
          <w:sz w:val="20"/>
          <w:szCs w:val="20"/>
          <w:lang w:val="es-ES_tradnl"/>
        </w:rPr>
        <w:fldChar w:fldCharType="end"/>
      </w:r>
      <w:r w:rsidR="00F86650" w:rsidRPr="000866D1">
        <w:rPr>
          <w:rFonts w:ascii="Verdana" w:eastAsia="Times" w:hAnsi="Verdana"/>
          <w:spacing w:val="-2"/>
          <w:sz w:val="20"/>
          <w:szCs w:val="20"/>
          <w:lang w:val="es-ES_tradnl"/>
        </w:rPr>
        <w:t>)</w:t>
      </w:r>
      <w:r w:rsidRPr="000866D1">
        <w:rPr>
          <w:rFonts w:ascii="Verdana" w:hAnsi="Verdana"/>
          <w:spacing w:val="-2"/>
          <w:sz w:val="20"/>
          <w:szCs w:val="20"/>
          <w:lang w:val="es-ES_tradnl"/>
        </w:rPr>
        <w:t xml:space="preserve">. Por </w:t>
      </w:r>
      <w:r w:rsidR="00EF6E1D" w:rsidRPr="000866D1">
        <w:rPr>
          <w:rFonts w:ascii="Verdana" w:hAnsi="Verdana"/>
          <w:spacing w:val="-2"/>
          <w:sz w:val="20"/>
          <w:szCs w:val="20"/>
          <w:lang w:val="es-ES_tradnl"/>
        </w:rPr>
        <w:t>ende, la solicitud resulta admisible</w:t>
      </w:r>
      <w:r w:rsidRPr="000866D1">
        <w:rPr>
          <w:rFonts w:ascii="Verdana" w:hAnsi="Verdana"/>
          <w:spacing w:val="-2"/>
          <w:sz w:val="20"/>
          <w:szCs w:val="20"/>
          <w:lang w:val="es-ES_tradnl"/>
        </w:rPr>
        <w:t xml:space="preserve"> en lo que se refiere al plazo de su presentación. </w:t>
      </w:r>
    </w:p>
    <w:p w:rsidR="00E723EE" w:rsidRPr="000866D1" w:rsidRDefault="00E723EE" w:rsidP="009E1889">
      <w:pPr>
        <w:tabs>
          <w:tab w:val="left" w:pos="567"/>
        </w:tabs>
        <w:autoSpaceDE w:val="0"/>
        <w:autoSpaceDN w:val="0"/>
        <w:adjustRightInd w:val="0"/>
        <w:spacing w:after="0" w:line="240" w:lineRule="auto"/>
        <w:jc w:val="both"/>
        <w:rPr>
          <w:rFonts w:eastAsia="Times"/>
          <w:spacing w:val="-2"/>
          <w:szCs w:val="20"/>
          <w:lang w:val="es-ES_tradnl"/>
        </w:rPr>
      </w:pPr>
    </w:p>
    <w:p w:rsidR="002F0CC2" w:rsidRPr="000866D1" w:rsidRDefault="00E723EE" w:rsidP="009E1889">
      <w:pPr>
        <w:tabs>
          <w:tab w:val="left" w:pos="0"/>
          <w:tab w:val="left" w:pos="567"/>
        </w:tabs>
        <w:autoSpaceDE w:val="0"/>
        <w:autoSpaceDN w:val="0"/>
        <w:adjustRightInd w:val="0"/>
        <w:spacing w:after="0" w:line="240" w:lineRule="auto"/>
        <w:jc w:val="center"/>
        <w:rPr>
          <w:rFonts w:cs="Verdana"/>
          <w:b/>
          <w:spacing w:val="-2"/>
          <w:szCs w:val="20"/>
          <w:lang w:val="es-ES_tradnl"/>
        </w:rPr>
      </w:pPr>
      <w:r w:rsidRPr="000866D1">
        <w:rPr>
          <w:rFonts w:cs="Verdana"/>
          <w:b/>
          <w:spacing w:val="-2"/>
          <w:szCs w:val="20"/>
          <w:lang w:val="es-ES_tradnl"/>
        </w:rPr>
        <w:t>IV</w:t>
      </w:r>
    </w:p>
    <w:p w:rsidR="002F0CC2" w:rsidRPr="000866D1" w:rsidRDefault="00E464E8" w:rsidP="009E1889">
      <w:pPr>
        <w:pStyle w:val="NoSpacing"/>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ANÁLISIS DE LA PROCEDENCIA DE LA SOLICITUD DE INTERPRETACIÓN </w:t>
      </w:r>
    </w:p>
    <w:p w:rsidR="002F0CC2" w:rsidRPr="000866D1" w:rsidRDefault="002F0CC2" w:rsidP="009E1889">
      <w:pPr>
        <w:tabs>
          <w:tab w:val="left" w:pos="567"/>
        </w:tabs>
        <w:autoSpaceDE w:val="0"/>
        <w:autoSpaceDN w:val="0"/>
        <w:adjustRightInd w:val="0"/>
        <w:spacing w:after="0" w:line="240" w:lineRule="auto"/>
        <w:jc w:val="both"/>
        <w:rPr>
          <w:rFonts w:eastAsia="Times"/>
          <w:bCs/>
          <w:strike/>
          <w:spacing w:val="-2"/>
          <w:szCs w:val="20"/>
          <w:lang w:val="es-ES_tradnl"/>
        </w:rPr>
      </w:pPr>
    </w:p>
    <w:p w:rsidR="00E464E8" w:rsidRPr="000866D1" w:rsidRDefault="00E464E8" w:rsidP="009E1889">
      <w:pPr>
        <w:numPr>
          <w:ilvl w:val="0"/>
          <w:numId w:val="1"/>
        </w:numPr>
        <w:tabs>
          <w:tab w:val="left" w:pos="567"/>
          <w:tab w:val="num" w:pos="720"/>
        </w:tabs>
        <w:autoSpaceDE w:val="0"/>
        <w:autoSpaceDN w:val="0"/>
        <w:adjustRightInd w:val="0"/>
        <w:spacing w:after="0" w:line="240" w:lineRule="auto"/>
        <w:jc w:val="both"/>
        <w:rPr>
          <w:rFonts w:eastAsia="Times"/>
          <w:bCs/>
          <w:spacing w:val="-2"/>
          <w:szCs w:val="20"/>
          <w:lang w:val="es-ES_tradnl"/>
        </w:rPr>
      </w:pPr>
      <w:r w:rsidRPr="000866D1">
        <w:rPr>
          <w:rFonts w:eastAsia="Times"/>
          <w:spacing w:val="-2"/>
          <w:szCs w:val="20"/>
          <w:lang w:val="es-ES_tradnl"/>
        </w:rPr>
        <w:t xml:space="preserve">A continuación el Tribunal analizará la solicitud del Estado para determinar si, de acuerdo a la normativa y a los estándares desarrollados en su jurisprudencia, procede aclarar el sentido o alcance de algún punto de la Sentencia. </w:t>
      </w:r>
    </w:p>
    <w:p w:rsidR="00082515" w:rsidRPr="000866D1" w:rsidRDefault="00082515" w:rsidP="009E1889">
      <w:pPr>
        <w:tabs>
          <w:tab w:val="left" w:pos="567"/>
        </w:tabs>
        <w:spacing w:after="0" w:line="240" w:lineRule="auto"/>
        <w:jc w:val="both"/>
        <w:rPr>
          <w:rFonts w:eastAsia="Times"/>
          <w:spacing w:val="-2"/>
          <w:szCs w:val="20"/>
          <w:lang w:val="es-ES_tradnl"/>
        </w:rPr>
      </w:pPr>
    </w:p>
    <w:p w:rsidR="00C10360" w:rsidRPr="000866D1" w:rsidRDefault="00C10360" w:rsidP="009E1889">
      <w:pPr>
        <w:numPr>
          <w:ilvl w:val="0"/>
          <w:numId w:val="1"/>
        </w:numPr>
        <w:tabs>
          <w:tab w:val="clear" w:pos="1247"/>
          <w:tab w:val="num" w:pos="567"/>
        </w:tabs>
        <w:spacing w:after="0" w:line="240" w:lineRule="auto"/>
        <w:jc w:val="both"/>
        <w:rPr>
          <w:spacing w:val="-2"/>
        </w:rPr>
      </w:pPr>
      <w:bookmarkStart w:id="75" w:name="_Ref392082429"/>
      <w:r w:rsidRPr="000866D1">
        <w:rPr>
          <w:spacing w:val="-2"/>
        </w:rPr>
        <w:t>Para analizar la procedencia de la</w:t>
      </w:r>
      <w:r w:rsidR="009816A9" w:rsidRPr="000866D1">
        <w:rPr>
          <w:spacing w:val="-2"/>
        </w:rPr>
        <w:t xml:space="preserve"> solicitud</w:t>
      </w:r>
      <w:r w:rsidRPr="000866D1">
        <w:rPr>
          <w:spacing w:val="-2"/>
        </w:rPr>
        <w:t xml:space="preserve"> de interpretación </w:t>
      </w:r>
      <w:r w:rsidR="009816A9" w:rsidRPr="000866D1">
        <w:rPr>
          <w:spacing w:val="-2"/>
        </w:rPr>
        <w:t>sometida</w:t>
      </w:r>
      <w:r w:rsidRPr="000866D1">
        <w:rPr>
          <w:spacing w:val="-2"/>
        </w:rPr>
        <w:t xml:space="preserve"> en el presente caso, la Corte toma en consideración su jurisprudencia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0866D1">
        <w:rPr>
          <w:rStyle w:val="FootnoteReference"/>
          <w:spacing w:val="-2"/>
        </w:rPr>
        <w:footnoteReference w:id="3"/>
      </w:r>
      <w:r w:rsidRPr="000866D1">
        <w:rPr>
          <w:spacing w:val="-2"/>
        </w:rPr>
        <w:t>. Por lo tanto, no se puede solicitar la modificación o anulación de la sentencia respectiva a través de una solicitud de interpretación</w:t>
      </w:r>
      <w:r w:rsidRPr="000866D1">
        <w:rPr>
          <w:rStyle w:val="FootnoteReference"/>
          <w:spacing w:val="-2"/>
        </w:rPr>
        <w:footnoteReference w:id="4"/>
      </w:r>
      <w:r w:rsidRPr="000866D1">
        <w:rPr>
          <w:spacing w:val="-2"/>
        </w:rPr>
        <w:t>.</w:t>
      </w:r>
      <w:bookmarkEnd w:id="75"/>
    </w:p>
    <w:p w:rsidR="00C10360" w:rsidRPr="000866D1" w:rsidRDefault="00C10360" w:rsidP="009E1889">
      <w:pPr>
        <w:tabs>
          <w:tab w:val="left" w:pos="567"/>
        </w:tabs>
        <w:spacing w:after="0" w:line="240" w:lineRule="auto"/>
        <w:jc w:val="both"/>
        <w:rPr>
          <w:rFonts w:eastAsia="Times"/>
          <w:spacing w:val="-2"/>
          <w:szCs w:val="20"/>
        </w:rPr>
      </w:pPr>
    </w:p>
    <w:p w:rsidR="00C10360" w:rsidRPr="000866D1" w:rsidRDefault="00C10360" w:rsidP="009E1889">
      <w:pPr>
        <w:numPr>
          <w:ilvl w:val="0"/>
          <w:numId w:val="1"/>
        </w:numPr>
        <w:tabs>
          <w:tab w:val="clear" w:pos="1247"/>
          <w:tab w:val="num" w:pos="720"/>
        </w:tabs>
        <w:spacing w:after="0" w:line="240" w:lineRule="auto"/>
        <w:jc w:val="both"/>
        <w:rPr>
          <w:spacing w:val="-2"/>
        </w:rPr>
      </w:pPr>
      <w:bookmarkStart w:id="76" w:name="_Ref406488555"/>
      <w:r w:rsidRPr="000866D1">
        <w:rPr>
          <w:spacing w:val="-2"/>
        </w:rPr>
        <w:t>Adicionalmente, la Corte ha sostenido la improcedencia de utilizar una solicitud de interpretación para someter cuestiones de hecho y de derecho que ya fueron planteadas en su oportunidad procesal y sobre las cuales la Corte ya adoptó una decisión</w:t>
      </w:r>
      <w:r w:rsidRPr="000866D1">
        <w:rPr>
          <w:rStyle w:val="FootnoteReference"/>
          <w:spacing w:val="-2"/>
        </w:rPr>
        <w:footnoteReference w:id="5"/>
      </w:r>
      <w:r w:rsidRPr="000866D1">
        <w:rPr>
          <w:spacing w:val="-2"/>
        </w:rPr>
        <w:t>, así como para pretender que la Corte valore nuevamente cuestiones</w:t>
      </w:r>
      <w:r w:rsidR="00501F80">
        <w:rPr>
          <w:spacing w:val="-2"/>
        </w:rPr>
        <w:t xml:space="preserve"> que ya han sido resueltas por e</w:t>
      </w:r>
      <w:r w:rsidRPr="000866D1">
        <w:rPr>
          <w:spacing w:val="-2"/>
        </w:rPr>
        <w:t>st</w:t>
      </w:r>
      <w:r w:rsidR="00501F80">
        <w:rPr>
          <w:spacing w:val="-2"/>
        </w:rPr>
        <w:t>a</w:t>
      </w:r>
      <w:r w:rsidRPr="000866D1">
        <w:rPr>
          <w:spacing w:val="-2"/>
        </w:rPr>
        <w:t xml:space="preserve"> en su Sentencia</w:t>
      </w:r>
      <w:r w:rsidRPr="000866D1">
        <w:rPr>
          <w:rStyle w:val="FootnoteReference"/>
          <w:spacing w:val="-2"/>
        </w:rPr>
        <w:footnoteReference w:id="6"/>
      </w:r>
      <w:r w:rsidRPr="000866D1">
        <w:rPr>
          <w:spacing w:val="-2"/>
        </w:rPr>
        <w:t>. De igual manera, por esta vía tampoco se puede intentar que se amplíe el alcance de una medida de reparación ordenada oportunamente</w:t>
      </w:r>
      <w:r w:rsidRPr="000866D1">
        <w:rPr>
          <w:rStyle w:val="FootnoteReference"/>
          <w:spacing w:val="-2"/>
        </w:rPr>
        <w:footnoteReference w:id="7"/>
      </w:r>
      <w:r w:rsidRPr="000866D1">
        <w:rPr>
          <w:spacing w:val="-2"/>
        </w:rPr>
        <w:t xml:space="preserve">. </w:t>
      </w:r>
      <w:bookmarkEnd w:id="76"/>
    </w:p>
    <w:p w:rsidR="00C10360" w:rsidRPr="000866D1" w:rsidRDefault="00C10360" w:rsidP="009E1889">
      <w:pPr>
        <w:spacing w:after="0" w:line="240" w:lineRule="auto"/>
        <w:jc w:val="both"/>
        <w:rPr>
          <w:spacing w:val="-2"/>
        </w:rPr>
      </w:pPr>
    </w:p>
    <w:p w:rsidR="004C0051" w:rsidRPr="000866D1" w:rsidRDefault="00DB3950" w:rsidP="009E1889">
      <w:pPr>
        <w:numPr>
          <w:ilvl w:val="0"/>
          <w:numId w:val="1"/>
        </w:numPr>
        <w:tabs>
          <w:tab w:val="left" w:pos="567"/>
          <w:tab w:val="num" w:pos="720"/>
        </w:tabs>
        <w:spacing w:after="0" w:line="240" w:lineRule="auto"/>
        <w:jc w:val="both"/>
        <w:rPr>
          <w:rFonts w:eastAsia="Times"/>
          <w:spacing w:val="-2"/>
          <w:szCs w:val="20"/>
          <w:lang w:val="es-ES_tradnl"/>
        </w:rPr>
      </w:pPr>
      <w:r w:rsidRPr="000866D1">
        <w:rPr>
          <w:rFonts w:cs="Arial"/>
          <w:spacing w:val="-2"/>
          <w:szCs w:val="20"/>
          <w:lang w:val="es-ES_tradnl"/>
        </w:rPr>
        <w:t>E</w:t>
      </w:r>
      <w:r w:rsidR="004C0051" w:rsidRPr="000866D1">
        <w:rPr>
          <w:rFonts w:cs="Arial"/>
          <w:spacing w:val="-2"/>
          <w:szCs w:val="20"/>
          <w:lang w:val="es-ES_tradnl"/>
        </w:rPr>
        <w:t xml:space="preserve">l Estado ha solicitado una interpretación sobre el alcance de la revisión judicial exigida en el párrafo 205 de la Sentencia. </w:t>
      </w:r>
      <w:r w:rsidR="004C0051" w:rsidRPr="000866D1">
        <w:rPr>
          <w:spacing w:val="-2"/>
        </w:rPr>
        <w:t xml:space="preserve">A continuación, se expondrán </w:t>
      </w:r>
      <w:r w:rsidRPr="000866D1">
        <w:rPr>
          <w:spacing w:val="-2"/>
        </w:rPr>
        <w:t>los (A</w:t>
      </w:r>
      <w:r w:rsidR="004C0051" w:rsidRPr="000866D1">
        <w:rPr>
          <w:spacing w:val="-2"/>
        </w:rPr>
        <w:t xml:space="preserve">) </w:t>
      </w:r>
      <w:r w:rsidR="00363090" w:rsidRPr="000866D1">
        <w:rPr>
          <w:spacing w:val="-2"/>
        </w:rPr>
        <w:t xml:space="preserve">argumentos </w:t>
      </w:r>
      <w:r w:rsidR="004C0051" w:rsidRPr="000866D1">
        <w:rPr>
          <w:spacing w:val="-2"/>
        </w:rPr>
        <w:t xml:space="preserve">de las partes y </w:t>
      </w:r>
      <w:r w:rsidR="008E151F">
        <w:rPr>
          <w:spacing w:val="-2"/>
        </w:rPr>
        <w:t xml:space="preserve">de </w:t>
      </w:r>
      <w:r w:rsidR="004C0051" w:rsidRPr="000866D1">
        <w:rPr>
          <w:spacing w:val="-2"/>
        </w:rPr>
        <w:t>la Comisión y se realizarán (</w:t>
      </w:r>
      <w:r w:rsidRPr="000866D1">
        <w:rPr>
          <w:spacing w:val="-2"/>
        </w:rPr>
        <w:t>B</w:t>
      </w:r>
      <w:r w:rsidR="004C0051" w:rsidRPr="000866D1">
        <w:rPr>
          <w:spacing w:val="-2"/>
        </w:rPr>
        <w:t xml:space="preserve">) las consideraciones pertinentes. </w:t>
      </w:r>
    </w:p>
    <w:p w:rsidR="0034642F" w:rsidRDefault="0034642F" w:rsidP="000866D1">
      <w:pPr>
        <w:tabs>
          <w:tab w:val="left" w:pos="567"/>
        </w:tabs>
        <w:autoSpaceDE w:val="0"/>
        <w:autoSpaceDN w:val="0"/>
        <w:adjustRightInd w:val="0"/>
        <w:spacing w:after="0" w:line="240" w:lineRule="auto"/>
        <w:jc w:val="both"/>
        <w:rPr>
          <w:rFonts w:cs="Arial"/>
          <w:spacing w:val="-2"/>
          <w:szCs w:val="20"/>
          <w:lang w:val="es-ES_tradnl"/>
        </w:rPr>
      </w:pPr>
    </w:p>
    <w:p w:rsidR="0011068B" w:rsidRPr="000866D1" w:rsidRDefault="0011068B" w:rsidP="000866D1">
      <w:pPr>
        <w:tabs>
          <w:tab w:val="left" w:pos="567"/>
        </w:tabs>
        <w:autoSpaceDE w:val="0"/>
        <w:autoSpaceDN w:val="0"/>
        <w:adjustRightInd w:val="0"/>
        <w:spacing w:after="0" w:line="240" w:lineRule="auto"/>
        <w:jc w:val="both"/>
        <w:rPr>
          <w:rFonts w:cs="Arial"/>
          <w:spacing w:val="-2"/>
          <w:szCs w:val="20"/>
          <w:lang w:val="es-ES_tradnl"/>
        </w:rPr>
      </w:pPr>
    </w:p>
    <w:p w:rsidR="001C300E" w:rsidRPr="000866D1" w:rsidRDefault="001C300E" w:rsidP="000866D1">
      <w:pPr>
        <w:pStyle w:val="ListParagraph"/>
        <w:numPr>
          <w:ilvl w:val="0"/>
          <w:numId w:val="4"/>
        </w:numPr>
        <w:tabs>
          <w:tab w:val="left" w:pos="567"/>
        </w:tabs>
        <w:autoSpaceDE w:val="0"/>
        <w:autoSpaceDN w:val="0"/>
        <w:adjustRightInd w:val="0"/>
        <w:spacing w:after="0" w:line="240" w:lineRule="auto"/>
        <w:jc w:val="both"/>
        <w:rPr>
          <w:rFonts w:cs="Arial"/>
          <w:b/>
          <w:i/>
          <w:spacing w:val="-2"/>
          <w:szCs w:val="20"/>
          <w:lang w:val="es-ES_tradnl"/>
        </w:rPr>
      </w:pPr>
      <w:r w:rsidRPr="000866D1">
        <w:rPr>
          <w:rFonts w:cs="Arial"/>
          <w:b/>
          <w:i/>
          <w:spacing w:val="-2"/>
          <w:szCs w:val="20"/>
          <w:lang w:val="es-ES_tradnl"/>
        </w:rPr>
        <w:lastRenderedPageBreak/>
        <w:t xml:space="preserve">Argumentos </w:t>
      </w:r>
      <w:r w:rsidR="00356F4A" w:rsidRPr="000866D1">
        <w:rPr>
          <w:rFonts w:cs="Arial"/>
          <w:b/>
          <w:i/>
          <w:spacing w:val="-2"/>
          <w:szCs w:val="20"/>
          <w:lang w:val="es-ES_tradnl"/>
        </w:rPr>
        <w:t xml:space="preserve">de las partes </w:t>
      </w:r>
      <w:r w:rsidRPr="000866D1">
        <w:rPr>
          <w:rFonts w:cs="Arial"/>
          <w:b/>
          <w:i/>
          <w:spacing w:val="-2"/>
          <w:szCs w:val="20"/>
          <w:lang w:val="es-ES_tradnl"/>
        </w:rPr>
        <w:t xml:space="preserve">y </w:t>
      </w:r>
      <w:r w:rsidR="00356F4A" w:rsidRPr="000866D1">
        <w:rPr>
          <w:rFonts w:cs="Arial"/>
          <w:b/>
          <w:i/>
          <w:spacing w:val="-2"/>
          <w:szCs w:val="20"/>
          <w:lang w:val="es-ES_tradnl"/>
        </w:rPr>
        <w:t>de la Comisión</w:t>
      </w:r>
    </w:p>
    <w:p w:rsidR="001C300E" w:rsidRPr="000866D1" w:rsidRDefault="001C300E" w:rsidP="000866D1">
      <w:pPr>
        <w:pStyle w:val="ListParagraph"/>
        <w:tabs>
          <w:tab w:val="left" w:pos="567"/>
        </w:tabs>
        <w:autoSpaceDE w:val="0"/>
        <w:autoSpaceDN w:val="0"/>
        <w:adjustRightInd w:val="0"/>
        <w:spacing w:after="0" w:line="240" w:lineRule="auto"/>
        <w:jc w:val="both"/>
        <w:rPr>
          <w:rFonts w:cs="Arial"/>
          <w:spacing w:val="-2"/>
          <w:szCs w:val="20"/>
          <w:lang w:val="es-ES_tradnl"/>
        </w:rPr>
      </w:pPr>
    </w:p>
    <w:p w:rsidR="00A3035C" w:rsidRPr="000866D1" w:rsidRDefault="001C300E" w:rsidP="00A3035C">
      <w:pPr>
        <w:numPr>
          <w:ilvl w:val="0"/>
          <w:numId w:val="1"/>
        </w:numPr>
        <w:tabs>
          <w:tab w:val="left" w:pos="567"/>
          <w:tab w:val="num" w:pos="720"/>
        </w:tabs>
        <w:autoSpaceDE w:val="0"/>
        <w:autoSpaceDN w:val="0"/>
        <w:adjustRightInd w:val="0"/>
        <w:spacing w:after="0" w:line="240" w:lineRule="auto"/>
        <w:jc w:val="both"/>
        <w:rPr>
          <w:rFonts w:eastAsiaTheme="minorHAnsi"/>
          <w:spacing w:val="-2"/>
          <w:szCs w:val="20"/>
        </w:rPr>
      </w:pPr>
      <w:r w:rsidRPr="000866D1">
        <w:rPr>
          <w:rFonts w:eastAsia="Times"/>
          <w:spacing w:val="-2"/>
          <w:szCs w:val="20"/>
          <w:lang w:val="es-ES_tradnl"/>
        </w:rPr>
        <w:t xml:space="preserve">El </w:t>
      </w:r>
      <w:r w:rsidRPr="000866D1">
        <w:rPr>
          <w:rFonts w:eastAsia="Times"/>
          <w:b/>
          <w:i/>
          <w:spacing w:val="-2"/>
          <w:szCs w:val="20"/>
          <w:lang w:val="es-ES_tradnl"/>
        </w:rPr>
        <w:t>Estado</w:t>
      </w:r>
      <w:r w:rsidRPr="000866D1">
        <w:rPr>
          <w:rFonts w:eastAsia="Times"/>
          <w:b/>
          <w:spacing w:val="-2"/>
          <w:szCs w:val="20"/>
          <w:lang w:val="es-ES_tradnl"/>
        </w:rPr>
        <w:t xml:space="preserve"> </w:t>
      </w:r>
      <w:r w:rsidR="00A57311" w:rsidRPr="000866D1">
        <w:rPr>
          <w:rFonts w:eastAsia="Times"/>
          <w:spacing w:val="-2"/>
          <w:szCs w:val="20"/>
          <w:lang w:val="es-ES_tradnl"/>
        </w:rPr>
        <w:t>señaló que</w:t>
      </w:r>
      <w:r w:rsidR="00A57311" w:rsidRPr="000866D1">
        <w:rPr>
          <w:rFonts w:eastAsia="Times"/>
          <w:b/>
          <w:spacing w:val="-2"/>
          <w:szCs w:val="20"/>
          <w:lang w:val="es-ES_tradnl"/>
        </w:rPr>
        <w:t xml:space="preserve"> </w:t>
      </w:r>
      <w:r w:rsidR="009816A9" w:rsidRPr="000866D1">
        <w:rPr>
          <w:rFonts w:eastAsia="Times"/>
          <w:spacing w:val="-2"/>
          <w:szCs w:val="20"/>
          <w:lang w:val="es-ES_tradnl"/>
        </w:rPr>
        <w:t xml:space="preserve">los párrafos 204 y 205 de la Sentencia </w:t>
      </w:r>
      <w:r w:rsidR="00C824DF" w:rsidRPr="000866D1">
        <w:rPr>
          <w:rFonts w:eastAsia="Times"/>
          <w:spacing w:val="-2"/>
          <w:szCs w:val="20"/>
          <w:lang w:val="es-ES_tradnl"/>
        </w:rPr>
        <w:t xml:space="preserve">requieren al </w:t>
      </w:r>
      <w:r w:rsidR="009816A9" w:rsidRPr="000866D1">
        <w:rPr>
          <w:rFonts w:eastAsia="Times"/>
          <w:spacing w:val="-2"/>
          <w:szCs w:val="20"/>
        </w:rPr>
        <w:t>Estado brindar la posibilidad a</w:t>
      </w:r>
      <w:r w:rsidR="00C824DF" w:rsidRPr="000866D1">
        <w:rPr>
          <w:rFonts w:eastAsia="Times"/>
          <w:spacing w:val="-2"/>
          <w:szCs w:val="20"/>
        </w:rPr>
        <w:t>l señor Wong Ho Wing</w:t>
      </w:r>
      <w:r w:rsidR="009816A9" w:rsidRPr="000866D1">
        <w:rPr>
          <w:rFonts w:eastAsia="Times"/>
          <w:spacing w:val="-2"/>
          <w:szCs w:val="20"/>
        </w:rPr>
        <w:t xml:space="preserve"> de obtener una revisión judicial</w:t>
      </w:r>
      <w:r w:rsidR="00580901" w:rsidRPr="000866D1">
        <w:rPr>
          <w:rFonts w:eastAsia="Times"/>
          <w:spacing w:val="-2"/>
          <w:szCs w:val="20"/>
        </w:rPr>
        <w:t>, luego que se adoptara la decisión definitiva en el proceso de extradición</w:t>
      </w:r>
      <w:r w:rsidR="009816A9" w:rsidRPr="000866D1">
        <w:rPr>
          <w:rFonts w:eastAsia="Times"/>
          <w:spacing w:val="-2"/>
          <w:szCs w:val="20"/>
        </w:rPr>
        <w:t xml:space="preserve">. </w:t>
      </w:r>
      <w:r w:rsidR="00580901" w:rsidRPr="000866D1">
        <w:rPr>
          <w:rFonts w:eastAsia="Times"/>
          <w:spacing w:val="-2"/>
          <w:szCs w:val="20"/>
        </w:rPr>
        <w:t>Al respecto, informó que e</w:t>
      </w:r>
      <w:r w:rsidR="009816A9" w:rsidRPr="000866D1">
        <w:rPr>
          <w:rFonts w:eastAsia="Times"/>
          <w:spacing w:val="-2"/>
          <w:szCs w:val="20"/>
        </w:rPr>
        <w:t>l 1</w:t>
      </w:r>
      <w:r w:rsidR="00D535F7">
        <w:rPr>
          <w:rFonts w:eastAsia="Times"/>
          <w:spacing w:val="-2"/>
          <w:szCs w:val="20"/>
        </w:rPr>
        <w:t>6</w:t>
      </w:r>
      <w:r w:rsidR="009816A9" w:rsidRPr="000866D1">
        <w:rPr>
          <w:rFonts w:eastAsia="Times"/>
          <w:spacing w:val="-2"/>
          <w:szCs w:val="20"/>
        </w:rPr>
        <w:t xml:space="preserve"> de septiembre de 2015 el Poder Ejecutivo </w:t>
      </w:r>
      <w:r w:rsidR="00580901" w:rsidRPr="000866D1">
        <w:rPr>
          <w:rFonts w:eastAsia="Times"/>
          <w:spacing w:val="-2"/>
          <w:szCs w:val="20"/>
        </w:rPr>
        <w:t xml:space="preserve">peruano </w:t>
      </w:r>
      <w:r w:rsidR="009816A9" w:rsidRPr="000866D1">
        <w:rPr>
          <w:rFonts w:eastAsia="Times"/>
          <w:spacing w:val="-2"/>
          <w:szCs w:val="20"/>
        </w:rPr>
        <w:t xml:space="preserve">accedió a la solicitud de extradición pasiva del señor Wong Ho Wing formulada por la República Popular China, luego de lo cual se inició la fase de </w:t>
      </w:r>
      <w:r w:rsidR="00580901" w:rsidRPr="000866D1">
        <w:rPr>
          <w:rFonts w:eastAsia="Times"/>
          <w:spacing w:val="-2"/>
          <w:szCs w:val="20"/>
        </w:rPr>
        <w:t xml:space="preserve">ejecución </w:t>
      </w:r>
      <w:r w:rsidR="009816A9" w:rsidRPr="000866D1">
        <w:rPr>
          <w:rFonts w:eastAsia="Times"/>
          <w:spacing w:val="-2"/>
          <w:szCs w:val="20"/>
        </w:rPr>
        <w:t xml:space="preserve">de </w:t>
      </w:r>
      <w:r w:rsidR="005E1401" w:rsidRPr="000866D1">
        <w:rPr>
          <w:rFonts w:eastAsia="Times"/>
          <w:spacing w:val="-2"/>
          <w:szCs w:val="20"/>
        </w:rPr>
        <w:t xml:space="preserve">la </w:t>
      </w:r>
      <w:r w:rsidR="009816A9" w:rsidRPr="000866D1">
        <w:rPr>
          <w:rFonts w:eastAsia="Times"/>
          <w:spacing w:val="-2"/>
          <w:szCs w:val="20"/>
        </w:rPr>
        <w:t>extradici</w:t>
      </w:r>
      <w:r w:rsidR="005E1401" w:rsidRPr="000866D1">
        <w:rPr>
          <w:rFonts w:eastAsia="Times"/>
          <w:spacing w:val="-2"/>
          <w:szCs w:val="20"/>
        </w:rPr>
        <w:t>ó</w:t>
      </w:r>
      <w:r w:rsidR="009816A9" w:rsidRPr="000866D1">
        <w:rPr>
          <w:rFonts w:eastAsia="Times"/>
          <w:spacing w:val="-2"/>
          <w:szCs w:val="20"/>
        </w:rPr>
        <w:t>n.</w:t>
      </w:r>
      <w:r w:rsidR="009816A9" w:rsidRPr="000866D1">
        <w:rPr>
          <w:rFonts w:eastAsia="Times"/>
          <w:spacing w:val="-2"/>
          <w:szCs w:val="20"/>
          <w:lang w:val="es-ES_tradnl"/>
        </w:rPr>
        <w:t xml:space="preserve"> </w:t>
      </w:r>
      <w:r w:rsidR="00580901" w:rsidRPr="000866D1">
        <w:rPr>
          <w:rFonts w:eastAsia="Times"/>
          <w:spacing w:val="-2"/>
          <w:szCs w:val="20"/>
          <w:lang w:val="es-ES_tradnl"/>
        </w:rPr>
        <w:t xml:space="preserve">Asimismo, informó que </w:t>
      </w:r>
      <w:r w:rsidR="00580901" w:rsidRPr="000866D1">
        <w:rPr>
          <w:rFonts w:eastAsia="Times"/>
          <w:spacing w:val="-2"/>
          <w:szCs w:val="20"/>
        </w:rPr>
        <w:t xml:space="preserve">hasta </w:t>
      </w:r>
      <w:r w:rsidR="005E1401" w:rsidRPr="000866D1">
        <w:rPr>
          <w:rFonts w:eastAsia="Times"/>
          <w:spacing w:val="-2"/>
          <w:szCs w:val="20"/>
        </w:rPr>
        <w:t xml:space="preserve">la fecha el representante del señor Wong Ho Wing ha interpuesto dos demandas de </w:t>
      </w:r>
      <w:r w:rsidR="005E1401" w:rsidRPr="000866D1">
        <w:rPr>
          <w:rFonts w:eastAsia="Times"/>
          <w:iCs/>
          <w:spacing w:val="-2"/>
          <w:szCs w:val="20"/>
        </w:rPr>
        <w:t>h</w:t>
      </w:r>
      <w:r w:rsidR="00580901" w:rsidRPr="000866D1">
        <w:rPr>
          <w:rFonts w:eastAsia="Times"/>
          <w:iCs/>
          <w:spacing w:val="-2"/>
          <w:szCs w:val="20"/>
        </w:rPr>
        <w:t>á</w:t>
      </w:r>
      <w:r w:rsidR="005E1401" w:rsidRPr="000866D1">
        <w:rPr>
          <w:rFonts w:eastAsia="Times"/>
          <w:iCs/>
          <w:spacing w:val="-2"/>
          <w:szCs w:val="20"/>
        </w:rPr>
        <w:t>beas corpus,</w:t>
      </w:r>
      <w:r w:rsidR="005E1401" w:rsidRPr="000866D1">
        <w:rPr>
          <w:rFonts w:eastAsia="Times"/>
          <w:spacing w:val="-2"/>
          <w:szCs w:val="20"/>
        </w:rPr>
        <w:t xml:space="preserve"> las cuales se encuentran actualmente en trámite: (i) </w:t>
      </w:r>
      <w:r w:rsidR="00580901" w:rsidRPr="000866D1">
        <w:rPr>
          <w:rFonts w:eastAsia="Times"/>
          <w:spacing w:val="-2"/>
          <w:szCs w:val="20"/>
        </w:rPr>
        <w:t xml:space="preserve">una </w:t>
      </w:r>
      <w:r w:rsidR="005E1401" w:rsidRPr="000866D1">
        <w:rPr>
          <w:rFonts w:eastAsia="Times"/>
          <w:spacing w:val="-2"/>
          <w:szCs w:val="20"/>
        </w:rPr>
        <w:t>dema</w:t>
      </w:r>
      <w:r w:rsidR="00580901" w:rsidRPr="000866D1">
        <w:rPr>
          <w:rFonts w:eastAsia="Times"/>
          <w:spacing w:val="-2"/>
          <w:szCs w:val="20"/>
        </w:rPr>
        <w:t>nda de 22 de septiembre de 2015</w:t>
      </w:r>
      <w:r w:rsidR="005E1401" w:rsidRPr="000866D1">
        <w:rPr>
          <w:rFonts w:eastAsia="Times"/>
          <w:spacing w:val="-2"/>
          <w:szCs w:val="20"/>
        </w:rPr>
        <w:t xml:space="preserve"> contra el Presidente de la República, Ministro de Justicia y Derechos Humanos y la Ministra de Relaciones Exteriores, al haber accedido a la solicitud de extradición pasiva del señor Wong Ho Wing, y (ii) </w:t>
      </w:r>
      <w:r w:rsidR="00580901" w:rsidRPr="000866D1">
        <w:rPr>
          <w:rFonts w:eastAsia="Times"/>
          <w:spacing w:val="-2"/>
          <w:szCs w:val="20"/>
        </w:rPr>
        <w:t xml:space="preserve">una </w:t>
      </w:r>
      <w:r w:rsidR="005E1401" w:rsidRPr="000866D1">
        <w:rPr>
          <w:rFonts w:eastAsia="Times"/>
          <w:spacing w:val="-2"/>
          <w:szCs w:val="20"/>
        </w:rPr>
        <w:t>demanda de 30 de septiembre de 2015 contra la Jueza del Séptimo Juzgado Especializado en lo Penal de la Corte Superior de Justicia del Callao, por haber iniciado acciones oficiales con el objeto de ejecutar la extradición del señor Wong Ho Wing.</w:t>
      </w:r>
      <w:r w:rsidR="00A3035C" w:rsidRPr="000866D1">
        <w:rPr>
          <w:rFonts w:eastAsia="Times"/>
          <w:spacing w:val="-2"/>
          <w:szCs w:val="20"/>
        </w:rPr>
        <w:t xml:space="preserve"> </w:t>
      </w:r>
      <w:r w:rsidR="00580901" w:rsidRPr="000866D1">
        <w:rPr>
          <w:rFonts w:eastAsia="Times"/>
          <w:spacing w:val="-2"/>
          <w:szCs w:val="20"/>
        </w:rPr>
        <w:t xml:space="preserve">De acuerdo al Estado, </w:t>
      </w:r>
      <w:r w:rsidR="00580901" w:rsidRPr="000866D1">
        <w:rPr>
          <w:rFonts w:eastAsia="Times"/>
          <w:bCs/>
          <w:spacing w:val="-2"/>
          <w:szCs w:val="20"/>
        </w:rPr>
        <w:t xml:space="preserve">el recurso al que se refiere el párrafo 205 de la Sentencia constituye el </w:t>
      </w:r>
      <w:r w:rsidR="00580901" w:rsidRPr="000866D1">
        <w:rPr>
          <w:rFonts w:eastAsia="Times"/>
          <w:spacing w:val="-2"/>
          <w:szCs w:val="20"/>
        </w:rPr>
        <w:t>recurso interpuesto por la defensa d</w:t>
      </w:r>
      <w:r w:rsidR="005E1401" w:rsidRPr="000866D1">
        <w:rPr>
          <w:rFonts w:eastAsia="Times"/>
          <w:spacing w:val="-2"/>
          <w:szCs w:val="20"/>
        </w:rPr>
        <w:t>el señor Wong Ho</w:t>
      </w:r>
      <w:r w:rsidR="00A3035C" w:rsidRPr="000866D1">
        <w:rPr>
          <w:rFonts w:eastAsia="Times"/>
          <w:spacing w:val="-2"/>
          <w:szCs w:val="20"/>
        </w:rPr>
        <w:t xml:space="preserve"> </w:t>
      </w:r>
      <w:r w:rsidR="005E1401" w:rsidRPr="000866D1">
        <w:rPr>
          <w:rFonts w:eastAsia="Times"/>
          <w:spacing w:val="-2"/>
          <w:szCs w:val="20"/>
        </w:rPr>
        <w:t>Wing contra la decisión definitiva del</w:t>
      </w:r>
      <w:r w:rsidR="00A3035C" w:rsidRPr="000866D1">
        <w:rPr>
          <w:rFonts w:eastAsia="Times"/>
          <w:spacing w:val="-2"/>
          <w:szCs w:val="20"/>
        </w:rPr>
        <w:t xml:space="preserve"> </w:t>
      </w:r>
      <w:r w:rsidR="005E1401" w:rsidRPr="000866D1">
        <w:rPr>
          <w:rFonts w:eastAsia="Times"/>
          <w:spacing w:val="-2"/>
          <w:szCs w:val="20"/>
        </w:rPr>
        <w:t xml:space="preserve">Poder Ejecutivo, obteniendo que se suspenda hasta que dicho recurso sea conocido y resuelto por las instituciones correspondientes del Poder Judicial, y eventualmente </w:t>
      </w:r>
      <w:r w:rsidR="00501F80">
        <w:rPr>
          <w:rFonts w:eastAsia="Times"/>
          <w:spacing w:val="-2"/>
          <w:szCs w:val="20"/>
        </w:rPr>
        <w:t xml:space="preserve">por </w:t>
      </w:r>
      <w:r w:rsidR="005E1401" w:rsidRPr="000866D1">
        <w:rPr>
          <w:rFonts w:eastAsia="Times"/>
          <w:spacing w:val="-2"/>
          <w:szCs w:val="20"/>
        </w:rPr>
        <w:t>el</w:t>
      </w:r>
      <w:r w:rsidR="00A3035C" w:rsidRPr="000866D1">
        <w:rPr>
          <w:rFonts w:eastAsia="Times"/>
          <w:spacing w:val="-2"/>
          <w:szCs w:val="20"/>
        </w:rPr>
        <w:t xml:space="preserve"> </w:t>
      </w:r>
      <w:r w:rsidR="005E1401" w:rsidRPr="000866D1">
        <w:rPr>
          <w:rFonts w:eastAsia="Times"/>
          <w:spacing w:val="-2"/>
          <w:szCs w:val="20"/>
        </w:rPr>
        <w:t xml:space="preserve">Tribunal Constitucional en caso de proceder el agravio constitucional. </w:t>
      </w:r>
      <w:r w:rsidR="00A3035C" w:rsidRPr="000866D1">
        <w:rPr>
          <w:rFonts w:eastAsiaTheme="minorHAnsi"/>
          <w:spacing w:val="-2"/>
          <w:szCs w:val="20"/>
        </w:rPr>
        <w:t xml:space="preserve">Sin embargo, dado que existe un segundo hábeas corpus dirigido contra la Jueza responsable de la ejecución del proceso de extradición, el Estado tiene el fundado temor que puedan presentarse demandas adicionales contra diferentes actos de ejecución del proceso de extradición, originando con ello una incertidumbre respecto al momento en el cual corresponde dar por satisfecha la exigencia de protección judicial ordenada por la Corte Interamericana. De acuerdo </w:t>
      </w:r>
      <w:r w:rsidR="00501F80">
        <w:rPr>
          <w:rFonts w:eastAsiaTheme="minorHAnsi"/>
          <w:spacing w:val="-2"/>
          <w:szCs w:val="20"/>
        </w:rPr>
        <w:t>con el</w:t>
      </w:r>
      <w:r w:rsidR="00A3035C" w:rsidRPr="000866D1">
        <w:rPr>
          <w:rFonts w:eastAsiaTheme="minorHAnsi"/>
          <w:spacing w:val="-2"/>
          <w:szCs w:val="20"/>
        </w:rPr>
        <w:t xml:space="preserve"> Estado, es posible que el representante “sig[a] planteand[o recursos] indefinidamente” que tengan como propósito impedir la ejecución de la extradición del señor Wong Ho Wing, una vez resuelto el recurso o revisión judicial de la decisión definitiva del Poder Ejecutivo. </w:t>
      </w:r>
    </w:p>
    <w:p w:rsidR="001C300E" w:rsidRPr="000866D1" w:rsidRDefault="001C300E" w:rsidP="009E1889">
      <w:pPr>
        <w:tabs>
          <w:tab w:val="left" w:pos="567"/>
        </w:tabs>
        <w:autoSpaceDE w:val="0"/>
        <w:autoSpaceDN w:val="0"/>
        <w:adjustRightInd w:val="0"/>
        <w:spacing w:after="0" w:line="240" w:lineRule="auto"/>
        <w:jc w:val="both"/>
        <w:rPr>
          <w:rFonts w:eastAsia="Times"/>
          <w:spacing w:val="-2"/>
          <w:szCs w:val="20"/>
          <w:lang w:val="es-ES_tradnl"/>
        </w:rPr>
      </w:pPr>
    </w:p>
    <w:p w:rsidR="006C14F9" w:rsidRPr="000866D1" w:rsidRDefault="001C300E" w:rsidP="006C14F9">
      <w:pPr>
        <w:numPr>
          <w:ilvl w:val="0"/>
          <w:numId w:val="1"/>
        </w:numPr>
        <w:tabs>
          <w:tab w:val="left" w:pos="567"/>
          <w:tab w:val="num" w:pos="720"/>
        </w:tabs>
        <w:autoSpaceDE w:val="0"/>
        <w:autoSpaceDN w:val="0"/>
        <w:adjustRightInd w:val="0"/>
        <w:spacing w:after="0" w:line="240" w:lineRule="auto"/>
        <w:jc w:val="both"/>
        <w:rPr>
          <w:rFonts w:eastAsia="Times"/>
          <w:spacing w:val="-2"/>
          <w:szCs w:val="20"/>
          <w:lang w:val="es-ES_tradnl"/>
        </w:rPr>
      </w:pPr>
      <w:r w:rsidRPr="000866D1">
        <w:rPr>
          <w:rFonts w:eastAsia="Times"/>
          <w:bCs/>
          <w:spacing w:val="-2"/>
          <w:szCs w:val="20"/>
          <w:lang w:val="es-ES_tradnl"/>
        </w:rPr>
        <w:t xml:space="preserve">La </w:t>
      </w:r>
      <w:r w:rsidRPr="000866D1">
        <w:rPr>
          <w:rFonts w:eastAsia="Times"/>
          <w:b/>
          <w:bCs/>
          <w:i/>
          <w:spacing w:val="-2"/>
          <w:szCs w:val="20"/>
          <w:lang w:val="es-ES_tradnl"/>
        </w:rPr>
        <w:t>Comisión</w:t>
      </w:r>
      <w:r w:rsidRPr="000866D1">
        <w:rPr>
          <w:rFonts w:cs="Arial"/>
          <w:spacing w:val="-2"/>
          <w:szCs w:val="20"/>
          <w:lang w:val="es-ES_tradnl"/>
        </w:rPr>
        <w:t xml:space="preserve"> </w:t>
      </w:r>
      <w:r w:rsidR="00EC2A33" w:rsidRPr="000866D1">
        <w:rPr>
          <w:rFonts w:eastAsia="Times"/>
          <w:spacing w:val="-2"/>
          <w:szCs w:val="20"/>
          <w:lang w:val="es-ES_tradnl"/>
        </w:rPr>
        <w:t>señaló que</w:t>
      </w:r>
      <w:r w:rsidR="006C14F9" w:rsidRPr="000866D1">
        <w:rPr>
          <w:rFonts w:eastAsia="Times"/>
          <w:spacing w:val="-2"/>
          <w:szCs w:val="20"/>
          <w:lang w:val="es-ES_tradnl"/>
        </w:rPr>
        <w:t>,</w:t>
      </w:r>
      <w:r w:rsidR="00EC2A33" w:rsidRPr="000866D1">
        <w:rPr>
          <w:rFonts w:eastAsia="Times"/>
          <w:spacing w:val="-2"/>
          <w:szCs w:val="20"/>
          <w:lang w:val="es-ES_tradnl"/>
        </w:rPr>
        <w:t xml:space="preserve"> de una lectura de la integralidad del párrafo </w:t>
      </w:r>
      <w:r w:rsidR="006C14F9" w:rsidRPr="000866D1">
        <w:rPr>
          <w:rFonts w:eastAsia="Times"/>
          <w:spacing w:val="-2"/>
          <w:szCs w:val="20"/>
          <w:lang w:val="es-ES_tradnl"/>
        </w:rPr>
        <w:t xml:space="preserve">205 de la Sentencia, </w:t>
      </w:r>
      <w:r w:rsidR="00EC2A33" w:rsidRPr="000866D1">
        <w:rPr>
          <w:rFonts w:eastAsia="Times"/>
          <w:spacing w:val="-2"/>
          <w:szCs w:val="20"/>
          <w:lang w:val="es-ES_tradnl"/>
        </w:rPr>
        <w:t>el Estado se encuentra obligado a brindar un control constitucional respecto de los act</w:t>
      </w:r>
      <w:r w:rsidR="006C14F9" w:rsidRPr="000866D1">
        <w:rPr>
          <w:rFonts w:eastAsia="Times"/>
          <w:spacing w:val="-2"/>
          <w:szCs w:val="20"/>
          <w:lang w:val="es-ES_tradnl"/>
        </w:rPr>
        <w:t>o</w:t>
      </w:r>
      <w:r w:rsidR="00EC2A33" w:rsidRPr="000866D1">
        <w:rPr>
          <w:rFonts w:eastAsia="Times"/>
          <w:spacing w:val="-2"/>
          <w:szCs w:val="20"/>
          <w:lang w:val="es-ES_tradnl"/>
        </w:rPr>
        <w:t>s relacionados con el proceso de extradición que pueda</w:t>
      </w:r>
      <w:r w:rsidR="006C14F9" w:rsidRPr="000866D1">
        <w:rPr>
          <w:rFonts w:eastAsia="Times"/>
          <w:spacing w:val="-2"/>
          <w:szCs w:val="20"/>
          <w:lang w:val="es-ES_tradnl"/>
        </w:rPr>
        <w:t>n afectar</w:t>
      </w:r>
      <w:r w:rsidR="00EC2A33" w:rsidRPr="000866D1">
        <w:rPr>
          <w:rFonts w:eastAsia="Times"/>
          <w:spacing w:val="-2"/>
          <w:szCs w:val="20"/>
          <w:lang w:val="es-ES_tradnl"/>
        </w:rPr>
        <w:t xml:space="preserve"> </w:t>
      </w:r>
      <w:r w:rsidR="006C14F9" w:rsidRPr="000866D1">
        <w:rPr>
          <w:rFonts w:eastAsia="Times"/>
          <w:spacing w:val="-2"/>
          <w:szCs w:val="20"/>
          <w:lang w:val="es-ES_tradnl"/>
        </w:rPr>
        <w:t xml:space="preserve">al señor Wong Ho Wing </w:t>
      </w:r>
      <w:r w:rsidR="00EC2A33" w:rsidRPr="000866D1">
        <w:rPr>
          <w:rFonts w:eastAsia="Times"/>
          <w:spacing w:val="-2"/>
          <w:szCs w:val="20"/>
          <w:lang w:val="es-ES_tradnl"/>
        </w:rPr>
        <w:t>en sus derechos</w:t>
      </w:r>
      <w:r w:rsidR="006C14F9" w:rsidRPr="000866D1">
        <w:rPr>
          <w:rFonts w:eastAsia="Times"/>
          <w:spacing w:val="-2"/>
          <w:szCs w:val="20"/>
          <w:lang w:val="es-ES_tradnl"/>
        </w:rPr>
        <w:t>, así como</w:t>
      </w:r>
      <w:r w:rsidR="00EC2A33" w:rsidRPr="000866D1">
        <w:rPr>
          <w:rFonts w:eastAsia="Times"/>
          <w:spacing w:val="-2"/>
          <w:szCs w:val="20"/>
          <w:lang w:val="es-ES_tradnl"/>
        </w:rPr>
        <w:t xml:space="preserve"> posibilitar que sean decididos con anterioridad a que la decisión de extradición pueda materializarse. </w:t>
      </w:r>
      <w:r w:rsidR="006C14F9" w:rsidRPr="000866D1">
        <w:rPr>
          <w:rFonts w:eastAsia="Times"/>
          <w:spacing w:val="-2"/>
          <w:szCs w:val="20"/>
          <w:lang w:val="es-ES_tradnl"/>
        </w:rPr>
        <w:t xml:space="preserve">De acuerdo </w:t>
      </w:r>
      <w:r w:rsidR="00501F80">
        <w:rPr>
          <w:rFonts w:eastAsia="Times"/>
          <w:spacing w:val="-2"/>
          <w:szCs w:val="20"/>
          <w:lang w:val="es-ES_tradnl"/>
        </w:rPr>
        <w:t>con</w:t>
      </w:r>
      <w:r w:rsidR="006C14F9" w:rsidRPr="000866D1">
        <w:rPr>
          <w:rFonts w:eastAsia="Times"/>
          <w:spacing w:val="-2"/>
          <w:szCs w:val="20"/>
          <w:lang w:val="es-ES_tradnl"/>
        </w:rPr>
        <w:t xml:space="preserve"> la Comisión</w:t>
      </w:r>
      <w:r w:rsidR="00501F80">
        <w:rPr>
          <w:rFonts w:eastAsia="Times"/>
          <w:spacing w:val="-2"/>
          <w:szCs w:val="20"/>
          <w:lang w:val="es-ES_tradnl"/>
        </w:rPr>
        <w:t>,</w:t>
      </w:r>
      <w:r w:rsidR="00EC2A33" w:rsidRPr="000866D1">
        <w:rPr>
          <w:rFonts w:eastAsia="Times"/>
          <w:spacing w:val="-2"/>
          <w:szCs w:val="20"/>
          <w:lang w:val="es-ES_tradnl"/>
        </w:rPr>
        <w:t xml:space="preserve"> la primera parte del párrafo </w:t>
      </w:r>
      <w:r w:rsidR="009F6A0A" w:rsidRPr="000866D1">
        <w:rPr>
          <w:rFonts w:eastAsia="Times"/>
          <w:spacing w:val="-2"/>
          <w:szCs w:val="20"/>
          <w:lang w:val="es-ES_tradnl"/>
        </w:rPr>
        <w:t xml:space="preserve">205 </w:t>
      </w:r>
      <w:r w:rsidR="00EC2A33" w:rsidRPr="000866D1">
        <w:rPr>
          <w:rFonts w:eastAsia="Times"/>
          <w:spacing w:val="-2"/>
          <w:szCs w:val="20"/>
          <w:lang w:val="es-ES_tradnl"/>
        </w:rPr>
        <w:t>hace referencia específica a la decisión definitiva del Poder Ejecutivo</w:t>
      </w:r>
      <w:r w:rsidR="009F6A0A" w:rsidRPr="000866D1">
        <w:rPr>
          <w:rFonts w:eastAsia="Times"/>
          <w:spacing w:val="-2"/>
          <w:szCs w:val="20"/>
          <w:lang w:val="es-ES_tradnl"/>
        </w:rPr>
        <w:t xml:space="preserve"> porque </w:t>
      </w:r>
      <w:r w:rsidR="00EC2A33" w:rsidRPr="000866D1">
        <w:rPr>
          <w:rFonts w:eastAsia="Times"/>
          <w:spacing w:val="-2"/>
          <w:szCs w:val="20"/>
          <w:lang w:val="es-ES_tradnl"/>
        </w:rPr>
        <w:t xml:space="preserve">esa era la decisión que se encontraba pendiente al momento en que la Corte </w:t>
      </w:r>
      <w:r w:rsidR="006C14F9" w:rsidRPr="000866D1">
        <w:rPr>
          <w:rFonts w:eastAsia="Times"/>
          <w:spacing w:val="-2"/>
          <w:szCs w:val="20"/>
          <w:lang w:val="es-ES_tradnl"/>
        </w:rPr>
        <w:t>emitió su S</w:t>
      </w:r>
      <w:r w:rsidR="00EC2A33" w:rsidRPr="000866D1">
        <w:rPr>
          <w:rFonts w:eastAsia="Times"/>
          <w:spacing w:val="-2"/>
          <w:szCs w:val="20"/>
          <w:lang w:val="es-ES_tradnl"/>
        </w:rPr>
        <w:t>entencia</w:t>
      </w:r>
      <w:r w:rsidR="009F6A0A" w:rsidRPr="000866D1">
        <w:rPr>
          <w:rFonts w:eastAsia="Times"/>
          <w:spacing w:val="-2"/>
          <w:szCs w:val="20"/>
          <w:lang w:val="es-ES_tradnl"/>
        </w:rPr>
        <w:t xml:space="preserve">. No obstante, </w:t>
      </w:r>
      <w:r w:rsidR="00EC2A33" w:rsidRPr="000866D1">
        <w:rPr>
          <w:rFonts w:eastAsia="Times"/>
          <w:spacing w:val="-2"/>
          <w:szCs w:val="20"/>
          <w:lang w:val="es-ES_tradnl"/>
        </w:rPr>
        <w:t xml:space="preserve">a la luz de la </w:t>
      </w:r>
      <w:r w:rsidR="006C14F9" w:rsidRPr="000866D1">
        <w:rPr>
          <w:rFonts w:eastAsia="Times"/>
          <w:spacing w:val="-2"/>
          <w:szCs w:val="20"/>
          <w:lang w:val="es-ES_tradnl"/>
        </w:rPr>
        <w:t>información</w:t>
      </w:r>
      <w:r w:rsidR="00EC2A33" w:rsidRPr="000866D1">
        <w:rPr>
          <w:rFonts w:eastAsia="Times"/>
          <w:spacing w:val="-2"/>
          <w:szCs w:val="20"/>
          <w:lang w:val="es-ES_tradnl"/>
        </w:rPr>
        <w:t xml:space="preserve"> actual </w:t>
      </w:r>
      <w:r w:rsidR="006C14F9" w:rsidRPr="000866D1">
        <w:rPr>
          <w:rFonts w:eastAsia="Times"/>
          <w:spacing w:val="-2"/>
          <w:szCs w:val="20"/>
          <w:lang w:val="es-ES_tradnl"/>
        </w:rPr>
        <w:t>sobre</w:t>
      </w:r>
      <w:r w:rsidR="00EC2A33" w:rsidRPr="000866D1">
        <w:rPr>
          <w:rFonts w:eastAsia="Times"/>
          <w:spacing w:val="-2"/>
          <w:szCs w:val="20"/>
          <w:lang w:val="es-ES_tradnl"/>
        </w:rPr>
        <w:t xml:space="preserve"> los distintos</w:t>
      </w:r>
      <w:r w:rsidR="006C14F9" w:rsidRPr="000866D1">
        <w:rPr>
          <w:rFonts w:eastAsia="Times"/>
          <w:spacing w:val="-2"/>
          <w:szCs w:val="20"/>
          <w:lang w:val="es-ES_tradnl"/>
        </w:rPr>
        <w:t xml:space="preserve"> </w:t>
      </w:r>
      <w:r w:rsidR="00EC2A33" w:rsidRPr="000866D1">
        <w:rPr>
          <w:rFonts w:eastAsia="Times"/>
          <w:spacing w:val="-2"/>
          <w:szCs w:val="20"/>
          <w:lang w:val="es-ES_tradnl"/>
        </w:rPr>
        <w:t>pasos que</w:t>
      </w:r>
      <w:r w:rsidR="006C14F9" w:rsidRPr="000866D1">
        <w:rPr>
          <w:rFonts w:eastAsia="Times"/>
          <w:spacing w:val="-2"/>
          <w:szCs w:val="20"/>
          <w:lang w:val="es-ES_tradnl"/>
        </w:rPr>
        <w:t xml:space="preserve"> deben cumplirse tras el </w:t>
      </w:r>
      <w:r w:rsidR="009F6A0A" w:rsidRPr="000866D1">
        <w:rPr>
          <w:rFonts w:eastAsia="Times"/>
          <w:spacing w:val="-2"/>
          <w:szCs w:val="20"/>
          <w:lang w:val="es-ES_tradnl"/>
        </w:rPr>
        <w:t>d</w:t>
      </w:r>
      <w:r w:rsidR="006C14F9" w:rsidRPr="000866D1">
        <w:rPr>
          <w:rFonts w:eastAsia="Times"/>
          <w:spacing w:val="-2"/>
          <w:szCs w:val="20"/>
          <w:lang w:val="es-ES_tradnl"/>
        </w:rPr>
        <w:t>ecreto</w:t>
      </w:r>
      <w:r w:rsidR="00EC2A33" w:rsidRPr="000866D1">
        <w:rPr>
          <w:rFonts w:eastAsia="Times"/>
          <w:spacing w:val="-2"/>
          <w:szCs w:val="20"/>
          <w:lang w:val="es-ES_tradnl"/>
        </w:rPr>
        <w:t xml:space="preserve"> que otorga la </w:t>
      </w:r>
      <w:r w:rsidR="006C14F9" w:rsidRPr="000866D1">
        <w:rPr>
          <w:rFonts w:eastAsia="Times"/>
          <w:spacing w:val="-2"/>
          <w:szCs w:val="20"/>
          <w:lang w:val="es-ES_tradnl"/>
        </w:rPr>
        <w:t>extradición</w:t>
      </w:r>
      <w:r w:rsidR="00EC2A33" w:rsidRPr="000866D1">
        <w:rPr>
          <w:rFonts w:eastAsia="Times"/>
          <w:spacing w:val="-2"/>
          <w:szCs w:val="20"/>
          <w:lang w:val="es-ES_tradnl"/>
        </w:rPr>
        <w:t xml:space="preserve">, la </w:t>
      </w:r>
      <w:r w:rsidR="006C14F9" w:rsidRPr="000866D1">
        <w:rPr>
          <w:rFonts w:eastAsia="Times"/>
          <w:spacing w:val="-2"/>
          <w:szCs w:val="20"/>
          <w:lang w:val="es-ES_tradnl"/>
        </w:rPr>
        <w:t>Comisión</w:t>
      </w:r>
      <w:r w:rsidR="00EC2A33" w:rsidRPr="000866D1">
        <w:rPr>
          <w:rFonts w:eastAsia="Times"/>
          <w:spacing w:val="-2"/>
          <w:szCs w:val="20"/>
          <w:lang w:val="es-ES_tradnl"/>
        </w:rPr>
        <w:t xml:space="preserve"> entiende que una</w:t>
      </w:r>
      <w:r w:rsidR="006C14F9" w:rsidRPr="000866D1">
        <w:rPr>
          <w:rFonts w:eastAsia="Times"/>
          <w:spacing w:val="-2"/>
          <w:szCs w:val="20"/>
          <w:lang w:val="es-ES_tradnl"/>
        </w:rPr>
        <w:t xml:space="preserve"> interpretación</w:t>
      </w:r>
      <w:r w:rsidR="00EC2A33" w:rsidRPr="000866D1">
        <w:rPr>
          <w:rFonts w:eastAsia="Times"/>
          <w:spacing w:val="-2"/>
          <w:szCs w:val="20"/>
          <w:lang w:val="es-ES_tradnl"/>
        </w:rPr>
        <w:t xml:space="preserve"> que limit</w:t>
      </w:r>
      <w:r w:rsidR="009F6A0A" w:rsidRPr="000866D1">
        <w:rPr>
          <w:rFonts w:eastAsia="Times"/>
          <w:spacing w:val="-2"/>
          <w:szCs w:val="20"/>
          <w:lang w:val="es-ES_tradnl"/>
        </w:rPr>
        <w:t>e</w:t>
      </w:r>
      <w:r w:rsidR="00EC2A33" w:rsidRPr="000866D1">
        <w:rPr>
          <w:rFonts w:eastAsia="Times"/>
          <w:spacing w:val="-2"/>
          <w:szCs w:val="20"/>
          <w:lang w:val="es-ES_tradnl"/>
        </w:rPr>
        <w:t xml:space="preserve"> la </w:t>
      </w:r>
      <w:r w:rsidR="006C14F9" w:rsidRPr="000866D1">
        <w:rPr>
          <w:rFonts w:eastAsia="Times"/>
          <w:spacing w:val="-2"/>
          <w:szCs w:val="20"/>
          <w:lang w:val="es-ES_tradnl"/>
        </w:rPr>
        <w:t>obligación</w:t>
      </w:r>
      <w:r w:rsidR="00EC2A33" w:rsidRPr="000866D1">
        <w:rPr>
          <w:rFonts w:eastAsia="Times"/>
          <w:spacing w:val="-2"/>
          <w:szCs w:val="20"/>
          <w:lang w:val="es-ES_tradnl"/>
        </w:rPr>
        <w:t xml:space="preserve"> de otorgar un recurso judicial con efectos suspensivos</w:t>
      </w:r>
      <w:r w:rsidR="006C14F9" w:rsidRPr="000866D1">
        <w:rPr>
          <w:rFonts w:eastAsia="Times"/>
          <w:spacing w:val="-2"/>
          <w:szCs w:val="20"/>
          <w:lang w:val="es-ES_tradnl"/>
        </w:rPr>
        <w:t xml:space="preserve"> </w:t>
      </w:r>
      <w:r w:rsidR="00EC2A33" w:rsidRPr="000866D1">
        <w:rPr>
          <w:rFonts w:eastAsia="Times"/>
          <w:spacing w:val="-2"/>
          <w:szCs w:val="20"/>
          <w:lang w:val="es-ES_tradnl"/>
        </w:rPr>
        <w:t xml:space="preserve">exclusivamente a la </w:t>
      </w:r>
      <w:r w:rsidR="006C14F9" w:rsidRPr="000866D1">
        <w:rPr>
          <w:rFonts w:eastAsia="Times"/>
          <w:spacing w:val="-2"/>
          <w:szCs w:val="20"/>
          <w:lang w:val="es-ES_tradnl"/>
        </w:rPr>
        <w:t>decisión</w:t>
      </w:r>
      <w:r w:rsidR="00EC2A33" w:rsidRPr="000866D1">
        <w:rPr>
          <w:rFonts w:eastAsia="Times"/>
          <w:spacing w:val="-2"/>
          <w:szCs w:val="20"/>
          <w:lang w:val="es-ES_tradnl"/>
        </w:rPr>
        <w:t xml:space="preserve"> de </w:t>
      </w:r>
      <w:r w:rsidR="006C14F9" w:rsidRPr="000866D1">
        <w:rPr>
          <w:rFonts w:eastAsia="Times"/>
          <w:spacing w:val="-2"/>
          <w:szCs w:val="20"/>
          <w:lang w:val="es-ES_tradnl"/>
        </w:rPr>
        <w:t>extradición</w:t>
      </w:r>
      <w:r w:rsidR="00EC2A33" w:rsidRPr="000866D1">
        <w:rPr>
          <w:rFonts w:eastAsia="Times"/>
          <w:spacing w:val="-2"/>
          <w:szCs w:val="20"/>
          <w:lang w:val="es-ES_tradnl"/>
        </w:rPr>
        <w:t xml:space="preserve"> y no respecto de los </w:t>
      </w:r>
      <w:r w:rsidR="006C14F9" w:rsidRPr="000866D1">
        <w:rPr>
          <w:rFonts w:eastAsia="Times"/>
          <w:spacing w:val="-2"/>
          <w:szCs w:val="20"/>
          <w:lang w:val="es-ES_tradnl"/>
        </w:rPr>
        <w:t>demás</w:t>
      </w:r>
      <w:r w:rsidR="00EC2A33" w:rsidRPr="000866D1">
        <w:rPr>
          <w:rFonts w:eastAsia="Times"/>
          <w:spacing w:val="-2"/>
          <w:szCs w:val="20"/>
          <w:lang w:val="es-ES_tradnl"/>
        </w:rPr>
        <w:t xml:space="preserve"> </w:t>
      </w:r>
      <w:r w:rsidR="00DE185E" w:rsidRPr="000866D1">
        <w:rPr>
          <w:rFonts w:eastAsia="Times"/>
          <w:spacing w:val="-2"/>
          <w:szCs w:val="20"/>
          <w:lang w:val="es-ES_tradnl"/>
        </w:rPr>
        <w:t xml:space="preserve">actos </w:t>
      </w:r>
      <w:r w:rsidR="00EC2A33" w:rsidRPr="000866D1">
        <w:rPr>
          <w:rFonts w:eastAsia="Times"/>
          <w:spacing w:val="-2"/>
          <w:szCs w:val="20"/>
          <w:lang w:val="es-ES_tradnl"/>
        </w:rPr>
        <w:t xml:space="preserve">relacionados, no </w:t>
      </w:r>
      <w:r w:rsidR="006C14F9" w:rsidRPr="000866D1">
        <w:rPr>
          <w:rFonts w:eastAsia="Times"/>
          <w:spacing w:val="-2"/>
          <w:szCs w:val="20"/>
          <w:lang w:val="es-ES_tradnl"/>
        </w:rPr>
        <w:t>sería compatible</w:t>
      </w:r>
      <w:r w:rsidR="00EC2A33" w:rsidRPr="000866D1">
        <w:rPr>
          <w:rFonts w:eastAsia="Times"/>
          <w:spacing w:val="-2"/>
          <w:szCs w:val="20"/>
          <w:lang w:val="es-ES_tradnl"/>
        </w:rPr>
        <w:t xml:space="preserve"> con el propio </w:t>
      </w:r>
      <w:r w:rsidR="006C14F9" w:rsidRPr="000866D1">
        <w:rPr>
          <w:rFonts w:eastAsia="Times"/>
          <w:spacing w:val="-2"/>
          <w:szCs w:val="20"/>
          <w:lang w:val="es-ES_tradnl"/>
        </w:rPr>
        <w:t>artículo</w:t>
      </w:r>
      <w:r w:rsidR="00EC2A33" w:rsidRPr="000866D1">
        <w:rPr>
          <w:rFonts w:eastAsia="Times"/>
          <w:spacing w:val="-2"/>
          <w:szCs w:val="20"/>
          <w:lang w:val="es-ES_tradnl"/>
        </w:rPr>
        <w:t xml:space="preserve"> 25 de la </w:t>
      </w:r>
      <w:r w:rsidR="006C14F9" w:rsidRPr="000866D1">
        <w:rPr>
          <w:rFonts w:eastAsia="Times"/>
          <w:spacing w:val="-2"/>
          <w:szCs w:val="20"/>
          <w:lang w:val="es-ES_tradnl"/>
        </w:rPr>
        <w:t>Convención</w:t>
      </w:r>
      <w:r w:rsidR="006C14F9" w:rsidRPr="000866D1">
        <w:rPr>
          <w:rFonts w:eastAsiaTheme="minorHAnsi"/>
          <w:spacing w:val="-2"/>
          <w:szCs w:val="20"/>
        </w:rPr>
        <w:t xml:space="preserve">. </w:t>
      </w:r>
    </w:p>
    <w:p w:rsidR="001C300E" w:rsidRPr="000866D1" w:rsidRDefault="001C300E" w:rsidP="009E1889">
      <w:pPr>
        <w:tabs>
          <w:tab w:val="left" w:pos="567"/>
        </w:tabs>
        <w:autoSpaceDE w:val="0"/>
        <w:autoSpaceDN w:val="0"/>
        <w:adjustRightInd w:val="0"/>
        <w:spacing w:after="0" w:line="240" w:lineRule="auto"/>
        <w:jc w:val="both"/>
        <w:rPr>
          <w:rFonts w:eastAsia="Times"/>
          <w:spacing w:val="-2"/>
          <w:szCs w:val="20"/>
          <w:lang w:val="es-ES_tradnl"/>
        </w:rPr>
      </w:pPr>
    </w:p>
    <w:p w:rsidR="00335AC2" w:rsidRPr="000866D1" w:rsidRDefault="00263B02" w:rsidP="00335AC2">
      <w:pPr>
        <w:numPr>
          <w:ilvl w:val="0"/>
          <w:numId w:val="1"/>
        </w:numPr>
        <w:tabs>
          <w:tab w:val="left" w:pos="567"/>
        </w:tabs>
        <w:autoSpaceDE w:val="0"/>
        <w:autoSpaceDN w:val="0"/>
        <w:adjustRightInd w:val="0"/>
        <w:spacing w:after="0" w:line="240" w:lineRule="auto"/>
        <w:jc w:val="both"/>
        <w:rPr>
          <w:rFonts w:eastAsia="Times"/>
          <w:bCs/>
          <w:spacing w:val="-2"/>
          <w:szCs w:val="20"/>
        </w:rPr>
      </w:pPr>
      <w:r w:rsidRPr="000866D1">
        <w:rPr>
          <w:rFonts w:eastAsia="Times"/>
          <w:spacing w:val="-2"/>
          <w:szCs w:val="20"/>
          <w:lang w:val="es-ES_tradnl"/>
        </w:rPr>
        <w:t xml:space="preserve">El </w:t>
      </w:r>
      <w:r w:rsidR="001C300E" w:rsidRPr="000866D1">
        <w:rPr>
          <w:rFonts w:eastAsia="Times"/>
          <w:b/>
          <w:i/>
          <w:spacing w:val="-2"/>
          <w:szCs w:val="20"/>
          <w:lang w:val="es-ES_tradnl"/>
        </w:rPr>
        <w:t>representante</w:t>
      </w:r>
      <w:r w:rsidR="001C300E" w:rsidRPr="000866D1">
        <w:rPr>
          <w:rFonts w:eastAsia="Times"/>
          <w:spacing w:val="-2"/>
          <w:szCs w:val="20"/>
          <w:lang w:val="es-ES_tradnl"/>
        </w:rPr>
        <w:t xml:space="preserve"> </w:t>
      </w:r>
      <w:r w:rsidR="00EC2A33" w:rsidRPr="000866D1">
        <w:rPr>
          <w:rFonts w:eastAsia="Times"/>
          <w:spacing w:val="-2"/>
          <w:szCs w:val="20"/>
          <w:lang w:val="es-ES_tradnl"/>
        </w:rPr>
        <w:t>alegó que los argumentos del Estado sobre el cumplimiento del punto resolutivo 11 de la Sentencia resultaban impertinentes, en tanto se referían al procedimiento de supervisión de cumplimiento de la Sentencia y no a un proceso de interpretación</w:t>
      </w:r>
      <w:r w:rsidR="00501F80">
        <w:rPr>
          <w:rFonts w:eastAsia="Times"/>
          <w:spacing w:val="-2"/>
          <w:szCs w:val="20"/>
          <w:lang w:val="es-ES_tradnl"/>
        </w:rPr>
        <w:t>. Sin embargo, “expres[ó] su ro</w:t>
      </w:r>
      <w:r w:rsidR="00EC2A33" w:rsidRPr="000866D1">
        <w:rPr>
          <w:rFonts w:eastAsia="Times"/>
          <w:spacing w:val="-2"/>
          <w:szCs w:val="20"/>
          <w:lang w:val="es-ES_tradnl"/>
        </w:rPr>
        <w:t>tundo rechazo</w:t>
      </w:r>
      <w:r w:rsidR="00335AC2" w:rsidRPr="000866D1">
        <w:rPr>
          <w:rFonts w:eastAsia="Times"/>
          <w:spacing w:val="-2"/>
          <w:szCs w:val="20"/>
          <w:lang w:val="es-ES_tradnl"/>
        </w:rPr>
        <w:t>”</w:t>
      </w:r>
      <w:r w:rsidR="00EC2A33" w:rsidRPr="000866D1">
        <w:rPr>
          <w:rFonts w:eastAsia="Times"/>
          <w:spacing w:val="-2"/>
          <w:szCs w:val="20"/>
          <w:lang w:val="es-ES_tradnl"/>
        </w:rPr>
        <w:t xml:space="preserve"> ante </w:t>
      </w:r>
      <w:r w:rsidR="00335AC2" w:rsidRPr="000866D1">
        <w:rPr>
          <w:rFonts w:eastAsia="Times"/>
          <w:spacing w:val="-2"/>
          <w:szCs w:val="20"/>
          <w:lang w:val="es-ES_tradnl"/>
        </w:rPr>
        <w:t xml:space="preserve">la </w:t>
      </w:r>
      <w:r w:rsidR="00EC2A33" w:rsidRPr="000866D1">
        <w:rPr>
          <w:rFonts w:eastAsia="Times"/>
          <w:spacing w:val="-2"/>
          <w:szCs w:val="20"/>
          <w:lang w:val="es-ES_tradnl"/>
        </w:rPr>
        <w:t xml:space="preserve">afirmación </w:t>
      </w:r>
      <w:r w:rsidR="00335AC2" w:rsidRPr="000866D1">
        <w:rPr>
          <w:rFonts w:eastAsia="Times"/>
          <w:spacing w:val="-2"/>
          <w:szCs w:val="20"/>
          <w:lang w:val="es-ES_tradnl"/>
        </w:rPr>
        <w:t xml:space="preserve">del Estado en cuanto a </w:t>
      </w:r>
      <w:r w:rsidR="00EC2A33" w:rsidRPr="000866D1">
        <w:rPr>
          <w:rFonts w:eastAsia="Times"/>
          <w:spacing w:val="-2"/>
          <w:szCs w:val="20"/>
          <w:lang w:val="es-ES_tradnl"/>
        </w:rPr>
        <w:t>que el punto resoluti</w:t>
      </w:r>
      <w:r w:rsidR="00335AC2" w:rsidRPr="000866D1">
        <w:rPr>
          <w:rFonts w:eastAsia="Times"/>
          <w:spacing w:val="-2"/>
          <w:szCs w:val="20"/>
          <w:lang w:val="es-ES_tradnl"/>
        </w:rPr>
        <w:t xml:space="preserve">vo 11 de la Sentencia ha sido </w:t>
      </w:r>
      <w:r w:rsidR="00EC2A33" w:rsidRPr="000866D1">
        <w:rPr>
          <w:rFonts w:eastAsia="Times"/>
          <w:spacing w:val="-2"/>
          <w:szCs w:val="20"/>
          <w:lang w:val="es-ES_tradnl"/>
        </w:rPr>
        <w:t xml:space="preserve">cumplido. De acuerdo </w:t>
      </w:r>
      <w:r w:rsidR="00501F80">
        <w:rPr>
          <w:rFonts w:eastAsia="Times"/>
          <w:spacing w:val="-2"/>
          <w:szCs w:val="20"/>
          <w:lang w:val="es-ES_tradnl"/>
        </w:rPr>
        <w:t>con el</w:t>
      </w:r>
      <w:r w:rsidR="00EC2A33" w:rsidRPr="000866D1">
        <w:rPr>
          <w:rFonts w:eastAsia="Times"/>
          <w:spacing w:val="-2"/>
          <w:szCs w:val="20"/>
          <w:lang w:val="es-ES_tradnl"/>
        </w:rPr>
        <w:t xml:space="preserve"> representante, dicho punto resolutivo </w:t>
      </w:r>
      <w:r w:rsidR="00EC2A33" w:rsidRPr="000866D1">
        <w:rPr>
          <w:rFonts w:eastAsiaTheme="minorHAnsi" w:cs="Arial Narrow"/>
          <w:spacing w:val="-2"/>
          <w:szCs w:val="20"/>
        </w:rPr>
        <w:t>exigía no sólo que el</w:t>
      </w:r>
      <w:r w:rsidR="00EC2A33" w:rsidRPr="000866D1">
        <w:rPr>
          <w:rFonts w:eastAsia="Times"/>
          <w:bCs/>
          <w:spacing w:val="-2"/>
          <w:szCs w:val="20"/>
          <w:lang w:val="es-ES_tradnl"/>
        </w:rPr>
        <w:t xml:space="preserve"> </w:t>
      </w:r>
      <w:r w:rsidR="00EC2A33" w:rsidRPr="000866D1">
        <w:rPr>
          <w:rFonts w:eastAsiaTheme="minorHAnsi" w:cs="Arial Narrow"/>
          <w:spacing w:val="-2"/>
          <w:szCs w:val="20"/>
        </w:rPr>
        <w:t>Estado peruano decid</w:t>
      </w:r>
      <w:r w:rsidR="009F6A0A" w:rsidRPr="000866D1">
        <w:rPr>
          <w:rFonts w:eastAsiaTheme="minorHAnsi" w:cs="Arial Narrow"/>
          <w:spacing w:val="-2"/>
          <w:szCs w:val="20"/>
        </w:rPr>
        <w:t>iera</w:t>
      </w:r>
      <w:r w:rsidR="00EC2A33" w:rsidRPr="000866D1">
        <w:rPr>
          <w:rFonts w:eastAsiaTheme="minorHAnsi" w:cs="Arial Narrow"/>
          <w:spacing w:val="-2"/>
          <w:szCs w:val="20"/>
        </w:rPr>
        <w:t xml:space="preserve"> definitivamente sobre la extradición del señor Wong Ho Wing, sino que el Estado debía considerar que existe una decisión del Tribunal Constitucional que </w:t>
      </w:r>
      <w:r w:rsidR="00EC2A33" w:rsidRPr="000866D1">
        <w:rPr>
          <w:rFonts w:eastAsiaTheme="minorHAnsi" w:cs="Arial Narrow,Italic"/>
          <w:i/>
          <w:iCs/>
          <w:spacing w:val="-2"/>
          <w:szCs w:val="20"/>
        </w:rPr>
        <w:t xml:space="preserve">prima facie </w:t>
      </w:r>
      <w:r w:rsidR="00EC2A33" w:rsidRPr="000866D1">
        <w:rPr>
          <w:rFonts w:eastAsiaTheme="minorHAnsi" w:cs="Arial Narrow"/>
          <w:spacing w:val="-2"/>
          <w:szCs w:val="20"/>
        </w:rPr>
        <w:t>resultaría inmodificable y que, en principio, vincularía al Poder Ejecutivo.</w:t>
      </w:r>
      <w:r w:rsidR="00EC2A33" w:rsidRPr="000866D1">
        <w:rPr>
          <w:rFonts w:eastAsia="Times"/>
          <w:bCs/>
          <w:spacing w:val="-2"/>
          <w:szCs w:val="20"/>
          <w:lang w:val="es-ES_tradnl"/>
        </w:rPr>
        <w:t xml:space="preserve"> </w:t>
      </w:r>
      <w:r w:rsidR="009F6A0A" w:rsidRPr="000866D1">
        <w:rPr>
          <w:rFonts w:eastAsia="Times"/>
          <w:bCs/>
          <w:spacing w:val="-2"/>
          <w:szCs w:val="20"/>
          <w:lang w:val="es-ES_tradnl"/>
        </w:rPr>
        <w:t xml:space="preserve">Resaltó que el </w:t>
      </w:r>
      <w:r w:rsidR="00EC2A33" w:rsidRPr="000866D1">
        <w:rPr>
          <w:rFonts w:eastAsia="Times"/>
          <w:bCs/>
          <w:spacing w:val="-2"/>
          <w:szCs w:val="20"/>
          <w:lang w:val="es-ES_tradnl"/>
        </w:rPr>
        <w:t xml:space="preserve">Estado solo cumplió con resolver “a la mayor brevedad posible” </w:t>
      </w:r>
      <w:r w:rsidR="009F6A0A" w:rsidRPr="000866D1">
        <w:rPr>
          <w:rFonts w:eastAsia="Times"/>
          <w:bCs/>
          <w:spacing w:val="-2"/>
          <w:szCs w:val="20"/>
          <w:lang w:val="es-ES_tradnl"/>
        </w:rPr>
        <w:t>la decisión sobre la extradición, pero omitió “</w:t>
      </w:r>
      <w:r w:rsidR="00EC2A33" w:rsidRPr="000866D1">
        <w:rPr>
          <w:rFonts w:eastAsia="Times"/>
          <w:bCs/>
          <w:spacing w:val="-2"/>
          <w:szCs w:val="20"/>
          <w:lang w:val="es-ES_tradnl"/>
        </w:rPr>
        <w:t xml:space="preserve">considerar los efectos vinculantes e inmodificables de la sentencia del Tribunal Constitucional que ordena al Estado </w:t>
      </w:r>
      <w:r w:rsidR="009F6A0A" w:rsidRPr="000866D1">
        <w:rPr>
          <w:rFonts w:eastAsia="Times"/>
          <w:bCs/>
          <w:spacing w:val="-2"/>
          <w:szCs w:val="20"/>
          <w:lang w:val="es-ES_tradnl"/>
        </w:rPr>
        <w:t>[…]</w:t>
      </w:r>
      <w:r w:rsidR="00EC2A33" w:rsidRPr="000866D1">
        <w:rPr>
          <w:rFonts w:eastAsia="Times"/>
          <w:bCs/>
          <w:spacing w:val="-2"/>
          <w:szCs w:val="20"/>
          <w:lang w:val="es-ES_tradnl"/>
        </w:rPr>
        <w:t>abstenerse de extraditar al señor Wong Ho Wing</w:t>
      </w:r>
      <w:r w:rsidR="009F6A0A" w:rsidRPr="000866D1">
        <w:rPr>
          <w:rFonts w:eastAsia="Times"/>
          <w:bCs/>
          <w:spacing w:val="-2"/>
          <w:szCs w:val="20"/>
          <w:lang w:val="es-ES_tradnl"/>
        </w:rPr>
        <w:t>”</w:t>
      </w:r>
      <w:r w:rsidR="00EC2A33" w:rsidRPr="000866D1">
        <w:rPr>
          <w:rFonts w:eastAsia="Times"/>
          <w:bCs/>
          <w:spacing w:val="-2"/>
          <w:szCs w:val="20"/>
          <w:lang w:val="es-ES_tradnl"/>
        </w:rPr>
        <w:t>.</w:t>
      </w:r>
      <w:r w:rsidR="009F6A0A" w:rsidRPr="000866D1">
        <w:rPr>
          <w:rFonts w:eastAsia="Times"/>
          <w:bCs/>
          <w:spacing w:val="-2"/>
          <w:szCs w:val="20"/>
          <w:lang w:val="es-ES_tradnl"/>
        </w:rPr>
        <w:t xml:space="preserve"> </w:t>
      </w:r>
      <w:r w:rsidR="00C574B3" w:rsidRPr="000866D1">
        <w:rPr>
          <w:rFonts w:eastAsia="Times"/>
          <w:bCs/>
          <w:spacing w:val="-2"/>
          <w:szCs w:val="20"/>
          <w:lang w:val="es-ES_tradnl"/>
        </w:rPr>
        <w:t xml:space="preserve">Por otra parte, señaló que lo establecido en el párrafo 205 de la Sentencia “tiene plena claridad y no requiere </w:t>
      </w:r>
      <w:r w:rsidR="000A57C2">
        <w:rPr>
          <w:rFonts w:eastAsia="Times"/>
          <w:bCs/>
          <w:spacing w:val="-2"/>
          <w:szCs w:val="20"/>
          <w:lang w:val="es-ES_tradnl"/>
        </w:rPr>
        <w:t>de interpretación”. De acuerdo con e</w:t>
      </w:r>
      <w:r w:rsidR="00C574B3" w:rsidRPr="000866D1">
        <w:rPr>
          <w:rFonts w:eastAsia="Times"/>
          <w:bCs/>
          <w:spacing w:val="-2"/>
          <w:szCs w:val="20"/>
          <w:lang w:val="es-ES_tradnl"/>
        </w:rPr>
        <w:t xml:space="preserve">l representante, el Estado no </w:t>
      </w:r>
      <w:r w:rsidR="00C574B3" w:rsidRPr="000866D1">
        <w:rPr>
          <w:rFonts w:eastAsia="Times"/>
          <w:bCs/>
          <w:spacing w:val="-2"/>
          <w:szCs w:val="20"/>
          <w:lang w:val="es-ES_tradnl"/>
        </w:rPr>
        <w:lastRenderedPageBreak/>
        <w:t xml:space="preserve">puede pretender, </w:t>
      </w:r>
      <w:r w:rsidR="00C574B3" w:rsidRPr="000866D1">
        <w:rPr>
          <w:rFonts w:eastAsia="Times"/>
          <w:bCs/>
          <w:spacing w:val="-2"/>
          <w:szCs w:val="20"/>
        </w:rPr>
        <w:t xml:space="preserve">mediante una interpretación de sentencia, impedir que el señor Wong Ho Wing ejerza la defensa de sus derechos fundamentales con los recursos adecuados a la vulneración de sus derechos. Indicó que la “cuestionable solicitud del Estado peruano conlleva al injusto razonamiento de que el señor Wong Ho Wing solo tiene derecho a defenderse de la arbitrariedad del Poder Ejecutivo […] y no de otras lesiones a sus derechos humanos a pesar de que las venga padeciendo”. </w:t>
      </w:r>
      <w:r w:rsidR="00335AC2" w:rsidRPr="000866D1">
        <w:rPr>
          <w:rFonts w:eastAsia="Times"/>
          <w:bCs/>
          <w:spacing w:val="-2"/>
          <w:szCs w:val="20"/>
        </w:rPr>
        <w:t xml:space="preserve">Por otra parte, consideró de “notoria mala fe” la afirmación del Estado que pretende atribuir a la representación del señor Wong Ho Wing una actuación dilatoria con los recursos interpuestos en la jurisdicción del Perú. Resaltó que la interposición de recursos a nivel interno a favor del señor Wong Ho Wing tienen por objeto lograr la tutela de sus derechos humanos y que </w:t>
      </w:r>
      <w:r w:rsidR="000A57C2">
        <w:rPr>
          <w:rFonts w:eastAsia="Times"/>
          <w:bCs/>
          <w:spacing w:val="-2"/>
          <w:szCs w:val="20"/>
        </w:rPr>
        <w:t xml:space="preserve">el </w:t>
      </w:r>
      <w:r w:rsidR="00335AC2" w:rsidRPr="000866D1">
        <w:rPr>
          <w:rFonts w:eastAsia="Times"/>
          <w:bCs/>
          <w:spacing w:val="-2"/>
          <w:szCs w:val="20"/>
        </w:rPr>
        <w:t xml:space="preserve">alegado “fundado temor” del Estado no es equiparable </w:t>
      </w:r>
      <w:r w:rsidR="000A57C2">
        <w:rPr>
          <w:rFonts w:eastAsia="Times"/>
          <w:bCs/>
          <w:spacing w:val="-2"/>
          <w:szCs w:val="20"/>
        </w:rPr>
        <w:t xml:space="preserve">al </w:t>
      </w:r>
      <w:r w:rsidR="00335AC2" w:rsidRPr="000866D1">
        <w:rPr>
          <w:rFonts w:eastAsia="Times"/>
          <w:bCs/>
          <w:spacing w:val="-2"/>
          <w:szCs w:val="20"/>
        </w:rPr>
        <w:t>real temor del señor Wong Ho Wing de ser extraditado a la República Popular China</w:t>
      </w:r>
      <w:r w:rsidR="00E25953">
        <w:rPr>
          <w:rFonts w:eastAsia="Times"/>
          <w:bCs/>
          <w:spacing w:val="-2"/>
          <w:szCs w:val="20"/>
        </w:rPr>
        <w:t xml:space="preserve">. De acuerdo al representante, lo anterior es especialmente grave considerando </w:t>
      </w:r>
      <w:r w:rsidR="00335AC2" w:rsidRPr="000866D1">
        <w:rPr>
          <w:rFonts w:eastAsia="Times"/>
          <w:bCs/>
          <w:spacing w:val="-2"/>
          <w:szCs w:val="20"/>
        </w:rPr>
        <w:t>las presiones y visitas que han recibido de funcionarios del Gobierno Chino y la posible falta de independencia de los jueces y tribunales peruanos ante la intervención de actores políticos en el ámbito judicial, llamando a que el Tribunal Constitucional “allane el camino” para la extradición.</w:t>
      </w:r>
    </w:p>
    <w:p w:rsidR="00C574B3" w:rsidRPr="000866D1" w:rsidRDefault="00C574B3" w:rsidP="000866D1">
      <w:pPr>
        <w:tabs>
          <w:tab w:val="left" w:pos="567"/>
        </w:tabs>
        <w:autoSpaceDE w:val="0"/>
        <w:autoSpaceDN w:val="0"/>
        <w:adjustRightInd w:val="0"/>
        <w:spacing w:after="0" w:line="240" w:lineRule="auto"/>
        <w:jc w:val="both"/>
        <w:rPr>
          <w:rFonts w:eastAsia="Times"/>
          <w:bCs/>
          <w:spacing w:val="-2"/>
          <w:szCs w:val="20"/>
        </w:rPr>
      </w:pPr>
    </w:p>
    <w:p w:rsidR="001C300E" w:rsidRPr="000866D1" w:rsidRDefault="001C300E" w:rsidP="000866D1">
      <w:pPr>
        <w:pStyle w:val="ListParagraph"/>
        <w:numPr>
          <w:ilvl w:val="0"/>
          <w:numId w:val="4"/>
        </w:numPr>
        <w:tabs>
          <w:tab w:val="left" w:pos="567"/>
        </w:tabs>
        <w:autoSpaceDE w:val="0"/>
        <w:autoSpaceDN w:val="0"/>
        <w:adjustRightInd w:val="0"/>
        <w:spacing w:after="0" w:line="240" w:lineRule="auto"/>
        <w:jc w:val="both"/>
        <w:rPr>
          <w:rFonts w:cs="Arial"/>
          <w:b/>
          <w:spacing w:val="-2"/>
          <w:szCs w:val="20"/>
          <w:lang w:val="es-ES_tradnl"/>
        </w:rPr>
      </w:pPr>
      <w:r w:rsidRPr="000866D1">
        <w:rPr>
          <w:rFonts w:cs="Arial"/>
          <w:b/>
          <w:i/>
          <w:spacing w:val="-2"/>
          <w:szCs w:val="20"/>
          <w:lang w:val="es-ES_tradnl"/>
        </w:rPr>
        <w:t>Consideraciones de la Corte</w:t>
      </w:r>
    </w:p>
    <w:p w:rsidR="001C300E" w:rsidRPr="000866D1" w:rsidRDefault="001C300E" w:rsidP="000866D1">
      <w:pPr>
        <w:tabs>
          <w:tab w:val="left" w:pos="567"/>
        </w:tabs>
        <w:autoSpaceDE w:val="0"/>
        <w:autoSpaceDN w:val="0"/>
        <w:adjustRightInd w:val="0"/>
        <w:spacing w:after="0" w:line="240" w:lineRule="auto"/>
        <w:jc w:val="both"/>
        <w:rPr>
          <w:rFonts w:eastAsia="Times"/>
          <w:bCs/>
          <w:spacing w:val="-2"/>
          <w:szCs w:val="20"/>
          <w:lang w:val="es-ES_tradnl"/>
        </w:rPr>
      </w:pPr>
    </w:p>
    <w:p w:rsidR="001B7CCF" w:rsidRPr="000866D1" w:rsidRDefault="005B6034" w:rsidP="001B7CCF">
      <w:pPr>
        <w:pStyle w:val="ListParagraph"/>
        <w:numPr>
          <w:ilvl w:val="0"/>
          <w:numId w:val="1"/>
        </w:numPr>
        <w:tabs>
          <w:tab w:val="left" w:pos="567"/>
        </w:tabs>
        <w:autoSpaceDE w:val="0"/>
        <w:autoSpaceDN w:val="0"/>
        <w:adjustRightInd w:val="0"/>
        <w:spacing w:after="0" w:line="240" w:lineRule="auto"/>
        <w:jc w:val="both"/>
        <w:rPr>
          <w:rFonts w:eastAsia="Times"/>
          <w:spacing w:val="-2"/>
          <w:szCs w:val="20"/>
          <w:lang w:val="es-ES_tradnl"/>
        </w:rPr>
      </w:pPr>
      <w:bookmarkStart w:id="77" w:name="_Ref276693010"/>
      <w:bookmarkStart w:id="78" w:name="_Ref406493922"/>
      <w:bookmarkStart w:id="79" w:name="_Ref445748262"/>
      <w:r w:rsidRPr="000866D1">
        <w:rPr>
          <w:rFonts w:eastAsia="Times"/>
          <w:bCs/>
          <w:spacing w:val="-2"/>
          <w:szCs w:val="20"/>
          <w:lang w:val="es-ES_tradnl"/>
        </w:rPr>
        <w:t>En virtud de la solicitud del Estado, así como</w:t>
      </w:r>
      <w:r w:rsidR="00E25953">
        <w:rPr>
          <w:rFonts w:eastAsia="Times"/>
          <w:bCs/>
          <w:spacing w:val="-2"/>
          <w:szCs w:val="20"/>
          <w:lang w:val="es-ES_tradnl"/>
        </w:rPr>
        <w:t xml:space="preserve"> de</w:t>
      </w:r>
      <w:r w:rsidRPr="000866D1">
        <w:rPr>
          <w:rFonts w:eastAsia="Times"/>
          <w:bCs/>
          <w:spacing w:val="-2"/>
          <w:szCs w:val="20"/>
          <w:lang w:val="es-ES_tradnl"/>
        </w:rPr>
        <w:t xml:space="preserve"> las observaciones de</w:t>
      </w:r>
      <w:r w:rsidR="0007179A" w:rsidRPr="000866D1">
        <w:rPr>
          <w:rFonts w:eastAsia="Times"/>
          <w:bCs/>
          <w:spacing w:val="-2"/>
          <w:szCs w:val="20"/>
          <w:lang w:val="es-ES_tradnl"/>
        </w:rPr>
        <w:t>l</w:t>
      </w:r>
      <w:r w:rsidRPr="000866D1">
        <w:rPr>
          <w:rFonts w:eastAsia="Times"/>
          <w:bCs/>
          <w:spacing w:val="-2"/>
          <w:szCs w:val="20"/>
          <w:lang w:val="es-ES_tradnl"/>
        </w:rPr>
        <w:t xml:space="preserve"> representante</w:t>
      </w:r>
      <w:r w:rsidR="0007179A" w:rsidRPr="000866D1">
        <w:rPr>
          <w:rFonts w:eastAsia="Times"/>
          <w:bCs/>
          <w:spacing w:val="-2"/>
          <w:szCs w:val="20"/>
          <w:lang w:val="es-ES_tradnl"/>
        </w:rPr>
        <w:t xml:space="preserve"> y de la Comisión</w:t>
      </w:r>
      <w:r w:rsidRPr="000866D1">
        <w:rPr>
          <w:rFonts w:eastAsia="Times"/>
          <w:bCs/>
          <w:spacing w:val="-2"/>
          <w:szCs w:val="20"/>
          <w:lang w:val="es-ES_tradnl"/>
        </w:rPr>
        <w:t xml:space="preserve">, la Corte estima pertinente aclarar sus consideraciones y conclusiones respecto </w:t>
      </w:r>
      <w:r w:rsidR="001B7CCF" w:rsidRPr="000866D1">
        <w:rPr>
          <w:rFonts w:eastAsia="Times"/>
          <w:bCs/>
          <w:spacing w:val="-2"/>
          <w:szCs w:val="20"/>
          <w:lang w:val="es-ES_tradnl"/>
        </w:rPr>
        <w:t>a la revisión judicial exigida en la Sentencia</w:t>
      </w:r>
      <w:r w:rsidR="0007179A" w:rsidRPr="000866D1">
        <w:rPr>
          <w:rFonts w:eastAsia="Times"/>
          <w:bCs/>
          <w:spacing w:val="-2"/>
          <w:szCs w:val="20"/>
          <w:lang w:val="es-ES_tradnl"/>
        </w:rPr>
        <w:t xml:space="preserve"> frente al proceso de extradición. </w:t>
      </w:r>
      <w:bookmarkEnd w:id="77"/>
      <w:bookmarkEnd w:id="78"/>
      <w:r w:rsidR="001B7CCF" w:rsidRPr="000866D1">
        <w:rPr>
          <w:spacing w:val="-2"/>
          <w:lang w:val="es-ES_tradnl" w:eastAsia="es-ES"/>
        </w:rPr>
        <w:t xml:space="preserve">En su Sentencia la Corte ordenó al </w:t>
      </w:r>
      <w:r w:rsidR="00E25953">
        <w:rPr>
          <w:spacing w:val="-2"/>
          <w:lang w:val="es-ES_tradnl" w:eastAsia="es-ES"/>
        </w:rPr>
        <w:t>Perú</w:t>
      </w:r>
      <w:r w:rsidR="001B7CCF" w:rsidRPr="000866D1">
        <w:rPr>
          <w:spacing w:val="-2"/>
          <w:lang w:val="es-ES_tradnl" w:eastAsia="es-ES"/>
        </w:rPr>
        <w:t xml:space="preserve"> </w:t>
      </w:r>
      <w:r w:rsidR="001B7CCF" w:rsidRPr="000866D1">
        <w:rPr>
          <w:spacing w:val="-2"/>
          <w:szCs w:val="20"/>
          <w:lang w:val="es-ES_tradnl"/>
        </w:rPr>
        <w:t>adoptar</w:t>
      </w:r>
      <w:r w:rsidR="000A57C2">
        <w:rPr>
          <w:spacing w:val="-2"/>
          <w:szCs w:val="20"/>
          <w:lang w:val="es-ES_tradnl"/>
        </w:rPr>
        <w:t>,</w:t>
      </w:r>
      <w:r w:rsidR="001B7CCF" w:rsidRPr="000866D1">
        <w:rPr>
          <w:spacing w:val="-2"/>
          <w:szCs w:val="20"/>
          <w:lang w:val="es-ES_tradnl"/>
        </w:rPr>
        <w:t xml:space="preserve"> </w:t>
      </w:r>
      <w:r w:rsidR="000A57C2" w:rsidRPr="000866D1">
        <w:rPr>
          <w:spacing w:val="-2"/>
          <w:szCs w:val="20"/>
          <w:lang w:val="es-ES_tradnl"/>
        </w:rPr>
        <w:t>a la mayor brevedad</w:t>
      </w:r>
      <w:r w:rsidR="000A57C2">
        <w:rPr>
          <w:spacing w:val="-2"/>
          <w:szCs w:val="20"/>
          <w:lang w:val="es-ES_tradnl"/>
        </w:rPr>
        <w:t>,</w:t>
      </w:r>
      <w:r w:rsidR="000A57C2" w:rsidRPr="000866D1">
        <w:rPr>
          <w:spacing w:val="-2"/>
          <w:szCs w:val="20"/>
          <w:lang w:val="es-ES_tradnl"/>
        </w:rPr>
        <w:t xml:space="preserve"> </w:t>
      </w:r>
      <w:r w:rsidR="001B7CCF" w:rsidRPr="000866D1">
        <w:rPr>
          <w:spacing w:val="-2"/>
          <w:szCs w:val="20"/>
          <w:lang w:val="es-ES_tradnl"/>
        </w:rPr>
        <w:t xml:space="preserve">la decisión definitiva en el proceso de extradición seguido al señor Wong Ho Wing, </w:t>
      </w:r>
      <w:r w:rsidR="001B7CCF" w:rsidRPr="000866D1">
        <w:rPr>
          <w:spacing w:val="-2"/>
          <w:szCs w:val="20"/>
          <w:lang w:val="es-MX"/>
        </w:rPr>
        <w:t xml:space="preserve">teniendo en cuenta lo indicado en los párrafos 193 a 223 de </w:t>
      </w:r>
      <w:r w:rsidR="000A57C2">
        <w:rPr>
          <w:spacing w:val="-2"/>
          <w:szCs w:val="20"/>
          <w:lang w:val="es-MX"/>
        </w:rPr>
        <w:t xml:space="preserve">la </w:t>
      </w:r>
      <w:r w:rsidR="001B7CCF" w:rsidRPr="000866D1">
        <w:rPr>
          <w:spacing w:val="-2"/>
          <w:szCs w:val="20"/>
          <w:lang w:val="es-MX"/>
        </w:rPr>
        <w:t>Sentencia</w:t>
      </w:r>
      <w:r w:rsidR="001B7CCF" w:rsidRPr="000866D1">
        <w:rPr>
          <w:rStyle w:val="FootnoteReference"/>
          <w:spacing w:val="-2"/>
          <w:lang w:val="es-ES_tradnl"/>
        </w:rPr>
        <w:footnoteReference w:id="8"/>
      </w:r>
      <w:r w:rsidR="001B7CCF" w:rsidRPr="000866D1">
        <w:rPr>
          <w:spacing w:val="-2"/>
          <w:szCs w:val="20"/>
          <w:lang w:val="es-ES_tradnl"/>
        </w:rPr>
        <w:t>. Al respecto, los párrafos 203 a 205 de la Sentencia establecían que</w:t>
      </w:r>
      <w:r w:rsidR="001B7CCF" w:rsidRPr="000866D1">
        <w:rPr>
          <w:spacing w:val="-2"/>
          <w:lang w:val="es-ES_tradnl" w:eastAsia="es-ES"/>
        </w:rPr>
        <w:t>:</w:t>
      </w:r>
      <w:bookmarkEnd w:id="79"/>
    </w:p>
    <w:p w:rsidR="001B7CCF" w:rsidRPr="000866D1" w:rsidRDefault="001B7CCF" w:rsidP="001B7CCF">
      <w:pPr>
        <w:spacing w:after="0" w:line="240" w:lineRule="auto"/>
        <w:jc w:val="both"/>
        <w:rPr>
          <w:spacing w:val="-2"/>
          <w:lang w:val="es-ES_tradnl" w:eastAsia="es-ES"/>
        </w:rPr>
      </w:pPr>
    </w:p>
    <w:p w:rsidR="001B7CCF" w:rsidRPr="000866D1" w:rsidRDefault="007A58E6" w:rsidP="000866D1">
      <w:pPr>
        <w:pStyle w:val="PrrafodeSentencia"/>
        <w:numPr>
          <w:ilvl w:val="0"/>
          <w:numId w:val="0"/>
        </w:numPr>
        <w:tabs>
          <w:tab w:val="left" w:pos="8931"/>
        </w:tabs>
        <w:ind w:left="426" w:right="473"/>
        <w:contextualSpacing w:val="0"/>
        <w:jc w:val="both"/>
        <w:rPr>
          <w:spacing w:val="-2"/>
          <w:sz w:val="18"/>
          <w:szCs w:val="18"/>
          <w:lang w:val="es-ES_tradnl"/>
        </w:rPr>
      </w:pPr>
      <w:r w:rsidRPr="000866D1">
        <w:rPr>
          <w:spacing w:val="-2"/>
          <w:sz w:val="18"/>
          <w:szCs w:val="18"/>
        </w:rPr>
        <w:t>203. E</w:t>
      </w:r>
      <w:r w:rsidR="00B44748">
        <w:rPr>
          <w:spacing w:val="-2"/>
          <w:sz w:val="18"/>
          <w:szCs w:val="18"/>
        </w:rPr>
        <w:t>ste Tribunal considera que</w:t>
      </w:r>
      <w:r w:rsidRPr="000866D1">
        <w:rPr>
          <w:spacing w:val="-2"/>
          <w:sz w:val="18"/>
          <w:szCs w:val="18"/>
        </w:rPr>
        <w:t xml:space="preserve"> </w:t>
      </w:r>
      <w:r w:rsidR="001B7CCF" w:rsidRPr="000866D1">
        <w:rPr>
          <w:spacing w:val="-2"/>
          <w:sz w:val="18"/>
          <w:szCs w:val="18"/>
        </w:rPr>
        <w:t xml:space="preserve">el señor Wong Ho Wing obtuvo desde mayo de 2011 una decisión del Tribunal Constitucional, mediante la cual se ordenaba al Poder Ejecutivo abstenerse de extraditarlo. Sin embargo, la Corte toma nota que en dicha decisión el Tribunal Constitucional consideró que, conforme a las circunstancias existentes en ese momento persistía un riesgo al derecho a la vida del señor Wong Ho Wing, ante la ausencia de </w:t>
      </w:r>
      <w:r w:rsidR="001B7CCF" w:rsidRPr="000866D1">
        <w:rPr>
          <w:spacing w:val="-2"/>
          <w:sz w:val="18"/>
          <w:szCs w:val="18"/>
          <w:lang w:val="es-ES_tradnl"/>
        </w:rPr>
        <w:t>las garantías necesarias y suficientes para salvaguardar éste. En su resolución de junio de 2011 el Tribunal Constitucional aclaró que al emitir su decisión no pudo tomar en cuenta las garantías hasta ese momento ofrecidas porque no formaban parte del expediente y que la</w:t>
      </w:r>
      <w:r w:rsidR="00D53E54">
        <w:rPr>
          <w:spacing w:val="-2"/>
          <w:sz w:val="18"/>
          <w:szCs w:val="18"/>
          <w:lang w:val="es-ES_tradnl"/>
        </w:rPr>
        <w:t>[s]</w:t>
      </w:r>
      <w:r w:rsidR="001B7CCF" w:rsidRPr="000866D1">
        <w:rPr>
          <w:spacing w:val="-2"/>
          <w:sz w:val="18"/>
          <w:szCs w:val="18"/>
          <w:lang w:val="es-ES_tradnl"/>
        </w:rPr>
        <w:t xml:space="preserve"> notas diplomáticas con las que contaba informaban de la derogatoria de la pena de muerte, pero no explicaban su aplicabilidad al caso del señor Wong Ho Wing. De esta forma, el Tribunal Constitucional no tuvo oportunidad de valorar ni la derogatoria de la pena de muerte para el delito de contrabando de mercancías comunes y su aplicabilidad a la situación del señor Wong Ho Wing, ni las garantías diplomáticas posteriores otorgadas por la República Popular China, las cuales sí ha tenido oportunidad de valorar esta Corte. </w:t>
      </w:r>
    </w:p>
    <w:p w:rsidR="001B7CCF" w:rsidRPr="000866D1" w:rsidRDefault="001B7CCF" w:rsidP="000866D1">
      <w:pPr>
        <w:tabs>
          <w:tab w:val="left" w:pos="8931"/>
        </w:tabs>
        <w:autoSpaceDE w:val="0"/>
        <w:autoSpaceDN w:val="0"/>
        <w:adjustRightInd w:val="0"/>
        <w:spacing w:after="0" w:line="240" w:lineRule="auto"/>
        <w:ind w:left="426" w:right="473"/>
        <w:jc w:val="both"/>
        <w:rPr>
          <w:rFonts w:eastAsiaTheme="minorHAnsi" w:cs="Verdana"/>
          <w:spacing w:val="-2"/>
          <w:sz w:val="16"/>
          <w:szCs w:val="16"/>
          <w:lang w:val="es-ES_tradnl"/>
        </w:rPr>
      </w:pPr>
    </w:p>
    <w:p w:rsidR="001B7CCF" w:rsidRPr="000866D1" w:rsidRDefault="001B7CCF" w:rsidP="000866D1">
      <w:pPr>
        <w:tabs>
          <w:tab w:val="left" w:pos="1080"/>
          <w:tab w:val="left" w:pos="8931"/>
        </w:tabs>
        <w:autoSpaceDE w:val="0"/>
        <w:autoSpaceDN w:val="0"/>
        <w:adjustRightInd w:val="0"/>
        <w:spacing w:after="0" w:line="240" w:lineRule="auto"/>
        <w:ind w:left="426" w:right="473"/>
        <w:jc w:val="both"/>
        <w:rPr>
          <w:spacing w:val="-2"/>
          <w:sz w:val="18"/>
          <w:szCs w:val="18"/>
        </w:rPr>
      </w:pPr>
      <w:r w:rsidRPr="000866D1">
        <w:rPr>
          <w:spacing w:val="-2"/>
          <w:sz w:val="18"/>
          <w:szCs w:val="18"/>
        </w:rPr>
        <w:t>204.</w:t>
      </w:r>
      <w:r w:rsidRPr="000866D1">
        <w:rPr>
          <w:spacing w:val="-2"/>
          <w:sz w:val="18"/>
          <w:szCs w:val="18"/>
        </w:rPr>
        <w:tab/>
        <w:t xml:space="preserve">La Corte advierte que, con posterioridad a la decisión del Tribunal Constitucional, las autoridades judiciales internas han emitido pronunciamientos que indicarían que no es posible revisar o modificar la decisión del Tribunal Constitucional. Sin embargo, considera que corresponde al Estado resolver, conforme a su legislación interna, la manera de proceder frente a la solicitud de extradición del señor Wong Ho Wing, teniendo en cuenta que actualmente no existiría un riesgo a sus derechos a la vida e integridad personal en caso de ser extraditado, pero al mismo tiempo existe una decisión del Tribunal Constitucional que </w:t>
      </w:r>
      <w:r w:rsidRPr="000866D1">
        <w:rPr>
          <w:i/>
          <w:spacing w:val="-2"/>
          <w:sz w:val="18"/>
          <w:szCs w:val="18"/>
        </w:rPr>
        <w:t>prima facie</w:t>
      </w:r>
      <w:r w:rsidRPr="000866D1">
        <w:rPr>
          <w:spacing w:val="-2"/>
          <w:sz w:val="18"/>
          <w:szCs w:val="18"/>
        </w:rPr>
        <w:t xml:space="preserve"> resultaría inmodificable y que, en principio, vincularía al Poder Ejecutivo. </w:t>
      </w:r>
    </w:p>
    <w:p w:rsidR="001B7CCF" w:rsidRPr="000866D1" w:rsidRDefault="001B7CCF" w:rsidP="000866D1">
      <w:pPr>
        <w:tabs>
          <w:tab w:val="left" w:pos="1080"/>
          <w:tab w:val="left" w:pos="8931"/>
        </w:tabs>
        <w:autoSpaceDE w:val="0"/>
        <w:autoSpaceDN w:val="0"/>
        <w:adjustRightInd w:val="0"/>
        <w:spacing w:after="0" w:line="240" w:lineRule="auto"/>
        <w:ind w:left="426" w:right="473"/>
        <w:jc w:val="both"/>
        <w:rPr>
          <w:spacing w:val="-2"/>
          <w:sz w:val="18"/>
          <w:szCs w:val="18"/>
        </w:rPr>
      </w:pPr>
    </w:p>
    <w:p w:rsidR="0035232B" w:rsidRPr="000866D1" w:rsidRDefault="001B7CCF" w:rsidP="000866D1">
      <w:pPr>
        <w:tabs>
          <w:tab w:val="left" w:pos="1080"/>
          <w:tab w:val="left" w:pos="8931"/>
        </w:tabs>
        <w:autoSpaceDE w:val="0"/>
        <w:autoSpaceDN w:val="0"/>
        <w:adjustRightInd w:val="0"/>
        <w:spacing w:after="0" w:line="240" w:lineRule="auto"/>
        <w:ind w:left="426" w:right="473"/>
        <w:jc w:val="both"/>
        <w:rPr>
          <w:rFonts w:eastAsiaTheme="minorHAnsi" w:cs="Verdana"/>
          <w:spacing w:val="-2"/>
          <w:sz w:val="18"/>
          <w:szCs w:val="18"/>
          <w:lang w:val="es-ES_tradnl"/>
        </w:rPr>
      </w:pPr>
      <w:r w:rsidRPr="000866D1">
        <w:rPr>
          <w:spacing w:val="-2"/>
          <w:sz w:val="18"/>
          <w:szCs w:val="18"/>
        </w:rPr>
        <w:t xml:space="preserve">205. </w:t>
      </w:r>
      <w:r w:rsidRPr="000866D1">
        <w:rPr>
          <w:spacing w:val="-2"/>
          <w:sz w:val="18"/>
          <w:szCs w:val="18"/>
        </w:rPr>
        <w:tab/>
        <w:t xml:space="preserve">Por otra parte, la Corte toma en cuenta que, de acuerdo con lo señalado por el Estado y no controvertido por el representante ni por la Comisión, en el ordenamiento jurídico peruano los actos discrecionales del Poder Ejecutivo pueden ser objeto de control constitucional posterior. En el mismo sentido se pronunció el perito García Toma, quien expuso que la decisión del Poder </w:t>
      </w:r>
      <w:r w:rsidRPr="000866D1">
        <w:rPr>
          <w:spacing w:val="-2"/>
          <w:sz w:val="18"/>
          <w:szCs w:val="18"/>
        </w:rPr>
        <w:lastRenderedPageBreak/>
        <w:t xml:space="preserve">Ejecutivo “si bien es política, […] no está exenta de control, y no lo está porque con posterioridad a esta decisión, cualquier justiciable, utilizando los procesos constitucionales que señala el Código Procesal Constitucional, puede impugnar esta decisión ante el juez de la materia”. </w:t>
      </w:r>
      <w:r w:rsidRPr="000866D1">
        <w:rPr>
          <w:spacing w:val="-2"/>
          <w:sz w:val="18"/>
          <w:szCs w:val="18"/>
          <w:u w:val="single"/>
        </w:rPr>
        <w:t>De esta forma, el señor Wong Ho Wing aún goza de la posibilidad de obtener una revisión judicial de dicha decisión en caso de inconformidad con la misma</w:t>
      </w:r>
      <w:r w:rsidRPr="00E25953">
        <w:rPr>
          <w:spacing w:val="-2"/>
          <w:sz w:val="18"/>
          <w:szCs w:val="18"/>
        </w:rPr>
        <w:t>.</w:t>
      </w:r>
      <w:r w:rsidRPr="000866D1">
        <w:rPr>
          <w:spacing w:val="-2"/>
          <w:sz w:val="18"/>
          <w:szCs w:val="18"/>
        </w:rPr>
        <w:t xml:space="preserve"> La Corte advierte que la revisión por parte de un juez o tribunal es un requisito fundamental para garantizar un adecuado control y escrutinio de los actos de la administración que afectan los derechos fundamentales. Además, considera que es necesario que </w:t>
      </w:r>
      <w:r w:rsidRPr="000866D1">
        <w:rPr>
          <w:spacing w:val="-2"/>
          <w:sz w:val="18"/>
          <w:szCs w:val="18"/>
          <w:u w:val="single"/>
        </w:rPr>
        <w:t>el recurso mediante el cual se impugne la decisión definitiva en esta materia tenga efectos suspensivos, de manera que la medida no se efectivice hasta tanto no se haya proferido la decisión de la instancia ante la que se recurre</w:t>
      </w:r>
      <w:r w:rsidR="00964560" w:rsidRPr="00B44748">
        <w:rPr>
          <w:rStyle w:val="FootnoteReference"/>
          <w:spacing w:val="-2"/>
          <w:sz w:val="18"/>
          <w:szCs w:val="18"/>
        </w:rPr>
        <w:footnoteReference w:id="9"/>
      </w:r>
      <w:r w:rsidRPr="000866D1">
        <w:rPr>
          <w:spacing w:val="-2"/>
          <w:sz w:val="18"/>
          <w:szCs w:val="18"/>
        </w:rPr>
        <w:t>.</w:t>
      </w:r>
      <w:r w:rsidR="00EC2A33" w:rsidRPr="000866D1">
        <w:rPr>
          <w:spacing w:val="-2"/>
          <w:sz w:val="18"/>
          <w:szCs w:val="18"/>
        </w:rPr>
        <w:t xml:space="preserve"> (</w:t>
      </w:r>
      <w:r w:rsidR="00EC2A33" w:rsidRPr="00B44748">
        <w:rPr>
          <w:i/>
          <w:spacing w:val="-2"/>
          <w:sz w:val="18"/>
          <w:szCs w:val="18"/>
        </w:rPr>
        <w:t xml:space="preserve">subrayado </w:t>
      </w:r>
      <w:r w:rsidR="00B44748" w:rsidRPr="00B44748">
        <w:rPr>
          <w:i/>
          <w:spacing w:val="-2"/>
          <w:sz w:val="18"/>
          <w:szCs w:val="18"/>
        </w:rPr>
        <w:t>fuera del original</w:t>
      </w:r>
      <w:r w:rsidR="00EC2A33" w:rsidRPr="000866D1">
        <w:rPr>
          <w:spacing w:val="-2"/>
          <w:sz w:val="18"/>
          <w:szCs w:val="18"/>
        </w:rPr>
        <w:t>)</w:t>
      </w:r>
    </w:p>
    <w:p w:rsidR="001C300E" w:rsidRPr="000866D1" w:rsidRDefault="001C300E" w:rsidP="009E1889">
      <w:pPr>
        <w:tabs>
          <w:tab w:val="left" w:pos="567"/>
        </w:tabs>
        <w:autoSpaceDE w:val="0"/>
        <w:autoSpaceDN w:val="0"/>
        <w:adjustRightInd w:val="0"/>
        <w:spacing w:after="0" w:line="240" w:lineRule="auto"/>
        <w:jc w:val="both"/>
        <w:rPr>
          <w:rFonts w:eastAsia="Times"/>
          <w:b/>
          <w:spacing w:val="-2"/>
          <w:szCs w:val="20"/>
          <w:lang w:val="es-ES_tradnl"/>
        </w:rPr>
      </w:pPr>
    </w:p>
    <w:p w:rsidR="00761DCB" w:rsidRPr="000866D1" w:rsidRDefault="004C26D4" w:rsidP="00761DCB">
      <w:pPr>
        <w:pStyle w:val="ListParagraph"/>
        <w:numPr>
          <w:ilvl w:val="0"/>
          <w:numId w:val="1"/>
        </w:numPr>
        <w:tabs>
          <w:tab w:val="left" w:pos="567"/>
        </w:tabs>
        <w:autoSpaceDE w:val="0"/>
        <w:autoSpaceDN w:val="0"/>
        <w:adjustRightInd w:val="0"/>
        <w:spacing w:after="0" w:line="240" w:lineRule="auto"/>
        <w:jc w:val="both"/>
        <w:rPr>
          <w:rFonts w:eastAsia="Times"/>
          <w:spacing w:val="-2"/>
          <w:szCs w:val="20"/>
          <w:lang w:val="es-ES_tradnl"/>
        </w:rPr>
      </w:pPr>
      <w:bookmarkStart w:id="80" w:name="_Ref454372741"/>
      <w:bookmarkStart w:id="81" w:name="_Ref276693401"/>
      <w:r w:rsidRPr="000866D1">
        <w:rPr>
          <w:rFonts w:eastAsia="Times"/>
          <w:spacing w:val="-2"/>
          <w:szCs w:val="20"/>
          <w:lang w:val="es-ES_tradnl"/>
        </w:rPr>
        <w:t xml:space="preserve">De </w:t>
      </w:r>
      <w:r w:rsidR="00B44748">
        <w:rPr>
          <w:rFonts w:eastAsia="Times"/>
          <w:spacing w:val="-2"/>
          <w:szCs w:val="20"/>
          <w:lang w:val="es-ES_tradnl"/>
        </w:rPr>
        <w:t>esta forma, en su Sentencia</w:t>
      </w:r>
      <w:r w:rsidR="007A58E6" w:rsidRPr="000866D1">
        <w:rPr>
          <w:rFonts w:eastAsia="Times"/>
          <w:spacing w:val="-2"/>
          <w:szCs w:val="20"/>
          <w:lang w:val="es-ES_tradnl"/>
        </w:rPr>
        <w:t xml:space="preserve"> el Tribunal requirió al Estado que</w:t>
      </w:r>
      <w:r w:rsidR="000866D1" w:rsidRPr="000866D1">
        <w:rPr>
          <w:rFonts w:eastAsia="Times"/>
          <w:spacing w:val="-2"/>
          <w:szCs w:val="20"/>
          <w:lang w:val="es-ES_tradnl"/>
        </w:rPr>
        <w:t>,</w:t>
      </w:r>
      <w:r w:rsidR="007A58E6" w:rsidRPr="000866D1">
        <w:rPr>
          <w:rFonts w:eastAsia="Times"/>
          <w:spacing w:val="-2"/>
          <w:szCs w:val="20"/>
          <w:lang w:val="es-ES_tradnl"/>
        </w:rPr>
        <w:t xml:space="preserve"> </w:t>
      </w:r>
      <w:r w:rsidR="007A58E6" w:rsidRPr="000866D1">
        <w:rPr>
          <w:color w:val="000000"/>
          <w:spacing w:val="-2"/>
          <w:lang w:val="es-ES"/>
        </w:rPr>
        <w:t>previo a la efectiva extradición del señor Wong Ho Wing, Perú debía permitir que se interp</w:t>
      </w:r>
      <w:r w:rsidR="00363090" w:rsidRPr="000866D1">
        <w:rPr>
          <w:color w:val="000000"/>
          <w:spacing w:val="-2"/>
          <w:lang w:val="es-ES"/>
        </w:rPr>
        <w:t>usiera</w:t>
      </w:r>
      <w:r w:rsidR="00A3239B" w:rsidRPr="000866D1">
        <w:rPr>
          <w:color w:val="000000"/>
          <w:spacing w:val="-2"/>
          <w:lang w:val="es-ES"/>
        </w:rPr>
        <w:t>,</w:t>
      </w:r>
      <w:r w:rsidR="007A58E6" w:rsidRPr="000866D1">
        <w:rPr>
          <w:color w:val="000000"/>
          <w:spacing w:val="-2"/>
          <w:lang w:val="es-ES"/>
        </w:rPr>
        <w:t xml:space="preserve"> </w:t>
      </w:r>
      <w:r w:rsidR="0007179A" w:rsidRPr="000866D1">
        <w:rPr>
          <w:color w:val="000000"/>
          <w:spacing w:val="-2"/>
          <w:lang w:val="es-ES"/>
        </w:rPr>
        <w:t>con efectos suspensivos</w:t>
      </w:r>
      <w:r w:rsidR="00A3239B" w:rsidRPr="000866D1">
        <w:rPr>
          <w:color w:val="000000"/>
          <w:spacing w:val="-2"/>
          <w:lang w:val="es-ES"/>
        </w:rPr>
        <w:t>,</w:t>
      </w:r>
      <w:r w:rsidR="0007179A" w:rsidRPr="000866D1">
        <w:rPr>
          <w:color w:val="000000"/>
          <w:spacing w:val="-2"/>
          <w:lang w:val="es-ES"/>
        </w:rPr>
        <w:t xml:space="preserve"> </w:t>
      </w:r>
      <w:r w:rsidR="007A58E6" w:rsidRPr="000866D1">
        <w:rPr>
          <w:color w:val="000000"/>
          <w:spacing w:val="-2"/>
          <w:lang w:val="es-ES"/>
        </w:rPr>
        <w:t xml:space="preserve">y </w:t>
      </w:r>
      <w:r w:rsidR="00AB788E" w:rsidRPr="000866D1">
        <w:rPr>
          <w:color w:val="000000"/>
          <w:spacing w:val="-2"/>
          <w:lang w:val="es-ES"/>
        </w:rPr>
        <w:t xml:space="preserve">se </w:t>
      </w:r>
      <w:r w:rsidR="007A58E6" w:rsidRPr="000866D1">
        <w:rPr>
          <w:color w:val="000000"/>
          <w:spacing w:val="-2"/>
          <w:lang w:val="es-ES"/>
        </w:rPr>
        <w:t>res</w:t>
      </w:r>
      <w:r w:rsidR="00363090" w:rsidRPr="000866D1">
        <w:rPr>
          <w:color w:val="000000"/>
          <w:spacing w:val="-2"/>
          <w:lang w:val="es-ES"/>
        </w:rPr>
        <w:t>olviera, en todas sus instancias,</w:t>
      </w:r>
      <w:r w:rsidR="007A58E6" w:rsidRPr="000866D1">
        <w:rPr>
          <w:color w:val="000000"/>
          <w:spacing w:val="-2"/>
          <w:lang w:val="es-ES"/>
        </w:rPr>
        <w:t xml:space="preserve"> </w:t>
      </w:r>
      <w:r w:rsidR="00363090" w:rsidRPr="000866D1">
        <w:rPr>
          <w:color w:val="000000"/>
          <w:spacing w:val="-2"/>
          <w:lang w:val="es-ES"/>
        </w:rPr>
        <w:t>el recurso</w:t>
      </w:r>
      <w:r w:rsidR="007A58E6" w:rsidRPr="000866D1">
        <w:rPr>
          <w:color w:val="000000"/>
          <w:spacing w:val="-2"/>
          <w:lang w:val="es-ES"/>
        </w:rPr>
        <w:t xml:space="preserve"> que correspond</w:t>
      </w:r>
      <w:r w:rsidR="00363090" w:rsidRPr="000866D1">
        <w:rPr>
          <w:color w:val="000000"/>
          <w:spacing w:val="-2"/>
          <w:lang w:val="es-ES"/>
        </w:rPr>
        <w:t>iera</w:t>
      </w:r>
      <w:r w:rsidR="007A58E6" w:rsidRPr="000866D1">
        <w:rPr>
          <w:color w:val="000000"/>
          <w:spacing w:val="-2"/>
          <w:lang w:val="es-ES"/>
        </w:rPr>
        <w:t xml:space="preserve"> contra la decisión del Poder Ejecutivo</w:t>
      </w:r>
      <w:r w:rsidR="0007179A" w:rsidRPr="000866D1">
        <w:rPr>
          <w:color w:val="000000"/>
          <w:spacing w:val="-2"/>
          <w:lang w:val="es-ES"/>
        </w:rPr>
        <w:t xml:space="preserve"> que decidiera sobre la procedencia o no de la extradición</w:t>
      </w:r>
      <w:r w:rsidR="007A58E6" w:rsidRPr="000866D1">
        <w:rPr>
          <w:color w:val="000000"/>
          <w:spacing w:val="-2"/>
          <w:lang w:val="es-ES"/>
        </w:rPr>
        <w:t xml:space="preserve">. De </w:t>
      </w:r>
      <w:r w:rsidRPr="000866D1">
        <w:rPr>
          <w:rFonts w:eastAsia="Times"/>
          <w:spacing w:val="-2"/>
          <w:szCs w:val="20"/>
          <w:lang w:val="es-ES_tradnl"/>
        </w:rPr>
        <w:t xml:space="preserve">los párrafos transcritos </w:t>
      </w:r>
      <w:r w:rsidR="0007179A" w:rsidRPr="000866D1">
        <w:rPr>
          <w:rFonts w:eastAsia="Times"/>
          <w:spacing w:val="-2"/>
          <w:szCs w:val="20"/>
          <w:lang w:val="es-ES_tradnl"/>
        </w:rPr>
        <w:t>se desprende</w:t>
      </w:r>
      <w:r w:rsidR="00EC2A33" w:rsidRPr="000866D1">
        <w:rPr>
          <w:rFonts w:eastAsia="Times"/>
          <w:spacing w:val="-2"/>
          <w:szCs w:val="20"/>
          <w:lang w:val="es-ES_tradnl"/>
        </w:rPr>
        <w:t xml:space="preserve"> </w:t>
      </w:r>
      <w:r w:rsidRPr="000866D1">
        <w:rPr>
          <w:rFonts w:eastAsia="Times"/>
          <w:spacing w:val="-2"/>
          <w:szCs w:val="20"/>
          <w:lang w:val="es-ES_tradnl"/>
        </w:rPr>
        <w:t xml:space="preserve">que </w:t>
      </w:r>
      <w:r w:rsidR="00363090" w:rsidRPr="000866D1">
        <w:rPr>
          <w:rFonts w:eastAsia="Times"/>
          <w:spacing w:val="-2"/>
          <w:szCs w:val="20"/>
          <w:lang w:val="es-ES_tradnl"/>
        </w:rPr>
        <w:t>el recurso</w:t>
      </w:r>
      <w:r w:rsidR="007A58E6" w:rsidRPr="000866D1">
        <w:rPr>
          <w:rFonts w:eastAsia="Times"/>
          <w:spacing w:val="-2"/>
          <w:szCs w:val="20"/>
          <w:lang w:val="es-ES_tradnl"/>
        </w:rPr>
        <w:t xml:space="preserve"> a</w:t>
      </w:r>
      <w:r w:rsidR="00363090" w:rsidRPr="000866D1">
        <w:rPr>
          <w:rFonts w:eastAsia="Times"/>
          <w:spacing w:val="-2"/>
          <w:szCs w:val="20"/>
          <w:lang w:val="es-ES_tradnl"/>
        </w:rPr>
        <w:t>l</w:t>
      </w:r>
      <w:r w:rsidR="007A58E6" w:rsidRPr="000866D1">
        <w:rPr>
          <w:rFonts w:eastAsia="Times"/>
          <w:spacing w:val="-2"/>
          <w:szCs w:val="20"/>
          <w:lang w:val="es-ES_tradnl"/>
        </w:rPr>
        <w:t xml:space="preserve"> que se refiere la </w:t>
      </w:r>
      <w:r w:rsidRPr="000866D1">
        <w:rPr>
          <w:rFonts w:eastAsia="Times"/>
          <w:spacing w:val="-2"/>
          <w:szCs w:val="20"/>
          <w:lang w:val="es-ES_tradnl"/>
        </w:rPr>
        <w:t xml:space="preserve">Corte </w:t>
      </w:r>
      <w:r w:rsidR="0007179A" w:rsidRPr="000866D1">
        <w:rPr>
          <w:rFonts w:eastAsia="Times"/>
          <w:spacing w:val="-2"/>
          <w:szCs w:val="20"/>
          <w:lang w:val="es-ES_tradnl"/>
        </w:rPr>
        <w:t xml:space="preserve">en su Sentencia </w:t>
      </w:r>
      <w:r w:rsidR="00363090" w:rsidRPr="000866D1">
        <w:rPr>
          <w:rFonts w:eastAsia="Times"/>
          <w:spacing w:val="-2"/>
          <w:szCs w:val="20"/>
          <w:lang w:val="es-ES_tradnl"/>
        </w:rPr>
        <w:t xml:space="preserve">es </w:t>
      </w:r>
      <w:r w:rsidR="007A58E6" w:rsidRPr="000866D1">
        <w:rPr>
          <w:rFonts w:eastAsia="Times"/>
          <w:spacing w:val="-2"/>
          <w:szCs w:val="20"/>
          <w:lang w:val="es-ES_tradnl"/>
        </w:rPr>
        <w:t>aquel</w:t>
      </w:r>
      <w:r w:rsidR="00363090" w:rsidRPr="000866D1">
        <w:rPr>
          <w:rFonts w:eastAsia="Times"/>
          <w:spacing w:val="-2"/>
          <w:szCs w:val="20"/>
          <w:lang w:val="es-ES_tradnl"/>
        </w:rPr>
        <w:t xml:space="preserve"> que permita</w:t>
      </w:r>
      <w:r w:rsidR="007A58E6" w:rsidRPr="000866D1">
        <w:rPr>
          <w:rFonts w:eastAsia="Times"/>
          <w:spacing w:val="-2"/>
          <w:szCs w:val="20"/>
          <w:lang w:val="es-ES_tradnl"/>
        </w:rPr>
        <w:t xml:space="preserve"> una revisión judicial de la decisión definitiva del Poder Ejecutivo respecto a la procedencia de la extradición.</w:t>
      </w:r>
      <w:bookmarkEnd w:id="80"/>
      <w:r w:rsidR="007A58E6" w:rsidRPr="000866D1">
        <w:rPr>
          <w:rFonts w:eastAsia="Times"/>
          <w:spacing w:val="-2"/>
          <w:szCs w:val="20"/>
          <w:lang w:val="es-ES_tradnl"/>
        </w:rPr>
        <w:t xml:space="preserve"> </w:t>
      </w:r>
      <w:bookmarkStart w:id="82" w:name="_Ref406493924"/>
      <w:bookmarkEnd w:id="81"/>
    </w:p>
    <w:bookmarkEnd w:id="82"/>
    <w:p w:rsidR="000D3BE8" w:rsidRPr="000866D1" w:rsidRDefault="000D3BE8" w:rsidP="009E1889">
      <w:pPr>
        <w:tabs>
          <w:tab w:val="left" w:pos="567"/>
        </w:tabs>
        <w:spacing w:after="0" w:line="240" w:lineRule="auto"/>
        <w:jc w:val="both"/>
        <w:rPr>
          <w:rFonts w:eastAsia="Times"/>
          <w:spacing w:val="-2"/>
          <w:szCs w:val="20"/>
          <w:lang w:val="es-ES_tradnl"/>
        </w:rPr>
      </w:pPr>
    </w:p>
    <w:p w:rsidR="00BA3D77" w:rsidRPr="000866D1" w:rsidRDefault="00CF3648" w:rsidP="009E1889">
      <w:pPr>
        <w:tabs>
          <w:tab w:val="left" w:pos="567"/>
        </w:tabs>
        <w:spacing w:after="0" w:line="240" w:lineRule="auto"/>
        <w:jc w:val="center"/>
        <w:rPr>
          <w:rFonts w:eastAsia="Times"/>
          <w:b/>
          <w:spacing w:val="-2"/>
          <w:szCs w:val="20"/>
          <w:lang w:val="es-ES_tradnl"/>
        </w:rPr>
      </w:pPr>
      <w:r w:rsidRPr="000866D1">
        <w:rPr>
          <w:rFonts w:eastAsia="Times"/>
          <w:b/>
          <w:spacing w:val="-2"/>
          <w:szCs w:val="20"/>
          <w:lang w:val="es-ES_tradnl"/>
        </w:rPr>
        <w:t>V</w:t>
      </w:r>
    </w:p>
    <w:p w:rsidR="00BA3D77" w:rsidRPr="000866D1" w:rsidRDefault="00BA3D77" w:rsidP="009E1889">
      <w:pPr>
        <w:tabs>
          <w:tab w:val="left" w:pos="567"/>
        </w:tabs>
        <w:spacing w:after="0" w:line="240" w:lineRule="auto"/>
        <w:jc w:val="center"/>
        <w:rPr>
          <w:rFonts w:eastAsia="Times"/>
          <w:b/>
          <w:spacing w:val="-2"/>
          <w:szCs w:val="20"/>
          <w:lang w:val="es-ES_tradnl"/>
        </w:rPr>
      </w:pPr>
      <w:r w:rsidRPr="000866D1">
        <w:rPr>
          <w:rFonts w:eastAsia="Times"/>
          <w:b/>
          <w:spacing w:val="-2"/>
          <w:szCs w:val="20"/>
          <w:lang w:val="es-ES_tradnl"/>
        </w:rPr>
        <w:t xml:space="preserve">PUNTOS RESOLUTIVOS </w:t>
      </w:r>
    </w:p>
    <w:p w:rsidR="00BA3D77" w:rsidRPr="000866D1" w:rsidRDefault="00BA3D77" w:rsidP="009E1889">
      <w:pPr>
        <w:tabs>
          <w:tab w:val="left" w:pos="567"/>
        </w:tabs>
        <w:spacing w:after="0" w:line="240" w:lineRule="auto"/>
        <w:jc w:val="center"/>
        <w:rPr>
          <w:rFonts w:eastAsia="Times"/>
          <w:b/>
          <w:spacing w:val="-2"/>
          <w:szCs w:val="20"/>
          <w:lang w:val="es-ES_tradnl"/>
        </w:rPr>
      </w:pPr>
    </w:p>
    <w:p w:rsidR="00BA3D77" w:rsidRPr="000866D1" w:rsidRDefault="00BA3D77" w:rsidP="009E1889">
      <w:pPr>
        <w:numPr>
          <w:ilvl w:val="0"/>
          <w:numId w:val="1"/>
        </w:numPr>
        <w:tabs>
          <w:tab w:val="left" w:pos="567"/>
          <w:tab w:val="left" w:pos="720"/>
        </w:tabs>
        <w:spacing w:after="0" w:line="240" w:lineRule="auto"/>
        <w:ind w:right="-90"/>
        <w:jc w:val="both"/>
        <w:rPr>
          <w:rFonts w:cs="Arial"/>
          <w:spacing w:val="-2"/>
          <w:szCs w:val="20"/>
          <w:lang w:val="es-ES_tradnl"/>
        </w:rPr>
      </w:pPr>
      <w:r w:rsidRPr="000866D1">
        <w:rPr>
          <w:rFonts w:eastAsia="Times"/>
          <w:spacing w:val="-2"/>
          <w:szCs w:val="20"/>
          <w:lang w:val="es-ES_tradnl"/>
        </w:rPr>
        <w:t xml:space="preserve">Por tanto, </w:t>
      </w:r>
    </w:p>
    <w:p w:rsidR="00BA3D77" w:rsidRPr="000866D1" w:rsidRDefault="00BA3D77" w:rsidP="009E1889">
      <w:pPr>
        <w:tabs>
          <w:tab w:val="left" w:pos="567"/>
        </w:tabs>
        <w:spacing w:after="0" w:line="240" w:lineRule="auto"/>
        <w:jc w:val="both"/>
        <w:rPr>
          <w:rFonts w:eastAsia="Times"/>
          <w:b/>
          <w:spacing w:val="-2"/>
          <w:szCs w:val="20"/>
          <w:lang w:val="es-ES_tradnl"/>
        </w:rPr>
      </w:pPr>
    </w:p>
    <w:p w:rsidR="00BA3D77" w:rsidRPr="000866D1" w:rsidRDefault="00BA3D77" w:rsidP="0011068B">
      <w:pPr>
        <w:tabs>
          <w:tab w:val="left" w:pos="567"/>
        </w:tabs>
        <w:spacing w:before="100" w:after="100" w:line="240" w:lineRule="auto"/>
        <w:jc w:val="both"/>
        <w:rPr>
          <w:rFonts w:eastAsia="Times"/>
          <w:b/>
          <w:spacing w:val="-2"/>
          <w:szCs w:val="20"/>
          <w:lang w:val="es-ES_tradnl"/>
        </w:rPr>
      </w:pPr>
      <w:r w:rsidRPr="000866D1">
        <w:rPr>
          <w:rFonts w:eastAsia="Times"/>
          <w:b/>
          <w:spacing w:val="-2"/>
          <w:szCs w:val="20"/>
          <w:lang w:val="es-ES_tradnl"/>
        </w:rPr>
        <w:t xml:space="preserve">LA CORTE </w:t>
      </w:r>
    </w:p>
    <w:p w:rsidR="00BA3D77" w:rsidRPr="000866D1" w:rsidRDefault="00BA3D77" w:rsidP="0011068B">
      <w:pPr>
        <w:tabs>
          <w:tab w:val="left" w:pos="567"/>
        </w:tabs>
        <w:spacing w:before="100" w:after="100" w:line="240" w:lineRule="auto"/>
        <w:jc w:val="both"/>
        <w:rPr>
          <w:rFonts w:eastAsia="Times"/>
          <w:spacing w:val="-2"/>
          <w:szCs w:val="20"/>
          <w:lang w:val="es-ES_tradnl"/>
        </w:rPr>
      </w:pPr>
    </w:p>
    <w:p w:rsidR="00BA3D77" w:rsidRPr="000866D1" w:rsidRDefault="00BA3D77" w:rsidP="0011068B">
      <w:pPr>
        <w:tabs>
          <w:tab w:val="left" w:pos="567"/>
        </w:tabs>
        <w:spacing w:before="100" w:after="100" w:line="240" w:lineRule="auto"/>
        <w:jc w:val="both"/>
        <w:rPr>
          <w:rFonts w:eastAsia="Times"/>
          <w:spacing w:val="-2"/>
          <w:szCs w:val="20"/>
          <w:lang w:val="es-ES_tradnl"/>
        </w:rPr>
      </w:pPr>
      <w:r w:rsidRPr="000866D1">
        <w:rPr>
          <w:rFonts w:eastAsia="Times"/>
          <w:spacing w:val="-2"/>
          <w:szCs w:val="20"/>
          <w:lang w:val="es-ES_tradnl"/>
        </w:rPr>
        <w:t>de conformidad con el artículo 67 de la Convención Americana sobre Derech</w:t>
      </w:r>
      <w:r w:rsidR="00FA3A9F">
        <w:rPr>
          <w:rFonts w:eastAsia="Times"/>
          <w:spacing w:val="-2"/>
          <w:szCs w:val="20"/>
          <w:lang w:val="es-ES_tradnl"/>
        </w:rPr>
        <w:t>os Humanos y los artículos 31.3 y</w:t>
      </w:r>
      <w:r w:rsidR="00C90393" w:rsidRPr="000866D1">
        <w:rPr>
          <w:rFonts w:eastAsia="Times"/>
          <w:spacing w:val="-2"/>
          <w:szCs w:val="20"/>
          <w:lang w:val="es-ES_tradnl"/>
        </w:rPr>
        <w:t xml:space="preserve"> </w:t>
      </w:r>
      <w:r w:rsidRPr="000866D1">
        <w:rPr>
          <w:rFonts w:eastAsia="Times"/>
          <w:spacing w:val="-2"/>
          <w:szCs w:val="20"/>
          <w:lang w:val="es-ES_tradnl"/>
        </w:rPr>
        <w:t>68 del Reglamento,</w:t>
      </w:r>
    </w:p>
    <w:p w:rsidR="00BA3D77" w:rsidRPr="000866D1" w:rsidRDefault="00BA3D77" w:rsidP="0011068B">
      <w:pPr>
        <w:tabs>
          <w:tab w:val="left" w:pos="567"/>
        </w:tabs>
        <w:spacing w:before="100" w:after="100" w:line="240" w:lineRule="auto"/>
        <w:jc w:val="both"/>
        <w:rPr>
          <w:rFonts w:eastAsia="Times"/>
          <w:b/>
          <w:spacing w:val="-2"/>
          <w:szCs w:val="20"/>
          <w:lang w:val="es-ES_tradnl"/>
        </w:rPr>
      </w:pPr>
      <w:r w:rsidRPr="000866D1">
        <w:rPr>
          <w:rFonts w:eastAsia="Times"/>
          <w:spacing w:val="-2"/>
          <w:szCs w:val="20"/>
          <w:lang w:val="es-ES_tradnl"/>
        </w:rPr>
        <w:br/>
      </w:r>
      <w:r w:rsidRPr="000866D1">
        <w:rPr>
          <w:rFonts w:eastAsia="Times"/>
          <w:b/>
          <w:spacing w:val="-2"/>
          <w:szCs w:val="20"/>
          <w:lang w:val="es-ES_tradnl"/>
        </w:rPr>
        <w:t>DECIDE:</w:t>
      </w:r>
    </w:p>
    <w:p w:rsidR="00BA3D77" w:rsidRPr="000866D1" w:rsidRDefault="00BA3D77" w:rsidP="0011068B">
      <w:pPr>
        <w:tabs>
          <w:tab w:val="left" w:pos="567"/>
        </w:tabs>
        <w:spacing w:before="100" w:after="100" w:line="240" w:lineRule="auto"/>
        <w:jc w:val="both"/>
        <w:rPr>
          <w:rFonts w:eastAsia="Times"/>
          <w:spacing w:val="-2"/>
          <w:szCs w:val="20"/>
          <w:lang w:val="es-ES_tradnl"/>
        </w:rPr>
      </w:pPr>
    </w:p>
    <w:p w:rsidR="00BA3D77" w:rsidRPr="000866D1" w:rsidRDefault="00BA3D77" w:rsidP="0011068B">
      <w:pPr>
        <w:tabs>
          <w:tab w:val="left" w:pos="567"/>
          <w:tab w:val="center" w:pos="4252"/>
          <w:tab w:val="right" w:pos="8504"/>
        </w:tabs>
        <w:spacing w:before="100" w:after="100" w:line="240" w:lineRule="auto"/>
        <w:jc w:val="both"/>
        <w:rPr>
          <w:rFonts w:eastAsia="Times"/>
          <w:spacing w:val="-2"/>
          <w:szCs w:val="20"/>
          <w:lang w:val="es-ES_tradnl"/>
        </w:rPr>
      </w:pPr>
      <w:r w:rsidRPr="000866D1">
        <w:rPr>
          <w:rFonts w:eastAsia="Times"/>
          <w:spacing w:val="-2"/>
          <w:szCs w:val="20"/>
          <w:lang w:val="es-ES_tradnl"/>
        </w:rPr>
        <w:t xml:space="preserve">Por </w:t>
      </w:r>
      <w:r w:rsidR="00C32298">
        <w:rPr>
          <w:rFonts w:eastAsia="Times"/>
          <w:spacing w:val="-2"/>
          <w:szCs w:val="20"/>
          <w:lang w:val="es-ES_tradnl"/>
        </w:rPr>
        <w:t>unanimidad</w:t>
      </w:r>
      <w:r w:rsidRPr="000866D1">
        <w:rPr>
          <w:rFonts w:eastAsia="Times"/>
          <w:spacing w:val="-2"/>
          <w:szCs w:val="20"/>
          <w:lang w:val="es-ES_tradnl"/>
        </w:rPr>
        <w:t>,</w:t>
      </w:r>
    </w:p>
    <w:p w:rsidR="00062DDF" w:rsidRPr="000866D1" w:rsidRDefault="00062DDF" w:rsidP="0011068B">
      <w:pPr>
        <w:tabs>
          <w:tab w:val="left" w:pos="567"/>
        </w:tabs>
        <w:spacing w:before="100" w:after="100" w:line="240" w:lineRule="auto"/>
        <w:jc w:val="both"/>
        <w:rPr>
          <w:rFonts w:eastAsia="Times"/>
          <w:spacing w:val="-2"/>
          <w:szCs w:val="20"/>
          <w:lang w:val="es-ES_tradnl"/>
        </w:rPr>
      </w:pPr>
    </w:p>
    <w:p w:rsidR="004D1B91" w:rsidRPr="000866D1" w:rsidRDefault="00BA3D77" w:rsidP="0011068B">
      <w:pPr>
        <w:pStyle w:val="ListParagraph"/>
        <w:numPr>
          <w:ilvl w:val="0"/>
          <w:numId w:val="6"/>
        </w:numPr>
        <w:tabs>
          <w:tab w:val="left" w:pos="567"/>
        </w:tabs>
        <w:spacing w:before="100" w:after="100" w:line="240" w:lineRule="auto"/>
        <w:ind w:left="0" w:firstLine="0"/>
        <w:contextualSpacing w:val="0"/>
        <w:jc w:val="both"/>
        <w:rPr>
          <w:rFonts w:eastAsia="Times New Roman"/>
          <w:spacing w:val="-2"/>
          <w:szCs w:val="20"/>
          <w:lang w:val="es-ES_tradnl" w:eastAsia="es-ES"/>
        </w:rPr>
      </w:pPr>
      <w:r w:rsidRPr="000866D1">
        <w:rPr>
          <w:rFonts w:eastAsia="Times New Roman"/>
          <w:spacing w:val="-2"/>
          <w:szCs w:val="20"/>
          <w:lang w:val="es-ES_tradnl" w:eastAsia="es-ES"/>
        </w:rPr>
        <w:t xml:space="preserve">Declarar </w:t>
      </w:r>
      <w:r w:rsidR="004D1B91" w:rsidRPr="000866D1">
        <w:rPr>
          <w:rFonts w:eastAsia="Times New Roman"/>
          <w:spacing w:val="-2"/>
          <w:szCs w:val="20"/>
          <w:lang w:val="es-ES_tradnl" w:eastAsia="es-ES"/>
        </w:rPr>
        <w:t xml:space="preserve">admisible </w:t>
      </w:r>
      <w:r w:rsidR="008706CD" w:rsidRPr="000866D1">
        <w:rPr>
          <w:rFonts w:eastAsia="Times New Roman"/>
          <w:spacing w:val="-2"/>
          <w:szCs w:val="20"/>
          <w:lang w:val="es-ES_tradnl" w:eastAsia="es-ES"/>
        </w:rPr>
        <w:t>la solicitud</w:t>
      </w:r>
      <w:r w:rsidR="004D1B91" w:rsidRPr="000866D1">
        <w:rPr>
          <w:rFonts w:eastAsia="Times New Roman"/>
          <w:spacing w:val="-2"/>
          <w:szCs w:val="20"/>
          <w:lang w:val="es-ES_tradnl" w:eastAsia="es-ES"/>
        </w:rPr>
        <w:t xml:space="preserve"> de interpretación de la Sentencia de excepción preliminar, fondo, reparaciones y costas en el caso </w:t>
      </w:r>
      <w:r w:rsidR="008706CD" w:rsidRPr="000866D1">
        <w:rPr>
          <w:rFonts w:eastAsia="Times New Roman"/>
          <w:i/>
          <w:spacing w:val="-2"/>
          <w:szCs w:val="20"/>
          <w:lang w:val="es-ES_tradnl" w:eastAsia="es-ES"/>
        </w:rPr>
        <w:t>Wong Ho Wing</w:t>
      </w:r>
      <w:r w:rsidR="008706CD" w:rsidRPr="000866D1">
        <w:rPr>
          <w:rFonts w:eastAsia="Times New Roman"/>
          <w:spacing w:val="-2"/>
          <w:szCs w:val="20"/>
          <w:lang w:val="es-ES_tradnl" w:eastAsia="es-ES"/>
        </w:rPr>
        <w:t xml:space="preserve"> </w:t>
      </w:r>
      <w:r w:rsidR="004D1B91" w:rsidRPr="000866D1">
        <w:rPr>
          <w:rFonts w:eastAsia="Times New Roman"/>
          <w:i/>
          <w:spacing w:val="-2"/>
          <w:szCs w:val="20"/>
          <w:lang w:val="es-ES_tradnl" w:eastAsia="es-ES"/>
        </w:rPr>
        <w:t>vs. Perú</w:t>
      </w:r>
      <w:r w:rsidR="008706CD" w:rsidRPr="000866D1">
        <w:rPr>
          <w:rFonts w:eastAsia="Times New Roman"/>
          <w:spacing w:val="-2"/>
          <w:szCs w:val="20"/>
          <w:lang w:val="es-ES_tradnl" w:eastAsia="es-ES"/>
        </w:rPr>
        <w:t xml:space="preserve"> interpuesta</w:t>
      </w:r>
      <w:r w:rsidR="004D1B91" w:rsidRPr="000866D1">
        <w:rPr>
          <w:rFonts w:eastAsia="Times New Roman"/>
          <w:spacing w:val="-2"/>
          <w:szCs w:val="20"/>
          <w:lang w:val="es-ES_tradnl" w:eastAsia="es-ES"/>
        </w:rPr>
        <w:t xml:space="preserve"> por el Estado.</w:t>
      </w:r>
    </w:p>
    <w:p w:rsidR="00B6703B" w:rsidRPr="000866D1" w:rsidRDefault="00B6703B" w:rsidP="0011068B">
      <w:pPr>
        <w:pStyle w:val="ListParagraph"/>
        <w:tabs>
          <w:tab w:val="left" w:pos="567"/>
        </w:tabs>
        <w:spacing w:before="100" w:after="100" w:line="240" w:lineRule="auto"/>
        <w:ind w:left="0"/>
        <w:contextualSpacing w:val="0"/>
        <w:jc w:val="both"/>
        <w:rPr>
          <w:rFonts w:eastAsia="Times New Roman"/>
          <w:spacing w:val="-2"/>
          <w:szCs w:val="20"/>
          <w:lang w:val="es-ES_tradnl" w:eastAsia="es-ES"/>
        </w:rPr>
      </w:pPr>
    </w:p>
    <w:p w:rsidR="00BA3D77" w:rsidRPr="000866D1" w:rsidRDefault="00B6703B" w:rsidP="0011068B">
      <w:pPr>
        <w:pStyle w:val="ListParagraph"/>
        <w:numPr>
          <w:ilvl w:val="0"/>
          <w:numId w:val="6"/>
        </w:numPr>
        <w:tabs>
          <w:tab w:val="left" w:pos="567"/>
        </w:tabs>
        <w:spacing w:before="100" w:after="100" w:line="240" w:lineRule="auto"/>
        <w:ind w:left="0" w:firstLine="0"/>
        <w:contextualSpacing w:val="0"/>
        <w:jc w:val="both"/>
        <w:rPr>
          <w:rFonts w:eastAsia="Times New Roman"/>
          <w:spacing w:val="-2"/>
          <w:szCs w:val="20"/>
          <w:lang w:val="es-ES_tradnl" w:eastAsia="es-ES"/>
        </w:rPr>
      </w:pPr>
      <w:r w:rsidRPr="000866D1">
        <w:rPr>
          <w:rFonts w:eastAsia="Times New Roman"/>
          <w:spacing w:val="-2"/>
          <w:szCs w:val="20"/>
          <w:lang w:val="es-ES_tradnl" w:eastAsia="es-ES"/>
        </w:rPr>
        <w:t>Precisar</w:t>
      </w:r>
      <w:r w:rsidR="000739BB" w:rsidRPr="000866D1">
        <w:rPr>
          <w:rFonts w:eastAsia="Times New Roman"/>
          <w:spacing w:val="-2"/>
          <w:szCs w:val="20"/>
          <w:lang w:val="es-ES_tradnl" w:eastAsia="es-ES"/>
        </w:rPr>
        <w:t xml:space="preserve"> el sentido y alcance de las consideraciones de la Corte relativas a </w:t>
      </w:r>
      <w:r w:rsidR="008706CD" w:rsidRPr="000866D1">
        <w:rPr>
          <w:rFonts w:eastAsia="Times New Roman"/>
          <w:spacing w:val="-2"/>
          <w:szCs w:val="20"/>
          <w:lang w:val="es-ES_tradnl" w:eastAsia="es-ES"/>
        </w:rPr>
        <w:t xml:space="preserve">la necesidad de una revisión judicial de la decisión definitiva de extradición, </w:t>
      </w:r>
      <w:r w:rsidR="00C32298">
        <w:rPr>
          <w:rFonts w:eastAsia="Times New Roman"/>
          <w:spacing w:val="-2"/>
          <w:szCs w:val="20"/>
          <w:lang w:val="es-ES_tradnl" w:eastAsia="es-ES"/>
        </w:rPr>
        <w:t xml:space="preserve">en el sentido que </w:t>
      </w:r>
      <w:r w:rsidR="00C32298" w:rsidRPr="000866D1">
        <w:rPr>
          <w:color w:val="000000"/>
          <w:spacing w:val="-2"/>
          <w:lang w:val="es-ES"/>
        </w:rPr>
        <w:t xml:space="preserve">Perú </w:t>
      </w:r>
      <w:r w:rsidR="00C32298">
        <w:rPr>
          <w:color w:val="000000"/>
          <w:spacing w:val="-2"/>
          <w:lang w:val="es-ES"/>
        </w:rPr>
        <w:t xml:space="preserve">debe </w:t>
      </w:r>
      <w:r w:rsidR="00C32298" w:rsidRPr="000866D1">
        <w:rPr>
          <w:color w:val="000000"/>
          <w:spacing w:val="-2"/>
          <w:lang w:val="es-ES"/>
        </w:rPr>
        <w:t xml:space="preserve">permitir que </w:t>
      </w:r>
      <w:r w:rsidR="00C32298">
        <w:rPr>
          <w:color w:val="000000"/>
          <w:spacing w:val="-2"/>
          <w:lang w:val="es-ES"/>
        </w:rPr>
        <w:t>el señor Wong Ho Wing interponga</w:t>
      </w:r>
      <w:r w:rsidR="00C32298" w:rsidRPr="000866D1">
        <w:rPr>
          <w:color w:val="000000"/>
          <w:spacing w:val="-2"/>
          <w:lang w:val="es-ES"/>
        </w:rPr>
        <w:t>, con efectos suspensivos y en todas sus instancias, el recurso que correspond</w:t>
      </w:r>
      <w:r w:rsidR="00C32298">
        <w:rPr>
          <w:color w:val="000000"/>
          <w:spacing w:val="-2"/>
          <w:lang w:val="es-ES"/>
        </w:rPr>
        <w:t>a</w:t>
      </w:r>
      <w:r w:rsidR="00C32298" w:rsidRPr="000866D1">
        <w:rPr>
          <w:color w:val="000000"/>
          <w:spacing w:val="-2"/>
          <w:lang w:val="es-ES"/>
        </w:rPr>
        <w:t xml:space="preserve"> contra la decisión del Poder Ejecutivo que decida sobre la procedencia o no de la extradición</w:t>
      </w:r>
      <w:r w:rsidR="00C32298">
        <w:rPr>
          <w:color w:val="000000"/>
          <w:spacing w:val="-2"/>
          <w:lang w:val="es-ES"/>
        </w:rPr>
        <w:t xml:space="preserve">, </w:t>
      </w:r>
      <w:r w:rsidR="004F767F" w:rsidRPr="000866D1">
        <w:rPr>
          <w:rFonts w:eastAsia="Times New Roman"/>
          <w:spacing w:val="-2"/>
          <w:szCs w:val="20"/>
          <w:lang w:val="es-ES_tradnl" w:eastAsia="es-ES"/>
        </w:rPr>
        <w:t xml:space="preserve">de conformidad con los párrafos </w:t>
      </w:r>
      <w:r w:rsidR="00560F6A" w:rsidRPr="000866D1">
        <w:rPr>
          <w:rFonts w:eastAsia="Times New Roman"/>
          <w:spacing w:val="-2"/>
          <w:szCs w:val="20"/>
          <w:lang w:val="es-ES_tradnl" w:eastAsia="es-ES"/>
        </w:rPr>
        <w:fldChar w:fldCharType="begin"/>
      </w:r>
      <w:r w:rsidR="00560F6A" w:rsidRPr="000866D1">
        <w:rPr>
          <w:rFonts w:eastAsia="Times New Roman"/>
          <w:spacing w:val="-2"/>
          <w:szCs w:val="20"/>
          <w:lang w:val="es-ES_tradnl" w:eastAsia="es-ES"/>
        </w:rPr>
        <w:instrText xml:space="preserve"> REF _Ref445748262 \r \h </w:instrText>
      </w:r>
      <w:r w:rsidR="000866D1">
        <w:rPr>
          <w:rFonts w:eastAsia="Times New Roman"/>
          <w:spacing w:val="-2"/>
          <w:szCs w:val="20"/>
          <w:lang w:val="es-ES_tradnl" w:eastAsia="es-ES"/>
        </w:rPr>
        <w:instrText xml:space="preserve"> \* MERGEFORMAT </w:instrText>
      </w:r>
      <w:r w:rsidR="00560F6A" w:rsidRPr="000866D1">
        <w:rPr>
          <w:rFonts w:eastAsia="Times New Roman"/>
          <w:spacing w:val="-2"/>
          <w:szCs w:val="20"/>
          <w:lang w:val="es-ES_tradnl" w:eastAsia="es-ES"/>
        </w:rPr>
      </w:r>
      <w:r w:rsidR="00560F6A" w:rsidRPr="000866D1">
        <w:rPr>
          <w:rFonts w:eastAsia="Times New Roman"/>
          <w:spacing w:val="-2"/>
          <w:szCs w:val="20"/>
          <w:lang w:val="es-ES_tradnl" w:eastAsia="es-ES"/>
        </w:rPr>
        <w:fldChar w:fldCharType="separate"/>
      </w:r>
      <w:r w:rsidR="00C32298">
        <w:rPr>
          <w:rFonts w:eastAsia="Times New Roman"/>
          <w:spacing w:val="-2"/>
          <w:szCs w:val="20"/>
          <w:lang w:val="es-ES_tradnl" w:eastAsia="es-ES"/>
        </w:rPr>
        <w:t>16</w:t>
      </w:r>
      <w:r w:rsidR="00560F6A" w:rsidRPr="000866D1">
        <w:rPr>
          <w:rFonts w:eastAsia="Times New Roman"/>
          <w:spacing w:val="-2"/>
          <w:szCs w:val="20"/>
          <w:lang w:val="es-ES_tradnl" w:eastAsia="es-ES"/>
        </w:rPr>
        <w:fldChar w:fldCharType="end"/>
      </w:r>
      <w:r w:rsidR="008706CD" w:rsidRPr="000866D1">
        <w:rPr>
          <w:rFonts w:eastAsia="Times New Roman"/>
          <w:spacing w:val="-2"/>
          <w:szCs w:val="20"/>
          <w:lang w:val="es-ES_tradnl" w:eastAsia="es-ES"/>
        </w:rPr>
        <w:t xml:space="preserve"> </w:t>
      </w:r>
      <w:r w:rsidR="00145ED7">
        <w:rPr>
          <w:rFonts w:eastAsia="Times New Roman"/>
          <w:spacing w:val="-2"/>
          <w:szCs w:val="20"/>
          <w:lang w:val="es-ES_tradnl" w:eastAsia="es-ES"/>
        </w:rPr>
        <w:t>y</w:t>
      </w:r>
      <w:r w:rsidR="004745A3" w:rsidRPr="000866D1">
        <w:rPr>
          <w:rFonts w:eastAsia="Times New Roman"/>
          <w:spacing w:val="-2"/>
          <w:szCs w:val="20"/>
          <w:lang w:val="es-ES_tradnl" w:eastAsia="es-ES"/>
        </w:rPr>
        <w:t xml:space="preserve"> </w:t>
      </w:r>
      <w:r w:rsidR="00C32298">
        <w:rPr>
          <w:rFonts w:eastAsia="Times New Roman"/>
          <w:spacing w:val="-2"/>
          <w:szCs w:val="20"/>
          <w:lang w:val="es-ES_tradnl" w:eastAsia="es-ES"/>
        </w:rPr>
        <w:fldChar w:fldCharType="begin"/>
      </w:r>
      <w:r w:rsidR="00C32298">
        <w:rPr>
          <w:rFonts w:eastAsia="Times New Roman"/>
          <w:spacing w:val="-2"/>
          <w:szCs w:val="20"/>
          <w:lang w:val="es-ES_tradnl" w:eastAsia="es-ES"/>
        </w:rPr>
        <w:instrText xml:space="preserve"> REF _Ref454372741 \r \h </w:instrText>
      </w:r>
      <w:r w:rsidR="00C32298">
        <w:rPr>
          <w:rFonts w:eastAsia="Times New Roman"/>
          <w:spacing w:val="-2"/>
          <w:szCs w:val="20"/>
          <w:lang w:val="es-ES_tradnl" w:eastAsia="es-ES"/>
        </w:rPr>
      </w:r>
      <w:r w:rsidR="00C32298">
        <w:rPr>
          <w:rFonts w:eastAsia="Times New Roman"/>
          <w:spacing w:val="-2"/>
          <w:szCs w:val="20"/>
          <w:lang w:val="es-ES_tradnl" w:eastAsia="es-ES"/>
        </w:rPr>
        <w:fldChar w:fldCharType="separate"/>
      </w:r>
      <w:r w:rsidR="00C32298">
        <w:rPr>
          <w:rFonts w:eastAsia="Times New Roman"/>
          <w:spacing w:val="-2"/>
          <w:szCs w:val="20"/>
          <w:lang w:val="es-ES_tradnl" w:eastAsia="es-ES"/>
        </w:rPr>
        <w:t>17</w:t>
      </w:r>
      <w:r w:rsidR="00C32298">
        <w:rPr>
          <w:rFonts w:eastAsia="Times New Roman"/>
          <w:spacing w:val="-2"/>
          <w:szCs w:val="20"/>
          <w:lang w:val="es-ES_tradnl" w:eastAsia="es-ES"/>
        </w:rPr>
        <w:fldChar w:fldCharType="end"/>
      </w:r>
      <w:r w:rsidR="00C32298">
        <w:rPr>
          <w:rFonts w:eastAsia="Times New Roman"/>
          <w:spacing w:val="-2"/>
          <w:szCs w:val="20"/>
          <w:lang w:val="es-ES_tradnl" w:eastAsia="es-ES"/>
        </w:rPr>
        <w:t xml:space="preserve"> </w:t>
      </w:r>
      <w:r w:rsidR="006C44F4" w:rsidRPr="000866D1">
        <w:rPr>
          <w:rFonts w:eastAsia="Times New Roman"/>
          <w:spacing w:val="-2"/>
          <w:szCs w:val="20"/>
          <w:lang w:val="es-ES_tradnl" w:eastAsia="es-ES"/>
        </w:rPr>
        <w:t>de la presente s</w:t>
      </w:r>
      <w:r w:rsidR="004F767F" w:rsidRPr="000866D1">
        <w:rPr>
          <w:rFonts w:eastAsia="Times New Roman"/>
          <w:spacing w:val="-2"/>
          <w:szCs w:val="20"/>
          <w:lang w:val="es-ES_tradnl" w:eastAsia="es-ES"/>
        </w:rPr>
        <w:t>entencia de interpretación.</w:t>
      </w:r>
    </w:p>
    <w:p w:rsidR="009E1889" w:rsidRPr="000866D1" w:rsidRDefault="009E1889" w:rsidP="0011068B">
      <w:pPr>
        <w:pStyle w:val="ListParagraph"/>
        <w:tabs>
          <w:tab w:val="left" w:pos="567"/>
        </w:tabs>
        <w:spacing w:before="100" w:after="100" w:line="240" w:lineRule="auto"/>
        <w:ind w:left="0"/>
        <w:contextualSpacing w:val="0"/>
        <w:jc w:val="both"/>
        <w:rPr>
          <w:rFonts w:eastAsia="Times New Roman"/>
          <w:spacing w:val="-2"/>
          <w:lang w:eastAsia="es-ES"/>
        </w:rPr>
      </w:pPr>
    </w:p>
    <w:p w:rsidR="001078FB" w:rsidRDefault="00B6703B" w:rsidP="001078FB">
      <w:pPr>
        <w:pStyle w:val="ListParagraph"/>
        <w:numPr>
          <w:ilvl w:val="0"/>
          <w:numId w:val="6"/>
        </w:numPr>
        <w:tabs>
          <w:tab w:val="left" w:pos="567"/>
        </w:tabs>
        <w:spacing w:before="100" w:after="100" w:line="240" w:lineRule="auto"/>
        <w:ind w:left="0" w:firstLine="0"/>
        <w:contextualSpacing w:val="0"/>
        <w:jc w:val="both"/>
        <w:rPr>
          <w:rFonts w:eastAsia="Batang"/>
          <w:spacing w:val="-2"/>
          <w:szCs w:val="20"/>
          <w:lang w:val="es-ES_tradnl"/>
        </w:rPr>
      </w:pPr>
      <w:r w:rsidRPr="000866D1">
        <w:rPr>
          <w:rFonts w:eastAsia="Batang"/>
          <w:spacing w:val="-2"/>
          <w:szCs w:val="20"/>
          <w:lang w:val="es-ES_tradnl"/>
        </w:rPr>
        <w:t xml:space="preserve">Disponer que la Secretaría de la Corte notifique la presente </w:t>
      </w:r>
      <w:r w:rsidR="006C44F4" w:rsidRPr="000866D1">
        <w:rPr>
          <w:rFonts w:eastAsia="Batang"/>
          <w:spacing w:val="-2"/>
          <w:szCs w:val="20"/>
          <w:lang w:val="es-ES_tradnl"/>
        </w:rPr>
        <w:t>s</w:t>
      </w:r>
      <w:r w:rsidRPr="000866D1">
        <w:rPr>
          <w:rFonts w:eastAsia="Batang"/>
          <w:spacing w:val="-2"/>
          <w:szCs w:val="20"/>
          <w:lang w:val="es-ES_tradnl"/>
        </w:rPr>
        <w:t xml:space="preserve">entencia </w:t>
      </w:r>
      <w:r w:rsidR="006C44F4" w:rsidRPr="000866D1">
        <w:rPr>
          <w:rFonts w:eastAsia="Times New Roman"/>
          <w:spacing w:val="-2"/>
          <w:szCs w:val="20"/>
          <w:lang w:val="es-ES_tradnl" w:eastAsia="es-ES"/>
        </w:rPr>
        <w:t>de interpretación</w:t>
      </w:r>
      <w:r w:rsidR="006C44F4" w:rsidRPr="000866D1">
        <w:rPr>
          <w:rFonts w:eastAsia="Batang"/>
          <w:spacing w:val="-2"/>
          <w:szCs w:val="20"/>
          <w:lang w:val="es-ES_tradnl"/>
        </w:rPr>
        <w:t xml:space="preserve"> </w:t>
      </w:r>
      <w:r w:rsidRPr="000866D1">
        <w:rPr>
          <w:rFonts w:eastAsia="Batang"/>
          <w:spacing w:val="-2"/>
          <w:szCs w:val="20"/>
          <w:lang w:val="es-ES_tradnl"/>
        </w:rPr>
        <w:t>a la República de</w:t>
      </w:r>
      <w:r w:rsidR="00787117" w:rsidRPr="000866D1">
        <w:rPr>
          <w:rFonts w:eastAsia="Batang"/>
          <w:spacing w:val="-2"/>
          <w:szCs w:val="20"/>
          <w:lang w:val="es-ES_tradnl"/>
        </w:rPr>
        <w:t>l Perú</w:t>
      </w:r>
      <w:r w:rsidRPr="000866D1">
        <w:rPr>
          <w:rFonts w:eastAsia="Batang"/>
          <w:spacing w:val="-2"/>
          <w:szCs w:val="20"/>
          <w:lang w:val="es-ES_tradnl"/>
        </w:rPr>
        <w:t>, a</w:t>
      </w:r>
      <w:r w:rsidR="008706CD" w:rsidRPr="000866D1">
        <w:rPr>
          <w:rFonts w:eastAsia="Batang"/>
          <w:spacing w:val="-2"/>
          <w:szCs w:val="20"/>
          <w:lang w:val="es-ES_tradnl"/>
        </w:rPr>
        <w:t>l</w:t>
      </w:r>
      <w:r w:rsidRPr="000866D1">
        <w:rPr>
          <w:rFonts w:eastAsia="Batang"/>
          <w:spacing w:val="-2"/>
          <w:szCs w:val="20"/>
          <w:lang w:val="es-ES_tradnl"/>
        </w:rPr>
        <w:t xml:space="preserve"> </w:t>
      </w:r>
      <w:r w:rsidR="00787117" w:rsidRPr="000866D1">
        <w:rPr>
          <w:rFonts w:eastAsia="Batang"/>
          <w:spacing w:val="-2"/>
          <w:szCs w:val="20"/>
          <w:lang w:val="es-ES_tradnl"/>
        </w:rPr>
        <w:t>representante de</w:t>
      </w:r>
      <w:r w:rsidR="008706CD" w:rsidRPr="000866D1">
        <w:rPr>
          <w:rFonts w:eastAsia="Batang"/>
          <w:spacing w:val="-2"/>
          <w:szCs w:val="20"/>
          <w:lang w:val="es-ES_tradnl"/>
        </w:rPr>
        <w:t>l señor Wong Ho Wing</w:t>
      </w:r>
      <w:r w:rsidR="00787117" w:rsidRPr="000866D1">
        <w:rPr>
          <w:rFonts w:eastAsia="Batang"/>
          <w:spacing w:val="-2"/>
          <w:szCs w:val="20"/>
          <w:lang w:val="es-ES_tradnl"/>
        </w:rPr>
        <w:t xml:space="preserve"> </w:t>
      </w:r>
      <w:r w:rsidRPr="000866D1">
        <w:rPr>
          <w:rFonts w:eastAsia="Batang"/>
          <w:spacing w:val="-2"/>
          <w:szCs w:val="20"/>
          <w:lang w:val="es-ES_tradnl"/>
        </w:rPr>
        <w:t>y a la Comisión Interamericana de Derechos Humanos.</w:t>
      </w:r>
    </w:p>
    <w:p w:rsidR="001078FB" w:rsidRPr="00D13333" w:rsidRDefault="001078FB" w:rsidP="001078FB">
      <w:pPr>
        <w:keepNext/>
        <w:jc w:val="both"/>
        <w:outlineLvl w:val="0"/>
      </w:pPr>
      <w:r w:rsidRPr="00D13333">
        <w:lastRenderedPageBreak/>
        <w:t xml:space="preserve">Sentencia de Interpretación de la Sentencia de </w:t>
      </w:r>
      <w:r w:rsidRPr="00D13333">
        <w:rPr>
          <w:snapToGrid w:val="0"/>
        </w:rPr>
        <w:t>Excepción Preliminar, Fondo, Reparaciones y Costas.</w:t>
      </w:r>
      <w:r w:rsidRPr="00D13333">
        <w:rPr>
          <w:lang w:val="es-ES"/>
        </w:rPr>
        <w:t xml:space="preserve"> </w:t>
      </w:r>
      <w:r w:rsidRPr="00D13333">
        <w:t xml:space="preserve">Caso Wong Ho Wing Vs. Perú. </w:t>
      </w:r>
    </w:p>
    <w:p w:rsidR="001078FB" w:rsidRPr="00D13333" w:rsidRDefault="001078FB" w:rsidP="001078FB">
      <w:pPr>
        <w:jc w:val="both"/>
      </w:pPr>
    </w:p>
    <w:p w:rsidR="001078FB" w:rsidRPr="00D13333" w:rsidRDefault="001078FB" w:rsidP="001078FB">
      <w:pPr>
        <w:jc w:val="both"/>
      </w:pPr>
    </w:p>
    <w:p w:rsidR="001078FB" w:rsidRPr="00D13333" w:rsidRDefault="001078FB" w:rsidP="001078FB">
      <w:pPr>
        <w:jc w:val="center"/>
        <w:rPr>
          <w:lang w:val="es-ES"/>
        </w:rPr>
      </w:pPr>
      <w:r w:rsidRPr="00D13333">
        <w:rPr>
          <w:lang w:val="es-ES"/>
        </w:rPr>
        <w:t>Roberto F. Caldas</w:t>
      </w:r>
    </w:p>
    <w:p w:rsidR="001078FB" w:rsidRPr="00D13333" w:rsidRDefault="001078FB" w:rsidP="001078FB">
      <w:pPr>
        <w:jc w:val="center"/>
        <w:rPr>
          <w:lang w:val="es-ES"/>
        </w:rPr>
      </w:pPr>
      <w:r w:rsidRPr="00D13333">
        <w:rPr>
          <w:lang w:val="es-ES"/>
        </w:rPr>
        <w:t xml:space="preserve">Presidente </w:t>
      </w:r>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Eduardo Ferrer Mac-Gregor Poisot</w:t>
      </w:r>
      <w:r w:rsidRPr="00D13333">
        <w:rPr>
          <w:lang w:val="es-ES"/>
        </w:rPr>
        <w:tab/>
      </w:r>
      <w:r w:rsidRPr="00D13333">
        <w:rPr>
          <w:lang w:val="es-ES"/>
        </w:rPr>
        <w:tab/>
      </w:r>
      <w:r w:rsidRPr="00D13333">
        <w:rPr>
          <w:lang w:val="es-ES"/>
        </w:rPr>
        <w:tab/>
      </w:r>
      <w:r w:rsidRPr="00D13333">
        <w:rPr>
          <w:lang w:val="es-ES"/>
        </w:rPr>
        <w:tab/>
        <w:t xml:space="preserve">        Manuel E. Ventura Robles</w:t>
      </w:r>
    </w:p>
    <w:p w:rsidR="001078FB" w:rsidRPr="00D13333" w:rsidRDefault="001078FB" w:rsidP="001078FB">
      <w:pPr>
        <w:jc w:val="both"/>
        <w:rPr>
          <w:lang w:val="es-ES"/>
        </w:rPr>
      </w:pPr>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Eduardo Vio Grossi</w:t>
      </w:r>
      <w:r w:rsidRPr="00D13333">
        <w:rPr>
          <w:lang w:val="es-ES"/>
        </w:rPr>
        <w:tab/>
      </w:r>
      <w:r w:rsidRPr="00D13333">
        <w:rPr>
          <w:lang w:val="es-ES"/>
        </w:rPr>
        <w:tab/>
      </w:r>
      <w:r w:rsidRPr="00D13333">
        <w:rPr>
          <w:lang w:val="es-ES"/>
        </w:rPr>
        <w:tab/>
      </w:r>
      <w:r w:rsidRPr="00D13333">
        <w:rPr>
          <w:lang w:val="es-ES"/>
        </w:rPr>
        <w:tab/>
      </w:r>
      <w:r w:rsidRPr="00D13333">
        <w:rPr>
          <w:lang w:val="es-ES"/>
        </w:rPr>
        <w:tab/>
        <w:t xml:space="preserve">           Humberto Antonio Sierra Porto</w:t>
      </w:r>
    </w:p>
    <w:p w:rsidR="001078FB" w:rsidRPr="00D13333" w:rsidRDefault="001078FB" w:rsidP="001078FB">
      <w:pPr>
        <w:jc w:val="both"/>
        <w:rPr>
          <w:lang w:val="es-ES"/>
        </w:rPr>
      </w:pPr>
    </w:p>
    <w:p w:rsidR="001078FB" w:rsidRPr="00D13333" w:rsidRDefault="001078FB" w:rsidP="001078FB">
      <w:pPr>
        <w:rPr>
          <w:lang w:val="es-ES"/>
        </w:rPr>
      </w:pPr>
    </w:p>
    <w:p w:rsidR="001078FB" w:rsidRPr="00D13333" w:rsidRDefault="001078FB" w:rsidP="001078FB">
      <w:pPr>
        <w:jc w:val="both"/>
      </w:pPr>
    </w:p>
    <w:p w:rsidR="001078FB" w:rsidRPr="00D13333" w:rsidRDefault="001078FB" w:rsidP="001078FB">
      <w:pPr>
        <w:jc w:val="both"/>
        <w:rPr>
          <w:lang w:val="es-ES"/>
        </w:rPr>
      </w:pPr>
    </w:p>
    <w:p w:rsidR="001078FB" w:rsidRPr="00D13333" w:rsidRDefault="001078FB" w:rsidP="001078FB">
      <w:pPr>
        <w:jc w:val="center"/>
        <w:rPr>
          <w:lang w:val="es-ES"/>
        </w:rPr>
      </w:pPr>
      <w:r w:rsidRPr="00D13333">
        <w:rPr>
          <w:lang w:val="es-ES"/>
        </w:rPr>
        <w:t>Pablo Saavedra Alessandri</w:t>
      </w:r>
    </w:p>
    <w:p w:rsidR="001078FB" w:rsidRPr="00D13333" w:rsidRDefault="001078FB" w:rsidP="001078FB">
      <w:pPr>
        <w:jc w:val="center"/>
        <w:rPr>
          <w:lang w:val="es-ES"/>
        </w:rPr>
      </w:pPr>
      <w:r w:rsidRPr="00D13333">
        <w:rPr>
          <w:lang w:val="es-ES"/>
        </w:rPr>
        <w:t>Secretario</w:t>
      </w:r>
    </w:p>
    <w:p w:rsidR="001078FB" w:rsidRPr="00D13333" w:rsidRDefault="001078FB" w:rsidP="001078FB">
      <w:pPr>
        <w:pStyle w:val="FootnoteText"/>
        <w:rPr>
          <w:lang w:val="es-ES"/>
        </w:rPr>
      </w:pPr>
    </w:p>
    <w:p w:rsidR="001078FB" w:rsidRPr="00D13333" w:rsidRDefault="001078FB" w:rsidP="001078FB">
      <w:pPr>
        <w:pStyle w:val="FootnoteText"/>
        <w:rPr>
          <w:lang w:val="es-ES"/>
        </w:rPr>
      </w:pPr>
    </w:p>
    <w:p w:rsidR="001078FB" w:rsidRPr="00D13333" w:rsidRDefault="001078FB" w:rsidP="001078FB">
      <w:pPr>
        <w:jc w:val="both"/>
        <w:rPr>
          <w:lang w:val="es-ES"/>
        </w:rPr>
      </w:pPr>
      <w:r w:rsidRPr="00D13333">
        <w:rPr>
          <w:lang w:val="es-ES"/>
        </w:rPr>
        <w:t>Comuníquese y ejecútese,</w:t>
      </w:r>
    </w:p>
    <w:p w:rsidR="001078FB" w:rsidRPr="00D13333" w:rsidRDefault="001078FB" w:rsidP="001078FB">
      <w:pPr>
        <w:jc w:val="both"/>
        <w:rPr>
          <w:lang w:val="es-ES"/>
        </w:rPr>
      </w:pPr>
    </w:p>
    <w:p w:rsidR="001078FB" w:rsidRPr="00D13333" w:rsidRDefault="001078FB" w:rsidP="001078FB">
      <w:pPr>
        <w:jc w:val="both"/>
      </w:pPr>
    </w:p>
    <w:p w:rsidR="001078FB" w:rsidRDefault="001078FB" w:rsidP="001078FB">
      <w:pPr>
        <w:ind w:left="4956"/>
        <w:jc w:val="center"/>
        <w:rPr>
          <w:lang w:val="es-ES"/>
        </w:rPr>
      </w:pPr>
      <w:r>
        <w:rPr>
          <w:lang w:val="es-ES"/>
        </w:rPr>
        <w:t>Roberto F. Caldas</w:t>
      </w:r>
    </w:p>
    <w:p w:rsidR="001078FB" w:rsidRPr="00D13333" w:rsidRDefault="001078FB" w:rsidP="001078FB">
      <w:pPr>
        <w:ind w:left="4956"/>
        <w:jc w:val="center"/>
        <w:rPr>
          <w:lang w:val="es-ES"/>
        </w:rPr>
      </w:pPr>
      <w:r w:rsidRPr="00D13333">
        <w:rPr>
          <w:lang w:val="es-ES"/>
        </w:rPr>
        <w:t>Presidente</w:t>
      </w:r>
    </w:p>
    <w:p w:rsidR="001078FB" w:rsidRPr="00D13333" w:rsidRDefault="001078FB" w:rsidP="001078FB">
      <w:pPr>
        <w:jc w:val="both"/>
        <w:rPr>
          <w:lang w:val="es-ES"/>
        </w:rPr>
      </w:pPr>
      <w:bookmarkStart w:id="83" w:name="_GoBack"/>
      <w:bookmarkEnd w:id="83"/>
    </w:p>
    <w:p w:rsidR="001078FB" w:rsidRPr="00D13333" w:rsidRDefault="001078FB" w:rsidP="001078FB">
      <w:pPr>
        <w:jc w:val="both"/>
        <w:rPr>
          <w:lang w:val="es-ES"/>
        </w:rPr>
      </w:pPr>
    </w:p>
    <w:p w:rsidR="001078FB" w:rsidRPr="00D13333" w:rsidRDefault="001078FB" w:rsidP="001078FB">
      <w:pPr>
        <w:jc w:val="both"/>
        <w:rPr>
          <w:lang w:val="es-ES"/>
        </w:rPr>
      </w:pPr>
      <w:r w:rsidRPr="00D13333">
        <w:rPr>
          <w:lang w:val="es-ES"/>
        </w:rPr>
        <w:t>Pablo Saavedra Alessandri</w:t>
      </w:r>
    </w:p>
    <w:p w:rsidR="001078FB" w:rsidRPr="00D13333" w:rsidRDefault="001078FB" w:rsidP="001078FB">
      <w:r w:rsidRPr="00D13333">
        <w:rPr>
          <w:lang w:val="es-ES"/>
        </w:rPr>
        <w:tab/>
      </w:r>
      <w:r w:rsidRPr="00D13333">
        <w:t>Secretario</w:t>
      </w:r>
    </w:p>
    <w:p w:rsidR="001078FB" w:rsidRPr="001078FB" w:rsidRDefault="001078FB" w:rsidP="001078FB">
      <w:pPr>
        <w:tabs>
          <w:tab w:val="left" w:pos="567"/>
        </w:tabs>
        <w:spacing w:before="100" w:after="100" w:line="240" w:lineRule="auto"/>
        <w:jc w:val="both"/>
        <w:rPr>
          <w:rFonts w:eastAsia="Batang"/>
          <w:spacing w:val="-2"/>
          <w:szCs w:val="20"/>
          <w:lang w:val="es-ES_tradnl"/>
        </w:rPr>
      </w:pPr>
    </w:p>
    <w:sectPr w:rsidR="001078FB" w:rsidRPr="001078FB" w:rsidSect="00C32298">
      <w:headerReference w:type="default" r:id="rId9"/>
      <w:pgSz w:w="12240" w:h="15840"/>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DE" w:rsidRDefault="003900DE" w:rsidP="00970448">
      <w:pPr>
        <w:spacing w:after="0" w:line="240" w:lineRule="auto"/>
      </w:pPr>
      <w:r>
        <w:separator/>
      </w:r>
    </w:p>
  </w:endnote>
  <w:endnote w:type="continuationSeparator" w:id="0">
    <w:p w:rsidR="003900DE" w:rsidRDefault="003900DE" w:rsidP="0097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DE" w:rsidRDefault="003900DE" w:rsidP="00970448">
      <w:pPr>
        <w:spacing w:after="0" w:line="240" w:lineRule="auto"/>
      </w:pPr>
      <w:r>
        <w:separator/>
      </w:r>
    </w:p>
  </w:footnote>
  <w:footnote w:type="continuationSeparator" w:id="0">
    <w:p w:rsidR="003900DE" w:rsidRDefault="003900DE" w:rsidP="00970448">
      <w:pPr>
        <w:spacing w:after="0" w:line="240" w:lineRule="auto"/>
      </w:pPr>
      <w:r>
        <w:continuationSeparator/>
      </w:r>
    </w:p>
  </w:footnote>
  <w:footnote w:id="1">
    <w:p w:rsidR="007F6D48" w:rsidRPr="00501F80" w:rsidRDefault="007F6D48" w:rsidP="00501F80">
      <w:pPr>
        <w:pStyle w:val="FootnoteText"/>
        <w:spacing w:before="120" w:after="120"/>
        <w:jc w:val="both"/>
        <w:rPr>
          <w:szCs w:val="16"/>
        </w:rPr>
      </w:pPr>
      <w:r w:rsidRPr="00501F80">
        <w:rPr>
          <w:rStyle w:val="FootnoteReference"/>
          <w:szCs w:val="16"/>
        </w:rPr>
        <w:footnoteRef/>
      </w:r>
      <w:r w:rsidRPr="00501F80">
        <w:rPr>
          <w:szCs w:val="16"/>
        </w:rPr>
        <w:t xml:space="preserve"> </w:t>
      </w:r>
      <w:r w:rsidRPr="00501F80">
        <w:rPr>
          <w:szCs w:val="16"/>
        </w:rPr>
        <w:tab/>
        <w:t xml:space="preserve">El Juez Diego García Sayán, de nacionalidad peruana, no participó en el conocimiento y deliberación del presente caso, de conformidad con lo dispuesto en el artículo 19.1 del Reglamento de la Corte. Además, el Juez Alberto Pérez Pérez, por motivos de fuerza mayor, no participó en la deliberación y firma de la presente </w:t>
      </w:r>
      <w:r w:rsidR="008206CD">
        <w:rPr>
          <w:szCs w:val="16"/>
        </w:rPr>
        <w:t>s</w:t>
      </w:r>
      <w:r w:rsidRPr="00501F80">
        <w:rPr>
          <w:szCs w:val="16"/>
        </w:rPr>
        <w:t xml:space="preserve">entencia de </w:t>
      </w:r>
      <w:r w:rsidR="008206CD">
        <w:rPr>
          <w:szCs w:val="16"/>
        </w:rPr>
        <w:t>i</w:t>
      </w:r>
      <w:r w:rsidRPr="00501F80">
        <w:rPr>
          <w:szCs w:val="16"/>
        </w:rPr>
        <w:t>nterpretación.</w:t>
      </w:r>
    </w:p>
  </w:footnote>
  <w:footnote w:id="2">
    <w:p w:rsidR="00E536CF" w:rsidRDefault="00E536CF">
      <w:pPr>
        <w:pStyle w:val="FootnoteText"/>
      </w:pPr>
      <w:r>
        <w:rPr>
          <w:rStyle w:val="FootnoteReference"/>
        </w:rPr>
        <w:footnoteRef/>
      </w:r>
      <w:r>
        <w:t xml:space="preserve"> </w:t>
      </w:r>
      <w:r>
        <w:tab/>
        <w:t xml:space="preserve">El 22 de febrero de 2016 el señor Wong Ho Wing nombró </w:t>
      </w:r>
      <w:r w:rsidR="002A5CFC">
        <w:t>un</w:t>
      </w:r>
      <w:r>
        <w:t xml:space="preserve"> nuevo representante ante la Corte</w:t>
      </w:r>
      <w:r w:rsidR="002A5CFC">
        <w:t>.</w:t>
      </w:r>
      <w:r>
        <w:t xml:space="preserve"> </w:t>
      </w:r>
      <w:r w:rsidR="002A5CFC">
        <w:t>E</w:t>
      </w:r>
      <w:r>
        <w:t xml:space="preserve">l señor Miguel Ángel Soria Fuerte ejerció dicha representación en este procedimiento de interpretación. </w:t>
      </w:r>
    </w:p>
  </w:footnote>
  <w:footnote w:id="3">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Loayza Tamayo Vs. Perú. Interpretación de la Sentencia de Fondo. </w:t>
      </w:r>
      <w:r w:rsidR="00964560" w:rsidRPr="00501F80">
        <w:rPr>
          <w:szCs w:val="16"/>
        </w:rPr>
        <w:t>Resolución de la Corte de 8 de marzo de 1998. Serie C No. 47, párr. 16, y</w:t>
      </w:r>
      <w:r w:rsidR="00964560" w:rsidRPr="00501F80">
        <w:rPr>
          <w:i/>
          <w:szCs w:val="16"/>
        </w:rPr>
        <w:t xml:space="preserve"> Caso Espinoza Gonzáles Vs. Perú. Interpretación de la Sentencia de Excepciones Preliminares, Fondo, Reparaciones y Costas. </w:t>
      </w:r>
      <w:r w:rsidR="00964560" w:rsidRPr="00501F80">
        <w:rPr>
          <w:szCs w:val="16"/>
        </w:rPr>
        <w:t>Sentencia de 23 de junio de 2015. Serie C No. 295, párr. 11.</w:t>
      </w:r>
    </w:p>
  </w:footnote>
  <w:footnote w:id="4">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Cfr. Caso Loayza Tamayo Vs. Perú, supra</w:t>
      </w:r>
      <w:r w:rsidR="00964560" w:rsidRPr="00501F80">
        <w:rPr>
          <w:szCs w:val="16"/>
        </w:rPr>
        <w:t>, párr. 16, y</w:t>
      </w:r>
      <w:r w:rsidR="00964560" w:rsidRPr="00501F80">
        <w:rPr>
          <w:i/>
          <w:szCs w:val="16"/>
        </w:rPr>
        <w:t xml:space="preserve"> Caso Espinoza Gonzáles Vs. Perú, supra</w:t>
      </w:r>
      <w:r w:rsidR="00964560" w:rsidRPr="00501F80">
        <w:rPr>
          <w:szCs w:val="16"/>
        </w:rPr>
        <w:t>, párr. 11.</w:t>
      </w:r>
    </w:p>
  </w:footnote>
  <w:footnote w:id="5">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Cfr. Caso Loayza Tamayo Vs. Perú, supra</w:t>
      </w:r>
      <w:r w:rsidR="00964560" w:rsidRPr="00501F80">
        <w:rPr>
          <w:szCs w:val="16"/>
        </w:rPr>
        <w:t xml:space="preserve">, párr. 15, y </w:t>
      </w:r>
      <w:r w:rsidR="00964560" w:rsidRPr="00501F80">
        <w:rPr>
          <w:i/>
          <w:szCs w:val="16"/>
        </w:rPr>
        <w:t xml:space="preserve">Caso Argüelles y otros Vs. Argentina. Interpretación de la Sentencia de Excepción Preliminar, Fondo, Reparaciones y Costas. </w:t>
      </w:r>
      <w:r w:rsidR="00964560" w:rsidRPr="00501F80">
        <w:rPr>
          <w:szCs w:val="16"/>
        </w:rPr>
        <w:t>Sentencia de 23 de junio de 2015. Serie C No. 294, párr. 21.</w:t>
      </w:r>
    </w:p>
  </w:footnote>
  <w:footnote w:id="6">
    <w:p w:rsidR="00EC2A33" w:rsidRPr="00501F80" w:rsidRDefault="00EC2A33" w:rsidP="00501F80">
      <w:pPr>
        <w:pStyle w:val="FootnoteText"/>
        <w:tabs>
          <w:tab w:val="left" w:pos="426"/>
          <w:tab w:val="left" w:pos="567"/>
        </w:tabs>
        <w:spacing w:before="120" w:after="120"/>
        <w:jc w:val="both"/>
        <w:rPr>
          <w:szCs w:val="16"/>
          <w:lang w:val="es-CO"/>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Salvador Chiriboga Vs. Ecuador. Interpretación de la Sentencia de Reparaciones y Costas. </w:t>
      </w:r>
      <w:r w:rsidR="00964560" w:rsidRPr="00501F80">
        <w:rPr>
          <w:szCs w:val="16"/>
        </w:rPr>
        <w:t xml:space="preserve">Sentencia de 29 de agosto de 2011. Serie C No. 230, párr. 30, y </w:t>
      </w:r>
      <w:r w:rsidR="00964560" w:rsidRPr="00501F80">
        <w:rPr>
          <w:i/>
          <w:szCs w:val="16"/>
        </w:rPr>
        <w:t>Caso Argüelles y otros Vs. Argentina, supra, supra</w:t>
      </w:r>
      <w:r w:rsidR="00964560" w:rsidRPr="00501F80">
        <w:rPr>
          <w:szCs w:val="16"/>
        </w:rPr>
        <w:t>, párr. 21.</w:t>
      </w:r>
    </w:p>
  </w:footnote>
  <w:footnote w:id="7">
    <w:p w:rsidR="00EC2A33" w:rsidRPr="00501F80" w:rsidRDefault="00EC2A33" w:rsidP="00501F80">
      <w:pPr>
        <w:pStyle w:val="FootnoteText"/>
        <w:tabs>
          <w:tab w:val="left" w:pos="426"/>
          <w:tab w:val="left" w:pos="567"/>
        </w:tabs>
        <w:spacing w:before="120" w:after="120"/>
        <w:jc w:val="both"/>
        <w:rPr>
          <w:i/>
          <w:szCs w:val="16"/>
        </w:rPr>
      </w:pPr>
      <w:r w:rsidRPr="00501F80">
        <w:rPr>
          <w:rStyle w:val="FootnoteReference"/>
          <w:szCs w:val="16"/>
          <w:lang w:val="es-CO"/>
        </w:rPr>
        <w:footnoteRef/>
      </w:r>
      <w:r w:rsidRPr="00501F80">
        <w:rPr>
          <w:szCs w:val="16"/>
          <w:lang w:val="es-CO"/>
        </w:rPr>
        <w:t xml:space="preserve"> </w:t>
      </w:r>
      <w:r w:rsidRPr="00501F80">
        <w:rPr>
          <w:szCs w:val="16"/>
          <w:lang w:val="es-CO"/>
        </w:rPr>
        <w:tab/>
      </w:r>
      <w:r w:rsidR="00964560" w:rsidRPr="00501F80">
        <w:rPr>
          <w:i/>
          <w:szCs w:val="16"/>
        </w:rPr>
        <w:t xml:space="preserve">Cfr. Caso Escher y otros Vs. Brasil. Interpretación de la Sentencia de Excepciones Preliminar, Fondo, Reparaciones y Costas. </w:t>
      </w:r>
      <w:r w:rsidR="00964560" w:rsidRPr="00501F80">
        <w:rPr>
          <w:szCs w:val="16"/>
        </w:rPr>
        <w:t xml:space="preserve">Sentencia de 20 de noviembre de 2009. Serie C No. 208, párr. 11, y </w:t>
      </w:r>
      <w:r w:rsidR="00964560" w:rsidRPr="00501F80">
        <w:rPr>
          <w:i/>
          <w:szCs w:val="16"/>
        </w:rPr>
        <w:t xml:space="preserve">Caso Argüelles y otros Vs. Argentina, supra, </w:t>
      </w:r>
      <w:r w:rsidR="00964560" w:rsidRPr="00501F80">
        <w:rPr>
          <w:szCs w:val="16"/>
        </w:rPr>
        <w:t>párr. 21.</w:t>
      </w:r>
    </w:p>
  </w:footnote>
  <w:footnote w:id="8">
    <w:p w:rsidR="00EC2A33" w:rsidRPr="00501F80" w:rsidRDefault="00EC2A33" w:rsidP="00501F80">
      <w:pPr>
        <w:spacing w:before="120" w:after="120"/>
        <w:jc w:val="both"/>
        <w:rPr>
          <w:sz w:val="16"/>
          <w:szCs w:val="16"/>
        </w:rPr>
      </w:pPr>
      <w:r w:rsidRPr="00501F80">
        <w:rPr>
          <w:rStyle w:val="FootnoteReference"/>
          <w:sz w:val="16"/>
          <w:szCs w:val="16"/>
        </w:rPr>
        <w:footnoteRef/>
      </w:r>
      <w:r w:rsidRPr="001B7141">
        <w:rPr>
          <w:sz w:val="16"/>
          <w:szCs w:val="16"/>
        </w:rPr>
        <w:t xml:space="preserve"> </w:t>
      </w:r>
      <w:r w:rsidRPr="001B7141">
        <w:rPr>
          <w:sz w:val="16"/>
          <w:szCs w:val="16"/>
        </w:rPr>
        <w:tab/>
      </w:r>
      <w:r w:rsidR="000A57C2" w:rsidRPr="001B7141">
        <w:rPr>
          <w:i/>
          <w:sz w:val="16"/>
          <w:szCs w:val="16"/>
        </w:rPr>
        <w:t>Cfr.</w:t>
      </w:r>
      <w:r w:rsidR="000A57C2" w:rsidRPr="001B7141">
        <w:rPr>
          <w:sz w:val="16"/>
          <w:szCs w:val="16"/>
        </w:rPr>
        <w:t xml:space="preserve"> </w:t>
      </w:r>
      <w:r w:rsidR="00964560" w:rsidRPr="001B7141">
        <w:rPr>
          <w:i/>
          <w:sz w:val="16"/>
          <w:szCs w:val="16"/>
        </w:rPr>
        <w:t xml:space="preserve">Caso Wong Ho Wing Vs Perú. </w:t>
      </w:r>
      <w:r w:rsidR="00964560" w:rsidRPr="00501F80">
        <w:rPr>
          <w:i/>
          <w:sz w:val="16"/>
          <w:szCs w:val="16"/>
        </w:rPr>
        <w:t xml:space="preserve">Excepción Preliminar, Fondo, Reparaciones y Costas. </w:t>
      </w:r>
      <w:r w:rsidR="00964560" w:rsidRPr="00501F80">
        <w:rPr>
          <w:sz w:val="16"/>
          <w:szCs w:val="16"/>
        </w:rPr>
        <w:t xml:space="preserve">Sentencia de 30 de junio </w:t>
      </w:r>
      <w:r w:rsidR="00E25953">
        <w:rPr>
          <w:sz w:val="16"/>
          <w:szCs w:val="16"/>
        </w:rPr>
        <w:t>de 2015. Serie C No. 297, párr.</w:t>
      </w:r>
      <w:r w:rsidR="00964560" w:rsidRPr="00501F80">
        <w:rPr>
          <w:sz w:val="16"/>
          <w:szCs w:val="16"/>
        </w:rPr>
        <w:t xml:space="preserve"> 302 y punto resolutivo 11. </w:t>
      </w:r>
    </w:p>
  </w:footnote>
  <w:footnote w:id="9">
    <w:p w:rsidR="00964560" w:rsidRPr="00E25953" w:rsidRDefault="00964560" w:rsidP="00501F80">
      <w:pPr>
        <w:spacing w:before="120" w:after="120"/>
        <w:jc w:val="both"/>
        <w:rPr>
          <w:sz w:val="16"/>
          <w:szCs w:val="16"/>
        </w:rPr>
      </w:pPr>
      <w:r w:rsidRPr="00501F80">
        <w:rPr>
          <w:rStyle w:val="FootnoteReference"/>
          <w:sz w:val="16"/>
          <w:szCs w:val="16"/>
        </w:rPr>
        <w:footnoteRef/>
      </w:r>
      <w:r w:rsidRPr="008D3F14">
        <w:rPr>
          <w:sz w:val="16"/>
          <w:szCs w:val="16"/>
          <w:lang w:val="en-US"/>
        </w:rPr>
        <w:t xml:space="preserve"> </w:t>
      </w:r>
      <w:r w:rsidRPr="008D3F14">
        <w:rPr>
          <w:sz w:val="16"/>
          <w:szCs w:val="16"/>
          <w:lang w:val="en-US"/>
        </w:rPr>
        <w:tab/>
      </w:r>
      <w:r w:rsidRPr="008D3F14">
        <w:rPr>
          <w:i/>
          <w:sz w:val="16"/>
          <w:szCs w:val="16"/>
          <w:lang w:val="en-US"/>
        </w:rPr>
        <w:t>Caso Wong Ho Wing Vs Perú, supra</w:t>
      </w:r>
      <w:r w:rsidR="008D3F14" w:rsidRPr="008D3F14">
        <w:rPr>
          <w:sz w:val="16"/>
          <w:szCs w:val="16"/>
          <w:lang w:val="en-US"/>
        </w:rPr>
        <w:t>, párr.</w:t>
      </w:r>
      <w:r w:rsidRPr="008D3F14">
        <w:rPr>
          <w:sz w:val="16"/>
          <w:szCs w:val="16"/>
          <w:lang w:val="en-US"/>
        </w:rPr>
        <w:t xml:space="preserve"> </w:t>
      </w:r>
      <w:r w:rsidRPr="00E25953">
        <w:rPr>
          <w:sz w:val="16"/>
          <w:szCs w:val="16"/>
        </w:rPr>
        <w:t xml:space="preserve">203 a 205.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51080"/>
      <w:docPartObj>
        <w:docPartGallery w:val="Page Numbers (Top of Page)"/>
        <w:docPartUnique/>
      </w:docPartObj>
    </w:sdtPr>
    <w:sdtEndPr/>
    <w:sdtContent>
      <w:p w:rsidR="00EC2A33" w:rsidRDefault="00EC2A33">
        <w:pPr>
          <w:pStyle w:val="Header"/>
          <w:jc w:val="center"/>
        </w:pPr>
        <w:r>
          <w:t xml:space="preserve">- </w:t>
        </w:r>
        <w:r>
          <w:fldChar w:fldCharType="begin"/>
        </w:r>
        <w:r>
          <w:instrText xml:space="preserve"> PAGE   \* MERGEFORMAT </w:instrText>
        </w:r>
        <w:r>
          <w:fldChar w:fldCharType="separate"/>
        </w:r>
        <w:r w:rsidR="001078FB">
          <w:rPr>
            <w:noProof/>
          </w:rPr>
          <w:t>2</w:t>
        </w:r>
        <w:r>
          <w:rPr>
            <w:noProof/>
          </w:rPr>
          <w:fldChar w:fldCharType="end"/>
        </w:r>
        <w:r>
          <w:t xml:space="preserve"> -</w:t>
        </w:r>
      </w:p>
    </w:sdtContent>
  </w:sdt>
  <w:p w:rsidR="00EC2A33" w:rsidRDefault="00EC2A33" w:rsidP="00D11C1D">
    <w:pPr>
      <w:pStyle w:val="Heade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DF"/>
    <w:multiLevelType w:val="hybridMultilevel"/>
    <w:tmpl w:val="1960EF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57D75E8"/>
    <w:multiLevelType w:val="hybridMultilevel"/>
    <w:tmpl w:val="6052A2B4"/>
    <w:lvl w:ilvl="0" w:tplc="66C88D7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12BBF"/>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487256"/>
    <w:multiLevelType w:val="hybridMultilevel"/>
    <w:tmpl w:val="F0D6C1E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A320D86"/>
    <w:multiLevelType w:val="hybridMultilevel"/>
    <w:tmpl w:val="CD8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17BBB"/>
    <w:multiLevelType w:val="hybridMultilevel"/>
    <w:tmpl w:val="C0147802"/>
    <w:lvl w:ilvl="0" w:tplc="65828F86">
      <w:start w:val="1"/>
      <w:numFmt w:val="decimal"/>
      <w:pStyle w:val="PrrafodeSentencia"/>
      <w:lvlText w:val="%1."/>
      <w:lvlJc w:val="left"/>
      <w:pPr>
        <w:tabs>
          <w:tab w:val="num" w:pos="567"/>
        </w:tabs>
        <w:ind w:left="0" w:firstLine="0"/>
      </w:pPr>
      <w:rPr>
        <w:rFonts w:ascii="Verdana" w:eastAsia="Times New Roman" w:hAnsi="Verdana" w:hint="default"/>
        <w:b w:val="0"/>
        <w:bCs w:val="0"/>
        <w:i w:val="0"/>
        <w:iCs w:val="0"/>
        <w:strike w:val="0"/>
        <w:dstrike w:val="0"/>
        <w:color w:val="auto"/>
        <w:sz w:val="20"/>
        <w:szCs w:val="20"/>
        <w:u w:val="none"/>
        <w:effect w:val="none"/>
        <w:lang w:val="es-ES_tradnl"/>
      </w:rPr>
    </w:lvl>
    <w:lvl w:ilvl="1" w:tplc="7C2C13CE">
      <w:start w:val="1"/>
      <w:numFmt w:val="lowerLetter"/>
      <w:lvlText w:val="%2."/>
      <w:lvlJc w:val="left"/>
      <w:pPr>
        <w:ind w:left="1440" w:hanging="360"/>
      </w:pPr>
    </w:lvl>
    <w:lvl w:ilvl="2" w:tplc="841219D4">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6297A54"/>
    <w:multiLevelType w:val="multilevel"/>
    <w:tmpl w:val="22C4231E"/>
    <w:lvl w:ilvl="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C0846E7"/>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3747762"/>
    <w:multiLevelType w:val="hybridMultilevel"/>
    <w:tmpl w:val="06DECBDE"/>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54144DA"/>
    <w:multiLevelType w:val="hybridMultilevel"/>
    <w:tmpl w:val="22C4231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7CE64D32"/>
    <w:multiLevelType w:val="hybridMultilevel"/>
    <w:tmpl w:val="1F4E5AE4"/>
    <w:lvl w:ilvl="0" w:tplc="8512A33E">
      <w:start w:val="1"/>
      <w:numFmt w:val="decimal"/>
      <w:lvlText w:val="%1."/>
      <w:lvlJc w:val="left"/>
      <w:pPr>
        <w:tabs>
          <w:tab w:val="num" w:pos="1247"/>
        </w:tabs>
        <w:ind w:left="0" w:firstLine="0"/>
      </w:pPr>
      <w:rPr>
        <w:rFonts w:ascii="Verdana" w:eastAsia="Times" w:hAnsi="Verdana" w:cs="Times New Roman"/>
        <w:b w:val="0"/>
        <w:i w:val="0"/>
        <w:strike w:val="0"/>
        <w:color w:val="auto"/>
        <w:sz w:val="20"/>
        <w:lang w:val="es-ES_tradnl"/>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1"/>
  </w:num>
  <w:num w:numId="5">
    <w:abstractNumId w:val="4"/>
  </w:num>
  <w:num w:numId="6">
    <w:abstractNumId w:val="9"/>
  </w:num>
  <w:num w:numId="7">
    <w:abstractNumId w:val="10"/>
  </w:num>
  <w:num w:numId="8">
    <w:abstractNumId w:val="2"/>
  </w:num>
  <w:num w:numId="9">
    <w:abstractNumId w:val="7"/>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8"/>
    <w:rsid w:val="00002230"/>
    <w:rsid w:val="0001035D"/>
    <w:rsid w:val="00017560"/>
    <w:rsid w:val="00034EEA"/>
    <w:rsid w:val="00041EB9"/>
    <w:rsid w:val="00052195"/>
    <w:rsid w:val="00055C4C"/>
    <w:rsid w:val="00060E10"/>
    <w:rsid w:val="00062DDF"/>
    <w:rsid w:val="0007099B"/>
    <w:rsid w:val="0007179A"/>
    <w:rsid w:val="000739BB"/>
    <w:rsid w:val="00082515"/>
    <w:rsid w:val="00082C1A"/>
    <w:rsid w:val="000866D1"/>
    <w:rsid w:val="0008702B"/>
    <w:rsid w:val="00091E0C"/>
    <w:rsid w:val="0009389B"/>
    <w:rsid w:val="000939CA"/>
    <w:rsid w:val="0009642D"/>
    <w:rsid w:val="00096A59"/>
    <w:rsid w:val="000A221C"/>
    <w:rsid w:val="000A57C2"/>
    <w:rsid w:val="000C0E47"/>
    <w:rsid w:val="000C4DDD"/>
    <w:rsid w:val="000D3BE8"/>
    <w:rsid w:val="000D5391"/>
    <w:rsid w:val="000E0432"/>
    <w:rsid w:val="000E1A8F"/>
    <w:rsid w:val="000E53D3"/>
    <w:rsid w:val="000E7CE1"/>
    <w:rsid w:val="000F0F6E"/>
    <w:rsid w:val="000F36F7"/>
    <w:rsid w:val="001078FB"/>
    <w:rsid w:val="001101CE"/>
    <w:rsid w:val="0011068B"/>
    <w:rsid w:val="00113F3F"/>
    <w:rsid w:val="00120B2D"/>
    <w:rsid w:val="00124237"/>
    <w:rsid w:val="0012494D"/>
    <w:rsid w:val="00130983"/>
    <w:rsid w:val="00131B67"/>
    <w:rsid w:val="00137814"/>
    <w:rsid w:val="0014002F"/>
    <w:rsid w:val="00145ED7"/>
    <w:rsid w:val="00147626"/>
    <w:rsid w:val="0015158B"/>
    <w:rsid w:val="00151ACA"/>
    <w:rsid w:val="00153285"/>
    <w:rsid w:val="00153940"/>
    <w:rsid w:val="00154BD7"/>
    <w:rsid w:val="001554F3"/>
    <w:rsid w:val="00156109"/>
    <w:rsid w:val="00160152"/>
    <w:rsid w:val="00161377"/>
    <w:rsid w:val="001635E4"/>
    <w:rsid w:val="00166151"/>
    <w:rsid w:val="001661A0"/>
    <w:rsid w:val="00166CD8"/>
    <w:rsid w:val="00182E5A"/>
    <w:rsid w:val="00186AA1"/>
    <w:rsid w:val="00190C25"/>
    <w:rsid w:val="001A315F"/>
    <w:rsid w:val="001A4716"/>
    <w:rsid w:val="001A6AEE"/>
    <w:rsid w:val="001B0639"/>
    <w:rsid w:val="001B358B"/>
    <w:rsid w:val="001B3B74"/>
    <w:rsid w:val="001B4103"/>
    <w:rsid w:val="001B7141"/>
    <w:rsid w:val="001B7CCF"/>
    <w:rsid w:val="001C031A"/>
    <w:rsid w:val="001C300E"/>
    <w:rsid w:val="001C3D42"/>
    <w:rsid w:val="001D1D16"/>
    <w:rsid w:val="001D48AB"/>
    <w:rsid w:val="001E35AB"/>
    <w:rsid w:val="001E3D30"/>
    <w:rsid w:val="001E7A72"/>
    <w:rsid w:val="001F7685"/>
    <w:rsid w:val="002050C4"/>
    <w:rsid w:val="00206C33"/>
    <w:rsid w:val="002121C9"/>
    <w:rsid w:val="002138F5"/>
    <w:rsid w:val="002206D9"/>
    <w:rsid w:val="00220946"/>
    <w:rsid w:val="0022381C"/>
    <w:rsid w:val="00227942"/>
    <w:rsid w:val="00232282"/>
    <w:rsid w:val="002350D4"/>
    <w:rsid w:val="00236C40"/>
    <w:rsid w:val="00237187"/>
    <w:rsid w:val="00241D4B"/>
    <w:rsid w:val="00254108"/>
    <w:rsid w:val="00254982"/>
    <w:rsid w:val="00255A97"/>
    <w:rsid w:val="0026211F"/>
    <w:rsid w:val="00263B02"/>
    <w:rsid w:val="0027115E"/>
    <w:rsid w:val="00273AC2"/>
    <w:rsid w:val="002807AB"/>
    <w:rsid w:val="00286410"/>
    <w:rsid w:val="002A4E12"/>
    <w:rsid w:val="002A5CFC"/>
    <w:rsid w:val="002B059C"/>
    <w:rsid w:val="002C22B2"/>
    <w:rsid w:val="002D5E0C"/>
    <w:rsid w:val="002E2DE6"/>
    <w:rsid w:val="002E4004"/>
    <w:rsid w:val="002E4564"/>
    <w:rsid w:val="002E76B8"/>
    <w:rsid w:val="002F0B6E"/>
    <w:rsid w:val="002F0CC2"/>
    <w:rsid w:val="00301E05"/>
    <w:rsid w:val="0030248C"/>
    <w:rsid w:val="0030484F"/>
    <w:rsid w:val="0030682B"/>
    <w:rsid w:val="00307BF5"/>
    <w:rsid w:val="00332EB9"/>
    <w:rsid w:val="00335AC2"/>
    <w:rsid w:val="00336295"/>
    <w:rsid w:val="00345D66"/>
    <w:rsid w:val="00345DF1"/>
    <w:rsid w:val="0034642F"/>
    <w:rsid w:val="00350AB4"/>
    <w:rsid w:val="00350C07"/>
    <w:rsid w:val="0035232B"/>
    <w:rsid w:val="00356F4A"/>
    <w:rsid w:val="00357A14"/>
    <w:rsid w:val="0036308E"/>
    <w:rsid w:val="00363090"/>
    <w:rsid w:val="00365B6F"/>
    <w:rsid w:val="00365E43"/>
    <w:rsid w:val="00365FD6"/>
    <w:rsid w:val="00371831"/>
    <w:rsid w:val="00371DF2"/>
    <w:rsid w:val="00371FEB"/>
    <w:rsid w:val="00372717"/>
    <w:rsid w:val="00374259"/>
    <w:rsid w:val="003743BD"/>
    <w:rsid w:val="00380C1D"/>
    <w:rsid w:val="003900DE"/>
    <w:rsid w:val="0039192D"/>
    <w:rsid w:val="00393BB8"/>
    <w:rsid w:val="003A003E"/>
    <w:rsid w:val="003A272C"/>
    <w:rsid w:val="003B2625"/>
    <w:rsid w:val="003B272D"/>
    <w:rsid w:val="003B2BC7"/>
    <w:rsid w:val="003B2CA9"/>
    <w:rsid w:val="003B4AF3"/>
    <w:rsid w:val="003C3698"/>
    <w:rsid w:val="003D4EC6"/>
    <w:rsid w:val="003D5123"/>
    <w:rsid w:val="003D6631"/>
    <w:rsid w:val="003F7D58"/>
    <w:rsid w:val="00403EBE"/>
    <w:rsid w:val="00406798"/>
    <w:rsid w:val="00407A75"/>
    <w:rsid w:val="00415BE4"/>
    <w:rsid w:val="004224BB"/>
    <w:rsid w:val="004266EA"/>
    <w:rsid w:val="004312CE"/>
    <w:rsid w:val="004317BB"/>
    <w:rsid w:val="00432064"/>
    <w:rsid w:val="00442B1A"/>
    <w:rsid w:val="0044424F"/>
    <w:rsid w:val="0044614F"/>
    <w:rsid w:val="00452F26"/>
    <w:rsid w:val="004542DE"/>
    <w:rsid w:val="00456E5E"/>
    <w:rsid w:val="004603F5"/>
    <w:rsid w:val="0046153E"/>
    <w:rsid w:val="004729E8"/>
    <w:rsid w:val="004745A3"/>
    <w:rsid w:val="00474FE0"/>
    <w:rsid w:val="00475443"/>
    <w:rsid w:val="0048329E"/>
    <w:rsid w:val="00483AFE"/>
    <w:rsid w:val="004855C7"/>
    <w:rsid w:val="004877B1"/>
    <w:rsid w:val="00496F2F"/>
    <w:rsid w:val="004A3DB0"/>
    <w:rsid w:val="004A5630"/>
    <w:rsid w:val="004B12BF"/>
    <w:rsid w:val="004B29D6"/>
    <w:rsid w:val="004B3604"/>
    <w:rsid w:val="004B3BA0"/>
    <w:rsid w:val="004C0051"/>
    <w:rsid w:val="004C1903"/>
    <w:rsid w:val="004C2035"/>
    <w:rsid w:val="004C26D4"/>
    <w:rsid w:val="004C736B"/>
    <w:rsid w:val="004D0E2F"/>
    <w:rsid w:val="004D1194"/>
    <w:rsid w:val="004D1B91"/>
    <w:rsid w:val="004F767F"/>
    <w:rsid w:val="00501058"/>
    <w:rsid w:val="00501F80"/>
    <w:rsid w:val="00503672"/>
    <w:rsid w:val="00507E5A"/>
    <w:rsid w:val="00513856"/>
    <w:rsid w:val="005165DF"/>
    <w:rsid w:val="00520113"/>
    <w:rsid w:val="005233F7"/>
    <w:rsid w:val="00526597"/>
    <w:rsid w:val="00530DB9"/>
    <w:rsid w:val="00531883"/>
    <w:rsid w:val="005322B3"/>
    <w:rsid w:val="005346FC"/>
    <w:rsid w:val="00542846"/>
    <w:rsid w:val="00544405"/>
    <w:rsid w:val="00545C01"/>
    <w:rsid w:val="00547146"/>
    <w:rsid w:val="00554E97"/>
    <w:rsid w:val="00555D98"/>
    <w:rsid w:val="00556E53"/>
    <w:rsid w:val="00560F6A"/>
    <w:rsid w:val="00561357"/>
    <w:rsid w:val="00564242"/>
    <w:rsid w:val="00570CA6"/>
    <w:rsid w:val="00570E40"/>
    <w:rsid w:val="00576658"/>
    <w:rsid w:val="00580901"/>
    <w:rsid w:val="00580FA1"/>
    <w:rsid w:val="005851B7"/>
    <w:rsid w:val="00593D0F"/>
    <w:rsid w:val="00596905"/>
    <w:rsid w:val="0059765B"/>
    <w:rsid w:val="005A1039"/>
    <w:rsid w:val="005A614F"/>
    <w:rsid w:val="005A735A"/>
    <w:rsid w:val="005B1B00"/>
    <w:rsid w:val="005B6034"/>
    <w:rsid w:val="005B7D34"/>
    <w:rsid w:val="005C7A74"/>
    <w:rsid w:val="005D0AC2"/>
    <w:rsid w:val="005D10EE"/>
    <w:rsid w:val="005E1401"/>
    <w:rsid w:val="005E3416"/>
    <w:rsid w:val="005E49CA"/>
    <w:rsid w:val="005F081C"/>
    <w:rsid w:val="005F17CB"/>
    <w:rsid w:val="005F4872"/>
    <w:rsid w:val="005F72F5"/>
    <w:rsid w:val="006036A3"/>
    <w:rsid w:val="00605BAC"/>
    <w:rsid w:val="00616016"/>
    <w:rsid w:val="00616BBE"/>
    <w:rsid w:val="00617FDF"/>
    <w:rsid w:val="006216BB"/>
    <w:rsid w:val="00625203"/>
    <w:rsid w:val="00625A11"/>
    <w:rsid w:val="00632769"/>
    <w:rsid w:val="00632FE4"/>
    <w:rsid w:val="00635663"/>
    <w:rsid w:val="00651836"/>
    <w:rsid w:val="0065322E"/>
    <w:rsid w:val="00653FC5"/>
    <w:rsid w:val="0065462D"/>
    <w:rsid w:val="00656A66"/>
    <w:rsid w:val="0065769D"/>
    <w:rsid w:val="00657B65"/>
    <w:rsid w:val="00660039"/>
    <w:rsid w:val="00660DDB"/>
    <w:rsid w:val="00663E13"/>
    <w:rsid w:val="00681140"/>
    <w:rsid w:val="0068155E"/>
    <w:rsid w:val="0068672E"/>
    <w:rsid w:val="006916CB"/>
    <w:rsid w:val="00692993"/>
    <w:rsid w:val="00693BD8"/>
    <w:rsid w:val="00694DDC"/>
    <w:rsid w:val="006A5302"/>
    <w:rsid w:val="006A6E7C"/>
    <w:rsid w:val="006B0D11"/>
    <w:rsid w:val="006B5E53"/>
    <w:rsid w:val="006C0486"/>
    <w:rsid w:val="006C14F9"/>
    <w:rsid w:val="006C3505"/>
    <w:rsid w:val="006C44F4"/>
    <w:rsid w:val="006D45B9"/>
    <w:rsid w:val="006D4CDE"/>
    <w:rsid w:val="006D576F"/>
    <w:rsid w:val="006D7279"/>
    <w:rsid w:val="006E12F7"/>
    <w:rsid w:val="006E59C4"/>
    <w:rsid w:val="006F3580"/>
    <w:rsid w:val="006F7AFA"/>
    <w:rsid w:val="006F7B06"/>
    <w:rsid w:val="00702104"/>
    <w:rsid w:val="007063CB"/>
    <w:rsid w:val="00723C9A"/>
    <w:rsid w:val="0074122A"/>
    <w:rsid w:val="00750E30"/>
    <w:rsid w:val="007527F5"/>
    <w:rsid w:val="00761DCB"/>
    <w:rsid w:val="00776779"/>
    <w:rsid w:val="00777146"/>
    <w:rsid w:val="00781B90"/>
    <w:rsid w:val="007859AE"/>
    <w:rsid w:val="00785B73"/>
    <w:rsid w:val="007868AB"/>
    <w:rsid w:val="00787117"/>
    <w:rsid w:val="00787F12"/>
    <w:rsid w:val="00795C6E"/>
    <w:rsid w:val="007A0139"/>
    <w:rsid w:val="007A58E6"/>
    <w:rsid w:val="007A7390"/>
    <w:rsid w:val="007C427B"/>
    <w:rsid w:val="007C4794"/>
    <w:rsid w:val="007D41CF"/>
    <w:rsid w:val="007D6CF5"/>
    <w:rsid w:val="007E35CA"/>
    <w:rsid w:val="007F1DC9"/>
    <w:rsid w:val="007F1E58"/>
    <w:rsid w:val="007F6D48"/>
    <w:rsid w:val="008056E4"/>
    <w:rsid w:val="00812F56"/>
    <w:rsid w:val="00815FCA"/>
    <w:rsid w:val="008206CD"/>
    <w:rsid w:val="00820790"/>
    <w:rsid w:val="008246C0"/>
    <w:rsid w:val="00833A25"/>
    <w:rsid w:val="00835BB2"/>
    <w:rsid w:val="0084033F"/>
    <w:rsid w:val="00841214"/>
    <w:rsid w:val="00842833"/>
    <w:rsid w:val="00842CE1"/>
    <w:rsid w:val="00845165"/>
    <w:rsid w:val="00847FAF"/>
    <w:rsid w:val="008509B8"/>
    <w:rsid w:val="00850A4E"/>
    <w:rsid w:val="00851BA4"/>
    <w:rsid w:val="00853C10"/>
    <w:rsid w:val="00853D0E"/>
    <w:rsid w:val="0085675B"/>
    <w:rsid w:val="00860000"/>
    <w:rsid w:val="00861E45"/>
    <w:rsid w:val="0086220C"/>
    <w:rsid w:val="008706CD"/>
    <w:rsid w:val="0087127D"/>
    <w:rsid w:val="008739CB"/>
    <w:rsid w:val="00881D1D"/>
    <w:rsid w:val="0088493B"/>
    <w:rsid w:val="00892979"/>
    <w:rsid w:val="008A01A8"/>
    <w:rsid w:val="008A7804"/>
    <w:rsid w:val="008B181E"/>
    <w:rsid w:val="008B19D6"/>
    <w:rsid w:val="008C1B55"/>
    <w:rsid w:val="008C3EDD"/>
    <w:rsid w:val="008C7625"/>
    <w:rsid w:val="008D3F14"/>
    <w:rsid w:val="008D54EB"/>
    <w:rsid w:val="008D6DDA"/>
    <w:rsid w:val="008E151F"/>
    <w:rsid w:val="008E1588"/>
    <w:rsid w:val="008E6D4D"/>
    <w:rsid w:val="008F56FC"/>
    <w:rsid w:val="008F74A2"/>
    <w:rsid w:val="009075CD"/>
    <w:rsid w:val="0091115A"/>
    <w:rsid w:val="009170A8"/>
    <w:rsid w:val="00923800"/>
    <w:rsid w:val="00930EFA"/>
    <w:rsid w:val="0093183C"/>
    <w:rsid w:val="00934AC1"/>
    <w:rsid w:val="00934E24"/>
    <w:rsid w:val="00935D86"/>
    <w:rsid w:val="00936D38"/>
    <w:rsid w:val="00937C14"/>
    <w:rsid w:val="009416DA"/>
    <w:rsid w:val="00943C93"/>
    <w:rsid w:val="009448B9"/>
    <w:rsid w:val="00947C6F"/>
    <w:rsid w:val="0095588F"/>
    <w:rsid w:val="009561D4"/>
    <w:rsid w:val="00957777"/>
    <w:rsid w:val="0096123D"/>
    <w:rsid w:val="00964560"/>
    <w:rsid w:val="009652C6"/>
    <w:rsid w:val="00970448"/>
    <w:rsid w:val="009722B5"/>
    <w:rsid w:val="009724FF"/>
    <w:rsid w:val="00972ABE"/>
    <w:rsid w:val="009816A9"/>
    <w:rsid w:val="0098234B"/>
    <w:rsid w:val="00982426"/>
    <w:rsid w:val="00985D09"/>
    <w:rsid w:val="00991791"/>
    <w:rsid w:val="00992FAE"/>
    <w:rsid w:val="009A2A9D"/>
    <w:rsid w:val="009A3A18"/>
    <w:rsid w:val="009A42D1"/>
    <w:rsid w:val="009B2311"/>
    <w:rsid w:val="009B5209"/>
    <w:rsid w:val="009C0C59"/>
    <w:rsid w:val="009C118D"/>
    <w:rsid w:val="009C169A"/>
    <w:rsid w:val="009C4C7F"/>
    <w:rsid w:val="009C503C"/>
    <w:rsid w:val="009D22C8"/>
    <w:rsid w:val="009D3C00"/>
    <w:rsid w:val="009D4731"/>
    <w:rsid w:val="009D51CF"/>
    <w:rsid w:val="009E0D28"/>
    <w:rsid w:val="009E1889"/>
    <w:rsid w:val="009E5A2E"/>
    <w:rsid w:val="009F00DE"/>
    <w:rsid w:val="009F0DB1"/>
    <w:rsid w:val="009F2FFF"/>
    <w:rsid w:val="009F6A0A"/>
    <w:rsid w:val="00A015AD"/>
    <w:rsid w:val="00A03FAE"/>
    <w:rsid w:val="00A040FF"/>
    <w:rsid w:val="00A1333D"/>
    <w:rsid w:val="00A14725"/>
    <w:rsid w:val="00A14CF4"/>
    <w:rsid w:val="00A25721"/>
    <w:rsid w:val="00A257D6"/>
    <w:rsid w:val="00A3035C"/>
    <w:rsid w:val="00A3239B"/>
    <w:rsid w:val="00A35DF2"/>
    <w:rsid w:val="00A36C77"/>
    <w:rsid w:val="00A42C22"/>
    <w:rsid w:val="00A53D64"/>
    <w:rsid w:val="00A57311"/>
    <w:rsid w:val="00A57643"/>
    <w:rsid w:val="00A61DD5"/>
    <w:rsid w:val="00A64FFB"/>
    <w:rsid w:val="00A70FB7"/>
    <w:rsid w:val="00A80A42"/>
    <w:rsid w:val="00A83DE1"/>
    <w:rsid w:val="00A84047"/>
    <w:rsid w:val="00A8434E"/>
    <w:rsid w:val="00A85833"/>
    <w:rsid w:val="00A85935"/>
    <w:rsid w:val="00A87B3E"/>
    <w:rsid w:val="00A90175"/>
    <w:rsid w:val="00A94036"/>
    <w:rsid w:val="00A948E0"/>
    <w:rsid w:val="00A96589"/>
    <w:rsid w:val="00AA4DFC"/>
    <w:rsid w:val="00AA66E3"/>
    <w:rsid w:val="00AB18B6"/>
    <w:rsid w:val="00AB1DE5"/>
    <w:rsid w:val="00AB4D74"/>
    <w:rsid w:val="00AB788E"/>
    <w:rsid w:val="00AC336D"/>
    <w:rsid w:val="00AC6E5A"/>
    <w:rsid w:val="00AC7AE5"/>
    <w:rsid w:val="00AD02D8"/>
    <w:rsid w:val="00AD2D8F"/>
    <w:rsid w:val="00AD443C"/>
    <w:rsid w:val="00AD6821"/>
    <w:rsid w:val="00AE18BE"/>
    <w:rsid w:val="00AE313F"/>
    <w:rsid w:val="00AF20CC"/>
    <w:rsid w:val="00AF3377"/>
    <w:rsid w:val="00AF6FCF"/>
    <w:rsid w:val="00AF7011"/>
    <w:rsid w:val="00AF7C7F"/>
    <w:rsid w:val="00B011F9"/>
    <w:rsid w:val="00B04A7F"/>
    <w:rsid w:val="00B0700C"/>
    <w:rsid w:val="00B13420"/>
    <w:rsid w:val="00B15C89"/>
    <w:rsid w:val="00B168EC"/>
    <w:rsid w:val="00B26733"/>
    <w:rsid w:val="00B27160"/>
    <w:rsid w:val="00B27C76"/>
    <w:rsid w:val="00B35225"/>
    <w:rsid w:val="00B37BFF"/>
    <w:rsid w:val="00B42832"/>
    <w:rsid w:val="00B44748"/>
    <w:rsid w:val="00B64CF2"/>
    <w:rsid w:val="00B65A1F"/>
    <w:rsid w:val="00B6703B"/>
    <w:rsid w:val="00B67AA9"/>
    <w:rsid w:val="00B67F6B"/>
    <w:rsid w:val="00B702D8"/>
    <w:rsid w:val="00B74143"/>
    <w:rsid w:val="00B74A98"/>
    <w:rsid w:val="00B752D1"/>
    <w:rsid w:val="00B77D17"/>
    <w:rsid w:val="00B80471"/>
    <w:rsid w:val="00B8149C"/>
    <w:rsid w:val="00B835D6"/>
    <w:rsid w:val="00B83897"/>
    <w:rsid w:val="00B859C9"/>
    <w:rsid w:val="00BA3D77"/>
    <w:rsid w:val="00BA47F8"/>
    <w:rsid w:val="00BA4B0C"/>
    <w:rsid w:val="00BB206C"/>
    <w:rsid w:val="00BB718F"/>
    <w:rsid w:val="00BB723A"/>
    <w:rsid w:val="00BC4044"/>
    <w:rsid w:val="00BD0BC3"/>
    <w:rsid w:val="00BD1E75"/>
    <w:rsid w:val="00BD3C4D"/>
    <w:rsid w:val="00BD49AA"/>
    <w:rsid w:val="00BD6FF7"/>
    <w:rsid w:val="00BE46CC"/>
    <w:rsid w:val="00BE5C5E"/>
    <w:rsid w:val="00BE6ADE"/>
    <w:rsid w:val="00BF19FC"/>
    <w:rsid w:val="00BF6B64"/>
    <w:rsid w:val="00C02163"/>
    <w:rsid w:val="00C10360"/>
    <w:rsid w:val="00C11EB9"/>
    <w:rsid w:val="00C13C35"/>
    <w:rsid w:val="00C20F96"/>
    <w:rsid w:val="00C2343D"/>
    <w:rsid w:val="00C24723"/>
    <w:rsid w:val="00C2489D"/>
    <w:rsid w:val="00C256E2"/>
    <w:rsid w:val="00C32298"/>
    <w:rsid w:val="00C34035"/>
    <w:rsid w:val="00C365F8"/>
    <w:rsid w:val="00C40984"/>
    <w:rsid w:val="00C439CF"/>
    <w:rsid w:val="00C46C39"/>
    <w:rsid w:val="00C51A0F"/>
    <w:rsid w:val="00C574B3"/>
    <w:rsid w:val="00C6138F"/>
    <w:rsid w:val="00C677C2"/>
    <w:rsid w:val="00C73B8E"/>
    <w:rsid w:val="00C76A62"/>
    <w:rsid w:val="00C77F46"/>
    <w:rsid w:val="00C824DF"/>
    <w:rsid w:val="00C82572"/>
    <w:rsid w:val="00C82AF1"/>
    <w:rsid w:val="00C82D20"/>
    <w:rsid w:val="00C90393"/>
    <w:rsid w:val="00C9624A"/>
    <w:rsid w:val="00CA1FB9"/>
    <w:rsid w:val="00CA2A20"/>
    <w:rsid w:val="00CA37B3"/>
    <w:rsid w:val="00CA4398"/>
    <w:rsid w:val="00CA66A8"/>
    <w:rsid w:val="00CC33E5"/>
    <w:rsid w:val="00CD7FDA"/>
    <w:rsid w:val="00CE0FA5"/>
    <w:rsid w:val="00CE3841"/>
    <w:rsid w:val="00CE53D6"/>
    <w:rsid w:val="00CE5F5A"/>
    <w:rsid w:val="00CE7075"/>
    <w:rsid w:val="00CF19A7"/>
    <w:rsid w:val="00CF2A84"/>
    <w:rsid w:val="00CF307E"/>
    <w:rsid w:val="00CF3648"/>
    <w:rsid w:val="00CF6049"/>
    <w:rsid w:val="00CF7B79"/>
    <w:rsid w:val="00D054A5"/>
    <w:rsid w:val="00D11C1D"/>
    <w:rsid w:val="00D17232"/>
    <w:rsid w:val="00D248E5"/>
    <w:rsid w:val="00D27878"/>
    <w:rsid w:val="00D32BE2"/>
    <w:rsid w:val="00D342F6"/>
    <w:rsid w:val="00D35332"/>
    <w:rsid w:val="00D36F21"/>
    <w:rsid w:val="00D40959"/>
    <w:rsid w:val="00D462A8"/>
    <w:rsid w:val="00D47D1D"/>
    <w:rsid w:val="00D535F7"/>
    <w:rsid w:val="00D53B1D"/>
    <w:rsid w:val="00D53E54"/>
    <w:rsid w:val="00D5559E"/>
    <w:rsid w:val="00D66F1E"/>
    <w:rsid w:val="00D717CA"/>
    <w:rsid w:val="00D72516"/>
    <w:rsid w:val="00D73397"/>
    <w:rsid w:val="00D80696"/>
    <w:rsid w:val="00D811AD"/>
    <w:rsid w:val="00D8489E"/>
    <w:rsid w:val="00D85D44"/>
    <w:rsid w:val="00D85E21"/>
    <w:rsid w:val="00D8759B"/>
    <w:rsid w:val="00D955A1"/>
    <w:rsid w:val="00D955AE"/>
    <w:rsid w:val="00DA08E7"/>
    <w:rsid w:val="00DA0CC5"/>
    <w:rsid w:val="00DA23CF"/>
    <w:rsid w:val="00DA42F9"/>
    <w:rsid w:val="00DA4BA5"/>
    <w:rsid w:val="00DB3950"/>
    <w:rsid w:val="00DB4693"/>
    <w:rsid w:val="00DC32D8"/>
    <w:rsid w:val="00DC595C"/>
    <w:rsid w:val="00DC61D1"/>
    <w:rsid w:val="00DC7ADC"/>
    <w:rsid w:val="00DD35EE"/>
    <w:rsid w:val="00DD6AC8"/>
    <w:rsid w:val="00DE185E"/>
    <w:rsid w:val="00DE2A28"/>
    <w:rsid w:val="00DE4197"/>
    <w:rsid w:val="00DE4BAD"/>
    <w:rsid w:val="00DE5590"/>
    <w:rsid w:val="00DE7118"/>
    <w:rsid w:val="00E019AF"/>
    <w:rsid w:val="00E059D6"/>
    <w:rsid w:val="00E13FD3"/>
    <w:rsid w:val="00E15C52"/>
    <w:rsid w:val="00E1772B"/>
    <w:rsid w:val="00E235F1"/>
    <w:rsid w:val="00E2523A"/>
    <w:rsid w:val="00E25953"/>
    <w:rsid w:val="00E2788E"/>
    <w:rsid w:val="00E3355C"/>
    <w:rsid w:val="00E340CA"/>
    <w:rsid w:val="00E35F08"/>
    <w:rsid w:val="00E42591"/>
    <w:rsid w:val="00E464E8"/>
    <w:rsid w:val="00E536CF"/>
    <w:rsid w:val="00E542B1"/>
    <w:rsid w:val="00E5639E"/>
    <w:rsid w:val="00E6412A"/>
    <w:rsid w:val="00E65310"/>
    <w:rsid w:val="00E678AB"/>
    <w:rsid w:val="00E679FA"/>
    <w:rsid w:val="00E723EE"/>
    <w:rsid w:val="00E74100"/>
    <w:rsid w:val="00E7675A"/>
    <w:rsid w:val="00E80650"/>
    <w:rsid w:val="00E860DE"/>
    <w:rsid w:val="00E9605E"/>
    <w:rsid w:val="00EA3F99"/>
    <w:rsid w:val="00EB0958"/>
    <w:rsid w:val="00EC1954"/>
    <w:rsid w:val="00EC2A33"/>
    <w:rsid w:val="00ED534A"/>
    <w:rsid w:val="00ED5D51"/>
    <w:rsid w:val="00ED5F43"/>
    <w:rsid w:val="00ED722E"/>
    <w:rsid w:val="00EE10AF"/>
    <w:rsid w:val="00EE1749"/>
    <w:rsid w:val="00EE178E"/>
    <w:rsid w:val="00EE5E39"/>
    <w:rsid w:val="00EF270F"/>
    <w:rsid w:val="00EF6E1D"/>
    <w:rsid w:val="00EF774D"/>
    <w:rsid w:val="00F006FA"/>
    <w:rsid w:val="00F06450"/>
    <w:rsid w:val="00F10197"/>
    <w:rsid w:val="00F22FB2"/>
    <w:rsid w:val="00F24E28"/>
    <w:rsid w:val="00F25251"/>
    <w:rsid w:val="00F309D2"/>
    <w:rsid w:val="00F31700"/>
    <w:rsid w:val="00F35483"/>
    <w:rsid w:val="00F37A9E"/>
    <w:rsid w:val="00F44D3C"/>
    <w:rsid w:val="00F4696E"/>
    <w:rsid w:val="00F51282"/>
    <w:rsid w:val="00F53FED"/>
    <w:rsid w:val="00F62B52"/>
    <w:rsid w:val="00F7049C"/>
    <w:rsid w:val="00F70D4E"/>
    <w:rsid w:val="00F70FEB"/>
    <w:rsid w:val="00F749AF"/>
    <w:rsid w:val="00F75E95"/>
    <w:rsid w:val="00F81BCE"/>
    <w:rsid w:val="00F8440D"/>
    <w:rsid w:val="00F84ACD"/>
    <w:rsid w:val="00F85E0D"/>
    <w:rsid w:val="00F86650"/>
    <w:rsid w:val="00F86C86"/>
    <w:rsid w:val="00F954FF"/>
    <w:rsid w:val="00F97E2D"/>
    <w:rsid w:val="00F97F9F"/>
    <w:rsid w:val="00FA15D0"/>
    <w:rsid w:val="00FA3A9F"/>
    <w:rsid w:val="00FB1AAA"/>
    <w:rsid w:val="00FB7194"/>
    <w:rsid w:val="00FC5CE8"/>
    <w:rsid w:val="00FC6D2C"/>
    <w:rsid w:val="00FD1E60"/>
    <w:rsid w:val="00FE0D29"/>
    <w:rsid w:val="00FE1015"/>
    <w:rsid w:val="00FE1025"/>
    <w:rsid w:val="00FE3830"/>
    <w:rsid w:val="00FE441F"/>
    <w:rsid w:val="00FF0689"/>
    <w:rsid w:val="00FF1AE6"/>
    <w:rsid w:val="00FF3323"/>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
    <w:basedOn w:val="Normal"/>
    <w:link w:val="ListParagraphChar"/>
    <w:uiPriority w:val="34"/>
    <w:qFormat/>
    <w:rsid w:val="00475443"/>
    <w:pPr>
      <w:ind w:left="720"/>
      <w:contextualSpacing/>
    </w:pPr>
  </w:style>
  <w:style w:type="character" w:customStyle="1" w:styleId="ListParagraphChar">
    <w:name w:val="List Paragraph Char"/>
    <w:aliases w:val="Footnote Char"/>
    <w:basedOn w:val="DefaultParagraphFont"/>
    <w:link w:val="ListParagraph"/>
    <w:uiPriority w:val="34"/>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paragraph" w:customStyle="1" w:styleId="Footnotes">
    <w:name w:val="**. Footnotes"/>
    <w:basedOn w:val="FootnoteText"/>
    <w:link w:val="FootnotesChar"/>
    <w:qFormat/>
    <w:rsid w:val="00496F2F"/>
    <w:pPr>
      <w:tabs>
        <w:tab w:val="left" w:pos="426"/>
      </w:tabs>
      <w:spacing w:after="120"/>
      <w:jc w:val="both"/>
    </w:pPr>
    <w:rPr>
      <w:rFonts w:eastAsia="Times New Roman" w:cs="Palatino-Italic"/>
      <w:iCs/>
      <w:szCs w:val="18"/>
      <w:lang w:val="es-ES" w:bidi="en-US"/>
    </w:rPr>
  </w:style>
  <w:style w:type="character" w:customStyle="1" w:styleId="FootnotesChar">
    <w:name w:val="**. Footnotes Char"/>
    <w:basedOn w:val="DefaultParagraphFont"/>
    <w:link w:val="Footnotes"/>
    <w:rsid w:val="00496F2F"/>
    <w:rPr>
      <w:rFonts w:ascii="Verdana" w:eastAsia="Times New Roman" w:hAnsi="Verdana" w:cs="Palatino-Italic"/>
      <w:iCs/>
      <w:sz w:val="16"/>
      <w:szCs w:val="18"/>
      <w:lang w:val="es-ES" w:bidi="en-US"/>
    </w:rPr>
  </w:style>
  <w:style w:type="paragraph" w:styleId="Title">
    <w:name w:val="Title"/>
    <w:basedOn w:val="Normal"/>
    <w:next w:val="Normal"/>
    <w:link w:val="TitleChar"/>
    <w:uiPriority w:val="10"/>
    <w:qFormat/>
    <w:rsid w:val="00496F2F"/>
    <w:pPr>
      <w:tabs>
        <w:tab w:val="left" w:pos="567"/>
      </w:tabs>
      <w:spacing w:after="0" w:line="240" w:lineRule="auto"/>
      <w:jc w:val="center"/>
      <w:outlineLvl w:val="0"/>
    </w:pPr>
    <w:rPr>
      <w:rFonts w:eastAsiaTheme="minorHAnsi" w:cstheme="minorBidi"/>
      <w:b/>
      <w:spacing w:val="-4"/>
      <w:szCs w:val="20"/>
      <w:lang w:val="es-ES_tradnl" w:eastAsia="es-ES"/>
    </w:rPr>
  </w:style>
  <w:style w:type="character" w:customStyle="1" w:styleId="TitleChar">
    <w:name w:val="Title Char"/>
    <w:basedOn w:val="DefaultParagraphFont"/>
    <w:link w:val="Title"/>
    <w:uiPriority w:val="10"/>
    <w:rsid w:val="00496F2F"/>
    <w:rPr>
      <w:rFonts w:ascii="Verdana" w:hAnsi="Verdana"/>
      <w:b/>
      <w:spacing w:val="-4"/>
      <w:sz w:val="20"/>
      <w:szCs w:val="20"/>
      <w:lang w:val="es-ES_tradnl" w:eastAsia="es-ES"/>
    </w:rPr>
  </w:style>
  <w:style w:type="character" w:customStyle="1" w:styleId="PrrafodeSentenciaChar">
    <w:name w:val="*. Párrafo de Sentencia Char"/>
    <w:basedOn w:val="DefaultParagraphFont"/>
    <w:link w:val="PrrafodeSentencia"/>
    <w:locked/>
    <w:rsid w:val="001B7CCF"/>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1B7CCF"/>
    <w:pPr>
      <w:numPr>
        <w:numId w:val="11"/>
      </w:numPr>
      <w:spacing w:after="0" w:line="240" w:lineRule="auto"/>
      <w:ind w:left="720"/>
    </w:pPr>
    <w:rPr>
      <w:rFonts w:eastAsia="Batang"/>
      <w:spacing w:val="-4"/>
      <w:szCs w:val="20"/>
      <w:lang w:val="es-MX" w:eastAsia="es-MX"/>
    </w:rPr>
  </w:style>
  <w:style w:type="character" w:styleId="SubtleEmphasis">
    <w:name w:val="Subtle Emphasis"/>
    <w:basedOn w:val="DefaultParagraphFont"/>
    <w:uiPriority w:val="19"/>
    <w:qFormat/>
    <w:rsid w:val="004C005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
    <w:basedOn w:val="Normal"/>
    <w:link w:val="ListParagraphChar"/>
    <w:uiPriority w:val="34"/>
    <w:qFormat/>
    <w:rsid w:val="00475443"/>
    <w:pPr>
      <w:ind w:left="720"/>
      <w:contextualSpacing/>
    </w:pPr>
  </w:style>
  <w:style w:type="character" w:customStyle="1" w:styleId="ListParagraphChar">
    <w:name w:val="List Paragraph Char"/>
    <w:aliases w:val="Footnote Char"/>
    <w:basedOn w:val="DefaultParagraphFont"/>
    <w:link w:val="ListParagraph"/>
    <w:uiPriority w:val="34"/>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paragraph" w:customStyle="1" w:styleId="Footnotes">
    <w:name w:val="**. Footnotes"/>
    <w:basedOn w:val="FootnoteText"/>
    <w:link w:val="FootnotesChar"/>
    <w:qFormat/>
    <w:rsid w:val="00496F2F"/>
    <w:pPr>
      <w:tabs>
        <w:tab w:val="left" w:pos="426"/>
      </w:tabs>
      <w:spacing w:after="120"/>
      <w:jc w:val="both"/>
    </w:pPr>
    <w:rPr>
      <w:rFonts w:eastAsia="Times New Roman" w:cs="Palatino-Italic"/>
      <w:iCs/>
      <w:szCs w:val="18"/>
      <w:lang w:val="es-ES" w:bidi="en-US"/>
    </w:rPr>
  </w:style>
  <w:style w:type="character" w:customStyle="1" w:styleId="FootnotesChar">
    <w:name w:val="**. Footnotes Char"/>
    <w:basedOn w:val="DefaultParagraphFont"/>
    <w:link w:val="Footnotes"/>
    <w:rsid w:val="00496F2F"/>
    <w:rPr>
      <w:rFonts w:ascii="Verdana" w:eastAsia="Times New Roman" w:hAnsi="Verdana" w:cs="Palatino-Italic"/>
      <w:iCs/>
      <w:sz w:val="16"/>
      <w:szCs w:val="18"/>
      <w:lang w:val="es-ES" w:bidi="en-US"/>
    </w:rPr>
  </w:style>
  <w:style w:type="paragraph" w:styleId="Title">
    <w:name w:val="Title"/>
    <w:basedOn w:val="Normal"/>
    <w:next w:val="Normal"/>
    <w:link w:val="TitleChar"/>
    <w:uiPriority w:val="10"/>
    <w:qFormat/>
    <w:rsid w:val="00496F2F"/>
    <w:pPr>
      <w:tabs>
        <w:tab w:val="left" w:pos="567"/>
      </w:tabs>
      <w:spacing w:after="0" w:line="240" w:lineRule="auto"/>
      <w:jc w:val="center"/>
      <w:outlineLvl w:val="0"/>
    </w:pPr>
    <w:rPr>
      <w:rFonts w:eastAsiaTheme="minorHAnsi" w:cstheme="minorBidi"/>
      <w:b/>
      <w:spacing w:val="-4"/>
      <w:szCs w:val="20"/>
      <w:lang w:val="es-ES_tradnl" w:eastAsia="es-ES"/>
    </w:rPr>
  </w:style>
  <w:style w:type="character" w:customStyle="1" w:styleId="TitleChar">
    <w:name w:val="Title Char"/>
    <w:basedOn w:val="DefaultParagraphFont"/>
    <w:link w:val="Title"/>
    <w:uiPriority w:val="10"/>
    <w:rsid w:val="00496F2F"/>
    <w:rPr>
      <w:rFonts w:ascii="Verdana" w:hAnsi="Verdana"/>
      <w:b/>
      <w:spacing w:val="-4"/>
      <w:sz w:val="20"/>
      <w:szCs w:val="20"/>
      <w:lang w:val="es-ES_tradnl" w:eastAsia="es-ES"/>
    </w:rPr>
  </w:style>
  <w:style w:type="character" w:customStyle="1" w:styleId="PrrafodeSentenciaChar">
    <w:name w:val="*. Párrafo de Sentencia Char"/>
    <w:basedOn w:val="DefaultParagraphFont"/>
    <w:link w:val="PrrafodeSentencia"/>
    <w:locked/>
    <w:rsid w:val="001B7CCF"/>
    <w:rPr>
      <w:rFonts w:ascii="Verdana" w:eastAsia="Batang" w:hAnsi="Verdana" w:cs="Times New Roman"/>
      <w:spacing w:val="-4"/>
      <w:sz w:val="20"/>
      <w:szCs w:val="20"/>
      <w:lang w:val="es-MX" w:eastAsia="es-MX"/>
    </w:rPr>
  </w:style>
  <w:style w:type="paragraph" w:customStyle="1" w:styleId="PrrafodeSentencia">
    <w:name w:val="*. Párrafo de Sentencia"/>
    <w:basedOn w:val="ListParagraph"/>
    <w:link w:val="PrrafodeSentenciaChar"/>
    <w:qFormat/>
    <w:rsid w:val="001B7CCF"/>
    <w:pPr>
      <w:numPr>
        <w:numId w:val="11"/>
      </w:numPr>
      <w:spacing w:after="0" w:line="240" w:lineRule="auto"/>
      <w:ind w:left="720"/>
    </w:pPr>
    <w:rPr>
      <w:rFonts w:eastAsia="Batang"/>
      <w:spacing w:val="-4"/>
      <w:szCs w:val="20"/>
      <w:lang w:val="es-MX" w:eastAsia="es-MX"/>
    </w:rPr>
  </w:style>
  <w:style w:type="character" w:styleId="SubtleEmphasis">
    <w:name w:val="Subtle Emphasis"/>
    <w:basedOn w:val="DefaultParagraphFont"/>
    <w:uiPriority w:val="19"/>
    <w:qFormat/>
    <w:rsid w:val="004C005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6328">
      <w:bodyDiv w:val="1"/>
      <w:marLeft w:val="0"/>
      <w:marRight w:val="0"/>
      <w:marTop w:val="0"/>
      <w:marBottom w:val="0"/>
      <w:divBdr>
        <w:top w:val="none" w:sz="0" w:space="0" w:color="auto"/>
        <w:left w:val="none" w:sz="0" w:space="0" w:color="auto"/>
        <w:bottom w:val="none" w:sz="0" w:space="0" w:color="auto"/>
        <w:right w:val="none" w:sz="0" w:space="0" w:color="auto"/>
      </w:divBdr>
      <w:divsChild>
        <w:div w:id="1250583423">
          <w:marLeft w:val="0"/>
          <w:marRight w:val="0"/>
          <w:marTop w:val="0"/>
          <w:marBottom w:val="0"/>
          <w:divBdr>
            <w:top w:val="none" w:sz="0" w:space="0" w:color="auto"/>
            <w:left w:val="none" w:sz="0" w:space="0" w:color="auto"/>
            <w:bottom w:val="none" w:sz="0" w:space="0" w:color="auto"/>
            <w:right w:val="none" w:sz="0" w:space="0" w:color="auto"/>
          </w:divBdr>
          <w:divsChild>
            <w:div w:id="2064908687">
              <w:marLeft w:val="0"/>
              <w:marRight w:val="0"/>
              <w:marTop w:val="0"/>
              <w:marBottom w:val="0"/>
              <w:divBdr>
                <w:top w:val="none" w:sz="0" w:space="0" w:color="auto"/>
                <w:left w:val="none" w:sz="0" w:space="0" w:color="auto"/>
                <w:bottom w:val="none" w:sz="0" w:space="0" w:color="auto"/>
                <w:right w:val="none" w:sz="0" w:space="0" w:color="auto"/>
              </w:divBdr>
              <w:divsChild>
                <w:div w:id="1672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4495">
      <w:bodyDiv w:val="1"/>
      <w:marLeft w:val="0"/>
      <w:marRight w:val="0"/>
      <w:marTop w:val="0"/>
      <w:marBottom w:val="0"/>
      <w:divBdr>
        <w:top w:val="none" w:sz="0" w:space="0" w:color="auto"/>
        <w:left w:val="none" w:sz="0" w:space="0" w:color="auto"/>
        <w:bottom w:val="none" w:sz="0" w:space="0" w:color="auto"/>
        <w:right w:val="none" w:sz="0" w:space="0" w:color="auto"/>
      </w:divBdr>
      <w:divsChild>
        <w:div w:id="555319252">
          <w:marLeft w:val="0"/>
          <w:marRight w:val="0"/>
          <w:marTop w:val="0"/>
          <w:marBottom w:val="0"/>
          <w:divBdr>
            <w:top w:val="none" w:sz="0" w:space="0" w:color="auto"/>
            <w:left w:val="none" w:sz="0" w:space="0" w:color="auto"/>
            <w:bottom w:val="none" w:sz="0" w:space="0" w:color="auto"/>
            <w:right w:val="none" w:sz="0" w:space="0" w:color="auto"/>
          </w:divBdr>
          <w:divsChild>
            <w:div w:id="69087066">
              <w:marLeft w:val="0"/>
              <w:marRight w:val="0"/>
              <w:marTop w:val="0"/>
              <w:marBottom w:val="0"/>
              <w:divBdr>
                <w:top w:val="none" w:sz="0" w:space="0" w:color="auto"/>
                <w:left w:val="none" w:sz="0" w:space="0" w:color="auto"/>
                <w:bottom w:val="none" w:sz="0" w:space="0" w:color="auto"/>
                <w:right w:val="none" w:sz="0" w:space="0" w:color="auto"/>
              </w:divBdr>
              <w:divsChild>
                <w:div w:id="1179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654">
      <w:bodyDiv w:val="1"/>
      <w:marLeft w:val="0"/>
      <w:marRight w:val="0"/>
      <w:marTop w:val="0"/>
      <w:marBottom w:val="0"/>
      <w:divBdr>
        <w:top w:val="none" w:sz="0" w:space="0" w:color="auto"/>
        <w:left w:val="none" w:sz="0" w:space="0" w:color="auto"/>
        <w:bottom w:val="none" w:sz="0" w:space="0" w:color="auto"/>
        <w:right w:val="none" w:sz="0" w:space="0" w:color="auto"/>
      </w:divBdr>
      <w:divsChild>
        <w:div w:id="1982225922">
          <w:marLeft w:val="0"/>
          <w:marRight w:val="0"/>
          <w:marTop w:val="0"/>
          <w:marBottom w:val="0"/>
          <w:divBdr>
            <w:top w:val="none" w:sz="0" w:space="0" w:color="auto"/>
            <w:left w:val="none" w:sz="0" w:space="0" w:color="auto"/>
            <w:bottom w:val="none" w:sz="0" w:space="0" w:color="auto"/>
            <w:right w:val="none" w:sz="0" w:space="0" w:color="auto"/>
          </w:divBdr>
          <w:divsChild>
            <w:div w:id="1852721380">
              <w:marLeft w:val="0"/>
              <w:marRight w:val="0"/>
              <w:marTop w:val="0"/>
              <w:marBottom w:val="0"/>
              <w:divBdr>
                <w:top w:val="none" w:sz="0" w:space="0" w:color="auto"/>
                <w:left w:val="none" w:sz="0" w:space="0" w:color="auto"/>
                <w:bottom w:val="none" w:sz="0" w:space="0" w:color="auto"/>
                <w:right w:val="none" w:sz="0" w:space="0" w:color="auto"/>
              </w:divBdr>
              <w:divsChild>
                <w:div w:id="18413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2361">
      <w:bodyDiv w:val="1"/>
      <w:marLeft w:val="0"/>
      <w:marRight w:val="0"/>
      <w:marTop w:val="0"/>
      <w:marBottom w:val="0"/>
      <w:divBdr>
        <w:top w:val="none" w:sz="0" w:space="0" w:color="auto"/>
        <w:left w:val="none" w:sz="0" w:space="0" w:color="auto"/>
        <w:bottom w:val="none" w:sz="0" w:space="0" w:color="auto"/>
        <w:right w:val="none" w:sz="0" w:space="0" w:color="auto"/>
      </w:divBdr>
      <w:divsChild>
        <w:div w:id="20133747">
          <w:marLeft w:val="0"/>
          <w:marRight w:val="0"/>
          <w:marTop w:val="0"/>
          <w:marBottom w:val="0"/>
          <w:divBdr>
            <w:top w:val="none" w:sz="0" w:space="0" w:color="auto"/>
            <w:left w:val="none" w:sz="0" w:space="0" w:color="auto"/>
            <w:bottom w:val="none" w:sz="0" w:space="0" w:color="auto"/>
            <w:right w:val="none" w:sz="0" w:space="0" w:color="auto"/>
          </w:divBdr>
          <w:divsChild>
            <w:div w:id="1455177399">
              <w:marLeft w:val="0"/>
              <w:marRight w:val="0"/>
              <w:marTop w:val="0"/>
              <w:marBottom w:val="0"/>
              <w:divBdr>
                <w:top w:val="none" w:sz="0" w:space="0" w:color="auto"/>
                <w:left w:val="none" w:sz="0" w:space="0" w:color="auto"/>
                <w:bottom w:val="none" w:sz="0" w:space="0" w:color="auto"/>
                <w:right w:val="none" w:sz="0" w:space="0" w:color="auto"/>
              </w:divBdr>
              <w:divsChild>
                <w:div w:id="150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072">
      <w:bodyDiv w:val="1"/>
      <w:marLeft w:val="0"/>
      <w:marRight w:val="0"/>
      <w:marTop w:val="0"/>
      <w:marBottom w:val="0"/>
      <w:divBdr>
        <w:top w:val="none" w:sz="0" w:space="0" w:color="auto"/>
        <w:left w:val="none" w:sz="0" w:space="0" w:color="auto"/>
        <w:bottom w:val="none" w:sz="0" w:space="0" w:color="auto"/>
        <w:right w:val="none" w:sz="0" w:space="0" w:color="auto"/>
      </w:divBdr>
      <w:divsChild>
        <w:div w:id="970474830">
          <w:marLeft w:val="0"/>
          <w:marRight w:val="0"/>
          <w:marTop w:val="0"/>
          <w:marBottom w:val="0"/>
          <w:divBdr>
            <w:top w:val="none" w:sz="0" w:space="0" w:color="auto"/>
            <w:left w:val="none" w:sz="0" w:space="0" w:color="auto"/>
            <w:bottom w:val="none" w:sz="0" w:space="0" w:color="auto"/>
            <w:right w:val="none" w:sz="0" w:space="0" w:color="auto"/>
          </w:divBdr>
          <w:divsChild>
            <w:div w:id="200478325">
              <w:marLeft w:val="0"/>
              <w:marRight w:val="0"/>
              <w:marTop w:val="0"/>
              <w:marBottom w:val="0"/>
              <w:divBdr>
                <w:top w:val="none" w:sz="0" w:space="0" w:color="auto"/>
                <w:left w:val="none" w:sz="0" w:space="0" w:color="auto"/>
                <w:bottom w:val="none" w:sz="0" w:space="0" w:color="auto"/>
                <w:right w:val="none" w:sz="0" w:space="0" w:color="auto"/>
              </w:divBdr>
              <w:divsChild>
                <w:div w:id="1396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083">
      <w:bodyDiv w:val="1"/>
      <w:marLeft w:val="0"/>
      <w:marRight w:val="0"/>
      <w:marTop w:val="0"/>
      <w:marBottom w:val="0"/>
      <w:divBdr>
        <w:top w:val="none" w:sz="0" w:space="0" w:color="auto"/>
        <w:left w:val="none" w:sz="0" w:space="0" w:color="auto"/>
        <w:bottom w:val="none" w:sz="0" w:space="0" w:color="auto"/>
        <w:right w:val="none" w:sz="0" w:space="0" w:color="auto"/>
      </w:divBdr>
      <w:divsChild>
        <w:div w:id="1727223844">
          <w:marLeft w:val="0"/>
          <w:marRight w:val="0"/>
          <w:marTop w:val="0"/>
          <w:marBottom w:val="0"/>
          <w:divBdr>
            <w:top w:val="none" w:sz="0" w:space="0" w:color="auto"/>
            <w:left w:val="none" w:sz="0" w:space="0" w:color="auto"/>
            <w:bottom w:val="none" w:sz="0" w:space="0" w:color="auto"/>
            <w:right w:val="none" w:sz="0" w:space="0" w:color="auto"/>
          </w:divBdr>
          <w:divsChild>
            <w:div w:id="2135754178">
              <w:marLeft w:val="0"/>
              <w:marRight w:val="0"/>
              <w:marTop w:val="0"/>
              <w:marBottom w:val="0"/>
              <w:divBdr>
                <w:top w:val="none" w:sz="0" w:space="0" w:color="auto"/>
                <w:left w:val="none" w:sz="0" w:space="0" w:color="auto"/>
                <w:bottom w:val="none" w:sz="0" w:space="0" w:color="auto"/>
                <w:right w:val="none" w:sz="0" w:space="0" w:color="auto"/>
              </w:divBdr>
              <w:divsChild>
                <w:div w:id="179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687">
      <w:bodyDiv w:val="1"/>
      <w:marLeft w:val="0"/>
      <w:marRight w:val="0"/>
      <w:marTop w:val="0"/>
      <w:marBottom w:val="0"/>
      <w:divBdr>
        <w:top w:val="none" w:sz="0" w:space="0" w:color="auto"/>
        <w:left w:val="none" w:sz="0" w:space="0" w:color="auto"/>
        <w:bottom w:val="none" w:sz="0" w:space="0" w:color="auto"/>
        <w:right w:val="none" w:sz="0" w:space="0" w:color="auto"/>
      </w:divBdr>
      <w:divsChild>
        <w:div w:id="745960406">
          <w:marLeft w:val="0"/>
          <w:marRight w:val="0"/>
          <w:marTop w:val="0"/>
          <w:marBottom w:val="0"/>
          <w:divBdr>
            <w:top w:val="none" w:sz="0" w:space="0" w:color="auto"/>
            <w:left w:val="none" w:sz="0" w:space="0" w:color="auto"/>
            <w:bottom w:val="none" w:sz="0" w:space="0" w:color="auto"/>
            <w:right w:val="none" w:sz="0" w:space="0" w:color="auto"/>
          </w:divBdr>
          <w:divsChild>
            <w:div w:id="592591750">
              <w:marLeft w:val="0"/>
              <w:marRight w:val="0"/>
              <w:marTop w:val="0"/>
              <w:marBottom w:val="0"/>
              <w:divBdr>
                <w:top w:val="none" w:sz="0" w:space="0" w:color="auto"/>
                <w:left w:val="none" w:sz="0" w:space="0" w:color="auto"/>
                <w:bottom w:val="none" w:sz="0" w:space="0" w:color="auto"/>
                <w:right w:val="none" w:sz="0" w:space="0" w:color="auto"/>
              </w:divBdr>
              <w:divsChild>
                <w:div w:id="169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04">
      <w:bodyDiv w:val="1"/>
      <w:marLeft w:val="0"/>
      <w:marRight w:val="0"/>
      <w:marTop w:val="0"/>
      <w:marBottom w:val="0"/>
      <w:divBdr>
        <w:top w:val="none" w:sz="0" w:space="0" w:color="auto"/>
        <w:left w:val="none" w:sz="0" w:space="0" w:color="auto"/>
        <w:bottom w:val="none" w:sz="0" w:space="0" w:color="auto"/>
        <w:right w:val="none" w:sz="0" w:space="0" w:color="auto"/>
      </w:divBdr>
      <w:divsChild>
        <w:div w:id="792484219">
          <w:marLeft w:val="0"/>
          <w:marRight w:val="0"/>
          <w:marTop w:val="0"/>
          <w:marBottom w:val="0"/>
          <w:divBdr>
            <w:top w:val="none" w:sz="0" w:space="0" w:color="auto"/>
            <w:left w:val="none" w:sz="0" w:space="0" w:color="auto"/>
            <w:bottom w:val="none" w:sz="0" w:space="0" w:color="auto"/>
            <w:right w:val="none" w:sz="0" w:space="0" w:color="auto"/>
          </w:divBdr>
          <w:divsChild>
            <w:div w:id="65229874">
              <w:marLeft w:val="0"/>
              <w:marRight w:val="0"/>
              <w:marTop w:val="0"/>
              <w:marBottom w:val="0"/>
              <w:divBdr>
                <w:top w:val="none" w:sz="0" w:space="0" w:color="auto"/>
                <w:left w:val="none" w:sz="0" w:space="0" w:color="auto"/>
                <w:bottom w:val="none" w:sz="0" w:space="0" w:color="auto"/>
                <w:right w:val="none" w:sz="0" w:space="0" w:color="auto"/>
              </w:divBdr>
              <w:divsChild>
                <w:div w:id="1671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F0233-5F54-4425-80C4-E6A9E4F5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15956</Characters>
  <Application>Microsoft Office Word</Application>
  <DocSecurity>4</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2016-06-22T20:47:00Z</cp:lastPrinted>
  <dcterms:created xsi:type="dcterms:W3CDTF">2016-06-24T21:00:00Z</dcterms:created>
  <dcterms:modified xsi:type="dcterms:W3CDTF">2016-06-24T21:00:00Z</dcterms:modified>
</cp:coreProperties>
</file>