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DCF7A" w14:textId="17109786" w:rsidR="0031184C" w:rsidRPr="00C043DE" w:rsidRDefault="0031184C" w:rsidP="0031184C">
      <w:pPr>
        <w:pStyle w:val="Title"/>
        <w:ind w:left="-142" w:right="-138"/>
        <w:jc w:val="left"/>
        <w:rPr>
          <w:rFonts w:eastAsia="MS Mincho"/>
          <w:b w:val="0"/>
          <w:bCs/>
          <w:noProof w:val="0"/>
          <w:sz w:val="16"/>
          <w:szCs w:val="16"/>
          <w:lang w:val="en-US"/>
        </w:rPr>
      </w:pPr>
    </w:p>
    <w:p w14:paraId="2228A5A4" w14:textId="1DA8EB78" w:rsidR="00D74F04" w:rsidRPr="00C043DE" w:rsidRDefault="00D74F04" w:rsidP="00873D12">
      <w:pPr>
        <w:pStyle w:val="Title"/>
        <w:ind w:right="-138"/>
        <w:jc w:val="both"/>
        <w:rPr>
          <w:rFonts w:eastAsia="MS Mincho"/>
          <w:b w:val="0"/>
          <w:bCs/>
          <w:noProof w:val="0"/>
          <w:sz w:val="16"/>
          <w:szCs w:val="16"/>
          <w:lang w:val="en-US"/>
        </w:rPr>
      </w:pPr>
    </w:p>
    <w:p w14:paraId="745E20CC" w14:textId="5A1D39E1" w:rsidR="0063510B" w:rsidRPr="00C043DE" w:rsidRDefault="0063510B" w:rsidP="00873D12">
      <w:pPr>
        <w:pStyle w:val="Title"/>
        <w:ind w:right="-138"/>
        <w:jc w:val="both"/>
        <w:rPr>
          <w:rFonts w:eastAsia="MS Mincho"/>
          <w:b w:val="0"/>
          <w:bCs/>
          <w:noProof w:val="0"/>
          <w:sz w:val="16"/>
          <w:szCs w:val="16"/>
          <w:lang w:val="en-US"/>
        </w:rPr>
      </w:pPr>
    </w:p>
    <w:p w14:paraId="2E424BAD" w14:textId="405DE4A5" w:rsidR="0063510B" w:rsidRPr="00C043DE" w:rsidRDefault="0063510B" w:rsidP="00873D12">
      <w:pPr>
        <w:pStyle w:val="Title"/>
        <w:ind w:right="-138"/>
        <w:jc w:val="both"/>
        <w:rPr>
          <w:rFonts w:eastAsia="MS Mincho"/>
          <w:b w:val="0"/>
          <w:bCs/>
          <w:noProof w:val="0"/>
          <w:sz w:val="16"/>
          <w:szCs w:val="16"/>
          <w:lang w:val="en-US"/>
        </w:rPr>
      </w:pPr>
    </w:p>
    <w:p w14:paraId="6D195BA4" w14:textId="00DD8A48" w:rsidR="0063510B" w:rsidRPr="00C043DE" w:rsidRDefault="0063510B" w:rsidP="00873D12">
      <w:pPr>
        <w:pStyle w:val="Title"/>
        <w:ind w:right="-138"/>
        <w:jc w:val="both"/>
        <w:rPr>
          <w:rFonts w:eastAsia="MS Mincho"/>
          <w:b w:val="0"/>
          <w:bCs/>
          <w:noProof w:val="0"/>
          <w:sz w:val="16"/>
          <w:szCs w:val="16"/>
          <w:lang w:val="en-US"/>
        </w:rPr>
      </w:pPr>
    </w:p>
    <w:p w14:paraId="4E0EAE9E" w14:textId="77777777" w:rsidR="0063510B" w:rsidRPr="00C043DE" w:rsidRDefault="0063510B" w:rsidP="00873D12">
      <w:pPr>
        <w:pStyle w:val="Title"/>
        <w:ind w:right="-138"/>
        <w:jc w:val="both"/>
        <w:rPr>
          <w:rFonts w:eastAsia="MS Mincho"/>
          <w:b w:val="0"/>
          <w:bCs/>
          <w:noProof w:val="0"/>
          <w:sz w:val="16"/>
          <w:szCs w:val="16"/>
          <w:lang w:val="en-US"/>
        </w:rPr>
      </w:pPr>
    </w:p>
    <w:p w14:paraId="6E30B21D" w14:textId="77777777" w:rsidR="008213A4" w:rsidRPr="00C043DE" w:rsidRDefault="008213A4" w:rsidP="00873D12">
      <w:pPr>
        <w:pStyle w:val="Title"/>
        <w:ind w:right="-138"/>
        <w:jc w:val="both"/>
        <w:rPr>
          <w:rFonts w:eastAsia="MS Mincho"/>
          <w:noProof w:val="0"/>
          <w:lang w:val="en-US"/>
        </w:rPr>
      </w:pPr>
    </w:p>
    <w:p w14:paraId="67D08D48" w14:textId="4A67F2F1" w:rsidR="00C06FA0" w:rsidRPr="00C043DE" w:rsidRDefault="00C06FA0" w:rsidP="00522308">
      <w:pPr>
        <w:pStyle w:val="Title"/>
        <w:ind w:right="-138"/>
        <w:jc w:val="both"/>
        <w:rPr>
          <w:rFonts w:eastAsia="MS Mincho"/>
          <w:noProof w:val="0"/>
          <w:lang w:val="en-US"/>
        </w:rPr>
      </w:pPr>
    </w:p>
    <w:p w14:paraId="46C8F6B2" w14:textId="77777777" w:rsidR="00C06FA0" w:rsidRPr="00C043DE" w:rsidRDefault="00C06FA0" w:rsidP="00E01664">
      <w:pPr>
        <w:pStyle w:val="Title"/>
        <w:ind w:left="-142" w:right="-138"/>
        <w:rPr>
          <w:rFonts w:eastAsia="MS Mincho"/>
          <w:noProof w:val="0"/>
          <w:lang w:val="en-US"/>
        </w:rPr>
      </w:pPr>
    </w:p>
    <w:p w14:paraId="26ACE7F4" w14:textId="5E22398D" w:rsidR="00B17F8B" w:rsidRPr="004542B5" w:rsidRDefault="00562CBB" w:rsidP="00E01664">
      <w:pPr>
        <w:pStyle w:val="Title"/>
        <w:ind w:left="-142" w:right="-138"/>
        <w:rPr>
          <w:rFonts w:eastAsia="MS Mincho"/>
          <w:noProof w:val="0"/>
          <w:lang w:val="en-US"/>
        </w:rPr>
      </w:pPr>
      <w:r w:rsidRPr="004542B5">
        <w:rPr>
          <w:rFonts w:eastAsia="MS Mincho"/>
          <w:noProof w:val="0"/>
          <w:lang w:val="en-US"/>
        </w:rPr>
        <w:t>INTER-AMERICAN COURT OF HUMAN RIGHTS</w:t>
      </w:r>
    </w:p>
    <w:p w14:paraId="524B3496" w14:textId="77777777" w:rsidR="00B17F8B" w:rsidRPr="004542B5" w:rsidRDefault="00B17F8B" w:rsidP="00EE3CA8">
      <w:pPr>
        <w:pStyle w:val="Title"/>
        <w:ind w:left="-142" w:right="-138"/>
        <w:jc w:val="both"/>
        <w:rPr>
          <w:rFonts w:eastAsia="MS Mincho"/>
          <w:noProof w:val="0"/>
          <w:sz w:val="16"/>
          <w:lang w:val="en-US"/>
        </w:rPr>
      </w:pPr>
    </w:p>
    <w:p w14:paraId="2A2D3A22" w14:textId="77777777" w:rsidR="00B17F8B" w:rsidRPr="004542B5" w:rsidRDefault="00B17F8B" w:rsidP="00E01664">
      <w:pPr>
        <w:pStyle w:val="Title"/>
        <w:tabs>
          <w:tab w:val="left" w:pos="7501"/>
        </w:tabs>
        <w:ind w:left="-142" w:right="-138"/>
        <w:rPr>
          <w:rFonts w:eastAsia="MS Mincho"/>
          <w:noProof w:val="0"/>
          <w:sz w:val="16"/>
          <w:lang w:val="en-US"/>
        </w:rPr>
      </w:pPr>
    </w:p>
    <w:p w14:paraId="241BE373" w14:textId="77777777" w:rsidR="00B17F8B" w:rsidRPr="004542B5" w:rsidRDefault="00B17F8B" w:rsidP="00E01664">
      <w:pPr>
        <w:pStyle w:val="Title"/>
        <w:ind w:left="-142" w:right="-138"/>
        <w:rPr>
          <w:rFonts w:eastAsia="MS Mincho"/>
          <w:noProof w:val="0"/>
          <w:lang w:val="en-US"/>
        </w:rPr>
      </w:pPr>
    </w:p>
    <w:p w14:paraId="5CF175FD" w14:textId="1CC3B849" w:rsidR="00B17F8B" w:rsidRPr="004542B5" w:rsidRDefault="00562CBB" w:rsidP="00E01664">
      <w:pPr>
        <w:jc w:val="center"/>
        <w:rPr>
          <w:b/>
          <w:i/>
          <w:smallCaps/>
          <w:noProof w:val="0"/>
          <w:szCs w:val="20"/>
          <w:lang w:val="en-US" w:eastAsia="es-ES"/>
        </w:rPr>
      </w:pPr>
      <w:r w:rsidRPr="004542B5">
        <w:rPr>
          <w:b/>
          <w:i/>
          <w:smallCaps/>
          <w:noProof w:val="0"/>
          <w:szCs w:val="20"/>
          <w:lang w:val="en-US" w:eastAsia="es-ES"/>
        </w:rPr>
        <w:t xml:space="preserve">CASE OF THE KUNA INDIGENOUS PEOPLE OF MADUNGANDÍ AND THE </w:t>
      </w:r>
      <w:r w:rsidR="00AD34D8" w:rsidRPr="004542B5">
        <w:rPr>
          <w:b/>
          <w:i/>
          <w:smallCaps/>
          <w:noProof w:val="0"/>
          <w:szCs w:val="20"/>
          <w:lang w:val="en-US" w:eastAsia="es-ES"/>
        </w:rPr>
        <w:t>EMBERÁ</w:t>
      </w:r>
      <w:r w:rsidRPr="004542B5">
        <w:rPr>
          <w:b/>
          <w:i/>
          <w:smallCaps/>
          <w:noProof w:val="0"/>
          <w:szCs w:val="20"/>
          <w:lang w:val="en-US" w:eastAsia="es-ES"/>
        </w:rPr>
        <w:t xml:space="preserve"> INDIGENOUS PEOPLE OF BAYANO AND THEIR MEMBERS </w:t>
      </w:r>
      <w:r w:rsidR="00B17F8B" w:rsidRPr="004542B5">
        <w:rPr>
          <w:b/>
          <w:i/>
          <w:smallCaps/>
          <w:noProof w:val="0"/>
          <w:szCs w:val="20"/>
          <w:lang w:val="en-US" w:eastAsia="es-ES"/>
        </w:rPr>
        <w:t xml:space="preserve">V. </w:t>
      </w:r>
      <w:r w:rsidRPr="004542B5">
        <w:rPr>
          <w:b/>
          <w:i/>
          <w:smallCaps/>
          <w:noProof w:val="0"/>
          <w:szCs w:val="20"/>
          <w:lang w:val="en-US" w:eastAsia="es-ES"/>
        </w:rPr>
        <w:t>PANAMA</w:t>
      </w:r>
    </w:p>
    <w:p w14:paraId="36484221" w14:textId="77777777" w:rsidR="00B17F8B" w:rsidRPr="004542B5" w:rsidRDefault="00B17F8B" w:rsidP="00E01664">
      <w:pPr>
        <w:pStyle w:val="Title"/>
        <w:ind w:left="-142" w:right="-138"/>
        <w:rPr>
          <w:rFonts w:eastAsia="MS Mincho"/>
          <w:noProof w:val="0"/>
          <w:sz w:val="16"/>
          <w:lang w:val="en-US"/>
        </w:rPr>
      </w:pPr>
    </w:p>
    <w:p w14:paraId="0D1DAFF4" w14:textId="77777777" w:rsidR="00B17F8B" w:rsidRPr="004542B5" w:rsidRDefault="00B17F8B" w:rsidP="00E01664">
      <w:pPr>
        <w:pStyle w:val="Title"/>
        <w:ind w:left="-142" w:right="-138"/>
        <w:rPr>
          <w:rFonts w:eastAsia="MS Mincho"/>
          <w:noProof w:val="0"/>
          <w:sz w:val="16"/>
          <w:lang w:val="en-US"/>
        </w:rPr>
      </w:pPr>
    </w:p>
    <w:p w14:paraId="46F3CD73" w14:textId="77777777" w:rsidR="00B17F8B" w:rsidRPr="004542B5" w:rsidRDefault="00B17F8B" w:rsidP="00E01664">
      <w:pPr>
        <w:pStyle w:val="Title"/>
        <w:ind w:left="-142" w:right="-138"/>
        <w:rPr>
          <w:rFonts w:eastAsia="MS Mincho"/>
          <w:noProof w:val="0"/>
          <w:lang w:val="en-US"/>
        </w:rPr>
      </w:pPr>
    </w:p>
    <w:p w14:paraId="121D9C42" w14:textId="26981837" w:rsidR="00B17F8B" w:rsidRPr="004542B5" w:rsidRDefault="00562CBB" w:rsidP="00E01664">
      <w:pPr>
        <w:pStyle w:val="Title"/>
        <w:ind w:left="-142" w:right="-138"/>
        <w:rPr>
          <w:rFonts w:eastAsia="MS Mincho"/>
          <w:noProof w:val="0"/>
          <w:lang w:val="en-US"/>
        </w:rPr>
      </w:pPr>
      <w:r w:rsidRPr="004542B5">
        <w:rPr>
          <w:rFonts w:eastAsia="MS Mincho"/>
          <w:noProof w:val="0"/>
          <w:lang w:val="en-US"/>
        </w:rPr>
        <w:t>JUDGMENT OF OCTOBER</w:t>
      </w:r>
      <w:r w:rsidR="00B17F8B" w:rsidRPr="004542B5">
        <w:rPr>
          <w:rFonts w:eastAsia="MS Mincho"/>
          <w:noProof w:val="0"/>
          <w:lang w:val="en-US"/>
        </w:rPr>
        <w:t xml:space="preserve"> </w:t>
      </w:r>
      <w:r w:rsidR="0066427B" w:rsidRPr="004542B5">
        <w:rPr>
          <w:rFonts w:eastAsia="MS Mincho"/>
          <w:noProof w:val="0"/>
          <w:lang w:val="en-US"/>
        </w:rPr>
        <w:t>14</w:t>
      </w:r>
      <w:r w:rsidRPr="004542B5">
        <w:rPr>
          <w:rFonts w:eastAsia="MS Mincho"/>
          <w:noProof w:val="0"/>
          <w:lang w:val="en-US"/>
        </w:rPr>
        <w:t xml:space="preserve">, </w:t>
      </w:r>
      <w:r w:rsidR="00B17F8B" w:rsidRPr="004542B5">
        <w:rPr>
          <w:rFonts w:eastAsia="MS Mincho"/>
          <w:noProof w:val="0"/>
          <w:lang w:val="en-US"/>
        </w:rPr>
        <w:t>2014</w:t>
      </w:r>
    </w:p>
    <w:p w14:paraId="15003D89" w14:textId="187DE3F2" w:rsidR="00B17F8B" w:rsidRPr="004542B5" w:rsidRDefault="00B17F8B" w:rsidP="00E01664">
      <w:pPr>
        <w:pStyle w:val="Subtitle"/>
        <w:ind w:left="-142" w:right="-138"/>
        <w:rPr>
          <w:noProof w:val="0"/>
          <w:lang w:val="en-US"/>
        </w:rPr>
      </w:pPr>
    </w:p>
    <w:p w14:paraId="45457507" w14:textId="77777777" w:rsidR="00B17F8B" w:rsidRPr="004542B5" w:rsidRDefault="00B17F8B" w:rsidP="00E01664">
      <w:pPr>
        <w:ind w:left="-142" w:right="-138"/>
        <w:rPr>
          <w:noProof w:val="0"/>
          <w:szCs w:val="20"/>
          <w:lang w:val="en-US"/>
        </w:rPr>
      </w:pPr>
    </w:p>
    <w:p w14:paraId="14A77998" w14:textId="217BAC4D" w:rsidR="00B17F8B" w:rsidRPr="004542B5" w:rsidRDefault="00B17F8B" w:rsidP="00E01664">
      <w:pPr>
        <w:ind w:left="-142" w:right="-138"/>
        <w:rPr>
          <w:noProof w:val="0"/>
          <w:szCs w:val="20"/>
          <w:lang w:val="en-US"/>
        </w:rPr>
      </w:pPr>
    </w:p>
    <w:p w14:paraId="208DC9DC" w14:textId="77777777" w:rsidR="008A56D7" w:rsidRPr="004542B5" w:rsidRDefault="008A56D7" w:rsidP="00E01664">
      <w:pPr>
        <w:ind w:left="-142" w:right="-138"/>
        <w:rPr>
          <w:noProof w:val="0"/>
          <w:szCs w:val="20"/>
          <w:lang w:val="en-US"/>
        </w:rPr>
      </w:pPr>
    </w:p>
    <w:p w14:paraId="77F06CD8" w14:textId="727802E1" w:rsidR="00B17F8B" w:rsidRPr="004542B5" w:rsidRDefault="00B17F8B" w:rsidP="00E01664">
      <w:pPr>
        <w:ind w:left="-142" w:right="-138"/>
        <w:rPr>
          <w:noProof w:val="0"/>
          <w:szCs w:val="20"/>
          <w:lang w:val="en-US"/>
        </w:rPr>
      </w:pPr>
    </w:p>
    <w:p w14:paraId="01137970" w14:textId="77777777" w:rsidR="00F3300A" w:rsidRPr="004542B5" w:rsidRDefault="00F3300A" w:rsidP="00E01664">
      <w:pPr>
        <w:ind w:left="-142" w:right="-138"/>
        <w:rPr>
          <w:noProof w:val="0"/>
          <w:szCs w:val="20"/>
          <w:lang w:val="en-US"/>
        </w:rPr>
      </w:pPr>
    </w:p>
    <w:p w14:paraId="5D8C9640" w14:textId="55FF6373" w:rsidR="00B17F8B" w:rsidRPr="004542B5" w:rsidRDefault="008A56D7" w:rsidP="00E01664">
      <w:pPr>
        <w:rPr>
          <w:noProof w:val="0"/>
          <w:szCs w:val="20"/>
          <w:lang w:val="en-US"/>
        </w:rPr>
      </w:pPr>
      <w:r w:rsidRPr="004542B5">
        <w:rPr>
          <w:noProof w:val="0"/>
          <w:szCs w:val="20"/>
          <w:lang w:val="en-US"/>
        </w:rPr>
        <w:t>In the</w:t>
      </w:r>
      <w:r w:rsidR="00B17F8B" w:rsidRPr="004542B5">
        <w:rPr>
          <w:noProof w:val="0"/>
          <w:szCs w:val="20"/>
          <w:lang w:val="en-US"/>
        </w:rPr>
        <w:t xml:space="preserve"> </w:t>
      </w:r>
      <w:r w:rsidRPr="004542B5">
        <w:rPr>
          <w:i/>
          <w:noProof w:val="0"/>
          <w:szCs w:val="20"/>
          <w:lang w:val="en-US"/>
        </w:rPr>
        <w:t xml:space="preserve">case of the Kuna Indigenous People of Madungandí and the </w:t>
      </w:r>
      <w:r w:rsidR="00AD34D8" w:rsidRPr="004542B5">
        <w:rPr>
          <w:i/>
          <w:noProof w:val="0"/>
          <w:szCs w:val="20"/>
          <w:lang w:val="en-US"/>
        </w:rPr>
        <w:t>Emberá</w:t>
      </w:r>
      <w:r w:rsidRPr="004542B5">
        <w:rPr>
          <w:i/>
          <w:noProof w:val="0"/>
          <w:szCs w:val="20"/>
          <w:lang w:val="en-US"/>
        </w:rPr>
        <w:t xml:space="preserve"> Indigenous People of Bayano and their members</w:t>
      </w:r>
      <w:r w:rsidR="009B2685" w:rsidRPr="004542B5">
        <w:rPr>
          <w:i/>
          <w:noProof w:val="0"/>
          <w:szCs w:val="20"/>
          <w:lang w:val="en-US"/>
        </w:rPr>
        <w:t>,</w:t>
      </w:r>
      <w:r w:rsidR="00B17F8B" w:rsidRPr="004542B5">
        <w:rPr>
          <w:i/>
          <w:noProof w:val="0"/>
          <w:szCs w:val="20"/>
          <w:lang w:val="en-US"/>
        </w:rPr>
        <w:t xml:space="preserve"> </w:t>
      </w:r>
    </w:p>
    <w:p w14:paraId="06385DD5" w14:textId="77777777" w:rsidR="0063510B" w:rsidRPr="004542B5" w:rsidRDefault="0063510B" w:rsidP="0063510B">
      <w:pPr>
        <w:ind w:right="-138"/>
        <w:rPr>
          <w:noProof w:val="0"/>
          <w:szCs w:val="20"/>
          <w:lang w:val="en-US"/>
        </w:rPr>
      </w:pPr>
    </w:p>
    <w:p w14:paraId="6F84925E" w14:textId="571F8695" w:rsidR="00B17F8B" w:rsidRPr="004542B5" w:rsidRDefault="00562CBB" w:rsidP="00E01664">
      <w:pPr>
        <w:ind w:right="-138"/>
        <w:rPr>
          <w:noProof w:val="0"/>
          <w:lang w:val="en-US"/>
        </w:rPr>
      </w:pPr>
      <w:r w:rsidRPr="004542B5">
        <w:rPr>
          <w:noProof w:val="0"/>
          <w:lang w:val="en-US"/>
        </w:rPr>
        <w:t>the Inter-American Court of Human Rights</w:t>
      </w:r>
      <w:r w:rsidR="00B17F8B" w:rsidRPr="004542B5">
        <w:rPr>
          <w:noProof w:val="0"/>
          <w:lang w:val="en-US"/>
        </w:rPr>
        <w:t xml:space="preserve"> (</w:t>
      </w:r>
      <w:r w:rsidRPr="004542B5">
        <w:rPr>
          <w:noProof w:val="0"/>
          <w:lang w:val="en-US"/>
        </w:rPr>
        <w:t>hereinafter</w:t>
      </w:r>
      <w:r w:rsidR="00B17F8B" w:rsidRPr="004542B5">
        <w:rPr>
          <w:noProof w:val="0"/>
          <w:lang w:val="en-US"/>
        </w:rPr>
        <w:t xml:space="preserve"> “</w:t>
      </w:r>
      <w:r w:rsidRPr="004542B5">
        <w:rPr>
          <w:noProof w:val="0"/>
          <w:lang w:val="en-US"/>
        </w:rPr>
        <w:t>the Inter-American Court</w:t>
      </w:r>
      <w:r w:rsidR="00B17F8B" w:rsidRPr="004542B5">
        <w:rPr>
          <w:noProof w:val="0"/>
          <w:lang w:val="en-US"/>
        </w:rPr>
        <w:t>” o</w:t>
      </w:r>
      <w:r w:rsidR="008A56D7" w:rsidRPr="004542B5">
        <w:rPr>
          <w:noProof w:val="0"/>
          <w:lang w:val="en-US"/>
        </w:rPr>
        <w:t>r</w:t>
      </w:r>
      <w:r w:rsidR="00B17F8B" w:rsidRPr="004542B5">
        <w:rPr>
          <w:noProof w:val="0"/>
          <w:lang w:val="en-US"/>
        </w:rPr>
        <w:t xml:space="preserve"> “</w:t>
      </w:r>
      <w:r w:rsidRPr="004542B5">
        <w:rPr>
          <w:noProof w:val="0"/>
          <w:lang w:val="en-US"/>
        </w:rPr>
        <w:t>the Court</w:t>
      </w:r>
      <w:r w:rsidR="00B17F8B" w:rsidRPr="004542B5">
        <w:rPr>
          <w:noProof w:val="0"/>
          <w:lang w:val="en-US"/>
        </w:rPr>
        <w:t xml:space="preserve">”), </w:t>
      </w:r>
      <w:r w:rsidR="008A56D7" w:rsidRPr="004542B5">
        <w:rPr>
          <w:noProof w:val="0"/>
          <w:lang w:val="en-US"/>
        </w:rPr>
        <w:t>composed of the following judges:</w:t>
      </w:r>
      <w:r w:rsidR="00C05580" w:rsidRPr="004542B5">
        <w:rPr>
          <w:rStyle w:val="FootnoteReference"/>
          <w:noProof w:val="0"/>
          <w:lang w:val="en-US"/>
        </w:rPr>
        <w:footnoteReference w:customMarkFollows="1" w:id="1"/>
        <w:t>*</w:t>
      </w:r>
    </w:p>
    <w:p w14:paraId="4BF02525" w14:textId="77777777" w:rsidR="00B17F8B" w:rsidRPr="004542B5" w:rsidRDefault="00B17F8B" w:rsidP="00E01664">
      <w:pPr>
        <w:ind w:right="-138"/>
        <w:rPr>
          <w:noProof w:val="0"/>
          <w:sz w:val="16"/>
          <w:lang w:val="en-US"/>
        </w:rPr>
      </w:pPr>
    </w:p>
    <w:p w14:paraId="56CDE62A" w14:textId="6F7AF3CB" w:rsidR="00B17F8B" w:rsidRPr="004542B5" w:rsidRDefault="00B17F8B" w:rsidP="00E01664">
      <w:pPr>
        <w:pStyle w:val="citaindirecta"/>
        <w:ind w:right="-138"/>
        <w:rPr>
          <w:noProof w:val="0"/>
          <w:lang w:val="es-CR"/>
        </w:rPr>
      </w:pPr>
      <w:r w:rsidRPr="004542B5">
        <w:rPr>
          <w:noProof w:val="0"/>
          <w:lang w:val="es-CR"/>
        </w:rPr>
        <w:t xml:space="preserve">Humberto Antonio Sierra Porto, </w:t>
      </w:r>
      <w:proofErr w:type="spellStart"/>
      <w:r w:rsidR="00562CBB" w:rsidRPr="004542B5">
        <w:rPr>
          <w:noProof w:val="0"/>
          <w:lang w:val="es-CR"/>
        </w:rPr>
        <w:t>President</w:t>
      </w:r>
      <w:proofErr w:type="spellEnd"/>
    </w:p>
    <w:p w14:paraId="3403BE69" w14:textId="0330E3D4" w:rsidR="00B17F8B" w:rsidRPr="004542B5" w:rsidRDefault="00B17F8B" w:rsidP="00E01664">
      <w:pPr>
        <w:pStyle w:val="citaindirecta"/>
        <w:ind w:right="-138"/>
        <w:rPr>
          <w:noProof w:val="0"/>
          <w:lang w:val="es-CR"/>
        </w:rPr>
      </w:pPr>
      <w:r w:rsidRPr="004542B5">
        <w:rPr>
          <w:noProof w:val="0"/>
          <w:lang w:val="es-CR"/>
        </w:rPr>
        <w:t>Roberto F. Caldas, Vice</w:t>
      </w:r>
      <w:r w:rsidR="00562CBB" w:rsidRPr="004542B5">
        <w:rPr>
          <w:noProof w:val="0"/>
          <w:lang w:val="es-CR"/>
        </w:rPr>
        <w:t xml:space="preserve"> </w:t>
      </w:r>
      <w:proofErr w:type="spellStart"/>
      <w:r w:rsidR="00562CBB" w:rsidRPr="004542B5">
        <w:rPr>
          <w:noProof w:val="0"/>
          <w:lang w:val="es-CR"/>
        </w:rPr>
        <w:t>President</w:t>
      </w:r>
      <w:proofErr w:type="spellEnd"/>
    </w:p>
    <w:p w14:paraId="0EACA43B" w14:textId="08EE3383" w:rsidR="00B17F8B" w:rsidRPr="004542B5" w:rsidRDefault="00B17F8B" w:rsidP="00E01664">
      <w:pPr>
        <w:pStyle w:val="citaindirecta"/>
        <w:ind w:right="-138"/>
        <w:rPr>
          <w:noProof w:val="0"/>
          <w:lang w:val="es-CR"/>
        </w:rPr>
      </w:pPr>
      <w:r w:rsidRPr="004542B5">
        <w:rPr>
          <w:noProof w:val="0"/>
          <w:lang w:val="es-CR"/>
        </w:rPr>
        <w:t xml:space="preserve">Manuel E. Ventura Robles, </w:t>
      </w:r>
      <w:proofErr w:type="spellStart"/>
      <w:r w:rsidR="00562CBB" w:rsidRPr="004542B5">
        <w:rPr>
          <w:noProof w:val="0"/>
          <w:lang w:val="es-CR"/>
        </w:rPr>
        <w:t>Judge</w:t>
      </w:r>
      <w:proofErr w:type="spellEnd"/>
      <w:r w:rsidRPr="004542B5">
        <w:rPr>
          <w:noProof w:val="0"/>
          <w:lang w:val="es-CR"/>
        </w:rPr>
        <w:t xml:space="preserve"> </w:t>
      </w:r>
    </w:p>
    <w:p w14:paraId="102515FF" w14:textId="05A0E7ED" w:rsidR="00320402" w:rsidRPr="004542B5" w:rsidRDefault="00320402" w:rsidP="00E01664">
      <w:pPr>
        <w:pStyle w:val="citaindirecta"/>
        <w:ind w:right="-138"/>
        <w:rPr>
          <w:noProof w:val="0"/>
          <w:lang w:val="es-CR"/>
        </w:rPr>
      </w:pPr>
      <w:r w:rsidRPr="004542B5">
        <w:rPr>
          <w:noProof w:val="0"/>
          <w:lang w:val="es-CR"/>
        </w:rPr>
        <w:t xml:space="preserve">Diego García-Sayán, </w:t>
      </w:r>
      <w:proofErr w:type="spellStart"/>
      <w:r w:rsidR="00562CBB" w:rsidRPr="004542B5">
        <w:rPr>
          <w:noProof w:val="0"/>
          <w:lang w:val="es-CR"/>
        </w:rPr>
        <w:t>Judge</w:t>
      </w:r>
      <w:proofErr w:type="spellEnd"/>
    </w:p>
    <w:p w14:paraId="79C991B4" w14:textId="3784209A" w:rsidR="00B17F8B" w:rsidRPr="004542B5" w:rsidRDefault="00B17F8B" w:rsidP="00E01664">
      <w:pPr>
        <w:pStyle w:val="citaindirecta"/>
        <w:ind w:right="-138"/>
        <w:rPr>
          <w:noProof w:val="0"/>
          <w:lang w:val="en-US"/>
        </w:rPr>
      </w:pPr>
      <w:r w:rsidRPr="004542B5">
        <w:rPr>
          <w:noProof w:val="0"/>
          <w:lang w:val="en-US"/>
        </w:rPr>
        <w:t xml:space="preserve">Eduardo Vio Grossi, </w:t>
      </w:r>
      <w:r w:rsidR="00562CBB" w:rsidRPr="004542B5">
        <w:rPr>
          <w:noProof w:val="0"/>
          <w:lang w:val="en-US"/>
        </w:rPr>
        <w:t>Judge</w:t>
      </w:r>
      <w:r w:rsidRPr="004542B5">
        <w:rPr>
          <w:noProof w:val="0"/>
          <w:lang w:val="en-US"/>
        </w:rPr>
        <w:t xml:space="preserve">, </w:t>
      </w:r>
      <w:r w:rsidR="008A56D7" w:rsidRPr="004542B5">
        <w:rPr>
          <w:noProof w:val="0"/>
          <w:lang w:val="en-US"/>
        </w:rPr>
        <w:t>and</w:t>
      </w:r>
    </w:p>
    <w:p w14:paraId="44E79DD4" w14:textId="08875A21" w:rsidR="00B17F8B" w:rsidRPr="004542B5" w:rsidRDefault="00B17F8B" w:rsidP="00E01664">
      <w:pPr>
        <w:ind w:left="708" w:right="-138"/>
        <w:rPr>
          <w:noProof w:val="0"/>
          <w:lang w:val="en-US"/>
        </w:rPr>
      </w:pPr>
      <w:r w:rsidRPr="004542B5">
        <w:rPr>
          <w:noProof w:val="0"/>
          <w:lang w:val="en-US"/>
        </w:rPr>
        <w:t>Eduardo Ferrer M</w:t>
      </w:r>
      <w:r w:rsidR="00320402" w:rsidRPr="004542B5">
        <w:rPr>
          <w:noProof w:val="0"/>
          <w:lang w:val="en-US"/>
        </w:rPr>
        <w:t>a</w:t>
      </w:r>
      <w:r w:rsidRPr="004542B5">
        <w:rPr>
          <w:noProof w:val="0"/>
          <w:lang w:val="en-US"/>
        </w:rPr>
        <w:t>c</w:t>
      </w:r>
      <w:r w:rsidR="00320402" w:rsidRPr="004542B5">
        <w:rPr>
          <w:noProof w:val="0"/>
          <w:lang w:val="en-US"/>
        </w:rPr>
        <w:t>-</w:t>
      </w:r>
      <w:r w:rsidRPr="004542B5">
        <w:rPr>
          <w:noProof w:val="0"/>
          <w:lang w:val="en-US"/>
        </w:rPr>
        <w:t xml:space="preserve">Gregor Poisot, </w:t>
      </w:r>
      <w:r w:rsidR="00562CBB" w:rsidRPr="004542B5">
        <w:rPr>
          <w:noProof w:val="0"/>
          <w:lang w:val="en-US"/>
        </w:rPr>
        <w:t>Judge</w:t>
      </w:r>
    </w:p>
    <w:p w14:paraId="049E962D" w14:textId="77777777" w:rsidR="00B17F8B" w:rsidRPr="004542B5" w:rsidRDefault="00B17F8B" w:rsidP="00E01664">
      <w:pPr>
        <w:ind w:right="-138"/>
        <w:rPr>
          <w:noProof w:val="0"/>
          <w:lang w:val="en-US"/>
        </w:rPr>
      </w:pPr>
    </w:p>
    <w:p w14:paraId="52F3ECC0" w14:textId="23503A16" w:rsidR="00B17F8B" w:rsidRPr="004542B5" w:rsidRDefault="008A56D7" w:rsidP="00E01664">
      <w:pPr>
        <w:ind w:right="-138"/>
        <w:rPr>
          <w:noProof w:val="0"/>
          <w:lang w:val="en-US"/>
        </w:rPr>
      </w:pPr>
      <w:r w:rsidRPr="004542B5">
        <w:rPr>
          <w:noProof w:val="0"/>
          <w:lang w:val="en-US"/>
        </w:rPr>
        <w:t>also present</w:t>
      </w:r>
      <w:r w:rsidR="00B17F8B" w:rsidRPr="004542B5">
        <w:rPr>
          <w:noProof w:val="0"/>
          <w:lang w:val="en-US"/>
        </w:rPr>
        <w:t>,</w:t>
      </w:r>
    </w:p>
    <w:p w14:paraId="72CE68A0" w14:textId="77777777" w:rsidR="00B17F8B" w:rsidRPr="004542B5" w:rsidRDefault="00B17F8B" w:rsidP="00E01664">
      <w:pPr>
        <w:ind w:right="-138"/>
        <w:rPr>
          <w:noProof w:val="0"/>
          <w:lang w:val="en-US"/>
        </w:rPr>
      </w:pPr>
    </w:p>
    <w:p w14:paraId="7390AB06" w14:textId="1D6A1D87" w:rsidR="00B17F8B" w:rsidRPr="004542B5" w:rsidRDefault="00B17F8B" w:rsidP="00E01664">
      <w:pPr>
        <w:ind w:firstLine="708"/>
        <w:rPr>
          <w:noProof w:val="0"/>
          <w:lang w:val="en-US"/>
        </w:rPr>
      </w:pPr>
      <w:r w:rsidRPr="004542B5">
        <w:rPr>
          <w:noProof w:val="0"/>
          <w:lang w:val="en-US"/>
        </w:rPr>
        <w:t xml:space="preserve">Pablo Saavedra Alessandri, </w:t>
      </w:r>
      <w:r w:rsidR="00562CBB" w:rsidRPr="004542B5">
        <w:rPr>
          <w:noProof w:val="0"/>
          <w:lang w:val="en-US"/>
        </w:rPr>
        <w:t>Secretary</w:t>
      </w:r>
      <w:r w:rsidRPr="004542B5">
        <w:rPr>
          <w:noProof w:val="0"/>
          <w:lang w:val="en-US"/>
        </w:rPr>
        <w:t xml:space="preserve">, </w:t>
      </w:r>
      <w:r w:rsidR="008A56D7" w:rsidRPr="004542B5">
        <w:rPr>
          <w:noProof w:val="0"/>
          <w:lang w:val="en-US"/>
        </w:rPr>
        <w:t>and</w:t>
      </w:r>
    </w:p>
    <w:p w14:paraId="0FFDEA69" w14:textId="11E4AFD6" w:rsidR="00B17F8B" w:rsidRPr="004542B5" w:rsidRDefault="00B17F8B" w:rsidP="00E01664">
      <w:pPr>
        <w:ind w:left="708" w:right="-138"/>
        <w:rPr>
          <w:noProof w:val="0"/>
          <w:lang w:val="es-CR"/>
        </w:rPr>
      </w:pPr>
      <w:r w:rsidRPr="004542B5">
        <w:rPr>
          <w:noProof w:val="0"/>
          <w:lang w:val="es-CR"/>
        </w:rPr>
        <w:t xml:space="preserve">Emilia Segares Rodríguez, </w:t>
      </w:r>
      <w:proofErr w:type="spellStart"/>
      <w:r w:rsidR="008A56D7" w:rsidRPr="004542B5">
        <w:rPr>
          <w:noProof w:val="0"/>
          <w:lang w:val="es-CR"/>
        </w:rPr>
        <w:t>Deputy</w:t>
      </w:r>
      <w:proofErr w:type="spellEnd"/>
      <w:r w:rsidR="008A56D7" w:rsidRPr="004542B5">
        <w:rPr>
          <w:noProof w:val="0"/>
          <w:lang w:val="es-CR"/>
        </w:rPr>
        <w:t xml:space="preserve"> </w:t>
      </w:r>
      <w:proofErr w:type="spellStart"/>
      <w:r w:rsidRPr="004542B5">
        <w:rPr>
          <w:noProof w:val="0"/>
          <w:lang w:val="es-CR"/>
        </w:rPr>
        <w:t>Secre</w:t>
      </w:r>
      <w:r w:rsidR="008A56D7" w:rsidRPr="004542B5">
        <w:rPr>
          <w:noProof w:val="0"/>
          <w:lang w:val="es-CR"/>
        </w:rPr>
        <w:t>tary</w:t>
      </w:r>
      <w:proofErr w:type="spellEnd"/>
      <w:r w:rsidRPr="004542B5">
        <w:rPr>
          <w:noProof w:val="0"/>
          <w:lang w:val="es-CR"/>
        </w:rPr>
        <w:t>,</w:t>
      </w:r>
    </w:p>
    <w:p w14:paraId="1B1680E9" w14:textId="77777777" w:rsidR="00B17F8B" w:rsidRPr="004542B5" w:rsidRDefault="00B17F8B" w:rsidP="00E01664">
      <w:pPr>
        <w:ind w:right="-138"/>
        <w:rPr>
          <w:noProof w:val="0"/>
          <w:lang w:val="es-CR"/>
        </w:rPr>
      </w:pPr>
    </w:p>
    <w:p w14:paraId="495C180D" w14:textId="394E1444" w:rsidR="00B17F8B" w:rsidRPr="004542B5" w:rsidRDefault="008A56D7" w:rsidP="00E01664">
      <w:pPr>
        <w:ind w:right="-138"/>
        <w:rPr>
          <w:noProof w:val="0"/>
          <w:lang w:val="en-US"/>
        </w:rPr>
      </w:pPr>
      <w:r w:rsidRPr="004542B5">
        <w:rPr>
          <w:noProof w:val="0"/>
          <w:lang w:val="en-US"/>
        </w:rPr>
        <w:t xml:space="preserve">pursuant to </w:t>
      </w:r>
      <w:r w:rsidR="00562CBB" w:rsidRPr="004542B5">
        <w:rPr>
          <w:noProof w:val="0"/>
          <w:lang w:val="en-US"/>
        </w:rPr>
        <w:t>Articles</w:t>
      </w:r>
      <w:r w:rsidR="00B17F8B" w:rsidRPr="004542B5">
        <w:rPr>
          <w:noProof w:val="0"/>
          <w:lang w:val="en-US"/>
        </w:rPr>
        <w:t xml:space="preserve"> </w:t>
      </w:r>
      <w:r w:rsidRPr="004542B5">
        <w:rPr>
          <w:noProof w:val="0"/>
          <w:lang w:val="en-US"/>
        </w:rPr>
        <w:t>62(3)</w:t>
      </w:r>
      <w:r w:rsidR="00B17F8B" w:rsidRPr="004542B5">
        <w:rPr>
          <w:noProof w:val="0"/>
          <w:lang w:val="en-US"/>
        </w:rPr>
        <w:t xml:space="preserve"> </w:t>
      </w:r>
      <w:r w:rsidRPr="004542B5">
        <w:rPr>
          <w:noProof w:val="0"/>
          <w:lang w:val="en-US"/>
        </w:rPr>
        <w:t>and</w:t>
      </w:r>
      <w:r w:rsidR="00B17F8B" w:rsidRPr="004542B5">
        <w:rPr>
          <w:noProof w:val="0"/>
          <w:lang w:val="en-US"/>
        </w:rPr>
        <w:t xml:space="preserve"> </w:t>
      </w:r>
      <w:r w:rsidRPr="004542B5">
        <w:rPr>
          <w:noProof w:val="0"/>
          <w:lang w:val="en-US"/>
        </w:rPr>
        <w:t xml:space="preserve">63(1) of the </w:t>
      </w:r>
      <w:r w:rsidR="00562CBB" w:rsidRPr="004542B5">
        <w:rPr>
          <w:noProof w:val="0"/>
          <w:lang w:val="en-US"/>
        </w:rPr>
        <w:t>American Convention on Human Rights</w:t>
      </w:r>
      <w:r w:rsidR="00B17F8B" w:rsidRPr="004542B5">
        <w:rPr>
          <w:noProof w:val="0"/>
          <w:lang w:val="en-US"/>
        </w:rPr>
        <w:t xml:space="preserve"> (</w:t>
      </w:r>
      <w:r w:rsidR="00562CBB" w:rsidRPr="004542B5">
        <w:rPr>
          <w:noProof w:val="0"/>
          <w:lang w:val="en-US"/>
        </w:rPr>
        <w:t>hereinafter</w:t>
      </w:r>
      <w:r w:rsidR="00B17F8B" w:rsidRPr="004542B5">
        <w:rPr>
          <w:noProof w:val="0"/>
          <w:lang w:val="en-US"/>
        </w:rPr>
        <w:t>, “</w:t>
      </w:r>
      <w:r w:rsidR="00562CBB" w:rsidRPr="004542B5">
        <w:rPr>
          <w:noProof w:val="0"/>
          <w:lang w:val="en-US"/>
        </w:rPr>
        <w:t>the American Convention</w:t>
      </w:r>
      <w:r w:rsidR="00B17F8B" w:rsidRPr="004542B5">
        <w:rPr>
          <w:noProof w:val="0"/>
          <w:lang w:val="en-US"/>
        </w:rPr>
        <w:t>” o</w:t>
      </w:r>
      <w:r w:rsidRPr="004542B5">
        <w:rPr>
          <w:noProof w:val="0"/>
          <w:lang w:val="en-US"/>
        </w:rPr>
        <w:t>r</w:t>
      </w:r>
      <w:r w:rsidR="00B17F8B" w:rsidRPr="004542B5">
        <w:rPr>
          <w:noProof w:val="0"/>
          <w:lang w:val="en-US"/>
        </w:rPr>
        <w:t xml:space="preserve"> “</w:t>
      </w:r>
      <w:r w:rsidR="00562CBB" w:rsidRPr="004542B5">
        <w:rPr>
          <w:noProof w:val="0"/>
          <w:lang w:val="en-US"/>
        </w:rPr>
        <w:t>the Convention</w:t>
      </w:r>
      <w:r w:rsidR="00EC79C4" w:rsidRPr="004542B5">
        <w:rPr>
          <w:noProof w:val="0"/>
          <w:lang w:val="en-US"/>
        </w:rPr>
        <w:t xml:space="preserve">”) </w:t>
      </w:r>
      <w:r w:rsidRPr="004542B5">
        <w:rPr>
          <w:noProof w:val="0"/>
          <w:lang w:val="en-US"/>
        </w:rPr>
        <w:t>and</w:t>
      </w:r>
      <w:r w:rsidR="00EC79C4" w:rsidRPr="004542B5">
        <w:rPr>
          <w:noProof w:val="0"/>
          <w:lang w:val="en-US"/>
        </w:rPr>
        <w:t xml:space="preserve"> </w:t>
      </w:r>
      <w:r w:rsidR="00562CBB" w:rsidRPr="004542B5">
        <w:rPr>
          <w:noProof w:val="0"/>
          <w:lang w:val="en-US"/>
        </w:rPr>
        <w:t>Articles</w:t>
      </w:r>
      <w:r w:rsidR="00EC79C4" w:rsidRPr="004542B5">
        <w:rPr>
          <w:noProof w:val="0"/>
          <w:lang w:val="en-US"/>
        </w:rPr>
        <w:t xml:space="preserve"> 31, 32</w:t>
      </w:r>
      <w:r w:rsidR="00B17F8B" w:rsidRPr="004542B5">
        <w:rPr>
          <w:noProof w:val="0"/>
          <w:lang w:val="en-US"/>
        </w:rPr>
        <w:t xml:space="preserve">, </w:t>
      </w:r>
      <w:r w:rsidR="009B2685" w:rsidRPr="004542B5">
        <w:rPr>
          <w:noProof w:val="0"/>
          <w:lang w:val="en-US"/>
        </w:rPr>
        <w:t xml:space="preserve">42, </w:t>
      </w:r>
      <w:r w:rsidR="00B17F8B" w:rsidRPr="004542B5">
        <w:rPr>
          <w:noProof w:val="0"/>
          <w:lang w:val="en-US"/>
        </w:rPr>
        <w:t xml:space="preserve">65 </w:t>
      </w:r>
      <w:r w:rsidRPr="004542B5">
        <w:rPr>
          <w:noProof w:val="0"/>
          <w:lang w:val="en-US"/>
        </w:rPr>
        <w:t>and</w:t>
      </w:r>
      <w:r w:rsidR="00B17F8B" w:rsidRPr="004542B5">
        <w:rPr>
          <w:noProof w:val="0"/>
          <w:lang w:val="en-US"/>
        </w:rPr>
        <w:t xml:space="preserve"> 67</w:t>
      </w:r>
      <w:r w:rsidRPr="004542B5">
        <w:rPr>
          <w:noProof w:val="0"/>
          <w:lang w:val="en-US"/>
        </w:rPr>
        <w:t xml:space="preserve"> of the </w:t>
      </w:r>
      <w:r w:rsidR="00562CBB" w:rsidRPr="004542B5">
        <w:rPr>
          <w:noProof w:val="0"/>
          <w:lang w:val="en-US"/>
        </w:rPr>
        <w:t>Rules of Procedure</w:t>
      </w:r>
      <w:r w:rsidRPr="004542B5">
        <w:rPr>
          <w:noProof w:val="0"/>
          <w:lang w:val="en-US"/>
        </w:rPr>
        <w:t xml:space="preserve"> of the </w:t>
      </w:r>
      <w:r w:rsidR="00562CBB" w:rsidRPr="004542B5">
        <w:rPr>
          <w:noProof w:val="0"/>
          <w:lang w:val="en-US"/>
        </w:rPr>
        <w:t>Court</w:t>
      </w:r>
      <w:r w:rsidR="00B17F8B" w:rsidRPr="004542B5">
        <w:rPr>
          <w:noProof w:val="0"/>
          <w:lang w:val="en-US"/>
        </w:rPr>
        <w:t xml:space="preserve"> (</w:t>
      </w:r>
      <w:r w:rsidR="00562CBB" w:rsidRPr="004542B5">
        <w:rPr>
          <w:noProof w:val="0"/>
          <w:lang w:val="en-US"/>
        </w:rPr>
        <w:t>hereinafter</w:t>
      </w:r>
      <w:r w:rsidR="00B17F8B" w:rsidRPr="004542B5">
        <w:rPr>
          <w:noProof w:val="0"/>
          <w:lang w:val="en-US"/>
        </w:rPr>
        <w:t xml:space="preserve"> “</w:t>
      </w:r>
      <w:r w:rsidR="00562CBB" w:rsidRPr="004542B5">
        <w:rPr>
          <w:noProof w:val="0"/>
          <w:lang w:val="en-US"/>
        </w:rPr>
        <w:t>t</w:t>
      </w:r>
      <w:r w:rsidRPr="004542B5">
        <w:rPr>
          <w:noProof w:val="0"/>
          <w:lang w:val="en-US"/>
        </w:rPr>
        <w:t>h</w:t>
      </w:r>
      <w:r w:rsidR="00562CBB" w:rsidRPr="004542B5">
        <w:rPr>
          <w:noProof w:val="0"/>
          <w:lang w:val="en-US"/>
        </w:rPr>
        <w:t>e Rules of Procedure</w:t>
      </w:r>
      <w:r w:rsidR="00B17F8B" w:rsidRPr="004542B5">
        <w:rPr>
          <w:noProof w:val="0"/>
          <w:lang w:val="en-US"/>
        </w:rPr>
        <w:t>”), d</w:t>
      </w:r>
      <w:r w:rsidRPr="004542B5">
        <w:rPr>
          <w:noProof w:val="0"/>
          <w:lang w:val="en-US"/>
        </w:rPr>
        <w:t>elivers this judgment</w:t>
      </w:r>
      <w:r w:rsidR="00B17F8B" w:rsidRPr="004542B5">
        <w:rPr>
          <w:noProof w:val="0"/>
          <w:lang w:val="en-US"/>
        </w:rPr>
        <w:t>.</w:t>
      </w:r>
    </w:p>
    <w:p w14:paraId="6D138768" w14:textId="77777777" w:rsidR="00B17F8B" w:rsidRPr="004542B5" w:rsidRDefault="00B17F8B" w:rsidP="00E01664">
      <w:pPr>
        <w:ind w:right="-138"/>
        <w:rPr>
          <w:noProof w:val="0"/>
          <w:lang w:val="en-US"/>
        </w:rPr>
      </w:pPr>
      <w:r w:rsidRPr="004542B5">
        <w:rPr>
          <w:noProof w:val="0"/>
          <w:lang w:val="en-US"/>
        </w:rPr>
        <w:br w:type="page"/>
      </w:r>
    </w:p>
    <w:p w14:paraId="213E9512" w14:textId="560B42AA" w:rsidR="00B17F8B" w:rsidRPr="004542B5" w:rsidRDefault="00562CBB" w:rsidP="00E01664">
      <w:pPr>
        <w:jc w:val="center"/>
        <w:rPr>
          <w:b/>
          <w:i/>
          <w:smallCaps/>
          <w:noProof w:val="0"/>
          <w:szCs w:val="20"/>
          <w:lang w:val="en-US" w:eastAsia="es-ES"/>
        </w:rPr>
      </w:pPr>
      <w:r w:rsidRPr="004542B5">
        <w:rPr>
          <w:b/>
          <w:i/>
          <w:smallCaps/>
          <w:noProof w:val="0"/>
          <w:szCs w:val="20"/>
          <w:lang w:val="en-US" w:eastAsia="es-ES"/>
        </w:rPr>
        <w:lastRenderedPageBreak/>
        <w:t xml:space="preserve">CASE OF THE KUNA INDIGENOUS PEOPLE OF MADUNGANDÍ AND THE </w:t>
      </w:r>
      <w:r w:rsidR="00AD34D8" w:rsidRPr="004542B5">
        <w:rPr>
          <w:b/>
          <w:i/>
          <w:smallCaps/>
          <w:noProof w:val="0"/>
          <w:szCs w:val="20"/>
          <w:lang w:val="en-US" w:eastAsia="es-ES"/>
        </w:rPr>
        <w:t>EMBERÁ</w:t>
      </w:r>
      <w:r w:rsidRPr="004542B5">
        <w:rPr>
          <w:b/>
          <w:i/>
          <w:smallCaps/>
          <w:noProof w:val="0"/>
          <w:szCs w:val="20"/>
          <w:lang w:val="en-US" w:eastAsia="es-ES"/>
        </w:rPr>
        <w:t xml:space="preserve"> INDIGENOUS PEOPLE OF BAYANO AND THEIR MEMBERS</w:t>
      </w:r>
      <w:r w:rsidR="0063510B" w:rsidRPr="004542B5">
        <w:rPr>
          <w:b/>
          <w:i/>
          <w:smallCaps/>
          <w:noProof w:val="0"/>
          <w:szCs w:val="20"/>
          <w:lang w:val="en-US" w:eastAsia="es-ES"/>
        </w:rPr>
        <w:t xml:space="preserve"> </w:t>
      </w:r>
      <w:r w:rsidR="00B17F8B" w:rsidRPr="004542B5">
        <w:rPr>
          <w:b/>
          <w:i/>
          <w:smallCaps/>
          <w:noProof w:val="0"/>
          <w:szCs w:val="20"/>
          <w:lang w:val="en-US" w:eastAsia="es-ES"/>
        </w:rPr>
        <w:t xml:space="preserve">V. </w:t>
      </w:r>
      <w:r w:rsidRPr="004542B5">
        <w:rPr>
          <w:b/>
          <w:i/>
          <w:smallCaps/>
          <w:noProof w:val="0"/>
          <w:szCs w:val="20"/>
          <w:lang w:val="en-US" w:eastAsia="es-ES"/>
        </w:rPr>
        <w:t>PANAMA</w:t>
      </w:r>
    </w:p>
    <w:p w14:paraId="78E9A9C7" w14:textId="29420840" w:rsidR="00B17F8B" w:rsidRPr="004542B5" w:rsidRDefault="00562CBB" w:rsidP="00E01664">
      <w:pPr>
        <w:pStyle w:val="Title"/>
        <w:spacing w:before="240" w:after="240"/>
        <w:ind w:left="-142" w:right="107"/>
        <w:rPr>
          <w:rFonts w:eastAsia="MS Mincho"/>
          <w:noProof w:val="0"/>
          <w:lang w:val="en-US"/>
        </w:rPr>
      </w:pPr>
      <w:r w:rsidRPr="004542B5">
        <w:rPr>
          <w:rFonts w:eastAsia="MS Mincho"/>
          <w:noProof w:val="0"/>
          <w:lang w:val="en-US"/>
        </w:rPr>
        <w:t>Table of contents</w:t>
      </w:r>
    </w:p>
    <w:p w14:paraId="58363EDC" w14:textId="70D2FFF5" w:rsidR="005876C0" w:rsidRPr="004542B5" w:rsidRDefault="008C2CB8">
      <w:pPr>
        <w:pStyle w:val="TOC1"/>
        <w:rPr>
          <w:rFonts w:asciiTheme="minorHAnsi" w:eastAsiaTheme="minorEastAsia" w:hAnsiTheme="minorHAnsi" w:cstheme="minorBidi"/>
          <w:b w:val="0"/>
          <w:sz w:val="22"/>
          <w:szCs w:val="22"/>
          <w:lang w:val="en-US"/>
        </w:rPr>
      </w:pPr>
      <w:r w:rsidRPr="004542B5">
        <w:rPr>
          <w:noProof w:val="0"/>
          <w:szCs w:val="18"/>
          <w:lang w:val="en-US"/>
        </w:rPr>
        <w:fldChar w:fldCharType="begin"/>
      </w:r>
      <w:r w:rsidR="00B17F8B" w:rsidRPr="004542B5">
        <w:rPr>
          <w:noProof w:val="0"/>
          <w:szCs w:val="18"/>
          <w:lang w:val="en-US"/>
        </w:rPr>
        <w:instrText xml:space="preserve"> TOC \o "1-3" \h \z \u </w:instrText>
      </w:r>
      <w:r w:rsidRPr="004542B5">
        <w:rPr>
          <w:noProof w:val="0"/>
          <w:szCs w:val="18"/>
          <w:lang w:val="en-US"/>
        </w:rPr>
        <w:fldChar w:fldCharType="separate"/>
      </w:r>
      <w:hyperlink w:anchor="_Toc45200848" w:history="1">
        <w:r w:rsidR="005876C0" w:rsidRPr="004542B5">
          <w:rPr>
            <w:rStyle w:val="Hyperlink"/>
            <w:lang w:val="en-US"/>
          </w:rPr>
          <w:t>I. INTRODUCTION OF THE CASE AND PURPOSE OF THE DISPUTE</w:t>
        </w:r>
        <w:r w:rsidR="005876C0" w:rsidRPr="004542B5">
          <w:rPr>
            <w:webHidden/>
          </w:rPr>
          <w:tab/>
        </w:r>
        <w:r w:rsidR="005876C0" w:rsidRPr="004542B5">
          <w:rPr>
            <w:webHidden/>
          </w:rPr>
          <w:fldChar w:fldCharType="begin"/>
        </w:r>
        <w:r w:rsidR="005876C0" w:rsidRPr="004542B5">
          <w:rPr>
            <w:webHidden/>
          </w:rPr>
          <w:instrText xml:space="preserve"> PAGEREF _Toc45200848 \h </w:instrText>
        </w:r>
        <w:r w:rsidR="005876C0" w:rsidRPr="004542B5">
          <w:rPr>
            <w:webHidden/>
          </w:rPr>
        </w:r>
        <w:r w:rsidR="005876C0" w:rsidRPr="004542B5">
          <w:rPr>
            <w:webHidden/>
          </w:rPr>
          <w:fldChar w:fldCharType="separate"/>
        </w:r>
        <w:r w:rsidR="005876C0" w:rsidRPr="004542B5">
          <w:rPr>
            <w:webHidden/>
          </w:rPr>
          <w:t>4</w:t>
        </w:r>
        <w:r w:rsidR="005876C0" w:rsidRPr="004542B5">
          <w:rPr>
            <w:webHidden/>
          </w:rPr>
          <w:fldChar w:fldCharType="end"/>
        </w:r>
      </w:hyperlink>
    </w:p>
    <w:p w14:paraId="341663E6" w14:textId="7A2FF584" w:rsidR="005876C0" w:rsidRPr="004542B5" w:rsidRDefault="000137EF">
      <w:pPr>
        <w:pStyle w:val="TOC1"/>
        <w:rPr>
          <w:rFonts w:asciiTheme="minorHAnsi" w:eastAsiaTheme="minorEastAsia" w:hAnsiTheme="minorHAnsi" w:cstheme="minorBidi"/>
          <w:b w:val="0"/>
          <w:sz w:val="22"/>
          <w:szCs w:val="22"/>
          <w:lang w:val="en-US"/>
        </w:rPr>
      </w:pPr>
      <w:hyperlink w:anchor="_Toc45200849" w:history="1">
        <w:r w:rsidR="005876C0" w:rsidRPr="004542B5">
          <w:rPr>
            <w:rStyle w:val="Hyperlink"/>
            <w:lang w:val="en-US"/>
          </w:rPr>
          <w:t>II PROCEEDINGS BEFORE THE COURT</w:t>
        </w:r>
        <w:r w:rsidR="005876C0" w:rsidRPr="004542B5">
          <w:rPr>
            <w:webHidden/>
          </w:rPr>
          <w:tab/>
        </w:r>
        <w:r w:rsidR="005876C0" w:rsidRPr="004542B5">
          <w:rPr>
            <w:webHidden/>
          </w:rPr>
          <w:fldChar w:fldCharType="begin"/>
        </w:r>
        <w:r w:rsidR="005876C0" w:rsidRPr="004542B5">
          <w:rPr>
            <w:webHidden/>
          </w:rPr>
          <w:instrText xml:space="preserve"> PAGEREF _Toc45200849 \h </w:instrText>
        </w:r>
        <w:r w:rsidR="005876C0" w:rsidRPr="004542B5">
          <w:rPr>
            <w:webHidden/>
          </w:rPr>
        </w:r>
        <w:r w:rsidR="005876C0" w:rsidRPr="004542B5">
          <w:rPr>
            <w:webHidden/>
          </w:rPr>
          <w:fldChar w:fldCharType="separate"/>
        </w:r>
        <w:r w:rsidR="005876C0" w:rsidRPr="004542B5">
          <w:rPr>
            <w:webHidden/>
          </w:rPr>
          <w:t>6</w:t>
        </w:r>
        <w:r w:rsidR="005876C0" w:rsidRPr="004542B5">
          <w:rPr>
            <w:webHidden/>
          </w:rPr>
          <w:fldChar w:fldCharType="end"/>
        </w:r>
      </w:hyperlink>
    </w:p>
    <w:p w14:paraId="5A03508F" w14:textId="73E68FDD" w:rsidR="005876C0" w:rsidRPr="004542B5" w:rsidRDefault="000137EF">
      <w:pPr>
        <w:pStyle w:val="TOC1"/>
        <w:rPr>
          <w:rFonts w:asciiTheme="minorHAnsi" w:eastAsiaTheme="minorEastAsia" w:hAnsiTheme="minorHAnsi" w:cstheme="minorBidi"/>
          <w:b w:val="0"/>
          <w:sz w:val="22"/>
          <w:szCs w:val="22"/>
          <w:lang w:val="en-US"/>
        </w:rPr>
      </w:pPr>
      <w:hyperlink w:anchor="_Toc45200850" w:history="1">
        <w:r w:rsidR="005876C0" w:rsidRPr="004542B5">
          <w:rPr>
            <w:rStyle w:val="Hyperlink"/>
            <w:lang w:val="en-US"/>
          </w:rPr>
          <w:t>III. JURISDICTION</w:t>
        </w:r>
        <w:r w:rsidR="005876C0" w:rsidRPr="004542B5">
          <w:rPr>
            <w:webHidden/>
          </w:rPr>
          <w:tab/>
        </w:r>
        <w:r w:rsidR="005876C0" w:rsidRPr="004542B5">
          <w:rPr>
            <w:webHidden/>
          </w:rPr>
          <w:fldChar w:fldCharType="begin"/>
        </w:r>
        <w:r w:rsidR="005876C0" w:rsidRPr="004542B5">
          <w:rPr>
            <w:webHidden/>
          </w:rPr>
          <w:instrText xml:space="preserve"> PAGEREF _Toc45200850 \h </w:instrText>
        </w:r>
        <w:r w:rsidR="005876C0" w:rsidRPr="004542B5">
          <w:rPr>
            <w:webHidden/>
          </w:rPr>
        </w:r>
        <w:r w:rsidR="005876C0" w:rsidRPr="004542B5">
          <w:rPr>
            <w:webHidden/>
          </w:rPr>
          <w:fldChar w:fldCharType="separate"/>
        </w:r>
        <w:r w:rsidR="005876C0" w:rsidRPr="004542B5">
          <w:rPr>
            <w:webHidden/>
          </w:rPr>
          <w:t>8</w:t>
        </w:r>
        <w:r w:rsidR="005876C0" w:rsidRPr="004542B5">
          <w:rPr>
            <w:webHidden/>
          </w:rPr>
          <w:fldChar w:fldCharType="end"/>
        </w:r>
      </w:hyperlink>
    </w:p>
    <w:p w14:paraId="4C366E44" w14:textId="385303BF" w:rsidR="005876C0" w:rsidRPr="004542B5" w:rsidRDefault="000137EF">
      <w:pPr>
        <w:pStyle w:val="TOC1"/>
        <w:rPr>
          <w:rFonts w:asciiTheme="minorHAnsi" w:eastAsiaTheme="minorEastAsia" w:hAnsiTheme="minorHAnsi" w:cstheme="minorBidi"/>
          <w:b w:val="0"/>
          <w:sz w:val="22"/>
          <w:szCs w:val="22"/>
          <w:lang w:val="en-US"/>
        </w:rPr>
      </w:pPr>
      <w:hyperlink w:anchor="_Toc45200851" w:history="1">
        <w:r w:rsidR="005876C0" w:rsidRPr="004542B5">
          <w:rPr>
            <w:rStyle w:val="Hyperlink"/>
            <w:smallCaps/>
            <w:lang w:val="en-US"/>
          </w:rPr>
          <w:t>IV.</w:t>
        </w:r>
        <w:r w:rsidR="005876C0" w:rsidRPr="004542B5">
          <w:rPr>
            <w:rStyle w:val="Hyperlink"/>
            <w:lang w:val="en-US"/>
          </w:rPr>
          <w:t xml:space="preserve"> PRELIMINARY OBJECTIONS</w:t>
        </w:r>
        <w:r w:rsidR="005876C0" w:rsidRPr="004542B5">
          <w:rPr>
            <w:webHidden/>
          </w:rPr>
          <w:tab/>
        </w:r>
        <w:r w:rsidR="005876C0" w:rsidRPr="004542B5">
          <w:rPr>
            <w:webHidden/>
          </w:rPr>
          <w:fldChar w:fldCharType="begin"/>
        </w:r>
        <w:r w:rsidR="005876C0" w:rsidRPr="004542B5">
          <w:rPr>
            <w:webHidden/>
          </w:rPr>
          <w:instrText xml:space="preserve"> PAGEREF _Toc45200851 \h </w:instrText>
        </w:r>
        <w:r w:rsidR="005876C0" w:rsidRPr="004542B5">
          <w:rPr>
            <w:webHidden/>
          </w:rPr>
        </w:r>
        <w:r w:rsidR="005876C0" w:rsidRPr="004542B5">
          <w:rPr>
            <w:webHidden/>
          </w:rPr>
          <w:fldChar w:fldCharType="separate"/>
        </w:r>
        <w:r w:rsidR="005876C0" w:rsidRPr="004542B5">
          <w:rPr>
            <w:webHidden/>
          </w:rPr>
          <w:t>8</w:t>
        </w:r>
        <w:r w:rsidR="005876C0" w:rsidRPr="004542B5">
          <w:rPr>
            <w:webHidden/>
          </w:rPr>
          <w:fldChar w:fldCharType="end"/>
        </w:r>
      </w:hyperlink>
    </w:p>
    <w:p w14:paraId="5F310B41" w14:textId="5F8F5D9B"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52" w:history="1">
        <w:r w:rsidR="005876C0" w:rsidRPr="004542B5">
          <w:rPr>
            <w:rStyle w:val="Hyperlink"/>
            <w:noProof/>
            <w:lang w:val="en-US"/>
          </w:rPr>
          <w:t>A.</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First preliminary objection: “Failure to exhaust domestic remedies”</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_Toc45200852 \h </w:instrText>
        </w:r>
        <w:r w:rsidR="005876C0" w:rsidRPr="004542B5">
          <w:rPr>
            <w:noProof/>
            <w:webHidden/>
          </w:rPr>
        </w:r>
        <w:r w:rsidR="005876C0" w:rsidRPr="004542B5">
          <w:rPr>
            <w:noProof/>
            <w:webHidden/>
          </w:rPr>
          <w:fldChar w:fldCharType="separate"/>
        </w:r>
        <w:r w:rsidR="005876C0" w:rsidRPr="004542B5">
          <w:rPr>
            <w:noProof/>
            <w:webHidden/>
          </w:rPr>
          <w:t>8</w:t>
        </w:r>
        <w:r w:rsidR="005876C0" w:rsidRPr="004542B5">
          <w:rPr>
            <w:noProof/>
            <w:webHidden/>
          </w:rPr>
          <w:fldChar w:fldCharType="end"/>
        </w:r>
      </w:hyperlink>
    </w:p>
    <w:p w14:paraId="7789B3AC" w14:textId="14700BB4" w:rsidR="005876C0" w:rsidRPr="004542B5" w:rsidRDefault="000137EF">
      <w:pPr>
        <w:pStyle w:val="TOC3"/>
        <w:rPr>
          <w:rFonts w:asciiTheme="minorHAnsi" w:eastAsiaTheme="minorEastAsia" w:hAnsiTheme="minorHAnsi" w:cstheme="minorBidi"/>
          <w:sz w:val="22"/>
          <w:szCs w:val="22"/>
          <w:lang w:val="en-US"/>
        </w:rPr>
      </w:pPr>
      <w:hyperlink w:anchor="_Toc45200853" w:history="1">
        <w:r w:rsidR="005876C0" w:rsidRPr="004542B5">
          <w:rPr>
            <w:rStyle w:val="Hyperlink"/>
            <w:lang w:val="en-US"/>
          </w:rPr>
          <w:t>A.1. Allegations of the parties and arguments of the Commission</w:t>
        </w:r>
        <w:r w:rsidR="005876C0" w:rsidRPr="004542B5">
          <w:rPr>
            <w:webHidden/>
          </w:rPr>
          <w:tab/>
        </w:r>
        <w:r w:rsidR="005876C0" w:rsidRPr="004542B5">
          <w:rPr>
            <w:webHidden/>
          </w:rPr>
          <w:fldChar w:fldCharType="begin"/>
        </w:r>
        <w:r w:rsidR="005876C0" w:rsidRPr="004542B5">
          <w:rPr>
            <w:webHidden/>
          </w:rPr>
          <w:instrText xml:space="preserve"> PAGEREF _Toc45200853 \h </w:instrText>
        </w:r>
        <w:r w:rsidR="005876C0" w:rsidRPr="004542B5">
          <w:rPr>
            <w:webHidden/>
          </w:rPr>
        </w:r>
        <w:r w:rsidR="005876C0" w:rsidRPr="004542B5">
          <w:rPr>
            <w:webHidden/>
          </w:rPr>
          <w:fldChar w:fldCharType="separate"/>
        </w:r>
        <w:r w:rsidR="005876C0" w:rsidRPr="004542B5">
          <w:rPr>
            <w:webHidden/>
          </w:rPr>
          <w:t>8</w:t>
        </w:r>
        <w:r w:rsidR="005876C0" w:rsidRPr="004542B5">
          <w:rPr>
            <w:webHidden/>
          </w:rPr>
          <w:fldChar w:fldCharType="end"/>
        </w:r>
      </w:hyperlink>
    </w:p>
    <w:p w14:paraId="78BEBF5F" w14:textId="57311E8F" w:rsidR="005876C0" w:rsidRPr="004542B5" w:rsidRDefault="000137EF">
      <w:pPr>
        <w:pStyle w:val="TOC3"/>
        <w:rPr>
          <w:rFonts w:asciiTheme="minorHAnsi" w:eastAsiaTheme="minorEastAsia" w:hAnsiTheme="minorHAnsi" w:cstheme="minorBidi"/>
          <w:sz w:val="22"/>
          <w:szCs w:val="22"/>
          <w:lang w:val="en-US"/>
        </w:rPr>
      </w:pPr>
      <w:hyperlink w:anchor="_Toc45200854" w:history="1">
        <w:r w:rsidR="005876C0" w:rsidRPr="004542B5">
          <w:rPr>
            <w:rStyle w:val="Hyperlink"/>
            <w:lang w:val="en-US"/>
          </w:rPr>
          <w:t>A.2. Considerations of the Court</w:t>
        </w:r>
        <w:r w:rsidR="005876C0" w:rsidRPr="004542B5">
          <w:rPr>
            <w:webHidden/>
          </w:rPr>
          <w:tab/>
        </w:r>
        <w:r w:rsidR="005876C0" w:rsidRPr="004542B5">
          <w:rPr>
            <w:webHidden/>
          </w:rPr>
          <w:fldChar w:fldCharType="begin"/>
        </w:r>
        <w:r w:rsidR="005876C0" w:rsidRPr="004542B5">
          <w:rPr>
            <w:webHidden/>
          </w:rPr>
          <w:instrText xml:space="preserve"> PAGEREF _Toc45200854 \h </w:instrText>
        </w:r>
        <w:r w:rsidR="005876C0" w:rsidRPr="004542B5">
          <w:rPr>
            <w:webHidden/>
          </w:rPr>
        </w:r>
        <w:r w:rsidR="005876C0" w:rsidRPr="004542B5">
          <w:rPr>
            <w:webHidden/>
          </w:rPr>
          <w:fldChar w:fldCharType="separate"/>
        </w:r>
        <w:r w:rsidR="005876C0" w:rsidRPr="004542B5">
          <w:rPr>
            <w:webHidden/>
          </w:rPr>
          <w:t>10</w:t>
        </w:r>
        <w:r w:rsidR="005876C0" w:rsidRPr="004542B5">
          <w:rPr>
            <w:webHidden/>
          </w:rPr>
          <w:fldChar w:fldCharType="end"/>
        </w:r>
      </w:hyperlink>
    </w:p>
    <w:p w14:paraId="48C0A34F" w14:textId="28582AA0"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55" w:history="1">
        <w:r w:rsidR="005876C0" w:rsidRPr="004542B5">
          <w:rPr>
            <w:rStyle w:val="Hyperlink"/>
            <w:noProof/>
            <w:lang w:val="en-US"/>
          </w:rPr>
          <w:t>B.</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Second preliminary objection: “Lack of jurisdiction ratione temporis”</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_Toc45200855 \h </w:instrText>
        </w:r>
        <w:r w:rsidR="005876C0" w:rsidRPr="004542B5">
          <w:rPr>
            <w:noProof/>
            <w:webHidden/>
          </w:rPr>
        </w:r>
        <w:r w:rsidR="005876C0" w:rsidRPr="004542B5">
          <w:rPr>
            <w:noProof/>
            <w:webHidden/>
          </w:rPr>
          <w:fldChar w:fldCharType="separate"/>
        </w:r>
        <w:r w:rsidR="005876C0" w:rsidRPr="004542B5">
          <w:rPr>
            <w:noProof/>
            <w:webHidden/>
          </w:rPr>
          <w:t>11</w:t>
        </w:r>
        <w:r w:rsidR="005876C0" w:rsidRPr="004542B5">
          <w:rPr>
            <w:noProof/>
            <w:webHidden/>
          </w:rPr>
          <w:fldChar w:fldCharType="end"/>
        </w:r>
      </w:hyperlink>
    </w:p>
    <w:p w14:paraId="2145FB06" w14:textId="061D1911" w:rsidR="005876C0" w:rsidRPr="004542B5" w:rsidRDefault="000137EF">
      <w:pPr>
        <w:pStyle w:val="TOC3"/>
        <w:rPr>
          <w:rFonts w:asciiTheme="minorHAnsi" w:eastAsiaTheme="minorEastAsia" w:hAnsiTheme="minorHAnsi" w:cstheme="minorBidi"/>
          <w:sz w:val="22"/>
          <w:szCs w:val="22"/>
          <w:lang w:val="en-US"/>
        </w:rPr>
      </w:pPr>
      <w:hyperlink w:anchor="_Toc45200856" w:history="1">
        <w:r w:rsidR="005876C0" w:rsidRPr="004542B5">
          <w:rPr>
            <w:rStyle w:val="Hyperlink"/>
            <w:lang w:val="en-US"/>
          </w:rPr>
          <w:t>B.1. Allegations of the parties and arguments of the Commission</w:t>
        </w:r>
        <w:r w:rsidR="005876C0" w:rsidRPr="004542B5">
          <w:rPr>
            <w:webHidden/>
          </w:rPr>
          <w:tab/>
        </w:r>
        <w:r w:rsidR="005876C0" w:rsidRPr="004542B5">
          <w:rPr>
            <w:webHidden/>
          </w:rPr>
          <w:fldChar w:fldCharType="begin"/>
        </w:r>
        <w:r w:rsidR="005876C0" w:rsidRPr="004542B5">
          <w:rPr>
            <w:webHidden/>
          </w:rPr>
          <w:instrText xml:space="preserve"> PAGEREF _Toc45200856 \h </w:instrText>
        </w:r>
        <w:r w:rsidR="005876C0" w:rsidRPr="004542B5">
          <w:rPr>
            <w:webHidden/>
          </w:rPr>
        </w:r>
        <w:r w:rsidR="005876C0" w:rsidRPr="004542B5">
          <w:rPr>
            <w:webHidden/>
          </w:rPr>
          <w:fldChar w:fldCharType="separate"/>
        </w:r>
        <w:r w:rsidR="005876C0" w:rsidRPr="004542B5">
          <w:rPr>
            <w:webHidden/>
          </w:rPr>
          <w:t>11</w:t>
        </w:r>
        <w:r w:rsidR="005876C0" w:rsidRPr="004542B5">
          <w:rPr>
            <w:webHidden/>
          </w:rPr>
          <w:fldChar w:fldCharType="end"/>
        </w:r>
      </w:hyperlink>
    </w:p>
    <w:p w14:paraId="14BBC92F" w14:textId="210FAB16" w:rsidR="005876C0" w:rsidRPr="004542B5" w:rsidRDefault="000137EF">
      <w:pPr>
        <w:pStyle w:val="TOC3"/>
        <w:rPr>
          <w:rFonts w:asciiTheme="minorHAnsi" w:eastAsiaTheme="minorEastAsia" w:hAnsiTheme="minorHAnsi" w:cstheme="minorBidi"/>
          <w:sz w:val="22"/>
          <w:szCs w:val="22"/>
          <w:lang w:val="en-US"/>
        </w:rPr>
      </w:pPr>
      <w:hyperlink w:anchor="_Toc45200857" w:history="1">
        <w:r w:rsidR="005876C0" w:rsidRPr="004542B5">
          <w:rPr>
            <w:rStyle w:val="Hyperlink"/>
            <w:lang w:val="en-US"/>
          </w:rPr>
          <w:t>B.3. Considerations of the Court</w:t>
        </w:r>
        <w:r w:rsidR="005876C0" w:rsidRPr="004542B5">
          <w:rPr>
            <w:webHidden/>
          </w:rPr>
          <w:tab/>
        </w:r>
        <w:r w:rsidR="005876C0" w:rsidRPr="004542B5">
          <w:rPr>
            <w:webHidden/>
          </w:rPr>
          <w:fldChar w:fldCharType="begin"/>
        </w:r>
        <w:r w:rsidR="005876C0" w:rsidRPr="004542B5">
          <w:rPr>
            <w:webHidden/>
          </w:rPr>
          <w:instrText xml:space="preserve"> PAGEREF _Toc45200857 \h </w:instrText>
        </w:r>
        <w:r w:rsidR="005876C0" w:rsidRPr="004542B5">
          <w:rPr>
            <w:webHidden/>
          </w:rPr>
        </w:r>
        <w:r w:rsidR="005876C0" w:rsidRPr="004542B5">
          <w:rPr>
            <w:webHidden/>
          </w:rPr>
          <w:fldChar w:fldCharType="separate"/>
        </w:r>
        <w:r w:rsidR="005876C0" w:rsidRPr="004542B5">
          <w:rPr>
            <w:webHidden/>
          </w:rPr>
          <w:t>12</w:t>
        </w:r>
        <w:r w:rsidR="005876C0" w:rsidRPr="004542B5">
          <w:rPr>
            <w:webHidden/>
          </w:rPr>
          <w:fldChar w:fldCharType="end"/>
        </w:r>
      </w:hyperlink>
    </w:p>
    <w:p w14:paraId="0321C5CD" w14:textId="6CADA3BE"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58" w:history="1">
        <w:r w:rsidR="005876C0" w:rsidRPr="004542B5">
          <w:rPr>
            <w:rStyle w:val="Hyperlink"/>
            <w:noProof/>
            <w:lang w:val="en-US"/>
          </w:rPr>
          <w:t>C.</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Third preliminary objection: “Lack of jurisdiction based on the statute of limitations”</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_Toc45200858 \h </w:instrText>
        </w:r>
        <w:r w:rsidR="005876C0" w:rsidRPr="004542B5">
          <w:rPr>
            <w:noProof/>
            <w:webHidden/>
          </w:rPr>
        </w:r>
        <w:r w:rsidR="005876C0" w:rsidRPr="004542B5">
          <w:rPr>
            <w:noProof/>
            <w:webHidden/>
          </w:rPr>
          <w:fldChar w:fldCharType="separate"/>
        </w:r>
        <w:r w:rsidR="005876C0" w:rsidRPr="004542B5">
          <w:rPr>
            <w:noProof/>
            <w:webHidden/>
          </w:rPr>
          <w:t>14</w:t>
        </w:r>
        <w:r w:rsidR="005876C0" w:rsidRPr="004542B5">
          <w:rPr>
            <w:noProof/>
            <w:webHidden/>
          </w:rPr>
          <w:fldChar w:fldCharType="end"/>
        </w:r>
      </w:hyperlink>
    </w:p>
    <w:p w14:paraId="41AE0604" w14:textId="445DEC18" w:rsidR="005876C0" w:rsidRPr="004542B5" w:rsidRDefault="000137EF">
      <w:pPr>
        <w:pStyle w:val="TOC3"/>
        <w:rPr>
          <w:rFonts w:asciiTheme="minorHAnsi" w:eastAsiaTheme="minorEastAsia" w:hAnsiTheme="minorHAnsi" w:cstheme="minorBidi"/>
          <w:sz w:val="22"/>
          <w:szCs w:val="22"/>
          <w:lang w:val="en-US"/>
        </w:rPr>
      </w:pPr>
      <w:hyperlink w:anchor="_Toc45200859" w:history="1">
        <w:r w:rsidR="005876C0" w:rsidRPr="004542B5">
          <w:rPr>
            <w:rStyle w:val="Hyperlink"/>
            <w:lang w:val="en-US"/>
          </w:rPr>
          <w:t>C.1. Allegations of the parties and arguments of the Commission</w:t>
        </w:r>
        <w:r w:rsidR="005876C0" w:rsidRPr="004542B5">
          <w:rPr>
            <w:webHidden/>
          </w:rPr>
          <w:tab/>
        </w:r>
        <w:r w:rsidR="005876C0" w:rsidRPr="004542B5">
          <w:rPr>
            <w:webHidden/>
          </w:rPr>
          <w:fldChar w:fldCharType="begin"/>
        </w:r>
        <w:r w:rsidR="005876C0" w:rsidRPr="004542B5">
          <w:rPr>
            <w:webHidden/>
          </w:rPr>
          <w:instrText xml:space="preserve"> PAGEREF _Toc45200859 \h </w:instrText>
        </w:r>
        <w:r w:rsidR="005876C0" w:rsidRPr="004542B5">
          <w:rPr>
            <w:webHidden/>
          </w:rPr>
        </w:r>
        <w:r w:rsidR="005876C0" w:rsidRPr="004542B5">
          <w:rPr>
            <w:webHidden/>
          </w:rPr>
          <w:fldChar w:fldCharType="separate"/>
        </w:r>
        <w:r w:rsidR="005876C0" w:rsidRPr="004542B5">
          <w:rPr>
            <w:webHidden/>
          </w:rPr>
          <w:t>14</w:t>
        </w:r>
        <w:r w:rsidR="005876C0" w:rsidRPr="004542B5">
          <w:rPr>
            <w:webHidden/>
          </w:rPr>
          <w:fldChar w:fldCharType="end"/>
        </w:r>
      </w:hyperlink>
    </w:p>
    <w:p w14:paraId="4C29984D" w14:textId="779DB12A" w:rsidR="005876C0" w:rsidRPr="004542B5" w:rsidRDefault="000137EF">
      <w:pPr>
        <w:pStyle w:val="TOC3"/>
        <w:rPr>
          <w:rFonts w:asciiTheme="minorHAnsi" w:eastAsiaTheme="minorEastAsia" w:hAnsiTheme="minorHAnsi" w:cstheme="minorBidi"/>
          <w:sz w:val="22"/>
          <w:szCs w:val="22"/>
          <w:lang w:val="en-US"/>
        </w:rPr>
      </w:pPr>
      <w:hyperlink w:anchor="_Toc45200860" w:history="1">
        <w:r w:rsidR="005876C0" w:rsidRPr="004542B5">
          <w:rPr>
            <w:rStyle w:val="Hyperlink"/>
            <w:lang w:val="en-US"/>
          </w:rPr>
          <w:t>C.2. Considerations of the Court</w:t>
        </w:r>
        <w:r w:rsidR="005876C0" w:rsidRPr="004542B5">
          <w:rPr>
            <w:webHidden/>
          </w:rPr>
          <w:tab/>
        </w:r>
        <w:r w:rsidR="005876C0" w:rsidRPr="004542B5">
          <w:rPr>
            <w:webHidden/>
          </w:rPr>
          <w:fldChar w:fldCharType="begin"/>
        </w:r>
        <w:r w:rsidR="005876C0" w:rsidRPr="004542B5">
          <w:rPr>
            <w:webHidden/>
          </w:rPr>
          <w:instrText xml:space="preserve"> PAGEREF _Toc45200860 \h </w:instrText>
        </w:r>
        <w:r w:rsidR="005876C0" w:rsidRPr="004542B5">
          <w:rPr>
            <w:webHidden/>
          </w:rPr>
        </w:r>
        <w:r w:rsidR="005876C0" w:rsidRPr="004542B5">
          <w:rPr>
            <w:webHidden/>
          </w:rPr>
          <w:fldChar w:fldCharType="separate"/>
        </w:r>
        <w:r w:rsidR="005876C0" w:rsidRPr="004542B5">
          <w:rPr>
            <w:webHidden/>
          </w:rPr>
          <w:t>15</w:t>
        </w:r>
        <w:r w:rsidR="005876C0" w:rsidRPr="004542B5">
          <w:rPr>
            <w:webHidden/>
          </w:rPr>
          <w:fldChar w:fldCharType="end"/>
        </w:r>
      </w:hyperlink>
    </w:p>
    <w:p w14:paraId="72C4B270" w14:textId="32FF2134" w:rsidR="005876C0" w:rsidRPr="004542B5" w:rsidRDefault="000137EF">
      <w:pPr>
        <w:pStyle w:val="TOC1"/>
        <w:rPr>
          <w:rFonts w:asciiTheme="minorHAnsi" w:eastAsiaTheme="minorEastAsia" w:hAnsiTheme="minorHAnsi" w:cstheme="minorBidi"/>
          <w:b w:val="0"/>
          <w:sz w:val="22"/>
          <w:szCs w:val="22"/>
          <w:lang w:val="en-US"/>
        </w:rPr>
      </w:pPr>
      <w:hyperlink w:anchor="_Toc45200861" w:history="1">
        <w:r w:rsidR="005876C0" w:rsidRPr="004542B5">
          <w:rPr>
            <w:rStyle w:val="Hyperlink"/>
            <w:lang w:val="en-US"/>
          </w:rPr>
          <w:t>V.  EVIDENCE</w:t>
        </w:r>
        <w:r w:rsidR="005876C0" w:rsidRPr="004542B5">
          <w:rPr>
            <w:webHidden/>
          </w:rPr>
          <w:tab/>
        </w:r>
        <w:r w:rsidR="005876C0" w:rsidRPr="004542B5">
          <w:rPr>
            <w:webHidden/>
          </w:rPr>
          <w:fldChar w:fldCharType="begin"/>
        </w:r>
        <w:r w:rsidR="005876C0" w:rsidRPr="004542B5">
          <w:rPr>
            <w:webHidden/>
          </w:rPr>
          <w:instrText xml:space="preserve"> PAGEREF _Toc45200861 \h </w:instrText>
        </w:r>
        <w:r w:rsidR="005876C0" w:rsidRPr="004542B5">
          <w:rPr>
            <w:webHidden/>
          </w:rPr>
        </w:r>
        <w:r w:rsidR="005876C0" w:rsidRPr="004542B5">
          <w:rPr>
            <w:webHidden/>
          </w:rPr>
          <w:fldChar w:fldCharType="separate"/>
        </w:r>
        <w:r w:rsidR="005876C0" w:rsidRPr="004542B5">
          <w:rPr>
            <w:webHidden/>
          </w:rPr>
          <w:t>15</w:t>
        </w:r>
        <w:r w:rsidR="005876C0" w:rsidRPr="004542B5">
          <w:rPr>
            <w:webHidden/>
          </w:rPr>
          <w:fldChar w:fldCharType="end"/>
        </w:r>
      </w:hyperlink>
    </w:p>
    <w:p w14:paraId="7EFE652D" w14:textId="07C24832"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62" w:history="1">
        <w:r w:rsidR="005876C0" w:rsidRPr="004542B5">
          <w:rPr>
            <w:rStyle w:val="Hyperlink"/>
            <w:noProof/>
            <w:lang w:val="en-US"/>
          </w:rPr>
          <w:t>A.</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Documentary, testimonial and expert evidence</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_Toc45200862 \h </w:instrText>
        </w:r>
        <w:r w:rsidR="005876C0" w:rsidRPr="004542B5">
          <w:rPr>
            <w:noProof/>
            <w:webHidden/>
          </w:rPr>
        </w:r>
        <w:r w:rsidR="005876C0" w:rsidRPr="004542B5">
          <w:rPr>
            <w:noProof/>
            <w:webHidden/>
          </w:rPr>
          <w:fldChar w:fldCharType="separate"/>
        </w:r>
        <w:r w:rsidR="005876C0" w:rsidRPr="004542B5">
          <w:rPr>
            <w:noProof/>
            <w:webHidden/>
          </w:rPr>
          <w:t>15</w:t>
        </w:r>
        <w:r w:rsidR="005876C0" w:rsidRPr="004542B5">
          <w:rPr>
            <w:noProof/>
            <w:webHidden/>
          </w:rPr>
          <w:fldChar w:fldCharType="end"/>
        </w:r>
      </w:hyperlink>
    </w:p>
    <w:p w14:paraId="007C5E2C" w14:textId="2D969B39"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63" w:history="1">
        <w:r w:rsidR="005876C0" w:rsidRPr="004542B5">
          <w:rPr>
            <w:rStyle w:val="Hyperlink"/>
            <w:noProof/>
            <w:lang w:val="en-US"/>
          </w:rPr>
          <w:t>B.</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Admission of the evidence</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_Toc45200863 \h </w:instrText>
        </w:r>
        <w:r w:rsidR="005876C0" w:rsidRPr="004542B5">
          <w:rPr>
            <w:noProof/>
            <w:webHidden/>
          </w:rPr>
        </w:r>
        <w:r w:rsidR="005876C0" w:rsidRPr="004542B5">
          <w:rPr>
            <w:noProof/>
            <w:webHidden/>
          </w:rPr>
          <w:fldChar w:fldCharType="separate"/>
        </w:r>
        <w:r w:rsidR="005876C0" w:rsidRPr="004542B5">
          <w:rPr>
            <w:noProof/>
            <w:webHidden/>
          </w:rPr>
          <w:t>16</w:t>
        </w:r>
        <w:r w:rsidR="005876C0" w:rsidRPr="004542B5">
          <w:rPr>
            <w:noProof/>
            <w:webHidden/>
          </w:rPr>
          <w:fldChar w:fldCharType="end"/>
        </w:r>
      </w:hyperlink>
    </w:p>
    <w:p w14:paraId="3E3563F9" w14:textId="3AD6286D" w:rsidR="005876C0" w:rsidRPr="004542B5" w:rsidRDefault="000137EF">
      <w:pPr>
        <w:pStyle w:val="TOC3"/>
        <w:rPr>
          <w:rFonts w:asciiTheme="minorHAnsi" w:eastAsiaTheme="minorEastAsia" w:hAnsiTheme="minorHAnsi" w:cstheme="minorBidi"/>
          <w:sz w:val="22"/>
          <w:szCs w:val="22"/>
          <w:lang w:val="en-US"/>
        </w:rPr>
      </w:pPr>
      <w:hyperlink w:anchor="_Toc45200864" w:history="1">
        <w:r w:rsidR="005876C0" w:rsidRPr="004542B5">
          <w:rPr>
            <w:rStyle w:val="Hyperlink"/>
            <w:rFonts w:cs="Verdana"/>
            <w:lang w:val="en-US"/>
          </w:rPr>
          <w:t>B.1. Documentary evidence submitted after the pleadings and motions brief and the answering brief</w:t>
        </w:r>
        <w:r w:rsidR="005876C0" w:rsidRPr="004542B5">
          <w:rPr>
            <w:webHidden/>
          </w:rPr>
          <w:tab/>
        </w:r>
        <w:r w:rsidR="005876C0" w:rsidRPr="004542B5">
          <w:rPr>
            <w:webHidden/>
          </w:rPr>
          <w:fldChar w:fldCharType="begin"/>
        </w:r>
        <w:r w:rsidR="005876C0" w:rsidRPr="004542B5">
          <w:rPr>
            <w:webHidden/>
          </w:rPr>
          <w:instrText xml:space="preserve"> PAGEREF _Toc45200864 \h </w:instrText>
        </w:r>
        <w:r w:rsidR="005876C0" w:rsidRPr="004542B5">
          <w:rPr>
            <w:webHidden/>
          </w:rPr>
        </w:r>
        <w:r w:rsidR="005876C0" w:rsidRPr="004542B5">
          <w:rPr>
            <w:webHidden/>
          </w:rPr>
          <w:fldChar w:fldCharType="separate"/>
        </w:r>
        <w:r w:rsidR="005876C0" w:rsidRPr="004542B5">
          <w:rPr>
            <w:webHidden/>
          </w:rPr>
          <w:t>16</w:t>
        </w:r>
        <w:r w:rsidR="005876C0" w:rsidRPr="004542B5">
          <w:rPr>
            <w:webHidden/>
          </w:rPr>
          <w:fldChar w:fldCharType="end"/>
        </w:r>
      </w:hyperlink>
    </w:p>
    <w:p w14:paraId="214924D2" w14:textId="6EEEFA67" w:rsidR="005876C0" w:rsidRPr="004542B5" w:rsidRDefault="000137EF">
      <w:pPr>
        <w:pStyle w:val="TOC3"/>
        <w:rPr>
          <w:rFonts w:asciiTheme="minorHAnsi" w:eastAsiaTheme="minorEastAsia" w:hAnsiTheme="minorHAnsi" w:cstheme="minorBidi"/>
          <w:sz w:val="22"/>
          <w:szCs w:val="22"/>
          <w:lang w:val="en-US"/>
        </w:rPr>
      </w:pPr>
      <w:hyperlink w:anchor="_Toc45200865" w:history="1">
        <w:r w:rsidR="005876C0" w:rsidRPr="004542B5">
          <w:rPr>
            <w:rStyle w:val="Hyperlink"/>
            <w:lang w:val="en-US"/>
          </w:rPr>
          <w:t>B.2. Documentation requested during the hearing and subsequently</w:t>
        </w:r>
        <w:r w:rsidR="005876C0" w:rsidRPr="004542B5">
          <w:rPr>
            <w:webHidden/>
          </w:rPr>
          <w:tab/>
        </w:r>
        <w:r w:rsidR="005876C0" w:rsidRPr="004542B5">
          <w:rPr>
            <w:webHidden/>
          </w:rPr>
          <w:fldChar w:fldCharType="begin"/>
        </w:r>
        <w:r w:rsidR="005876C0" w:rsidRPr="004542B5">
          <w:rPr>
            <w:webHidden/>
          </w:rPr>
          <w:instrText xml:space="preserve"> PAGEREF _Toc45200865 \h </w:instrText>
        </w:r>
        <w:r w:rsidR="005876C0" w:rsidRPr="004542B5">
          <w:rPr>
            <w:webHidden/>
          </w:rPr>
        </w:r>
        <w:r w:rsidR="005876C0" w:rsidRPr="004542B5">
          <w:rPr>
            <w:webHidden/>
          </w:rPr>
          <w:fldChar w:fldCharType="separate"/>
        </w:r>
        <w:r w:rsidR="005876C0" w:rsidRPr="004542B5">
          <w:rPr>
            <w:webHidden/>
          </w:rPr>
          <w:t>17</w:t>
        </w:r>
        <w:r w:rsidR="005876C0" w:rsidRPr="004542B5">
          <w:rPr>
            <w:webHidden/>
          </w:rPr>
          <w:fldChar w:fldCharType="end"/>
        </w:r>
      </w:hyperlink>
    </w:p>
    <w:p w14:paraId="0E1657AC" w14:textId="366D1908" w:rsidR="005876C0" w:rsidRPr="004542B5" w:rsidRDefault="000137EF">
      <w:pPr>
        <w:pStyle w:val="TOC3"/>
        <w:rPr>
          <w:rFonts w:asciiTheme="minorHAnsi" w:eastAsiaTheme="minorEastAsia" w:hAnsiTheme="minorHAnsi" w:cstheme="minorBidi"/>
          <w:sz w:val="22"/>
          <w:szCs w:val="22"/>
          <w:lang w:val="en-US"/>
        </w:rPr>
      </w:pPr>
      <w:hyperlink w:anchor="_Toc45200866" w:history="1">
        <w:r w:rsidR="005876C0" w:rsidRPr="004542B5">
          <w:rPr>
            <w:rStyle w:val="Hyperlink"/>
            <w:lang w:val="en-US"/>
          </w:rPr>
          <w:t>B.3. Admission of the testimonial and expert evidence</w:t>
        </w:r>
        <w:r w:rsidR="005876C0" w:rsidRPr="004542B5">
          <w:rPr>
            <w:webHidden/>
          </w:rPr>
          <w:tab/>
        </w:r>
        <w:r w:rsidR="005876C0" w:rsidRPr="004542B5">
          <w:rPr>
            <w:webHidden/>
          </w:rPr>
          <w:fldChar w:fldCharType="begin"/>
        </w:r>
        <w:r w:rsidR="005876C0" w:rsidRPr="004542B5">
          <w:rPr>
            <w:webHidden/>
          </w:rPr>
          <w:instrText xml:space="preserve"> PAGEREF _Toc45200866 \h </w:instrText>
        </w:r>
        <w:r w:rsidR="005876C0" w:rsidRPr="004542B5">
          <w:rPr>
            <w:webHidden/>
          </w:rPr>
        </w:r>
        <w:r w:rsidR="005876C0" w:rsidRPr="004542B5">
          <w:rPr>
            <w:webHidden/>
          </w:rPr>
          <w:fldChar w:fldCharType="separate"/>
        </w:r>
        <w:r w:rsidR="005876C0" w:rsidRPr="004542B5">
          <w:rPr>
            <w:webHidden/>
          </w:rPr>
          <w:t>17</w:t>
        </w:r>
        <w:r w:rsidR="005876C0" w:rsidRPr="004542B5">
          <w:rPr>
            <w:webHidden/>
          </w:rPr>
          <w:fldChar w:fldCharType="end"/>
        </w:r>
      </w:hyperlink>
    </w:p>
    <w:p w14:paraId="0A2E0AA0" w14:textId="70B9AA1F"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67" w:history="1">
        <w:r w:rsidR="005876C0" w:rsidRPr="004542B5">
          <w:rPr>
            <w:rStyle w:val="Hyperlink"/>
            <w:noProof/>
            <w:lang w:val="en-US"/>
          </w:rPr>
          <w:t>C.</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Assessment of the evidence</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_Toc45200867 \h </w:instrText>
        </w:r>
        <w:r w:rsidR="005876C0" w:rsidRPr="004542B5">
          <w:rPr>
            <w:noProof/>
            <w:webHidden/>
          </w:rPr>
        </w:r>
        <w:r w:rsidR="005876C0" w:rsidRPr="004542B5">
          <w:rPr>
            <w:noProof/>
            <w:webHidden/>
          </w:rPr>
          <w:fldChar w:fldCharType="separate"/>
        </w:r>
        <w:r w:rsidR="005876C0" w:rsidRPr="004542B5">
          <w:rPr>
            <w:noProof/>
            <w:webHidden/>
          </w:rPr>
          <w:t>17</w:t>
        </w:r>
        <w:r w:rsidR="005876C0" w:rsidRPr="004542B5">
          <w:rPr>
            <w:noProof/>
            <w:webHidden/>
          </w:rPr>
          <w:fldChar w:fldCharType="end"/>
        </w:r>
      </w:hyperlink>
    </w:p>
    <w:p w14:paraId="235A44E3" w14:textId="75462054" w:rsidR="005876C0" w:rsidRPr="004542B5" w:rsidRDefault="000137EF">
      <w:pPr>
        <w:pStyle w:val="TOC1"/>
        <w:rPr>
          <w:rFonts w:asciiTheme="minorHAnsi" w:eastAsiaTheme="minorEastAsia" w:hAnsiTheme="minorHAnsi" w:cstheme="minorBidi"/>
          <w:b w:val="0"/>
          <w:sz w:val="22"/>
          <w:szCs w:val="22"/>
          <w:lang w:val="en-US"/>
        </w:rPr>
      </w:pPr>
      <w:hyperlink w:anchor="_Toc45200868" w:history="1">
        <w:r w:rsidR="005876C0" w:rsidRPr="004542B5">
          <w:rPr>
            <w:rStyle w:val="Hyperlink"/>
            <w:lang w:val="en-US"/>
          </w:rPr>
          <w:t xml:space="preserve">VI.  </w:t>
        </w:r>
        <w:r w:rsidR="005876C0" w:rsidRPr="004542B5">
          <w:rPr>
            <w:rStyle w:val="Hyperlink"/>
            <w:rFonts w:cs="Tahoma"/>
            <w:lang w:val="en-US"/>
          </w:rPr>
          <w:t>FACTS</w:t>
        </w:r>
        <w:r w:rsidR="005876C0" w:rsidRPr="004542B5">
          <w:rPr>
            <w:webHidden/>
          </w:rPr>
          <w:tab/>
        </w:r>
        <w:r w:rsidR="005876C0" w:rsidRPr="004542B5">
          <w:rPr>
            <w:webHidden/>
          </w:rPr>
          <w:fldChar w:fldCharType="begin"/>
        </w:r>
        <w:r w:rsidR="005876C0" w:rsidRPr="004542B5">
          <w:rPr>
            <w:webHidden/>
          </w:rPr>
          <w:instrText xml:space="preserve"> PAGEREF _Toc45200868 \h </w:instrText>
        </w:r>
        <w:r w:rsidR="005876C0" w:rsidRPr="004542B5">
          <w:rPr>
            <w:webHidden/>
          </w:rPr>
        </w:r>
        <w:r w:rsidR="005876C0" w:rsidRPr="004542B5">
          <w:rPr>
            <w:webHidden/>
          </w:rPr>
          <w:fldChar w:fldCharType="separate"/>
        </w:r>
        <w:r w:rsidR="005876C0" w:rsidRPr="004542B5">
          <w:rPr>
            <w:webHidden/>
          </w:rPr>
          <w:t>18</w:t>
        </w:r>
        <w:r w:rsidR="005876C0" w:rsidRPr="004542B5">
          <w:rPr>
            <w:webHidden/>
          </w:rPr>
          <w:fldChar w:fldCharType="end"/>
        </w:r>
      </w:hyperlink>
    </w:p>
    <w:p w14:paraId="59118B1C" w14:textId="76D4C047"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69" w:history="1">
        <w:r w:rsidR="005876C0" w:rsidRPr="004542B5">
          <w:rPr>
            <w:rStyle w:val="Hyperlink"/>
            <w:rFonts w:cs="Tahoma"/>
            <w:noProof/>
            <w:lang w:val="en-US"/>
          </w:rPr>
          <w:t>A.</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rFonts w:cs="Tahoma"/>
            <w:noProof/>
            <w:lang w:val="en-US"/>
          </w:rPr>
          <w:t>Kuna and Emberá indigenous peoples in Panama; domestic legal framework</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_Toc45200869 \h </w:instrText>
        </w:r>
        <w:r w:rsidR="005876C0" w:rsidRPr="004542B5">
          <w:rPr>
            <w:noProof/>
            <w:webHidden/>
          </w:rPr>
        </w:r>
        <w:r w:rsidR="005876C0" w:rsidRPr="004542B5">
          <w:rPr>
            <w:noProof/>
            <w:webHidden/>
          </w:rPr>
          <w:fldChar w:fldCharType="separate"/>
        </w:r>
        <w:r w:rsidR="005876C0" w:rsidRPr="004542B5">
          <w:rPr>
            <w:noProof/>
            <w:webHidden/>
          </w:rPr>
          <w:t>18</w:t>
        </w:r>
        <w:r w:rsidR="005876C0" w:rsidRPr="004542B5">
          <w:rPr>
            <w:noProof/>
            <w:webHidden/>
          </w:rPr>
          <w:fldChar w:fldCharType="end"/>
        </w:r>
      </w:hyperlink>
    </w:p>
    <w:p w14:paraId="1112986D" w14:textId="137E22B2" w:rsidR="005876C0" w:rsidRPr="004542B5" w:rsidRDefault="000137EF">
      <w:pPr>
        <w:pStyle w:val="TOC3"/>
        <w:rPr>
          <w:rFonts w:asciiTheme="minorHAnsi" w:eastAsiaTheme="minorEastAsia" w:hAnsiTheme="minorHAnsi" w:cstheme="minorBidi"/>
          <w:sz w:val="22"/>
          <w:szCs w:val="22"/>
          <w:lang w:val="en-US"/>
        </w:rPr>
      </w:pPr>
      <w:hyperlink w:anchor="_Toc45200870" w:history="1">
        <w:r w:rsidR="005876C0" w:rsidRPr="004542B5">
          <w:rPr>
            <w:rStyle w:val="Hyperlink"/>
            <w:rFonts w:cs="Tahoma"/>
            <w:lang w:val="en-US"/>
          </w:rPr>
          <w:t>A.1. The Kuna indigenous people</w:t>
        </w:r>
        <w:r w:rsidR="005876C0" w:rsidRPr="004542B5">
          <w:rPr>
            <w:webHidden/>
          </w:rPr>
          <w:tab/>
        </w:r>
        <w:r w:rsidR="005876C0" w:rsidRPr="004542B5">
          <w:rPr>
            <w:webHidden/>
          </w:rPr>
          <w:fldChar w:fldCharType="begin"/>
        </w:r>
        <w:r w:rsidR="005876C0" w:rsidRPr="004542B5">
          <w:rPr>
            <w:webHidden/>
          </w:rPr>
          <w:instrText xml:space="preserve"> PAGEREF _Toc45200870 \h </w:instrText>
        </w:r>
        <w:r w:rsidR="005876C0" w:rsidRPr="004542B5">
          <w:rPr>
            <w:webHidden/>
          </w:rPr>
        </w:r>
        <w:r w:rsidR="005876C0" w:rsidRPr="004542B5">
          <w:rPr>
            <w:webHidden/>
          </w:rPr>
          <w:fldChar w:fldCharType="separate"/>
        </w:r>
        <w:r w:rsidR="005876C0" w:rsidRPr="004542B5">
          <w:rPr>
            <w:webHidden/>
          </w:rPr>
          <w:t>20</w:t>
        </w:r>
        <w:r w:rsidR="005876C0" w:rsidRPr="004542B5">
          <w:rPr>
            <w:webHidden/>
          </w:rPr>
          <w:fldChar w:fldCharType="end"/>
        </w:r>
      </w:hyperlink>
    </w:p>
    <w:p w14:paraId="116E4C9E" w14:textId="1BF9664C" w:rsidR="005876C0" w:rsidRPr="004542B5" w:rsidRDefault="000137EF">
      <w:pPr>
        <w:pStyle w:val="TOC3"/>
        <w:rPr>
          <w:rFonts w:asciiTheme="minorHAnsi" w:eastAsiaTheme="minorEastAsia" w:hAnsiTheme="minorHAnsi" w:cstheme="minorBidi"/>
          <w:sz w:val="22"/>
          <w:szCs w:val="22"/>
          <w:lang w:val="en-US"/>
        </w:rPr>
      </w:pPr>
      <w:hyperlink w:anchor="_Toc45200871" w:history="1">
        <w:r w:rsidR="005876C0" w:rsidRPr="004542B5">
          <w:rPr>
            <w:rStyle w:val="Hyperlink"/>
            <w:rFonts w:cs="Tahoma"/>
            <w:lang w:val="en-US"/>
          </w:rPr>
          <w:t>A.2. The Emberá indigenous people</w:t>
        </w:r>
        <w:r w:rsidR="005876C0" w:rsidRPr="004542B5">
          <w:rPr>
            <w:webHidden/>
          </w:rPr>
          <w:tab/>
        </w:r>
        <w:r w:rsidR="005876C0" w:rsidRPr="004542B5">
          <w:rPr>
            <w:webHidden/>
          </w:rPr>
          <w:fldChar w:fldCharType="begin"/>
        </w:r>
        <w:r w:rsidR="005876C0" w:rsidRPr="004542B5">
          <w:rPr>
            <w:webHidden/>
          </w:rPr>
          <w:instrText xml:space="preserve"> PAGEREF _Toc45200871 \h </w:instrText>
        </w:r>
        <w:r w:rsidR="005876C0" w:rsidRPr="004542B5">
          <w:rPr>
            <w:webHidden/>
          </w:rPr>
        </w:r>
        <w:r w:rsidR="005876C0" w:rsidRPr="004542B5">
          <w:rPr>
            <w:webHidden/>
          </w:rPr>
          <w:fldChar w:fldCharType="separate"/>
        </w:r>
        <w:r w:rsidR="005876C0" w:rsidRPr="004542B5">
          <w:rPr>
            <w:webHidden/>
          </w:rPr>
          <w:t>20</w:t>
        </w:r>
        <w:r w:rsidR="005876C0" w:rsidRPr="004542B5">
          <w:rPr>
            <w:webHidden/>
          </w:rPr>
          <w:fldChar w:fldCharType="end"/>
        </w:r>
      </w:hyperlink>
    </w:p>
    <w:p w14:paraId="4F7DF3A8" w14:textId="370BF228" w:rsidR="005876C0" w:rsidRPr="004542B5" w:rsidRDefault="000137EF">
      <w:pPr>
        <w:pStyle w:val="TOC3"/>
        <w:rPr>
          <w:rFonts w:asciiTheme="minorHAnsi" w:eastAsiaTheme="minorEastAsia" w:hAnsiTheme="minorHAnsi" w:cstheme="minorBidi"/>
          <w:sz w:val="22"/>
          <w:szCs w:val="22"/>
          <w:lang w:val="en-US"/>
        </w:rPr>
      </w:pPr>
      <w:hyperlink w:anchor="_Toc45200872" w:history="1">
        <w:r w:rsidR="005876C0" w:rsidRPr="004542B5">
          <w:rPr>
            <w:rStyle w:val="Hyperlink"/>
            <w:rFonts w:cs="Tahoma"/>
            <w:lang w:val="en-US"/>
          </w:rPr>
          <w:t>A.3. The non-indigenous population or “settlers” in the Bayano region</w:t>
        </w:r>
        <w:r w:rsidR="005876C0" w:rsidRPr="004542B5">
          <w:rPr>
            <w:webHidden/>
          </w:rPr>
          <w:tab/>
        </w:r>
        <w:r w:rsidR="005876C0" w:rsidRPr="004542B5">
          <w:rPr>
            <w:webHidden/>
          </w:rPr>
          <w:fldChar w:fldCharType="begin"/>
        </w:r>
        <w:r w:rsidR="005876C0" w:rsidRPr="004542B5">
          <w:rPr>
            <w:webHidden/>
          </w:rPr>
          <w:instrText xml:space="preserve"> PAGEREF _Toc45200872 \h </w:instrText>
        </w:r>
        <w:r w:rsidR="005876C0" w:rsidRPr="004542B5">
          <w:rPr>
            <w:webHidden/>
          </w:rPr>
        </w:r>
        <w:r w:rsidR="005876C0" w:rsidRPr="004542B5">
          <w:rPr>
            <w:webHidden/>
          </w:rPr>
          <w:fldChar w:fldCharType="separate"/>
        </w:r>
        <w:r w:rsidR="005876C0" w:rsidRPr="004542B5">
          <w:rPr>
            <w:webHidden/>
          </w:rPr>
          <w:t>21</w:t>
        </w:r>
        <w:r w:rsidR="005876C0" w:rsidRPr="004542B5">
          <w:rPr>
            <w:webHidden/>
          </w:rPr>
          <w:fldChar w:fldCharType="end"/>
        </w:r>
      </w:hyperlink>
    </w:p>
    <w:p w14:paraId="2DF95EF5" w14:textId="546AAF8E"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73" w:history="1">
        <w:r w:rsidR="005876C0" w:rsidRPr="004542B5">
          <w:rPr>
            <w:rStyle w:val="Hyperlink"/>
            <w:rFonts w:cs="Tahoma"/>
            <w:noProof/>
            <w:lang w:val="en-US"/>
          </w:rPr>
          <w:t>B.</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rFonts w:cs="Tahoma"/>
            <w:noProof/>
            <w:lang w:val="en-US"/>
          </w:rPr>
          <w:t>Construction of the Bayano Hydroelectric Complex and transfer of the indigenous population</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_Toc45200873 \h </w:instrText>
        </w:r>
        <w:r w:rsidR="005876C0" w:rsidRPr="004542B5">
          <w:rPr>
            <w:noProof/>
            <w:webHidden/>
          </w:rPr>
        </w:r>
        <w:r w:rsidR="005876C0" w:rsidRPr="004542B5">
          <w:rPr>
            <w:noProof/>
            <w:webHidden/>
          </w:rPr>
          <w:fldChar w:fldCharType="separate"/>
        </w:r>
        <w:r w:rsidR="005876C0" w:rsidRPr="004542B5">
          <w:rPr>
            <w:noProof/>
            <w:webHidden/>
          </w:rPr>
          <w:t>21</w:t>
        </w:r>
        <w:r w:rsidR="005876C0" w:rsidRPr="004542B5">
          <w:rPr>
            <w:noProof/>
            <w:webHidden/>
          </w:rPr>
          <w:fldChar w:fldCharType="end"/>
        </w:r>
      </w:hyperlink>
    </w:p>
    <w:p w14:paraId="52BC9832" w14:textId="240363E6"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74" w:history="1">
        <w:r w:rsidR="005876C0" w:rsidRPr="004542B5">
          <w:rPr>
            <w:rStyle w:val="Hyperlink"/>
            <w:noProof/>
            <w:lang w:val="en-US"/>
          </w:rPr>
          <w:t>C.</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rFonts w:cs="Tahoma"/>
            <w:noProof/>
            <w:lang w:val="en-US"/>
          </w:rPr>
          <w:t>Events that occurred after the transfer of the indigenous population</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_Toc45200874 \h </w:instrText>
        </w:r>
        <w:r w:rsidR="005876C0" w:rsidRPr="004542B5">
          <w:rPr>
            <w:noProof/>
            <w:webHidden/>
          </w:rPr>
        </w:r>
        <w:r w:rsidR="005876C0" w:rsidRPr="004542B5">
          <w:rPr>
            <w:noProof/>
            <w:webHidden/>
          </w:rPr>
          <w:fldChar w:fldCharType="separate"/>
        </w:r>
        <w:r w:rsidR="005876C0" w:rsidRPr="004542B5">
          <w:rPr>
            <w:noProof/>
            <w:webHidden/>
          </w:rPr>
          <w:t>22</w:t>
        </w:r>
        <w:r w:rsidR="005876C0" w:rsidRPr="004542B5">
          <w:rPr>
            <w:noProof/>
            <w:webHidden/>
          </w:rPr>
          <w:fldChar w:fldCharType="end"/>
        </w:r>
      </w:hyperlink>
    </w:p>
    <w:p w14:paraId="2827A309" w14:textId="244BC54A"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75" w:history="1">
        <w:r w:rsidR="005876C0" w:rsidRPr="004542B5">
          <w:rPr>
            <w:rStyle w:val="Hyperlink"/>
            <w:rFonts w:cs="Tahoma"/>
            <w:noProof/>
            <w:lang w:val="en-US"/>
          </w:rPr>
          <w:t>D.</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rFonts w:cs="Tahoma"/>
            <w:noProof/>
            <w:lang w:val="en-US"/>
          </w:rPr>
          <w:t>Incursions by non-indigenous persons and creation of the Kuna Comarca of Madungandí (1990-1996)</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_Toc45200875 \h </w:instrText>
        </w:r>
        <w:r w:rsidR="005876C0" w:rsidRPr="004542B5">
          <w:rPr>
            <w:noProof/>
            <w:webHidden/>
          </w:rPr>
        </w:r>
        <w:r w:rsidR="005876C0" w:rsidRPr="004542B5">
          <w:rPr>
            <w:noProof/>
            <w:webHidden/>
          </w:rPr>
          <w:fldChar w:fldCharType="separate"/>
        </w:r>
        <w:r w:rsidR="005876C0" w:rsidRPr="004542B5">
          <w:rPr>
            <w:noProof/>
            <w:webHidden/>
          </w:rPr>
          <w:t>23</w:t>
        </w:r>
        <w:r w:rsidR="005876C0" w:rsidRPr="004542B5">
          <w:rPr>
            <w:noProof/>
            <w:webHidden/>
          </w:rPr>
          <w:fldChar w:fldCharType="end"/>
        </w:r>
      </w:hyperlink>
    </w:p>
    <w:p w14:paraId="13A66730" w14:textId="67F6EF94"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76" w:history="1">
        <w:r w:rsidR="005876C0" w:rsidRPr="004542B5">
          <w:rPr>
            <w:rStyle w:val="Hyperlink"/>
            <w:rFonts w:cs="Tahoma"/>
            <w:noProof/>
            <w:lang w:val="en-US"/>
          </w:rPr>
          <w:t>E.</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rFonts w:cs="Tahoma"/>
            <w:noProof/>
            <w:lang w:val="en-US"/>
          </w:rPr>
          <w:t>Negotiation Tables of the Darien Sustainable Development Program (1996-2001) and demarcation of the Kuna Comarca of Madungandí</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_Toc45200876 \h </w:instrText>
        </w:r>
        <w:r w:rsidR="005876C0" w:rsidRPr="004542B5">
          <w:rPr>
            <w:noProof/>
            <w:webHidden/>
          </w:rPr>
        </w:r>
        <w:r w:rsidR="005876C0" w:rsidRPr="004542B5">
          <w:rPr>
            <w:noProof/>
            <w:webHidden/>
          </w:rPr>
          <w:fldChar w:fldCharType="separate"/>
        </w:r>
        <w:r w:rsidR="005876C0" w:rsidRPr="004542B5">
          <w:rPr>
            <w:noProof/>
            <w:webHidden/>
          </w:rPr>
          <w:t>25</w:t>
        </w:r>
        <w:r w:rsidR="005876C0" w:rsidRPr="004542B5">
          <w:rPr>
            <w:noProof/>
            <w:webHidden/>
          </w:rPr>
          <w:fldChar w:fldCharType="end"/>
        </w:r>
      </w:hyperlink>
    </w:p>
    <w:p w14:paraId="71D16AE2" w14:textId="6FCB1DF6"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77" w:history="1">
        <w:r w:rsidR="005876C0" w:rsidRPr="004542B5">
          <w:rPr>
            <w:rStyle w:val="Hyperlink"/>
            <w:rFonts w:cs="Tahoma"/>
            <w:noProof/>
            <w:lang w:val="en-US"/>
          </w:rPr>
          <w:t>F.</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rFonts w:cs="Tahoma"/>
            <w:noProof/>
            <w:lang w:val="en-US"/>
          </w:rPr>
          <w:t>Attempt to reach a friendly settlement agreement before the Inter-American Commission on Human Rights; Indigenous Peoples - Government Commission (2001 – 2006)</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_Toc45200877 \h </w:instrText>
        </w:r>
        <w:r w:rsidR="005876C0" w:rsidRPr="004542B5">
          <w:rPr>
            <w:noProof/>
            <w:webHidden/>
          </w:rPr>
        </w:r>
        <w:r w:rsidR="005876C0" w:rsidRPr="004542B5">
          <w:rPr>
            <w:noProof/>
            <w:webHidden/>
          </w:rPr>
          <w:fldChar w:fldCharType="separate"/>
        </w:r>
        <w:r w:rsidR="005876C0" w:rsidRPr="004542B5">
          <w:rPr>
            <w:noProof/>
            <w:webHidden/>
          </w:rPr>
          <w:t>26</w:t>
        </w:r>
        <w:r w:rsidR="005876C0" w:rsidRPr="004542B5">
          <w:rPr>
            <w:noProof/>
            <w:webHidden/>
          </w:rPr>
          <w:fldChar w:fldCharType="end"/>
        </w:r>
      </w:hyperlink>
    </w:p>
    <w:p w14:paraId="09FE6720" w14:textId="3FDFACFF"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78" w:history="1">
        <w:r w:rsidR="005876C0" w:rsidRPr="004542B5">
          <w:rPr>
            <w:rStyle w:val="Hyperlink"/>
            <w:rFonts w:cs="Tahoma"/>
            <w:noProof/>
            <w:lang w:val="en-US"/>
          </w:rPr>
          <w:t>G.</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rFonts w:cs="Tahoma"/>
            <w:noProof/>
            <w:lang w:val="en-US"/>
          </w:rPr>
          <w:t>Creation of a High-Level Presidential Commission; establishment of procedures to adjudicate collective ownership of indigenous lands; delimitation of Emberá lands (2007-2013)</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_Toc45200878 \h </w:instrText>
        </w:r>
        <w:r w:rsidR="005876C0" w:rsidRPr="004542B5">
          <w:rPr>
            <w:noProof/>
            <w:webHidden/>
          </w:rPr>
        </w:r>
        <w:r w:rsidR="005876C0" w:rsidRPr="004542B5">
          <w:rPr>
            <w:noProof/>
            <w:webHidden/>
          </w:rPr>
          <w:fldChar w:fldCharType="separate"/>
        </w:r>
        <w:r w:rsidR="005876C0" w:rsidRPr="004542B5">
          <w:rPr>
            <w:noProof/>
            <w:webHidden/>
          </w:rPr>
          <w:t>27</w:t>
        </w:r>
        <w:r w:rsidR="005876C0" w:rsidRPr="004542B5">
          <w:rPr>
            <w:noProof/>
            <w:webHidden/>
          </w:rPr>
          <w:fldChar w:fldCharType="end"/>
        </w:r>
      </w:hyperlink>
    </w:p>
    <w:p w14:paraId="7FC6F663" w14:textId="2EC28931"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79" w:history="1">
        <w:r w:rsidR="005876C0" w:rsidRPr="004542B5">
          <w:rPr>
            <w:rStyle w:val="Hyperlink"/>
            <w:rFonts w:cs="Tahoma"/>
            <w:noProof/>
            <w:lang w:val="en-US"/>
          </w:rPr>
          <w:t>H.</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rFonts w:cs="Tahoma"/>
            <w:noProof/>
            <w:lang w:val="en-US"/>
          </w:rPr>
          <w:t>Administrative and judicial actions file by the Kuna and Emberá peoples to protect their lands</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_Toc45200879 \h </w:instrText>
        </w:r>
        <w:r w:rsidR="005876C0" w:rsidRPr="004542B5">
          <w:rPr>
            <w:noProof/>
            <w:webHidden/>
          </w:rPr>
        </w:r>
        <w:r w:rsidR="005876C0" w:rsidRPr="004542B5">
          <w:rPr>
            <w:noProof/>
            <w:webHidden/>
          </w:rPr>
          <w:fldChar w:fldCharType="separate"/>
        </w:r>
        <w:r w:rsidR="005876C0" w:rsidRPr="004542B5">
          <w:rPr>
            <w:noProof/>
            <w:webHidden/>
          </w:rPr>
          <w:t>29</w:t>
        </w:r>
        <w:r w:rsidR="005876C0" w:rsidRPr="004542B5">
          <w:rPr>
            <w:noProof/>
            <w:webHidden/>
          </w:rPr>
          <w:fldChar w:fldCharType="end"/>
        </w:r>
      </w:hyperlink>
    </w:p>
    <w:p w14:paraId="0EE723E9" w14:textId="79EC650E" w:rsidR="005876C0" w:rsidRPr="004542B5" w:rsidRDefault="000137EF">
      <w:pPr>
        <w:pStyle w:val="TOC3"/>
        <w:rPr>
          <w:rFonts w:asciiTheme="minorHAnsi" w:eastAsiaTheme="minorEastAsia" w:hAnsiTheme="minorHAnsi" w:cstheme="minorBidi"/>
          <w:sz w:val="22"/>
          <w:szCs w:val="22"/>
          <w:lang w:val="en-US"/>
        </w:rPr>
      </w:pPr>
      <w:hyperlink w:anchor="_Toc45200880" w:history="1">
        <w:r w:rsidR="005876C0" w:rsidRPr="004542B5">
          <w:rPr>
            <w:rStyle w:val="Hyperlink"/>
            <w:rFonts w:cs="Tahoma"/>
            <w:lang w:val="en-US"/>
          </w:rPr>
          <w:t>H.1. Communications and actions before local, provincial and national authorities</w:t>
        </w:r>
        <w:r w:rsidR="005876C0" w:rsidRPr="004542B5">
          <w:rPr>
            <w:webHidden/>
          </w:rPr>
          <w:tab/>
        </w:r>
        <w:r w:rsidR="005876C0" w:rsidRPr="004542B5">
          <w:rPr>
            <w:webHidden/>
          </w:rPr>
          <w:fldChar w:fldCharType="begin"/>
        </w:r>
        <w:r w:rsidR="005876C0" w:rsidRPr="004542B5">
          <w:rPr>
            <w:webHidden/>
          </w:rPr>
          <w:instrText xml:space="preserve"> PAGEREF _Toc45200880 \h </w:instrText>
        </w:r>
        <w:r w:rsidR="005876C0" w:rsidRPr="004542B5">
          <w:rPr>
            <w:webHidden/>
          </w:rPr>
        </w:r>
        <w:r w:rsidR="005876C0" w:rsidRPr="004542B5">
          <w:rPr>
            <w:webHidden/>
          </w:rPr>
          <w:fldChar w:fldCharType="separate"/>
        </w:r>
        <w:r w:rsidR="005876C0" w:rsidRPr="004542B5">
          <w:rPr>
            <w:webHidden/>
          </w:rPr>
          <w:t>29</w:t>
        </w:r>
        <w:r w:rsidR="005876C0" w:rsidRPr="004542B5">
          <w:rPr>
            <w:webHidden/>
          </w:rPr>
          <w:fldChar w:fldCharType="end"/>
        </w:r>
      </w:hyperlink>
    </w:p>
    <w:p w14:paraId="54596381" w14:textId="4B4235F0" w:rsidR="005876C0" w:rsidRPr="004542B5" w:rsidRDefault="000137EF">
      <w:pPr>
        <w:pStyle w:val="TOC3"/>
        <w:rPr>
          <w:rFonts w:asciiTheme="minorHAnsi" w:eastAsiaTheme="minorEastAsia" w:hAnsiTheme="minorHAnsi" w:cstheme="minorBidi"/>
          <w:sz w:val="22"/>
          <w:szCs w:val="22"/>
          <w:lang w:val="en-US"/>
        </w:rPr>
      </w:pPr>
      <w:hyperlink w:anchor="_Toc45200881" w:history="1">
        <w:r w:rsidR="005876C0" w:rsidRPr="004542B5">
          <w:rPr>
            <w:rStyle w:val="Hyperlink"/>
            <w:rFonts w:cs="Tahoma"/>
            <w:lang w:val="en-US"/>
          </w:rPr>
          <w:t>H.2. Administrative and criminal proceedings filed by the presumed victims</w:t>
        </w:r>
        <w:r w:rsidR="005876C0" w:rsidRPr="004542B5">
          <w:rPr>
            <w:webHidden/>
          </w:rPr>
          <w:tab/>
        </w:r>
        <w:r w:rsidR="005876C0" w:rsidRPr="004542B5">
          <w:rPr>
            <w:webHidden/>
          </w:rPr>
          <w:fldChar w:fldCharType="begin"/>
        </w:r>
        <w:r w:rsidR="005876C0" w:rsidRPr="004542B5">
          <w:rPr>
            <w:webHidden/>
          </w:rPr>
          <w:instrText xml:space="preserve"> PAGEREF _Toc45200881 \h </w:instrText>
        </w:r>
        <w:r w:rsidR="005876C0" w:rsidRPr="004542B5">
          <w:rPr>
            <w:webHidden/>
          </w:rPr>
        </w:r>
        <w:r w:rsidR="005876C0" w:rsidRPr="004542B5">
          <w:rPr>
            <w:webHidden/>
          </w:rPr>
          <w:fldChar w:fldCharType="separate"/>
        </w:r>
        <w:r w:rsidR="005876C0" w:rsidRPr="004542B5">
          <w:rPr>
            <w:webHidden/>
          </w:rPr>
          <w:t>30</w:t>
        </w:r>
        <w:r w:rsidR="005876C0" w:rsidRPr="004542B5">
          <w:rPr>
            <w:webHidden/>
          </w:rPr>
          <w:fldChar w:fldCharType="end"/>
        </w:r>
      </w:hyperlink>
    </w:p>
    <w:p w14:paraId="044B3F1B" w14:textId="3DD56940" w:rsidR="005876C0" w:rsidRPr="004542B5" w:rsidRDefault="000137EF">
      <w:pPr>
        <w:pStyle w:val="TOC1"/>
        <w:rPr>
          <w:rFonts w:asciiTheme="minorHAnsi" w:eastAsiaTheme="minorEastAsia" w:hAnsiTheme="minorHAnsi" w:cstheme="minorBidi"/>
          <w:b w:val="0"/>
          <w:sz w:val="22"/>
          <w:szCs w:val="22"/>
          <w:lang w:val="en-US"/>
        </w:rPr>
      </w:pPr>
      <w:hyperlink w:anchor="_Toc45200882" w:history="1">
        <w:r w:rsidR="005876C0" w:rsidRPr="004542B5">
          <w:rPr>
            <w:rStyle w:val="Hyperlink"/>
            <w:lang w:val="en-US"/>
          </w:rPr>
          <w:t>VII. MERITS</w:t>
        </w:r>
        <w:r w:rsidR="005876C0" w:rsidRPr="004542B5">
          <w:rPr>
            <w:webHidden/>
          </w:rPr>
          <w:tab/>
        </w:r>
        <w:r w:rsidR="005876C0" w:rsidRPr="004542B5">
          <w:rPr>
            <w:webHidden/>
          </w:rPr>
          <w:fldChar w:fldCharType="begin"/>
        </w:r>
        <w:r w:rsidR="005876C0" w:rsidRPr="004542B5">
          <w:rPr>
            <w:webHidden/>
          </w:rPr>
          <w:instrText xml:space="preserve"> PAGEREF _Toc45200882 \h </w:instrText>
        </w:r>
        <w:r w:rsidR="005876C0" w:rsidRPr="004542B5">
          <w:rPr>
            <w:webHidden/>
          </w:rPr>
        </w:r>
        <w:r w:rsidR="005876C0" w:rsidRPr="004542B5">
          <w:rPr>
            <w:webHidden/>
          </w:rPr>
          <w:fldChar w:fldCharType="separate"/>
        </w:r>
        <w:r w:rsidR="005876C0" w:rsidRPr="004542B5">
          <w:rPr>
            <w:webHidden/>
          </w:rPr>
          <w:t>36</w:t>
        </w:r>
        <w:r w:rsidR="005876C0" w:rsidRPr="004542B5">
          <w:rPr>
            <w:webHidden/>
          </w:rPr>
          <w:fldChar w:fldCharType="end"/>
        </w:r>
      </w:hyperlink>
    </w:p>
    <w:p w14:paraId="55C0B038" w14:textId="38318C1E" w:rsidR="005876C0" w:rsidRPr="004542B5" w:rsidRDefault="000137EF">
      <w:pPr>
        <w:pStyle w:val="TOC1"/>
        <w:rPr>
          <w:rFonts w:asciiTheme="minorHAnsi" w:eastAsiaTheme="minorEastAsia" w:hAnsiTheme="minorHAnsi" w:cstheme="minorBidi"/>
          <w:b w:val="0"/>
          <w:sz w:val="22"/>
          <w:szCs w:val="22"/>
          <w:lang w:val="en-US"/>
        </w:rPr>
      </w:pPr>
      <w:hyperlink w:anchor="_Toc45200883" w:history="1">
        <w:r w:rsidR="005876C0" w:rsidRPr="004542B5">
          <w:rPr>
            <w:rStyle w:val="Hyperlink"/>
            <w:smallCaps/>
            <w:lang w:val="en-US"/>
          </w:rPr>
          <w:t xml:space="preserve">VII.1. </w:t>
        </w:r>
        <w:r w:rsidR="005876C0" w:rsidRPr="004542B5">
          <w:rPr>
            <w:rStyle w:val="Hyperlink"/>
            <w:rFonts w:eastAsia="Times New Roman" w:cs="Verdana"/>
            <w:bCs/>
            <w:snapToGrid w:val="0"/>
            <w:lang w:val="en-US" w:eastAsia="es-ES"/>
          </w:rPr>
          <w:t>THE RIGHT TO PROPERTY AND THE OBLIGATION TO ADAPT DOMESTIC LAW (Articles 21 and 2 in relation to Article 1(1) of the Convention)</w:t>
        </w:r>
        <w:r w:rsidR="005876C0" w:rsidRPr="004542B5">
          <w:rPr>
            <w:webHidden/>
          </w:rPr>
          <w:tab/>
        </w:r>
        <w:r w:rsidR="005876C0" w:rsidRPr="004542B5">
          <w:rPr>
            <w:webHidden/>
          </w:rPr>
          <w:fldChar w:fldCharType="begin"/>
        </w:r>
        <w:r w:rsidR="005876C0" w:rsidRPr="004542B5">
          <w:rPr>
            <w:webHidden/>
          </w:rPr>
          <w:instrText xml:space="preserve"> PAGEREF _Toc45200883 \h </w:instrText>
        </w:r>
        <w:r w:rsidR="005876C0" w:rsidRPr="004542B5">
          <w:rPr>
            <w:webHidden/>
          </w:rPr>
        </w:r>
        <w:r w:rsidR="005876C0" w:rsidRPr="004542B5">
          <w:rPr>
            <w:webHidden/>
          </w:rPr>
          <w:fldChar w:fldCharType="separate"/>
        </w:r>
        <w:r w:rsidR="005876C0" w:rsidRPr="004542B5">
          <w:rPr>
            <w:webHidden/>
          </w:rPr>
          <w:t>36</w:t>
        </w:r>
        <w:r w:rsidR="005876C0" w:rsidRPr="004542B5">
          <w:rPr>
            <w:webHidden/>
          </w:rPr>
          <w:fldChar w:fldCharType="end"/>
        </w:r>
      </w:hyperlink>
    </w:p>
    <w:p w14:paraId="5C354423" w14:textId="2725B23C"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84" w:history="1">
        <w:r w:rsidR="005876C0" w:rsidRPr="004542B5">
          <w:rPr>
            <w:rStyle w:val="Hyperlink"/>
            <w:noProof/>
            <w:lang w:val="en-US"/>
          </w:rPr>
          <w:t>A.</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The alleged failure to delimit, demarcate and title the lands of the Kuna indigenous people of Madungandí and the Emberá indigenous people of Bayano (Article 21 in relation to Article 1(1) of the Convention)</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_Toc45200884 \h </w:instrText>
        </w:r>
        <w:r w:rsidR="005876C0" w:rsidRPr="004542B5">
          <w:rPr>
            <w:noProof/>
            <w:webHidden/>
          </w:rPr>
        </w:r>
        <w:r w:rsidR="005876C0" w:rsidRPr="004542B5">
          <w:rPr>
            <w:noProof/>
            <w:webHidden/>
          </w:rPr>
          <w:fldChar w:fldCharType="separate"/>
        </w:r>
        <w:r w:rsidR="005876C0" w:rsidRPr="004542B5">
          <w:rPr>
            <w:noProof/>
            <w:webHidden/>
          </w:rPr>
          <w:t>36</w:t>
        </w:r>
        <w:r w:rsidR="005876C0" w:rsidRPr="004542B5">
          <w:rPr>
            <w:noProof/>
            <w:webHidden/>
          </w:rPr>
          <w:fldChar w:fldCharType="end"/>
        </w:r>
      </w:hyperlink>
    </w:p>
    <w:p w14:paraId="0283CCDC" w14:textId="0DD06999" w:rsidR="005876C0" w:rsidRPr="004542B5" w:rsidRDefault="000137EF">
      <w:pPr>
        <w:pStyle w:val="TOC3"/>
        <w:rPr>
          <w:rFonts w:asciiTheme="minorHAnsi" w:eastAsiaTheme="minorEastAsia" w:hAnsiTheme="minorHAnsi" w:cstheme="minorBidi"/>
          <w:sz w:val="22"/>
          <w:szCs w:val="22"/>
          <w:lang w:val="en-US"/>
        </w:rPr>
      </w:pPr>
      <w:hyperlink w:anchor="_Toc45200885" w:history="1">
        <w:r w:rsidR="005876C0" w:rsidRPr="004542B5">
          <w:rPr>
            <w:rStyle w:val="Hyperlink"/>
            <w:lang w:val="en-US"/>
          </w:rPr>
          <w:t>A.1. Arguments of the Commission and of the parties</w:t>
        </w:r>
        <w:r w:rsidR="005876C0" w:rsidRPr="004542B5">
          <w:rPr>
            <w:webHidden/>
          </w:rPr>
          <w:tab/>
        </w:r>
        <w:r w:rsidR="005876C0" w:rsidRPr="004542B5">
          <w:rPr>
            <w:webHidden/>
          </w:rPr>
          <w:fldChar w:fldCharType="begin"/>
        </w:r>
        <w:r w:rsidR="005876C0" w:rsidRPr="004542B5">
          <w:rPr>
            <w:webHidden/>
          </w:rPr>
          <w:instrText xml:space="preserve"> PAGEREF _Toc45200885 \h </w:instrText>
        </w:r>
        <w:r w:rsidR="005876C0" w:rsidRPr="004542B5">
          <w:rPr>
            <w:webHidden/>
          </w:rPr>
        </w:r>
        <w:r w:rsidR="005876C0" w:rsidRPr="004542B5">
          <w:rPr>
            <w:webHidden/>
          </w:rPr>
          <w:fldChar w:fldCharType="separate"/>
        </w:r>
        <w:r w:rsidR="005876C0" w:rsidRPr="004542B5">
          <w:rPr>
            <w:webHidden/>
          </w:rPr>
          <w:t>36</w:t>
        </w:r>
        <w:r w:rsidR="005876C0" w:rsidRPr="004542B5">
          <w:rPr>
            <w:webHidden/>
          </w:rPr>
          <w:fldChar w:fldCharType="end"/>
        </w:r>
      </w:hyperlink>
    </w:p>
    <w:p w14:paraId="1556B4BE" w14:textId="5035E64A" w:rsidR="005876C0" w:rsidRPr="004542B5" w:rsidRDefault="000137EF">
      <w:pPr>
        <w:pStyle w:val="TOC3"/>
        <w:rPr>
          <w:rFonts w:asciiTheme="minorHAnsi" w:eastAsiaTheme="minorEastAsia" w:hAnsiTheme="minorHAnsi" w:cstheme="minorBidi"/>
          <w:sz w:val="22"/>
          <w:szCs w:val="22"/>
          <w:lang w:val="en-US"/>
        </w:rPr>
      </w:pPr>
      <w:hyperlink w:anchor="_Toc45200886" w:history="1">
        <w:r w:rsidR="005876C0" w:rsidRPr="004542B5">
          <w:rPr>
            <w:rStyle w:val="Hyperlink"/>
            <w:lang w:val="en-US"/>
          </w:rPr>
          <w:t>A.2. Considerations of the Court</w:t>
        </w:r>
        <w:r w:rsidR="005876C0" w:rsidRPr="004542B5">
          <w:rPr>
            <w:webHidden/>
          </w:rPr>
          <w:tab/>
        </w:r>
        <w:r w:rsidR="005876C0" w:rsidRPr="004542B5">
          <w:rPr>
            <w:webHidden/>
          </w:rPr>
          <w:fldChar w:fldCharType="begin"/>
        </w:r>
        <w:r w:rsidR="005876C0" w:rsidRPr="004542B5">
          <w:rPr>
            <w:webHidden/>
          </w:rPr>
          <w:instrText xml:space="preserve"> PAGEREF _Toc45200886 \h </w:instrText>
        </w:r>
        <w:r w:rsidR="005876C0" w:rsidRPr="004542B5">
          <w:rPr>
            <w:webHidden/>
          </w:rPr>
        </w:r>
        <w:r w:rsidR="005876C0" w:rsidRPr="004542B5">
          <w:rPr>
            <w:webHidden/>
          </w:rPr>
          <w:fldChar w:fldCharType="separate"/>
        </w:r>
        <w:r w:rsidR="005876C0" w:rsidRPr="004542B5">
          <w:rPr>
            <w:webHidden/>
          </w:rPr>
          <w:t>37</w:t>
        </w:r>
        <w:r w:rsidR="005876C0" w:rsidRPr="004542B5">
          <w:rPr>
            <w:webHidden/>
          </w:rPr>
          <w:fldChar w:fldCharType="end"/>
        </w:r>
      </w:hyperlink>
    </w:p>
    <w:p w14:paraId="3A60A5EF" w14:textId="61B0F8D3"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87" w:history="1">
        <w:r w:rsidR="005876C0" w:rsidRPr="004542B5">
          <w:rPr>
            <w:rStyle w:val="Hyperlink"/>
            <w:noProof/>
            <w:lang w:val="en-US"/>
          </w:rPr>
          <w:t>B.</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The alleged lack of an adequate procedure for the delimitation, demarcation and titling of indigenous lands (Article 2 of the Convention)</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_Toc45200887 \h </w:instrText>
        </w:r>
        <w:r w:rsidR="005876C0" w:rsidRPr="004542B5">
          <w:rPr>
            <w:noProof/>
            <w:webHidden/>
          </w:rPr>
        </w:r>
        <w:r w:rsidR="005876C0" w:rsidRPr="004542B5">
          <w:rPr>
            <w:noProof/>
            <w:webHidden/>
          </w:rPr>
          <w:fldChar w:fldCharType="separate"/>
        </w:r>
        <w:r w:rsidR="005876C0" w:rsidRPr="004542B5">
          <w:rPr>
            <w:noProof/>
            <w:webHidden/>
          </w:rPr>
          <w:t>46</w:t>
        </w:r>
        <w:r w:rsidR="005876C0" w:rsidRPr="004542B5">
          <w:rPr>
            <w:noProof/>
            <w:webHidden/>
          </w:rPr>
          <w:fldChar w:fldCharType="end"/>
        </w:r>
      </w:hyperlink>
    </w:p>
    <w:p w14:paraId="28CA8230" w14:textId="772D82ED" w:rsidR="005876C0" w:rsidRPr="004542B5" w:rsidRDefault="000137EF">
      <w:pPr>
        <w:pStyle w:val="TOC3"/>
        <w:rPr>
          <w:rFonts w:asciiTheme="minorHAnsi" w:eastAsiaTheme="minorEastAsia" w:hAnsiTheme="minorHAnsi" w:cstheme="minorBidi"/>
          <w:sz w:val="22"/>
          <w:szCs w:val="22"/>
          <w:lang w:val="en-US"/>
        </w:rPr>
      </w:pPr>
      <w:hyperlink w:anchor="_Toc45200888" w:history="1">
        <w:r w:rsidR="005876C0" w:rsidRPr="004542B5">
          <w:rPr>
            <w:rStyle w:val="Hyperlink"/>
            <w:lang w:val="en-US"/>
          </w:rPr>
          <w:t>B.1. Arguments of the Commission and of the parties</w:t>
        </w:r>
        <w:r w:rsidR="005876C0" w:rsidRPr="004542B5">
          <w:rPr>
            <w:webHidden/>
          </w:rPr>
          <w:tab/>
        </w:r>
        <w:r w:rsidR="005876C0" w:rsidRPr="004542B5">
          <w:rPr>
            <w:webHidden/>
          </w:rPr>
          <w:fldChar w:fldCharType="begin"/>
        </w:r>
        <w:r w:rsidR="005876C0" w:rsidRPr="004542B5">
          <w:rPr>
            <w:webHidden/>
          </w:rPr>
          <w:instrText xml:space="preserve"> PAGEREF _Toc45200888 \h </w:instrText>
        </w:r>
        <w:r w:rsidR="005876C0" w:rsidRPr="004542B5">
          <w:rPr>
            <w:webHidden/>
          </w:rPr>
        </w:r>
        <w:r w:rsidR="005876C0" w:rsidRPr="004542B5">
          <w:rPr>
            <w:webHidden/>
          </w:rPr>
          <w:fldChar w:fldCharType="separate"/>
        </w:r>
        <w:r w:rsidR="005876C0" w:rsidRPr="004542B5">
          <w:rPr>
            <w:webHidden/>
          </w:rPr>
          <w:t>46</w:t>
        </w:r>
        <w:r w:rsidR="005876C0" w:rsidRPr="004542B5">
          <w:rPr>
            <w:webHidden/>
          </w:rPr>
          <w:fldChar w:fldCharType="end"/>
        </w:r>
      </w:hyperlink>
    </w:p>
    <w:p w14:paraId="7BF14666" w14:textId="567BBEF2" w:rsidR="005876C0" w:rsidRPr="004542B5" w:rsidRDefault="000137EF">
      <w:pPr>
        <w:pStyle w:val="TOC3"/>
        <w:rPr>
          <w:rFonts w:asciiTheme="minorHAnsi" w:eastAsiaTheme="minorEastAsia" w:hAnsiTheme="minorHAnsi" w:cstheme="minorBidi"/>
          <w:sz w:val="22"/>
          <w:szCs w:val="22"/>
          <w:lang w:val="en-US"/>
        </w:rPr>
      </w:pPr>
      <w:hyperlink w:anchor="_Toc45200889" w:history="1">
        <w:r w:rsidR="005876C0" w:rsidRPr="004542B5">
          <w:rPr>
            <w:rStyle w:val="Hyperlink"/>
            <w:lang w:val="en-US"/>
          </w:rPr>
          <w:t>B.2. Considerations of the Court</w:t>
        </w:r>
        <w:r w:rsidR="005876C0" w:rsidRPr="004542B5">
          <w:rPr>
            <w:webHidden/>
          </w:rPr>
          <w:tab/>
        </w:r>
        <w:r w:rsidR="005876C0" w:rsidRPr="004542B5">
          <w:rPr>
            <w:webHidden/>
          </w:rPr>
          <w:fldChar w:fldCharType="begin"/>
        </w:r>
        <w:r w:rsidR="005876C0" w:rsidRPr="004542B5">
          <w:rPr>
            <w:webHidden/>
          </w:rPr>
          <w:instrText xml:space="preserve"> PAGEREF _Toc45200889 \h </w:instrText>
        </w:r>
        <w:r w:rsidR="005876C0" w:rsidRPr="004542B5">
          <w:rPr>
            <w:webHidden/>
          </w:rPr>
        </w:r>
        <w:r w:rsidR="005876C0" w:rsidRPr="004542B5">
          <w:rPr>
            <w:webHidden/>
          </w:rPr>
          <w:fldChar w:fldCharType="separate"/>
        </w:r>
        <w:r w:rsidR="005876C0" w:rsidRPr="004542B5">
          <w:rPr>
            <w:webHidden/>
          </w:rPr>
          <w:t>47</w:t>
        </w:r>
        <w:r w:rsidR="005876C0" w:rsidRPr="004542B5">
          <w:rPr>
            <w:webHidden/>
          </w:rPr>
          <w:fldChar w:fldCharType="end"/>
        </w:r>
      </w:hyperlink>
    </w:p>
    <w:p w14:paraId="7226A486" w14:textId="4D4FB72B" w:rsidR="005876C0" w:rsidRPr="004542B5" w:rsidRDefault="000137EF">
      <w:pPr>
        <w:pStyle w:val="TOC1"/>
        <w:rPr>
          <w:rFonts w:asciiTheme="minorHAnsi" w:eastAsiaTheme="minorEastAsia" w:hAnsiTheme="minorHAnsi" w:cstheme="minorBidi"/>
          <w:b w:val="0"/>
          <w:sz w:val="22"/>
          <w:szCs w:val="22"/>
          <w:lang w:val="en-US"/>
        </w:rPr>
      </w:pPr>
      <w:hyperlink w:anchor="_Toc45200890" w:history="1">
        <w:r w:rsidR="005876C0" w:rsidRPr="004542B5">
          <w:rPr>
            <w:rStyle w:val="Hyperlink"/>
            <w:smallCaps/>
            <w:lang w:val="en-US"/>
          </w:rPr>
          <w:t xml:space="preserve">VII-2. </w:t>
        </w:r>
        <w:r w:rsidR="005876C0" w:rsidRPr="004542B5">
          <w:rPr>
            <w:rStyle w:val="Hyperlink"/>
            <w:rFonts w:eastAsia="Times New Roman" w:cs="Verdana"/>
            <w:bCs/>
            <w:snapToGrid w:val="0"/>
            <w:lang w:val="en-US" w:eastAsia="es-ES"/>
          </w:rPr>
          <w:t>PROCEDURES TO ACCEDE TO OWNERSHIP OF INDIGENOUS TERRITORY AND FOR ITS PROTECTION AGAINST THIRD PARTIES AND THE OBLIGATION TO ADAPT DOMESTIC LAW (Articles 8(1), 25 and 2 in relation to Article 1(1) of the Convention)</w:t>
        </w:r>
        <w:r w:rsidR="005876C0" w:rsidRPr="004542B5">
          <w:rPr>
            <w:webHidden/>
          </w:rPr>
          <w:tab/>
        </w:r>
        <w:r w:rsidR="005876C0" w:rsidRPr="004542B5">
          <w:rPr>
            <w:webHidden/>
          </w:rPr>
          <w:fldChar w:fldCharType="begin"/>
        </w:r>
        <w:r w:rsidR="005876C0" w:rsidRPr="004542B5">
          <w:rPr>
            <w:webHidden/>
          </w:rPr>
          <w:instrText xml:space="preserve"> PAGEREF _Toc45200890 \h </w:instrText>
        </w:r>
        <w:r w:rsidR="005876C0" w:rsidRPr="004542B5">
          <w:rPr>
            <w:webHidden/>
          </w:rPr>
        </w:r>
        <w:r w:rsidR="005876C0" w:rsidRPr="004542B5">
          <w:rPr>
            <w:webHidden/>
          </w:rPr>
          <w:fldChar w:fldCharType="separate"/>
        </w:r>
        <w:r w:rsidR="005876C0" w:rsidRPr="004542B5">
          <w:rPr>
            <w:webHidden/>
          </w:rPr>
          <w:t>49</w:t>
        </w:r>
        <w:r w:rsidR="005876C0" w:rsidRPr="004542B5">
          <w:rPr>
            <w:webHidden/>
          </w:rPr>
          <w:fldChar w:fldCharType="end"/>
        </w:r>
      </w:hyperlink>
    </w:p>
    <w:p w14:paraId="4F82910E" w14:textId="673074CD"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91" w:history="1">
        <w:r w:rsidR="005876C0" w:rsidRPr="004542B5">
          <w:rPr>
            <w:rStyle w:val="Hyperlink"/>
            <w:noProof/>
            <w:lang w:val="en-US"/>
          </w:rPr>
          <w:t>A.</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The alleged ineffectiveness of the procedures to accede to ownership of indigenous territory and for its protection against third parties (Article 8(1) and 25 in relation to Article 1(1) of the Convention)</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_Toc45200891 \h </w:instrText>
        </w:r>
        <w:r w:rsidR="005876C0" w:rsidRPr="004542B5">
          <w:rPr>
            <w:noProof/>
            <w:webHidden/>
          </w:rPr>
        </w:r>
        <w:r w:rsidR="005876C0" w:rsidRPr="004542B5">
          <w:rPr>
            <w:noProof/>
            <w:webHidden/>
          </w:rPr>
          <w:fldChar w:fldCharType="separate"/>
        </w:r>
        <w:r w:rsidR="005876C0" w:rsidRPr="004542B5">
          <w:rPr>
            <w:noProof/>
            <w:webHidden/>
          </w:rPr>
          <w:t>49</w:t>
        </w:r>
        <w:r w:rsidR="005876C0" w:rsidRPr="004542B5">
          <w:rPr>
            <w:noProof/>
            <w:webHidden/>
          </w:rPr>
          <w:fldChar w:fldCharType="end"/>
        </w:r>
      </w:hyperlink>
    </w:p>
    <w:p w14:paraId="5F03A0F9" w14:textId="4BCBA441" w:rsidR="005876C0" w:rsidRPr="004542B5" w:rsidRDefault="000137EF">
      <w:pPr>
        <w:pStyle w:val="TOC3"/>
        <w:rPr>
          <w:rFonts w:asciiTheme="minorHAnsi" w:eastAsiaTheme="minorEastAsia" w:hAnsiTheme="minorHAnsi" w:cstheme="minorBidi"/>
          <w:sz w:val="22"/>
          <w:szCs w:val="22"/>
          <w:lang w:val="en-US"/>
        </w:rPr>
      </w:pPr>
      <w:hyperlink w:anchor="_Toc45200892" w:history="1">
        <w:r w:rsidR="005876C0" w:rsidRPr="004542B5">
          <w:rPr>
            <w:rStyle w:val="Hyperlink"/>
            <w:lang w:val="en-US"/>
          </w:rPr>
          <w:t>A.1. Arguments of the Commission and of the parties</w:t>
        </w:r>
        <w:r w:rsidR="005876C0" w:rsidRPr="004542B5">
          <w:rPr>
            <w:webHidden/>
          </w:rPr>
          <w:tab/>
        </w:r>
        <w:r w:rsidR="005876C0" w:rsidRPr="004542B5">
          <w:rPr>
            <w:webHidden/>
          </w:rPr>
          <w:fldChar w:fldCharType="begin"/>
        </w:r>
        <w:r w:rsidR="005876C0" w:rsidRPr="004542B5">
          <w:rPr>
            <w:webHidden/>
          </w:rPr>
          <w:instrText xml:space="preserve"> PAGEREF _Toc45200892 \h </w:instrText>
        </w:r>
        <w:r w:rsidR="005876C0" w:rsidRPr="004542B5">
          <w:rPr>
            <w:webHidden/>
          </w:rPr>
        </w:r>
        <w:r w:rsidR="005876C0" w:rsidRPr="004542B5">
          <w:rPr>
            <w:webHidden/>
          </w:rPr>
          <w:fldChar w:fldCharType="separate"/>
        </w:r>
        <w:r w:rsidR="005876C0" w:rsidRPr="004542B5">
          <w:rPr>
            <w:webHidden/>
          </w:rPr>
          <w:t>49</w:t>
        </w:r>
        <w:r w:rsidR="005876C0" w:rsidRPr="004542B5">
          <w:rPr>
            <w:webHidden/>
          </w:rPr>
          <w:fldChar w:fldCharType="end"/>
        </w:r>
      </w:hyperlink>
    </w:p>
    <w:p w14:paraId="294356F6" w14:textId="05CE5AA2" w:rsidR="005876C0" w:rsidRPr="004542B5" w:rsidRDefault="000137EF">
      <w:pPr>
        <w:pStyle w:val="TOC3"/>
        <w:rPr>
          <w:rFonts w:asciiTheme="minorHAnsi" w:eastAsiaTheme="minorEastAsia" w:hAnsiTheme="minorHAnsi" w:cstheme="minorBidi"/>
          <w:sz w:val="22"/>
          <w:szCs w:val="22"/>
          <w:lang w:val="en-US"/>
        </w:rPr>
      </w:pPr>
      <w:hyperlink w:anchor="_Toc45200893" w:history="1">
        <w:r w:rsidR="005876C0" w:rsidRPr="004542B5">
          <w:rPr>
            <w:rStyle w:val="Hyperlink"/>
            <w:lang w:val="en-US"/>
          </w:rPr>
          <w:t>A.2. Considerations of the Court</w:t>
        </w:r>
        <w:r w:rsidR="005876C0" w:rsidRPr="004542B5">
          <w:rPr>
            <w:webHidden/>
          </w:rPr>
          <w:tab/>
        </w:r>
        <w:r w:rsidR="005876C0" w:rsidRPr="004542B5">
          <w:rPr>
            <w:webHidden/>
          </w:rPr>
          <w:fldChar w:fldCharType="begin"/>
        </w:r>
        <w:r w:rsidR="005876C0" w:rsidRPr="004542B5">
          <w:rPr>
            <w:webHidden/>
          </w:rPr>
          <w:instrText xml:space="preserve"> PAGEREF _Toc45200893 \h </w:instrText>
        </w:r>
        <w:r w:rsidR="005876C0" w:rsidRPr="004542B5">
          <w:rPr>
            <w:webHidden/>
          </w:rPr>
        </w:r>
        <w:r w:rsidR="005876C0" w:rsidRPr="004542B5">
          <w:rPr>
            <w:webHidden/>
          </w:rPr>
          <w:fldChar w:fldCharType="separate"/>
        </w:r>
        <w:r w:rsidR="005876C0" w:rsidRPr="004542B5">
          <w:rPr>
            <w:webHidden/>
          </w:rPr>
          <w:t>51</w:t>
        </w:r>
        <w:r w:rsidR="005876C0" w:rsidRPr="004542B5">
          <w:rPr>
            <w:webHidden/>
          </w:rPr>
          <w:fldChar w:fldCharType="end"/>
        </w:r>
      </w:hyperlink>
    </w:p>
    <w:p w14:paraId="176BE16E" w14:textId="01884ACA"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94" w:history="1">
        <w:r w:rsidR="005876C0" w:rsidRPr="004542B5">
          <w:rPr>
            <w:rStyle w:val="Hyperlink"/>
            <w:noProof/>
            <w:lang w:val="en-US"/>
          </w:rPr>
          <w:t>B.</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The alleged lack of adequate and effective proceedings for the protection of indigenous territories against third parties (Article 2 of the Convention)</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_Toc45200894 \h </w:instrText>
        </w:r>
        <w:r w:rsidR="005876C0" w:rsidRPr="004542B5">
          <w:rPr>
            <w:noProof/>
            <w:webHidden/>
          </w:rPr>
        </w:r>
        <w:r w:rsidR="005876C0" w:rsidRPr="004542B5">
          <w:rPr>
            <w:noProof/>
            <w:webHidden/>
          </w:rPr>
          <w:fldChar w:fldCharType="separate"/>
        </w:r>
        <w:r w:rsidR="005876C0" w:rsidRPr="004542B5">
          <w:rPr>
            <w:noProof/>
            <w:webHidden/>
          </w:rPr>
          <w:t>55</w:t>
        </w:r>
        <w:r w:rsidR="005876C0" w:rsidRPr="004542B5">
          <w:rPr>
            <w:noProof/>
            <w:webHidden/>
          </w:rPr>
          <w:fldChar w:fldCharType="end"/>
        </w:r>
      </w:hyperlink>
    </w:p>
    <w:p w14:paraId="20B3E612" w14:textId="602D3EE6" w:rsidR="005876C0" w:rsidRPr="004542B5" w:rsidRDefault="000137EF">
      <w:pPr>
        <w:pStyle w:val="TOC3"/>
        <w:rPr>
          <w:rFonts w:asciiTheme="minorHAnsi" w:eastAsiaTheme="minorEastAsia" w:hAnsiTheme="minorHAnsi" w:cstheme="minorBidi"/>
          <w:sz w:val="22"/>
          <w:szCs w:val="22"/>
          <w:lang w:val="en-US"/>
        </w:rPr>
      </w:pPr>
      <w:hyperlink w:anchor="_Toc45200895" w:history="1">
        <w:r w:rsidR="005876C0" w:rsidRPr="004542B5">
          <w:rPr>
            <w:rStyle w:val="Hyperlink"/>
            <w:lang w:val="en-US"/>
          </w:rPr>
          <w:t>B.1. Arguments of the Commission and of the parties</w:t>
        </w:r>
        <w:r w:rsidR="005876C0" w:rsidRPr="004542B5">
          <w:rPr>
            <w:webHidden/>
          </w:rPr>
          <w:tab/>
        </w:r>
        <w:r w:rsidR="005876C0" w:rsidRPr="004542B5">
          <w:rPr>
            <w:webHidden/>
          </w:rPr>
          <w:fldChar w:fldCharType="begin"/>
        </w:r>
        <w:r w:rsidR="005876C0" w:rsidRPr="004542B5">
          <w:rPr>
            <w:webHidden/>
          </w:rPr>
          <w:instrText xml:space="preserve"> PAGEREF _Toc45200895 \h </w:instrText>
        </w:r>
        <w:r w:rsidR="005876C0" w:rsidRPr="004542B5">
          <w:rPr>
            <w:webHidden/>
          </w:rPr>
        </w:r>
        <w:r w:rsidR="005876C0" w:rsidRPr="004542B5">
          <w:rPr>
            <w:webHidden/>
          </w:rPr>
          <w:fldChar w:fldCharType="separate"/>
        </w:r>
        <w:r w:rsidR="005876C0" w:rsidRPr="004542B5">
          <w:rPr>
            <w:webHidden/>
          </w:rPr>
          <w:t>55</w:t>
        </w:r>
        <w:r w:rsidR="005876C0" w:rsidRPr="004542B5">
          <w:rPr>
            <w:webHidden/>
          </w:rPr>
          <w:fldChar w:fldCharType="end"/>
        </w:r>
      </w:hyperlink>
    </w:p>
    <w:p w14:paraId="308E015A" w14:textId="3124A6C2" w:rsidR="005876C0" w:rsidRPr="004542B5" w:rsidRDefault="000137EF">
      <w:pPr>
        <w:pStyle w:val="TOC3"/>
        <w:rPr>
          <w:rFonts w:asciiTheme="minorHAnsi" w:eastAsiaTheme="minorEastAsia" w:hAnsiTheme="minorHAnsi" w:cstheme="minorBidi"/>
          <w:sz w:val="22"/>
          <w:szCs w:val="22"/>
          <w:lang w:val="en-US"/>
        </w:rPr>
      </w:pPr>
      <w:hyperlink w:anchor="_Toc45200896" w:history="1">
        <w:r w:rsidR="005876C0" w:rsidRPr="004542B5">
          <w:rPr>
            <w:rStyle w:val="Hyperlink"/>
            <w:lang w:val="en-US"/>
          </w:rPr>
          <w:t>B.2. Considerations of the Court</w:t>
        </w:r>
        <w:r w:rsidR="005876C0" w:rsidRPr="004542B5">
          <w:rPr>
            <w:webHidden/>
          </w:rPr>
          <w:tab/>
        </w:r>
        <w:r w:rsidR="005876C0" w:rsidRPr="004542B5">
          <w:rPr>
            <w:webHidden/>
          </w:rPr>
          <w:fldChar w:fldCharType="begin"/>
        </w:r>
        <w:r w:rsidR="005876C0" w:rsidRPr="004542B5">
          <w:rPr>
            <w:webHidden/>
          </w:rPr>
          <w:instrText xml:space="preserve"> PAGEREF _Toc45200896 \h </w:instrText>
        </w:r>
        <w:r w:rsidR="005876C0" w:rsidRPr="004542B5">
          <w:rPr>
            <w:webHidden/>
          </w:rPr>
        </w:r>
        <w:r w:rsidR="005876C0" w:rsidRPr="004542B5">
          <w:rPr>
            <w:webHidden/>
          </w:rPr>
          <w:fldChar w:fldCharType="separate"/>
        </w:r>
        <w:r w:rsidR="005876C0" w:rsidRPr="004542B5">
          <w:rPr>
            <w:webHidden/>
          </w:rPr>
          <w:t>56</w:t>
        </w:r>
        <w:r w:rsidR="005876C0" w:rsidRPr="004542B5">
          <w:rPr>
            <w:webHidden/>
          </w:rPr>
          <w:fldChar w:fldCharType="end"/>
        </w:r>
      </w:hyperlink>
    </w:p>
    <w:p w14:paraId="52D6B81B" w14:textId="2C6BB83E" w:rsidR="005876C0" w:rsidRPr="004542B5" w:rsidRDefault="000137EF">
      <w:pPr>
        <w:pStyle w:val="TOC1"/>
        <w:rPr>
          <w:rFonts w:asciiTheme="minorHAnsi" w:eastAsiaTheme="minorEastAsia" w:hAnsiTheme="minorHAnsi" w:cstheme="minorBidi"/>
          <w:b w:val="0"/>
          <w:sz w:val="22"/>
          <w:szCs w:val="22"/>
          <w:lang w:val="en-US"/>
        </w:rPr>
      </w:pPr>
      <w:hyperlink w:anchor="_Toc45200897" w:history="1">
        <w:r w:rsidR="005876C0" w:rsidRPr="004542B5">
          <w:rPr>
            <w:rStyle w:val="Hyperlink"/>
            <w:smallCaps/>
            <w:lang w:val="en-US"/>
          </w:rPr>
          <w:t xml:space="preserve">VII-3. </w:t>
        </w:r>
        <w:r w:rsidR="005876C0" w:rsidRPr="004542B5">
          <w:rPr>
            <w:rStyle w:val="Hyperlink"/>
            <w:rFonts w:eastAsia="Times New Roman" w:cs="Verdana"/>
            <w:bCs/>
            <w:snapToGrid w:val="0"/>
            <w:lang w:val="en-US" w:eastAsia="es-ES"/>
          </w:rPr>
          <w:t>OBLIGATION TO ENSURE AND RESPECT RIGHTS WITHOUT DISCRIMINATION BASED ON ETHNIC ORIGIN AND TO PROVIDE EQUAL PROTECTION BEFORE THE LAW (Article 24 in relation to Article 1(1) of the Convention)</w:t>
        </w:r>
        <w:r w:rsidR="005876C0" w:rsidRPr="004542B5">
          <w:rPr>
            <w:webHidden/>
          </w:rPr>
          <w:tab/>
        </w:r>
        <w:r w:rsidR="005876C0" w:rsidRPr="004542B5">
          <w:rPr>
            <w:webHidden/>
          </w:rPr>
          <w:fldChar w:fldCharType="begin"/>
        </w:r>
        <w:r w:rsidR="005876C0" w:rsidRPr="004542B5">
          <w:rPr>
            <w:webHidden/>
          </w:rPr>
          <w:instrText xml:space="preserve"> PAGEREF _Toc45200897 \h </w:instrText>
        </w:r>
        <w:r w:rsidR="005876C0" w:rsidRPr="004542B5">
          <w:rPr>
            <w:webHidden/>
          </w:rPr>
        </w:r>
        <w:r w:rsidR="005876C0" w:rsidRPr="004542B5">
          <w:rPr>
            <w:webHidden/>
          </w:rPr>
          <w:fldChar w:fldCharType="separate"/>
        </w:r>
        <w:r w:rsidR="005876C0" w:rsidRPr="004542B5">
          <w:rPr>
            <w:webHidden/>
          </w:rPr>
          <w:t>57</w:t>
        </w:r>
        <w:r w:rsidR="005876C0" w:rsidRPr="004542B5">
          <w:rPr>
            <w:webHidden/>
          </w:rPr>
          <w:fldChar w:fldCharType="end"/>
        </w:r>
      </w:hyperlink>
    </w:p>
    <w:p w14:paraId="1261B88E" w14:textId="69CF9A21"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98" w:history="1">
        <w:r w:rsidR="005876C0" w:rsidRPr="004542B5">
          <w:rPr>
            <w:rStyle w:val="Hyperlink"/>
            <w:noProof/>
            <w:lang w:val="en-US"/>
          </w:rPr>
          <w:t>A. Arguments of the Commission and of the parties</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_Toc45200898 \h </w:instrText>
        </w:r>
        <w:r w:rsidR="005876C0" w:rsidRPr="004542B5">
          <w:rPr>
            <w:noProof/>
            <w:webHidden/>
          </w:rPr>
        </w:r>
        <w:r w:rsidR="005876C0" w:rsidRPr="004542B5">
          <w:rPr>
            <w:noProof/>
            <w:webHidden/>
          </w:rPr>
          <w:fldChar w:fldCharType="separate"/>
        </w:r>
        <w:r w:rsidR="005876C0" w:rsidRPr="004542B5">
          <w:rPr>
            <w:noProof/>
            <w:webHidden/>
          </w:rPr>
          <w:t>57</w:t>
        </w:r>
        <w:r w:rsidR="005876C0" w:rsidRPr="004542B5">
          <w:rPr>
            <w:noProof/>
            <w:webHidden/>
          </w:rPr>
          <w:fldChar w:fldCharType="end"/>
        </w:r>
      </w:hyperlink>
    </w:p>
    <w:p w14:paraId="49F1E3C5" w14:textId="566E1D8B"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899" w:history="1">
        <w:r w:rsidR="005876C0" w:rsidRPr="004542B5">
          <w:rPr>
            <w:rStyle w:val="Hyperlink"/>
            <w:noProof/>
            <w:lang w:val="en-US"/>
          </w:rPr>
          <w:t>B. Considerations of the Court</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_Toc45200899 \h </w:instrText>
        </w:r>
        <w:r w:rsidR="005876C0" w:rsidRPr="004542B5">
          <w:rPr>
            <w:noProof/>
            <w:webHidden/>
          </w:rPr>
        </w:r>
        <w:r w:rsidR="005876C0" w:rsidRPr="004542B5">
          <w:rPr>
            <w:noProof/>
            <w:webHidden/>
          </w:rPr>
          <w:fldChar w:fldCharType="separate"/>
        </w:r>
        <w:r w:rsidR="005876C0" w:rsidRPr="004542B5">
          <w:rPr>
            <w:noProof/>
            <w:webHidden/>
          </w:rPr>
          <w:t>58</w:t>
        </w:r>
        <w:r w:rsidR="005876C0" w:rsidRPr="004542B5">
          <w:rPr>
            <w:noProof/>
            <w:webHidden/>
          </w:rPr>
          <w:fldChar w:fldCharType="end"/>
        </w:r>
      </w:hyperlink>
    </w:p>
    <w:p w14:paraId="5FBBE1A5" w14:textId="44A54645" w:rsidR="005876C0" w:rsidRPr="004542B5" w:rsidRDefault="000137EF">
      <w:pPr>
        <w:pStyle w:val="TOC1"/>
        <w:rPr>
          <w:rFonts w:asciiTheme="minorHAnsi" w:eastAsiaTheme="minorEastAsia" w:hAnsiTheme="minorHAnsi" w:cstheme="minorBidi"/>
          <w:b w:val="0"/>
          <w:sz w:val="22"/>
          <w:szCs w:val="22"/>
          <w:lang w:val="en-US"/>
        </w:rPr>
      </w:pPr>
      <w:hyperlink w:anchor="_Toc45200900" w:history="1">
        <w:r w:rsidR="005876C0" w:rsidRPr="004542B5">
          <w:rPr>
            <w:rStyle w:val="Hyperlink"/>
            <w:smallCaps/>
            <w:lang w:val="en-US"/>
          </w:rPr>
          <w:t>VIII. REPARATIONS (</w:t>
        </w:r>
        <w:r w:rsidR="005876C0" w:rsidRPr="004542B5">
          <w:rPr>
            <w:rStyle w:val="Hyperlink"/>
            <w:lang w:val="en-US"/>
          </w:rPr>
          <w:t>Application of Article 63(1) of the American Convention</w:t>
        </w:r>
        <w:r w:rsidR="005876C0" w:rsidRPr="004542B5">
          <w:rPr>
            <w:rStyle w:val="Hyperlink"/>
            <w:smallCaps/>
            <w:lang w:val="en-US"/>
          </w:rPr>
          <w:t>)</w:t>
        </w:r>
        <w:r w:rsidR="005876C0" w:rsidRPr="004542B5">
          <w:rPr>
            <w:webHidden/>
          </w:rPr>
          <w:tab/>
        </w:r>
        <w:r w:rsidR="005876C0" w:rsidRPr="004542B5">
          <w:rPr>
            <w:webHidden/>
          </w:rPr>
          <w:fldChar w:fldCharType="begin"/>
        </w:r>
        <w:r w:rsidR="005876C0" w:rsidRPr="004542B5">
          <w:rPr>
            <w:webHidden/>
          </w:rPr>
          <w:instrText xml:space="preserve"> PAGEREF _Toc45200900 \h </w:instrText>
        </w:r>
        <w:r w:rsidR="005876C0" w:rsidRPr="004542B5">
          <w:rPr>
            <w:webHidden/>
          </w:rPr>
        </w:r>
        <w:r w:rsidR="005876C0" w:rsidRPr="004542B5">
          <w:rPr>
            <w:webHidden/>
          </w:rPr>
          <w:fldChar w:fldCharType="separate"/>
        </w:r>
        <w:r w:rsidR="005876C0" w:rsidRPr="004542B5">
          <w:rPr>
            <w:webHidden/>
          </w:rPr>
          <w:t>58</w:t>
        </w:r>
        <w:r w:rsidR="005876C0" w:rsidRPr="004542B5">
          <w:rPr>
            <w:webHidden/>
          </w:rPr>
          <w:fldChar w:fldCharType="end"/>
        </w:r>
      </w:hyperlink>
    </w:p>
    <w:p w14:paraId="45CC520E" w14:textId="0A786193"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901" w:history="1">
        <w:r w:rsidR="005876C0" w:rsidRPr="004542B5">
          <w:rPr>
            <w:rStyle w:val="Hyperlink"/>
            <w:noProof/>
            <w:lang w:val="en-US" w:bidi="en-US"/>
          </w:rPr>
          <w:t>A.</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bidi="en-US"/>
          </w:rPr>
          <w:t>Injured party</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_Toc45200901 \h </w:instrText>
        </w:r>
        <w:r w:rsidR="005876C0" w:rsidRPr="004542B5">
          <w:rPr>
            <w:noProof/>
            <w:webHidden/>
          </w:rPr>
        </w:r>
        <w:r w:rsidR="005876C0" w:rsidRPr="004542B5">
          <w:rPr>
            <w:noProof/>
            <w:webHidden/>
          </w:rPr>
          <w:fldChar w:fldCharType="separate"/>
        </w:r>
        <w:r w:rsidR="005876C0" w:rsidRPr="004542B5">
          <w:rPr>
            <w:noProof/>
            <w:webHidden/>
          </w:rPr>
          <w:t>59</w:t>
        </w:r>
        <w:r w:rsidR="005876C0" w:rsidRPr="004542B5">
          <w:rPr>
            <w:noProof/>
            <w:webHidden/>
          </w:rPr>
          <w:fldChar w:fldCharType="end"/>
        </w:r>
      </w:hyperlink>
    </w:p>
    <w:p w14:paraId="4A74B821" w14:textId="15F67F80"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902" w:history="1">
        <w:r w:rsidR="005876C0" w:rsidRPr="004542B5">
          <w:rPr>
            <w:rStyle w:val="Hyperlink"/>
            <w:noProof/>
            <w:lang w:val="en-US" w:bidi="en-US"/>
          </w:rPr>
          <w:t>B.</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bidi="en-US"/>
          </w:rPr>
          <w:t>Measures of satisfaction and guarantees of non-repetition</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_Toc45200902 \h </w:instrText>
        </w:r>
        <w:r w:rsidR="005876C0" w:rsidRPr="004542B5">
          <w:rPr>
            <w:noProof/>
            <w:webHidden/>
          </w:rPr>
        </w:r>
        <w:r w:rsidR="005876C0" w:rsidRPr="004542B5">
          <w:rPr>
            <w:noProof/>
            <w:webHidden/>
          </w:rPr>
          <w:fldChar w:fldCharType="separate"/>
        </w:r>
        <w:r w:rsidR="005876C0" w:rsidRPr="004542B5">
          <w:rPr>
            <w:noProof/>
            <w:webHidden/>
          </w:rPr>
          <w:t>59</w:t>
        </w:r>
        <w:r w:rsidR="005876C0" w:rsidRPr="004542B5">
          <w:rPr>
            <w:noProof/>
            <w:webHidden/>
          </w:rPr>
          <w:fldChar w:fldCharType="end"/>
        </w:r>
      </w:hyperlink>
    </w:p>
    <w:p w14:paraId="7AC8AA0B" w14:textId="2BEFC2B4" w:rsidR="005876C0" w:rsidRPr="004542B5" w:rsidRDefault="000137EF">
      <w:pPr>
        <w:pStyle w:val="TOC3"/>
        <w:rPr>
          <w:rFonts w:asciiTheme="minorHAnsi" w:eastAsiaTheme="minorEastAsia" w:hAnsiTheme="minorHAnsi" w:cstheme="minorBidi"/>
          <w:sz w:val="22"/>
          <w:szCs w:val="22"/>
          <w:lang w:val="en-US"/>
        </w:rPr>
      </w:pPr>
      <w:hyperlink w:anchor="_Toc45200903" w:history="1">
        <w:r w:rsidR="005876C0" w:rsidRPr="004542B5">
          <w:rPr>
            <w:rStyle w:val="Hyperlink"/>
            <w:i/>
            <w:lang w:val="en-US" w:bidi="en-US"/>
          </w:rPr>
          <w:t>B.1. Measures of satisfaction</w:t>
        </w:r>
        <w:r w:rsidR="005876C0" w:rsidRPr="004542B5">
          <w:rPr>
            <w:webHidden/>
          </w:rPr>
          <w:tab/>
        </w:r>
        <w:r w:rsidR="005876C0" w:rsidRPr="004542B5">
          <w:rPr>
            <w:webHidden/>
          </w:rPr>
          <w:fldChar w:fldCharType="begin"/>
        </w:r>
        <w:r w:rsidR="005876C0" w:rsidRPr="004542B5">
          <w:rPr>
            <w:webHidden/>
          </w:rPr>
          <w:instrText xml:space="preserve"> PAGEREF _Toc45200903 \h </w:instrText>
        </w:r>
        <w:r w:rsidR="005876C0" w:rsidRPr="004542B5">
          <w:rPr>
            <w:webHidden/>
          </w:rPr>
        </w:r>
        <w:r w:rsidR="005876C0" w:rsidRPr="004542B5">
          <w:rPr>
            <w:webHidden/>
          </w:rPr>
          <w:fldChar w:fldCharType="separate"/>
        </w:r>
        <w:r w:rsidR="005876C0" w:rsidRPr="004542B5">
          <w:rPr>
            <w:webHidden/>
          </w:rPr>
          <w:t>59</w:t>
        </w:r>
        <w:r w:rsidR="005876C0" w:rsidRPr="004542B5">
          <w:rPr>
            <w:webHidden/>
          </w:rPr>
          <w:fldChar w:fldCharType="end"/>
        </w:r>
      </w:hyperlink>
    </w:p>
    <w:p w14:paraId="7F3062F3" w14:textId="1C6D9AC1" w:rsidR="005876C0" w:rsidRPr="004542B5" w:rsidRDefault="000137EF">
      <w:pPr>
        <w:pStyle w:val="TOC3"/>
        <w:rPr>
          <w:rFonts w:asciiTheme="minorHAnsi" w:eastAsiaTheme="minorEastAsia" w:hAnsiTheme="minorHAnsi" w:cstheme="minorBidi"/>
          <w:sz w:val="22"/>
          <w:szCs w:val="22"/>
          <w:lang w:val="en-US"/>
        </w:rPr>
      </w:pPr>
      <w:hyperlink w:anchor="_Toc45200904" w:history="1">
        <w:r w:rsidR="005876C0" w:rsidRPr="004542B5">
          <w:rPr>
            <w:rStyle w:val="Hyperlink"/>
            <w:i/>
            <w:lang w:val="en-US"/>
          </w:rPr>
          <w:t>B.2. Guarantees of non-repetition</w:t>
        </w:r>
        <w:r w:rsidR="005876C0" w:rsidRPr="004542B5">
          <w:rPr>
            <w:webHidden/>
          </w:rPr>
          <w:tab/>
        </w:r>
        <w:r w:rsidR="005876C0" w:rsidRPr="004542B5">
          <w:rPr>
            <w:webHidden/>
          </w:rPr>
          <w:fldChar w:fldCharType="begin"/>
        </w:r>
        <w:r w:rsidR="005876C0" w:rsidRPr="004542B5">
          <w:rPr>
            <w:webHidden/>
          </w:rPr>
          <w:instrText xml:space="preserve"> PAGEREF _Toc45200904 \h </w:instrText>
        </w:r>
        <w:r w:rsidR="005876C0" w:rsidRPr="004542B5">
          <w:rPr>
            <w:webHidden/>
          </w:rPr>
        </w:r>
        <w:r w:rsidR="005876C0" w:rsidRPr="004542B5">
          <w:rPr>
            <w:webHidden/>
          </w:rPr>
          <w:fldChar w:fldCharType="separate"/>
        </w:r>
        <w:r w:rsidR="005876C0" w:rsidRPr="004542B5">
          <w:rPr>
            <w:webHidden/>
          </w:rPr>
          <w:t>61</w:t>
        </w:r>
        <w:r w:rsidR="005876C0" w:rsidRPr="004542B5">
          <w:rPr>
            <w:webHidden/>
          </w:rPr>
          <w:fldChar w:fldCharType="end"/>
        </w:r>
      </w:hyperlink>
    </w:p>
    <w:p w14:paraId="7E510753" w14:textId="49D59CF1"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905" w:history="1">
        <w:r w:rsidR="005876C0" w:rsidRPr="004542B5">
          <w:rPr>
            <w:rStyle w:val="Hyperlink"/>
            <w:noProof/>
            <w:lang w:val="en-US"/>
          </w:rPr>
          <w:t>C.</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Compensation</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_Toc45200905 \h </w:instrText>
        </w:r>
        <w:r w:rsidR="005876C0" w:rsidRPr="004542B5">
          <w:rPr>
            <w:noProof/>
            <w:webHidden/>
          </w:rPr>
        </w:r>
        <w:r w:rsidR="005876C0" w:rsidRPr="004542B5">
          <w:rPr>
            <w:noProof/>
            <w:webHidden/>
          </w:rPr>
          <w:fldChar w:fldCharType="separate"/>
        </w:r>
        <w:r w:rsidR="005876C0" w:rsidRPr="004542B5">
          <w:rPr>
            <w:noProof/>
            <w:webHidden/>
          </w:rPr>
          <w:t>63</w:t>
        </w:r>
        <w:r w:rsidR="005876C0" w:rsidRPr="004542B5">
          <w:rPr>
            <w:noProof/>
            <w:webHidden/>
          </w:rPr>
          <w:fldChar w:fldCharType="end"/>
        </w:r>
      </w:hyperlink>
    </w:p>
    <w:p w14:paraId="0592EF85" w14:textId="50874F9B" w:rsidR="005876C0" w:rsidRPr="004542B5" w:rsidRDefault="000137EF">
      <w:pPr>
        <w:pStyle w:val="TOC3"/>
        <w:rPr>
          <w:rFonts w:asciiTheme="minorHAnsi" w:eastAsiaTheme="minorEastAsia" w:hAnsiTheme="minorHAnsi" w:cstheme="minorBidi"/>
          <w:sz w:val="22"/>
          <w:szCs w:val="22"/>
          <w:lang w:val="en-US"/>
        </w:rPr>
      </w:pPr>
      <w:hyperlink w:anchor="_Toc45200906" w:history="1">
        <w:r w:rsidR="005876C0" w:rsidRPr="004542B5">
          <w:rPr>
            <w:rStyle w:val="Hyperlink"/>
            <w:i/>
            <w:lang w:val="en-US"/>
          </w:rPr>
          <w:t>C.1. Pecuniary damage</w:t>
        </w:r>
        <w:r w:rsidR="005876C0" w:rsidRPr="004542B5">
          <w:rPr>
            <w:webHidden/>
          </w:rPr>
          <w:tab/>
        </w:r>
        <w:r w:rsidR="005876C0" w:rsidRPr="004542B5">
          <w:rPr>
            <w:webHidden/>
          </w:rPr>
          <w:fldChar w:fldCharType="begin"/>
        </w:r>
        <w:r w:rsidR="005876C0" w:rsidRPr="004542B5">
          <w:rPr>
            <w:webHidden/>
          </w:rPr>
          <w:instrText xml:space="preserve"> PAGEREF _Toc45200906 \h </w:instrText>
        </w:r>
        <w:r w:rsidR="005876C0" w:rsidRPr="004542B5">
          <w:rPr>
            <w:webHidden/>
          </w:rPr>
        </w:r>
        <w:r w:rsidR="005876C0" w:rsidRPr="004542B5">
          <w:rPr>
            <w:webHidden/>
          </w:rPr>
          <w:fldChar w:fldCharType="separate"/>
        </w:r>
        <w:r w:rsidR="005876C0" w:rsidRPr="004542B5">
          <w:rPr>
            <w:webHidden/>
          </w:rPr>
          <w:t>63</w:t>
        </w:r>
        <w:r w:rsidR="005876C0" w:rsidRPr="004542B5">
          <w:rPr>
            <w:webHidden/>
          </w:rPr>
          <w:fldChar w:fldCharType="end"/>
        </w:r>
      </w:hyperlink>
    </w:p>
    <w:p w14:paraId="70FB783C" w14:textId="618ADBED" w:rsidR="005876C0" w:rsidRPr="004542B5" w:rsidRDefault="000137EF">
      <w:pPr>
        <w:pStyle w:val="TOC3"/>
        <w:rPr>
          <w:rFonts w:asciiTheme="minorHAnsi" w:eastAsiaTheme="minorEastAsia" w:hAnsiTheme="minorHAnsi" w:cstheme="minorBidi"/>
          <w:sz w:val="22"/>
          <w:szCs w:val="22"/>
          <w:lang w:val="en-US"/>
        </w:rPr>
      </w:pPr>
      <w:hyperlink w:anchor="_Toc45200907" w:history="1">
        <w:r w:rsidR="005876C0" w:rsidRPr="004542B5">
          <w:rPr>
            <w:rStyle w:val="Hyperlink"/>
            <w:i/>
            <w:lang w:val="en-US"/>
          </w:rPr>
          <w:t>C.1.2. Considerations of the Court</w:t>
        </w:r>
        <w:r w:rsidR="005876C0" w:rsidRPr="004542B5">
          <w:rPr>
            <w:webHidden/>
          </w:rPr>
          <w:tab/>
        </w:r>
        <w:r w:rsidR="005876C0" w:rsidRPr="004542B5">
          <w:rPr>
            <w:webHidden/>
          </w:rPr>
          <w:fldChar w:fldCharType="begin"/>
        </w:r>
        <w:r w:rsidR="005876C0" w:rsidRPr="004542B5">
          <w:rPr>
            <w:webHidden/>
          </w:rPr>
          <w:instrText xml:space="preserve"> PAGEREF _Toc45200907 \h </w:instrText>
        </w:r>
        <w:r w:rsidR="005876C0" w:rsidRPr="004542B5">
          <w:rPr>
            <w:webHidden/>
          </w:rPr>
        </w:r>
        <w:r w:rsidR="005876C0" w:rsidRPr="004542B5">
          <w:rPr>
            <w:webHidden/>
          </w:rPr>
          <w:fldChar w:fldCharType="separate"/>
        </w:r>
        <w:r w:rsidR="005876C0" w:rsidRPr="004542B5">
          <w:rPr>
            <w:webHidden/>
          </w:rPr>
          <w:t>64</w:t>
        </w:r>
        <w:r w:rsidR="005876C0" w:rsidRPr="004542B5">
          <w:rPr>
            <w:webHidden/>
          </w:rPr>
          <w:fldChar w:fldCharType="end"/>
        </w:r>
      </w:hyperlink>
    </w:p>
    <w:p w14:paraId="7A409B77" w14:textId="2936F9FF" w:rsidR="005876C0" w:rsidRPr="004542B5" w:rsidRDefault="000137EF">
      <w:pPr>
        <w:pStyle w:val="TOC3"/>
        <w:rPr>
          <w:rFonts w:asciiTheme="minorHAnsi" w:eastAsiaTheme="minorEastAsia" w:hAnsiTheme="minorHAnsi" w:cstheme="minorBidi"/>
          <w:sz w:val="22"/>
          <w:szCs w:val="22"/>
          <w:lang w:val="en-US"/>
        </w:rPr>
      </w:pPr>
      <w:hyperlink w:anchor="_Toc45200908" w:history="1">
        <w:r w:rsidR="005876C0" w:rsidRPr="004542B5">
          <w:rPr>
            <w:rStyle w:val="Hyperlink"/>
            <w:i/>
            <w:lang w:val="en-US"/>
          </w:rPr>
          <w:t>C.2. Non-pecuniary damage</w:t>
        </w:r>
        <w:r w:rsidR="005876C0" w:rsidRPr="004542B5">
          <w:rPr>
            <w:webHidden/>
          </w:rPr>
          <w:tab/>
        </w:r>
        <w:r w:rsidR="005876C0" w:rsidRPr="004542B5">
          <w:rPr>
            <w:webHidden/>
          </w:rPr>
          <w:fldChar w:fldCharType="begin"/>
        </w:r>
        <w:r w:rsidR="005876C0" w:rsidRPr="004542B5">
          <w:rPr>
            <w:webHidden/>
          </w:rPr>
          <w:instrText xml:space="preserve"> PAGEREF _Toc45200908 \h </w:instrText>
        </w:r>
        <w:r w:rsidR="005876C0" w:rsidRPr="004542B5">
          <w:rPr>
            <w:webHidden/>
          </w:rPr>
        </w:r>
        <w:r w:rsidR="005876C0" w:rsidRPr="004542B5">
          <w:rPr>
            <w:webHidden/>
          </w:rPr>
          <w:fldChar w:fldCharType="separate"/>
        </w:r>
        <w:r w:rsidR="005876C0" w:rsidRPr="004542B5">
          <w:rPr>
            <w:webHidden/>
          </w:rPr>
          <w:t>64</w:t>
        </w:r>
        <w:r w:rsidR="005876C0" w:rsidRPr="004542B5">
          <w:rPr>
            <w:webHidden/>
          </w:rPr>
          <w:fldChar w:fldCharType="end"/>
        </w:r>
      </w:hyperlink>
    </w:p>
    <w:p w14:paraId="1B99263C" w14:textId="49D6AD52"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909" w:history="1">
        <w:r w:rsidR="005876C0" w:rsidRPr="004542B5">
          <w:rPr>
            <w:rStyle w:val="Hyperlink"/>
            <w:noProof/>
            <w:lang w:val="en-US"/>
          </w:rPr>
          <w:t>D.</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Costs and expenses</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_Toc45200909 \h </w:instrText>
        </w:r>
        <w:r w:rsidR="005876C0" w:rsidRPr="004542B5">
          <w:rPr>
            <w:noProof/>
            <w:webHidden/>
          </w:rPr>
        </w:r>
        <w:r w:rsidR="005876C0" w:rsidRPr="004542B5">
          <w:rPr>
            <w:noProof/>
            <w:webHidden/>
          </w:rPr>
          <w:fldChar w:fldCharType="separate"/>
        </w:r>
        <w:r w:rsidR="005876C0" w:rsidRPr="004542B5">
          <w:rPr>
            <w:noProof/>
            <w:webHidden/>
          </w:rPr>
          <w:t>66</w:t>
        </w:r>
        <w:r w:rsidR="005876C0" w:rsidRPr="004542B5">
          <w:rPr>
            <w:noProof/>
            <w:webHidden/>
          </w:rPr>
          <w:fldChar w:fldCharType="end"/>
        </w:r>
      </w:hyperlink>
    </w:p>
    <w:p w14:paraId="5D5C84F7" w14:textId="3BAE69C9" w:rsidR="005876C0" w:rsidRPr="004542B5" w:rsidRDefault="000137EF">
      <w:pPr>
        <w:pStyle w:val="TOC3"/>
        <w:rPr>
          <w:rFonts w:asciiTheme="minorHAnsi" w:eastAsiaTheme="minorEastAsia" w:hAnsiTheme="minorHAnsi" w:cstheme="minorBidi"/>
          <w:sz w:val="22"/>
          <w:szCs w:val="22"/>
          <w:lang w:val="en-US"/>
        </w:rPr>
      </w:pPr>
      <w:hyperlink w:anchor="_Toc45200910" w:history="1">
        <w:r w:rsidR="005876C0" w:rsidRPr="004542B5">
          <w:rPr>
            <w:rStyle w:val="Hyperlink"/>
            <w:lang w:val="en-US"/>
          </w:rPr>
          <w:t>D.1. Arguments of the parties</w:t>
        </w:r>
        <w:r w:rsidR="005876C0" w:rsidRPr="004542B5">
          <w:rPr>
            <w:webHidden/>
          </w:rPr>
          <w:tab/>
        </w:r>
        <w:r w:rsidR="005876C0" w:rsidRPr="004542B5">
          <w:rPr>
            <w:webHidden/>
          </w:rPr>
          <w:fldChar w:fldCharType="begin"/>
        </w:r>
        <w:r w:rsidR="005876C0" w:rsidRPr="004542B5">
          <w:rPr>
            <w:webHidden/>
          </w:rPr>
          <w:instrText xml:space="preserve"> PAGEREF _Toc45200910 \h </w:instrText>
        </w:r>
        <w:r w:rsidR="005876C0" w:rsidRPr="004542B5">
          <w:rPr>
            <w:webHidden/>
          </w:rPr>
        </w:r>
        <w:r w:rsidR="005876C0" w:rsidRPr="004542B5">
          <w:rPr>
            <w:webHidden/>
          </w:rPr>
          <w:fldChar w:fldCharType="separate"/>
        </w:r>
        <w:r w:rsidR="005876C0" w:rsidRPr="004542B5">
          <w:rPr>
            <w:webHidden/>
          </w:rPr>
          <w:t>66</w:t>
        </w:r>
        <w:r w:rsidR="005876C0" w:rsidRPr="004542B5">
          <w:rPr>
            <w:webHidden/>
          </w:rPr>
          <w:fldChar w:fldCharType="end"/>
        </w:r>
      </w:hyperlink>
    </w:p>
    <w:p w14:paraId="4165E846" w14:textId="2F256AA3" w:rsidR="005876C0" w:rsidRPr="004542B5" w:rsidRDefault="000137EF">
      <w:pPr>
        <w:pStyle w:val="TOC3"/>
        <w:rPr>
          <w:rFonts w:asciiTheme="minorHAnsi" w:eastAsiaTheme="minorEastAsia" w:hAnsiTheme="minorHAnsi" w:cstheme="minorBidi"/>
          <w:sz w:val="22"/>
          <w:szCs w:val="22"/>
          <w:lang w:val="en-US"/>
        </w:rPr>
      </w:pPr>
      <w:hyperlink w:anchor="_Toc45200911" w:history="1">
        <w:r w:rsidR="005876C0" w:rsidRPr="004542B5">
          <w:rPr>
            <w:rStyle w:val="Hyperlink"/>
            <w:lang w:val="en-US"/>
          </w:rPr>
          <w:t>D.2. Considerations of the Court</w:t>
        </w:r>
        <w:r w:rsidR="005876C0" w:rsidRPr="004542B5">
          <w:rPr>
            <w:webHidden/>
          </w:rPr>
          <w:tab/>
        </w:r>
        <w:r w:rsidR="005876C0" w:rsidRPr="004542B5">
          <w:rPr>
            <w:webHidden/>
          </w:rPr>
          <w:fldChar w:fldCharType="begin"/>
        </w:r>
        <w:r w:rsidR="005876C0" w:rsidRPr="004542B5">
          <w:rPr>
            <w:webHidden/>
          </w:rPr>
          <w:instrText xml:space="preserve"> PAGEREF _Toc45200911 \h </w:instrText>
        </w:r>
        <w:r w:rsidR="005876C0" w:rsidRPr="004542B5">
          <w:rPr>
            <w:webHidden/>
          </w:rPr>
        </w:r>
        <w:r w:rsidR="005876C0" w:rsidRPr="004542B5">
          <w:rPr>
            <w:webHidden/>
          </w:rPr>
          <w:fldChar w:fldCharType="separate"/>
        </w:r>
        <w:r w:rsidR="005876C0" w:rsidRPr="004542B5">
          <w:rPr>
            <w:webHidden/>
          </w:rPr>
          <w:t>66</w:t>
        </w:r>
        <w:r w:rsidR="005876C0" w:rsidRPr="004542B5">
          <w:rPr>
            <w:webHidden/>
          </w:rPr>
          <w:fldChar w:fldCharType="end"/>
        </w:r>
      </w:hyperlink>
    </w:p>
    <w:p w14:paraId="7D8C9886" w14:textId="35C69DCC"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912" w:history="1">
        <w:r w:rsidR="005876C0" w:rsidRPr="004542B5">
          <w:rPr>
            <w:rStyle w:val="Hyperlink"/>
            <w:noProof/>
            <w:lang w:val="en-US"/>
          </w:rPr>
          <w:t>E.</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Reimbursement of expenses to the Victims’ Legal Assistance Fund</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_Toc45200912 \h </w:instrText>
        </w:r>
        <w:r w:rsidR="005876C0" w:rsidRPr="004542B5">
          <w:rPr>
            <w:noProof/>
            <w:webHidden/>
          </w:rPr>
        </w:r>
        <w:r w:rsidR="005876C0" w:rsidRPr="004542B5">
          <w:rPr>
            <w:noProof/>
            <w:webHidden/>
          </w:rPr>
          <w:fldChar w:fldCharType="separate"/>
        </w:r>
        <w:r w:rsidR="005876C0" w:rsidRPr="004542B5">
          <w:rPr>
            <w:noProof/>
            <w:webHidden/>
          </w:rPr>
          <w:t>67</w:t>
        </w:r>
        <w:r w:rsidR="005876C0" w:rsidRPr="004542B5">
          <w:rPr>
            <w:noProof/>
            <w:webHidden/>
          </w:rPr>
          <w:fldChar w:fldCharType="end"/>
        </w:r>
      </w:hyperlink>
    </w:p>
    <w:p w14:paraId="15C43761" w14:textId="6B0690B0" w:rsidR="005876C0" w:rsidRPr="004542B5" w:rsidRDefault="000137EF">
      <w:pPr>
        <w:pStyle w:val="TOC2"/>
        <w:rPr>
          <w:rFonts w:asciiTheme="minorHAnsi" w:eastAsiaTheme="minorEastAsia" w:hAnsiTheme="minorHAnsi" w:cstheme="minorBidi"/>
          <w:b w:val="0"/>
          <w:i w:val="0"/>
          <w:noProof/>
          <w:sz w:val="22"/>
          <w:szCs w:val="22"/>
          <w:lang w:val="en-US"/>
        </w:rPr>
      </w:pPr>
      <w:hyperlink w:anchor="_Toc45200913" w:history="1">
        <w:r w:rsidR="005876C0" w:rsidRPr="004542B5">
          <w:rPr>
            <w:rStyle w:val="Hyperlink"/>
            <w:noProof/>
            <w:lang w:val="en-US"/>
          </w:rPr>
          <w:t>F.</w:t>
        </w:r>
        <w:r w:rsidR="005876C0" w:rsidRPr="004542B5">
          <w:rPr>
            <w:rFonts w:asciiTheme="minorHAnsi" w:eastAsiaTheme="minorEastAsia" w:hAnsiTheme="minorHAnsi" w:cstheme="minorBidi"/>
            <w:b w:val="0"/>
            <w:i w:val="0"/>
            <w:noProof/>
            <w:sz w:val="22"/>
            <w:szCs w:val="22"/>
            <w:lang w:val="en-US"/>
          </w:rPr>
          <w:tab/>
        </w:r>
        <w:r w:rsidR="005876C0" w:rsidRPr="004542B5">
          <w:rPr>
            <w:rStyle w:val="Hyperlink"/>
            <w:noProof/>
            <w:lang w:val="en-US"/>
          </w:rPr>
          <w:t>Method of complying with the payments ordered</w:t>
        </w:r>
        <w:r w:rsidR="005876C0" w:rsidRPr="004542B5">
          <w:rPr>
            <w:noProof/>
            <w:webHidden/>
          </w:rPr>
          <w:tab/>
        </w:r>
        <w:r w:rsidR="005876C0" w:rsidRPr="004542B5">
          <w:rPr>
            <w:noProof/>
            <w:webHidden/>
          </w:rPr>
          <w:fldChar w:fldCharType="begin"/>
        </w:r>
        <w:r w:rsidR="005876C0" w:rsidRPr="004542B5">
          <w:rPr>
            <w:noProof/>
            <w:webHidden/>
          </w:rPr>
          <w:instrText xml:space="preserve"> PAGEREF _Toc45200913 \h </w:instrText>
        </w:r>
        <w:r w:rsidR="005876C0" w:rsidRPr="004542B5">
          <w:rPr>
            <w:noProof/>
            <w:webHidden/>
          </w:rPr>
        </w:r>
        <w:r w:rsidR="005876C0" w:rsidRPr="004542B5">
          <w:rPr>
            <w:noProof/>
            <w:webHidden/>
          </w:rPr>
          <w:fldChar w:fldCharType="separate"/>
        </w:r>
        <w:r w:rsidR="005876C0" w:rsidRPr="004542B5">
          <w:rPr>
            <w:noProof/>
            <w:webHidden/>
          </w:rPr>
          <w:t>67</w:t>
        </w:r>
        <w:r w:rsidR="005876C0" w:rsidRPr="004542B5">
          <w:rPr>
            <w:noProof/>
            <w:webHidden/>
          </w:rPr>
          <w:fldChar w:fldCharType="end"/>
        </w:r>
      </w:hyperlink>
    </w:p>
    <w:p w14:paraId="238D50E4" w14:textId="1D23545A" w:rsidR="005876C0" w:rsidRPr="004542B5" w:rsidRDefault="000137EF">
      <w:pPr>
        <w:pStyle w:val="TOC1"/>
        <w:rPr>
          <w:rFonts w:asciiTheme="minorHAnsi" w:eastAsiaTheme="minorEastAsia" w:hAnsiTheme="minorHAnsi" w:cstheme="minorBidi"/>
          <w:b w:val="0"/>
          <w:sz w:val="22"/>
          <w:szCs w:val="22"/>
          <w:lang w:val="en-US"/>
        </w:rPr>
      </w:pPr>
      <w:hyperlink w:anchor="_Toc45200914" w:history="1">
        <w:r w:rsidR="005876C0" w:rsidRPr="004542B5">
          <w:rPr>
            <w:rStyle w:val="Hyperlink"/>
            <w:lang w:val="en-US"/>
          </w:rPr>
          <w:t>IX. OPERATIVE PARAGRAPHS</w:t>
        </w:r>
        <w:r w:rsidR="005876C0" w:rsidRPr="004542B5">
          <w:rPr>
            <w:webHidden/>
          </w:rPr>
          <w:tab/>
        </w:r>
        <w:r w:rsidR="005876C0" w:rsidRPr="004542B5">
          <w:rPr>
            <w:webHidden/>
          </w:rPr>
          <w:fldChar w:fldCharType="begin"/>
        </w:r>
        <w:r w:rsidR="005876C0" w:rsidRPr="004542B5">
          <w:rPr>
            <w:webHidden/>
          </w:rPr>
          <w:instrText xml:space="preserve"> PAGEREF _Toc45200914 \h </w:instrText>
        </w:r>
        <w:r w:rsidR="005876C0" w:rsidRPr="004542B5">
          <w:rPr>
            <w:webHidden/>
          </w:rPr>
        </w:r>
        <w:r w:rsidR="005876C0" w:rsidRPr="004542B5">
          <w:rPr>
            <w:webHidden/>
          </w:rPr>
          <w:fldChar w:fldCharType="separate"/>
        </w:r>
        <w:r w:rsidR="005876C0" w:rsidRPr="004542B5">
          <w:rPr>
            <w:webHidden/>
          </w:rPr>
          <w:t>68</w:t>
        </w:r>
        <w:r w:rsidR="005876C0" w:rsidRPr="004542B5">
          <w:rPr>
            <w:webHidden/>
          </w:rPr>
          <w:fldChar w:fldCharType="end"/>
        </w:r>
      </w:hyperlink>
    </w:p>
    <w:p w14:paraId="5836B39A" w14:textId="2586F7F5" w:rsidR="00B17F8B" w:rsidRPr="004542B5" w:rsidRDefault="008C2CB8" w:rsidP="00E01664">
      <w:pPr>
        <w:tabs>
          <w:tab w:val="right" w:leader="dot" w:pos="9848"/>
        </w:tabs>
        <w:spacing w:after="200"/>
        <w:ind w:right="107"/>
        <w:jc w:val="left"/>
        <w:rPr>
          <w:noProof w:val="0"/>
          <w:lang w:val="en-US"/>
        </w:rPr>
      </w:pPr>
      <w:r w:rsidRPr="004542B5">
        <w:rPr>
          <w:noProof w:val="0"/>
          <w:sz w:val="18"/>
          <w:szCs w:val="18"/>
          <w:lang w:val="en-US"/>
        </w:rPr>
        <w:fldChar w:fldCharType="end"/>
      </w:r>
      <w:r w:rsidR="007B47B1" w:rsidRPr="004542B5">
        <w:rPr>
          <w:noProof w:val="0"/>
          <w:lang w:val="en-US"/>
        </w:rPr>
        <w:br w:type="page"/>
      </w:r>
    </w:p>
    <w:p w14:paraId="4594F1DD" w14:textId="2C1BC57A" w:rsidR="00B17F8B" w:rsidRPr="004542B5" w:rsidRDefault="007B47B1" w:rsidP="00E01664">
      <w:pPr>
        <w:pStyle w:val="Heading1"/>
        <w:rPr>
          <w:noProof w:val="0"/>
          <w:lang w:val="en-US"/>
        </w:rPr>
      </w:pPr>
      <w:bookmarkStart w:id="0" w:name="_Toc369989729"/>
      <w:bookmarkStart w:id="1" w:name="_Toc45200848"/>
      <w:r w:rsidRPr="004542B5">
        <w:rPr>
          <w:noProof w:val="0"/>
          <w:lang w:val="en-US"/>
        </w:rPr>
        <w:lastRenderedPageBreak/>
        <w:t>I</w:t>
      </w:r>
      <w:bookmarkStart w:id="2" w:name="_Toc288744729"/>
      <w:r w:rsidRPr="004542B5">
        <w:rPr>
          <w:noProof w:val="0"/>
          <w:color w:val="FFFFFF" w:themeColor="background1"/>
          <w:lang w:val="en-US"/>
        </w:rPr>
        <w:t>.</w:t>
      </w:r>
      <w:r w:rsidRPr="004542B5">
        <w:rPr>
          <w:noProof w:val="0"/>
          <w:lang w:val="en-US"/>
        </w:rPr>
        <w:br/>
      </w:r>
      <w:r w:rsidR="00C6639F" w:rsidRPr="004542B5">
        <w:rPr>
          <w:noProof w:val="0"/>
          <w:lang w:val="en-US"/>
        </w:rPr>
        <w:t>INTRODUCTION OF THE CASE AND PURPOSE OF THE DISPUTE</w:t>
      </w:r>
      <w:bookmarkEnd w:id="0"/>
      <w:bookmarkEnd w:id="1"/>
      <w:bookmarkEnd w:id="2"/>
    </w:p>
    <w:p w14:paraId="7E0F79BB" w14:textId="1DFAB916" w:rsidR="00B17F8B" w:rsidRPr="004542B5" w:rsidRDefault="00C6639F" w:rsidP="00F3300A">
      <w:pPr>
        <w:numPr>
          <w:ilvl w:val="0"/>
          <w:numId w:val="2"/>
        </w:numPr>
        <w:spacing w:after="120"/>
        <w:ind w:right="4"/>
        <w:rPr>
          <w:noProof w:val="0"/>
          <w:szCs w:val="20"/>
          <w:lang w:val="en-US"/>
        </w:rPr>
      </w:pPr>
      <w:r w:rsidRPr="004542B5">
        <w:rPr>
          <w:i/>
          <w:noProof w:val="0"/>
          <w:szCs w:val="20"/>
          <w:lang w:val="en-US"/>
        </w:rPr>
        <w:t xml:space="preserve">The case submitted to </w:t>
      </w:r>
      <w:r w:rsidR="00562CBB" w:rsidRPr="004542B5">
        <w:rPr>
          <w:i/>
          <w:noProof w:val="0"/>
          <w:szCs w:val="20"/>
          <w:lang w:val="en-US"/>
        </w:rPr>
        <w:t>the Court</w:t>
      </w:r>
      <w:r w:rsidR="007B47B1" w:rsidRPr="004542B5">
        <w:rPr>
          <w:i/>
          <w:noProof w:val="0"/>
          <w:szCs w:val="20"/>
          <w:lang w:val="en-US"/>
        </w:rPr>
        <w:t>.</w:t>
      </w:r>
      <w:r w:rsidR="007B47B1" w:rsidRPr="004542B5">
        <w:rPr>
          <w:noProof w:val="0"/>
          <w:szCs w:val="20"/>
          <w:lang w:val="en-US"/>
        </w:rPr>
        <w:t xml:space="preserve"> </w:t>
      </w:r>
      <w:r w:rsidRPr="004542B5">
        <w:rPr>
          <w:noProof w:val="0"/>
          <w:szCs w:val="20"/>
          <w:lang w:val="en-US"/>
        </w:rPr>
        <w:t>On February 26,</w:t>
      </w:r>
      <w:r w:rsidR="007B47B1" w:rsidRPr="004542B5">
        <w:rPr>
          <w:noProof w:val="0"/>
          <w:szCs w:val="20"/>
          <w:lang w:val="en-US"/>
        </w:rPr>
        <w:t xml:space="preserve"> 2013</w:t>
      </w:r>
      <w:r w:rsidRPr="004542B5">
        <w:rPr>
          <w:noProof w:val="0"/>
          <w:szCs w:val="20"/>
          <w:lang w:val="en-US"/>
        </w:rPr>
        <w:t>,</w:t>
      </w:r>
      <w:r w:rsidR="007B47B1" w:rsidRPr="004542B5">
        <w:rPr>
          <w:noProof w:val="0"/>
          <w:szCs w:val="20"/>
          <w:lang w:val="en-US"/>
        </w:rPr>
        <w:t xml:space="preserve"> </w:t>
      </w:r>
      <w:r w:rsidR="00562CBB" w:rsidRPr="004542B5">
        <w:rPr>
          <w:noProof w:val="0"/>
          <w:szCs w:val="20"/>
          <w:lang w:val="en-US"/>
        </w:rPr>
        <w:t>the Inter-American Commission on Human Rights</w:t>
      </w:r>
      <w:r w:rsidR="007B47B1" w:rsidRPr="004542B5">
        <w:rPr>
          <w:noProof w:val="0"/>
          <w:szCs w:val="20"/>
          <w:lang w:val="en-US"/>
        </w:rPr>
        <w:t xml:space="preserve"> (</w:t>
      </w:r>
      <w:r w:rsidR="00562CBB" w:rsidRPr="004542B5">
        <w:rPr>
          <w:noProof w:val="0"/>
          <w:szCs w:val="20"/>
          <w:lang w:val="en-US"/>
        </w:rPr>
        <w:t>hereinafter</w:t>
      </w:r>
      <w:r w:rsidR="007B47B1" w:rsidRPr="004542B5">
        <w:rPr>
          <w:noProof w:val="0"/>
          <w:szCs w:val="20"/>
          <w:lang w:val="en-US"/>
        </w:rPr>
        <w:t xml:space="preserve"> “</w:t>
      </w:r>
      <w:r w:rsidR="00562CBB" w:rsidRPr="004542B5">
        <w:rPr>
          <w:noProof w:val="0"/>
          <w:szCs w:val="20"/>
          <w:lang w:val="en-US"/>
        </w:rPr>
        <w:t>the Inter-American Commission</w:t>
      </w:r>
      <w:r w:rsidR="007B47B1" w:rsidRPr="004542B5">
        <w:rPr>
          <w:noProof w:val="0"/>
          <w:szCs w:val="20"/>
          <w:lang w:val="en-US"/>
        </w:rPr>
        <w:t>” o</w:t>
      </w:r>
      <w:r w:rsidRPr="004542B5">
        <w:rPr>
          <w:noProof w:val="0"/>
          <w:szCs w:val="20"/>
          <w:lang w:val="en-US"/>
        </w:rPr>
        <w:t>r</w:t>
      </w:r>
      <w:r w:rsidR="007B47B1" w:rsidRPr="004542B5">
        <w:rPr>
          <w:noProof w:val="0"/>
          <w:szCs w:val="20"/>
          <w:lang w:val="en-US"/>
        </w:rPr>
        <w:t xml:space="preserve"> “</w:t>
      </w:r>
      <w:r w:rsidR="00562CBB" w:rsidRPr="004542B5">
        <w:rPr>
          <w:noProof w:val="0"/>
          <w:szCs w:val="20"/>
          <w:lang w:val="en-US"/>
        </w:rPr>
        <w:t>the Commission</w:t>
      </w:r>
      <w:r w:rsidR="007B47B1" w:rsidRPr="004542B5">
        <w:rPr>
          <w:noProof w:val="0"/>
          <w:szCs w:val="20"/>
          <w:lang w:val="en-US"/>
        </w:rPr>
        <w:t xml:space="preserve">”) </w:t>
      </w:r>
      <w:r w:rsidRPr="004542B5">
        <w:rPr>
          <w:noProof w:val="0"/>
          <w:szCs w:val="20"/>
          <w:lang w:val="en-US"/>
        </w:rPr>
        <w:t>submitted to the Court’s jurisdiction</w:t>
      </w:r>
      <w:r w:rsidR="00380F4B" w:rsidRPr="004542B5">
        <w:rPr>
          <w:noProof w:val="0"/>
          <w:szCs w:val="20"/>
          <w:lang w:val="en-US"/>
        </w:rPr>
        <w:t>,</w:t>
      </w:r>
      <w:r w:rsidRPr="004542B5">
        <w:rPr>
          <w:noProof w:val="0"/>
          <w:szCs w:val="20"/>
          <w:lang w:val="en-US"/>
        </w:rPr>
        <w:t xml:space="preserve"> pursuant to the provisions of </w:t>
      </w:r>
      <w:r w:rsidR="00562CBB" w:rsidRPr="004542B5">
        <w:rPr>
          <w:noProof w:val="0"/>
          <w:szCs w:val="20"/>
          <w:lang w:val="en-US"/>
        </w:rPr>
        <w:t>Articles</w:t>
      </w:r>
      <w:r w:rsidR="007B47B1" w:rsidRPr="004542B5">
        <w:rPr>
          <w:noProof w:val="0"/>
          <w:szCs w:val="20"/>
          <w:lang w:val="en-US"/>
        </w:rPr>
        <w:t xml:space="preserve"> 51 </w:t>
      </w:r>
      <w:r w:rsidRPr="004542B5">
        <w:rPr>
          <w:noProof w:val="0"/>
          <w:szCs w:val="20"/>
          <w:lang w:val="en-US"/>
        </w:rPr>
        <w:t>and</w:t>
      </w:r>
      <w:r w:rsidR="007B47B1" w:rsidRPr="004542B5">
        <w:rPr>
          <w:noProof w:val="0"/>
          <w:szCs w:val="20"/>
          <w:lang w:val="en-US"/>
        </w:rPr>
        <w:t xml:space="preserve"> 61</w:t>
      </w:r>
      <w:r w:rsidR="008A56D7" w:rsidRPr="004542B5">
        <w:rPr>
          <w:noProof w:val="0"/>
          <w:szCs w:val="20"/>
          <w:lang w:val="en-US"/>
        </w:rPr>
        <w:t xml:space="preserve"> of the </w:t>
      </w:r>
      <w:r w:rsidR="00562CBB" w:rsidRPr="004542B5">
        <w:rPr>
          <w:noProof w:val="0"/>
          <w:szCs w:val="20"/>
          <w:lang w:val="en-US"/>
        </w:rPr>
        <w:t>American Convention</w:t>
      </w:r>
      <w:r w:rsidR="007B47B1" w:rsidRPr="004542B5">
        <w:rPr>
          <w:noProof w:val="0"/>
          <w:szCs w:val="20"/>
          <w:lang w:val="en-US"/>
        </w:rPr>
        <w:t xml:space="preserve">, </w:t>
      </w:r>
      <w:r w:rsidRPr="004542B5">
        <w:rPr>
          <w:noProof w:val="0"/>
          <w:szCs w:val="20"/>
          <w:lang w:val="en-US"/>
        </w:rPr>
        <w:t xml:space="preserve">the case of the Kuna Indigenous People of Madungandí and the </w:t>
      </w:r>
      <w:r w:rsidR="00AD34D8" w:rsidRPr="004542B5">
        <w:rPr>
          <w:noProof w:val="0"/>
          <w:szCs w:val="20"/>
          <w:lang w:val="en-US"/>
        </w:rPr>
        <w:t>Emberá</w:t>
      </w:r>
      <w:r w:rsidRPr="004542B5">
        <w:rPr>
          <w:noProof w:val="0"/>
          <w:szCs w:val="20"/>
          <w:lang w:val="en-US"/>
        </w:rPr>
        <w:t xml:space="preserve"> Indigenous People of Bayano and their members</w:t>
      </w:r>
      <w:r w:rsidR="007B47B1" w:rsidRPr="004542B5">
        <w:rPr>
          <w:noProof w:val="0"/>
          <w:szCs w:val="20"/>
          <w:lang w:val="en-US"/>
        </w:rPr>
        <w:t xml:space="preserve"> (</w:t>
      </w:r>
      <w:r w:rsidR="00562CBB" w:rsidRPr="004542B5">
        <w:rPr>
          <w:noProof w:val="0"/>
          <w:szCs w:val="20"/>
          <w:lang w:val="en-US"/>
        </w:rPr>
        <w:t>hereinafter</w:t>
      </w:r>
      <w:r w:rsidR="007B47B1" w:rsidRPr="004542B5">
        <w:rPr>
          <w:noProof w:val="0"/>
          <w:szCs w:val="20"/>
          <w:lang w:val="en-US"/>
        </w:rPr>
        <w:t xml:space="preserve"> </w:t>
      </w:r>
      <w:r w:rsidRPr="004542B5">
        <w:rPr>
          <w:noProof w:val="0"/>
          <w:szCs w:val="20"/>
          <w:lang w:val="en-US"/>
        </w:rPr>
        <w:t>the</w:t>
      </w:r>
      <w:r w:rsidR="007B47B1" w:rsidRPr="004542B5">
        <w:rPr>
          <w:noProof w:val="0"/>
          <w:szCs w:val="20"/>
          <w:lang w:val="en-US"/>
        </w:rPr>
        <w:t xml:space="preserve"> “Kuna”</w:t>
      </w:r>
      <w:r w:rsidRPr="004542B5">
        <w:rPr>
          <w:noProof w:val="0"/>
          <w:szCs w:val="20"/>
          <w:lang w:val="en-US"/>
        </w:rPr>
        <w:t xml:space="preserve"> case</w:t>
      </w:r>
      <w:r w:rsidR="007B47B1" w:rsidRPr="004542B5">
        <w:rPr>
          <w:noProof w:val="0"/>
          <w:szCs w:val="20"/>
          <w:lang w:val="en-US"/>
        </w:rPr>
        <w:t xml:space="preserve">) </w:t>
      </w:r>
      <w:r w:rsidRPr="004542B5">
        <w:rPr>
          <w:noProof w:val="0"/>
          <w:szCs w:val="20"/>
          <w:lang w:val="en-US"/>
        </w:rPr>
        <w:t>against</w:t>
      </w:r>
      <w:r w:rsidR="008A56D7" w:rsidRPr="004542B5">
        <w:rPr>
          <w:noProof w:val="0"/>
          <w:szCs w:val="20"/>
          <w:lang w:val="en-US"/>
        </w:rPr>
        <w:t xml:space="preserve"> the </w:t>
      </w:r>
      <w:r w:rsidR="00562CBB" w:rsidRPr="004542B5">
        <w:rPr>
          <w:noProof w:val="0"/>
          <w:szCs w:val="20"/>
          <w:lang w:val="en-US"/>
        </w:rPr>
        <w:t>Republic of</w:t>
      </w:r>
      <w:r w:rsidR="007B47B1" w:rsidRPr="004542B5">
        <w:rPr>
          <w:noProof w:val="0"/>
          <w:szCs w:val="20"/>
          <w:lang w:val="en-US"/>
        </w:rPr>
        <w:t xml:space="preserve"> </w:t>
      </w:r>
      <w:r w:rsidR="00562CBB" w:rsidRPr="004542B5">
        <w:rPr>
          <w:noProof w:val="0"/>
          <w:szCs w:val="20"/>
          <w:lang w:val="en-US"/>
        </w:rPr>
        <w:t>Panama</w:t>
      </w:r>
      <w:r w:rsidR="007B47B1" w:rsidRPr="004542B5">
        <w:rPr>
          <w:noProof w:val="0"/>
          <w:szCs w:val="20"/>
          <w:lang w:val="en-US"/>
        </w:rPr>
        <w:t xml:space="preserve"> (</w:t>
      </w:r>
      <w:r w:rsidR="00562CBB" w:rsidRPr="004542B5">
        <w:rPr>
          <w:noProof w:val="0"/>
          <w:szCs w:val="20"/>
          <w:lang w:val="en-US"/>
        </w:rPr>
        <w:t>hereinafter</w:t>
      </w:r>
      <w:r w:rsidR="007B47B1" w:rsidRPr="004542B5">
        <w:rPr>
          <w:noProof w:val="0"/>
          <w:szCs w:val="20"/>
          <w:lang w:val="en-US"/>
        </w:rPr>
        <w:t xml:space="preserve"> “</w:t>
      </w:r>
      <w:r w:rsidR="00562CBB" w:rsidRPr="004542B5">
        <w:rPr>
          <w:noProof w:val="0"/>
          <w:szCs w:val="20"/>
          <w:lang w:val="en-US"/>
        </w:rPr>
        <w:t>the State</w:t>
      </w:r>
      <w:r w:rsidR="007B47B1" w:rsidRPr="004542B5">
        <w:rPr>
          <w:noProof w:val="0"/>
          <w:szCs w:val="20"/>
          <w:lang w:val="en-US"/>
        </w:rPr>
        <w:t>”, “</w:t>
      </w:r>
      <w:r w:rsidR="00562CBB" w:rsidRPr="004542B5">
        <w:rPr>
          <w:noProof w:val="0"/>
          <w:szCs w:val="20"/>
          <w:lang w:val="en-US"/>
        </w:rPr>
        <w:t xml:space="preserve">the </w:t>
      </w:r>
      <w:r w:rsidRPr="004542B5">
        <w:rPr>
          <w:noProof w:val="0"/>
          <w:szCs w:val="20"/>
          <w:lang w:val="en-US"/>
        </w:rPr>
        <w:t>Panamanian State</w:t>
      </w:r>
      <w:r w:rsidR="007B47B1" w:rsidRPr="004542B5">
        <w:rPr>
          <w:noProof w:val="0"/>
          <w:szCs w:val="20"/>
          <w:lang w:val="en-US"/>
        </w:rPr>
        <w:t>” o</w:t>
      </w:r>
      <w:r w:rsidRPr="004542B5">
        <w:rPr>
          <w:noProof w:val="0"/>
          <w:szCs w:val="20"/>
          <w:lang w:val="en-US"/>
        </w:rPr>
        <w:t>r</w:t>
      </w:r>
      <w:r w:rsidR="007B47B1" w:rsidRPr="004542B5">
        <w:rPr>
          <w:noProof w:val="0"/>
          <w:szCs w:val="20"/>
          <w:lang w:val="en-US"/>
        </w:rPr>
        <w:t xml:space="preserve"> “</w:t>
      </w:r>
      <w:r w:rsidR="00562CBB" w:rsidRPr="004542B5">
        <w:rPr>
          <w:noProof w:val="0"/>
          <w:szCs w:val="20"/>
          <w:lang w:val="en-US"/>
        </w:rPr>
        <w:t>Panama</w:t>
      </w:r>
      <w:r w:rsidR="007B47B1" w:rsidRPr="004542B5">
        <w:rPr>
          <w:noProof w:val="0"/>
          <w:szCs w:val="20"/>
          <w:lang w:val="en-US"/>
        </w:rPr>
        <w:t xml:space="preserve">”). </w:t>
      </w:r>
      <w:r w:rsidR="00562CBB" w:rsidRPr="004542B5">
        <w:rPr>
          <w:noProof w:val="0"/>
          <w:szCs w:val="20"/>
          <w:lang w:val="en-US"/>
        </w:rPr>
        <w:t>The Commission</w:t>
      </w:r>
      <w:r w:rsidR="007B47B1" w:rsidRPr="004542B5">
        <w:rPr>
          <w:noProof w:val="0"/>
          <w:szCs w:val="20"/>
          <w:lang w:val="en-US"/>
        </w:rPr>
        <w:t xml:space="preserve"> s</w:t>
      </w:r>
      <w:r w:rsidRPr="004542B5">
        <w:rPr>
          <w:noProof w:val="0"/>
          <w:szCs w:val="20"/>
          <w:lang w:val="en-US"/>
        </w:rPr>
        <w:t>ubmitted all the facts contained in its Merits Report.</w:t>
      </w:r>
      <w:r w:rsidR="007B47B1" w:rsidRPr="004542B5">
        <w:rPr>
          <w:rStyle w:val="FootnoteReference"/>
          <w:noProof w:val="0"/>
          <w:lang w:val="en-US"/>
        </w:rPr>
        <w:footnoteReference w:id="2"/>
      </w:r>
      <w:r w:rsidR="007B47B1" w:rsidRPr="004542B5">
        <w:rPr>
          <w:i/>
          <w:noProof w:val="0"/>
          <w:szCs w:val="20"/>
          <w:lang w:val="en-US"/>
        </w:rPr>
        <w:t xml:space="preserve"> </w:t>
      </w:r>
      <w:r w:rsidRPr="004542B5">
        <w:rPr>
          <w:noProof w:val="0"/>
          <w:szCs w:val="20"/>
          <w:lang w:val="en-US"/>
        </w:rPr>
        <w:t xml:space="preserve">The case refers to the alleged international responsibility of </w:t>
      </w:r>
      <w:r w:rsidR="00562CBB" w:rsidRPr="004542B5">
        <w:rPr>
          <w:noProof w:val="0"/>
          <w:szCs w:val="20"/>
          <w:lang w:val="en-US"/>
        </w:rPr>
        <w:t>Panam</w:t>
      </w:r>
      <w:r w:rsidRPr="004542B5">
        <w:rPr>
          <w:noProof w:val="0"/>
          <w:szCs w:val="20"/>
          <w:lang w:val="en-US"/>
        </w:rPr>
        <w:t>a for</w:t>
      </w:r>
      <w:r w:rsidR="00FB6A21" w:rsidRPr="004542B5">
        <w:rPr>
          <w:noProof w:val="0"/>
          <w:szCs w:val="20"/>
          <w:lang w:val="en-US"/>
        </w:rPr>
        <w:t>:</w:t>
      </w:r>
      <w:r w:rsidR="007B47B1" w:rsidRPr="004542B5">
        <w:rPr>
          <w:noProof w:val="0"/>
          <w:szCs w:val="20"/>
          <w:lang w:val="en-US"/>
        </w:rPr>
        <w:t xml:space="preserve"> </w:t>
      </w:r>
      <w:r w:rsidR="00B46E3B" w:rsidRPr="004542B5">
        <w:rPr>
          <w:noProof w:val="0"/>
          <w:szCs w:val="20"/>
          <w:lang w:val="en-US"/>
        </w:rPr>
        <w:t xml:space="preserve">(i) </w:t>
      </w:r>
      <w:r w:rsidRPr="004542B5">
        <w:rPr>
          <w:noProof w:val="0"/>
          <w:szCs w:val="20"/>
          <w:lang w:val="en-US"/>
        </w:rPr>
        <w:t xml:space="preserve">the presumed continuing violation of the right to communal property of the </w:t>
      </w:r>
      <w:r w:rsidR="007B47B1" w:rsidRPr="004542B5">
        <w:rPr>
          <w:noProof w:val="0"/>
          <w:szCs w:val="20"/>
          <w:lang w:val="en-US"/>
        </w:rPr>
        <w:t xml:space="preserve">Kuna </w:t>
      </w:r>
      <w:r w:rsidRPr="004542B5">
        <w:rPr>
          <w:noProof w:val="0"/>
          <w:szCs w:val="20"/>
          <w:lang w:val="en-US"/>
        </w:rPr>
        <w:t>indigenous people of</w:t>
      </w:r>
      <w:r w:rsidR="007B47B1" w:rsidRPr="004542B5">
        <w:rPr>
          <w:noProof w:val="0"/>
          <w:szCs w:val="20"/>
          <w:lang w:val="en-US"/>
        </w:rPr>
        <w:t xml:space="preserve"> Madungandí (“Kuna”) </w:t>
      </w:r>
      <w:r w:rsidRPr="004542B5">
        <w:rPr>
          <w:noProof w:val="0"/>
          <w:szCs w:val="20"/>
          <w:lang w:val="en-US"/>
        </w:rPr>
        <w:t xml:space="preserve">and the </w:t>
      </w:r>
      <w:r w:rsidR="007B47B1" w:rsidRPr="004542B5">
        <w:rPr>
          <w:noProof w:val="0"/>
          <w:szCs w:val="20"/>
          <w:lang w:val="en-US"/>
        </w:rPr>
        <w:t xml:space="preserve">Emberá </w:t>
      </w:r>
      <w:r w:rsidRPr="004542B5">
        <w:rPr>
          <w:noProof w:val="0"/>
          <w:szCs w:val="20"/>
          <w:lang w:val="en-US"/>
        </w:rPr>
        <w:t xml:space="preserve">indigenous people of </w:t>
      </w:r>
      <w:r w:rsidR="007B47B1" w:rsidRPr="004542B5">
        <w:rPr>
          <w:noProof w:val="0"/>
          <w:szCs w:val="20"/>
          <w:lang w:val="en-US"/>
        </w:rPr>
        <w:t>Bayano (“Emberá”)</w:t>
      </w:r>
      <w:r w:rsidRPr="004542B5">
        <w:rPr>
          <w:noProof w:val="0"/>
          <w:szCs w:val="20"/>
          <w:lang w:val="en-US"/>
        </w:rPr>
        <w:t xml:space="preserve">, owing to the alleged failure to pay compensation for the </w:t>
      </w:r>
      <w:r w:rsidR="00B201CC" w:rsidRPr="004542B5">
        <w:rPr>
          <w:noProof w:val="0"/>
          <w:szCs w:val="20"/>
          <w:lang w:val="en-US"/>
        </w:rPr>
        <w:t>expropriation</w:t>
      </w:r>
      <w:r w:rsidRPr="004542B5">
        <w:rPr>
          <w:noProof w:val="0"/>
          <w:szCs w:val="20"/>
          <w:lang w:val="en-US"/>
        </w:rPr>
        <w:t xml:space="preserve"> and flooding of their ancestral territories as a result of the construction of the Bayano Hydroelectric Dam from 1972 to 1976; (ii) the alleged failure to recognize</w:t>
      </w:r>
      <w:r w:rsidR="00A625F6" w:rsidRPr="004542B5">
        <w:rPr>
          <w:noProof w:val="0"/>
          <w:szCs w:val="20"/>
          <w:lang w:val="en-US"/>
        </w:rPr>
        <w:t xml:space="preserve">, title, and demarcate the lands granted (in the case of the Kuna people for an extended period and in the case of the </w:t>
      </w:r>
      <w:r w:rsidR="00AD34D8" w:rsidRPr="004542B5">
        <w:rPr>
          <w:noProof w:val="0"/>
          <w:szCs w:val="20"/>
          <w:lang w:val="en-US"/>
        </w:rPr>
        <w:t>Emberá</w:t>
      </w:r>
      <w:r w:rsidR="00F3300A" w:rsidRPr="004542B5">
        <w:rPr>
          <w:noProof w:val="0"/>
          <w:szCs w:val="20"/>
          <w:lang w:val="en-US"/>
        </w:rPr>
        <w:t xml:space="preserve"> </w:t>
      </w:r>
      <w:r w:rsidR="00A625F6" w:rsidRPr="004542B5">
        <w:rPr>
          <w:noProof w:val="0"/>
          <w:szCs w:val="20"/>
          <w:lang w:val="en-US"/>
        </w:rPr>
        <w:t>up until the present time</w:t>
      </w:r>
      <w:r w:rsidR="00380F4B" w:rsidRPr="004542B5">
        <w:rPr>
          <w:noProof w:val="0"/>
          <w:szCs w:val="20"/>
          <w:lang w:val="en-US"/>
        </w:rPr>
        <w:t>)</w:t>
      </w:r>
      <w:r w:rsidR="00A625F6" w:rsidRPr="004542B5">
        <w:rPr>
          <w:noProof w:val="0"/>
          <w:szCs w:val="20"/>
          <w:lang w:val="en-US"/>
        </w:rPr>
        <w:t xml:space="preserve">; (iii) the alleged failure to provide effective protection to the territory and natural resources from invasion and illegal logging by third parties; (iv) the alleged failure of Panama to provide an appropriate and effective procedure to access communal ownership of the </w:t>
      </w:r>
      <w:r w:rsidR="00C437DD" w:rsidRPr="004542B5">
        <w:rPr>
          <w:noProof w:val="0"/>
          <w:szCs w:val="20"/>
          <w:lang w:val="en-US"/>
        </w:rPr>
        <w:t>territory</w:t>
      </w:r>
      <w:r w:rsidR="00A625F6" w:rsidRPr="004542B5">
        <w:rPr>
          <w:noProof w:val="0"/>
          <w:szCs w:val="20"/>
          <w:lang w:val="en-US"/>
        </w:rPr>
        <w:t xml:space="preserve"> and</w:t>
      </w:r>
      <w:r w:rsidR="00380F4B" w:rsidRPr="004542B5">
        <w:rPr>
          <w:noProof w:val="0"/>
          <w:szCs w:val="20"/>
          <w:lang w:val="en-US"/>
        </w:rPr>
        <w:t xml:space="preserve"> to provide</w:t>
      </w:r>
      <w:r w:rsidR="00A625F6" w:rsidRPr="004542B5">
        <w:rPr>
          <w:noProof w:val="0"/>
          <w:szCs w:val="20"/>
          <w:lang w:val="en-US"/>
        </w:rPr>
        <w:t xml:space="preserve"> a response to the numerous complaints of interference in the territories, and (v) the series of violations committed by the State were allegedly a manifestation of discrimination against the Kuna and </w:t>
      </w:r>
      <w:r w:rsidR="00AD34D8" w:rsidRPr="004542B5">
        <w:rPr>
          <w:noProof w:val="0"/>
          <w:szCs w:val="20"/>
          <w:lang w:val="en-US"/>
        </w:rPr>
        <w:t>Emberá</w:t>
      </w:r>
      <w:r w:rsidR="00A625F6" w:rsidRPr="004542B5">
        <w:rPr>
          <w:noProof w:val="0"/>
          <w:szCs w:val="20"/>
          <w:lang w:val="en-US"/>
        </w:rPr>
        <w:t xml:space="preserve"> peoples re</w:t>
      </w:r>
      <w:r w:rsidR="008A705C" w:rsidRPr="004542B5">
        <w:rPr>
          <w:noProof w:val="0"/>
          <w:szCs w:val="20"/>
          <w:lang w:val="en-US"/>
        </w:rPr>
        <w:t>vealed by</w:t>
      </w:r>
      <w:r w:rsidR="00A625F6" w:rsidRPr="004542B5">
        <w:rPr>
          <w:noProof w:val="0"/>
          <w:szCs w:val="20"/>
          <w:lang w:val="en-US"/>
        </w:rPr>
        <w:t xml:space="preserve"> the fact that laws </w:t>
      </w:r>
      <w:r w:rsidR="008A705C" w:rsidRPr="004542B5">
        <w:rPr>
          <w:noProof w:val="0"/>
          <w:szCs w:val="20"/>
          <w:lang w:val="en-US"/>
        </w:rPr>
        <w:t xml:space="preserve">reflecting an </w:t>
      </w:r>
      <w:r w:rsidR="00A625F6" w:rsidRPr="004542B5">
        <w:rPr>
          <w:noProof w:val="0"/>
          <w:szCs w:val="20"/>
          <w:lang w:val="en-US"/>
        </w:rPr>
        <w:t>alleged</w:t>
      </w:r>
      <w:r w:rsidR="008A705C" w:rsidRPr="004542B5">
        <w:rPr>
          <w:noProof w:val="0"/>
          <w:szCs w:val="20"/>
          <w:lang w:val="en-US"/>
        </w:rPr>
        <w:t>ly</w:t>
      </w:r>
      <w:r w:rsidR="00A625F6" w:rsidRPr="004542B5">
        <w:rPr>
          <w:noProof w:val="0"/>
          <w:szCs w:val="20"/>
          <w:lang w:val="en-US"/>
        </w:rPr>
        <w:t xml:space="preserve"> assimilationist policy</w:t>
      </w:r>
      <w:r w:rsidR="008A705C" w:rsidRPr="004542B5">
        <w:rPr>
          <w:noProof w:val="0"/>
          <w:szCs w:val="20"/>
          <w:lang w:val="en-US"/>
        </w:rPr>
        <w:t xml:space="preserve"> were in force</w:t>
      </w:r>
      <w:r w:rsidR="007B47B1" w:rsidRPr="004542B5">
        <w:rPr>
          <w:noProof w:val="0"/>
          <w:szCs w:val="20"/>
          <w:lang w:val="en-US"/>
        </w:rPr>
        <w:t>.</w:t>
      </w:r>
    </w:p>
    <w:p w14:paraId="32BE01F5" w14:textId="0CC04A05" w:rsidR="00B17F8B" w:rsidRPr="004542B5" w:rsidRDefault="00F3300A" w:rsidP="00E01664">
      <w:pPr>
        <w:numPr>
          <w:ilvl w:val="0"/>
          <w:numId w:val="2"/>
        </w:numPr>
        <w:spacing w:after="120"/>
        <w:ind w:right="4"/>
        <w:rPr>
          <w:noProof w:val="0"/>
          <w:lang w:val="en-US"/>
        </w:rPr>
      </w:pPr>
      <w:bookmarkStart w:id="3" w:name="_Ref363651855"/>
      <w:r w:rsidRPr="004542B5">
        <w:rPr>
          <w:i/>
          <w:noProof w:val="0"/>
          <w:lang w:val="en-US"/>
        </w:rPr>
        <w:t>Procedure before</w:t>
      </w:r>
      <w:r w:rsidR="007B47B1" w:rsidRPr="004542B5">
        <w:rPr>
          <w:i/>
          <w:noProof w:val="0"/>
          <w:lang w:val="en-US"/>
        </w:rPr>
        <w:t xml:space="preserve"> </w:t>
      </w:r>
      <w:r w:rsidR="00562CBB" w:rsidRPr="004542B5">
        <w:rPr>
          <w:i/>
          <w:noProof w:val="0"/>
          <w:lang w:val="en-US"/>
        </w:rPr>
        <w:t>the Commission</w:t>
      </w:r>
      <w:r w:rsidR="007B47B1" w:rsidRPr="004542B5">
        <w:rPr>
          <w:i/>
          <w:noProof w:val="0"/>
          <w:lang w:val="en-US"/>
        </w:rPr>
        <w:t>.</w:t>
      </w:r>
      <w:r w:rsidR="007B47B1" w:rsidRPr="004542B5">
        <w:rPr>
          <w:noProof w:val="0"/>
          <w:lang w:val="en-US"/>
        </w:rPr>
        <w:t xml:space="preserve"> </w:t>
      </w:r>
      <w:r w:rsidRPr="004542B5">
        <w:rPr>
          <w:noProof w:val="0"/>
          <w:lang w:val="en-US"/>
        </w:rPr>
        <w:t xml:space="preserve">The procedure before </w:t>
      </w:r>
      <w:r w:rsidR="00562CBB" w:rsidRPr="004542B5">
        <w:rPr>
          <w:noProof w:val="0"/>
          <w:lang w:val="en-US"/>
        </w:rPr>
        <w:t>the Commission</w:t>
      </w:r>
      <w:r w:rsidRPr="004542B5">
        <w:rPr>
          <w:noProof w:val="0"/>
          <w:lang w:val="en-US"/>
        </w:rPr>
        <w:t xml:space="preserve"> was as follows:</w:t>
      </w:r>
      <w:bookmarkEnd w:id="3"/>
    </w:p>
    <w:p w14:paraId="3E5DD3C5" w14:textId="78C8AF86" w:rsidR="00B17F8B" w:rsidRPr="004542B5" w:rsidRDefault="007B47B1" w:rsidP="00E01664">
      <w:pPr>
        <w:numPr>
          <w:ilvl w:val="1"/>
          <w:numId w:val="2"/>
        </w:numPr>
        <w:spacing w:after="120"/>
        <w:ind w:left="360" w:right="6" w:firstLine="357"/>
        <w:rPr>
          <w:noProof w:val="0"/>
          <w:lang w:val="en-US"/>
        </w:rPr>
      </w:pPr>
      <w:r w:rsidRPr="004542B5">
        <w:rPr>
          <w:i/>
          <w:noProof w:val="0"/>
          <w:szCs w:val="20"/>
          <w:lang w:val="en-US"/>
        </w:rPr>
        <w:t>Peti</w:t>
      </w:r>
      <w:r w:rsidR="00F3300A" w:rsidRPr="004542B5">
        <w:rPr>
          <w:i/>
          <w:noProof w:val="0"/>
          <w:szCs w:val="20"/>
          <w:lang w:val="en-US"/>
        </w:rPr>
        <w:t>tio</w:t>
      </w:r>
      <w:r w:rsidRPr="004542B5">
        <w:rPr>
          <w:i/>
          <w:noProof w:val="0"/>
          <w:szCs w:val="20"/>
          <w:lang w:val="en-US"/>
        </w:rPr>
        <w:t xml:space="preserve">n. </w:t>
      </w:r>
      <w:r w:rsidR="00F3300A" w:rsidRPr="004542B5">
        <w:rPr>
          <w:noProof w:val="0"/>
          <w:szCs w:val="20"/>
          <w:lang w:val="en-US"/>
        </w:rPr>
        <w:t>On May 11,</w:t>
      </w:r>
      <w:r w:rsidRPr="004542B5">
        <w:rPr>
          <w:noProof w:val="0"/>
          <w:szCs w:val="20"/>
          <w:lang w:val="en-US"/>
        </w:rPr>
        <w:t xml:space="preserve"> 2000</w:t>
      </w:r>
      <w:r w:rsidR="00F3300A" w:rsidRPr="004542B5">
        <w:rPr>
          <w:noProof w:val="0"/>
          <w:szCs w:val="20"/>
          <w:lang w:val="en-US"/>
        </w:rPr>
        <w:t>, the presumed victims</w:t>
      </w:r>
      <w:r w:rsidRPr="004542B5">
        <w:rPr>
          <w:noProof w:val="0"/>
          <w:szCs w:val="20"/>
          <w:lang w:val="en-US"/>
        </w:rPr>
        <w:t xml:space="preserve">, </w:t>
      </w:r>
      <w:r w:rsidR="00F3300A" w:rsidRPr="004542B5">
        <w:rPr>
          <w:noProof w:val="0"/>
          <w:szCs w:val="20"/>
          <w:lang w:val="en-US"/>
        </w:rPr>
        <w:t xml:space="preserve">through the International Human Rights Clinic of the </w:t>
      </w:r>
      <w:r w:rsidRPr="004542B5">
        <w:rPr>
          <w:noProof w:val="0"/>
          <w:szCs w:val="20"/>
          <w:lang w:val="en-US"/>
        </w:rPr>
        <w:t xml:space="preserve">Washington College of Law </w:t>
      </w:r>
      <w:r w:rsidR="00F3300A" w:rsidRPr="004542B5">
        <w:rPr>
          <w:noProof w:val="0"/>
          <w:szCs w:val="20"/>
          <w:lang w:val="en-US"/>
        </w:rPr>
        <w:t xml:space="preserve">at </w:t>
      </w:r>
      <w:r w:rsidRPr="004542B5">
        <w:rPr>
          <w:noProof w:val="0"/>
          <w:szCs w:val="20"/>
          <w:lang w:val="en-US"/>
        </w:rPr>
        <w:t xml:space="preserve">American University, </w:t>
      </w:r>
      <w:r w:rsidR="00F3300A" w:rsidRPr="004542B5">
        <w:rPr>
          <w:noProof w:val="0"/>
          <w:szCs w:val="20"/>
          <w:lang w:val="en-US"/>
        </w:rPr>
        <w:t>the</w:t>
      </w:r>
      <w:r w:rsidR="002B1A21" w:rsidRPr="004542B5">
        <w:rPr>
          <w:noProof w:val="0"/>
          <w:szCs w:val="20"/>
          <w:lang w:val="en-US"/>
        </w:rPr>
        <w:t xml:space="preserve"> Centro de Asistencia Legal Popular (CEALP), </w:t>
      </w:r>
      <w:r w:rsidR="00F3300A" w:rsidRPr="004542B5">
        <w:rPr>
          <w:noProof w:val="0"/>
          <w:szCs w:val="20"/>
          <w:lang w:val="en-US"/>
        </w:rPr>
        <w:t>the</w:t>
      </w:r>
      <w:r w:rsidR="002B1A21" w:rsidRPr="004542B5">
        <w:rPr>
          <w:noProof w:val="0"/>
          <w:szCs w:val="20"/>
          <w:lang w:val="en-US"/>
        </w:rPr>
        <w:t xml:space="preserve"> Asociación Na</w:t>
      </w:r>
      <w:r w:rsidR="00F3300A" w:rsidRPr="004542B5">
        <w:rPr>
          <w:noProof w:val="0"/>
          <w:szCs w:val="20"/>
          <w:lang w:val="en-US"/>
        </w:rPr>
        <w:t>p</w:t>
      </w:r>
      <w:r w:rsidR="002B1A21" w:rsidRPr="004542B5">
        <w:rPr>
          <w:noProof w:val="0"/>
          <w:szCs w:val="20"/>
          <w:lang w:val="en-US"/>
        </w:rPr>
        <w:t>guana</w:t>
      </w:r>
      <w:r w:rsidR="008A705C" w:rsidRPr="004542B5">
        <w:rPr>
          <w:noProof w:val="0"/>
          <w:szCs w:val="20"/>
          <w:lang w:val="en-US"/>
        </w:rPr>
        <w:t>,</w:t>
      </w:r>
      <w:r w:rsidR="002B1A21" w:rsidRPr="004542B5">
        <w:rPr>
          <w:noProof w:val="0"/>
          <w:szCs w:val="20"/>
          <w:lang w:val="en-US"/>
        </w:rPr>
        <w:t xml:space="preserve"> </w:t>
      </w:r>
      <w:r w:rsidR="00F3300A" w:rsidRPr="004542B5">
        <w:rPr>
          <w:noProof w:val="0"/>
          <w:szCs w:val="20"/>
          <w:lang w:val="en-US"/>
        </w:rPr>
        <w:t>and</w:t>
      </w:r>
      <w:r w:rsidR="002B1A21" w:rsidRPr="004542B5">
        <w:rPr>
          <w:noProof w:val="0"/>
          <w:szCs w:val="20"/>
          <w:lang w:val="en-US"/>
        </w:rPr>
        <w:t xml:space="preserve"> Emily Yozell</w:t>
      </w:r>
      <w:r w:rsidRPr="004542B5">
        <w:rPr>
          <w:noProof w:val="0"/>
          <w:szCs w:val="20"/>
          <w:lang w:val="en-US"/>
        </w:rPr>
        <w:t xml:space="preserve">, </w:t>
      </w:r>
      <w:r w:rsidR="00F3300A" w:rsidRPr="004542B5">
        <w:rPr>
          <w:noProof w:val="0"/>
          <w:szCs w:val="20"/>
          <w:lang w:val="en-US"/>
        </w:rPr>
        <w:t xml:space="preserve">lodged a petition alleging </w:t>
      </w:r>
      <w:r w:rsidR="00CD2B90" w:rsidRPr="004542B5">
        <w:rPr>
          <w:noProof w:val="0"/>
          <w:szCs w:val="20"/>
          <w:lang w:val="en-US"/>
        </w:rPr>
        <w:t>that the State had committed human rights violations against the Kuna indigenous people of</w:t>
      </w:r>
      <w:r w:rsidRPr="004542B5">
        <w:rPr>
          <w:noProof w:val="0"/>
          <w:szCs w:val="20"/>
          <w:lang w:val="en-US"/>
        </w:rPr>
        <w:t xml:space="preserve"> Madungandí </w:t>
      </w:r>
      <w:r w:rsidR="00CD2B90" w:rsidRPr="004542B5">
        <w:rPr>
          <w:noProof w:val="0"/>
          <w:szCs w:val="20"/>
          <w:lang w:val="en-US"/>
        </w:rPr>
        <w:t xml:space="preserve">and the </w:t>
      </w:r>
      <w:r w:rsidRPr="004542B5">
        <w:rPr>
          <w:noProof w:val="0"/>
          <w:szCs w:val="20"/>
          <w:lang w:val="en-US"/>
        </w:rPr>
        <w:t>Emberá</w:t>
      </w:r>
      <w:r w:rsidR="00CD2B90" w:rsidRPr="004542B5">
        <w:rPr>
          <w:noProof w:val="0"/>
          <w:szCs w:val="20"/>
          <w:lang w:val="en-US"/>
        </w:rPr>
        <w:t xml:space="preserve"> indigenous people</w:t>
      </w:r>
      <w:r w:rsidRPr="004542B5">
        <w:rPr>
          <w:noProof w:val="0"/>
          <w:szCs w:val="20"/>
          <w:lang w:val="en-US"/>
        </w:rPr>
        <w:t xml:space="preserve"> </w:t>
      </w:r>
      <w:r w:rsidR="00CD2B90" w:rsidRPr="004542B5">
        <w:rPr>
          <w:noProof w:val="0"/>
          <w:szCs w:val="20"/>
          <w:lang w:val="en-US"/>
        </w:rPr>
        <w:t>of</w:t>
      </w:r>
      <w:r w:rsidRPr="004542B5">
        <w:rPr>
          <w:noProof w:val="0"/>
          <w:szCs w:val="20"/>
          <w:lang w:val="en-US"/>
        </w:rPr>
        <w:t xml:space="preserve"> Bayano </w:t>
      </w:r>
      <w:r w:rsidR="00CD2B90" w:rsidRPr="004542B5">
        <w:rPr>
          <w:noProof w:val="0"/>
          <w:szCs w:val="20"/>
          <w:lang w:val="en-US"/>
        </w:rPr>
        <w:t>and their members</w:t>
      </w:r>
      <w:r w:rsidRPr="004542B5">
        <w:rPr>
          <w:noProof w:val="0"/>
          <w:lang w:val="en-US"/>
        </w:rPr>
        <w:t>.</w:t>
      </w:r>
    </w:p>
    <w:p w14:paraId="3091F626" w14:textId="7C738634" w:rsidR="00B17F8B" w:rsidRPr="004542B5" w:rsidRDefault="00CD2B90" w:rsidP="00E01664">
      <w:pPr>
        <w:numPr>
          <w:ilvl w:val="1"/>
          <w:numId w:val="2"/>
        </w:numPr>
        <w:spacing w:after="120"/>
        <w:ind w:left="360" w:right="6" w:firstLine="357"/>
        <w:rPr>
          <w:noProof w:val="0"/>
          <w:lang w:val="en-US"/>
        </w:rPr>
      </w:pPr>
      <w:r w:rsidRPr="004542B5">
        <w:rPr>
          <w:i/>
          <w:noProof w:val="0"/>
          <w:szCs w:val="20"/>
          <w:lang w:val="en-US"/>
        </w:rPr>
        <w:t>Precautionary measures</w:t>
      </w:r>
      <w:r w:rsidR="000C584B" w:rsidRPr="004542B5">
        <w:rPr>
          <w:i/>
          <w:noProof w:val="0"/>
          <w:szCs w:val="20"/>
          <w:lang w:val="en-US"/>
        </w:rPr>
        <w:t>.</w:t>
      </w:r>
      <w:r w:rsidR="000C584B" w:rsidRPr="004542B5">
        <w:rPr>
          <w:noProof w:val="0"/>
          <w:lang w:val="en-US"/>
        </w:rPr>
        <w:t xml:space="preserve"> </w:t>
      </w:r>
      <w:r w:rsidRPr="004542B5">
        <w:rPr>
          <w:noProof w:val="0"/>
          <w:lang w:val="en-US"/>
        </w:rPr>
        <w:t>On April 5,</w:t>
      </w:r>
      <w:r w:rsidR="000C584B" w:rsidRPr="004542B5">
        <w:rPr>
          <w:noProof w:val="0"/>
          <w:lang w:val="en-US"/>
        </w:rPr>
        <w:t xml:space="preserve"> 2011</w:t>
      </w:r>
      <w:r w:rsidRPr="004542B5">
        <w:rPr>
          <w:noProof w:val="0"/>
          <w:lang w:val="en-US"/>
        </w:rPr>
        <w:t xml:space="preserve">, </w:t>
      </w:r>
      <w:r w:rsidR="00562CBB" w:rsidRPr="004542B5">
        <w:rPr>
          <w:noProof w:val="0"/>
          <w:lang w:val="en-US"/>
        </w:rPr>
        <w:t>the Inter-American Commission</w:t>
      </w:r>
      <w:r w:rsidR="000C584B" w:rsidRPr="004542B5">
        <w:rPr>
          <w:noProof w:val="0"/>
          <w:lang w:val="en-US"/>
        </w:rPr>
        <w:t xml:space="preserve"> </w:t>
      </w:r>
      <w:r w:rsidR="00A41A72" w:rsidRPr="004542B5">
        <w:rPr>
          <w:noProof w:val="0"/>
          <w:lang w:val="en-US"/>
        </w:rPr>
        <w:t>“</w:t>
      </w:r>
      <w:r w:rsidRPr="004542B5">
        <w:rPr>
          <w:noProof w:val="0"/>
          <w:lang w:val="en-US"/>
        </w:rPr>
        <w:t>asked the State of</w:t>
      </w:r>
      <w:r w:rsidR="00A41A72" w:rsidRPr="004542B5">
        <w:rPr>
          <w:noProof w:val="0"/>
          <w:lang w:val="en-US"/>
        </w:rPr>
        <w:t xml:space="preserve"> </w:t>
      </w:r>
      <w:r w:rsidR="00562CBB" w:rsidRPr="004542B5">
        <w:rPr>
          <w:noProof w:val="0"/>
          <w:lang w:val="en-US"/>
        </w:rPr>
        <w:t>Panama</w:t>
      </w:r>
      <w:r w:rsidR="00A41A72" w:rsidRPr="004542B5">
        <w:rPr>
          <w:noProof w:val="0"/>
          <w:lang w:val="en-US"/>
        </w:rPr>
        <w:t xml:space="preserve"> </w:t>
      </w:r>
      <w:r w:rsidRPr="004542B5">
        <w:rPr>
          <w:noProof w:val="0"/>
          <w:lang w:val="en-US"/>
        </w:rPr>
        <w:t xml:space="preserve">to adopt the necessary measures to protect the ancestral territory of the communities of the Kuna indigenous people of </w:t>
      </w:r>
      <w:r w:rsidR="000C584B" w:rsidRPr="004542B5">
        <w:rPr>
          <w:noProof w:val="0"/>
          <w:lang w:val="en-US"/>
        </w:rPr>
        <w:t xml:space="preserve">Madungandí </w:t>
      </w:r>
      <w:r w:rsidRPr="004542B5">
        <w:rPr>
          <w:noProof w:val="0"/>
          <w:lang w:val="en-US"/>
        </w:rPr>
        <w:t>and the</w:t>
      </w:r>
      <w:r w:rsidR="000C584B" w:rsidRPr="004542B5">
        <w:rPr>
          <w:noProof w:val="0"/>
          <w:lang w:val="en-US"/>
        </w:rPr>
        <w:t xml:space="preserve"> Emberá </w:t>
      </w:r>
      <w:r w:rsidRPr="004542B5">
        <w:rPr>
          <w:noProof w:val="0"/>
          <w:lang w:val="en-US"/>
        </w:rPr>
        <w:t>indigenous people of</w:t>
      </w:r>
      <w:r w:rsidR="000C584B" w:rsidRPr="004542B5">
        <w:rPr>
          <w:noProof w:val="0"/>
          <w:lang w:val="en-US"/>
        </w:rPr>
        <w:t xml:space="preserve"> Bayano </w:t>
      </w:r>
      <w:r w:rsidRPr="004542B5">
        <w:rPr>
          <w:noProof w:val="0"/>
          <w:lang w:val="en-US"/>
        </w:rPr>
        <w:t>from invasion by third parties and from the destruction of their forests and crops.</w:t>
      </w:r>
      <w:r w:rsidR="00A41A72" w:rsidRPr="004542B5">
        <w:rPr>
          <w:noProof w:val="0"/>
          <w:lang w:val="en-US"/>
        </w:rPr>
        <w:t>”</w:t>
      </w:r>
      <w:r w:rsidR="00111DA7" w:rsidRPr="004542B5">
        <w:rPr>
          <w:rStyle w:val="FootnoteReference"/>
          <w:noProof w:val="0"/>
          <w:lang w:val="en-US"/>
        </w:rPr>
        <w:footnoteReference w:id="3"/>
      </w:r>
    </w:p>
    <w:p w14:paraId="6A9CD184" w14:textId="1A678AD2" w:rsidR="00170351" w:rsidRPr="004542B5" w:rsidRDefault="00CD2B90" w:rsidP="00E01664">
      <w:pPr>
        <w:numPr>
          <w:ilvl w:val="1"/>
          <w:numId w:val="2"/>
        </w:numPr>
        <w:spacing w:after="120"/>
        <w:ind w:left="360" w:right="6" w:firstLine="357"/>
        <w:rPr>
          <w:noProof w:val="0"/>
          <w:lang w:val="en-US"/>
        </w:rPr>
      </w:pPr>
      <w:r w:rsidRPr="004542B5">
        <w:rPr>
          <w:i/>
          <w:noProof w:val="0"/>
          <w:szCs w:val="20"/>
          <w:lang w:val="en-US"/>
        </w:rPr>
        <w:t>Admissibility report</w:t>
      </w:r>
      <w:r w:rsidR="007B47B1" w:rsidRPr="004542B5">
        <w:rPr>
          <w:noProof w:val="0"/>
          <w:szCs w:val="20"/>
          <w:lang w:val="en-US"/>
        </w:rPr>
        <w:t xml:space="preserve">. </w:t>
      </w:r>
      <w:r w:rsidRPr="004542B5">
        <w:rPr>
          <w:noProof w:val="0"/>
          <w:szCs w:val="20"/>
          <w:lang w:val="en-US"/>
        </w:rPr>
        <w:t>On April 21,</w:t>
      </w:r>
      <w:r w:rsidR="007B47B1" w:rsidRPr="004542B5">
        <w:rPr>
          <w:noProof w:val="0"/>
          <w:lang w:val="en-US"/>
        </w:rPr>
        <w:t xml:space="preserve"> 2009</w:t>
      </w:r>
      <w:r w:rsidRPr="004542B5">
        <w:rPr>
          <w:noProof w:val="0"/>
          <w:lang w:val="en-US"/>
        </w:rPr>
        <w:t>,</w:t>
      </w:r>
      <w:r w:rsidR="007B47B1" w:rsidRPr="004542B5">
        <w:rPr>
          <w:noProof w:val="0"/>
          <w:lang w:val="en-US"/>
        </w:rPr>
        <w:t xml:space="preserve"> </w:t>
      </w:r>
      <w:r w:rsidR="00562CBB" w:rsidRPr="004542B5">
        <w:rPr>
          <w:noProof w:val="0"/>
          <w:lang w:val="en-US"/>
        </w:rPr>
        <w:t>the Inter-American Commission</w:t>
      </w:r>
      <w:r w:rsidR="007B47B1" w:rsidRPr="004542B5">
        <w:rPr>
          <w:noProof w:val="0"/>
          <w:lang w:val="en-US"/>
        </w:rPr>
        <w:t xml:space="preserve"> a</w:t>
      </w:r>
      <w:r w:rsidRPr="004542B5">
        <w:rPr>
          <w:noProof w:val="0"/>
          <w:lang w:val="en-US"/>
        </w:rPr>
        <w:t xml:space="preserve">dopted Admissibility Report </w:t>
      </w:r>
      <w:r w:rsidRPr="004542B5">
        <w:rPr>
          <w:noProof w:val="0"/>
          <w:szCs w:val="20"/>
          <w:lang w:val="en-US"/>
        </w:rPr>
        <w:t>No.</w:t>
      </w:r>
      <w:r w:rsidR="00B7701D" w:rsidRPr="004542B5">
        <w:rPr>
          <w:noProof w:val="0"/>
          <w:szCs w:val="20"/>
          <w:lang w:val="en-US"/>
        </w:rPr>
        <w:t xml:space="preserve"> </w:t>
      </w:r>
      <w:r w:rsidR="007B47B1" w:rsidRPr="004542B5">
        <w:rPr>
          <w:noProof w:val="0"/>
          <w:lang w:val="en-US"/>
        </w:rPr>
        <w:t xml:space="preserve">58/09, </w:t>
      </w:r>
      <w:r w:rsidRPr="004542B5">
        <w:rPr>
          <w:noProof w:val="0"/>
          <w:lang w:val="en-US"/>
        </w:rPr>
        <w:t xml:space="preserve">in which it concluded that it was competent to examine the complaint regarding presumed violations of </w:t>
      </w:r>
      <w:r w:rsidR="00562CBB" w:rsidRPr="004542B5">
        <w:rPr>
          <w:noProof w:val="0"/>
          <w:szCs w:val="20"/>
          <w:lang w:val="en-US"/>
        </w:rPr>
        <w:t>the American Convention</w:t>
      </w:r>
      <w:r w:rsidR="007B47B1" w:rsidRPr="004542B5">
        <w:rPr>
          <w:noProof w:val="0"/>
          <w:szCs w:val="20"/>
          <w:lang w:val="en-US"/>
        </w:rPr>
        <w:t xml:space="preserve">. </w:t>
      </w:r>
      <w:r w:rsidRPr="004542B5">
        <w:rPr>
          <w:noProof w:val="0"/>
          <w:szCs w:val="20"/>
          <w:lang w:val="en-US"/>
        </w:rPr>
        <w:t>It also indicated that the petition was admissible</w:t>
      </w:r>
      <w:r w:rsidR="007B47B1" w:rsidRPr="004542B5">
        <w:rPr>
          <w:rStyle w:val="FootnoteReference"/>
          <w:noProof w:val="0"/>
          <w:lang w:val="en-US"/>
        </w:rPr>
        <w:footnoteReference w:id="4"/>
      </w:r>
      <w:r w:rsidR="007B47B1" w:rsidRPr="004542B5">
        <w:rPr>
          <w:noProof w:val="0"/>
          <w:szCs w:val="20"/>
          <w:lang w:val="en-US"/>
        </w:rPr>
        <w:t xml:space="preserve"> </w:t>
      </w:r>
      <w:r w:rsidRPr="004542B5">
        <w:rPr>
          <w:noProof w:val="0"/>
          <w:szCs w:val="20"/>
          <w:lang w:val="en-US"/>
        </w:rPr>
        <w:t xml:space="preserve">because it met the requirements established in </w:t>
      </w:r>
      <w:r w:rsidR="00562CBB" w:rsidRPr="004542B5">
        <w:rPr>
          <w:noProof w:val="0"/>
          <w:szCs w:val="20"/>
          <w:lang w:val="en-US"/>
        </w:rPr>
        <w:t>Articles</w:t>
      </w:r>
      <w:r w:rsidR="007B47B1" w:rsidRPr="004542B5">
        <w:rPr>
          <w:noProof w:val="0"/>
          <w:szCs w:val="20"/>
          <w:lang w:val="en-US"/>
        </w:rPr>
        <w:t xml:space="preserve"> 46</w:t>
      </w:r>
      <w:r w:rsidRPr="004542B5">
        <w:rPr>
          <w:noProof w:val="0"/>
          <w:szCs w:val="20"/>
          <w:lang w:val="en-US"/>
        </w:rPr>
        <w:t xml:space="preserve"> and </w:t>
      </w:r>
      <w:r w:rsidR="007B47B1" w:rsidRPr="004542B5">
        <w:rPr>
          <w:noProof w:val="0"/>
          <w:szCs w:val="20"/>
          <w:lang w:val="en-US"/>
        </w:rPr>
        <w:t>47</w:t>
      </w:r>
      <w:r w:rsidR="008A56D7" w:rsidRPr="004542B5">
        <w:rPr>
          <w:noProof w:val="0"/>
          <w:szCs w:val="20"/>
          <w:lang w:val="en-US"/>
        </w:rPr>
        <w:t xml:space="preserve"> of the </w:t>
      </w:r>
      <w:r w:rsidR="00562CBB" w:rsidRPr="004542B5">
        <w:rPr>
          <w:noProof w:val="0"/>
          <w:szCs w:val="20"/>
          <w:lang w:val="en-US"/>
        </w:rPr>
        <w:t>American Convention</w:t>
      </w:r>
      <w:r w:rsidR="007B47B1" w:rsidRPr="004542B5">
        <w:rPr>
          <w:noProof w:val="0"/>
          <w:szCs w:val="20"/>
          <w:lang w:val="en-US"/>
        </w:rPr>
        <w:t>.</w:t>
      </w:r>
    </w:p>
    <w:p w14:paraId="1D1E9A42" w14:textId="546554E6" w:rsidR="00B17F8B" w:rsidRPr="004542B5" w:rsidRDefault="00C6639F" w:rsidP="00E01664">
      <w:pPr>
        <w:numPr>
          <w:ilvl w:val="1"/>
          <w:numId w:val="2"/>
        </w:numPr>
        <w:spacing w:after="120"/>
        <w:ind w:left="360" w:right="6" w:firstLine="357"/>
        <w:rPr>
          <w:noProof w:val="0"/>
          <w:lang w:val="en-US"/>
        </w:rPr>
      </w:pPr>
      <w:r w:rsidRPr="004542B5">
        <w:rPr>
          <w:i/>
          <w:noProof w:val="0"/>
          <w:szCs w:val="20"/>
          <w:lang w:val="en-US"/>
        </w:rPr>
        <w:lastRenderedPageBreak/>
        <w:t>Merits Report</w:t>
      </w:r>
      <w:r w:rsidR="007B47B1" w:rsidRPr="004542B5">
        <w:rPr>
          <w:noProof w:val="0"/>
          <w:szCs w:val="20"/>
          <w:lang w:val="en-US"/>
        </w:rPr>
        <w:t xml:space="preserve">. </w:t>
      </w:r>
      <w:r w:rsidR="00E04132" w:rsidRPr="004542B5">
        <w:rPr>
          <w:noProof w:val="0"/>
          <w:lang w:val="en-US"/>
        </w:rPr>
        <w:t>Pursuant to Article</w:t>
      </w:r>
      <w:r w:rsidR="007B47B1" w:rsidRPr="004542B5">
        <w:rPr>
          <w:noProof w:val="0"/>
          <w:lang w:val="en-US"/>
        </w:rPr>
        <w:t xml:space="preserve"> 50</w:t>
      </w:r>
      <w:r w:rsidR="008A56D7" w:rsidRPr="004542B5">
        <w:rPr>
          <w:noProof w:val="0"/>
          <w:lang w:val="en-US"/>
        </w:rPr>
        <w:t xml:space="preserve"> of the </w:t>
      </w:r>
      <w:r w:rsidR="00562CBB" w:rsidRPr="004542B5">
        <w:rPr>
          <w:noProof w:val="0"/>
          <w:lang w:val="en-US"/>
        </w:rPr>
        <w:t>Convention</w:t>
      </w:r>
      <w:r w:rsidR="007B47B1" w:rsidRPr="004542B5">
        <w:rPr>
          <w:noProof w:val="0"/>
          <w:lang w:val="en-US"/>
        </w:rPr>
        <w:t xml:space="preserve">, </w:t>
      </w:r>
      <w:r w:rsidR="00E04132" w:rsidRPr="004542B5">
        <w:rPr>
          <w:noProof w:val="0"/>
          <w:lang w:val="en-US"/>
        </w:rPr>
        <w:t>on November 13,</w:t>
      </w:r>
      <w:r w:rsidR="007B47B1" w:rsidRPr="004542B5">
        <w:rPr>
          <w:noProof w:val="0"/>
          <w:lang w:val="en-US"/>
        </w:rPr>
        <w:t xml:space="preserve"> 2012</w:t>
      </w:r>
      <w:r w:rsidR="00E04132" w:rsidRPr="004542B5">
        <w:rPr>
          <w:noProof w:val="0"/>
          <w:lang w:val="en-US"/>
        </w:rPr>
        <w:t>,</w:t>
      </w:r>
      <w:r w:rsidR="007B47B1" w:rsidRPr="004542B5">
        <w:rPr>
          <w:noProof w:val="0"/>
          <w:lang w:val="en-US"/>
        </w:rPr>
        <w:t xml:space="preserve"> </w:t>
      </w:r>
      <w:r w:rsidR="00562CBB" w:rsidRPr="004542B5">
        <w:rPr>
          <w:noProof w:val="0"/>
          <w:lang w:val="en-US"/>
        </w:rPr>
        <w:t>the Commission</w:t>
      </w:r>
      <w:r w:rsidR="007B47B1" w:rsidRPr="004542B5">
        <w:rPr>
          <w:noProof w:val="0"/>
          <w:lang w:val="en-US"/>
        </w:rPr>
        <w:t xml:space="preserve"> </w:t>
      </w:r>
      <w:r w:rsidR="00E04132" w:rsidRPr="004542B5">
        <w:rPr>
          <w:noProof w:val="0"/>
          <w:lang w:val="en-US"/>
        </w:rPr>
        <w:t>issued</w:t>
      </w:r>
      <w:r w:rsidR="007B47B1" w:rsidRPr="004542B5">
        <w:rPr>
          <w:noProof w:val="0"/>
          <w:lang w:val="en-US"/>
        </w:rPr>
        <w:t xml:space="preserve"> </w:t>
      </w:r>
      <w:r w:rsidRPr="004542B5">
        <w:rPr>
          <w:noProof w:val="0"/>
          <w:lang w:val="en-US"/>
        </w:rPr>
        <w:t>Merits Report</w:t>
      </w:r>
      <w:r w:rsidR="00B07C65" w:rsidRPr="004542B5">
        <w:rPr>
          <w:noProof w:val="0"/>
          <w:lang w:val="en-US"/>
        </w:rPr>
        <w:t xml:space="preserve"> </w:t>
      </w:r>
      <w:r w:rsidR="00CD2B90" w:rsidRPr="004542B5">
        <w:rPr>
          <w:noProof w:val="0"/>
          <w:szCs w:val="20"/>
          <w:lang w:val="en-US"/>
        </w:rPr>
        <w:t>No.</w:t>
      </w:r>
      <w:r w:rsidR="00B7701D" w:rsidRPr="004542B5">
        <w:rPr>
          <w:noProof w:val="0"/>
          <w:szCs w:val="20"/>
          <w:lang w:val="en-US"/>
        </w:rPr>
        <w:t xml:space="preserve"> </w:t>
      </w:r>
      <w:r w:rsidR="007B47B1" w:rsidRPr="004542B5">
        <w:rPr>
          <w:noProof w:val="0"/>
          <w:lang w:val="en-US"/>
        </w:rPr>
        <w:t>125/12 (</w:t>
      </w:r>
      <w:r w:rsidR="00562CBB" w:rsidRPr="004542B5">
        <w:rPr>
          <w:noProof w:val="0"/>
          <w:lang w:val="en-US"/>
        </w:rPr>
        <w:t>hereinafter</w:t>
      </w:r>
      <w:r w:rsidR="007B47B1" w:rsidRPr="004542B5">
        <w:rPr>
          <w:noProof w:val="0"/>
          <w:lang w:val="en-US"/>
        </w:rPr>
        <w:t xml:space="preserve"> “</w:t>
      </w:r>
      <w:r w:rsidR="00E04132" w:rsidRPr="004542B5">
        <w:rPr>
          <w:noProof w:val="0"/>
          <w:lang w:val="en-US"/>
        </w:rPr>
        <w:t xml:space="preserve">the </w:t>
      </w:r>
      <w:r w:rsidRPr="004542B5">
        <w:rPr>
          <w:noProof w:val="0"/>
          <w:lang w:val="en-US"/>
        </w:rPr>
        <w:t>Merits Report</w:t>
      </w:r>
      <w:r w:rsidR="007B47B1" w:rsidRPr="004542B5">
        <w:rPr>
          <w:noProof w:val="0"/>
          <w:lang w:val="en-US"/>
        </w:rPr>
        <w:t>”),</w:t>
      </w:r>
      <w:r w:rsidR="00E04132" w:rsidRPr="004542B5">
        <w:rPr>
          <w:noProof w:val="0"/>
          <w:lang w:val="en-US"/>
        </w:rPr>
        <w:t xml:space="preserve"> in which it established conclusions and made recommendations.</w:t>
      </w:r>
    </w:p>
    <w:p w14:paraId="3A109FA2" w14:textId="164CA04D" w:rsidR="00804796" w:rsidRPr="004542B5" w:rsidRDefault="007B47B1" w:rsidP="00E01664">
      <w:pPr>
        <w:pStyle w:val="Estilo1"/>
        <w:numPr>
          <w:ilvl w:val="2"/>
          <w:numId w:val="2"/>
        </w:numPr>
        <w:ind w:left="1350"/>
        <w:rPr>
          <w:i w:val="0"/>
          <w:noProof w:val="0"/>
          <w:lang w:val="en-US"/>
        </w:rPr>
      </w:pPr>
      <w:r w:rsidRPr="004542B5">
        <w:rPr>
          <w:noProof w:val="0"/>
          <w:lang w:val="en-US"/>
        </w:rPr>
        <w:t xml:space="preserve">Conclusions. </w:t>
      </w:r>
      <w:r w:rsidR="00562CBB" w:rsidRPr="004542B5">
        <w:rPr>
          <w:i w:val="0"/>
          <w:noProof w:val="0"/>
          <w:lang w:val="en-US"/>
        </w:rPr>
        <w:t>The Commission</w:t>
      </w:r>
      <w:r w:rsidRPr="004542B5">
        <w:rPr>
          <w:i w:val="0"/>
          <w:noProof w:val="0"/>
          <w:lang w:val="en-US"/>
        </w:rPr>
        <w:t xml:space="preserve"> </w:t>
      </w:r>
      <w:r w:rsidR="00E04132" w:rsidRPr="004542B5">
        <w:rPr>
          <w:i w:val="0"/>
          <w:noProof w:val="0"/>
          <w:lang w:val="en-US"/>
        </w:rPr>
        <w:t>concluded that</w:t>
      </w:r>
      <w:r w:rsidRPr="004542B5">
        <w:rPr>
          <w:i w:val="0"/>
          <w:noProof w:val="0"/>
          <w:lang w:val="en-US"/>
        </w:rPr>
        <w:t xml:space="preserve"> </w:t>
      </w:r>
      <w:r w:rsidR="00562CBB" w:rsidRPr="004542B5">
        <w:rPr>
          <w:i w:val="0"/>
          <w:noProof w:val="0"/>
          <w:lang w:val="en-US"/>
        </w:rPr>
        <w:t>the State</w:t>
      </w:r>
      <w:r w:rsidRPr="004542B5">
        <w:rPr>
          <w:i w:val="0"/>
          <w:noProof w:val="0"/>
          <w:lang w:val="en-US"/>
        </w:rPr>
        <w:t xml:space="preserve"> </w:t>
      </w:r>
      <w:r w:rsidR="00342385" w:rsidRPr="004542B5">
        <w:rPr>
          <w:i w:val="0"/>
          <w:noProof w:val="0"/>
          <w:lang w:val="en-US"/>
        </w:rPr>
        <w:t>was respons</w:t>
      </w:r>
      <w:r w:rsidR="00B201CC" w:rsidRPr="004542B5">
        <w:rPr>
          <w:i w:val="0"/>
          <w:noProof w:val="0"/>
          <w:lang w:val="en-US"/>
        </w:rPr>
        <w:t>i</w:t>
      </w:r>
      <w:r w:rsidR="00342385" w:rsidRPr="004542B5">
        <w:rPr>
          <w:i w:val="0"/>
          <w:noProof w:val="0"/>
          <w:lang w:val="en-US"/>
        </w:rPr>
        <w:t>ble for violating rights recognized in the following articles of</w:t>
      </w:r>
      <w:r w:rsidRPr="004542B5">
        <w:rPr>
          <w:i w:val="0"/>
          <w:noProof w:val="0"/>
          <w:lang w:val="en-US"/>
        </w:rPr>
        <w:t xml:space="preserve"> </w:t>
      </w:r>
      <w:r w:rsidR="00562CBB" w:rsidRPr="004542B5">
        <w:rPr>
          <w:i w:val="0"/>
          <w:noProof w:val="0"/>
          <w:lang w:val="en-US"/>
        </w:rPr>
        <w:t>the American Convention</w:t>
      </w:r>
      <w:r w:rsidRPr="004542B5">
        <w:rPr>
          <w:i w:val="0"/>
          <w:noProof w:val="0"/>
          <w:lang w:val="en-US"/>
        </w:rPr>
        <w:t>:</w:t>
      </w:r>
    </w:p>
    <w:p w14:paraId="2AC8D289" w14:textId="600FC401" w:rsidR="00804796" w:rsidRPr="004542B5" w:rsidRDefault="00342385" w:rsidP="00E01664">
      <w:pPr>
        <w:pStyle w:val="Estilo1"/>
        <w:numPr>
          <w:ilvl w:val="2"/>
          <w:numId w:val="8"/>
        </w:numPr>
        <w:ind w:left="1080" w:right="0"/>
        <w:rPr>
          <w:i w:val="0"/>
          <w:noProof w:val="0"/>
          <w:lang w:val="en-US"/>
        </w:rPr>
      </w:pPr>
      <w:r w:rsidRPr="004542B5">
        <w:rPr>
          <w:i w:val="0"/>
          <w:noProof w:val="0"/>
          <w:sz w:val="16"/>
          <w:szCs w:val="16"/>
          <w:lang w:val="en-US"/>
        </w:rPr>
        <w:t>Article</w:t>
      </w:r>
      <w:r w:rsidR="007B47B1" w:rsidRPr="004542B5">
        <w:rPr>
          <w:i w:val="0"/>
          <w:noProof w:val="0"/>
          <w:sz w:val="16"/>
          <w:szCs w:val="16"/>
          <w:lang w:val="en-US"/>
        </w:rPr>
        <w:t xml:space="preserve"> 21</w:t>
      </w:r>
      <w:r w:rsidR="008A56D7" w:rsidRPr="004542B5">
        <w:rPr>
          <w:i w:val="0"/>
          <w:noProof w:val="0"/>
          <w:sz w:val="16"/>
          <w:szCs w:val="16"/>
          <w:lang w:val="en-US"/>
        </w:rPr>
        <w:t xml:space="preserve"> of the </w:t>
      </w:r>
      <w:r w:rsidR="00562CBB" w:rsidRPr="004542B5">
        <w:rPr>
          <w:i w:val="0"/>
          <w:noProof w:val="0"/>
          <w:sz w:val="16"/>
          <w:szCs w:val="16"/>
          <w:lang w:val="en-US"/>
        </w:rPr>
        <w:t>Convention</w:t>
      </w:r>
      <w:r w:rsidR="007B47B1" w:rsidRPr="004542B5">
        <w:rPr>
          <w:i w:val="0"/>
          <w:noProof w:val="0"/>
          <w:sz w:val="16"/>
          <w:szCs w:val="16"/>
          <w:lang w:val="en-US"/>
        </w:rPr>
        <w:t xml:space="preserve">, </w:t>
      </w:r>
      <w:r w:rsidRPr="004542B5">
        <w:rPr>
          <w:i w:val="0"/>
          <w:noProof w:val="0"/>
          <w:sz w:val="16"/>
          <w:szCs w:val="16"/>
          <w:lang w:val="en-US"/>
        </w:rPr>
        <w:t>in relation to</w:t>
      </w:r>
      <w:r w:rsidR="007B47B1" w:rsidRPr="004542B5">
        <w:rPr>
          <w:i w:val="0"/>
          <w:noProof w:val="0"/>
          <w:sz w:val="16"/>
          <w:szCs w:val="16"/>
          <w:lang w:val="en-US"/>
        </w:rPr>
        <w:t xml:space="preserve"> </w:t>
      </w:r>
      <w:r w:rsidR="00E04132" w:rsidRPr="004542B5">
        <w:rPr>
          <w:i w:val="0"/>
          <w:noProof w:val="0"/>
          <w:sz w:val="16"/>
          <w:szCs w:val="16"/>
          <w:lang w:val="en-US"/>
        </w:rPr>
        <w:t>Article 1(1)</w:t>
      </w:r>
      <w:r w:rsidR="007B47B1" w:rsidRPr="004542B5">
        <w:rPr>
          <w:i w:val="0"/>
          <w:noProof w:val="0"/>
          <w:sz w:val="16"/>
          <w:szCs w:val="16"/>
          <w:lang w:val="en-US"/>
        </w:rPr>
        <w:t xml:space="preserve"> </w:t>
      </w:r>
      <w:r w:rsidRPr="004542B5">
        <w:rPr>
          <w:i w:val="0"/>
          <w:noProof w:val="0"/>
          <w:sz w:val="16"/>
          <w:szCs w:val="16"/>
          <w:lang w:val="en-US"/>
        </w:rPr>
        <w:t>of this instrument</w:t>
      </w:r>
      <w:r w:rsidR="007B47B1" w:rsidRPr="004542B5">
        <w:rPr>
          <w:i w:val="0"/>
          <w:noProof w:val="0"/>
          <w:sz w:val="16"/>
          <w:szCs w:val="16"/>
          <w:lang w:val="en-US"/>
        </w:rPr>
        <w:t xml:space="preserve">, </w:t>
      </w:r>
      <w:r w:rsidRPr="004542B5">
        <w:rPr>
          <w:i w:val="0"/>
          <w:noProof w:val="0"/>
          <w:sz w:val="16"/>
          <w:szCs w:val="16"/>
          <w:lang w:val="en-US"/>
        </w:rPr>
        <w:t>to the detriment of</w:t>
      </w:r>
      <w:r w:rsidR="007B47B1" w:rsidRPr="004542B5">
        <w:rPr>
          <w:i w:val="0"/>
          <w:noProof w:val="0"/>
          <w:sz w:val="16"/>
          <w:szCs w:val="16"/>
          <w:lang w:val="en-US"/>
        </w:rPr>
        <w:t xml:space="preserve"> </w:t>
      </w:r>
      <w:r w:rsidRPr="004542B5">
        <w:rPr>
          <w:i w:val="0"/>
          <w:noProof w:val="0"/>
          <w:sz w:val="16"/>
          <w:szCs w:val="16"/>
          <w:lang w:val="en-US"/>
        </w:rPr>
        <w:t>the Kuna indigenous people of Madungandí and the Emberá indigenous people of Bayano and their members for having failed to grant just and prompt compensation more than 40 years after having dispossessed them of their ancestral territories</w:t>
      </w:r>
      <w:r w:rsidR="007B47B1" w:rsidRPr="004542B5">
        <w:rPr>
          <w:i w:val="0"/>
          <w:noProof w:val="0"/>
          <w:sz w:val="16"/>
          <w:szCs w:val="16"/>
          <w:lang w:val="en-US"/>
        </w:rPr>
        <w:t>.</w:t>
      </w:r>
    </w:p>
    <w:p w14:paraId="75418C96" w14:textId="4611CF0A" w:rsidR="00804796" w:rsidRPr="004542B5" w:rsidRDefault="00342385" w:rsidP="00E01664">
      <w:pPr>
        <w:pStyle w:val="Estilo1"/>
        <w:numPr>
          <w:ilvl w:val="2"/>
          <w:numId w:val="8"/>
        </w:numPr>
        <w:ind w:left="1080" w:right="0"/>
        <w:rPr>
          <w:i w:val="0"/>
          <w:noProof w:val="0"/>
          <w:lang w:val="en-US"/>
        </w:rPr>
      </w:pPr>
      <w:r w:rsidRPr="004542B5">
        <w:rPr>
          <w:i w:val="0"/>
          <w:noProof w:val="0"/>
          <w:sz w:val="16"/>
          <w:szCs w:val="16"/>
          <w:lang w:val="en-US"/>
        </w:rPr>
        <w:t>Article</w:t>
      </w:r>
      <w:r w:rsidR="007B47B1" w:rsidRPr="004542B5">
        <w:rPr>
          <w:i w:val="0"/>
          <w:noProof w:val="0"/>
          <w:sz w:val="16"/>
          <w:szCs w:val="16"/>
          <w:lang w:val="en-US"/>
        </w:rPr>
        <w:t xml:space="preserve"> 21</w:t>
      </w:r>
      <w:r w:rsidR="008A56D7" w:rsidRPr="004542B5">
        <w:rPr>
          <w:i w:val="0"/>
          <w:noProof w:val="0"/>
          <w:sz w:val="16"/>
          <w:szCs w:val="16"/>
          <w:lang w:val="en-US"/>
        </w:rPr>
        <w:t xml:space="preserve"> of the </w:t>
      </w:r>
      <w:r w:rsidR="00562CBB" w:rsidRPr="004542B5">
        <w:rPr>
          <w:i w:val="0"/>
          <w:noProof w:val="0"/>
          <w:sz w:val="16"/>
          <w:szCs w:val="16"/>
          <w:lang w:val="en-US"/>
        </w:rPr>
        <w:t>Convention</w:t>
      </w:r>
      <w:r w:rsidR="007B47B1" w:rsidRPr="004542B5">
        <w:rPr>
          <w:i w:val="0"/>
          <w:noProof w:val="0"/>
          <w:sz w:val="16"/>
          <w:szCs w:val="16"/>
          <w:lang w:val="en-US"/>
        </w:rPr>
        <w:t xml:space="preserve">, </w:t>
      </w:r>
      <w:r w:rsidRPr="004542B5">
        <w:rPr>
          <w:i w:val="0"/>
          <w:noProof w:val="0"/>
          <w:sz w:val="16"/>
          <w:szCs w:val="16"/>
          <w:lang w:val="en-US"/>
        </w:rPr>
        <w:t>in relation to</w:t>
      </w:r>
      <w:r w:rsidR="007B47B1" w:rsidRPr="004542B5">
        <w:rPr>
          <w:i w:val="0"/>
          <w:noProof w:val="0"/>
          <w:sz w:val="16"/>
          <w:szCs w:val="16"/>
          <w:lang w:val="en-US"/>
        </w:rPr>
        <w:t xml:space="preserve"> </w:t>
      </w:r>
      <w:r w:rsidR="00E04132" w:rsidRPr="004542B5">
        <w:rPr>
          <w:i w:val="0"/>
          <w:noProof w:val="0"/>
          <w:sz w:val="16"/>
          <w:szCs w:val="16"/>
          <w:lang w:val="en-US"/>
        </w:rPr>
        <w:t>Articles 1(1)</w:t>
      </w:r>
      <w:r w:rsidR="00CD2B90" w:rsidRPr="004542B5">
        <w:rPr>
          <w:i w:val="0"/>
          <w:noProof w:val="0"/>
          <w:sz w:val="16"/>
          <w:szCs w:val="16"/>
          <w:lang w:val="en-US"/>
        </w:rPr>
        <w:t xml:space="preserve"> and </w:t>
      </w:r>
      <w:r w:rsidR="007B47B1" w:rsidRPr="004542B5">
        <w:rPr>
          <w:i w:val="0"/>
          <w:noProof w:val="0"/>
          <w:sz w:val="16"/>
          <w:szCs w:val="16"/>
          <w:lang w:val="en-US"/>
        </w:rPr>
        <w:t xml:space="preserve">2 </w:t>
      </w:r>
      <w:r w:rsidRPr="004542B5">
        <w:rPr>
          <w:i w:val="0"/>
          <w:noProof w:val="0"/>
          <w:sz w:val="16"/>
          <w:szCs w:val="16"/>
          <w:lang w:val="en-US"/>
        </w:rPr>
        <w:t>of this instrument</w:t>
      </w:r>
      <w:r w:rsidR="007B47B1" w:rsidRPr="004542B5">
        <w:rPr>
          <w:i w:val="0"/>
          <w:noProof w:val="0"/>
          <w:sz w:val="16"/>
          <w:szCs w:val="16"/>
          <w:lang w:val="en-US"/>
        </w:rPr>
        <w:t xml:space="preserve">, </w:t>
      </w:r>
      <w:r w:rsidRPr="004542B5">
        <w:rPr>
          <w:i w:val="0"/>
          <w:noProof w:val="0"/>
          <w:sz w:val="16"/>
          <w:szCs w:val="16"/>
          <w:lang w:val="en-US"/>
        </w:rPr>
        <w:t>to the detriment of the Emberá indigenous people</w:t>
      </w:r>
      <w:r w:rsidR="007B47B1" w:rsidRPr="004542B5">
        <w:rPr>
          <w:i w:val="0"/>
          <w:noProof w:val="0"/>
          <w:sz w:val="16"/>
          <w:szCs w:val="16"/>
          <w:lang w:val="en-US"/>
        </w:rPr>
        <w:t xml:space="preserve">, </w:t>
      </w:r>
      <w:r w:rsidR="00E0736F" w:rsidRPr="004542B5">
        <w:rPr>
          <w:i w:val="0"/>
          <w:noProof w:val="0"/>
          <w:sz w:val="16"/>
          <w:szCs w:val="16"/>
          <w:lang w:val="en-US"/>
        </w:rPr>
        <w:t>by not</w:t>
      </w:r>
      <w:r w:rsidRPr="004542B5">
        <w:rPr>
          <w:i w:val="0"/>
          <w:noProof w:val="0"/>
          <w:sz w:val="16"/>
          <w:szCs w:val="16"/>
          <w:lang w:val="en-US"/>
        </w:rPr>
        <w:t xml:space="preserve"> provid</w:t>
      </w:r>
      <w:r w:rsidR="00E0736F" w:rsidRPr="004542B5">
        <w:rPr>
          <w:i w:val="0"/>
          <w:noProof w:val="0"/>
          <w:sz w:val="16"/>
          <w:szCs w:val="16"/>
          <w:lang w:val="en-US"/>
        </w:rPr>
        <w:t>ing</w:t>
      </w:r>
      <w:r w:rsidRPr="004542B5">
        <w:rPr>
          <w:i w:val="0"/>
          <w:noProof w:val="0"/>
          <w:sz w:val="16"/>
          <w:szCs w:val="16"/>
          <w:lang w:val="en-US"/>
        </w:rPr>
        <w:t xml:space="preserve"> them with access to</w:t>
      </w:r>
      <w:r w:rsidR="00E0736F" w:rsidRPr="004542B5">
        <w:rPr>
          <w:i w:val="0"/>
          <w:noProof w:val="0"/>
          <w:sz w:val="16"/>
          <w:szCs w:val="16"/>
          <w:lang w:val="en-US"/>
        </w:rPr>
        <w:t xml:space="preserve"> a collective title to ownership of their territories and for failing to delimit, demarcate and protect their territories effectively.</w:t>
      </w:r>
    </w:p>
    <w:p w14:paraId="6EBB46E2" w14:textId="13B28300" w:rsidR="00804796" w:rsidRPr="004542B5" w:rsidRDefault="00342385" w:rsidP="00E01664">
      <w:pPr>
        <w:pStyle w:val="Estilo1"/>
        <w:numPr>
          <w:ilvl w:val="2"/>
          <w:numId w:val="8"/>
        </w:numPr>
        <w:ind w:left="1080" w:right="0"/>
        <w:rPr>
          <w:i w:val="0"/>
          <w:noProof w:val="0"/>
          <w:lang w:val="en-US"/>
        </w:rPr>
      </w:pPr>
      <w:r w:rsidRPr="004542B5">
        <w:rPr>
          <w:i w:val="0"/>
          <w:noProof w:val="0"/>
          <w:sz w:val="16"/>
          <w:szCs w:val="16"/>
          <w:lang w:val="en-US"/>
        </w:rPr>
        <w:t>Article</w:t>
      </w:r>
      <w:r w:rsidR="007B47B1" w:rsidRPr="004542B5">
        <w:rPr>
          <w:i w:val="0"/>
          <w:noProof w:val="0"/>
          <w:sz w:val="16"/>
          <w:szCs w:val="16"/>
          <w:lang w:val="en-US"/>
        </w:rPr>
        <w:t xml:space="preserve"> 21</w:t>
      </w:r>
      <w:r w:rsidR="008A56D7" w:rsidRPr="004542B5">
        <w:rPr>
          <w:i w:val="0"/>
          <w:noProof w:val="0"/>
          <w:sz w:val="16"/>
          <w:szCs w:val="16"/>
          <w:lang w:val="en-US"/>
        </w:rPr>
        <w:t xml:space="preserve"> of the </w:t>
      </w:r>
      <w:r w:rsidR="00562CBB" w:rsidRPr="004542B5">
        <w:rPr>
          <w:i w:val="0"/>
          <w:noProof w:val="0"/>
          <w:sz w:val="16"/>
          <w:szCs w:val="16"/>
          <w:lang w:val="en-US"/>
        </w:rPr>
        <w:t>Convention</w:t>
      </w:r>
      <w:r w:rsidR="007B47B1" w:rsidRPr="004542B5">
        <w:rPr>
          <w:i w:val="0"/>
          <w:noProof w:val="0"/>
          <w:sz w:val="16"/>
          <w:szCs w:val="16"/>
          <w:lang w:val="en-US"/>
        </w:rPr>
        <w:t xml:space="preserve">, </w:t>
      </w:r>
      <w:r w:rsidRPr="004542B5">
        <w:rPr>
          <w:i w:val="0"/>
          <w:noProof w:val="0"/>
          <w:sz w:val="16"/>
          <w:szCs w:val="16"/>
          <w:lang w:val="en-US"/>
        </w:rPr>
        <w:t>in relation to</w:t>
      </w:r>
      <w:r w:rsidR="007B47B1" w:rsidRPr="004542B5">
        <w:rPr>
          <w:i w:val="0"/>
          <w:noProof w:val="0"/>
          <w:sz w:val="16"/>
          <w:szCs w:val="16"/>
          <w:lang w:val="en-US"/>
        </w:rPr>
        <w:t xml:space="preserve"> </w:t>
      </w:r>
      <w:r w:rsidR="00E04132" w:rsidRPr="004542B5">
        <w:rPr>
          <w:i w:val="0"/>
          <w:noProof w:val="0"/>
          <w:sz w:val="16"/>
          <w:szCs w:val="16"/>
          <w:lang w:val="en-US"/>
        </w:rPr>
        <w:t>Articles 1(1)</w:t>
      </w:r>
      <w:r w:rsidR="00CD2B90" w:rsidRPr="004542B5">
        <w:rPr>
          <w:i w:val="0"/>
          <w:noProof w:val="0"/>
          <w:sz w:val="16"/>
          <w:szCs w:val="16"/>
          <w:lang w:val="en-US"/>
        </w:rPr>
        <w:t xml:space="preserve"> and </w:t>
      </w:r>
      <w:r w:rsidR="007B47B1" w:rsidRPr="004542B5">
        <w:rPr>
          <w:i w:val="0"/>
          <w:noProof w:val="0"/>
          <w:sz w:val="16"/>
          <w:szCs w:val="16"/>
          <w:lang w:val="en-US"/>
        </w:rPr>
        <w:t xml:space="preserve">2 </w:t>
      </w:r>
      <w:r w:rsidRPr="004542B5">
        <w:rPr>
          <w:i w:val="0"/>
          <w:noProof w:val="0"/>
          <w:sz w:val="16"/>
          <w:szCs w:val="16"/>
          <w:lang w:val="en-US"/>
        </w:rPr>
        <w:t>of this instrument</w:t>
      </w:r>
      <w:r w:rsidR="007B47B1" w:rsidRPr="004542B5">
        <w:rPr>
          <w:i w:val="0"/>
          <w:noProof w:val="0"/>
          <w:sz w:val="16"/>
          <w:szCs w:val="16"/>
          <w:lang w:val="en-US"/>
        </w:rPr>
        <w:t xml:space="preserve">, </w:t>
      </w:r>
      <w:r w:rsidRPr="004542B5">
        <w:rPr>
          <w:i w:val="0"/>
          <w:noProof w:val="0"/>
          <w:sz w:val="16"/>
          <w:szCs w:val="16"/>
          <w:lang w:val="en-US"/>
        </w:rPr>
        <w:t>to the detriment of</w:t>
      </w:r>
      <w:r w:rsidR="00E0736F" w:rsidRPr="004542B5">
        <w:rPr>
          <w:i w:val="0"/>
          <w:noProof w:val="0"/>
          <w:sz w:val="16"/>
          <w:szCs w:val="16"/>
          <w:lang w:val="en-US"/>
        </w:rPr>
        <w:t xml:space="preserve"> the Kuna people by failing to recognize, delimit and demarcate their territory promptly, and to provide effective protection to the territories of the Kuna Comarca of </w:t>
      </w:r>
      <w:r w:rsidR="00B07C65" w:rsidRPr="004542B5">
        <w:rPr>
          <w:i w:val="0"/>
          <w:noProof w:val="0"/>
          <w:sz w:val="16"/>
          <w:szCs w:val="16"/>
          <w:lang w:val="en-US"/>
        </w:rPr>
        <w:t xml:space="preserve">Madungandí </w:t>
      </w:r>
      <w:r w:rsidR="00561841" w:rsidRPr="004542B5">
        <w:rPr>
          <w:i w:val="0"/>
          <w:noProof w:val="0"/>
          <w:sz w:val="16"/>
          <w:szCs w:val="16"/>
          <w:lang w:val="en-US"/>
        </w:rPr>
        <w:t>against third parties</w:t>
      </w:r>
      <w:r w:rsidR="00E0736F" w:rsidRPr="004542B5">
        <w:rPr>
          <w:i w:val="0"/>
          <w:noProof w:val="0"/>
          <w:sz w:val="16"/>
          <w:szCs w:val="16"/>
          <w:lang w:val="en-US"/>
        </w:rPr>
        <w:t>.</w:t>
      </w:r>
    </w:p>
    <w:p w14:paraId="219B37A0" w14:textId="7AE834E2" w:rsidR="00804796" w:rsidRPr="004542B5" w:rsidRDefault="00562CBB" w:rsidP="00E0736F">
      <w:pPr>
        <w:pStyle w:val="Estilo1"/>
        <w:numPr>
          <w:ilvl w:val="2"/>
          <w:numId w:val="8"/>
        </w:numPr>
        <w:ind w:left="1080" w:right="0"/>
        <w:rPr>
          <w:i w:val="0"/>
          <w:noProof w:val="0"/>
          <w:lang w:val="en-US"/>
        </w:rPr>
      </w:pPr>
      <w:r w:rsidRPr="004542B5">
        <w:rPr>
          <w:i w:val="0"/>
          <w:noProof w:val="0"/>
          <w:sz w:val="16"/>
          <w:szCs w:val="16"/>
          <w:lang w:val="en-US"/>
        </w:rPr>
        <w:t>Article</w:t>
      </w:r>
      <w:r w:rsidR="007B47B1" w:rsidRPr="004542B5">
        <w:rPr>
          <w:i w:val="0"/>
          <w:noProof w:val="0"/>
          <w:sz w:val="16"/>
          <w:szCs w:val="16"/>
          <w:lang w:val="en-US"/>
        </w:rPr>
        <w:t>s 8</w:t>
      </w:r>
      <w:r w:rsidR="00CD2B90" w:rsidRPr="004542B5">
        <w:rPr>
          <w:i w:val="0"/>
          <w:noProof w:val="0"/>
          <w:sz w:val="16"/>
          <w:szCs w:val="16"/>
          <w:lang w:val="en-US"/>
        </w:rPr>
        <w:t xml:space="preserve"> and </w:t>
      </w:r>
      <w:r w:rsidR="007B47B1" w:rsidRPr="004542B5">
        <w:rPr>
          <w:i w:val="0"/>
          <w:noProof w:val="0"/>
          <w:sz w:val="16"/>
          <w:szCs w:val="16"/>
          <w:lang w:val="en-US"/>
        </w:rPr>
        <w:t>25</w:t>
      </w:r>
      <w:r w:rsidR="008A56D7" w:rsidRPr="004542B5">
        <w:rPr>
          <w:i w:val="0"/>
          <w:noProof w:val="0"/>
          <w:sz w:val="16"/>
          <w:szCs w:val="16"/>
          <w:lang w:val="en-US"/>
        </w:rPr>
        <w:t xml:space="preserve"> of the </w:t>
      </w:r>
      <w:r w:rsidRPr="004542B5">
        <w:rPr>
          <w:i w:val="0"/>
          <w:noProof w:val="0"/>
          <w:sz w:val="16"/>
          <w:szCs w:val="16"/>
          <w:lang w:val="en-US"/>
        </w:rPr>
        <w:t>Convention</w:t>
      </w:r>
      <w:r w:rsidR="007B47B1" w:rsidRPr="004542B5">
        <w:rPr>
          <w:i w:val="0"/>
          <w:noProof w:val="0"/>
          <w:sz w:val="16"/>
          <w:szCs w:val="16"/>
          <w:lang w:val="en-US"/>
        </w:rPr>
        <w:t xml:space="preserve">, </w:t>
      </w:r>
      <w:r w:rsidR="00342385" w:rsidRPr="004542B5">
        <w:rPr>
          <w:i w:val="0"/>
          <w:noProof w:val="0"/>
          <w:sz w:val="16"/>
          <w:szCs w:val="16"/>
          <w:lang w:val="en-US"/>
        </w:rPr>
        <w:t>in relation to</w:t>
      </w:r>
      <w:r w:rsidR="007B47B1" w:rsidRPr="004542B5">
        <w:rPr>
          <w:i w:val="0"/>
          <w:noProof w:val="0"/>
          <w:sz w:val="16"/>
          <w:szCs w:val="16"/>
          <w:lang w:val="en-US"/>
        </w:rPr>
        <w:t xml:space="preserve"> </w:t>
      </w:r>
      <w:r w:rsidR="00E04132" w:rsidRPr="004542B5">
        <w:rPr>
          <w:i w:val="0"/>
          <w:noProof w:val="0"/>
          <w:sz w:val="16"/>
          <w:szCs w:val="16"/>
          <w:lang w:val="en-US"/>
        </w:rPr>
        <w:t>Articles 1(1)</w:t>
      </w:r>
      <w:r w:rsidR="00CD2B90" w:rsidRPr="004542B5">
        <w:rPr>
          <w:i w:val="0"/>
          <w:noProof w:val="0"/>
          <w:sz w:val="16"/>
          <w:szCs w:val="16"/>
          <w:lang w:val="en-US"/>
        </w:rPr>
        <w:t xml:space="preserve"> and </w:t>
      </w:r>
      <w:r w:rsidR="007B47B1" w:rsidRPr="004542B5">
        <w:rPr>
          <w:i w:val="0"/>
          <w:noProof w:val="0"/>
          <w:sz w:val="16"/>
          <w:szCs w:val="16"/>
          <w:lang w:val="en-US"/>
        </w:rPr>
        <w:t xml:space="preserve">2 </w:t>
      </w:r>
      <w:r w:rsidR="00342385" w:rsidRPr="004542B5">
        <w:rPr>
          <w:i w:val="0"/>
          <w:noProof w:val="0"/>
          <w:sz w:val="16"/>
          <w:szCs w:val="16"/>
          <w:lang w:val="en-US"/>
        </w:rPr>
        <w:t>of this instrument</w:t>
      </w:r>
      <w:r w:rsidR="007B47B1" w:rsidRPr="004542B5">
        <w:rPr>
          <w:i w:val="0"/>
          <w:noProof w:val="0"/>
          <w:sz w:val="16"/>
          <w:szCs w:val="16"/>
          <w:lang w:val="en-US"/>
        </w:rPr>
        <w:t xml:space="preserve">, </w:t>
      </w:r>
      <w:r w:rsidR="00E0736F" w:rsidRPr="004542B5">
        <w:rPr>
          <w:i w:val="0"/>
          <w:noProof w:val="0"/>
          <w:sz w:val="16"/>
          <w:szCs w:val="16"/>
          <w:lang w:val="en-US"/>
        </w:rPr>
        <w:t xml:space="preserve">due to the failure to provide an adequate and effective procedure to accede to the ownership of their ancestral </w:t>
      </w:r>
      <w:r w:rsidR="00C437DD" w:rsidRPr="004542B5">
        <w:rPr>
          <w:i w:val="0"/>
          <w:noProof w:val="0"/>
          <w:sz w:val="16"/>
          <w:szCs w:val="16"/>
          <w:lang w:val="en-US"/>
        </w:rPr>
        <w:t>territory</w:t>
      </w:r>
      <w:r w:rsidR="00E0736F" w:rsidRPr="004542B5">
        <w:rPr>
          <w:i w:val="0"/>
          <w:noProof w:val="0"/>
          <w:sz w:val="16"/>
          <w:szCs w:val="16"/>
          <w:lang w:val="en-US"/>
        </w:rPr>
        <w:t xml:space="preserve"> and protect this </w:t>
      </w:r>
      <w:r w:rsidR="00561841" w:rsidRPr="004542B5">
        <w:rPr>
          <w:i w:val="0"/>
          <w:noProof w:val="0"/>
          <w:sz w:val="16"/>
          <w:szCs w:val="16"/>
          <w:lang w:val="en-US"/>
        </w:rPr>
        <w:t>against third parties</w:t>
      </w:r>
      <w:r w:rsidR="00E0736F" w:rsidRPr="004542B5">
        <w:rPr>
          <w:i w:val="0"/>
          <w:noProof w:val="0"/>
          <w:sz w:val="16"/>
          <w:szCs w:val="16"/>
          <w:lang w:val="en-US"/>
        </w:rPr>
        <w:t xml:space="preserve">, </w:t>
      </w:r>
      <w:r w:rsidR="00342385" w:rsidRPr="004542B5">
        <w:rPr>
          <w:i w:val="0"/>
          <w:noProof w:val="0"/>
          <w:sz w:val="16"/>
          <w:szCs w:val="16"/>
          <w:lang w:val="en-US"/>
        </w:rPr>
        <w:t>to the detriment of</w:t>
      </w:r>
      <w:r w:rsidR="00E0736F" w:rsidRPr="004542B5">
        <w:rPr>
          <w:i w:val="0"/>
          <w:noProof w:val="0"/>
          <w:sz w:val="16"/>
          <w:szCs w:val="16"/>
          <w:lang w:val="en-US"/>
        </w:rPr>
        <w:t xml:space="preserve"> the</w:t>
      </w:r>
      <w:r w:rsidR="007B47B1" w:rsidRPr="004542B5">
        <w:rPr>
          <w:i w:val="0"/>
          <w:noProof w:val="0"/>
          <w:sz w:val="16"/>
          <w:szCs w:val="16"/>
          <w:lang w:val="en-US"/>
        </w:rPr>
        <w:t xml:space="preserve"> </w:t>
      </w:r>
      <w:r w:rsidR="00E0736F" w:rsidRPr="004542B5">
        <w:rPr>
          <w:i w:val="0"/>
          <w:noProof w:val="0"/>
          <w:sz w:val="16"/>
          <w:szCs w:val="16"/>
          <w:lang w:val="en-US"/>
        </w:rPr>
        <w:t>Kuna indigenous people of Madungandí and the Emberá indigenous people of Bayano.</w:t>
      </w:r>
    </w:p>
    <w:p w14:paraId="5AB1C1C6" w14:textId="3A8C61F5" w:rsidR="00804796" w:rsidRPr="004542B5" w:rsidRDefault="00342385" w:rsidP="00E01664">
      <w:pPr>
        <w:pStyle w:val="Estilo1"/>
        <w:numPr>
          <w:ilvl w:val="2"/>
          <w:numId w:val="8"/>
        </w:numPr>
        <w:ind w:left="1080" w:right="0"/>
        <w:rPr>
          <w:i w:val="0"/>
          <w:noProof w:val="0"/>
          <w:lang w:val="en-US"/>
        </w:rPr>
      </w:pPr>
      <w:r w:rsidRPr="004542B5">
        <w:rPr>
          <w:i w:val="0"/>
          <w:noProof w:val="0"/>
          <w:sz w:val="16"/>
          <w:szCs w:val="16"/>
          <w:lang w:val="en-US"/>
        </w:rPr>
        <w:t>Article</w:t>
      </w:r>
      <w:r w:rsidR="007B47B1" w:rsidRPr="004542B5">
        <w:rPr>
          <w:i w:val="0"/>
          <w:noProof w:val="0"/>
          <w:sz w:val="16"/>
          <w:szCs w:val="16"/>
          <w:lang w:val="en-US"/>
        </w:rPr>
        <w:t xml:space="preserve"> 24</w:t>
      </w:r>
      <w:r w:rsidR="008A56D7" w:rsidRPr="004542B5">
        <w:rPr>
          <w:i w:val="0"/>
          <w:noProof w:val="0"/>
          <w:sz w:val="16"/>
          <w:szCs w:val="16"/>
          <w:lang w:val="en-US"/>
        </w:rPr>
        <w:t xml:space="preserve"> of the </w:t>
      </w:r>
      <w:r w:rsidR="00562CBB" w:rsidRPr="004542B5">
        <w:rPr>
          <w:i w:val="0"/>
          <w:noProof w:val="0"/>
          <w:sz w:val="16"/>
          <w:szCs w:val="16"/>
          <w:lang w:val="en-US"/>
        </w:rPr>
        <w:t>Convention</w:t>
      </w:r>
      <w:r w:rsidR="007B47B1" w:rsidRPr="004542B5">
        <w:rPr>
          <w:i w:val="0"/>
          <w:noProof w:val="0"/>
          <w:sz w:val="16"/>
          <w:szCs w:val="16"/>
          <w:lang w:val="en-US"/>
        </w:rPr>
        <w:t xml:space="preserve">, </w:t>
      </w:r>
      <w:r w:rsidRPr="004542B5">
        <w:rPr>
          <w:i w:val="0"/>
          <w:noProof w:val="0"/>
          <w:sz w:val="16"/>
          <w:szCs w:val="16"/>
          <w:lang w:val="en-US"/>
        </w:rPr>
        <w:t>in relation to</w:t>
      </w:r>
      <w:r w:rsidR="007B47B1" w:rsidRPr="004542B5">
        <w:rPr>
          <w:i w:val="0"/>
          <w:noProof w:val="0"/>
          <w:sz w:val="16"/>
          <w:szCs w:val="16"/>
          <w:lang w:val="en-US"/>
        </w:rPr>
        <w:t xml:space="preserve"> </w:t>
      </w:r>
      <w:r w:rsidR="00E04132" w:rsidRPr="004542B5">
        <w:rPr>
          <w:i w:val="0"/>
          <w:noProof w:val="0"/>
          <w:sz w:val="16"/>
          <w:szCs w:val="16"/>
          <w:lang w:val="en-US"/>
        </w:rPr>
        <w:t>Article 1(1)</w:t>
      </w:r>
      <w:r w:rsidR="007B47B1" w:rsidRPr="004542B5">
        <w:rPr>
          <w:i w:val="0"/>
          <w:noProof w:val="0"/>
          <w:sz w:val="16"/>
          <w:szCs w:val="16"/>
          <w:lang w:val="en-US"/>
        </w:rPr>
        <w:t xml:space="preserve"> </w:t>
      </w:r>
      <w:r w:rsidRPr="004542B5">
        <w:rPr>
          <w:i w:val="0"/>
          <w:noProof w:val="0"/>
          <w:sz w:val="16"/>
          <w:szCs w:val="16"/>
          <w:lang w:val="en-US"/>
        </w:rPr>
        <w:t>of this instrument</w:t>
      </w:r>
      <w:r w:rsidR="007B47B1" w:rsidRPr="004542B5">
        <w:rPr>
          <w:i w:val="0"/>
          <w:noProof w:val="0"/>
          <w:sz w:val="16"/>
          <w:szCs w:val="16"/>
          <w:lang w:val="en-US"/>
        </w:rPr>
        <w:t xml:space="preserve">, </w:t>
      </w:r>
      <w:r w:rsidR="00E0736F" w:rsidRPr="004542B5">
        <w:rPr>
          <w:i w:val="0"/>
          <w:noProof w:val="0"/>
          <w:sz w:val="16"/>
          <w:szCs w:val="16"/>
          <w:lang w:val="en-US"/>
        </w:rPr>
        <w:t>due to failure to comply with the obligation to ensure and respect the rights without discrimination based on ethnic origin and to provi</w:t>
      </w:r>
      <w:r w:rsidR="00C16BE4" w:rsidRPr="004542B5">
        <w:rPr>
          <w:i w:val="0"/>
          <w:noProof w:val="0"/>
          <w:sz w:val="16"/>
          <w:szCs w:val="16"/>
          <w:lang w:val="en-US"/>
        </w:rPr>
        <w:t>d</w:t>
      </w:r>
      <w:r w:rsidR="00E0736F" w:rsidRPr="004542B5">
        <w:rPr>
          <w:i w:val="0"/>
          <w:noProof w:val="0"/>
          <w:sz w:val="16"/>
          <w:szCs w:val="16"/>
          <w:lang w:val="en-US"/>
        </w:rPr>
        <w:t xml:space="preserve">e equal protection before the law, </w:t>
      </w:r>
      <w:r w:rsidRPr="004542B5">
        <w:rPr>
          <w:i w:val="0"/>
          <w:noProof w:val="0"/>
          <w:sz w:val="16"/>
          <w:szCs w:val="16"/>
          <w:lang w:val="en-US"/>
        </w:rPr>
        <w:t>to the detriment of</w:t>
      </w:r>
      <w:r w:rsidR="007B47B1" w:rsidRPr="004542B5">
        <w:rPr>
          <w:i w:val="0"/>
          <w:noProof w:val="0"/>
          <w:sz w:val="16"/>
          <w:szCs w:val="16"/>
          <w:lang w:val="en-US"/>
        </w:rPr>
        <w:t xml:space="preserve"> </w:t>
      </w:r>
      <w:r w:rsidR="00E0736F" w:rsidRPr="004542B5">
        <w:rPr>
          <w:i w:val="0"/>
          <w:noProof w:val="0"/>
          <w:sz w:val="16"/>
          <w:szCs w:val="16"/>
          <w:lang w:val="en-US"/>
        </w:rPr>
        <w:t>the Kuna indigenous people of Madungandí and the Emberá indigenous people of Bayano.</w:t>
      </w:r>
    </w:p>
    <w:p w14:paraId="7063C229" w14:textId="1B238E15" w:rsidR="00B17F8B" w:rsidRPr="004542B5" w:rsidRDefault="007B47B1" w:rsidP="00E01664">
      <w:pPr>
        <w:pStyle w:val="Estilo1"/>
        <w:numPr>
          <w:ilvl w:val="2"/>
          <w:numId w:val="2"/>
        </w:numPr>
        <w:ind w:left="1350"/>
        <w:rPr>
          <w:i w:val="0"/>
          <w:noProof w:val="0"/>
          <w:lang w:val="en-US"/>
        </w:rPr>
      </w:pPr>
      <w:r w:rsidRPr="004542B5">
        <w:rPr>
          <w:noProof w:val="0"/>
          <w:lang w:val="en-US"/>
        </w:rPr>
        <w:t>Recom</w:t>
      </w:r>
      <w:r w:rsidR="00E0736F" w:rsidRPr="004542B5">
        <w:rPr>
          <w:noProof w:val="0"/>
          <w:lang w:val="en-US"/>
        </w:rPr>
        <w:t>mendation</w:t>
      </w:r>
      <w:r w:rsidRPr="004542B5">
        <w:rPr>
          <w:noProof w:val="0"/>
          <w:lang w:val="en-US"/>
        </w:rPr>
        <w:t xml:space="preserve">s. </w:t>
      </w:r>
      <w:r w:rsidR="00562CBB" w:rsidRPr="004542B5">
        <w:rPr>
          <w:i w:val="0"/>
          <w:noProof w:val="0"/>
          <w:lang w:val="en-US"/>
        </w:rPr>
        <w:t>The Commission</w:t>
      </w:r>
      <w:r w:rsidRPr="004542B5">
        <w:rPr>
          <w:i w:val="0"/>
          <w:noProof w:val="0"/>
          <w:lang w:val="en-US"/>
        </w:rPr>
        <w:t xml:space="preserve"> </w:t>
      </w:r>
      <w:r w:rsidR="00E0736F" w:rsidRPr="004542B5">
        <w:rPr>
          <w:i w:val="0"/>
          <w:noProof w:val="0"/>
          <w:lang w:val="en-US"/>
        </w:rPr>
        <w:t>recommended that the State</w:t>
      </w:r>
      <w:r w:rsidRPr="004542B5">
        <w:rPr>
          <w:i w:val="0"/>
          <w:noProof w:val="0"/>
          <w:lang w:val="en-US"/>
        </w:rPr>
        <w:t xml:space="preserve">: </w:t>
      </w:r>
    </w:p>
    <w:p w14:paraId="66423928" w14:textId="520A8D26" w:rsidR="00043B04" w:rsidRPr="004542B5" w:rsidRDefault="00043B04" w:rsidP="00043B04">
      <w:pPr>
        <w:numPr>
          <w:ilvl w:val="0"/>
          <w:numId w:val="62"/>
        </w:numPr>
        <w:ind w:left="1080"/>
        <w:rPr>
          <w:noProof w:val="0"/>
          <w:sz w:val="16"/>
          <w:szCs w:val="16"/>
          <w:lang w:val="en-US"/>
        </w:rPr>
      </w:pPr>
      <w:r w:rsidRPr="004542B5">
        <w:rPr>
          <w:noProof w:val="0"/>
          <w:sz w:val="16"/>
          <w:szCs w:val="16"/>
          <w:lang w:val="en-US"/>
        </w:rPr>
        <w:t xml:space="preserve">Promptly conclude the process of formalizing, delimiting, and physically demarcating the territories of the Kuna indigenous people of Madungandí and the Emberá indigenous people of Bayano, bearing in mind the inter-American standards noted in th[e] report. </w:t>
      </w:r>
    </w:p>
    <w:p w14:paraId="6A751ACF" w14:textId="6A0B9E30" w:rsidR="000C07D0" w:rsidRPr="004542B5" w:rsidRDefault="00043B04" w:rsidP="00043B04">
      <w:pPr>
        <w:numPr>
          <w:ilvl w:val="0"/>
          <w:numId w:val="10"/>
        </w:numPr>
        <w:spacing w:before="120" w:after="120"/>
        <w:ind w:left="1080"/>
        <w:rPr>
          <w:noProof w:val="0"/>
          <w:sz w:val="16"/>
          <w:szCs w:val="16"/>
          <w:lang w:val="en-US"/>
        </w:rPr>
      </w:pPr>
      <w:r w:rsidRPr="004542B5">
        <w:rPr>
          <w:noProof w:val="0"/>
          <w:sz w:val="16"/>
          <w:szCs w:val="16"/>
          <w:lang w:val="en-US"/>
        </w:rPr>
        <w:t xml:space="preserve">Grant the Kuna indigenous people of Madungandí and the Emberá indigenous people of Bayano prompt and just compensation for their removal and resettling, and the flooding of their ancestral territories; the appropriate amount to be determined by a process that ensures their participation, in keeping with their customary law, values, </w:t>
      </w:r>
      <w:r w:rsidR="00C16BE4" w:rsidRPr="004542B5">
        <w:rPr>
          <w:noProof w:val="0"/>
          <w:sz w:val="16"/>
          <w:szCs w:val="16"/>
          <w:lang w:val="en-US"/>
        </w:rPr>
        <w:t>practices</w:t>
      </w:r>
      <w:r w:rsidRPr="004542B5">
        <w:rPr>
          <w:noProof w:val="0"/>
          <w:sz w:val="16"/>
          <w:szCs w:val="16"/>
          <w:lang w:val="en-US"/>
        </w:rPr>
        <w:t xml:space="preserve"> and customs.</w:t>
      </w:r>
      <w:r w:rsidR="007B47B1" w:rsidRPr="004542B5">
        <w:rPr>
          <w:rStyle w:val="FootnoteReference"/>
          <w:noProof w:val="0"/>
          <w:sz w:val="16"/>
          <w:szCs w:val="16"/>
          <w:lang w:val="en-US"/>
        </w:rPr>
        <w:footnoteReference w:id="5"/>
      </w:r>
    </w:p>
    <w:p w14:paraId="6DDFFB47" w14:textId="117F7438" w:rsidR="00D23391" w:rsidRPr="004542B5" w:rsidRDefault="00D23391" w:rsidP="00D23391">
      <w:pPr>
        <w:numPr>
          <w:ilvl w:val="0"/>
          <w:numId w:val="10"/>
        </w:numPr>
        <w:ind w:left="1080"/>
        <w:rPr>
          <w:noProof w:val="0"/>
          <w:sz w:val="16"/>
          <w:szCs w:val="16"/>
          <w:lang w:val="en-US"/>
        </w:rPr>
      </w:pPr>
      <w:r w:rsidRPr="004542B5">
        <w:rPr>
          <w:noProof w:val="0"/>
          <w:sz w:val="16"/>
          <w:szCs w:val="16"/>
          <w:lang w:val="en-US"/>
        </w:rPr>
        <w:t>Adopt the necessary measures to ensure the effective protection of the territory of the two peoples</w:t>
      </w:r>
      <w:r w:rsidRPr="004542B5">
        <w:rPr>
          <w:rFonts w:cs="Arial"/>
          <w:noProof w:val="0"/>
          <w:sz w:val="16"/>
          <w:szCs w:val="16"/>
          <w:lang w:val="en-US"/>
        </w:rPr>
        <w:t xml:space="preserve"> in order to ensure their physical and cultural survival, as well as the development and continuity of their world view, so that they can continue living their traditional way of life and preserve their cultural identity, social structure, economic system, customs, beliefs, distinct traditions and</w:t>
      </w:r>
      <w:r w:rsidR="00C16BE4" w:rsidRPr="004542B5">
        <w:rPr>
          <w:rFonts w:cs="Arial"/>
          <w:noProof w:val="0"/>
          <w:sz w:val="16"/>
          <w:szCs w:val="16"/>
          <w:lang w:val="en-US"/>
        </w:rPr>
        <w:t xml:space="preserve"> system of</w:t>
      </w:r>
      <w:r w:rsidRPr="004542B5">
        <w:rPr>
          <w:rFonts w:cs="Arial"/>
          <w:noProof w:val="0"/>
          <w:sz w:val="16"/>
          <w:szCs w:val="16"/>
          <w:lang w:val="en-US"/>
        </w:rPr>
        <w:t xml:space="preserve"> justice. Also, adopt the necessary measures to ensure that these peoples have access to culturally pertinent health and education programs.</w:t>
      </w:r>
    </w:p>
    <w:p w14:paraId="44B7C715" w14:textId="77777777" w:rsidR="00D23391" w:rsidRPr="004542B5" w:rsidRDefault="00D23391" w:rsidP="00D23391">
      <w:pPr>
        <w:ind w:left="1080"/>
        <w:rPr>
          <w:noProof w:val="0"/>
          <w:sz w:val="16"/>
          <w:szCs w:val="16"/>
          <w:lang w:val="en-US"/>
        </w:rPr>
      </w:pPr>
    </w:p>
    <w:p w14:paraId="595D46DF" w14:textId="77777777" w:rsidR="00D23391" w:rsidRPr="004542B5" w:rsidRDefault="00D23391" w:rsidP="00D23391">
      <w:pPr>
        <w:numPr>
          <w:ilvl w:val="0"/>
          <w:numId w:val="10"/>
        </w:numPr>
        <w:ind w:left="1080"/>
        <w:rPr>
          <w:noProof w:val="0"/>
          <w:sz w:val="16"/>
          <w:szCs w:val="16"/>
          <w:lang w:val="en-US"/>
        </w:rPr>
      </w:pPr>
      <w:r w:rsidRPr="004542B5">
        <w:rPr>
          <w:noProof w:val="0"/>
          <w:sz w:val="16"/>
          <w:szCs w:val="16"/>
          <w:lang w:val="en-US"/>
        </w:rPr>
        <w:t xml:space="preserve">Halt the illegal entry of non-indigenous persons into the territories of these peoples </w:t>
      </w:r>
      <w:r w:rsidRPr="004542B5">
        <w:rPr>
          <w:rFonts w:cs="Arial"/>
          <w:noProof w:val="0"/>
          <w:sz w:val="16"/>
          <w:szCs w:val="16"/>
          <w:lang w:val="en-US"/>
        </w:rPr>
        <w:t xml:space="preserve">and move the current settlers to territories that do not belong to the indigenous peoples. In addition, ensure the free, prior, and informed consent of the peoples </w:t>
      </w:r>
      <w:r w:rsidRPr="004542B5">
        <w:rPr>
          <w:noProof w:val="0"/>
          <w:sz w:val="16"/>
          <w:szCs w:val="16"/>
          <w:lang w:val="en-US"/>
        </w:rPr>
        <w:t xml:space="preserve">to any plans, programs, and projects that it is sought to develop in their territories. </w:t>
      </w:r>
    </w:p>
    <w:p w14:paraId="6A74B579" w14:textId="77777777" w:rsidR="00D23391" w:rsidRPr="004542B5" w:rsidRDefault="00D23391" w:rsidP="00D23391">
      <w:pPr>
        <w:ind w:left="1080"/>
        <w:rPr>
          <w:noProof w:val="0"/>
          <w:sz w:val="16"/>
          <w:szCs w:val="16"/>
          <w:lang w:val="en-US"/>
        </w:rPr>
      </w:pPr>
    </w:p>
    <w:p w14:paraId="310D7F78" w14:textId="550E9D6C" w:rsidR="00D23391" w:rsidRPr="004542B5" w:rsidRDefault="00D23391" w:rsidP="00D23391">
      <w:pPr>
        <w:numPr>
          <w:ilvl w:val="0"/>
          <w:numId w:val="10"/>
        </w:numPr>
        <w:ind w:left="1080"/>
        <w:rPr>
          <w:noProof w:val="0"/>
          <w:sz w:val="16"/>
          <w:szCs w:val="16"/>
          <w:lang w:val="en-US"/>
        </w:rPr>
      </w:pPr>
      <w:r w:rsidRPr="004542B5">
        <w:rPr>
          <w:noProof w:val="0"/>
          <w:sz w:val="16"/>
          <w:szCs w:val="16"/>
          <w:lang w:val="en-US"/>
        </w:rPr>
        <w:t>Establish an adequate and effective remedy that protects the rights of the indigenous peoples of Panama to claim and accede to their traditional territories, and protect their territories and natural resources from third parties including respect for the right of indigenous peoples to apply their customary laws through their own systems of justice.</w:t>
      </w:r>
    </w:p>
    <w:p w14:paraId="2CBA2C86" w14:textId="77777777" w:rsidR="00E212A3" w:rsidRPr="004542B5" w:rsidRDefault="00E212A3" w:rsidP="00E212A3">
      <w:pPr>
        <w:rPr>
          <w:noProof w:val="0"/>
          <w:sz w:val="16"/>
          <w:szCs w:val="16"/>
          <w:lang w:val="en-US"/>
        </w:rPr>
      </w:pPr>
    </w:p>
    <w:p w14:paraId="23417CD3" w14:textId="0E18CA31" w:rsidR="00D23391" w:rsidRPr="004542B5" w:rsidRDefault="00D23391" w:rsidP="00E212A3">
      <w:pPr>
        <w:numPr>
          <w:ilvl w:val="0"/>
          <w:numId w:val="62"/>
        </w:numPr>
        <w:ind w:left="1080"/>
        <w:rPr>
          <w:noProof w:val="0"/>
          <w:sz w:val="16"/>
          <w:szCs w:val="16"/>
          <w:lang w:val="en-US"/>
        </w:rPr>
      </w:pPr>
      <w:r w:rsidRPr="004542B5">
        <w:rPr>
          <w:noProof w:val="0"/>
          <w:sz w:val="16"/>
          <w:szCs w:val="16"/>
          <w:lang w:val="en-US"/>
        </w:rPr>
        <w:t>Make individual and collective reparation for the consequences of the human rights violations found in th</w:t>
      </w:r>
      <w:r w:rsidR="00C16BE4" w:rsidRPr="004542B5">
        <w:rPr>
          <w:noProof w:val="0"/>
          <w:sz w:val="16"/>
          <w:szCs w:val="16"/>
          <w:lang w:val="en-US"/>
        </w:rPr>
        <w:t>e Merits</w:t>
      </w:r>
      <w:r w:rsidRPr="004542B5">
        <w:rPr>
          <w:noProof w:val="0"/>
          <w:sz w:val="16"/>
          <w:szCs w:val="16"/>
          <w:lang w:val="en-US"/>
        </w:rPr>
        <w:t xml:space="preserve"> </w:t>
      </w:r>
      <w:r w:rsidR="00C16BE4" w:rsidRPr="004542B5">
        <w:rPr>
          <w:noProof w:val="0"/>
          <w:sz w:val="16"/>
          <w:szCs w:val="16"/>
          <w:lang w:val="en-US"/>
        </w:rPr>
        <w:t>R</w:t>
      </w:r>
      <w:r w:rsidRPr="004542B5">
        <w:rPr>
          <w:noProof w:val="0"/>
          <w:sz w:val="16"/>
          <w:szCs w:val="16"/>
          <w:lang w:val="en-US"/>
        </w:rPr>
        <w:t>eport. In particular, redress the failure to protect the ancestral territories of the two peoples, the lack of an effective and prompt response by the authorities, and the discriminatory treatment to which they were subjected.</w:t>
      </w:r>
    </w:p>
    <w:p w14:paraId="225E6074" w14:textId="77777777" w:rsidR="00D23391" w:rsidRPr="004542B5" w:rsidRDefault="00D23391" w:rsidP="00D23391">
      <w:pPr>
        <w:ind w:firstLine="720"/>
        <w:rPr>
          <w:noProof w:val="0"/>
          <w:sz w:val="16"/>
          <w:szCs w:val="16"/>
          <w:lang w:val="en-US"/>
        </w:rPr>
      </w:pPr>
    </w:p>
    <w:p w14:paraId="62BEAABF" w14:textId="77777777" w:rsidR="00E212A3" w:rsidRPr="004542B5" w:rsidRDefault="00D23391" w:rsidP="00E212A3">
      <w:pPr>
        <w:pStyle w:val="ListParagraph"/>
        <w:numPr>
          <w:ilvl w:val="0"/>
          <w:numId w:val="62"/>
        </w:numPr>
        <w:ind w:left="1080"/>
        <w:jc w:val="left"/>
        <w:rPr>
          <w:noProof w:val="0"/>
          <w:sz w:val="16"/>
          <w:szCs w:val="16"/>
          <w:lang w:val="en-US"/>
        </w:rPr>
      </w:pPr>
      <w:r w:rsidRPr="004542B5">
        <w:rPr>
          <w:noProof w:val="0"/>
          <w:sz w:val="16"/>
          <w:szCs w:val="16"/>
          <w:lang w:val="en-US"/>
        </w:rPr>
        <w:t>Adopt the necessary measures to prevent similar events from occurring in future, in keeping with the duty to prevent violations and ensure the fundamental rights recognized in the American Convention</w:t>
      </w:r>
      <w:r w:rsidR="00E212A3" w:rsidRPr="004542B5">
        <w:rPr>
          <w:noProof w:val="0"/>
          <w:sz w:val="16"/>
          <w:szCs w:val="16"/>
          <w:lang w:val="en-US"/>
        </w:rPr>
        <w:t>.</w:t>
      </w:r>
      <w:r w:rsidR="007B47B1" w:rsidRPr="004542B5">
        <w:rPr>
          <w:rStyle w:val="FootnoteReference"/>
          <w:noProof w:val="0"/>
          <w:sz w:val="16"/>
          <w:szCs w:val="16"/>
          <w:lang w:val="en-US"/>
        </w:rPr>
        <w:footnoteReference w:id="6"/>
      </w:r>
    </w:p>
    <w:p w14:paraId="63EB5BFE" w14:textId="571F3199" w:rsidR="00B17F8B" w:rsidRPr="004542B5" w:rsidRDefault="007B47B1" w:rsidP="00E212A3">
      <w:pPr>
        <w:jc w:val="left"/>
        <w:rPr>
          <w:noProof w:val="0"/>
          <w:sz w:val="16"/>
          <w:szCs w:val="16"/>
          <w:lang w:val="en-US"/>
        </w:rPr>
      </w:pPr>
      <w:r w:rsidRPr="004542B5">
        <w:rPr>
          <w:noProof w:val="0"/>
          <w:sz w:val="16"/>
          <w:szCs w:val="16"/>
          <w:lang w:val="en-US"/>
        </w:rPr>
        <w:t xml:space="preserve"> </w:t>
      </w:r>
    </w:p>
    <w:p w14:paraId="57350B8B" w14:textId="3479BAE7" w:rsidR="001F3136" w:rsidRPr="004542B5" w:rsidRDefault="007B47B1" w:rsidP="00E01664">
      <w:pPr>
        <w:numPr>
          <w:ilvl w:val="1"/>
          <w:numId w:val="2"/>
        </w:numPr>
        <w:spacing w:after="120"/>
        <w:ind w:left="360" w:right="6" w:firstLine="357"/>
        <w:rPr>
          <w:noProof w:val="0"/>
          <w:lang w:val="en-US"/>
        </w:rPr>
      </w:pPr>
      <w:r w:rsidRPr="004542B5">
        <w:rPr>
          <w:i/>
          <w:noProof w:val="0"/>
          <w:lang w:val="en-US"/>
        </w:rPr>
        <w:t>Notifica</w:t>
      </w:r>
      <w:r w:rsidR="00F10752" w:rsidRPr="004542B5">
        <w:rPr>
          <w:i/>
          <w:noProof w:val="0"/>
          <w:lang w:val="en-US"/>
        </w:rPr>
        <w:t>tion of the State</w:t>
      </w:r>
      <w:r w:rsidRPr="004542B5">
        <w:rPr>
          <w:i/>
          <w:noProof w:val="0"/>
          <w:lang w:val="en-US"/>
        </w:rPr>
        <w:t xml:space="preserve">. </w:t>
      </w:r>
      <w:r w:rsidR="00F10752" w:rsidRPr="004542B5">
        <w:rPr>
          <w:noProof w:val="0"/>
          <w:lang w:val="en-US"/>
        </w:rPr>
        <w:t>The</w:t>
      </w:r>
      <w:r w:rsidRPr="004542B5">
        <w:rPr>
          <w:noProof w:val="0"/>
          <w:lang w:val="en-US"/>
        </w:rPr>
        <w:t xml:space="preserve"> </w:t>
      </w:r>
      <w:r w:rsidR="00C6639F" w:rsidRPr="004542B5">
        <w:rPr>
          <w:noProof w:val="0"/>
          <w:lang w:val="en-US"/>
        </w:rPr>
        <w:t>Merits Report</w:t>
      </w:r>
      <w:r w:rsidRPr="004542B5">
        <w:rPr>
          <w:noProof w:val="0"/>
          <w:lang w:val="en-US"/>
        </w:rPr>
        <w:t xml:space="preserve"> </w:t>
      </w:r>
      <w:r w:rsidR="00F10752" w:rsidRPr="004542B5">
        <w:rPr>
          <w:noProof w:val="0"/>
          <w:lang w:val="en-US"/>
        </w:rPr>
        <w:t xml:space="preserve">was notified to the State on November 26, </w:t>
      </w:r>
      <w:r w:rsidRPr="004542B5">
        <w:rPr>
          <w:noProof w:val="0"/>
          <w:lang w:val="en-US"/>
        </w:rPr>
        <w:t xml:space="preserve">2012, </w:t>
      </w:r>
      <w:r w:rsidR="00F10752" w:rsidRPr="004542B5">
        <w:rPr>
          <w:noProof w:val="0"/>
          <w:lang w:val="en-US"/>
        </w:rPr>
        <w:t>granting it two months to report on compliance with the recommendations. The State presented its re</w:t>
      </w:r>
      <w:r w:rsidR="009E5A92" w:rsidRPr="004542B5">
        <w:rPr>
          <w:noProof w:val="0"/>
          <w:lang w:val="en-US"/>
        </w:rPr>
        <w:t xml:space="preserve">sponse </w:t>
      </w:r>
      <w:r w:rsidR="00F10752" w:rsidRPr="004542B5">
        <w:rPr>
          <w:noProof w:val="0"/>
          <w:lang w:val="en-US"/>
        </w:rPr>
        <w:t xml:space="preserve">on January 23, </w:t>
      </w:r>
      <w:r w:rsidRPr="004542B5">
        <w:rPr>
          <w:noProof w:val="0"/>
          <w:lang w:val="en-US"/>
        </w:rPr>
        <w:t xml:space="preserve">2013. </w:t>
      </w:r>
    </w:p>
    <w:p w14:paraId="2908BF65" w14:textId="27CD2005" w:rsidR="00B17F8B" w:rsidRPr="004542B5" w:rsidRDefault="00F10752" w:rsidP="009E5A92">
      <w:pPr>
        <w:numPr>
          <w:ilvl w:val="1"/>
          <w:numId w:val="2"/>
        </w:numPr>
        <w:spacing w:after="120"/>
        <w:ind w:left="360" w:right="6" w:firstLine="357"/>
        <w:rPr>
          <w:noProof w:val="0"/>
          <w:lang w:val="en-US"/>
        </w:rPr>
      </w:pPr>
      <w:r w:rsidRPr="004542B5">
        <w:rPr>
          <w:i/>
          <w:noProof w:val="0"/>
          <w:lang w:val="en-US"/>
        </w:rPr>
        <w:t>Submission to</w:t>
      </w:r>
      <w:r w:rsidR="007B47B1" w:rsidRPr="004542B5">
        <w:rPr>
          <w:i/>
          <w:noProof w:val="0"/>
          <w:lang w:val="en-US"/>
        </w:rPr>
        <w:t xml:space="preserve"> </w:t>
      </w:r>
      <w:r w:rsidR="00562CBB" w:rsidRPr="004542B5">
        <w:rPr>
          <w:i/>
          <w:noProof w:val="0"/>
          <w:lang w:val="en-US"/>
        </w:rPr>
        <w:t>the Court</w:t>
      </w:r>
      <w:r w:rsidR="007B47B1" w:rsidRPr="004542B5">
        <w:rPr>
          <w:i/>
          <w:noProof w:val="0"/>
          <w:lang w:val="en-US"/>
        </w:rPr>
        <w:t xml:space="preserve">.  </w:t>
      </w:r>
      <w:r w:rsidRPr="004542B5">
        <w:rPr>
          <w:noProof w:val="0"/>
          <w:lang w:val="en-US"/>
        </w:rPr>
        <w:t>Once the statutory time limit had expired,</w:t>
      </w:r>
      <w:r w:rsidR="007B47B1" w:rsidRPr="004542B5">
        <w:rPr>
          <w:noProof w:val="0"/>
          <w:lang w:val="en-US"/>
        </w:rPr>
        <w:t xml:space="preserve"> </w:t>
      </w:r>
      <w:r w:rsidR="00562CBB" w:rsidRPr="004542B5">
        <w:rPr>
          <w:noProof w:val="0"/>
          <w:lang w:val="en-US"/>
        </w:rPr>
        <w:t>the Commission</w:t>
      </w:r>
      <w:r w:rsidR="007B47B1" w:rsidRPr="004542B5">
        <w:rPr>
          <w:noProof w:val="0"/>
          <w:lang w:val="en-US"/>
        </w:rPr>
        <w:t xml:space="preserve"> </w:t>
      </w:r>
      <w:r w:rsidRPr="004542B5">
        <w:rPr>
          <w:noProof w:val="0"/>
          <w:lang w:val="en-US"/>
        </w:rPr>
        <w:t>submitted th</w:t>
      </w:r>
      <w:r w:rsidR="009E5A92" w:rsidRPr="004542B5">
        <w:rPr>
          <w:noProof w:val="0"/>
          <w:lang w:val="en-US"/>
        </w:rPr>
        <w:t>e</w:t>
      </w:r>
      <w:r w:rsidRPr="004542B5">
        <w:rPr>
          <w:noProof w:val="0"/>
          <w:lang w:val="en-US"/>
        </w:rPr>
        <w:t xml:space="preserve"> case to the jurisdiction </w:t>
      </w:r>
      <w:r w:rsidR="008A56D7" w:rsidRPr="004542B5">
        <w:rPr>
          <w:noProof w:val="0"/>
          <w:lang w:val="en-US"/>
        </w:rPr>
        <w:t xml:space="preserve">of the </w:t>
      </w:r>
      <w:r w:rsidR="00562CBB" w:rsidRPr="004542B5">
        <w:rPr>
          <w:noProof w:val="0"/>
          <w:lang w:val="en-US"/>
        </w:rPr>
        <w:t>Inter-American Court</w:t>
      </w:r>
      <w:r w:rsidR="007B47B1" w:rsidRPr="004542B5">
        <w:rPr>
          <w:noProof w:val="0"/>
          <w:lang w:val="en-US"/>
        </w:rPr>
        <w:t xml:space="preserve"> “</w:t>
      </w:r>
      <w:r w:rsidR="009E5A92" w:rsidRPr="004542B5">
        <w:rPr>
          <w:noProof w:val="0"/>
          <w:lang w:val="en-US"/>
        </w:rPr>
        <w:t xml:space="preserve">owing to the need to obtain justice for the victims due to the lack of concrete information on compliance with the recommendations.” </w:t>
      </w:r>
      <w:r w:rsidR="00562CBB" w:rsidRPr="004542B5">
        <w:rPr>
          <w:noProof w:val="0"/>
          <w:lang w:val="en-US"/>
        </w:rPr>
        <w:t>The Commission</w:t>
      </w:r>
      <w:r w:rsidR="007B47B1" w:rsidRPr="004542B5">
        <w:rPr>
          <w:noProof w:val="0"/>
          <w:lang w:val="en-US"/>
        </w:rPr>
        <w:t xml:space="preserve"> </w:t>
      </w:r>
      <w:r w:rsidR="009E5A92" w:rsidRPr="004542B5">
        <w:rPr>
          <w:noProof w:val="0"/>
          <w:lang w:val="en-US"/>
        </w:rPr>
        <w:t xml:space="preserve">appointed </w:t>
      </w:r>
      <w:r w:rsidR="007B47B1" w:rsidRPr="004542B5">
        <w:rPr>
          <w:noProof w:val="0"/>
          <w:lang w:val="en-US"/>
        </w:rPr>
        <w:t>Com</w:t>
      </w:r>
      <w:r w:rsidR="009E5A92" w:rsidRPr="004542B5">
        <w:rPr>
          <w:noProof w:val="0"/>
          <w:lang w:val="en-US"/>
        </w:rPr>
        <w:t>missioner</w:t>
      </w:r>
      <w:r w:rsidR="007B47B1" w:rsidRPr="004542B5">
        <w:rPr>
          <w:noProof w:val="0"/>
          <w:lang w:val="en-US"/>
        </w:rPr>
        <w:t xml:space="preserve"> José de Jesús Orozco Henríquez, </w:t>
      </w:r>
      <w:r w:rsidR="009E5A92" w:rsidRPr="004542B5">
        <w:rPr>
          <w:noProof w:val="0"/>
          <w:lang w:val="en-US"/>
        </w:rPr>
        <w:t xml:space="preserve">and Executive Secretary </w:t>
      </w:r>
      <w:r w:rsidR="007B47B1" w:rsidRPr="004542B5">
        <w:rPr>
          <w:noProof w:val="0"/>
          <w:lang w:val="en-US"/>
        </w:rPr>
        <w:t>Emilio Álvarez Icaza L</w:t>
      </w:r>
      <w:r w:rsidR="00B248E8" w:rsidRPr="004542B5">
        <w:rPr>
          <w:noProof w:val="0"/>
          <w:lang w:val="en-US"/>
        </w:rPr>
        <w:t>.</w:t>
      </w:r>
      <w:r w:rsidR="001407F4" w:rsidRPr="004542B5">
        <w:rPr>
          <w:noProof w:val="0"/>
          <w:lang w:val="en-US"/>
        </w:rPr>
        <w:t>,</w:t>
      </w:r>
      <w:r w:rsidR="009E5A92" w:rsidRPr="004542B5">
        <w:rPr>
          <w:noProof w:val="0"/>
          <w:lang w:val="en-US"/>
        </w:rPr>
        <w:t xml:space="preserve"> as its delegates. Its Deputy Executive Secretary, </w:t>
      </w:r>
      <w:r w:rsidR="007B47B1" w:rsidRPr="004542B5">
        <w:rPr>
          <w:noProof w:val="0"/>
          <w:lang w:val="en-US"/>
        </w:rPr>
        <w:t xml:space="preserve">Elizabeth Abi-Mershed, </w:t>
      </w:r>
      <w:r w:rsidR="009E5A92" w:rsidRPr="004542B5">
        <w:rPr>
          <w:noProof w:val="0"/>
          <w:lang w:val="en-US"/>
        </w:rPr>
        <w:t>together with</w:t>
      </w:r>
      <w:r w:rsidR="007B47B1" w:rsidRPr="004542B5">
        <w:rPr>
          <w:noProof w:val="0"/>
          <w:lang w:val="en-US"/>
        </w:rPr>
        <w:t xml:space="preserve"> Silvia Serrano Guzmán </w:t>
      </w:r>
      <w:r w:rsidR="009E5A92" w:rsidRPr="004542B5">
        <w:rPr>
          <w:noProof w:val="0"/>
          <w:lang w:val="en-US"/>
        </w:rPr>
        <w:t>and</w:t>
      </w:r>
      <w:r w:rsidR="007B47B1" w:rsidRPr="004542B5">
        <w:rPr>
          <w:noProof w:val="0"/>
          <w:lang w:val="en-US"/>
        </w:rPr>
        <w:t xml:space="preserve"> Isabel Madariaga, </w:t>
      </w:r>
      <w:r w:rsidR="009E5A92" w:rsidRPr="004542B5">
        <w:rPr>
          <w:noProof w:val="0"/>
          <w:lang w:val="en-US"/>
        </w:rPr>
        <w:t>Executive Secretariat lawyers, were appointed as legal advisers</w:t>
      </w:r>
      <w:r w:rsidR="007B47B1" w:rsidRPr="004542B5">
        <w:rPr>
          <w:noProof w:val="0"/>
          <w:lang w:val="en-US"/>
        </w:rPr>
        <w:t xml:space="preserve">. </w:t>
      </w:r>
    </w:p>
    <w:p w14:paraId="4FA34EBF" w14:textId="74F19761" w:rsidR="00B17F8B" w:rsidRPr="004542B5" w:rsidRDefault="009E5A92" w:rsidP="00E01664">
      <w:pPr>
        <w:pStyle w:val="ListParagraph"/>
        <w:numPr>
          <w:ilvl w:val="0"/>
          <w:numId w:val="2"/>
        </w:numPr>
        <w:spacing w:after="120"/>
        <w:ind w:right="-138"/>
        <w:contextualSpacing w:val="0"/>
        <w:rPr>
          <w:noProof w:val="0"/>
          <w:lang w:val="en-US"/>
        </w:rPr>
      </w:pPr>
      <w:r w:rsidRPr="004542B5">
        <w:rPr>
          <w:i/>
          <w:noProof w:val="0"/>
          <w:lang w:val="en-US"/>
        </w:rPr>
        <w:t>Request</w:t>
      </w:r>
      <w:r w:rsidR="008A56D7" w:rsidRPr="004542B5">
        <w:rPr>
          <w:i/>
          <w:noProof w:val="0"/>
          <w:lang w:val="en-US"/>
        </w:rPr>
        <w:t xml:space="preserve"> of the </w:t>
      </w:r>
      <w:r w:rsidR="00562CBB" w:rsidRPr="004542B5">
        <w:rPr>
          <w:i/>
          <w:noProof w:val="0"/>
          <w:lang w:val="en-US"/>
        </w:rPr>
        <w:t>Inter-American Commission</w:t>
      </w:r>
      <w:r w:rsidR="007B47B1" w:rsidRPr="004542B5">
        <w:rPr>
          <w:i/>
          <w:noProof w:val="0"/>
          <w:lang w:val="en-US"/>
        </w:rPr>
        <w:t xml:space="preserve">.  </w:t>
      </w:r>
      <w:r w:rsidRPr="004542B5">
        <w:rPr>
          <w:noProof w:val="0"/>
          <w:lang w:val="en-US"/>
        </w:rPr>
        <w:t xml:space="preserve">Based on the foregoing, </w:t>
      </w:r>
      <w:r w:rsidR="00562CBB" w:rsidRPr="004542B5">
        <w:rPr>
          <w:noProof w:val="0"/>
          <w:lang w:val="en-US"/>
        </w:rPr>
        <w:t>the Inter-American Commission</w:t>
      </w:r>
      <w:r w:rsidR="007B47B1" w:rsidRPr="004542B5">
        <w:rPr>
          <w:noProof w:val="0"/>
          <w:lang w:val="en-US"/>
        </w:rPr>
        <w:t xml:space="preserve"> </w:t>
      </w:r>
      <w:r w:rsidRPr="004542B5">
        <w:rPr>
          <w:noProof w:val="0"/>
          <w:lang w:val="en-US"/>
        </w:rPr>
        <w:t xml:space="preserve">asked the Court to declare the international responsibility of Panama for the violation of the rights indicated previously in the conclusions to </w:t>
      </w:r>
      <w:r w:rsidR="00C6639F" w:rsidRPr="004542B5">
        <w:rPr>
          <w:noProof w:val="0"/>
          <w:lang w:val="en-US"/>
        </w:rPr>
        <w:t>Merits Report</w:t>
      </w:r>
      <w:r w:rsidR="007B47B1" w:rsidRPr="004542B5">
        <w:rPr>
          <w:noProof w:val="0"/>
          <w:lang w:val="en-US"/>
        </w:rPr>
        <w:t xml:space="preserve"> </w:t>
      </w:r>
      <w:r w:rsidR="00CD2B90" w:rsidRPr="004542B5">
        <w:rPr>
          <w:noProof w:val="0"/>
          <w:szCs w:val="20"/>
          <w:lang w:val="en-US"/>
        </w:rPr>
        <w:t>No.</w:t>
      </w:r>
      <w:r w:rsidR="00B7701D" w:rsidRPr="004542B5">
        <w:rPr>
          <w:noProof w:val="0"/>
          <w:szCs w:val="20"/>
          <w:lang w:val="en-US"/>
        </w:rPr>
        <w:t xml:space="preserve"> </w:t>
      </w:r>
      <w:r w:rsidR="007B47B1" w:rsidRPr="004542B5">
        <w:rPr>
          <w:noProof w:val="0"/>
          <w:lang w:val="en-US"/>
        </w:rPr>
        <w:t>125/12</w:t>
      </w:r>
      <w:r w:rsidR="00603062" w:rsidRPr="004542B5">
        <w:rPr>
          <w:noProof w:val="0"/>
          <w:lang w:val="en-US"/>
        </w:rPr>
        <w:t>.</w:t>
      </w:r>
      <w:r w:rsidR="007B47B1" w:rsidRPr="004542B5">
        <w:rPr>
          <w:noProof w:val="0"/>
          <w:lang w:val="en-US"/>
        </w:rPr>
        <w:t xml:space="preserve"> </w:t>
      </w:r>
    </w:p>
    <w:p w14:paraId="4710D30C" w14:textId="3AE18793" w:rsidR="00B17F8B" w:rsidRPr="004542B5" w:rsidRDefault="009E5A92" w:rsidP="00B211EF">
      <w:pPr>
        <w:pStyle w:val="Estilo1"/>
        <w:numPr>
          <w:ilvl w:val="0"/>
          <w:numId w:val="2"/>
        </w:numPr>
        <w:tabs>
          <w:tab w:val="left" w:pos="720"/>
          <w:tab w:val="left" w:pos="1134"/>
          <w:tab w:val="num" w:pos="6042"/>
        </w:tabs>
        <w:spacing w:before="120" w:after="0"/>
        <w:ind w:right="0"/>
        <w:rPr>
          <w:noProof w:val="0"/>
          <w:lang w:val="en-US"/>
        </w:rPr>
      </w:pPr>
      <w:r w:rsidRPr="004542B5">
        <w:rPr>
          <w:rFonts w:eastAsia="Calibri" w:cs="Verdana"/>
          <w:i w:val="0"/>
          <w:noProof w:val="0"/>
          <w:szCs w:val="20"/>
          <w:lang w:val="en-US"/>
        </w:rPr>
        <w:t xml:space="preserve">In addition, </w:t>
      </w:r>
      <w:r w:rsidR="00562CBB" w:rsidRPr="004542B5">
        <w:rPr>
          <w:i w:val="0"/>
          <w:noProof w:val="0"/>
          <w:lang w:val="en-US"/>
        </w:rPr>
        <w:t>the Inter-American Commission</w:t>
      </w:r>
      <w:r w:rsidR="007B47B1" w:rsidRPr="004542B5">
        <w:rPr>
          <w:i w:val="0"/>
          <w:noProof w:val="0"/>
          <w:lang w:val="en-US"/>
        </w:rPr>
        <w:t xml:space="preserve"> </w:t>
      </w:r>
      <w:r w:rsidRPr="004542B5">
        <w:rPr>
          <w:i w:val="0"/>
          <w:noProof w:val="0"/>
          <w:lang w:val="en-US"/>
        </w:rPr>
        <w:t xml:space="preserve">asked the Court to order the State to carry out certain measures of reparation that will be described and analyzed in the corresponding chapter </w:t>
      </w:r>
      <w:r w:rsidR="007B47B1" w:rsidRPr="004542B5">
        <w:rPr>
          <w:i w:val="0"/>
          <w:noProof w:val="0"/>
          <w:szCs w:val="20"/>
          <w:lang w:val="en-US"/>
        </w:rPr>
        <w:t>(</w:t>
      </w:r>
      <w:r w:rsidR="007B47B1" w:rsidRPr="004542B5">
        <w:rPr>
          <w:noProof w:val="0"/>
          <w:szCs w:val="20"/>
          <w:lang w:val="en-US"/>
        </w:rPr>
        <w:t>infra</w:t>
      </w:r>
      <w:r w:rsidR="007B47B1" w:rsidRPr="004542B5">
        <w:rPr>
          <w:i w:val="0"/>
          <w:noProof w:val="0"/>
          <w:szCs w:val="20"/>
          <w:lang w:val="en-US"/>
        </w:rPr>
        <w:t xml:space="preserve"> </w:t>
      </w:r>
      <w:r w:rsidR="007B47B1" w:rsidRPr="004542B5">
        <w:rPr>
          <w:i w:val="0"/>
          <w:noProof w:val="0"/>
          <w:lang w:val="en-US"/>
        </w:rPr>
        <w:t>C</w:t>
      </w:r>
      <w:r w:rsidRPr="004542B5">
        <w:rPr>
          <w:i w:val="0"/>
          <w:noProof w:val="0"/>
          <w:lang w:val="en-US"/>
        </w:rPr>
        <w:t>hapter</w:t>
      </w:r>
      <w:r w:rsidR="007B47B1" w:rsidRPr="004542B5">
        <w:rPr>
          <w:i w:val="0"/>
          <w:noProof w:val="0"/>
          <w:szCs w:val="20"/>
          <w:lang w:val="en-US"/>
        </w:rPr>
        <w:t xml:space="preserve"> </w:t>
      </w:r>
      <w:r w:rsidR="00B248E8" w:rsidRPr="004542B5">
        <w:rPr>
          <w:i w:val="0"/>
          <w:noProof w:val="0"/>
          <w:szCs w:val="20"/>
          <w:lang w:val="en-US"/>
        </w:rPr>
        <w:t>VIII</w:t>
      </w:r>
      <w:r w:rsidR="007B47B1" w:rsidRPr="004542B5">
        <w:rPr>
          <w:i w:val="0"/>
          <w:noProof w:val="0"/>
          <w:szCs w:val="20"/>
          <w:lang w:val="en-US"/>
        </w:rPr>
        <w:t>).</w:t>
      </w:r>
    </w:p>
    <w:p w14:paraId="6B7D4F25" w14:textId="0FBA0CB8" w:rsidR="00B17F8B" w:rsidRPr="004542B5" w:rsidRDefault="007B47B1" w:rsidP="00E01664">
      <w:pPr>
        <w:pStyle w:val="Heading1"/>
        <w:rPr>
          <w:noProof w:val="0"/>
          <w:lang w:val="en-US"/>
        </w:rPr>
      </w:pPr>
      <w:bookmarkStart w:id="4" w:name="_Toc359314415"/>
      <w:bookmarkStart w:id="5" w:name="_Toc361671572"/>
      <w:bookmarkStart w:id="6" w:name="_Toc361671992"/>
      <w:bookmarkStart w:id="7" w:name="_Toc361732789"/>
      <w:bookmarkStart w:id="8" w:name="_Toc361732832"/>
      <w:bookmarkStart w:id="9" w:name="_Toc362456863"/>
      <w:bookmarkStart w:id="10" w:name="_Toc365021392"/>
      <w:bookmarkStart w:id="11" w:name="_Toc369076778"/>
      <w:bookmarkStart w:id="12" w:name="_Toc369989362"/>
      <w:bookmarkStart w:id="13" w:name="_Toc369989449"/>
      <w:bookmarkStart w:id="14" w:name="_Toc369989730"/>
      <w:bookmarkStart w:id="15" w:name="_Toc45200849"/>
      <w:r w:rsidRPr="004542B5">
        <w:rPr>
          <w:noProof w:val="0"/>
          <w:lang w:val="en-US"/>
        </w:rPr>
        <w:t>II</w:t>
      </w:r>
      <w:r w:rsidRPr="004542B5">
        <w:rPr>
          <w:noProof w:val="0"/>
          <w:lang w:val="en-US"/>
        </w:rPr>
        <w:br/>
      </w:r>
      <w:bookmarkStart w:id="16" w:name="_Toc311128156"/>
      <w:bookmarkStart w:id="17" w:name="_Toc311128353"/>
      <w:r w:rsidR="000075BB" w:rsidRPr="004542B5">
        <w:rPr>
          <w:noProof w:val="0"/>
          <w:lang w:val="en-US"/>
        </w:rPr>
        <w:t>PROCEEDINGS BEFORE</w:t>
      </w:r>
      <w:r w:rsidRPr="004542B5">
        <w:rPr>
          <w:noProof w:val="0"/>
          <w:lang w:val="en-US"/>
        </w:rPr>
        <w:t xml:space="preserve"> </w:t>
      </w:r>
      <w:r w:rsidR="00562CBB" w:rsidRPr="004542B5">
        <w:rPr>
          <w:noProof w:val="0"/>
          <w:lang w:val="en-US"/>
        </w:rPr>
        <w:t>THE COURT</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41522BD6" w14:textId="45A11E66" w:rsidR="00B17F8B" w:rsidRPr="004542B5" w:rsidRDefault="007B47B1" w:rsidP="00B211EF">
      <w:pPr>
        <w:pStyle w:val="Estilo1"/>
        <w:numPr>
          <w:ilvl w:val="0"/>
          <w:numId w:val="2"/>
        </w:numPr>
        <w:tabs>
          <w:tab w:val="left" w:pos="720"/>
          <w:tab w:val="left" w:pos="1134"/>
        </w:tabs>
        <w:spacing w:before="120" w:after="0"/>
        <w:ind w:right="0"/>
        <w:rPr>
          <w:b/>
          <w:noProof w:val="0"/>
          <w:szCs w:val="20"/>
          <w:lang w:val="en-US" w:eastAsia="es-ES"/>
        </w:rPr>
      </w:pPr>
      <w:r w:rsidRPr="004542B5">
        <w:rPr>
          <w:noProof w:val="0"/>
          <w:szCs w:val="20"/>
          <w:lang w:val="en-US" w:eastAsia="es-ES"/>
        </w:rPr>
        <w:t>Notifica</w:t>
      </w:r>
      <w:r w:rsidR="000075BB" w:rsidRPr="004542B5">
        <w:rPr>
          <w:noProof w:val="0"/>
          <w:szCs w:val="20"/>
          <w:lang w:val="en-US" w:eastAsia="es-ES"/>
        </w:rPr>
        <w:t>tion of the State</w:t>
      </w:r>
      <w:r w:rsidR="00CD2B90" w:rsidRPr="004542B5">
        <w:rPr>
          <w:noProof w:val="0"/>
          <w:szCs w:val="20"/>
          <w:lang w:val="en-US" w:eastAsia="es-ES"/>
        </w:rPr>
        <w:t xml:space="preserve"> and</w:t>
      </w:r>
      <w:r w:rsidRPr="004542B5">
        <w:rPr>
          <w:noProof w:val="0"/>
          <w:szCs w:val="20"/>
          <w:lang w:val="en-US" w:eastAsia="es-ES"/>
        </w:rPr>
        <w:t xml:space="preserve"> </w:t>
      </w:r>
      <w:r w:rsidR="00562CBB" w:rsidRPr="004542B5">
        <w:rPr>
          <w:noProof w:val="0"/>
          <w:szCs w:val="20"/>
          <w:lang w:val="en-US" w:eastAsia="es-ES"/>
        </w:rPr>
        <w:t>the representatives</w:t>
      </w:r>
      <w:r w:rsidRPr="004542B5">
        <w:rPr>
          <w:noProof w:val="0"/>
          <w:szCs w:val="20"/>
          <w:lang w:val="en-US" w:eastAsia="es-ES"/>
        </w:rPr>
        <w:t xml:space="preserve">. </w:t>
      </w:r>
      <w:r w:rsidR="0022233F" w:rsidRPr="004542B5">
        <w:rPr>
          <w:i w:val="0"/>
          <w:noProof w:val="0"/>
          <w:szCs w:val="20"/>
          <w:lang w:val="en-US"/>
        </w:rPr>
        <w:t xml:space="preserve">The State and the representatives were notified of the submission of the case by </w:t>
      </w:r>
      <w:r w:rsidR="008A56D7" w:rsidRPr="004542B5">
        <w:rPr>
          <w:i w:val="0"/>
          <w:noProof w:val="0"/>
          <w:szCs w:val="20"/>
          <w:lang w:val="en-US"/>
        </w:rPr>
        <w:t xml:space="preserve">the </w:t>
      </w:r>
      <w:r w:rsidR="00562CBB" w:rsidRPr="004542B5">
        <w:rPr>
          <w:i w:val="0"/>
          <w:noProof w:val="0"/>
          <w:szCs w:val="20"/>
          <w:lang w:val="en-US"/>
        </w:rPr>
        <w:t>Commission</w:t>
      </w:r>
      <w:r w:rsidRPr="004542B5">
        <w:rPr>
          <w:i w:val="0"/>
          <w:noProof w:val="0"/>
          <w:szCs w:val="20"/>
          <w:lang w:val="en-US"/>
        </w:rPr>
        <w:t xml:space="preserve"> </w:t>
      </w:r>
      <w:r w:rsidR="0022233F" w:rsidRPr="004542B5">
        <w:rPr>
          <w:i w:val="0"/>
          <w:noProof w:val="0"/>
          <w:szCs w:val="20"/>
          <w:lang w:val="en-US"/>
        </w:rPr>
        <w:t>on May 14, 2013.</w:t>
      </w:r>
    </w:p>
    <w:p w14:paraId="08689214" w14:textId="1112C979" w:rsidR="00B17F8B" w:rsidRPr="004542B5" w:rsidRDefault="0022233F" w:rsidP="00B211EF">
      <w:pPr>
        <w:pStyle w:val="Estilo1"/>
        <w:numPr>
          <w:ilvl w:val="0"/>
          <w:numId w:val="2"/>
        </w:numPr>
        <w:tabs>
          <w:tab w:val="left" w:pos="720"/>
          <w:tab w:val="left" w:pos="1134"/>
          <w:tab w:val="num" w:pos="6042"/>
        </w:tabs>
        <w:spacing w:before="120" w:after="0"/>
        <w:ind w:right="0"/>
        <w:rPr>
          <w:noProof w:val="0"/>
          <w:szCs w:val="20"/>
          <w:lang w:val="en-US" w:eastAsia="es-ES"/>
        </w:rPr>
      </w:pPr>
      <w:r w:rsidRPr="004542B5">
        <w:rPr>
          <w:noProof w:val="0"/>
          <w:szCs w:val="20"/>
          <w:lang w:val="en-US" w:eastAsia="es-ES"/>
        </w:rPr>
        <w:t>Brief with pleadings, motions and evidence</w:t>
      </w:r>
      <w:r w:rsidR="007B47B1" w:rsidRPr="004542B5">
        <w:rPr>
          <w:noProof w:val="0"/>
          <w:szCs w:val="20"/>
          <w:lang w:val="en-US" w:eastAsia="es-ES"/>
        </w:rPr>
        <w:t xml:space="preserve">. </w:t>
      </w:r>
      <w:r w:rsidRPr="004542B5">
        <w:rPr>
          <w:i w:val="0"/>
          <w:noProof w:val="0"/>
          <w:szCs w:val="20"/>
          <w:lang w:val="en-US"/>
        </w:rPr>
        <w:t>On July 13,</w:t>
      </w:r>
      <w:r w:rsidR="007B47B1" w:rsidRPr="004542B5">
        <w:rPr>
          <w:i w:val="0"/>
          <w:noProof w:val="0"/>
          <w:szCs w:val="20"/>
          <w:lang w:val="en-US"/>
        </w:rPr>
        <w:t xml:space="preserve"> 2013</w:t>
      </w:r>
      <w:r w:rsidRPr="004542B5">
        <w:rPr>
          <w:i w:val="0"/>
          <w:noProof w:val="0"/>
          <w:szCs w:val="20"/>
          <w:lang w:val="en-US"/>
        </w:rPr>
        <w:t>,</w:t>
      </w:r>
      <w:r w:rsidR="007B47B1" w:rsidRPr="004542B5">
        <w:rPr>
          <w:i w:val="0"/>
          <w:noProof w:val="0"/>
          <w:szCs w:val="20"/>
          <w:lang w:val="en-US"/>
        </w:rPr>
        <w:t xml:space="preserve"> </w:t>
      </w:r>
      <w:r w:rsidR="00562CBB" w:rsidRPr="004542B5">
        <w:rPr>
          <w:i w:val="0"/>
          <w:noProof w:val="0"/>
          <w:szCs w:val="20"/>
          <w:lang w:val="en-US"/>
        </w:rPr>
        <w:t>the representatives</w:t>
      </w:r>
      <w:r w:rsidR="007B47B1" w:rsidRPr="004542B5">
        <w:rPr>
          <w:rStyle w:val="FootnoteReference"/>
          <w:i w:val="0"/>
          <w:noProof w:val="0"/>
          <w:lang w:val="en-US"/>
        </w:rPr>
        <w:footnoteReference w:id="7"/>
      </w:r>
      <w:r w:rsidR="007B47B1" w:rsidRPr="004542B5">
        <w:rPr>
          <w:i w:val="0"/>
          <w:noProof w:val="0"/>
          <w:szCs w:val="20"/>
          <w:lang w:val="en-US"/>
        </w:rPr>
        <w:t xml:space="preserve"> present</w:t>
      </w:r>
      <w:r w:rsidRPr="004542B5">
        <w:rPr>
          <w:i w:val="0"/>
          <w:noProof w:val="0"/>
          <w:szCs w:val="20"/>
          <w:lang w:val="en-US"/>
        </w:rPr>
        <w:t>ed their</w:t>
      </w:r>
      <w:r w:rsidR="007B47B1" w:rsidRPr="004542B5">
        <w:rPr>
          <w:i w:val="0"/>
          <w:noProof w:val="0"/>
          <w:szCs w:val="20"/>
          <w:lang w:val="en-US"/>
        </w:rPr>
        <w:t xml:space="preserve"> </w:t>
      </w:r>
      <w:r w:rsidRPr="004542B5">
        <w:rPr>
          <w:i w:val="0"/>
          <w:noProof w:val="0"/>
          <w:szCs w:val="20"/>
          <w:lang w:val="en-US"/>
        </w:rPr>
        <w:t>brief with pleadings, motions and evidence</w:t>
      </w:r>
      <w:r w:rsidR="007B47B1" w:rsidRPr="004542B5">
        <w:rPr>
          <w:rStyle w:val="FootnoteReference"/>
          <w:i w:val="0"/>
          <w:noProof w:val="0"/>
          <w:lang w:val="en-US"/>
        </w:rPr>
        <w:footnoteReference w:id="8"/>
      </w:r>
      <w:r w:rsidR="007B47B1" w:rsidRPr="004542B5">
        <w:rPr>
          <w:i w:val="0"/>
          <w:noProof w:val="0"/>
          <w:szCs w:val="20"/>
          <w:lang w:val="en-US"/>
        </w:rPr>
        <w:t xml:space="preserve"> (</w:t>
      </w:r>
      <w:r w:rsidR="00562CBB" w:rsidRPr="004542B5">
        <w:rPr>
          <w:i w:val="0"/>
          <w:noProof w:val="0"/>
          <w:szCs w:val="20"/>
          <w:lang w:val="en-US"/>
        </w:rPr>
        <w:t>hereinafter</w:t>
      </w:r>
      <w:r w:rsidR="007B47B1" w:rsidRPr="004542B5">
        <w:rPr>
          <w:i w:val="0"/>
          <w:noProof w:val="0"/>
          <w:szCs w:val="20"/>
          <w:lang w:val="en-US"/>
        </w:rPr>
        <w:t xml:space="preserve"> “</w:t>
      </w:r>
      <w:r w:rsidRPr="004542B5">
        <w:rPr>
          <w:i w:val="0"/>
          <w:noProof w:val="0"/>
          <w:szCs w:val="20"/>
          <w:lang w:val="en-US"/>
        </w:rPr>
        <w:t>the brief with pleadings and motions</w:t>
      </w:r>
      <w:r w:rsidR="007B47B1" w:rsidRPr="004542B5">
        <w:rPr>
          <w:i w:val="0"/>
          <w:noProof w:val="0"/>
          <w:szCs w:val="20"/>
          <w:lang w:val="en-US"/>
        </w:rPr>
        <w:t xml:space="preserve">”), </w:t>
      </w:r>
      <w:r w:rsidR="00DE6766" w:rsidRPr="004542B5">
        <w:rPr>
          <w:i w:val="0"/>
          <w:noProof w:val="0"/>
          <w:szCs w:val="20"/>
          <w:lang w:val="en-US"/>
        </w:rPr>
        <w:t>pursuant to</w:t>
      </w:r>
      <w:r w:rsidR="007B47B1" w:rsidRPr="004542B5">
        <w:rPr>
          <w:i w:val="0"/>
          <w:noProof w:val="0"/>
          <w:szCs w:val="20"/>
          <w:lang w:val="en-US"/>
        </w:rPr>
        <w:t xml:space="preserve"> </w:t>
      </w:r>
      <w:r w:rsidR="00562CBB" w:rsidRPr="004542B5">
        <w:rPr>
          <w:i w:val="0"/>
          <w:noProof w:val="0"/>
          <w:szCs w:val="20"/>
          <w:lang w:val="en-US"/>
        </w:rPr>
        <w:t>Articles</w:t>
      </w:r>
      <w:r w:rsidR="007B47B1" w:rsidRPr="004542B5">
        <w:rPr>
          <w:i w:val="0"/>
          <w:noProof w:val="0"/>
          <w:szCs w:val="20"/>
          <w:lang w:val="en-US"/>
        </w:rPr>
        <w:t xml:space="preserve"> 25</w:t>
      </w:r>
      <w:r w:rsidR="00CD2B90" w:rsidRPr="004542B5">
        <w:rPr>
          <w:i w:val="0"/>
          <w:noProof w:val="0"/>
          <w:szCs w:val="20"/>
          <w:lang w:val="en-US"/>
        </w:rPr>
        <w:t xml:space="preserve"> and </w:t>
      </w:r>
      <w:r w:rsidR="007B47B1" w:rsidRPr="004542B5">
        <w:rPr>
          <w:i w:val="0"/>
          <w:noProof w:val="0"/>
          <w:szCs w:val="20"/>
          <w:lang w:val="en-US"/>
        </w:rPr>
        <w:t>40</w:t>
      </w:r>
      <w:r w:rsidR="008A56D7" w:rsidRPr="004542B5">
        <w:rPr>
          <w:i w:val="0"/>
          <w:noProof w:val="0"/>
          <w:szCs w:val="20"/>
          <w:lang w:val="en-US"/>
        </w:rPr>
        <w:t xml:space="preserve"> of the </w:t>
      </w:r>
      <w:r w:rsidR="00562CBB" w:rsidRPr="004542B5">
        <w:rPr>
          <w:i w:val="0"/>
          <w:noProof w:val="0"/>
          <w:szCs w:val="20"/>
          <w:lang w:val="en-US"/>
        </w:rPr>
        <w:t>Rules of Procedure</w:t>
      </w:r>
      <w:r w:rsidR="007B47B1" w:rsidRPr="004542B5">
        <w:rPr>
          <w:i w:val="0"/>
          <w:noProof w:val="0"/>
          <w:szCs w:val="20"/>
          <w:lang w:val="en-US"/>
        </w:rPr>
        <w:t>.</w:t>
      </w:r>
      <w:r w:rsidR="007B47B1" w:rsidRPr="004542B5">
        <w:rPr>
          <w:noProof w:val="0"/>
          <w:szCs w:val="20"/>
          <w:lang w:val="en-US" w:eastAsia="es-ES"/>
        </w:rPr>
        <w:t xml:space="preserve"> </w:t>
      </w:r>
    </w:p>
    <w:p w14:paraId="2EB8BADF" w14:textId="0FB7046A" w:rsidR="00F57176" w:rsidRPr="004542B5" w:rsidRDefault="0022233F" w:rsidP="00B211EF">
      <w:pPr>
        <w:pStyle w:val="Estilo1"/>
        <w:numPr>
          <w:ilvl w:val="0"/>
          <w:numId w:val="2"/>
        </w:numPr>
        <w:tabs>
          <w:tab w:val="left" w:pos="720"/>
          <w:tab w:val="left" w:pos="1134"/>
          <w:tab w:val="num" w:pos="6042"/>
        </w:tabs>
        <w:spacing w:before="120" w:after="0"/>
        <w:ind w:right="0"/>
        <w:rPr>
          <w:i w:val="0"/>
          <w:noProof w:val="0"/>
          <w:szCs w:val="20"/>
          <w:lang w:val="en-US"/>
        </w:rPr>
      </w:pPr>
      <w:r w:rsidRPr="004542B5">
        <w:rPr>
          <w:noProof w:val="0"/>
          <w:szCs w:val="20"/>
          <w:lang w:val="en-US"/>
        </w:rPr>
        <w:t>Legal Assistance Fund</w:t>
      </w:r>
      <w:r w:rsidR="00F57176" w:rsidRPr="004542B5">
        <w:rPr>
          <w:noProof w:val="0"/>
          <w:szCs w:val="20"/>
          <w:lang w:val="en-US"/>
        </w:rPr>
        <w:t xml:space="preserve">. </w:t>
      </w:r>
      <w:r w:rsidRPr="004542B5">
        <w:rPr>
          <w:i w:val="0"/>
          <w:noProof w:val="0"/>
          <w:szCs w:val="20"/>
          <w:lang w:val="en-US"/>
        </w:rPr>
        <w:t>In an order of October</w:t>
      </w:r>
      <w:r w:rsidR="00F57176" w:rsidRPr="004542B5">
        <w:rPr>
          <w:i w:val="0"/>
          <w:noProof w:val="0"/>
          <w:szCs w:val="20"/>
          <w:lang w:val="en-US"/>
        </w:rPr>
        <w:t xml:space="preserve"> </w:t>
      </w:r>
      <w:r w:rsidR="0056637B" w:rsidRPr="004542B5">
        <w:rPr>
          <w:i w:val="0"/>
          <w:noProof w:val="0"/>
          <w:szCs w:val="20"/>
          <w:lang w:val="en-US"/>
        </w:rPr>
        <w:t>25</w:t>
      </w:r>
      <w:r w:rsidRPr="004542B5">
        <w:rPr>
          <w:i w:val="0"/>
          <w:noProof w:val="0"/>
          <w:szCs w:val="20"/>
          <w:lang w:val="en-US"/>
        </w:rPr>
        <w:t xml:space="preserve">, </w:t>
      </w:r>
      <w:r w:rsidR="00F57176" w:rsidRPr="004542B5">
        <w:rPr>
          <w:i w:val="0"/>
          <w:noProof w:val="0"/>
          <w:szCs w:val="20"/>
          <w:lang w:val="en-US"/>
        </w:rPr>
        <w:t>2013</w:t>
      </w:r>
      <w:r w:rsidRPr="004542B5">
        <w:rPr>
          <w:i w:val="0"/>
          <w:noProof w:val="0"/>
          <w:szCs w:val="20"/>
          <w:lang w:val="en-US"/>
        </w:rPr>
        <w:t>, the</w:t>
      </w:r>
      <w:r w:rsidR="00F57176" w:rsidRPr="004542B5">
        <w:rPr>
          <w:i w:val="0"/>
          <w:noProof w:val="0"/>
          <w:szCs w:val="20"/>
          <w:lang w:val="en-US"/>
        </w:rPr>
        <w:t xml:space="preserve"> </w:t>
      </w:r>
      <w:r w:rsidR="00562CBB" w:rsidRPr="004542B5">
        <w:rPr>
          <w:i w:val="0"/>
          <w:noProof w:val="0"/>
          <w:szCs w:val="20"/>
          <w:lang w:val="en-US"/>
        </w:rPr>
        <w:t>President</w:t>
      </w:r>
      <w:r w:rsidR="008A56D7" w:rsidRPr="004542B5">
        <w:rPr>
          <w:i w:val="0"/>
          <w:noProof w:val="0"/>
          <w:szCs w:val="20"/>
          <w:lang w:val="en-US"/>
        </w:rPr>
        <w:t xml:space="preserve"> of the </w:t>
      </w:r>
      <w:r w:rsidR="00562CBB" w:rsidRPr="004542B5">
        <w:rPr>
          <w:i w:val="0"/>
          <w:noProof w:val="0"/>
          <w:szCs w:val="20"/>
          <w:lang w:val="en-US"/>
        </w:rPr>
        <w:t>Court</w:t>
      </w:r>
      <w:r w:rsidR="00F57176" w:rsidRPr="004542B5">
        <w:rPr>
          <w:i w:val="0"/>
          <w:noProof w:val="0"/>
          <w:szCs w:val="20"/>
          <w:lang w:val="en-US"/>
        </w:rPr>
        <w:t xml:space="preserve"> declar</w:t>
      </w:r>
      <w:r w:rsidRPr="004542B5">
        <w:rPr>
          <w:i w:val="0"/>
          <w:noProof w:val="0"/>
          <w:szCs w:val="20"/>
          <w:lang w:val="en-US"/>
        </w:rPr>
        <w:t>ed that the request filed by</w:t>
      </w:r>
      <w:r w:rsidR="00F57176" w:rsidRPr="004542B5">
        <w:rPr>
          <w:i w:val="0"/>
          <w:noProof w:val="0"/>
          <w:szCs w:val="20"/>
          <w:lang w:val="en-US"/>
        </w:rPr>
        <w:t xml:space="preserve"> </w:t>
      </w:r>
      <w:r w:rsidR="00F3300A" w:rsidRPr="004542B5">
        <w:rPr>
          <w:i w:val="0"/>
          <w:noProof w:val="0"/>
          <w:szCs w:val="20"/>
          <w:lang w:val="en-US"/>
        </w:rPr>
        <w:t>the presumed victims</w:t>
      </w:r>
      <w:r w:rsidR="00F57176" w:rsidRPr="004542B5">
        <w:rPr>
          <w:i w:val="0"/>
          <w:noProof w:val="0"/>
          <w:szCs w:val="20"/>
          <w:lang w:val="en-US"/>
        </w:rPr>
        <w:t xml:space="preserve"> </w:t>
      </w:r>
      <w:r w:rsidRPr="004542B5">
        <w:rPr>
          <w:i w:val="0"/>
          <w:noProof w:val="0"/>
          <w:szCs w:val="20"/>
          <w:lang w:val="en-US"/>
        </w:rPr>
        <w:t xml:space="preserve">through their representatives to access the </w:t>
      </w:r>
      <w:r w:rsidR="00133200" w:rsidRPr="004542B5">
        <w:rPr>
          <w:i w:val="0"/>
          <w:noProof w:val="0"/>
          <w:szCs w:val="20"/>
          <w:lang w:val="en-US"/>
        </w:rPr>
        <w:t>Victims’ Legal Assistance Fund</w:t>
      </w:r>
      <w:r w:rsidRPr="004542B5">
        <w:rPr>
          <w:i w:val="0"/>
          <w:noProof w:val="0"/>
          <w:szCs w:val="20"/>
          <w:lang w:val="en-US"/>
        </w:rPr>
        <w:t xml:space="preserve"> was admissible, and that the necessary financial assistance would be provided for the attendance </w:t>
      </w:r>
      <w:r w:rsidR="00B57BA2" w:rsidRPr="004542B5">
        <w:rPr>
          <w:i w:val="0"/>
          <w:noProof w:val="0"/>
          <w:szCs w:val="20"/>
          <w:lang w:val="en-US"/>
        </w:rPr>
        <w:t>of</w:t>
      </w:r>
      <w:r w:rsidRPr="004542B5">
        <w:rPr>
          <w:i w:val="0"/>
          <w:noProof w:val="0"/>
          <w:szCs w:val="20"/>
          <w:lang w:val="en-US"/>
        </w:rPr>
        <w:t xml:space="preserve"> up to two representatives and a maximum of four testimonial statements and/or expert opinions at the public hearing and, if necessary, the expenses of a Spanish-Kuna interpreter would also be covered</w:t>
      </w:r>
      <w:r w:rsidR="00F57176" w:rsidRPr="004542B5">
        <w:rPr>
          <w:i w:val="0"/>
          <w:noProof w:val="0"/>
          <w:szCs w:val="20"/>
          <w:lang w:val="en-US"/>
        </w:rPr>
        <w:t>.</w:t>
      </w:r>
    </w:p>
    <w:p w14:paraId="7FE5B9ED" w14:textId="5EB6BC3B" w:rsidR="00585270" w:rsidRPr="004542B5" w:rsidRDefault="0022233F" w:rsidP="00A500FA">
      <w:pPr>
        <w:pStyle w:val="Estilo1"/>
        <w:numPr>
          <w:ilvl w:val="0"/>
          <w:numId w:val="2"/>
        </w:numPr>
        <w:tabs>
          <w:tab w:val="left" w:pos="720"/>
          <w:tab w:val="left" w:pos="1134"/>
          <w:tab w:val="num" w:pos="6042"/>
        </w:tabs>
        <w:spacing w:before="120" w:after="0"/>
        <w:ind w:right="0"/>
        <w:rPr>
          <w:i w:val="0"/>
          <w:noProof w:val="0"/>
          <w:szCs w:val="20"/>
          <w:lang w:val="en-US" w:eastAsia="es-ES"/>
        </w:rPr>
      </w:pPr>
      <w:r w:rsidRPr="004542B5">
        <w:rPr>
          <w:rFonts w:eastAsia="Calibri"/>
          <w:bCs/>
          <w:noProof w:val="0"/>
          <w:szCs w:val="20"/>
          <w:lang w:val="en-US"/>
        </w:rPr>
        <w:t>Answering brief</w:t>
      </w:r>
      <w:r w:rsidR="007B47B1" w:rsidRPr="004542B5">
        <w:rPr>
          <w:rFonts w:eastAsia="Calibri"/>
          <w:bCs/>
          <w:noProof w:val="0"/>
          <w:szCs w:val="20"/>
          <w:lang w:val="en-US"/>
        </w:rPr>
        <w:t xml:space="preserve">. </w:t>
      </w:r>
      <w:r w:rsidRPr="004542B5">
        <w:rPr>
          <w:i w:val="0"/>
          <w:noProof w:val="0"/>
          <w:szCs w:val="20"/>
          <w:lang w:val="en-US"/>
        </w:rPr>
        <w:t>On July 15,</w:t>
      </w:r>
      <w:r w:rsidR="007B47B1" w:rsidRPr="004542B5">
        <w:rPr>
          <w:i w:val="0"/>
          <w:noProof w:val="0"/>
          <w:szCs w:val="20"/>
          <w:lang w:val="en-US"/>
        </w:rPr>
        <w:t xml:space="preserve"> 2013, </w:t>
      </w:r>
      <w:r w:rsidR="00562CBB" w:rsidRPr="004542B5">
        <w:rPr>
          <w:i w:val="0"/>
          <w:noProof w:val="0"/>
          <w:szCs w:val="20"/>
          <w:lang w:val="en-US"/>
        </w:rPr>
        <w:t>the State</w:t>
      </w:r>
      <w:r w:rsidR="007B47B1" w:rsidRPr="004542B5">
        <w:rPr>
          <w:i w:val="0"/>
          <w:noProof w:val="0"/>
          <w:szCs w:val="20"/>
          <w:lang w:val="en-US"/>
        </w:rPr>
        <w:t xml:space="preserve"> </w:t>
      </w:r>
      <w:r w:rsidRPr="004542B5">
        <w:rPr>
          <w:i w:val="0"/>
          <w:noProof w:val="0"/>
          <w:szCs w:val="20"/>
          <w:lang w:val="en-US"/>
        </w:rPr>
        <w:t>submitted to</w:t>
      </w:r>
      <w:r w:rsidR="007B47B1" w:rsidRPr="004542B5">
        <w:rPr>
          <w:i w:val="0"/>
          <w:noProof w:val="0"/>
          <w:szCs w:val="20"/>
          <w:lang w:val="en-US"/>
        </w:rPr>
        <w:t xml:space="preserve"> </w:t>
      </w:r>
      <w:r w:rsidR="00562CBB" w:rsidRPr="004542B5">
        <w:rPr>
          <w:i w:val="0"/>
          <w:noProof w:val="0"/>
          <w:szCs w:val="20"/>
          <w:lang w:val="en-US"/>
        </w:rPr>
        <w:t>the Court</w:t>
      </w:r>
      <w:r w:rsidR="007B47B1" w:rsidRPr="004542B5">
        <w:rPr>
          <w:i w:val="0"/>
          <w:noProof w:val="0"/>
          <w:szCs w:val="20"/>
          <w:lang w:val="en-US"/>
        </w:rPr>
        <w:t xml:space="preserve"> </w:t>
      </w:r>
      <w:r w:rsidRPr="004542B5">
        <w:rPr>
          <w:i w:val="0"/>
          <w:noProof w:val="0"/>
          <w:szCs w:val="20"/>
          <w:lang w:val="en-US"/>
        </w:rPr>
        <w:t xml:space="preserve">a brief filing </w:t>
      </w:r>
      <w:r w:rsidR="00DE6766" w:rsidRPr="004542B5">
        <w:rPr>
          <w:i w:val="0"/>
          <w:noProof w:val="0"/>
          <w:szCs w:val="20"/>
          <w:lang w:val="en-US"/>
        </w:rPr>
        <w:t>preliminary objections</w:t>
      </w:r>
      <w:r w:rsidR="007B47B1" w:rsidRPr="004542B5">
        <w:rPr>
          <w:rStyle w:val="FootnoteReference"/>
          <w:i w:val="0"/>
          <w:noProof w:val="0"/>
          <w:lang w:val="en-US"/>
        </w:rPr>
        <w:footnoteReference w:id="9"/>
      </w:r>
      <w:r w:rsidR="00CD2B90" w:rsidRPr="004542B5">
        <w:rPr>
          <w:i w:val="0"/>
          <w:noProof w:val="0"/>
          <w:szCs w:val="20"/>
          <w:lang w:val="en-US"/>
        </w:rPr>
        <w:t xml:space="preserve"> and </w:t>
      </w:r>
      <w:r w:rsidRPr="004542B5">
        <w:rPr>
          <w:i w:val="0"/>
          <w:noProof w:val="0"/>
          <w:szCs w:val="20"/>
          <w:lang w:val="en-US"/>
        </w:rPr>
        <w:t xml:space="preserve">answering the submission of the case </w:t>
      </w:r>
      <w:r w:rsidR="007B47B1" w:rsidRPr="004542B5">
        <w:rPr>
          <w:i w:val="0"/>
          <w:noProof w:val="0"/>
          <w:szCs w:val="20"/>
          <w:lang w:val="en-US"/>
        </w:rPr>
        <w:t>(</w:t>
      </w:r>
      <w:r w:rsidR="00562CBB" w:rsidRPr="004542B5">
        <w:rPr>
          <w:i w:val="0"/>
          <w:noProof w:val="0"/>
          <w:szCs w:val="20"/>
          <w:lang w:val="en-US"/>
        </w:rPr>
        <w:t>hereinafter</w:t>
      </w:r>
      <w:r w:rsidR="007B47B1" w:rsidRPr="004542B5">
        <w:rPr>
          <w:i w:val="0"/>
          <w:noProof w:val="0"/>
          <w:szCs w:val="20"/>
          <w:lang w:val="en-US"/>
        </w:rPr>
        <w:t xml:space="preserve"> “</w:t>
      </w:r>
      <w:r w:rsidR="00AD34D8" w:rsidRPr="004542B5">
        <w:rPr>
          <w:i w:val="0"/>
          <w:noProof w:val="0"/>
          <w:szCs w:val="20"/>
          <w:lang w:val="en-US"/>
        </w:rPr>
        <w:t>first</w:t>
      </w:r>
      <w:r w:rsidR="007B47B1" w:rsidRPr="004542B5">
        <w:rPr>
          <w:i w:val="0"/>
          <w:noProof w:val="0"/>
          <w:szCs w:val="20"/>
          <w:lang w:val="en-US"/>
        </w:rPr>
        <w:t xml:space="preserve"> </w:t>
      </w:r>
      <w:r w:rsidRPr="004542B5">
        <w:rPr>
          <w:i w:val="0"/>
          <w:noProof w:val="0"/>
          <w:szCs w:val="20"/>
          <w:lang w:val="en-US"/>
        </w:rPr>
        <w:t>answering brief</w:t>
      </w:r>
      <w:r w:rsidR="007B47B1" w:rsidRPr="004542B5">
        <w:rPr>
          <w:i w:val="0"/>
          <w:noProof w:val="0"/>
          <w:szCs w:val="20"/>
          <w:lang w:val="en-US"/>
        </w:rPr>
        <w:t xml:space="preserve">”). </w:t>
      </w:r>
      <w:r w:rsidR="00FB0384" w:rsidRPr="004542B5">
        <w:rPr>
          <w:i w:val="0"/>
          <w:noProof w:val="0"/>
          <w:szCs w:val="20"/>
          <w:lang w:val="en-US"/>
        </w:rPr>
        <w:t>With a note of the Secretariat dated July 23, 2013, a copy of the</w:t>
      </w:r>
      <w:r w:rsidR="008332AA" w:rsidRPr="004542B5">
        <w:rPr>
          <w:i w:val="0"/>
          <w:noProof w:val="0"/>
          <w:szCs w:val="20"/>
          <w:lang w:val="en-US"/>
        </w:rPr>
        <w:t xml:space="preserve"> </w:t>
      </w:r>
      <w:r w:rsidR="00FB0384" w:rsidRPr="004542B5">
        <w:rPr>
          <w:i w:val="0"/>
          <w:noProof w:val="0"/>
          <w:szCs w:val="20"/>
          <w:lang w:val="en-US"/>
        </w:rPr>
        <w:t>first answering brief</w:t>
      </w:r>
      <w:r w:rsidR="008332AA" w:rsidRPr="004542B5">
        <w:rPr>
          <w:i w:val="0"/>
          <w:noProof w:val="0"/>
          <w:szCs w:val="20"/>
          <w:lang w:val="en-US"/>
        </w:rPr>
        <w:t xml:space="preserve"> </w:t>
      </w:r>
      <w:r w:rsidR="00FB0384" w:rsidRPr="004542B5">
        <w:rPr>
          <w:i w:val="0"/>
          <w:noProof w:val="0"/>
          <w:szCs w:val="20"/>
          <w:lang w:val="en-US"/>
        </w:rPr>
        <w:lastRenderedPageBreak/>
        <w:t xml:space="preserve">was forwarded to </w:t>
      </w:r>
      <w:r w:rsidR="00562CBB" w:rsidRPr="004542B5">
        <w:rPr>
          <w:i w:val="0"/>
          <w:noProof w:val="0"/>
          <w:szCs w:val="20"/>
          <w:lang w:val="en-US"/>
        </w:rPr>
        <w:t>the representatives</w:t>
      </w:r>
      <w:r w:rsidR="00CD2B90" w:rsidRPr="004542B5">
        <w:rPr>
          <w:i w:val="0"/>
          <w:noProof w:val="0"/>
          <w:szCs w:val="20"/>
          <w:lang w:val="en-US"/>
        </w:rPr>
        <w:t xml:space="preserve"> and </w:t>
      </w:r>
      <w:r w:rsidR="00562CBB" w:rsidRPr="004542B5">
        <w:rPr>
          <w:i w:val="0"/>
          <w:noProof w:val="0"/>
          <w:szCs w:val="20"/>
          <w:lang w:val="en-US"/>
        </w:rPr>
        <w:t>the Commission</w:t>
      </w:r>
      <w:r w:rsidR="00FB0384" w:rsidRPr="004542B5">
        <w:rPr>
          <w:i w:val="0"/>
          <w:noProof w:val="0"/>
          <w:szCs w:val="20"/>
          <w:lang w:val="en-US"/>
        </w:rPr>
        <w:t xml:space="preserve"> noting that </w:t>
      </w:r>
      <w:r w:rsidR="00562CBB" w:rsidRPr="004542B5">
        <w:rPr>
          <w:i w:val="0"/>
          <w:noProof w:val="0"/>
          <w:szCs w:val="20"/>
          <w:lang w:val="en-US"/>
        </w:rPr>
        <w:t>the State</w:t>
      </w:r>
      <w:r w:rsidR="007B47B1" w:rsidRPr="004542B5">
        <w:rPr>
          <w:i w:val="0"/>
          <w:noProof w:val="0"/>
          <w:szCs w:val="20"/>
          <w:lang w:val="en-US"/>
        </w:rPr>
        <w:t xml:space="preserve"> ha</w:t>
      </w:r>
      <w:r w:rsidR="00FB0384" w:rsidRPr="004542B5">
        <w:rPr>
          <w:i w:val="0"/>
          <w:noProof w:val="0"/>
          <w:szCs w:val="20"/>
          <w:lang w:val="en-US"/>
        </w:rPr>
        <w:t>d submitted the first answering brief</w:t>
      </w:r>
      <w:r w:rsidR="00B57BA2" w:rsidRPr="004542B5">
        <w:rPr>
          <w:i w:val="0"/>
          <w:noProof w:val="0"/>
          <w:szCs w:val="20"/>
          <w:lang w:val="en-US"/>
        </w:rPr>
        <w:t xml:space="preserve"> on</w:t>
      </w:r>
      <w:r w:rsidR="007B47B1" w:rsidRPr="004542B5">
        <w:rPr>
          <w:i w:val="0"/>
          <w:noProof w:val="0"/>
          <w:szCs w:val="20"/>
          <w:lang w:val="en-US"/>
        </w:rPr>
        <w:t xml:space="preserve"> “</w:t>
      </w:r>
      <w:r w:rsidR="00FB0384" w:rsidRPr="004542B5">
        <w:rPr>
          <w:i w:val="0"/>
          <w:noProof w:val="0"/>
          <w:szCs w:val="20"/>
          <w:lang w:val="en-US"/>
        </w:rPr>
        <w:t>the day the time limit for the representatives to present their initial brief had expired</w:t>
      </w:r>
      <w:r w:rsidR="00B57BA2" w:rsidRPr="004542B5">
        <w:rPr>
          <w:i w:val="0"/>
          <w:noProof w:val="0"/>
          <w:szCs w:val="20"/>
          <w:lang w:val="en-US"/>
        </w:rPr>
        <w:t>,</w:t>
      </w:r>
      <w:r w:rsidR="00FB0384" w:rsidRPr="004542B5">
        <w:rPr>
          <w:i w:val="0"/>
          <w:noProof w:val="0"/>
          <w:szCs w:val="20"/>
          <w:lang w:val="en-US"/>
        </w:rPr>
        <w:t>” and before th</w:t>
      </w:r>
      <w:r w:rsidR="00B57BA2" w:rsidRPr="004542B5">
        <w:rPr>
          <w:i w:val="0"/>
          <w:noProof w:val="0"/>
          <w:szCs w:val="20"/>
          <w:lang w:val="en-US"/>
        </w:rPr>
        <w:t>eir</w:t>
      </w:r>
      <w:r w:rsidR="00FB0384" w:rsidRPr="004542B5">
        <w:rPr>
          <w:i w:val="0"/>
          <w:noProof w:val="0"/>
          <w:szCs w:val="20"/>
          <w:lang w:val="en-US"/>
        </w:rPr>
        <w:t xml:space="preserve"> </w:t>
      </w:r>
      <w:r w:rsidRPr="004542B5">
        <w:rPr>
          <w:i w:val="0"/>
          <w:noProof w:val="0"/>
          <w:szCs w:val="20"/>
          <w:lang w:val="en-US"/>
        </w:rPr>
        <w:t>brief with pleadings and motions</w:t>
      </w:r>
      <w:r w:rsidR="007B47B1" w:rsidRPr="004542B5">
        <w:rPr>
          <w:i w:val="0"/>
          <w:noProof w:val="0"/>
          <w:szCs w:val="20"/>
          <w:lang w:val="en-US"/>
        </w:rPr>
        <w:t xml:space="preserve"> h</w:t>
      </w:r>
      <w:r w:rsidR="00FB0384" w:rsidRPr="004542B5">
        <w:rPr>
          <w:i w:val="0"/>
          <w:noProof w:val="0"/>
          <w:szCs w:val="20"/>
          <w:lang w:val="en-US"/>
        </w:rPr>
        <w:t xml:space="preserve">ad been forwarded to the State. On October 13, 2013, the State presented a brief with </w:t>
      </w:r>
      <w:r w:rsidR="00DE6766" w:rsidRPr="004542B5">
        <w:rPr>
          <w:i w:val="0"/>
          <w:noProof w:val="0"/>
          <w:szCs w:val="20"/>
          <w:lang w:val="en-US"/>
        </w:rPr>
        <w:t>preliminary objections</w:t>
      </w:r>
      <w:r w:rsidR="00CD2B90" w:rsidRPr="004542B5">
        <w:rPr>
          <w:i w:val="0"/>
          <w:noProof w:val="0"/>
          <w:szCs w:val="20"/>
          <w:lang w:val="en-US"/>
        </w:rPr>
        <w:t xml:space="preserve"> and </w:t>
      </w:r>
      <w:r w:rsidR="007B47B1" w:rsidRPr="004542B5">
        <w:rPr>
          <w:i w:val="0"/>
          <w:noProof w:val="0"/>
          <w:szCs w:val="20"/>
          <w:lang w:val="en-US"/>
        </w:rPr>
        <w:t>observa</w:t>
      </w:r>
      <w:r w:rsidR="00FB0384" w:rsidRPr="004542B5">
        <w:rPr>
          <w:i w:val="0"/>
          <w:noProof w:val="0"/>
          <w:szCs w:val="20"/>
          <w:lang w:val="en-US"/>
        </w:rPr>
        <w:t xml:space="preserve">tions on the pleadings and motions brief </w:t>
      </w:r>
      <w:r w:rsidR="007B47B1" w:rsidRPr="004542B5">
        <w:rPr>
          <w:i w:val="0"/>
          <w:noProof w:val="0"/>
          <w:szCs w:val="20"/>
          <w:lang w:val="en-US"/>
        </w:rPr>
        <w:t>(</w:t>
      </w:r>
      <w:r w:rsidR="00562CBB" w:rsidRPr="004542B5">
        <w:rPr>
          <w:i w:val="0"/>
          <w:noProof w:val="0"/>
          <w:szCs w:val="20"/>
          <w:lang w:val="en-US"/>
        </w:rPr>
        <w:t>hereinafter</w:t>
      </w:r>
      <w:r w:rsidR="007B47B1" w:rsidRPr="004542B5">
        <w:rPr>
          <w:i w:val="0"/>
          <w:noProof w:val="0"/>
          <w:szCs w:val="20"/>
          <w:lang w:val="en-US"/>
        </w:rPr>
        <w:t xml:space="preserve"> “</w:t>
      </w:r>
      <w:r w:rsidR="00FB0384" w:rsidRPr="004542B5">
        <w:rPr>
          <w:i w:val="0"/>
          <w:noProof w:val="0"/>
          <w:szCs w:val="20"/>
          <w:lang w:val="en-US"/>
        </w:rPr>
        <w:t>second answering brief</w:t>
      </w:r>
      <w:r w:rsidR="007B47B1" w:rsidRPr="004542B5">
        <w:rPr>
          <w:i w:val="0"/>
          <w:noProof w:val="0"/>
          <w:szCs w:val="20"/>
          <w:lang w:val="en-US"/>
        </w:rPr>
        <w:t>”)</w:t>
      </w:r>
      <w:r w:rsidR="00FB0384" w:rsidRPr="004542B5">
        <w:rPr>
          <w:i w:val="0"/>
          <w:noProof w:val="0"/>
          <w:szCs w:val="20"/>
          <w:lang w:val="en-US"/>
        </w:rPr>
        <w:t>.</w:t>
      </w:r>
      <w:r w:rsidR="007B47B1" w:rsidRPr="004542B5">
        <w:rPr>
          <w:rStyle w:val="FootnoteReference"/>
          <w:i w:val="0"/>
          <w:noProof w:val="0"/>
          <w:lang w:val="en-US"/>
        </w:rPr>
        <w:footnoteReference w:id="10"/>
      </w:r>
      <w:r w:rsidR="007B47B1" w:rsidRPr="004542B5">
        <w:rPr>
          <w:i w:val="0"/>
          <w:noProof w:val="0"/>
          <w:szCs w:val="20"/>
          <w:lang w:val="en-US"/>
        </w:rPr>
        <w:t xml:space="preserve"> </w:t>
      </w:r>
      <w:r w:rsidR="00FB0384" w:rsidRPr="004542B5">
        <w:rPr>
          <w:i w:val="0"/>
          <w:noProof w:val="0"/>
          <w:szCs w:val="20"/>
          <w:lang w:val="en-US"/>
        </w:rPr>
        <w:t>The</w:t>
      </w:r>
      <w:r w:rsidR="007B47B1" w:rsidRPr="004542B5">
        <w:rPr>
          <w:i w:val="0"/>
          <w:noProof w:val="0"/>
          <w:szCs w:val="20"/>
          <w:lang w:val="en-US"/>
        </w:rPr>
        <w:t xml:space="preserve"> </w:t>
      </w:r>
      <w:r w:rsidR="00FB0384" w:rsidRPr="004542B5">
        <w:rPr>
          <w:i w:val="0"/>
          <w:noProof w:val="0"/>
          <w:szCs w:val="20"/>
          <w:lang w:val="en-US"/>
        </w:rPr>
        <w:t>second answering brief and its annexes w</w:t>
      </w:r>
      <w:r w:rsidR="00B211EF" w:rsidRPr="004542B5">
        <w:rPr>
          <w:i w:val="0"/>
          <w:noProof w:val="0"/>
          <w:szCs w:val="20"/>
          <w:lang w:val="en-US"/>
        </w:rPr>
        <w:t>ere</w:t>
      </w:r>
      <w:r w:rsidR="00FB0384" w:rsidRPr="004542B5">
        <w:rPr>
          <w:i w:val="0"/>
          <w:noProof w:val="0"/>
          <w:szCs w:val="20"/>
          <w:lang w:val="en-US"/>
        </w:rPr>
        <w:t xml:space="preserve"> forwarded to </w:t>
      </w:r>
      <w:r w:rsidR="00562CBB" w:rsidRPr="004542B5">
        <w:rPr>
          <w:i w:val="0"/>
          <w:noProof w:val="0"/>
          <w:szCs w:val="20"/>
          <w:lang w:val="en-US"/>
        </w:rPr>
        <w:t>the representatives</w:t>
      </w:r>
      <w:r w:rsidR="00CD2B90" w:rsidRPr="004542B5">
        <w:rPr>
          <w:i w:val="0"/>
          <w:noProof w:val="0"/>
          <w:szCs w:val="20"/>
          <w:lang w:val="en-US"/>
        </w:rPr>
        <w:t xml:space="preserve"> and </w:t>
      </w:r>
      <w:r w:rsidR="00562CBB" w:rsidRPr="004542B5">
        <w:rPr>
          <w:i w:val="0"/>
          <w:noProof w:val="0"/>
          <w:szCs w:val="20"/>
          <w:lang w:val="en-US"/>
        </w:rPr>
        <w:t>the Commission</w:t>
      </w:r>
      <w:r w:rsidR="00FB0384" w:rsidRPr="004542B5">
        <w:rPr>
          <w:i w:val="0"/>
          <w:noProof w:val="0"/>
          <w:szCs w:val="20"/>
          <w:lang w:val="en-US"/>
        </w:rPr>
        <w:t xml:space="preserve"> with a </w:t>
      </w:r>
      <w:r w:rsidR="00B211EF" w:rsidRPr="004542B5">
        <w:rPr>
          <w:i w:val="0"/>
          <w:noProof w:val="0"/>
          <w:szCs w:val="20"/>
          <w:lang w:val="en-US"/>
        </w:rPr>
        <w:t xml:space="preserve">Secretariat </w:t>
      </w:r>
      <w:r w:rsidR="00FB0384" w:rsidRPr="004542B5">
        <w:rPr>
          <w:i w:val="0"/>
          <w:noProof w:val="0"/>
          <w:szCs w:val="20"/>
          <w:lang w:val="en-US"/>
        </w:rPr>
        <w:t xml:space="preserve">note dated November 7, 2013, </w:t>
      </w:r>
      <w:r w:rsidR="00B211EF" w:rsidRPr="004542B5">
        <w:rPr>
          <w:i w:val="0"/>
          <w:noProof w:val="0"/>
          <w:szCs w:val="20"/>
          <w:lang w:val="en-US"/>
        </w:rPr>
        <w:t>indicatin</w:t>
      </w:r>
      <w:r w:rsidR="00FB0384" w:rsidRPr="004542B5">
        <w:rPr>
          <w:i w:val="0"/>
          <w:noProof w:val="0"/>
          <w:szCs w:val="20"/>
          <w:lang w:val="en-US"/>
        </w:rPr>
        <w:t>g that this brief would be the one used because it included the first answering brief</w:t>
      </w:r>
      <w:r w:rsidR="00CD2B90" w:rsidRPr="004542B5">
        <w:rPr>
          <w:i w:val="0"/>
          <w:noProof w:val="0"/>
          <w:szCs w:val="20"/>
          <w:lang w:val="en-US"/>
        </w:rPr>
        <w:t xml:space="preserve"> </w:t>
      </w:r>
      <w:r w:rsidR="00B57BA2" w:rsidRPr="004542B5">
        <w:rPr>
          <w:i w:val="0"/>
          <w:noProof w:val="0"/>
          <w:szCs w:val="20"/>
          <w:lang w:val="en-US"/>
        </w:rPr>
        <w:t xml:space="preserve">together with </w:t>
      </w:r>
      <w:r w:rsidR="00FB0384" w:rsidRPr="004542B5">
        <w:rPr>
          <w:i w:val="0"/>
          <w:noProof w:val="0"/>
          <w:szCs w:val="20"/>
          <w:lang w:val="en-US"/>
        </w:rPr>
        <w:t xml:space="preserve">additional </w:t>
      </w:r>
      <w:r w:rsidR="00B902E7" w:rsidRPr="004542B5">
        <w:rPr>
          <w:i w:val="0"/>
          <w:noProof w:val="0"/>
          <w:szCs w:val="20"/>
          <w:lang w:val="en-US"/>
        </w:rPr>
        <w:t>considerations</w:t>
      </w:r>
      <w:r w:rsidR="00FB0384" w:rsidRPr="004542B5">
        <w:rPr>
          <w:i w:val="0"/>
          <w:noProof w:val="0"/>
          <w:szCs w:val="20"/>
          <w:lang w:val="en-US"/>
        </w:rPr>
        <w:t>.</w:t>
      </w:r>
      <w:r w:rsidR="007B47B1" w:rsidRPr="004542B5">
        <w:rPr>
          <w:rStyle w:val="FootnoteReference"/>
          <w:i w:val="0"/>
          <w:noProof w:val="0"/>
          <w:lang w:val="en-US"/>
        </w:rPr>
        <w:footnoteReference w:id="11"/>
      </w:r>
      <w:r w:rsidR="007B47B1" w:rsidRPr="004542B5">
        <w:rPr>
          <w:i w:val="0"/>
          <w:noProof w:val="0"/>
          <w:szCs w:val="20"/>
          <w:lang w:val="en-US"/>
        </w:rPr>
        <w:t xml:space="preserve"> Previ</w:t>
      </w:r>
      <w:r w:rsidR="00FB0384" w:rsidRPr="004542B5">
        <w:rPr>
          <w:i w:val="0"/>
          <w:noProof w:val="0"/>
          <w:szCs w:val="20"/>
          <w:lang w:val="en-US"/>
        </w:rPr>
        <w:t>ously, in a brief of June 10, 2013, the State had designated</w:t>
      </w:r>
      <w:r w:rsidR="007B47B1" w:rsidRPr="004542B5">
        <w:rPr>
          <w:i w:val="0"/>
          <w:noProof w:val="0"/>
          <w:szCs w:val="20"/>
          <w:lang w:val="en-US"/>
        </w:rPr>
        <w:t xml:space="preserve"> Rosario Inés Granda Icaza de Brandao </w:t>
      </w:r>
      <w:r w:rsidR="00FB0384" w:rsidRPr="004542B5">
        <w:rPr>
          <w:i w:val="0"/>
          <w:noProof w:val="0"/>
          <w:szCs w:val="20"/>
          <w:lang w:val="en-US"/>
        </w:rPr>
        <w:t>as its Agent.</w:t>
      </w:r>
    </w:p>
    <w:p w14:paraId="2B1AACCA" w14:textId="458F5032" w:rsidR="00B17F8B" w:rsidRPr="004542B5" w:rsidRDefault="007B47B1" w:rsidP="00A500FA">
      <w:pPr>
        <w:numPr>
          <w:ilvl w:val="0"/>
          <w:numId w:val="2"/>
        </w:numPr>
        <w:tabs>
          <w:tab w:val="left" w:pos="720"/>
          <w:tab w:val="left" w:pos="1134"/>
          <w:tab w:val="num" w:pos="6042"/>
        </w:tabs>
        <w:autoSpaceDE w:val="0"/>
        <w:autoSpaceDN w:val="0"/>
        <w:adjustRightInd w:val="0"/>
        <w:spacing w:before="120"/>
        <w:rPr>
          <w:rFonts w:cs="Verdana"/>
          <w:noProof w:val="0"/>
          <w:szCs w:val="20"/>
          <w:lang w:val="en-US" w:eastAsia="es-ES"/>
        </w:rPr>
      </w:pPr>
      <w:r w:rsidRPr="004542B5">
        <w:rPr>
          <w:rFonts w:cs="Verdana"/>
          <w:i/>
          <w:noProof w:val="0"/>
          <w:szCs w:val="20"/>
          <w:lang w:val="en-US" w:eastAsia="es-ES"/>
        </w:rPr>
        <w:t>Observa</w:t>
      </w:r>
      <w:r w:rsidR="00B211EF" w:rsidRPr="004542B5">
        <w:rPr>
          <w:rFonts w:cs="Verdana"/>
          <w:i/>
          <w:noProof w:val="0"/>
          <w:szCs w:val="20"/>
          <w:lang w:val="en-US" w:eastAsia="es-ES"/>
        </w:rPr>
        <w:t>tions on the</w:t>
      </w:r>
      <w:r w:rsidRPr="004542B5">
        <w:rPr>
          <w:rFonts w:cs="Verdana"/>
          <w:i/>
          <w:noProof w:val="0"/>
          <w:szCs w:val="20"/>
          <w:lang w:val="en-US" w:eastAsia="es-ES"/>
        </w:rPr>
        <w:t xml:space="preserve"> </w:t>
      </w:r>
      <w:r w:rsidR="00DE6766" w:rsidRPr="004542B5">
        <w:rPr>
          <w:rFonts w:cs="Verdana"/>
          <w:i/>
          <w:noProof w:val="0"/>
          <w:szCs w:val="20"/>
          <w:lang w:val="en-US" w:eastAsia="es-ES"/>
        </w:rPr>
        <w:t>preliminary objections</w:t>
      </w:r>
      <w:r w:rsidRPr="004542B5">
        <w:rPr>
          <w:rFonts w:cs="Verdana"/>
          <w:noProof w:val="0"/>
          <w:szCs w:val="20"/>
          <w:lang w:val="en-US" w:eastAsia="es-ES"/>
        </w:rPr>
        <w:t xml:space="preserve">. </w:t>
      </w:r>
      <w:r w:rsidR="00B211EF" w:rsidRPr="004542B5">
        <w:rPr>
          <w:rFonts w:cs="Verdana"/>
          <w:noProof w:val="0"/>
          <w:szCs w:val="20"/>
          <w:lang w:val="en-US" w:eastAsia="es-ES"/>
        </w:rPr>
        <w:t>On December</w:t>
      </w:r>
      <w:r w:rsidRPr="004542B5">
        <w:rPr>
          <w:rFonts w:cs="Verdana"/>
          <w:noProof w:val="0"/>
          <w:szCs w:val="20"/>
          <w:lang w:val="en-US" w:eastAsia="es-ES"/>
        </w:rPr>
        <w:t xml:space="preserve"> 7</w:t>
      </w:r>
      <w:r w:rsidR="00CD2B90" w:rsidRPr="004542B5">
        <w:rPr>
          <w:rFonts w:cs="Verdana"/>
          <w:noProof w:val="0"/>
          <w:szCs w:val="20"/>
          <w:lang w:val="en-US" w:eastAsia="es-ES"/>
        </w:rPr>
        <w:t xml:space="preserve"> and </w:t>
      </w:r>
      <w:r w:rsidRPr="004542B5">
        <w:rPr>
          <w:rFonts w:cs="Verdana"/>
          <w:noProof w:val="0"/>
          <w:szCs w:val="20"/>
          <w:lang w:val="en-US" w:eastAsia="es-ES"/>
        </w:rPr>
        <w:t>11</w:t>
      </w:r>
      <w:r w:rsidR="00B211EF" w:rsidRPr="004542B5">
        <w:rPr>
          <w:rFonts w:cs="Verdana"/>
          <w:noProof w:val="0"/>
          <w:szCs w:val="20"/>
          <w:lang w:val="en-US" w:eastAsia="es-ES"/>
        </w:rPr>
        <w:t xml:space="preserve">, </w:t>
      </w:r>
      <w:r w:rsidRPr="004542B5">
        <w:rPr>
          <w:rFonts w:cs="Verdana"/>
          <w:noProof w:val="0"/>
          <w:szCs w:val="20"/>
          <w:lang w:val="en-US" w:eastAsia="es-ES"/>
        </w:rPr>
        <w:t>2013</w:t>
      </w:r>
      <w:r w:rsidR="00FC1C56" w:rsidRPr="004542B5">
        <w:rPr>
          <w:rFonts w:cs="Verdana"/>
          <w:noProof w:val="0"/>
          <w:szCs w:val="20"/>
          <w:lang w:val="en-US" w:eastAsia="es-ES"/>
        </w:rPr>
        <w:t xml:space="preserve">, respectively, </w:t>
      </w:r>
      <w:r w:rsidR="00562CBB" w:rsidRPr="004542B5">
        <w:rPr>
          <w:rFonts w:cs="Verdana"/>
          <w:noProof w:val="0"/>
          <w:szCs w:val="20"/>
          <w:lang w:val="en-US" w:eastAsia="es-ES"/>
        </w:rPr>
        <w:t>the Commission</w:t>
      </w:r>
      <w:r w:rsidR="00CD2B90" w:rsidRPr="004542B5">
        <w:rPr>
          <w:rFonts w:cs="Verdana"/>
          <w:noProof w:val="0"/>
          <w:szCs w:val="20"/>
          <w:lang w:val="en-US" w:eastAsia="es-ES"/>
        </w:rPr>
        <w:t xml:space="preserve"> and </w:t>
      </w:r>
      <w:r w:rsidR="00562CBB" w:rsidRPr="004542B5">
        <w:rPr>
          <w:rFonts w:cs="Verdana"/>
          <w:noProof w:val="0"/>
          <w:szCs w:val="20"/>
          <w:lang w:val="en-US" w:eastAsia="es-ES"/>
        </w:rPr>
        <w:t>the representatives</w:t>
      </w:r>
      <w:r w:rsidRPr="004542B5">
        <w:rPr>
          <w:rFonts w:cs="Verdana"/>
          <w:noProof w:val="0"/>
          <w:szCs w:val="20"/>
          <w:lang w:val="en-US" w:eastAsia="es-ES"/>
        </w:rPr>
        <w:t xml:space="preserve"> present</w:t>
      </w:r>
      <w:r w:rsidR="00FC1C56" w:rsidRPr="004542B5">
        <w:rPr>
          <w:rFonts w:cs="Verdana"/>
          <w:noProof w:val="0"/>
          <w:szCs w:val="20"/>
          <w:lang w:val="en-US" w:eastAsia="es-ES"/>
        </w:rPr>
        <w:t xml:space="preserve">ed their observations on the </w:t>
      </w:r>
      <w:r w:rsidR="00DE6766" w:rsidRPr="004542B5">
        <w:rPr>
          <w:rFonts w:cs="Verdana"/>
          <w:noProof w:val="0"/>
          <w:szCs w:val="20"/>
          <w:lang w:val="en-US" w:eastAsia="es-ES"/>
        </w:rPr>
        <w:t>preliminary objections</w:t>
      </w:r>
      <w:r w:rsidRPr="004542B5">
        <w:rPr>
          <w:rFonts w:cs="Verdana"/>
          <w:noProof w:val="0"/>
          <w:szCs w:val="20"/>
          <w:lang w:val="en-US" w:eastAsia="es-ES"/>
        </w:rPr>
        <w:t>.</w:t>
      </w:r>
    </w:p>
    <w:p w14:paraId="3963863E" w14:textId="7707743C" w:rsidR="00B17F8B" w:rsidRPr="004542B5" w:rsidRDefault="00FC1C56" w:rsidP="00A500FA">
      <w:pPr>
        <w:pStyle w:val="Estilo1"/>
        <w:numPr>
          <w:ilvl w:val="0"/>
          <w:numId w:val="2"/>
        </w:numPr>
        <w:tabs>
          <w:tab w:val="left" w:pos="720"/>
          <w:tab w:val="left" w:pos="1134"/>
          <w:tab w:val="num" w:pos="6042"/>
        </w:tabs>
        <w:spacing w:before="120" w:after="0"/>
        <w:ind w:right="0"/>
        <w:rPr>
          <w:rFonts w:cs="Arial"/>
          <w:i w:val="0"/>
          <w:noProof w:val="0"/>
          <w:szCs w:val="20"/>
          <w:lang w:val="en-US"/>
        </w:rPr>
      </w:pPr>
      <w:r w:rsidRPr="004542B5">
        <w:rPr>
          <w:noProof w:val="0"/>
          <w:szCs w:val="20"/>
          <w:lang w:val="en-US" w:eastAsia="es-ES"/>
        </w:rPr>
        <w:t>Public hearing</w:t>
      </w:r>
      <w:r w:rsidR="00CD2B90" w:rsidRPr="004542B5">
        <w:rPr>
          <w:noProof w:val="0"/>
          <w:szCs w:val="20"/>
          <w:lang w:val="en-US" w:eastAsia="es-ES"/>
        </w:rPr>
        <w:t xml:space="preserve"> and </w:t>
      </w:r>
      <w:r w:rsidRPr="004542B5">
        <w:rPr>
          <w:noProof w:val="0"/>
          <w:szCs w:val="20"/>
          <w:lang w:val="en-US" w:eastAsia="es-ES"/>
        </w:rPr>
        <w:t>additional evidence.</w:t>
      </w:r>
      <w:r w:rsidR="007B47B1" w:rsidRPr="004542B5">
        <w:rPr>
          <w:noProof w:val="0"/>
          <w:szCs w:val="20"/>
          <w:lang w:val="en-US" w:eastAsia="es-ES"/>
        </w:rPr>
        <w:t xml:space="preserve"> </w:t>
      </w:r>
      <w:r w:rsidRPr="004542B5">
        <w:rPr>
          <w:i w:val="0"/>
          <w:noProof w:val="0"/>
          <w:szCs w:val="20"/>
          <w:lang w:val="en-US" w:eastAsia="es-ES"/>
        </w:rPr>
        <w:t>On March 3,</w:t>
      </w:r>
      <w:r w:rsidR="007B47B1" w:rsidRPr="004542B5">
        <w:rPr>
          <w:i w:val="0"/>
          <w:noProof w:val="0"/>
          <w:szCs w:val="20"/>
          <w:lang w:val="en-US" w:eastAsia="es-ES"/>
        </w:rPr>
        <w:t xml:space="preserve"> 2014</w:t>
      </w:r>
      <w:r w:rsidRPr="004542B5">
        <w:rPr>
          <w:i w:val="0"/>
          <w:noProof w:val="0"/>
          <w:szCs w:val="20"/>
          <w:lang w:val="en-US" w:eastAsia="es-ES"/>
        </w:rPr>
        <w:t>,</w:t>
      </w:r>
      <w:r w:rsidR="007B47B1" w:rsidRPr="004542B5">
        <w:rPr>
          <w:i w:val="0"/>
          <w:noProof w:val="0"/>
          <w:szCs w:val="20"/>
          <w:lang w:val="en-US" w:eastAsia="es-ES"/>
        </w:rPr>
        <w:t xml:space="preserve"> </w:t>
      </w:r>
      <w:r w:rsidRPr="004542B5">
        <w:rPr>
          <w:i w:val="0"/>
          <w:noProof w:val="0"/>
          <w:szCs w:val="20"/>
          <w:lang w:val="en-US" w:eastAsia="es-ES"/>
        </w:rPr>
        <w:t>the</w:t>
      </w:r>
      <w:r w:rsidR="007B47B1" w:rsidRPr="004542B5">
        <w:rPr>
          <w:i w:val="0"/>
          <w:noProof w:val="0"/>
          <w:szCs w:val="20"/>
          <w:lang w:val="en-US" w:eastAsia="es-ES"/>
        </w:rPr>
        <w:t xml:space="preserve"> </w:t>
      </w:r>
      <w:r w:rsidR="00562CBB" w:rsidRPr="004542B5">
        <w:rPr>
          <w:i w:val="0"/>
          <w:noProof w:val="0"/>
          <w:szCs w:val="20"/>
          <w:lang w:val="en-US" w:eastAsia="es-ES"/>
        </w:rPr>
        <w:t>President</w:t>
      </w:r>
      <w:r w:rsidR="007B47B1" w:rsidRPr="004542B5">
        <w:rPr>
          <w:i w:val="0"/>
          <w:noProof w:val="0"/>
          <w:szCs w:val="20"/>
          <w:lang w:val="en-US" w:eastAsia="es-ES"/>
        </w:rPr>
        <w:t xml:space="preserve"> </w:t>
      </w:r>
      <w:r w:rsidRPr="004542B5">
        <w:rPr>
          <w:i w:val="0"/>
          <w:noProof w:val="0"/>
          <w:szCs w:val="20"/>
          <w:lang w:val="en-US" w:eastAsia="es-ES"/>
        </w:rPr>
        <w:t xml:space="preserve">issued an order in which he required the statements of two presumed victims proposed by </w:t>
      </w:r>
      <w:r w:rsidR="00562CBB" w:rsidRPr="004542B5">
        <w:rPr>
          <w:i w:val="0"/>
          <w:noProof w:val="0"/>
          <w:szCs w:val="20"/>
          <w:lang w:val="en-US" w:eastAsia="es-ES"/>
        </w:rPr>
        <w:t>the representatives</w:t>
      </w:r>
      <w:r w:rsidR="00CD2B90" w:rsidRPr="004542B5">
        <w:rPr>
          <w:i w:val="0"/>
          <w:noProof w:val="0"/>
          <w:szCs w:val="20"/>
          <w:lang w:val="en-US" w:eastAsia="es-ES"/>
        </w:rPr>
        <w:t xml:space="preserve"> and </w:t>
      </w:r>
      <w:r w:rsidRPr="004542B5">
        <w:rPr>
          <w:i w:val="0"/>
          <w:noProof w:val="0"/>
          <w:szCs w:val="20"/>
          <w:lang w:val="en-US" w:eastAsia="es-ES"/>
        </w:rPr>
        <w:t>one expert witness offered by</w:t>
      </w:r>
      <w:r w:rsidR="007B47B1" w:rsidRPr="004542B5">
        <w:rPr>
          <w:i w:val="0"/>
          <w:noProof w:val="0"/>
          <w:szCs w:val="20"/>
          <w:lang w:val="en-US" w:eastAsia="es-ES"/>
        </w:rPr>
        <w:t xml:space="preserve"> </w:t>
      </w:r>
      <w:r w:rsidR="00562CBB" w:rsidRPr="004542B5">
        <w:rPr>
          <w:i w:val="0"/>
          <w:noProof w:val="0"/>
          <w:szCs w:val="20"/>
          <w:lang w:val="en-US" w:eastAsia="es-ES"/>
        </w:rPr>
        <w:t>the Commission</w:t>
      </w:r>
      <w:r w:rsidRPr="004542B5">
        <w:rPr>
          <w:i w:val="0"/>
          <w:noProof w:val="0"/>
          <w:szCs w:val="20"/>
          <w:lang w:val="en-US" w:eastAsia="es-ES"/>
        </w:rPr>
        <w:t xml:space="preserve"> to be submitted by affidavit. In this order, the President also called the parties and </w:t>
      </w:r>
      <w:r w:rsidR="00562CBB" w:rsidRPr="004542B5">
        <w:rPr>
          <w:i w:val="0"/>
          <w:noProof w:val="0"/>
          <w:szCs w:val="20"/>
          <w:lang w:val="en-US" w:eastAsia="es-ES"/>
        </w:rPr>
        <w:t>the Commission</w:t>
      </w:r>
      <w:r w:rsidR="007B47B1" w:rsidRPr="004542B5">
        <w:rPr>
          <w:i w:val="0"/>
          <w:noProof w:val="0"/>
          <w:szCs w:val="20"/>
          <w:lang w:val="en-US" w:eastAsia="es-ES"/>
        </w:rPr>
        <w:t xml:space="preserve"> </w:t>
      </w:r>
      <w:r w:rsidRPr="004542B5">
        <w:rPr>
          <w:i w:val="0"/>
          <w:noProof w:val="0"/>
          <w:szCs w:val="20"/>
          <w:lang w:val="en-US" w:eastAsia="es-ES"/>
        </w:rPr>
        <w:t>to a public hearing</w:t>
      </w:r>
      <w:r w:rsidR="007B47B1" w:rsidRPr="004542B5">
        <w:rPr>
          <w:i w:val="0"/>
          <w:noProof w:val="0"/>
          <w:szCs w:val="20"/>
          <w:lang w:val="en-US" w:eastAsia="es-ES"/>
        </w:rPr>
        <w:t xml:space="preserve"> </w:t>
      </w:r>
      <w:r w:rsidRPr="004542B5">
        <w:rPr>
          <w:i w:val="0"/>
          <w:noProof w:val="0"/>
          <w:szCs w:val="20"/>
          <w:lang w:val="en-US" w:eastAsia="es-ES"/>
        </w:rPr>
        <w:t xml:space="preserve">that </w:t>
      </w:r>
      <w:r w:rsidR="00B57BA2" w:rsidRPr="004542B5">
        <w:rPr>
          <w:i w:val="0"/>
          <w:noProof w:val="0"/>
          <w:szCs w:val="20"/>
          <w:lang w:val="en-US" w:eastAsia="es-ES"/>
        </w:rPr>
        <w:t>took place</w:t>
      </w:r>
      <w:r w:rsidRPr="004542B5">
        <w:rPr>
          <w:i w:val="0"/>
          <w:noProof w:val="0"/>
          <w:szCs w:val="20"/>
          <w:lang w:val="en-US" w:eastAsia="es-ES"/>
        </w:rPr>
        <w:t xml:space="preserve"> on April</w:t>
      </w:r>
      <w:r w:rsidR="007B47B1" w:rsidRPr="004542B5">
        <w:rPr>
          <w:i w:val="0"/>
          <w:noProof w:val="0"/>
          <w:szCs w:val="20"/>
          <w:lang w:val="en-US" w:eastAsia="es-ES"/>
        </w:rPr>
        <w:t xml:space="preserve"> 2</w:t>
      </w:r>
      <w:r w:rsidRPr="004542B5">
        <w:rPr>
          <w:i w:val="0"/>
          <w:noProof w:val="0"/>
          <w:szCs w:val="20"/>
          <w:lang w:val="en-US" w:eastAsia="es-ES"/>
        </w:rPr>
        <w:t xml:space="preserve">, </w:t>
      </w:r>
      <w:r w:rsidR="007B47B1" w:rsidRPr="004542B5">
        <w:rPr>
          <w:i w:val="0"/>
          <w:noProof w:val="0"/>
          <w:szCs w:val="20"/>
          <w:lang w:val="en-US" w:eastAsia="es-ES"/>
        </w:rPr>
        <w:t>2014</w:t>
      </w:r>
      <w:r w:rsidRPr="004542B5">
        <w:rPr>
          <w:i w:val="0"/>
          <w:noProof w:val="0"/>
          <w:szCs w:val="20"/>
          <w:lang w:val="en-US" w:eastAsia="es-ES"/>
        </w:rPr>
        <w:t>, during the Court’s 50</w:t>
      </w:r>
      <w:r w:rsidRPr="004542B5">
        <w:rPr>
          <w:i w:val="0"/>
          <w:noProof w:val="0"/>
          <w:szCs w:val="20"/>
          <w:vertAlign w:val="superscript"/>
          <w:lang w:val="en-US" w:eastAsia="es-ES"/>
        </w:rPr>
        <w:t>th</w:t>
      </w:r>
      <w:r w:rsidRPr="004542B5">
        <w:rPr>
          <w:i w:val="0"/>
          <w:noProof w:val="0"/>
          <w:szCs w:val="20"/>
          <w:lang w:val="en-US" w:eastAsia="es-ES"/>
        </w:rPr>
        <w:t xml:space="preserve"> special session </w:t>
      </w:r>
      <w:r w:rsidR="00B57BA2" w:rsidRPr="004542B5">
        <w:rPr>
          <w:i w:val="0"/>
          <w:noProof w:val="0"/>
          <w:szCs w:val="20"/>
          <w:lang w:val="en-US" w:eastAsia="es-ES"/>
        </w:rPr>
        <w:t>held at</w:t>
      </w:r>
      <w:r w:rsidRPr="004542B5">
        <w:rPr>
          <w:i w:val="0"/>
          <w:noProof w:val="0"/>
          <w:szCs w:val="20"/>
          <w:lang w:val="en-US" w:eastAsia="es-ES"/>
        </w:rPr>
        <w:t xml:space="preserve"> its seat.</w:t>
      </w:r>
      <w:r w:rsidR="007B47B1" w:rsidRPr="004542B5">
        <w:rPr>
          <w:rStyle w:val="FootnoteReference"/>
          <w:i w:val="0"/>
          <w:noProof w:val="0"/>
          <w:lang w:val="en-US"/>
        </w:rPr>
        <w:footnoteReference w:id="12"/>
      </w:r>
      <w:r w:rsidRPr="004542B5">
        <w:rPr>
          <w:i w:val="0"/>
          <w:noProof w:val="0"/>
          <w:szCs w:val="20"/>
          <w:lang w:val="en-US" w:eastAsia="es-ES"/>
        </w:rPr>
        <w:t xml:space="preserve"> During the hearing, the Court received the statements of two presumed victims proposed by</w:t>
      </w:r>
      <w:r w:rsidR="007B47B1" w:rsidRPr="004542B5">
        <w:rPr>
          <w:i w:val="0"/>
          <w:noProof w:val="0"/>
          <w:szCs w:val="20"/>
          <w:lang w:val="en-US" w:eastAsia="es-ES"/>
        </w:rPr>
        <w:t xml:space="preserve"> </w:t>
      </w:r>
      <w:r w:rsidR="00562CBB" w:rsidRPr="004542B5">
        <w:rPr>
          <w:i w:val="0"/>
          <w:noProof w:val="0"/>
          <w:szCs w:val="20"/>
          <w:lang w:val="en-US" w:eastAsia="es-ES"/>
        </w:rPr>
        <w:t>the representatives</w:t>
      </w:r>
      <w:r w:rsidRPr="004542B5">
        <w:rPr>
          <w:i w:val="0"/>
          <w:noProof w:val="0"/>
          <w:szCs w:val="20"/>
          <w:lang w:val="en-US" w:eastAsia="es-ES"/>
        </w:rPr>
        <w:t>,</w:t>
      </w:r>
      <w:r w:rsidR="007B47B1" w:rsidRPr="004542B5">
        <w:rPr>
          <w:rStyle w:val="FootnoteReference"/>
          <w:i w:val="0"/>
          <w:noProof w:val="0"/>
          <w:lang w:val="en-US" w:eastAsia="es-ES"/>
        </w:rPr>
        <w:footnoteReference w:id="13"/>
      </w:r>
      <w:r w:rsidR="007B47B1" w:rsidRPr="004542B5">
        <w:rPr>
          <w:i w:val="0"/>
          <w:noProof w:val="0"/>
          <w:szCs w:val="20"/>
          <w:lang w:val="en-US" w:eastAsia="es-ES"/>
        </w:rPr>
        <w:t xml:space="preserve"> </w:t>
      </w:r>
      <w:r w:rsidRPr="004542B5">
        <w:rPr>
          <w:i w:val="0"/>
          <w:noProof w:val="0"/>
          <w:szCs w:val="20"/>
          <w:lang w:val="en-US" w:eastAsia="es-ES"/>
        </w:rPr>
        <w:t>and the final oral observations and arguments</w:t>
      </w:r>
      <w:r w:rsidR="008A56D7" w:rsidRPr="004542B5">
        <w:rPr>
          <w:i w:val="0"/>
          <w:noProof w:val="0"/>
          <w:szCs w:val="20"/>
          <w:lang w:val="en-US" w:eastAsia="es-ES"/>
        </w:rPr>
        <w:t xml:space="preserve"> of the </w:t>
      </w:r>
      <w:r w:rsidR="00562CBB" w:rsidRPr="004542B5">
        <w:rPr>
          <w:i w:val="0"/>
          <w:noProof w:val="0"/>
          <w:szCs w:val="20"/>
          <w:lang w:val="en-US" w:eastAsia="es-ES"/>
        </w:rPr>
        <w:t>Commission</w:t>
      </w:r>
      <w:r w:rsidR="007B47B1" w:rsidRPr="004542B5">
        <w:rPr>
          <w:i w:val="0"/>
          <w:noProof w:val="0"/>
          <w:szCs w:val="20"/>
          <w:lang w:val="en-US" w:eastAsia="es-ES"/>
        </w:rPr>
        <w:t xml:space="preserve">, </w:t>
      </w:r>
      <w:r w:rsidR="00562CBB" w:rsidRPr="004542B5">
        <w:rPr>
          <w:i w:val="0"/>
          <w:noProof w:val="0"/>
          <w:szCs w:val="20"/>
          <w:lang w:val="en-US" w:eastAsia="es-ES"/>
        </w:rPr>
        <w:t>the representatives</w:t>
      </w:r>
      <w:r w:rsidRPr="004542B5">
        <w:rPr>
          <w:i w:val="0"/>
          <w:noProof w:val="0"/>
          <w:szCs w:val="20"/>
          <w:lang w:val="en-US" w:eastAsia="es-ES"/>
        </w:rPr>
        <w:t xml:space="preserve"> of the </w:t>
      </w:r>
      <w:r w:rsidR="00F3300A" w:rsidRPr="004542B5">
        <w:rPr>
          <w:i w:val="0"/>
          <w:noProof w:val="0"/>
          <w:szCs w:val="20"/>
          <w:lang w:val="en-US" w:eastAsia="es-ES"/>
        </w:rPr>
        <w:t>presumed victims</w:t>
      </w:r>
      <w:r w:rsidRPr="004542B5">
        <w:rPr>
          <w:i w:val="0"/>
          <w:noProof w:val="0"/>
          <w:szCs w:val="20"/>
          <w:lang w:val="en-US" w:eastAsia="es-ES"/>
        </w:rPr>
        <w:t>,</w:t>
      </w:r>
      <w:r w:rsidR="00CD2B90" w:rsidRPr="004542B5">
        <w:rPr>
          <w:i w:val="0"/>
          <w:noProof w:val="0"/>
          <w:szCs w:val="20"/>
          <w:lang w:val="en-US" w:eastAsia="es-ES"/>
        </w:rPr>
        <w:t xml:space="preserve"> and </w:t>
      </w:r>
      <w:r w:rsidR="00562CBB" w:rsidRPr="004542B5">
        <w:rPr>
          <w:i w:val="0"/>
          <w:noProof w:val="0"/>
          <w:szCs w:val="20"/>
          <w:lang w:val="en-US" w:eastAsia="es-ES"/>
        </w:rPr>
        <w:t>the State</w:t>
      </w:r>
      <w:r w:rsidR="007B47B1" w:rsidRPr="004542B5">
        <w:rPr>
          <w:i w:val="0"/>
          <w:noProof w:val="0"/>
          <w:szCs w:val="20"/>
          <w:lang w:val="en-US" w:eastAsia="es-ES"/>
        </w:rPr>
        <w:t>, respectiv</w:t>
      </w:r>
      <w:r w:rsidRPr="004542B5">
        <w:rPr>
          <w:i w:val="0"/>
          <w:noProof w:val="0"/>
          <w:szCs w:val="20"/>
          <w:lang w:val="en-US" w:eastAsia="es-ES"/>
        </w:rPr>
        <w:t>ely</w:t>
      </w:r>
      <w:r w:rsidR="007B47B1" w:rsidRPr="004542B5">
        <w:rPr>
          <w:i w:val="0"/>
          <w:noProof w:val="0"/>
          <w:szCs w:val="20"/>
          <w:lang w:val="en-US" w:eastAsia="es-ES"/>
        </w:rPr>
        <w:t xml:space="preserve">. </w:t>
      </w:r>
      <w:r w:rsidR="00B57BA2" w:rsidRPr="004542B5">
        <w:rPr>
          <w:i w:val="0"/>
          <w:noProof w:val="0"/>
          <w:szCs w:val="20"/>
          <w:lang w:val="en-US" w:eastAsia="es-ES"/>
        </w:rPr>
        <w:t>Also, during the</w:t>
      </w:r>
      <w:r w:rsidRPr="004542B5">
        <w:rPr>
          <w:i w:val="0"/>
          <w:noProof w:val="0"/>
          <w:szCs w:val="20"/>
          <w:lang w:val="en-US" w:eastAsia="es-ES"/>
        </w:rPr>
        <w:t xml:space="preserve"> hearing</w:t>
      </w:r>
      <w:r w:rsidR="007B47B1" w:rsidRPr="004542B5">
        <w:rPr>
          <w:i w:val="0"/>
          <w:noProof w:val="0"/>
          <w:szCs w:val="20"/>
          <w:lang w:val="en-US" w:eastAsia="es-ES"/>
        </w:rPr>
        <w:t xml:space="preserve">, </w:t>
      </w:r>
      <w:r w:rsidR="00562CBB" w:rsidRPr="004542B5">
        <w:rPr>
          <w:i w:val="0"/>
          <w:noProof w:val="0"/>
          <w:szCs w:val="20"/>
          <w:lang w:val="en-US" w:eastAsia="es-ES"/>
        </w:rPr>
        <w:t>the Court</w:t>
      </w:r>
      <w:r w:rsidR="007B47B1" w:rsidRPr="004542B5">
        <w:rPr>
          <w:i w:val="0"/>
          <w:noProof w:val="0"/>
          <w:szCs w:val="20"/>
          <w:lang w:val="en-US" w:eastAsia="es-ES"/>
        </w:rPr>
        <w:t xml:space="preserve"> </w:t>
      </w:r>
      <w:r w:rsidRPr="004542B5">
        <w:rPr>
          <w:i w:val="0"/>
          <w:noProof w:val="0"/>
          <w:szCs w:val="20"/>
          <w:lang w:val="en-US" w:eastAsia="es-ES"/>
        </w:rPr>
        <w:t>required the parties to present certain helpful information and documentation.</w:t>
      </w:r>
    </w:p>
    <w:p w14:paraId="3A21CF97" w14:textId="60419540" w:rsidR="003F6439" w:rsidRPr="004542B5" w:rsidRDefault="00EC75CA" w:rsidP="00A500FA">
      <w:pPr>
        <w:pStyle w:val="Estilo1"/>
        <w:numPr>
          <w:ilvl w:val="0"/>
          <w:numId w:val="2"/>
        </w:numPr>
        <w:tabs>
          <w:tab w:val="left" w:pos="720"/>
          <w:tab w:val="left" w:pos="1134"/>
          <w:tab w:val="num" w:pos="6042"/>
        </w:tabs>
        <w:spacing w:before="120" w:after="0"/>
        <w:ind w:right="0"/>
        <w:rPr>
          <w:rFonts w:cs="Verdana"/>
          <w:i w:val="0"/>
          <w:noProof w:val="0"/>
          <w:szCs w:val="20"/>
          <w:lang w:val="en-US" w:eastAsia="es-ES"/>
        </w:rPr>
      </w:pPr>
      <w:r w:rsidRPr="004542B5">
        <w:rPr>
          <w:rFonts w:cs="Verdana"/>
          <w:noProof w:val="0"/>
          <w:szCs w:val="20"/>
          <w:lang w:val="en-US" w:eastAsia="es-ES"/>
        </w:rPr>
        <w:t>Final written arguments and observations.</w:t>
      </w:r>
      <w:r w:rsidR="007B47B1" w:rsidRPr="004542B5">
        <w:rPr>
          <w:rFonts w:cs="Verdana"/>
          <w:i w:val="0"/>
          <w:noProof w:val="0"/>
          <w:szCs w:val="20"/>
          <w:lang w:val="en-US" w:eastAsia="es-ES"/>
        </w:rPr>
        <w:t xml:space="preserve"> </w:t>
      </w:r>
      <w:bookmarkStart w:id="18" w:name="_Ref313990861"/>
      <w:r w:rsidRPr="004542B5">
        <w:rPr>
          <w:rFonts w:cs="Verdana"/>
          <w:i w:val="0"/>
          <w:noProof w:val="0"/>
          <w:szCs w:val="20"/>
          <w:lang w:val="en-US" w:eastAsia="es-ES"/>
        </w:rPr>
        <w:t>On April 30,</w:t>
      </w:r>
      <w:r w:rsidR="007B47B1" w:rsidRPr="004542B5">
        <w:rPr>
          <w:rFonts w:cs="Verdana"/>
          <w:i w:val="0"/>
          <w:noProof w:val="0"/>
          <w:szCs w:val="20"/>
          <w:lang w:val="en-US" w:eastAsia="es-ES"/>
        </w:rPr>
        <w:t xml:space="preserve"> 2014</w:t>
      </w:r>
      <w:r w:rsidRPr="004542B5">
        <w:rPr>
          <w:rFonts w:cs="Verdana"/>
          <w:i w:val="0"/>
          <w:noProof w:val="0"/>
          <w:szCs w:val="20"/>
          <w:lang w:val="en-US" w:eastAsia="es-ES"/>
        </w:rPr>
        <w:t>,</w:t>
      </w:r>
      <w:r w:rsidR="007B47B1" w:rsidRPr="004542B5">
        <w:rPr>
          <w:rStyle w:val="FootnoteReference"/>
          <w:i w:val="0"/>
          <w:noProof w:val="0"/>
          <w:lang w:val="en-US"/>
        </w:rPr>
        <w:footnoteReference w:id="14"/>
      </w:r>
      <w:r w:rsidR="007B47B1" w:rsidRPr="004542B5">
        <w:rPr>
          <w:rFonts w:cs="Verdana"/>
          <w:i w:val="0"/>
          <w:noProof w:val="0"/>
          <w:szCs w:val="20"/>
          <w:lang w:val="en-US" w:eastAsia="es-ES"/>
        </w:rPr>
        <w:t xml:space="preserve"> </w:t>
      </w:r>
      <w:r w:rsidR="00562CBB" w:rsidRPr="004542B5">
        <w:rPr>
          <w:rFonts w:cs="Verdana"/>
          <w:i w:val="0"/>
          <w:noProof w:val="0"/>
          <w:szCs w:val="20"/>
          <w:lang w:val="en-US" w:eastAsia="es-ES"/>
        </w:rPr>
        <w:t>the State</w:t>
      </w:r>
      <w:r w:rsidR="007B47B1" w:rsidRPr="004542B5">
        <w:rPr>
          <w:rFonts w:cs="Verdana"/>
          <w:i w:val="0"/>
          <w:noProof w:val="0"/>
          <w:szCs w:val="20"/>
          <w:lang w:val="en-US" w:eastAsia="es-ES"/>
        </w:rPr>
        <w:t xml:space="preserve"> </w:t>
      </w:r>
      <w:r w:rsidRPr="004542B5">
        <w:rPr>
          <w:rFonts w:cs="Verdana"/>
          <w:i w:val="0"/>
          <w:noProof w:val="0"/>
          <w:szCs w:val="20"/>
          <w:lang w:val="en-US" w:eastAsia="es-ES"/>
        </w:rPr>
        <w:t xml:space="preserve">forwarded its final written arguments, and on May 3, 2014, </w:t>
      </w:r>
      <w:r w:rsidR="00562CBB" w:rsidRPr="004542B5">
        <w:rPr>
          <w:rFonts w:cs="Verdana"/>
          <w:i w:val="0"/>
          <w:noProof w:val="0"/>
          <w:szCs w:val="20"/>
          <w:lang w:val="en-US" w:eastAsia="es-ES"/>
        </w:rPr>
        <w:t>the Commission</w:t>
      </w:r>
      <w:r w:rsidR="007B47B1" w:rsidRPr="004542B5">
        <w:rPr>
          <w:rFonts w:cs="Verdana"/>
          <w:i w:val="0"/>
          <w:noProof w:val="0"/>
          <w:szCs w:val="20"/>
          <w:lang w:val="en-US" w:eastAsia="es-ES"/>
        </w:rPr>
        <w:t xml:space="preserve"> present</w:t>
      </w:r>
      <w:r w:rsidRPr="004542B5">
        <w:rPr>
          <w:rFonts w:cs="Verdana"/>
          <w:i w:val="0"/>
          <w:noProof w:val="0"/>
          <w:szCs w:val="20"/>
          <w:lang w:val="en-US" w:eastAsia="es-ES"/>
        </w:rPr>
        <w:t xml:space="preserve">ed its final written observations </w:t>
      </w:r>
      <w:r w:rsidR="00CD2B90" w:rsidRPr="004542B5">
        <w:rPr>
          <w:rFonts w:cs="Verdana"/>
          <w:i w:val="0"/>
          <w:noProof w:val="0"/>
          <w:szCs w:val="20"/>
          <w:lang w:val="en-US" w:eastAsia="es-ES"/>
        </w:rPr>
        <w:t xml:space="preserve">and </w:t>
      </w:r>
      <w:r w:rsidR="00562CBB" w:rsidRPr="004542B5">
        <w:rPr>
          <w:rFonts w:cs="Verdana"/>
          <w:i w:val="0"/>
          <w:noProof w:val="0"/>
          <w:szCs w:val="20"/>
          <w:lang w:val="en-US" w:eastAsia="es-ES"/>
        </w:rPr>
        <w:t>the representatives</w:t>
      </w:r>
      <w:r w:rsidR="007B47B1" w:rsidRPr="004542B5">
        <w:rPr>
          <w:rFonts w:cs="Verdana"/>
          <w:i w:val="0"/>
          <w:noProof w:val="0"/>
          <w:szCs w:val="20"/>
          <w:lang w:val="en-US" w:eastAsia="es-ES"/>
        </w:rPr>
        <w:t xml:space="preserve"> </w:t>
      </w:r>
      <w:r w:rsidRPr="004542B5">
        <w:rPr>
          <w:rFonts w:cs="Verdana"/>
          <w:i w:val="0"/>
          <w:noProof w:val="0"/>
          <w:szCs w:val="20"/>
          <w:lang w:val="en-US" w:eastAsia="es-ES"/>
        </w:rPr>
        <w:t>their final written arguments;</w:t>
      </w:r>
      <w:r w:rsidR="007B47B1" w:rsidRPr="004542B5">
        <w:rPr>
          <w:rStyle w:val="FootnoteReference"/>
          <w:i w:val="0"/>
          <w:noProof w:val="0"/>
          <w:lang w:val="en-US" w:eastAsia="es-ES"/>
        </w:rPr>
        <w:footnoteReference w:id="15"/>
      </w:r>
      <w:r w:rsidRPr="004542B5">
        <w:rPr>
          <w:rFonts w:cs="Verdana"/>
          <w:i w:val="0"/>
          <w:noProof w:val="0"/>
          <w:szCs w:val="20"/>
          <w:lang w:val="en-US" w:eastAsia="es-ES"/>
        </w:rPr>
        <w:t xml:space="preserve"> all of which were forwarded to the other party and to </w:t>
      </w:r>
      <w:r w:rsidR="00562CBB" w:rsidRPr="004542B5">
        <w:rPr>
          <w:rFonts w:cs="Verdana"/>
          <w:i w:val="0"/>
          <w:noProof w:val="0"/>
          <w:szCs w:val="20"/>
          <w:lang w:val="en-US" w:eastAsia="es-ES"/>
        </w:rPr>
        <w:t>the Commission</w:t>
      </w:r>
      <w:r w:rsidR="0015407C" w:rsidRPr="004542B5">
        <w:rPr>
          <w:rFonts w:cs="Verdana"/>
          <w:i w:val="0"/>
          <w:noProof w:val="0"/>
          <w:szCs w:val="20"/>
          <w:lang w:val="en-US" w:eastAsia="es-ES"/>
        </w:rPr>
        <w:t xml:space="preserve"> </w:t>
      </w:r>
      <w:r w:rsidRPr="004542B5">
        <w:rPr>
          <w:rFonts w:cs="Verdana"/>
          <w:i w:val="0"/>
          <w:noProof w:val="0"/>
          <w:szCs w:val="20"/>
          <w:lang w:val="en-US" w:eastAsia="es-ES"/>
        </w:rPr>
        <w:t>on May 28,</w:t>
      </w:r>
      <w:r w:rsidR="0015407C" w:rsidRPr="004542B5">
        <w:rPr>
          <w:rFonts w:cs="Verdana"/>
          <w:i w:val="0"/>
          <w:noProof w:val="0"/>
          <w:szCs w:val="20"/>
          <w:lang w:val="en-US" w:eastAsia="es-ES"/>
        </w:rPr>
        <w:t xml:space="preserve"> 2014. </w:t>
      </w:r>
      <w:r w:rsidRPr="004542B5">
        <w:rPr>
          <w:rFonts w:cs="Verdana"/>
          <w:i w:val="0"/>
          <w:noProof w:val="0"/>
          <w:szCs w:val="20"/>
          <w:lang w:val="en-US" w:eastAsia="es-ES"/>
        </w:rPr>
        <w:t>The</w:t>
      </w:r>
      <w:r w:rsidR="00562CBB" w:rsidRPr="004542B5">
        <w:rPr>
          <w:rFonts w:cs="Verdana"/>
          <w:i w:val="0"/>
          <w:noProof w:val="0"/>
          <w:szCs w:val="20"/>
          <w:lang w:val="en-US" w:eastAsia="es-ES"/>
        </w:rPr>
        <w:t xml:space="preserve"> representatives</w:t>
      </w:r>
      <w:r w:rsidR="00CD2B90" w:rsidRPr="004542B5">
        <w:rPr>
          <w:rFonts w:cs="Verdana"/>
          <w:i w:val="0"/>
          <w:noProof w:val="0"/>
          <w:szCs w:val="20"/>
          <w:lang w:val="en-US" w:eastAsia="es-ES"/>
        </w:rPr>
        <w:t xml:space="preserve"> and </w:t>
      </w:r>
      <w:r w:rsidR="00562CBB" w:rsidRPr="004542B5">
        <w:rPr>
          <w:rFonts w:cs="Verdana"/>
          <w:i w:val="0"/>
          <w:noProof w:val="0"/>
          <w:szCs w:val="20"/>
          <w:lang w:val="en-US" w:eastAsia="es-ES"/>
        </w:rPr>
        <w:t>the State</w:t>
      </w:r>
      <w:r w:rsidR="007B47B1" w:rsidRPr="004542B5">
        <w:rPr>
          <w:rFonts w:cs="Verdana"/>
          <w:i w:val="0"/>
          <w:noProof w:val="0"/>
          <w:szCs w:val="20"/>
          <w:lang w:val="en-US" w:eastAsia="es-ES"/>
        </w:rPr>
        <w:t xml:space="preserve"> </w:t>
      </w:r>
      <w:r w:rsidRPr="004542B5">
        <w:rPr>
          <w:rFonts w:cs="Verdana"/>
          <w:i w:val="0"/>
          <w:noProof w:val="0"/>
          <w:szCs w:val="20"/>
          <w:lang w:val="en-US" w:eastAsia="es-ES"/>
        </w:rPr>
        <w:t>also responded to the Court’s request for helpful information and documentation.</w:t>
      </w:r>
    </w:p>
    <w:bookmarkEnd w:id="18"/>
    <w:p w14:paraId="3E25B03E" w14:textId="042E4209" w:rsidR="00125BA1" w:rsidRPr="004542B5" w:rsidRDefault="00EC75CA" w:rsidP="00A500FA">
      <w:pPr>
        <w:pStyle w:val="Estilo1"/>
        <w:numPr>
          <w:ilvl w:val="0"/>
          <w:numId w:val="2"/>
        </w:numPr>
        <w:tabs>
          <w:tab w:val="left" w:pos="720"/>
          <w:tab w:val="left" w:pos="1134"/>
          <w:tab w:val="num" w:pos="6042"/>
        </w:tabs>
        <w:spacing w:before="120" w:after="0"/>
        <w:ind w:right="0"/>
        <w:rPr>
          <w:rFonts w:cs="Verdana"/>
          <w:i w:val="0"/>
          <w:noProof w:val="0"/>
          <w:szCs w:val="20"/>
          <w:lang w:val="en-US" w:eastAsia="es-ES"/>
        </w:rPr>
      </w:pPr>
      <w:r w:rsidRPr="004542B5">
        <w:rPr>
          <w:rFonts w:cs="Verdana"/>
          <w:noProof w:val="0"/>
          <w:szCs w:val="20"/>
          <w:lang w:val="en-US" w:eastAsia="es-ES"/>
        </w:rPr>
        <w:t>Helpful evidence</w:t>
      </w:r>
      <w:r w:rsidR="007B47B1" w:rsidRPr="004542B5">
        <w:rPr>
          <w:rFonts w:cs="Verdana"/>
          <w:i w:val="0"/>
          <w:noProof w:val="0"/>
          <w:szCs w:val="20"/>
          <w:lang w:val="en-US" w:eastAsia="es-ES"/>
        </w:rPr>
        <w:t xml:space="preserve">. </w:t>
      </w:r>
      <w:r w:rsidRPr="004542B5">
        <w:rPr>
          <w:rFonts w:cs="Verdana"/>
          <w:i w:val="0"/>
          <w:noProof w:val="0"/>
          <w:szCs w:val="20"/>
          <w:lang w:val="en-US" w:eastAsia="es-ES"/>
        </w:rPr>
        <w:t xml:space="preserve">In a Secretariat note of June 10, 2014, </w:t>
      </w:r>
      <w:r w:rsidR="00562CBB" w:rsidRPr="004542B5">
        <w:rPr>
          <w:rFonts w:cs="Verdana"/>
          <w:i w:val="0"/>
          <w:noProof w:val="0"/>
          <w:szCs w:val="20"/>
          <w:lang w:val="en-US" w:eastAsia="es-ES"/>
        </w:rPr>
        <w:t>the representatives</w:t>
      </w:r>
      <w:r w:rsidRPr="004542B5">
        <w:rPr>
          <w:rFonts w:cs="Verdana"/>
          <w:i w:val="0"/>
          <w:noProof w:val="0"/>
          <w:szCs w:val="20"/>
          <w:lang w:val="en-US" w:eastAsia="es-ES"/>
        </w:rPr>
        <w:t xml:space="preserve"> were asked to send helpful documentation, and this was forwarded on June 20, </w:t>
      </w:r>
      <w:r w:rsidR="007B47B1" w:rsidRPr="004542B5">
        <w:rPr>
          <w:rFonts w:cs="Verdana"/>
          <w:i w:val="0"/>
          <w:noProof w:val="0"/>
          <w:szCs w:val="20"/>
          <w:lang w:val="en-US" w:eastAsia="es-ES"/>
        </w:rPr>
        <w:t xml:space="preserve">2014. </w:t>
      </w:r>
      <w:r w:rsidRPr="004542B5">
        <w:rPr>
          <w:rFonts w:cs="Verdana"/>
          <w:i w:val="0"/>
          <w:noProof w:val="0"/>
          <w:szCs w:val="20"/>
          <w:lang w:val="en-US" w:eastAsia="es-ES"/>
        </w:rPr>
        <w:t>The</w:t>
      </w:r>
      <w:r w:rsidR="007B47B1" w:rsidRPr="004542B5">
        <w:rPr>
          <w:rFonts w:cs="Verdana"/>
          <w:i w:val="0"/>
          <w:noProof w:val="0"/>
          <w:szCs w:val="20"/>
          <w:lang w:val="en-US" w:eastAsia="es-ES"/>
        </w:rPr>
        <w:t xml:space="preserve"> </w:t>
      </w:r>
      <w:r w:rsidR="00562CBB" w:rsidRPr="004542B5">
        <w:rPr>
          <w:rFonts w:cs="Verdana"/>
          <w:i w:val="0"/>
          <w:noProof w:val="0"/>
          <w:szCs w:val="20"/>
          <w:lang w:val="en-US" w:eastAsia="es-ES"/>
        </w:rPr>
        <w:t>President</w:t>
      </w:r>
      <w:r w:rsidR="007B47B1" w:rsidRPr="004542B5">
        <w:rPr>
          <w:rFonts w:cs="Verdana"/>
          <w:i w:val="0"/>
          <w:noProof w:val="0"/>
          <w:szCs w:val="20"/>
          <w:lang w:val="en-US" w:eastAsia="es-ES"/>
        </w:rPr>
        <w:t xml:space="preserve">, </w:t>
      </w:r>
      <w:r w:rsidRPr="004542B5">
        <w:rPr>
          <w:rFonts w:cs="Verdana"/>
          <w:i w:val="0"/>
          <w:noProof w:val="0"/>
          <w:szCs w:val="20"/>
          <w:lang w:val="en-US" w:eastAsia="es-ES"/>
        </w:rPr>
        <w:t xml:space="preserve">in a Secretariat note of June 23, 2014, granted the State </w:t>
      </w:r>
      <w:r w:rsidR="00CD2B90" w:rsidRPr="004542B5">
        <w:rPr>
          <w:rFonts w:cs="Verdana"/>
          <w:i w:val="0"/>
          <w:noProof w:val="0"/>
          <w:szCs w:val="20"/>
          <w:lang w:val="en-US" w:eastAsia="es-ES"/>
        </w:rPr>
        <w:t xml:space="preserve">and </w:t>
      </w:r>
      <w:r w:rsidR="00562CBB" w:rsidRPr="004542B5">
        <w:rPr>
          <w:rFonts w:cs="Verdana"/>
          <w:i w:val="0"/>
          <w:noProof w:val="0"/>
          <w:szCs w:val="20"/>
          <w:lang w:val="en-US" w:eastAsia="es-ES"/>
        </w:rPr>
        <w:t>the Commission</w:t>
      </w:r>
      <w:r w:rsidR="007B47B1" w:rsidRPr="004542B5">
        <w:rPr>
          <w:rFonts w:cs="Verdana"/>
          <w:i w:val="0"/>
          <w:noProof w:val="0"/>
          <w:szCs w:val="20"/>
          <w:lang w:val="en-US" w:eastAsia="es-ES"/>
        </w:rPr>
        <w:t xml:space="preserve"> </w:t>
      </w:r>
      <w:r w:rsidRPr="004542B5">
        <w:rPr>
          <w:rFonts w:cs="Verdana"/>
          <w:i w:val="0"/>
          <w:noProof w:val="0"/>
          <w:szCs w:val="20"/>
          <w:lang w:val="en-US" w:eastAsia="es-ES"/>
        </w:rPr>
        <w:t>until June 30, 2014, to present any observations they deemed pertinent in this regard</w:t>
      </w:r>
      <w:r w:rsidR="00B57BA2" w:rsidRPr="004542B5">
        <w:rPr>
          <w:rFonts w:cs="Verdana"/>
          <w:i w:val="0"/>
          <w:noProof w:val="0"/>
          <w:szCs w:val="20"/>
          <w:lang w:val="en-US" w:eastAsia="es-ES"/>
        </w:rPr>
        <w:t>,</w:t>
      </w:r>
      <w:r w:rsidRPr="004542B5">
        <w:rPr>
          <w:rFonts w:cs="Verdana"/>
          <w:i w:val="0"/>
          <w:noProof w:val="0"/>
          <w:szCs w:val="20"/>
          <w:lang w:val="en-US" w:eastAsia="es-ES"/>
        </w:rPr>
        <w:t xml:space="preserve"> and for the parties </w:t>
      </w:r>
      <w:r w:rsidR="00CD2B90" w:rsidRPr="004542B5">
        <w:rPr>
          <w:rFonts w:cs="Verdana"/>
          <w:i w:val="0"/>
          <w:noProof w:val="0"/>
          <w:szCs w:val="20"/>
          <w:lang w:val="en-US" w:eastAsia="es-ES"/>
        </w:rPr>
        <w:t xml:space="preserve">and </w:t>
      </w:r>
      <w:r w:rsidR="00562CBB" w:rsidRPr="004542B5">
        <w:rPr>
          <w:rFonts w:cs="Verdana"/>
          <w:i w:val="0"/>
          <w:noProof w:val="0"/>
          <w:szCs w:val="20"/>
          <w:lang w:val="en-US" w:eastAsia="es-ES"/>
        </w:rPr>
        <w:t>the Commission</w:t>
      </w:r>
      <w:r w:rsidR="007B47B1" w:rsidRPr="004542B5">
        <w:rPr>
          <w:rFonts w:cs="Verdana"/>
          <w:i w:val="0"/>
          <w:noProof w:val="0"/>
          <w:szCs w:val="20"/>
          <w:lang w:val="en-US" w:eastAsia="es-ES"/>
        </w:rPr>
        <w:t xml:space="preserve"> </w:t>
      </w:r>
      <w:r w:rsidRPr="004542B5">
        <w:rPr>
          <w:rFonts w:cs="Verdana"/>
          <w:i w:val="0"/>
          <w:noProof w:val="0"/>
          <w:szCs w:val="20"/>
          <w:lang w:val="en-US" w:eastAsia="es-ES"/>
        </w:rPr>
        <w:t xml:space="preserve">to present their observations on the annexes to the respective final written arguments of </w:t>
      </w:r>
      <w:r w:rsidR="00562CBB" w:rsidRPr="004542B5">
        <w:rPr>
          <w:rFonts w:cs="Verdana"/>
          <w:i w:val="0"/>
          <w:noProof w:val="0"/>
          <w:szCs w:val="20"/>
          <w:lang w:val="en-US" w:eastAsia="es-ES"/>
        </w:rPr>
        <w:t>the representatives</w:t>
      </w:r>
      <w:r w:rsidR="00CD2B90" w:rsidRPr="004542B5">
        <w:rPr>
          <w:rFonts w:cs="Verdana"/>
          <w:i w:val="0"/>
          <w:noProof w:val="0"/>
          <w:szCs w:val="20"/>
          <w:lang w:val="en-US" w:eastAsia="es-ES"/>
        </w:rPr>
        <w:t xml:space="preserve"> and </w:t>
      </w:r>
      <w:r w:rsidR="00562CBB" w:rsidRPr="004542B5">
        <w:rPr>
          <w:rFonts w:cs="Verdana"/>
          <w:i w:val="0"/>
          <w:noProof w:val="0"/>
          <w:szCs w:val="20"/>
          <w:lang w:val="en-US" w:eastAsia="es-ES"/>
        </w:rPr>
        <w:t>the State</w:t>
      </w:r>
      <w:r w:rsidR="007B47B1" w:rsidRPr="004542B5">
        <w:rPr>
          <w:rFonts w:cs="Verdana"/>
          <w:i w:val="0"/>
          <w:noProof w:val="0"/>
          <w:szCs w:val="20"/>
          <w:lang w:val="en-US" w:eastAsia="es-ES"/>
        </w:rPr>
        <w:t xml:space="preserve">. </w:t>
      </w:r>
      <w:bookmarkStart w:id="19" w:name="_Ref303582878"/>
      <w:r w:rsidRPr="004542B5">
        <w:rPr>
          <w:rFonts w:cs="Verdana"/>
          <w:i w:val="0"/>
          <w:noProof w:val="0"/>
          <w:szCs w:val="20"/>
          <w:lang w:val="en-US" w:eastAsia="es-ES"/>
        </w:rPr>
        <w:t>On June 30,</w:t>
      </w:r>
      <w:r w:rsidR="007B47B1" w:rsidRPr="004542B5">
        <w:rPr>
          <w:rFonts w:cs="Verdana"/>
          <w:i w:val="0"/>
          <w:noProof w:val="0"/>
          <w:szCs w:val="20"/>
          <w:lang w:val="en-US" w:eastAsia="es-ES"/>
        </w:rPr>
        <w:t xml:space="preserve"> 2014</w:t>
      </w:r>
      <w:r w:rsidRPr="004542B5">
        <w:rPr>
          <w:rFonts w:cs="Verdana"/>
          <w:i w:val="0"/>
          <w:noProof w:val="0"/>
          <w:szCs w:val="20"/>
          <w:lang w:val="en-US" w:eastAsia="es-ES"/>
        </w:rPr>
        <w:t>, in two separate briefs,</w:t>
      </w:r>
      <w:r w:rsidR="007B47B1" w:rsidRPr="004542B5">
        <w:rPr>
          <w:rFonts w:cs="Verdana"/>
          <w:i w:val="0"/>
          <w:noProof w:val="0"/>
          <w:szCs w:val="20"/>
          <w:lang w:val="en-US" w:eastAsia="es-ES"/>
        </w:rPr>
        <w:t xml:space="preserve"> </w:t>
      </w:r>
      <w:r w:rsidR="00562CBB" w:rsidRPr="004542B5">
        <w:rPr>
          <w:rFonts w:cs="Verdana"/>
          <w:i w:val="0"/>
          <w:noProof w:val="0"/>
          <w:szCs w:val="20"/>
          <w:lang w:val="en-US" w:eastAsia="es-ES"/>
        </w:rPr>
        <w:t>the State</w:t>
      </w:r>
      <w:r w:rsidR="007B47B1" w:rsidRPr="004542B5">
        <w:rPr>
          <w:rFonts w:cs="Verdana"/>
          <w:i w:val="0"/>
          <w:noProof w:val="0"/>
          <w:szCs w:val="20"/>
          <w:lang w:val="en-US" w:eastAsia="es-ES"/>
        </w:rPr>
        <w:t xml:space="preserve"> </w:t>
      </w:r>
      <w:r w:rsidRPr="004542B5">
        <w:rPr>
          <w:rFonts w:cs="Verdana"/>
          <w:i w:val="0"/>
          <w:noProof w:val="0"/>
          <w:szCs w:val="20"/>
          <w:lang w:val="en-US" w:eastAsia="es-ES"/>
        </w:rPr>
        <w:t xml:space="preserve">forwarded the observations requested. </w:t>
      </w:r>
      <w:r w:rsidR="00A500FA" w:rsidRPr="004542B5">
        <w:rPr>
          <w:rFonts w:cs="Verdana"/>
          <w:i w:val="0"/>
          <w:noProof w:val="0"/>
          <w:szCs w:val="20"/>
          <w:lang w:val="en-US" w:eastAsia="es-ES"/>
        </w:rPr>
        <w:t xml:space="preserve">On July 1, 2014, </w:t>
      </w:r>
      <w:bookmarkEnd w:id="19"/>
      <w:r w:rsidR="00562CBB" w:rsidRPr="004542B5">
        <w:rPr>
          <w:rFonts w:cs="Verdana"/>
          <w:i w:val="0"/>
          <w:noProof w:val="0"/>
          <w:szCs w:val="20"/>
          <w:lang w:val="en-US" w:eastAsia="es-ES"/>
        </w:rPr>
        <w:t>the representatives</w:t>
      </w:r>
      <w:r w:rsidR="007B47B1" w:rsidRPr="004542B5">
        <w:rPr>
          <w:rFonts w:cs="Verdana"/>
          <w:i w:val="0"/>
          <w:noProof w:val="0"/>
          <w:szCs w:val="20"/>
          <w:lang w:val="en-US" w:eastAsia="es-ES"/>
        </w:rPr>
        <w:t xml:space="preserve"> </w:t>
      </w:r>
      <w:r w:rsidR="00A500FA" w:rsidRPr="004542B5">
        <w:rPr>
          <w:rFonts w:cs="Verdana"/>
          <w:i w:val="0"/>
          <w:noProof w:val="0"/>
          <w:szCs w:val="20"/>
          <w:lang w:val="en-US" w:eastAsia="es-ES"/>
        </w:rPr>
        <w:t xml:space="preserve">sent their </w:t>
      </w:r>
      <w:r w:rsidR="00A500FA" w:rsidRPr="004542B5">
        <w:rPr>
          <w:rFonts w:cs="Verdana"/>
          <w:i w:val="0"/>
          <w:noProof w:val="0"/>
          <w:szCs w:val="20"/>
          <w:lang w:val="en-US" w:eastAsia="es-ES"/>
        </w:rPr>
        <w:lastRenderedPageBreak/>
        <w:t xml:space="preserve">observations. On the same date, the </w:t>
      </w:r>
      <w:r w:rsidR="00562CBB" w:rsidRPr="004542B5">
        <w:rPr>
          <w:rFonts w:cs="Verdana"/>
          <w:i w:val="0"/>
          <w:noProof w:val="0"/>
          <w:szCs w:val="20"/>
          <w:lang w:val="en-US" w:eastAsia="es-ES"/>
        </w:rPr>
        <w:t>Commission</w:t>
      </w:r>
      <w:r w:rsidR="007B47B1" w:rsidRPr="004542B5">
        <w:rPr>
          <w:rFonts w:cs="Verdana"/>
          <w:i w:val="0"/>
          <w:noProof w:val="0"/>
          <w:szCs w:val="20"/>
          <w:lang w:val="en-US" w:eastAsia="es-ES"/>
        </w:rPr>
        <w:t xml:space="preserve"> </w:t>
      </w:r>
      <w:r w:rsidR="00A500FA" w:rsidRPr="004542B5">
        <w:rPr>
          <w:rFonts w:cs="Verdana"/>
          <w:i w:val="0"/>
          <w:noProof w:val="0"/>
          <w:szCs w:val="20"/>
          <w:lang w:val="en-US" w:eastAsia="es-ES"/>
        </w:rPr>
        <w:t xml:space="preserve">requested an extension and, </w:t>
      </w:r>
      <w:r w:rsidR="00B57BA2" w:rsidRPr="004542B5">
        <w:rPr>
          <w:rFonts w:cs="Verdana"/>
          <w:i w:val="0"/>
          <w:noProof w:val="0"/>
          <w:szCs w:val="20"/>
          <w:lang w:val="en-US" w:eastAsia="es-ES"/>
        </w:rPr>
        <w:t xml:space="preserve">that same day, </w:t>
      </w:r>
      <w:r w:rsidR="00A500FA" w:rsidRPr="004542B5">
        <w:rPr>
          <w:rFonts w:cs="Verdana"/>
          <w:i w:val="0"/>
          <w:noProof w:val="0"/>
          <w:szCs w:val="20"/>
          <w:lang w:val="en-US" w:eastAsia="es-ES"/>
        </w:rPr>
        <w:t>this was granted until July 9, 2014; however, no observations were received.</w:t>
      </w:r>
    </w:p>
    <w:p w14:paraId="46E712F0" w14:textId="2D355B17" w:rsidR="0015407C" w:rsidRPr="004542B5" w:rsidRDefault="00F57176" w:rsidP="00A500FA">
      <w:pPr>
        <w:pStyle w:val="Estilo1"/>
        <w:numPr>
          <w:ilvl w:val="0"/>
          <w:numId w:val="2"/>
        </w:numPr>
        <w:tabs>
          <w:tab w:val="left" w:pos="720"/>
          <w:tab w:val="left" w:pos="1134"/>
          <w:tab w:val="num" w:pos="6042"/>
        </w:tabs>
        <w:spacing w:before="120" w:after="0"/>
        <w:ind w:right="0"/>
        <w:rPr>
          <w:rFonts w:cs="Verdana"/>
          <w:i w:val="0"/>
          <w:noProof w:val="0"/>
          <w:szCs w:val="20"/>
          <w:lang w:val="en-US" w:eastAsia="es-ES"/>
        </w:rPr>
      </w:pPr>
      <w:r w:rsidRPr="004542B5">
        <w:rPr>
          <w:noProof w:val="0"/>
          <w:lang w:val="en-US" w:eastAsia="es-CR"/>
        </w:rPr>
        <w:t>Delibera</w:t>
      </w:r>
      <w:r w:rsidR="00A500FA" w:rsidRPr="004542B5">
        <w:rPr>
          <w:noProof w:val="0"/>
          <w:lang w:val="en-US" w:eastAsia="es-CR"/>
        </w:rPr>
        <w:t>tion of this case</w:t>
      </w:r>
      <w:r w:rsidRPr="004542B5">
        <w:rPr>
          <w:noProof w:val="0"/>
          <w:lang w:val="en-US" w:eastAsia="es-CR"/>
        </w:rPr>
        <w:t xml:space="preserve">. </w:t>
      </w:r>
      <w:r w:rsidR="00562CBB" w:rsidRPr="004542B5">
        <w:rPr>
          <w:i w:val="0"/>
          <w:noProof w:val="0"/>
          <w:lang w:val="en-US" w:eastAsia="es-CR"/>
        </w:rPr>
        <w:t>The Court</w:t>
      </w:r>
      <w:r w:rsidRPr="004542B5">
        <w:rPr>
          <w:i w:val="0"/>
          <w:noProof w:val="0"/>
          <w:lang w:val="en-US" w:eastAsia="es-CR"/>
        </w:rPr>
        <w:t xml:space="preserve"> </w:t>
      </w:r>
      <w:r w:rsidR="00A500FA" w:rsidRPr="004542B5">
        <w:rPr>
          <w:i w:val="0"/>
          <w:noProof w:val="0"/>
          <w:lang w:val="en-US" w:eastAsia="es-CR"/>
        </w:rPr>
        <w:t>began deliberating</w:t>
      </w:r>
      <w:r w:rsidR="00133200" w:rsidRPr="004542B5">
        <w:rPr>
          <w:i w:val="0"/>
          <w:noProof w:val="0"/>
          <w:lang w:val="en-US" w:eastAsia="es-CR"/>
        </w:rPr>
        <w:t xml:space="preserve"> this judgment</w:t>
      </w:r>
      <w:r w:rsidRPr="004542B5">
        <w:rPr>
          <w:i w:val="0"/>
          <w:noProof w:val="0"/>
          <w:lang w:val="en-US" w:eastAsia="es-CR"/>
        </w:rPr>
        <w:t xml:space="preserve"> </w:t>
      </w:r>
      <w:r w:rsidR="00A500FA" w:rsidRPr="004542B5">
        <w:rPr>
          <w:i w:val="0"/>
          <w:noProof w:val="0"/>
          <w:lang w:val="en-US" w:eastAsia="es-CR"/>
        </w:rPr>
        <w:t>on October 13,</w:t>
      </w:r>
      <w:r w:rsidRPr="004542B5">
        <w:rPr>
          <w:i w:val="0"/>
          <w:noProof w:val="0"/>
          <w:lang w:val="en-US" w:eastAsia="es-CR"/>
        </w:rPr>
        <w:t xml:space="preserve"> 2014.</w:t>
      </w:r>
    </w:p>
    <w:p w14:paraId="29CE67EA" w14:textId="472EC0CF" w:rsidR="00B17F8B" w:rsidRPr="004542B5" w:rsidRDefault="007B47B1" w:rsidP="00E01664">
      <w:pPr>
        <w:pStyle w:val="Heading1"/>
        <w:rPr>
          <w:noProof w:val="0"/>
          <w:lang w:val="en-US"/>
        </w:rPr>
      </w:pPr>
      <w:bookmarkStart w:id="20" w:name="_Toc315133576"/>
      <w:bookmarkStart w:id="21" w:name="_Toc316919761"/>
      <w:bookmarkStart w:id="22" w:name="_Toc329703866"/>
      <w:bookmarkStart w:id="23" w:name="_Toc336638903"/>
      <w:bookmarkStart w:id="24" w:name="_Toc359314423"/>
      <w:bookmarkStart w:id="25" w:name="_Toc361671573"/>
      <w:bookmarkStart w:id="26" w:name="_Toc361671993"/>
      <w:bookmarkStart w:id="27" w:name="_Toc361732790"/>
      <w:bookmarkStart w:id="28" w:name="_Toc361732833"/>
      <w:bookmarkStart w:id="29" w:name="_Toc362456864"/>
      <w:bookmarkStart w:id="30" w:name="_Toc365021393"/>
      <w:bookmarkStart w:id="31" w:name="_Toc369076779"/>
      <w:bookmarkStart w:id="32" w:name="_Toc369989363"/>
      <w:bookmarkStart w:id="33" w:name="_Toc369989450"/>
      <w:bookmarkStart w:id="34" w:name="_Toc369989731"/>
      <w:bookmarkStart w:id="35" w:name="_Toc45200850"/>
      <w:r w:rsidRPr="004542B5">
        <w:rPr>
          <w:noProof w:val="0"/>
          <w:lang w:val="en-US"/>
        </w:rPr>
        <w:t>III</w:t>
      </w:r>
      <w:r w:rsidRPr="004542B5">
        <w:rPr>
          <w:noProof w:val="0"/>
          <w:color w:val="FFFFFF" w:themeColor="background1"/>
          <w:lang w:val="en-US"/>
        </w:rPr>
        <w:t>.</w:t>
      </w:r>
      <w:r w:rsidRPr="004542B5">
        <w:rPr>
          <w:noProof w:val="0"/>
          <w:lang w:val="en-US"/>
        </w:rPr>
        <w:br/>
      </w:r>
      <w:r w:rsidR="00B902E7" w:rsidRPr="004542B5">
        <w:rPr>
          <w:noProof w:val="0"/>
          <w:lang w:val="en-US"/>
        </w:rPr>
        <w:t>JURISDICTION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E7556F8" w14:textId="258B69EF" w:rsidR="008A6DC1" w:rsidRPr="004542B5" w:rsidRDefault="00562CBB" w:rsidP="00E01664">
      <w:pPr>
        <w:numPr>
          <w:ilvl w:val="0"/>
          <w:numId w:val="2"/>
        </w:numPr>
        <w:tabs>
          <w:tab w:val="left" w:pos="720"/>
          <w:tab w:val="left" w:pos="851"/>
        </w:tabs>
        <w:rPr>
          <w:noProof w:val="0"/>
          <w:lang w:val="en-US"/>
        </w:rPr>
      </w:pPr>
      <w:r w:rsidRPr="004542B5">
        <w:rPr>
          <w:noProof w:val="0"/>
          <w:lang w:val="en-US"/>
        </w:rPr>
        <w:t>Panama</w:t>
      </w:r>
      <w:r w:rsidR="00016236" w:rsidRPr="004542B5">
        <w:rPr>
          <w:noProof w:val="0"/>
          <w:lang w:val="en-US"/>
        </w:rPr>
        <w:t xml:space="preserve"> </w:t>
      </w:r>
      <w:r w:rsidR="007860D4" w:rsidRPr="004542B5">
        <w:rPr>
          <w:noProof w:val="0"/>
          <w:lang w:val="en-US"/>
        </w:rPr>
        <w:t>ratified</w:t>
      </w:r>
      <w:r w:rsidR="00016236" w:rsidRPr="004542B5">
        <w:rPr>
          <w:noProof w:val="0"/>
          <w:lang w:val="en-US"/>
        </w:rPr>
        <w:t xml:space="preserve"> </w:t>
      </w:r>
      <w:r w:rsidRPr="004542B5">
        <w:rPr>
          <w:noProof w:val="0"/>
          <w:lang w:val="en-US"/>
        </w:rPr>
        <w:t xml:space="preserve">the </w:t>
      </w:r>
      <w:r w:rsidR="007860D4" w:rsidRPr="004542B5">
        <w:rPr>
          <w:noProof w:val="0"/>
          <w:lang w:val="en-US"/>
        </w:rPr>
        <w:t xml:space="preserve">American </w:t>
      </w:r>
      <w:r w:rsidRPr="004542B5">
        <w:rPr>
          <w:noProof w:val="0"/>
          <w:lang w:val="en-US"/>
        </w:rPr>
        <w:t>Convention</w:t>
      </w:r>
      <w:r w:rsidR="00016236" w:rsidRPr="004542B5">
        <w:rPr>
          <w:noProof w:val="0"/>
          <w:lang w:val="en-US"/>
        </w:rPr>
        <w:t xml:space="preserve"> </w:t>
      </w:r>
      <w:r w:rsidR="007860D4" w:rsidRPr="004542B5">
        <w:rPr>
          <w:noProof w:val="0"/>
          <w:lang w:val="en-US"/>
        </w:rPr>
        <w:t>on June 22,</w:t>
      </w:r>
      <w:r w:rsidR="00016236" w:rsidRPr="004542B5">
        <w:rPr>
          <w:noProof w:val="0"/>
          <w:lang w:val="en-US"/>
        </w:rPr>
        <w:t xml:space="preserve"> 1978</w:t>
      </w:r>
      <w:r w:rsidR="004235F3" w:rsidRPr="004542B5">
        <w:rPr>
          <w:noProof w:val="0"/>
          <w:lang w:val="en-US"/>
        </w:rPr>
        <w:t>, and it</w:t>
      </w:r>
      <w:r w:rsidR="007860D4" w:rsidRPr="004542B5">
        <w:rPr>
          <w:noProof w:val="0"/>
          <w:lang w:val="en-US"/>
        </w:rPr>
        <w:t xml:space="preserve"> entered into force for the State on July 18, </w:t>
      </w:r>
      <w:r w:rsidR="00016236" w:rsidRPr="004542B5">
        <w:rPr>
          <w:noProof w:val="0"/>
          <w:lang w:val="en-US"/>
        </w:rPr>
        <w:t>1978</w:t>
      </w:r>
      <w:r w:rsidR="004235F3" w:rsidRPr="004542B5">
        <w:rPr>
          <w:noProof w:val="0"/>
          <w:lang w:val="en-US"/>
        </w:rPr>
        <w:t>;</w:t>
      </w:r>
      <w:r w:rsidR="00CD2B90" w:rsidRPr="004542B5">
        <w:rPr>
          <w:noProof w:val="0"/>
          <w:lang w:val="en-US"/>
        </w:rPr>
        <w:t xml:space="preserve"> </w:t>
      </w:r>
      <w:r w:rsidR="007860D4" w:rsidRPr="004542B5">
        <w:rPr>
          <w:noProof w:val="0"/>
          <w:lang w:val="en-US"/>
        </w:rPr>
        <w:t>the State accepted the co</w:t>
      </w:r>
      <w:r w:rsidR="004235F3" w:rsidRPr="004542B5">
        <w:rPr>
          <w:noProof w:val="0"/>
          <w:lang w:val="en-US"/>
        </w:rPr>
        <w:t>mpulsory</w:t>
      </w:r>
      <w:r w:rsidR="007860D4" w:rsidRPr="004542B5">
        <w:rPr>
          <w:noProof w:val="0"/>
          <w:lang w:val="en-US"/>
        </w:rPr>
        <w:t xml:space="preserve"> jurisdiction of the Court on May 9, </w:t>
      </w:r>
      <w:r w:rsidR="00016236" w:rsidRPr="004542B5">
        <w:rPr>
          <w:noProof w:val="0"/>
          <w:lang w:val="en-US"/>
        </w:rPr>
        <w:t xml:space="preserve">1990. </w:t>
      </w:r>
      <w:r w:rsidRPr="004542B5">
        <w:rPr>
          <w:noProof w:val="0"/>
          <w:lang w:val="en-US"/>
        </w:rPr>
        <w:t>The State</w:t>
      </w:r>
      <w:r w:rsidR="00016236" w:rsidRPr="004542B5">
        <w:rPr>
          <w:noProof w:val="0"/>
          <w:lang w:val="en-US"/>
        </w:rPr>
        <w:t xml:space="preserve"> </w:t>
      </w:r>
      <w:r w:rsidR="007860D4" w:rsidRPr="004542B5">
        <w:rPr>
          <w:noProof w:val="0"/>
          <w:lang w:val="en-US"/>
        </w:rPr>
        <w:t>filed</w:t>
      </w:r>
      <w:r w:rsidR="00016236" w:rsidRPr="004542B5">
        <w:rPr>
          <w:noProof w:val="0"/>
          <w:lang w:val="en-US"/>
        </w:rPr>
        <w:t xml:space="preserve"> </w:t>
      </w:r>
      <w:r w:rsidR="00DE6766" w:rsidRPr="004542B5">
        <w:rPr>
          <w:noProof w:val="0"/>
          <w:lang w:val="en-US"/>
        </w:rPr>
        <w:t>preliminary objections</w:t>
      </w:r>
      <w:r w:rsidR="00016236" w:rsidRPr="004542B5">
        <w:rPr>
          <w:noProof w:val="0"/>
          <w:lang w:val="en-US"/>
        </w:rPr>
        <w:t xml:space="preserve"> </w:t>
      </w:r>
      <w:r w:rsidR="007860D4" w:rsidRPr="004542B5">
        <w:rPr>
          <w:noProof w:val="0"/>
          <w:lang w:val="en-US"/>
        </w:rPr>
        <w:t>alleging that</w:t>
      </w:r>
      <w:r w:rsidR="00016236" w:rsidRPr="004542B5">
        <w:rPr>
          <w:noProof w:val="0"/>
          <w:lang w:val="en-US"/>
        </w:rPr>
        <w:t xml:space="preserve"> </w:t>
      </w:r>
      <w:r w:rsidRPr="004542B5">
        <w:rPr>
          <w:noProof w:val="0"/>
          <w:lang w:val="en-US"/>
        </w:rPr>
        <w:t>the Court</w:t>
      </w:r>
      <w:r w:rsidR="00016236" w:rsidRPr="004542B5">
        <w:rPr>
          <w:noProof w:val="0"/>
          <w:lang w:val="en-US"/>
        </w:rPr>
        <w:t xml:space="preserve"> </w:t>
      </w:r>
      <w:r w:rsidR="007860D4" w:rsidRPr="004542B5">
        <w:rPr>
          <w:noProof w:val="0"/>
          <w:lang w:val="en-US"/>
        </w:rPr>
        <w:t xml:space="preserve">did not have jurisdiction to hear this case </w:t>
      </w:r>
      <w:r w:rsidR="00016236" w:rsidRPr="004542B5">
        <w:rPr>
          <w:noProof w:val="0"/>
          <w:lang w:val="en-US"/>
        </w:rPr>
        <w:t>(</w:t>
      </w:r>
      <w:r w:rsidR="000C584B" w:rsidRPr="004542B5">
        <w:rPr>
          <w:i/>
          <w:noProof w:val="0"/>
          <w:lang w:val="en-US"/>
        </w:rPr>
        <w:t xml:space="preserve">infra </w:t>
      </w:r>
      <w:r w:rsidR="00A41A72" w:rsidRPr="004542B5">
        <w:rPr>
          <w:noProof w:val="0"/>
          <w:lang w:val="en-US"/>
        </w:rPr>
        <w:t>C</w:t>
      </w:r>
      <w:r w:rsidR="007860D4" w:rsidRPr="004542B5">
        <w:rPr>
          <w:noProof w:val="0"/>
          <w:lang w:val="en-US"/>
        </w:rPr>
        <w:t>hapter</w:t>
      </w:r>
      <w:r w:rsidR="00016236" w:rsidRPr="004542B5">
        <w:rPr>
          <w:noProof w:val="0"/>
          <w:lang w:val="en-US"/>
        </w:rPr>
        <w:t xml:space="preserve"> IV). </w:t>
      </w:r>
      <w:r w:rsidR="007860D4" w:rsidRPr="004542B5">
        <w:rPr>
          <w:noProof w:val="0"/>
          <w:lang w:val="en-US"/>
        </w:rPr>
        <w:t>Therefore, the Court will first decide on these</w:t>
      </w:r>
      <w:r w:rsidR="00016236" w:rsidRPr="004542B5">
        <w:rPr>
          <w:noProof w:val="0"/>
          <w:lang w:val="en-US"/>
        </w:rPr>
        <w:t xml:space="preserve"> </w:t>
      </w:r>
      <w:r w:rsidR="00DE6766" w:rsidRPr="004542B5">
        <w:rPr>
          <w:noProof w:val="0"/>
          <w:lang w:val="en-US"/>
        </w:rPr>
        <w:t>preliminary objections</w:t>
      </w:r>
      <w:r w:rsidR="00016236" w:rsidRPr="004542B5">
        <w:rPr>
          <w:noProof w:val="0"/>
          <w:lang w:val="en-US"/>
        </w:rPr>
        <w:t xml:space="preserve">; </w:t>
      </w:r>
      <w:r w:rsidR="007860D4" w:rsidRPr="004542B5">
        <w:rPr>
          <w:noProof w:val="0"/>
          <w:lang w:val="en-US"/>
        </w:rPr>
        <w:t>then, if admissible, the Court will decide on the merits and on the reparations requested in this case.</w:t>
      </w:r>
    </w:p>
    <w:p w14:paraId="26965591" w14:textId="232C072C" w:rsidR="00B17F8B" w:rsidRPr="004542B5" w:rsidRDefault="007B47B1" w:rsidP="00E01664">
      <w:pPr>
        <w:pStyle w:val="Heading1"/>
        <w:rPr>
          <w:noProof w:val="0"/>
          <w:lang w:val="en-US"/>
        </w:rPr>
      </w:pPr>
      <w:bookmarkStart w:id="36" w:name="_Toc361671579"/>
      <w:bookmarkStart w:id="37" w:name="_Toc361671999"/>
      <w:bookmarkStart w:id="38" w:name="_Toc361732796"/>
      <w:bookmarkStart w:id="39" w:name="_Toc361732839"/>
      <w:bookmarkStart w:id="40" w:name="_Toc362456870"/>
      <w:bookmarkStart w:id="41" w:name="_Toc365021399"/>
      <w:bookmarkStart w:id="42" w:name="_Toc369076789"/>
      <w:bookmarkStart w:id="43" w:name="_Toc369989364"/>
      <w:bookmarkStart w:id="44" w:name="_Toc369989451"/>
      <w:bookmarkStart w:id="45" w:name="_Toc369989732"/>
      <w:bookmarkStart w:id="46" w:name="_Toc45200851"/>
      <w:r w:rsidRPr="004542B5">
        <w:rPr>
          <w:smallCaps/>
          <w:noProof w:val="0"/>
          <w:lang w:val="en-US"/>
        </w:rPr>
        <w:t>IV</w:t>
      </w:r>
      <w:r w:rsidRPr="004542B5">
        <w:rPr>
          <w:smallCaps/>
          <w:noProof w:val="0"/>
          <w:color w:val="FFFFFF" w:themeColor="background1"/>
          <w:lang w:val="en-US"/>
        </w:rPr>
        <w:t>.</w:t>
      </w:r>
      <w:bookmarkStart w:id="47" w:name="_Toc361671583"/>
      <w:bookmarkStart w:id="48" w:name="_Toc361672003"/>
      <w:bookmarkStart w:id="49" w:name="_Toc361732800"/>
      <w:bookmarkStart w:id="50" w:name="_Toc361732843"/>
      <w:bookmarkStart w:id="51" w:name="_Toc362456874"/>
      <w:bookmarkStart w:id="52" w:name="_Toc365021403"/>
      <w:bookmarkStart w:id="53" w:name="_Toc369076793"/>
      <w:bookmarkStart w:id="54" w:name="_Toc369989368"/>
      <w:bookmarkStart w:id="55" w:name="_Toc369989455"/>
      <w:bookmarkStart w:id="56" w:name="_Toc369989736"/>
      <w:bookmarkEnd w:id="36"/>
      <w:bookmarkEnd w:id="37"/>
      <w:bookmarkEnd w:id="38"/>
      <w:bookmarkEnd w:id="39"/>
      <w:bookmarkEnd w:id="40"/>
      <w:bookmarkEnd w:id="41"/>
      <w:bookmarkEnd w:id="42"/>
      <w:bookmarkEnd w:id="43"/>
      <w:bookmarkEnd w:id="44"/>
      <w:bookmarkEnd w:id="45"/>
      <w:r w:rsidRPr="004542B5">
        <w:rPr>
          <w:noProof w:val="0"/>
          <w:lang w:val="en-US"/>
        </w:rPr>
        <w:br/>
      </w:r>
      <w:r w:rsidR="00DE6766" w:rsidRPr="004542B5">
        <w:rPr>
          <w:noProof w:val="0"/>
          <w:lang w:val="en-US"/>
        </w:rPr>
        <w:t>PRELIMINARY OBJECTIONS</w:t>
      </w:r>
      <w:bookmarkEnd w:id="46"/>
      <w:bookmarkEnd w:id="47"/>
      <w:bookmarkEnd w:id="48"/>
      <w:bookmarkEnd w:id="49"/>
      <w:bookmarkEnd w:id="50"/>
      <w:bookmarkEnd w:id="51"/>
      <w:bookmarkEnd w:id="52"/>
      <w:bookmarkEnd w:id="53"/>
      <w:bookmarkEnd w:id="54"/>
      <w:bookmarkEnd w:id="55"/>
      <w:bookmarkEnd w:id="56"/>
    </w:p>
    <w:p w14:paraId="705D5DAF" w14:textId="4AEA53ED" w:rsidR="00085BE7" w:rsidRPr="004542B5" w:rsidRDefault="00562CBB" w:rsidP="007860D4">
      <w:pPr>
        <w:pStyle w:val="Default"/>
        <w:numPr>
          <w:ilvl w:val="0"/>
          <w:numId w:val="2"/>
        </w:numPr>
        <w:spacing w:before="120" w:after="120"/>
        <w:jc w:val="both"/>
        <w:rPr>
          <w:sz w:val="20"/>
          <w:szCs w:val="20"/>
        </w:rPr>
      </w:pPr>
      <w:bookmarkStart w:id="57" w:name="_Toc369989369"/>
      <w:bookmarkStart w:id="58" w:name="_Toc369989456"/>
      <w:bookmarkStart w:id="59" w:name="_Toc369989737"/>
      <w:bookmarkStart w:id="60" w:name="_Toc391020561"/>
      <w:bookmarkStart w:id="61" w:name="_Toc361671584"/>
      <w:bookmarkStart w:id="62" w:name="_Toc361672004"/>
      <w:bookmarkStart w:id="63" w:name="_Toc361732801"/>
      <w:bookmarkStart w:id="64" w:name="_Toc361732844"/>
      <w:bookmarkStart w:id="65" w:name="_Toc362456875"/>
      <w:bookmarkStart w:id="66" w:name="_Toc365021404"/>
      <w:bookmarkStart w:id="67" w:name="_Toc369076794"/>
      <w:bookmarkStart w:id="68" w:name="_Toc361671586"/>
      <w:bookmarkStart w:id="69" w:name="_Toc361672006"/>
      <w:bookmarkStart w:id="70" w:name="_Toc361732803"/>
      <w:bookmarkStart w:id="71" w:name="_Toc361732846"/>
      <w:bookmarkStart w:id="72" w:name="_Toc362456877"/>
      <w:bookmarkStart w:id="73" w:name="_Toc365021406"/>
      <w:r w:rsidRPr="004542B5">
        <w:rPr>
          <w:sz w:val="20"/>
          <w:szCs w:val="20"/>
        </w:rPr>
        <w:t>The Court</w:t>
      </w:r>
      <w:r w:rsidR="007B47B1" w:rsidRPr="004542B5">
        <w:rPr>
          <w:sz w:val="20"/>
          <w:szCs w:val="20"/>
        </w:rPr>
        <w:t xml:space="preserve"> </w:t>
      </w:r>
      <w:r w:rsidR="007860D4" w:rsidRPr="004542B5">
        <w:rPr>
          <w:sz w:val="20"/>
          <w:szCs w:val="20"/>
        </w:rPr>
        <w:t>recalls that</w:t>
      </w:r>
      <w:r w:rsidR="007B47B1" w:rsidRPr="004542B5">
        <w:rPr>
          <w:sz w:val="20"/>
          <w:szCs w:val="20"/>
        </w:rPr>
        <w:t xml:space="preserve"> </w:t>
      </w:r>
      <w:r w:rsidR="00DE6766" w:rsidRPr="004542B5">
        <w:rPr>
          <w:sz w:val="20"/>
          <w:szCs w:val="20"/>
        </w:rPr>
        <w:t>preliminary objections</w:t>
      </w:r>
      <w:r w:rsidR="007B47B1" w:rsidRPr="004542B5">
        <w:rPr>
          <w:sz w:val="20"/>
          <w:szCs w:val="20"/>
        </w:rPr>
        <w:t xml:space="preserve"> </w:t>
      </w:r>
      <w:r w:rsidR="007860D4" w:rsidRPr="004542B5">
        <w:rPr>
          <w:sz w:val="20"/>
          <w:szCs w:val="20"/>
        </w:rPr>
        <w:t xml:space="preserve">are acts by which a State seeks to prevent the analysis of the merits of the matter in dispute and, to this end, it may raise an objection to the admissibility of a case or to the Court’s </w:t>
      </w:r>
      <w:r w:rsidR="004235F3" w:rsidRPr="004542B5">
        <w:rPr>
          <w:sz w:val="20"/>
          <w:szCs w:val="20"/>
        </w:rPr>
        <w:t xml:space="preserve">jurisdiction </w:t>
      </w:r>
      <w:r w:rsidR="007860D4" w:rsidRPr="004542B5">
        <w:rPr>
          <w:sz w:val="20"/>
          <w:szCs w:val="20"/>
        </w:rPr>
        <w:t>to examine a specific case or an aspect of the case, based on either the person, matter, time or place, provided these objections are of a preliminary nature.</w:t>
      </w:r>
      <w:r w:rsidR="007B47B1" w:rsidRPr="004542B5">
        <w:rPr>
          <w:rStyle w:val="FootnoteReference"/>
          <w:sz w:val="20"/>
        </w:rPr>
        <w:footnoteReference w:id="16"/>
      </w:r>
      <w:r w:rsidR="007860D4" w:rsidRPr="004542B5">
        <w:rPr>
          <w:sz w:val="20"/>
          <w:szCs w:val="20"/>
        </w:rPr>
        <w:t xml:space="preserve"> If these objections cannot be considered without examining the merits of a case, they cannot be examined by a </w:t>
      </w:r>
      <w:r w:rsidR="00DE6766" w:rsidRPr="004542B5">
        <w:rPr>
          <w:sz w:val="20"/>
          <w:szCs w:val="20"/>
        </w:rPr>
        <w:t>preliminary objection</w:t>
      </w:r>
      <w:r w:rsidR="007860D4" w:rsidRPr="004542B5">
        <w:rPr>
          <w:sz w:val="20"/>
          <w:szCs w:val="20"/>
        </w:rPr>
        <w:t>.</w:t>
      </w:r>
      <w:r w:rsidR="007B47B1" w:rsidRPr="004542B5">
        <w:rPr>
          <w:rStyle w:val="FootnoteReference"/>
          <w:sz w:val="20"/>
        </w:rPr>
        <w:footnoteReference w:id="17"/>
      </w:r>
    </w:p>
    <w:p w14:paraId="48E003C0" w14:textId="283D6687" w:rsidR="00085BE7" w:rsidRPr="004542B5" w:rsidRDefault="007860D4" w:rsidP="00E01664">
      <w:pPr>
        <w:pStyle w:val="Default"/>
        <w:numPr>
          <w:ilvl w:val="0"/>
          <w:numId w:val="2"/>
        </w:numPr>
        <w:spacing w:before="120" w:after="120"/>
        <w:jc w:val="both"/>
        <w:rPr>
          <w:sz w:val="20"/>
          <w:szCs w:val="20"/>
        </w:rPr>
      </w:pPr>
      <w:r w:rsidRPr="004542B5">
        <w:rPr>
          <w:sz w:val="20"/>
          <w:szCs w:val="20"/>
        </w:rPr>
        <w:t>The</w:t>
      </w:r>
      <w:r w:rsidR="00562CBB" w:rsidRPr="004542B5">
        <w:rPr>
          <w:sz w:val="20"/>
          <w:szCs w:val="20"/>
        </w:rPr>
        <w:t xml:space="preserve"> Court</w:t>
      </w:r>
      <w:r w:rsidR="007B47B1" w:rsidRPr="004542B5">
        <w:rPr>
          <w:sz w:val="20"/>
          <w:szCs w:val="20"/>
        </w:rPr>
        <w:t xml:space="preserve"> </w:t>
      </w:r>
      <w:r w:rsidRPr="004542B5">
        <w:rPr>
          <w:sz w:val="20"/>
          <w:szCs w:val="20"/>
        </w:rPr>
        <w:t xml:space="preserve">will now examine the three </w:t>
      </w:r>
      <w:r w:rsidR="00DE6766" w:rsidRPr="004542B5">
        <w:rPr>
          <w:sz w:val="20"/>
          <w:szCs w:val="20"/>
        </w:rPr>
        <w:t>preliminary objections</w:t>
      </w:r>
      <w:r w:rsidR="007B47B1" w:rsidRPr="004542B5">
        <w:rPr>
          <w:sz w:val="20"/>
          <w:szCs w:val="20"/>
        </w:rPr>
        <w:t xml:space="preserve"> </w:t>
      </w:r>
      <w:r w:rsidR="00C17B5C" w:rsidRPr="004542B5">
        <w:rPr>
          <w:sz w:val="20"/>
          <w:szCs w:val="20"/>
        </w:rPr>
        <w:t>filed by</w:t>
      </w:r>
      <w:r w:rsidR="007B47B1" w:rsidRPr="004542B5">
        <w:rPr>
          <w:sz w:val="20"/>
          <w:szCs w:val="20"/>
        </w:rPr>
        <w:t xml:space="preserve"> </w:t>
      </w:r>
      <w:r w:rsidR="00562CBB" w:rsidRPr="004542B5">
        <w:rPr>
          <w:sz w:val="20"/>
          <w:szCs w:val="20"/>
        </w:rPr>
        <w:t>the</w:t>
      </w:r>
      <w:r w:rsidR="00C17B5C" w:rsidRPr="004542B5">
        <w:rPr>
          <w:sz w:val="20"/>
          <w:szCs w:val="20"/>
        </w:rPr>
        <w:t xml:space="preserve"> Panamanian</w:t>
      </w:r>
      <w:r w:rsidR="00562CBB" w:rsidRPr="004542B5">
        <w:rPr>
          <w:sz w:val="20"/>
          <w:szCs w:val="20"/>
        </w:rPr>
        <w:t xml:space="preserve"> State</w:t>
      </w:r>
      <w:r w:rsidR="00C17B5C" w:rsidRPr="004542B5">
        <w:rPr>
          <w:sz w:val="20"/>
          <w:szCs w:val="20"/>
        </w:rPr>
        <w:t>.</w:t>
      </w:r>
    </w:p>
    <w:p w14:paraId="54FCBC48" w14:textId="2E399BBF" w:rsidR="006C5E82" w:rsidRPr="004542B5" w:rsidRDefault="00AD34D8" w:rsidP="00E01664">
      <w:pPr>
        <w:pStyle w:val="Heading2"/>
        <w:rPr>
          <w:noProof w:val="0"/>
          <w:lang w:val="en-US"/>
        </w:rPr>
      </w:pPr>
      <w:bookmarkStart w:id="74" w:name="_Toc45200852"/>
      <w:r w:rsidRPr="004542B5">
        <w:rPr>
          <w:noProof w:val="0"/>
          <w:lang w:val="en-US"/>
        </w:rPr>
        <w:t>First</w:t>
      </w:r>
      <w:r w:rsidR="007B47B1" w:rsidRPr="004542B5">
        <w:rPr>
          <w:noProof w:val="0"/>
          <w:lang w:val="en-US"/>
        </w:rPr>
        <w:t xml:space="preserve"> </w:t>
      </w:r>
      <w:r w:rsidR="00DE6766" w:rsidRPr="004542B5">
        <w:rPr>
          <w:noProof w:val="0"/>
          <w:lang w:val="en-US"/>
        </w:rPr>
        <w:t>preliminary objection</w:t>
      </w:r>
      <w:r w:rsidR="007B47B1" w:rsidRPr="004542B5">
        <w:rPr>
          <w:noProof w:val="0"/>
          <w:lang w:val="en-US"/>
        </w:rPr>
        <w:t>: “</w:t>
      </w:r>
      <w:r w:rsidR="00DE6766" w:rsidRPr="004542B5">
        <w:rPr>
          <w:noProof w:val="0"/>
          <w:lang w:val="en-US"/>
        </w:rPr>
        <w:t>Failure to exhaust domestic remedies</w:t>
      </w:r>
      <w:r w:rsidR="007B47B1" w:rsidRPr="004542B5">
        <w:rPr>
          <w:noProof w:val="0"/>
          <w:lang w:val="en-US"/>
        </w:rPr>
        <w:t>”</w:t>
      </w:r>
      <w:bookmarkEnd w:id="57"/>
      <w:bookmarkEnd w:id="58"/>
      <w:bookmarkEnd w:id="59"/>
      <w:bookmarkEnd w:id="60"/>
      <w:bookmarkEnd w:id="74"/>
    </w:p>
    <w:p w14:paraId="7ED006B2" w14:textId="4AEC134F" w:rsidR="006C5E82" w:rsidRPr="004542B5" w:rsidRDefault="007B47B1" w:rsidP="00E01664">
      <w:pPr>
        <w:pStyle w:val="Heading3"/>
        <w:rPr>
          <w:i w:val="0"/>
          <w:noProof w:val="0"/>
          <w:lang w:val="en-US"/>
        </w:rPr>
      </w:pPr>
      <w:bookmarkStart w:id="75" w:name="_Toc45200853"/>
      <w:r w:rsidRPr="004542B5">
        <w:rPr>
          <w:noProof w:val="0"/>
          <w:lang w:val="en-US"/>
        </w:rPr>
        <w:t>A.1</w:t>
      </w:r>
      <w:r w:rsidR="0077142F" w:rsidRPr="004542B5">
        <w:rPr>
          <w:noProof w:val="0"/>
          <w:lang w:val="en-US"/>
        </w:rPr>
        <w:t>.</w:t>
      </w:r>
      <w:r w:rsidRPr="004542B5">
        <w:rPr>
          <w:noProof w:val="0"/>
          <w:lang w:val="en-US"/>
        </w:rPr>
        <w:t xml:space="preserve"> </w:t>
      </w:r>
      <w:bookmarkEnd w:id="61"/>
      <w:bookmarkEnd w:id="62"/>
      <w:bookmarkEnd w:id="63"/>
      <w:bookmarkEnd w:id="64"/>
      <w:bookmarkEnd w:id="65"/>
      <w:bookmarkEnd w:id="66"/>
      <w:bookmarkEnd w:id="67"/>
      <w:r w:rsidR="00AD34D8" w:rsidRPr="004542B5">
        <w:rPr>
          <w:noProof w:val="0"/>
          <w:lang w:val="en-US"/>
        </w:rPr>
        <w:t>Allegations of the parties and arguments</w:t>
      </w:r>
      <w:r w:rsidR="008A56D7" w:rsidRPr="004542B5">
        <w:rPr>
          <w:noProof w:val="0"/>
          <w:lang w:val="en-US"/>
        </w:rPr>
        <w:t xml:space="preserve"> of the </w:t>
      </w:r>
      <w:r w:rsidR="00562CBB" w:rsidRPr="004542B5">
        <w:rPr>
          <w:noProof w:val="0"/>
          <w:lang w:val="en-US"/>
        </w:rPr>
        <w:t>Commission</w:t>
      </w:r>
      <w:bookmarkEnd w:id="75"/>
    </w:p>
    <w:p w14:paraId="0D9DD420" w14:textId="2AC23C58" w:rsidR="006C5E82" w:rsidRPr="004542B5" w:rsidRDefault="00562CBB" w:rsidP="00C17B5C">
      <w:pPr>
        <w:numPr>
          <w:ilvl w:val="0"/>
          <w:numId w:val="2"/>
        </w:numPr>
        <w:tabs>
          <w:tab w:val="left" w:pos="720"/>
          <w:tab w:val="left" w:pos="851"/>
        </w:tabs>
        <w:spacing w:before="120" w:after="120"/>
        <w:rPr>
          <w:noProof w:val="0"/>
          <w:szCs w:val="18"/>
          <w:lang w:val="en-US"/>
        </w:rPr>
      </w:pPr>
      <w:r w:rsidRPr="004542B5">
        <w:rPr>
          <w:noProof w:val="0"/>
          <w:szCs w:val="20"/>
          <w:lang w:val="en-US"/>
        </w:rPr>
        <w:t>The State</w:t>
      </w:r>
      <w:r w:rsidR="007B47B1" w:rsidRPr="004542B5">
        <w:rPr>
          <w:noProof w:val="0"/>
          <w:szCs w:val="20"/>
          <w:lang w:val="en-US"/>
        </w:rPr>
        <w:t xml:space="preserve"> indic</w:t>
      </w:r>
      <w:r w:rsidR="00C17B5C" w:rsidRPr="004542B5">
        <w:rPr>
          <w:noProof w:val="0"/>
          <w:szCs w:val="20"/>
          <w:lang w:val="en-US"/>
        </w:rPr>
        <w:t xml:space="preserve">ated that it had repeatedly informed the Commission that it considered that the claims for compensation were inadmissible because domestic remedies had not been exhausted. It referred to several communications it had sent to the Commission, including a brief from the National Indigenous Policy Directorate </w:t>
      </w:r>
      <w:r w:rsidR="004235F3" w:rsidRPr="004542B5">
        <w:rPr>
          <w:noProof w:val="0"/>
          <w:szCs w:val="20"/>
          <w:lang w:val="en-US"/>
        </w:rPr>
        <w:t>outlining</w:t>
      </w:r>
      <w:r w:rsidR="00C17B5C" w:rsidRPr="004542B5">
        <w:rPr>
          <w:noProof w:val="0"/>
          <w:szCs w:val="20"/>
          <w:lang w:val="en-US"/>
        </w:rPr>
        <w:t xml:space="preserve"> the laws </w:t>
      </w:r>
      <w:r w:rsidR="004235F3" w:rsidRPr="004542B5">
        <w:rPr>
          <w:noProof w:val="0"/>
          <w:szCs w:val="20"/>
          <w:lang w:val="en-US"/>
        </w:rPr>
        <w:t>in force</w:t>
      </w:r>
      <w:r w:rsidR="00C17B5C" w:rsidRPr="004542B5">
        <w:rPr>
          <w:noProof w:val="0"/>
          <w:szCs w:val="20"/>
          <w:lang w:val="en-US"/>
        </w:rPr>
        <w:t xml:space="preserve"> </w:t>
      </w:r>
      <w:r w:rsidR="004235F3" w:rsidRPr="004542B5">
        <w:rPr>
          <w:noProof w:val="0"/>
          <w:szCs w:val="20"/>
          <w:lang w:val="en-US"/>
        </w:rPr>
        <w:t>c</w:t>
      </w:r>
      <w:r w:rsidR="00C17B5C" w:rsidRPr="004542B5">
        <w:rPr>
          <w:noProof w:val="0"/>
          <w:szCs w:val="20"/>
          <w:lang w:val="en-US"/>
        </w:rPr>
        <w:t>on</w:t>
      </w:r>
      <w:r w:rsidR="004235F3" w:rsidRPr="004542B5">
        <w:rPr>
          <w:noProof w:val="0"/>
          <w:szCs w:val="20"/>
          <w:lang w:val="en-US"/>
        </w:rPr>
        <w:t>cerning</w:t>
      </w:r>
      <w:r w:rsidR="00C17B5C" w:rsidRPr="004542B5">
        <w:rPr>
          <w:noProof w:val="0"/>
          <w:szCs w:val="20"/>
          <w:lang w:val="en-US"/>
        </w:rPr>
        <w:t xml:space="preserve"> domestic remedies related to the rights of the indigenous communities and</w:t>
      </w:r>
      <w:r w:rsidR="004235F3" w:rsidRPr="004542B5">
        <w:rPr>
          <w:noProof w:val="0"/>
          <w:szCs w:val="20"/>
          <w:lang w:val="en-US"/>
        </w:rPr>
        <w:t xml:space="preserve"> indicating</w:t>
      </w:r>
      <w:r w:rsidR="00C17B5C" w:rsidRPr="004542B5">
        <w:rPr>
          <w:noProof w:val="0"/>
          <w:szCs w:val="20"/>
          <w:lang w:val="en-US"/>
        </w:rPr>
        <w:t xml:space="preserve"> that the law was the same for all Panamanians. The State cited article 97 of </w:t>
      </w:r>
      <w:r w:rsidR="004235F3" w:rsidRPr="004542B5">
        <w:rPr>
          <w:noProof w:val="0"/>
          <w:szCs w:val="20"/>
          <w:lang w:val="en-US"/>
        </w:rPr>
        <w:t>s</w:t>
      </w:r>
      <w:r w:rsidR="00C17B5C" w:rsidRPr="004542B5">
        <w:rPr>
          <w:noProof w:val="0"/>
          <w:szCs w:val="20"/>
          <w:lang w:val="en-US"/>
        </w:rPr>
        <w:t>ection 5 of the Judicial Code that describe</w:t>
      </w:r>
      <w:r w:rsidR="004235F3" w:rsidRPr="004542B5">
        <w:rPr>
          <w:noProof w:val="0"/>
          <w:szCs w:val="20"/>
          <w:lang w:val="en-US"/>
        </w:rPr>
        <w:t>d</w:t>
      </w:r>
      <w:r w:rsidR="00C17B5C" w:rsidRPr="004542B5">
        <w:rPr>
          <w:noProof w:val="0"/>
          <w:szCs w:val="20"/>
          <w:lang w:val="en-US"/>
        </w:rPr>
        <w:t xml:space="preserve"> the </w:t>
      </w:r>
      <w:r w:rsidR="004235F3" w:rsidRPr="004542B5">
        <w:rPr>
          <w:noProof w:val="0"/>
          <w:szCs w:val="20"/>
          <w:lang w:val="en-US"/>
        </w:rPr>
        <w:t>jurisdiction</w:t>
      </w:r>
      <w:r w:rsidR="00C17B5C" w:rsidRPr="004542B5">
        <w:rPr>
          <w:noProof w:val="0"/>
          <w:szCs w:val="20"/>
          <w:lang w:val="en-US"/>
        </w:rPr>
        <w:t xml:space="preserve"> of the Third Contentious Administrative Chamber, underlining its competence, among other matters, in relation to contentious remedies in land adjudication cases, compensation in cases of State responsibility, and protection of huma</w:t>
      </w:r>
      <w:r w:rsidR="004235F3" w:rsidRPr="004542B5">
        <w:rPr>
          <w:noProof w:val="0"/>
          <w:szCs w:val="20"/>
          <w:lang w:val="en-US"/>
        </w:rPr>
        <w:t>n</w:t>
      </w:r>
      <w:r w:rsidR="00C17B5C" w:rsidRPr="004542B5">
        <w:rPr>
          <w:noProof w:val="0"/>
          <w:szCs w:val="20"/>
          <w:lang w:val="en-US"/>
        </w:rPr>
        <w:t xml:space="preserve"> rights. The State also referred to a </w:t>
      </w:r>
      <w:r w:rsidR="00C437DD" w:rsidRPr="004542B5">
        <w:rPr>
          <w:noProof w:val="0"/>
          <w:szCs w:val="20"/>
          <w:lang w:val="en-US"/>
        </w:rPr>
        <w:t>communication</w:t>
      </w:r>
      <w:r w:rsidR="00C17B5C" w:rsidRPr="004542B5">
        <w:rPr>
          <w:noProof w:val="0"/>
          <w:szCs w:val="20"/>
          <w:lang w:val="en-US"/>
        </w:rPr>
        <w:t xml:space="preserve"> point</w:t>
      </w:r>
      <w:r w:rsidR="00740EF4" w:rsidRPr="004542B5">
        <w:rPr>
          <w:noProof w:val="0"/>
          <w:szCs w:val="20"/>
          <w:lang w:val="en-US"/>
        </w:rPr>
        <w:t>ing</w:t>
      </w:r>
      <w:r w:rsidR="00C17B5C" w:rsidRPr="004542B5">
        <w:rPr>
          <w:noProof w:val="0"/>
          <w:szCs w:val="20"/>
          <w:lang w:val="en-US"/>
        </w:rPr>
        <w:t xml:space="preserve"> out that the petitioners could have, and still could, avail themselves of the following domestic remedies:</w:t>
      </w:r>
      <w:r w:rsidR="007B47B1" w:rsidRPr="004542B5">
        <w:rPr>
          <w:noProof w:val="0"/>
          <w:szCs w:val="18"/>
          <w:lang w:val="en-US"/>
        </w:rPr>
        <w:t xml:space="preserve"> (i) ac</w:t>
      </w:r>
      <w:r w:rsidR="00C17B5C" w:rsidRPr="004542B5">
        <w:rPr>
          <w:noProof w:val="0"/>
          <w:szCs w:val="18"/>
          <w:lang w:val="en-US"/>
        </w:rPr>
        <w:t>tion of unconstitutionality; (ii</w:t>
      </w:r>
      <w:r w:rsidR="007B47B1" w:rsidRPr="004542B5">
        <w:rPr>
          <w:noProof w:val="0"/>
          <w:szCs w:val="18"/>
          <w:lang w:val="en-US"/>
        </w:rPr>
        <w:t xml:space="preserve">) </w:t>
      </w:r>
      <w:r w:rsidR="00C17B5C" w:rsidRPr="004542B5">
        <w:rPr>
          <w:noProof w:val="0"/>
          <w:szCs w:val="18"/>
          <w:lang w:val="en-US"/>
        </w:rPr>
        <w:t>the contentious administrative jurisdiction; (iii)</w:t>
      </w:r>
      <w:r w:rsidR="00D73EAF" w:rsidRPr="004542B5">
        <w:rPr>
          <w:noProof w:val="0"/>
          <w:szCs w:val="18"/>
          <w:lang w:val="en-US"/>
        </w:rPr>
        <w:t xml:space="preserve"> actions and remedies</w:t>
      </w:r>
      <w:r w:rsidR="00BA6243" w:rsidRPr="004542B5">
        <w:rPr>
          <w:noProof w:val="0"/>
          <w:szCs w:val="18"/>
          <w:lang w:val="en-US"/>
        </w:rPr>
        <w:t xml:space="preserve"> in all administrative and judicial instance</w:t>
      </w:r>
      <w:r w:rsidR="00740EF4" w:rsidRPr="004542B5">
        <w:rPr>
          <w:noProof w:val="0"/>
          <w:szCs w:val="18"/>
          <w:lang w:val="en-US"/>
        </w:rPr>
        <w:t>s</w:t>
      </w:r>
      <w:r w:rsidR="00D73EAF" w:rsidRPr="004542B5">
        <w:rPr>
          <w:noProof w:val="0"/>
          <w:szCs w:val="18"/>
          <w:lang w:val="en-US"/>
        </w:rPr>
        <w:t xml:space="preserve">; (iv) application for protection of constitutional </w:t>
      </w:r>
      <w:r w:rsidR="00D73EAF" w:rsidRPr="004542B5">
        <w:rPr>
          <w:noProof w:val="0"/>
          <w:szCs w:val="18"/>
          <w:lang w:val="en-US"/>
        </w:rPr>
        <w:lastRenderedPageBreak/>
        <w:t>guarantees, and (v) recourse to the Ombudsman. Panama also mentioned its Constitution, which establishes the right to file complaints against acts of the State that violate rights and, specifically, its article 206 which establishes the attributes of the Supreme Court of Justice (underlining paragraphs relating to the contentious administrative jurisdiction</w:t>
      </w:r>
      <w:r w:rsidR="007B47B1" w:rsidRPr="004542B5">
        <w:rPr>
          <w:noProof w:val="0"/>
          <w:szCs w:val="20"/>
          <w:lang w:val="en-US"/>
        </w:rPr>
        <w:t>)</w:t>
      </w:r>
      <w:r w:rsidR="00D73EAF" w:rsidRPr="004542B5">
        <w:rPr>
          <w:noProof w:val="0"/>
          <w:szCs w:val="20"/>
          <w:lang w:val="en-US"/>
        </w:rPr>
        <w:t>.</w:t>
      </w:r>
      <w:r w:rsidR="007B47B1" w:rsidRPr="004542B5">
        <w:rPr>
          <w:rStyle w:val="FootnoteReference"/>
          <w:noProof w:val="0"/>
          <w:lang w:val="en-US"/>
        </w:rPr>
        <w:footnoteReference w:id="18"/>
      </w:r>
      <w:r w:rsidR="007B47B1" w:rsidRPr="004542B5">
        <w:rPr>
          <w:noProof w:val="0"/>
          <w:szCs w:val="18"/>
          <w:lang w:val="en-US"/>
        </w:rPr>
        <w:t xml:space="preserve"> </w:t>
      </w:r>
    </w:p>
    <w:p w14:paraId="7ADF9408" w14:textId="775D44C2" w:rsidR="006C5E82" w:rsidRPr="004542B5" w:rsidRDefault="00562CBB" w:rsidP="003C263F">
      <w:pPr>
        <w:pStyle w:val="ListParagraph"/>
        <w:numPr>
          <w:ilvl w:val="0"/>
          <w:numId w:val="2"/>
        </w:numPr>
        <w:spacing w:before="120" w:after="120"/>
        <w:contextualSpacing w:val="0"/>
        <w:rPr>
          <w:noProof w:val="0"/>
          <w:szCs w:val="20"/>
          <w:lang w:val="en-US"/>
        </w:rPr>
      </w:pPr>
      <w:r w:rsidRPr="004542B5">
        <w:rPr>
          <w:noProof w:val="0"/>
          <w:szCs w:val="20"/>
          <w:lang w:val="en-US"/>
        </w:rPr>
        <w:t>The Commission</w:t>
      </w:r>
      <w:r w:rsidR="007B47B1" w:rsidRPr="004542B5">
        <w:rPr>
          <w:b/>
          <w:noProof w:val="0"/>
          <w:szCs w:val="20"/>
          <w:lang w:val="en-US"/>
        </w:rPr>
        <w:t xml:space="preserve"> </w:t>
      </w:r>
      <w:r w:rsidR="007B47B1" w:rsidRPr="004542B5">
        <w:rPr>
          <w:noProof w:val="0"/>
          <w:szCs w:val="20"/>
          <w:lang w:val="en-US"/>
        </w:rPr>
        <w:t>consider</w:t>
      </w:r>
      <w:r w:rsidR="00E237F6" w:rsidRPr="004542B5">
        <w:rPr>
          <w:noProof w:val="0"/>
          <w:szCs w:val="20"/>
          <w:lang w:val="en-US"/>
        </w:rPr>
        <w:t xml:space="preserve">ed that the question of admissibility had been resolved at the opportune procedural moment and that the </w:t>
      </w:r>
      <w:r w:rsidR="00C437DD" w:rsidRPr="004542B5">
        <w:rPr>
          <w:noProof w:val="0"/>
          <w:szCs w:val="20"/>
          <w:lang w:val="en-US"/>
        </w:rPr>
        <w:t>structure</w:t>
      </w:r>
      <w:r w:rsidR="00E237F6" w:rsidRPr="004542B5">
        <w:rPr>
          <w:noProof w:val="0"/>
          <w:szCs w:val="20"/>
          <w:lang w:val="en-US"/>
        </w:rPr>
        <w:t xml:space="preserve"> of the inter-American system of human rights mea</w:t>
      </w:r>
      <w:r w:rsidR="00740EF4" w:rsidRPr="004542B5">
        <w:rPr>
          <w:noProof w:val="0"/>
          <w:szCs w:val="20"/>
          <w:lang w:val="en-US"/>
        </w:rPr>
        <w:t>n</w:t>
      </w:r>
      <w:r w:rsidR="00E237F6" w:rsidRPr="004542B5">
        <w:rPr>
          <w:noProof w:val="0"/>
          <w:szCs w:val="20"/>
          <w:lang w:val="en-US"/>
        </w:rPr>
        <w:t>t that the Court acted “with a certain</w:t>
      </w:r>
      <w:r w:rsidR="00740EF4" w:rsidRPr="004542B5">
        <w:rPr>
          <w:noProof w:val="0"/>
          <w:szCs w:val="20"/>
          <w:lang w:val="en-US"/>
        </w:rPr>
        <w:t xml:space="preserve"> degree of</w:t>
      </w:r>
      <w:r w:rsidR="00E237F6" w:rsidRPr="004542B5">
        <w:rPr>
          <w:noProof w:val="0"/>
          <w:szCs w:val="20"/>
          <w:lang w:val="en-US"/>
        </w:rPr>
        <w:t xml:space="preserve"> deference to</w:t>
      </w:r>
      <w:r w:rsidR="00740EF4" w:rsidRPr="004542B5">
        <w:rPr>
          <w:noProof w:val="0"/>
          <w:szCs w:val="20"/>
          <w:lang w:val="en-US"/>
        </w:rPr>
        <w:t>wards</w:t>
      </w:r>
      <w:r w:rsidR="00E237F6" w:rsidRPr="004542B5">
        <w:rPr>
          <w:noProof w:val="0"/>
          <w:szCs w:val="20"/>
          <w:lang w:val="en-US"/>
        </w:rPr>
        <w:t xml:space="preserve"> the decisions taken by the Commission in this regard.” Similarly, it considered that the Kuna and Emberá peoples had </w:t>
      </w:r>
      <w:r w:rsidR="00740EF4" w:rsidRPr="004542B5">
        <w:rPr>
          <w:noProof w:val="0"/>
          <w:szCs w:val="20"/>
          <w:lang w:val="en-US"/>
        </w:rPr>
        <w:t>resorted to</w:t>
      </w:r>
      <w:r w:rsidR="00E237F6" w:rsidRPr="004542B5">
        <w:rPr>
          <w:noProof w:val="0"/>
          <w:szCs w:val="20"/>
          <w:lang w:val="en-US"/>
        </w:rPr>
        <w:t xml:space="preserve"> different </w:t>
      </w:r>
      <w:r w:rsidR="00740EF4" w:rsidRPr="004542B5">
        <w:rPr>
          <w:noProof w:val="0"/>
          <w:szCs w:val="20"/>
          <w:lang w:val="en-US"/>
        </w:rPr>
        <w:t>mechanisms</w:t>
      </w:r>
      <w:r w:rsidR="00E237F6" w:rsidRPr="004542B5">
        <w:rPr>
          <w:noProof w:val="0"/>
          <w:szCs w:val="20"/>
          <w:lang w:val="en-US"/>
        </w:rPr>
        <w:t xml:space="preserve"> to realize their right to collective property and, therefore, the State had had numerous opportunities to resolve the situation; that the State had failed to comply with</w:t>
      </w:r>
      <w:r w:rsidR="00740EF4" w:rsidRPr="004542B5">
        <w:rPr>
          <w:noProof w:val="0"/>
          <w:szCs w:val="20"/>
          <w:lang w:val="en-US"/>
        </w:rPr>
        <w:t xml:space="preserve"> the</w:t>
      </w:r>
      <w:r w:rsidR="00E237F6" w:rsidRPr="004542B5">
        <w:rPr>
          <w:noProof w:val="0"/>
          <w:szCs w:val="20"/>
          <w:lang w:val="en-US"/>
        </w:rPr>
        <w:t xml:space="preserve"> burden of proof as regards the appropriate and effective nature of the remedies cited,</w:t>
      </w:r>
      <w:r w:rsidR="007B47B1" w:rsidRPr="004542B5">
        <w:rPr>
          <w:rStyle w:val="FootnoteReference"/>
          <w:noProof w:val="0"/>
          <w:lang w:val="en-US"/>
        </w:rPr>
        <w:footnoteReference w:id="19"/>
      </w:r>
      <w:r w:rsidR="00E237F6" w:rsidRPr="004542B5">
        <w:rPr>
          <w:noProof w:val="0"/>
          <w:szCs w:val="20"/>
          <w:lang w:val="en-US"/>
        </w:rPr>
        <w:t xml:space="preserve"> and that there was sufficient evidence to consider that the exceptions to the exhaustion of </w:t>
      </w:r>
      <w:r w:rsidR="00740EF4" w:rsidRPr="004542B5">
        <w:rPr>
          <w:noProof w:val="0"/>
          <w:szCs w:val="20"/>
          <w:lang w:val="en-US"/>
        </w:rPr>
        <w:t xml:space="preserve">domestic </w:t>
      </w:r>
      <w:r w:rsidR="00E237F6" w:rsidRPr="004542B5">
        <w:rPr>
          <w:noProof w:val="0"/>
          <w:szCs w:val="20"/>
          <w:lang w:val="en-US"/>
        </w:rPr>
        <w:t>remedies were applicable.</w:t>
      </w:r>
      <w:r w:rsidR="007B47B1" w:rsidRPr="004542B5">
        <w:rPr>
          <w:rStyle w:val="FootnoteReference"/>
          <w:noProof w:val="0"/>
          <w:lang w:val="en-US"/>
        </w:rPr>
        <w:footnoteReference w:id="20"/>
      </w:r>
      <w:r w:rsidR="007B47B1" w:rsidRPr="004542B5">
        <w:rPr>
          <w:noProof w:val="0"/>
          <w:szCs w:val="20"/>
          <w:lang w:val="en-US"/>
        </w:rPr>
        <w:t xml:space="preserve"> </w:t>
      </w:r>
      <w:r w:rsidR="00E237F6" w:rsidRPr="004542B5">
        <w:rPr>
          <w:noProof w:val="0"/>
          <w:szCs w:val="20"/>
          <w:lang w:val="en-US"/>
        </w:rPr>
        <w:t>Furthermore</w:t>
      </w:r>
      <w:r w:rsidR="007B47B1" w:rsidRPr="004542B5">
        <w:rPr>
          <w:noProof w:val="0"/>
          <w:szCs w:val="20"/>
          <w:lang w:val="en-US"/>
        </w:rPr>
        <w:t xml:space="preserve">, </w:t>
      </w:r>
      <w:r w:rsidRPr="004542B5">
        <w:rPr>
          <w:noProof w:val="0"/>
          <w:szCs w:val="20"/>
          <w:lang w:val="en-US"/>
        </w:rPr>
        <w:t>the Commission</w:t>
      </w:r>
      <w:r w:rsidR="007B47B1" w:rsidRPr="004542B5">
        <w:rPr>
          <w:noProof w:val="0"/>
          <w:szCs w:val="20"/>
          <w:lang w:val="en-US"/>
        </w:rPr>
        <w:t xml:space="preserve"> consider</w:t>
      </w:r>
      <w:r w:rsidR="00E237F6" w:rsidRPr="004542B5">
        <w:rPr>
          <w:noProof w:val="0"/>
          <w:szCs w:val="20"/>
          <w:lang w:val="en-US"/>
        </w:rPr>
        <w:t>ed that the arguments presented by the State were inadmissible because “they did not differ substantially from th</w:t>
      </w:r>
      <w:r w:rsidR="003C263F" w:rsidRPr="004542B5">
        <w:rPr>
          <w:noProof w:val="0"/>
          <w:szCs w:val="20"/>
          <w:lang w:val="en-US"/>
        </w:rPr>
        <w:t xml:space="preserve">ose presented before </w:t>
      </w:r>
      <w:r w:rsidR="00740EF4" w:rsidRPr="004542B5">
        <w:rPr>
          <w:noProof w:val="0"/>
          <w:szCs w:val="20"/>
          <w:lang w:val="en-US"/>
        </w:rPr>
        <w:t>[the Commission]</w:t>
      </w:r>
      <w:r w:rsidR="003C263F" w:rsidRPr="004542B5">
        <w:rPr>
          <w:noProof w:val="0"/>
          <w:szCs w:val="20"/>
          <w:lang w:val="en-US"/>
        </w:rPr>
        <w:t xml:space="preserve">,” and that “the omissions in the burden </w:t>
      </w:r>
      <w:r w:rsidR="006110CB" w:rsidRPr="004542B5">
        <w:rPr>
          <w:noProof w:val="0"/>
          <w:szCs w:val="20"/>
          <w:lang w:val="en-US"/>
        </w:rPr>
        <w:t>of</w:t>
      </w:r>
      <w:r w:rsidR="003C263F" w:rsidRPr="004542B5">
        <w:rPr>
          <w:noProof w:val="0"/>
          <w:szCs w:val="20"/>
          <w:lang w:val="en-US"/>
        </w:rPr>
        <w:t xml:space="preserve"> proof persist.” It added that the State had provided a series of decisions of the Third Chamber of the Supreme Court of Justice</w:t>
      </w:r>
      <w:r w:rsidR="007B47B1" w:rsidRPr="004542B5">
        <w:rPr>
          <w:noProof w:val="0"/>
          <w:szCs w:val="20"/>
          <w:lang w:val="en-US"/>
        </w:rPr>
        <w:t xml:space="preserve"> </w:t>
      </w:r>
      <w:r w:rsidR="003C263F" w:rsidRPr="004542B5">
        <w:rPr>
          <w:noProof w:val="0"/>
          <w:szCs w:val="20"/>
          <w:lang w:val="en-US"/>
        </w:rPr>
        <w:t>and</w:t>
      </w:r>
      <w:r w:rsidR="007B47B1" w:rsidRPr="004542B5">
        <w:rPr>
          <w:noProof w:val="0"/>
          <w:szCs w:val="20"/>
          <w:lang w:val="en-US"/>
        </w:rPr>
        <w:t xml:space="preserve"> “n</w:t>
      </w:r>
      <w:r w:rsidR="003C263F" w:rsidRPr="004542B5">
        <w:rPr>
          <w:noProof w:val="0"/>
          <w:szCs w:val="20"/>
          <w:lang w:val="en-US"/>
        </w:rPr>
        <w:t>one of them bear any relationship to similar facts, so that they lack relevance to prove the effectiveness of the said remedy.</w:t>
      </w:r>
      <w:r w:rsidR="007B47B1" w:rsidRPr="004542B5">
        <w:rPr>
          <w:noProof w:val="0"/>
          <w:szCs w:val="20"/>
          <w:lang w:val="en-US"/>
        </w:rPr>
        <w:t xml:space="preserve">” </w:t>
      </w:r>
    </w:p>
    <w:p w14:paraId="6E3EF0E3" w14:textId="1DB6EC7D" w:rsidR="006C5E82" w:rsidRPr="004542B5" w:rsidRDefault="00562CBB" w:rsidP="00E01664">
      <w:pPr>
        <w:numPr>
          <w:ilvl w:val="0"/>
          <w:numId w:val="2"/>
        </w:numPr>
        <w:tabs>
          <w:tab w:val="left" w:pos="720"/>
          <w:tab w:val="left" w:pos="851"/>
        </w:tabs>
        <w:spacing w:before="120" w:after="120"/>
        <w:rPr>
          <w:noProof w:val="0"/>
          <w:szCs w:val="20"/>
          <w:lang w:val="en-US"/>
        </w:rPr>
      </w:pPr>
      <w:r w:rsidRPr="004542B5">
        <w:rPr>
          <w:noProof w:val="0"/>
          <w:szCs w:val="20"/>
          <w:lang w:val="en-US"/>
        </w:rPr>
        <w:t>The representatives</w:t>
      </w:r>
      <w:r w:rsidR="007B47B1" w:rsidRPr="004542B5">
        <w:rPr>
          <w:noProof w:val="0"/>
          <w:szCs w:val="20"/>
          <w:lang w:val="en-US"/>
        </w:rPr>
        <w:t xml:space="preserve"> a</w:t>
      </w:r>
      <w:r w:rsidR="003C263F" w:rsidRPr="004542B5">
        <w:rPr>
          <w:noProof w:val="0"/>
          <w:szCs w:val="20"/>
          <w:lang w:val="en-US"/>
        </w:rPr>
        <w:t>dded that</w:t>
      </w:r>
      <w:r w:rsidR="007B47B1" w:rsidRPr="004542B5">
        <w:rPr>
          <w:noProof w:val="0"/>
          <w:szCs w:val="20"/>
          <w:lang w:val="en-US"/>
        </w:rPr>
        <w:t xml:space="preserve"> </w:t>
      </w:r>
      <w:r w:rsidR="003C263F" w:rsidRPr="004542B5">
        <w:rPr>
          <w:noProof w:val="0"/>
          <w:szCs w:val="20"/>
          <w:lang w:val="en-US"/>
        </w:rPr>
        <w:t>the Kuna and Emberá peoples</w:t>
      </w:r>
      <w:r w:rsidR="007B47B1" w:rsidRPr="004542B5">
        <w:rPr>
          <w:noProof w:val="0"/>
          <w:szCs w:val="20"/>
          <w:lang w:val="en-US"/>
        </w:rPr>
        <w:t xml:space="preserve"> ha</w:t>
      </w:r>
      <w:r w:rsidR="003C263F" w:rsidRPr="004542B5">
        <w:rPr>
          <w:noProof w:val="0"/>
          <w:szCs w:val="20"/>
          <w:lang w:val="en-US"/>
        </w:rPr>
        <w:t>d undertaken actions of both an administrative and a criminal nature in order to obtain legal recognition of their territories, the payment of the compensation owed by the State, and protection against the invasion of their territories.</w:t>
      </w:r>
      <w:r w:rsidR="007B47B1" w:rsidRPr="004542B5">
        <w:rPr>
          <w:rStyle w:val="FootnoteReference"/>
          <w:noProof w:val="0"/>
          <w:lang w:val="en-US"/>
        </w:rPr>
        <w:footnoteReference w:id="21"/>
      </w:r>
      <w:r w:rsidR="003C263F" w:rsidRPr="004542B5">
        <w:rPr>
          <w:noProof w:val="0"/>
          <w:szCs w:val="20"/>
          <w:lang w:val="en-US"/>
        </w:rPr>
        <w:t xml:space="preserve"> They argued that</w:t>
      </w:r>
      <w:r w:rsidR="00740EF4" w:rsidRPr="004542B5">
        <w:rPr>
          <w:noProof w:val="0"/>
          <w:szCs w:val="20"/>
          <w:lang w:val="en-US"/>
        </w:rPr>
        <w:t>, over a span of 40 years,</w:t>
      </w:r>
      <w:r w:rsidR="007B47B1" w:rsidRPr="004542B5">
        <w:rPr>
          <w:rStyle w:val="FootnoteReference"/>
          <w:noProof w:val="0"/>
          <w:lang w:val="en-US"/>
        </w:rPr>
        <w:footnoteReference w:id="22"/>
      </w:r>
      <w:r w:rsidR="007B47B1" w:rsidRPr="004542B5">
        <w:rPr>
          <w:noProof w:val="0"/>
          <w:szCs w:val="20"/>
          <w:lang w:val="en-US"/>
        </w:rPr>
        <w:t xml:space="preserve"> </w:t>
      </w:r>
      <w:r w:rsidR="00740EF4" w:rsidRPr="004542B5">
        <w:rPr>
          <w:noProof w:val="0"/>
          <w:szCs w:val="20"/>
          <w:lang w:val="en-US"/>
        </w:rPr>
        <w:t xml:space="preserve">the steps taken </w:t>
      </w:r>
      <w:r w:rsidR="007B47B1" w:rsidRPr="004542B5">
        <w:rPr>
          <w:noProof w:val="0"/>
          <w:szCs w:val="20"/>
          <w:lang w:val="en-US"/>
        </w:rPr>
        <w:t>ha</w:t>
      </w:r>
      <w:r w:rsidR="003C263F" w:rsidRPr="004542B5">
        <w:rPr>
          <w:noProof w:val="0"/>
          <w:szCs w:val="20"/>
          <w:lang w:val="en-US"/>
        </w:rPr>
        <w:t>d been the only available means to claim their rights because domestic law did not include an adequate and effective procedure for the recognition, titling, demarcation and delimitation of the collective property of the indigenous peoples. They also indicated that the remedies filed did not constitute special, opportune and effective mechani</w:t>
      </w:r>
      <w:r w:rsidR="00740EF4" w:rsidRPr="004542B5">
        <w:rPr>
          <w:noProof w:val="0"/>
          <w:szCs w:val="20"/>
          <w:lang w:val="en-US"/>
        </w:rPr>
        <w:t>s</w:t>
      </w:r>
      <w:r w:rsidR="003C263F" w:rsidRPr="004542B5">
        <w:rPr>
          <w:noProof w:val="0"/>
          <w:szCs w:val="20"/>
          <w:lang w:val="en-US"/>
        </w:rPr>
        <w:t xml:space="preserve">ms to protect </w:t>
      </w:r>
      <w:r w:rsidR="00740EF4" w:rsidRPr="004542B5">
        <w:rPr>
          <w:noProof w:val="0"/>
          <w:szCs w:val="20"/>
          <w:lang w:val="en-US"/>
        </w:rPr>
        <w:t xml:space="preserve">these peoples’ </w:t>
      </w:r>
      <w:r w:rsidR="003C263F" w:rsidRPr="004542B5">
        <w:rPr>
          <w:noProof w:val="0"/>
          <w:szCs w:val="20"/>
          <w:lang w:val="en-US"/>
        </w:rPr>
        <w:t xml:space="preserve">rights and </w:t>
      </w:r>
      <w:r w:rsidR="003C263F" w:rsidRPr="004542B5">
        <w:rPr>
          <w:noProof w:val="0"/>
          <w:szCs w:val="20"/>
          <w:lang w:val="en-US"/>
        </w:rPr>
        <w:lastRenderedPageBreak/>
        <w:t>that, even though the Constitution recognize</w:t>
      </w:r>
      <w:r w:rsidR="00740EF4" w:rsidRPr="004542B5">
        <w:rPr>
          <w:noProof w:val="0"/>
          <w:szCs w:val="20"/>
          <w:lang w:val="en-US"/>
        </w:rPr>
        <w:t>d</w:t>
      </w:r>
      <w:r w:rsidR="003C263F" w:rsidRPr="004542B5">
        <w:rPr>
          <w:noProof w:val="0"/>
          <w:szCs w:val="20"/>
          <w:lang w:val="en-US"/>
        </w:rPr>
        <w:t xml:space="preserve"> the property rights of the indigenous communities, it was not until the enactment of Law 72 of </w:t>
      </w:r>
      <w:r w:rsidR="007B47B1" w:rsidRPr="004542B5">
        <w:rPr>
          <w:noProof w:val="0"/>
          <w:szCs w:val="20"/>
          <w:lang w:val="en-US"/>
        </w:rPr>
        <w:t>2008 (</w:t>
      </w:r>
      <w:r w:rsidR="003C263F" w:rsidRPr="004542B5">
        <w:rPr>
          <w:noProof w:val="0"/>
          <w:szCs w:val="20"/>
          <w:lang w:val="en-US"/>
        </w:rPr>
        <w:t>regulated in</w:t>
      </w:r>
      <w:r w:rsidR="007B47B1" w:rsidRPr="004542B5">
        <w:rPr>
          <w:noProof w:val="0"/>
          <w:szCs w:val="20"/>
          <w:lang w:val="en-US"/>
        </w:rPr>
        <w:t xml:space="preserve"> 2010) </w:t>
      </w:r>
      <w:r w:rsidR="003C263F" w:rsidRPr="004542B5">
        <w:rPr>
          <w:noProof w:val="0"/>
          <w:szCs w:val="20"/>
          <w:lang w:val="en-US"/>
        </w:rPr>
        <w:t>that the necessary procedure wa</w:t>
      </w:r>
      <w:r w:rsidR="00740EF4" w:rsidRPr="004542B5">
        <w:rPr>
          <w:noProof w:val="0"/>
          <w:szCs w:val="20"/>
          <w:lang w:val="en-US"/>
        </w:rPr>
        <w:t>s</w:t>
      </w:r>
      <w:r w:rsidR="003C263F" w:rsidRPr="004542B5">
        <w:rPr>
          <w:noProof w:val="0"/>
          <w:szCs w:val="20"/>
          <w:lang w:val="en-US"/>
        </w:rPr>
        <w:t xml:space="preserve"> established to achieve legal recognition of their territories.</w:t>
      </w:r>
      <w:r w:rsidR="007B47B1" w:rsidRPr="004542B5">
        <w:rPr>
          <w:rStyle w:val="FootnoteReference"/>
          <w:noProof w:val="0"/>
          <w:lang w:val="en-US"/>
        </w:rPr>
        <w:footnoteReference w:id="23"/>
      </w:r>
    </w:p>
    <w:p w14:paraId="7FAC2993" w14:textId="27C47E68" w:rsidR="006C5E82" w:rsidRPr="004542B5" w:rsidRDefault="001A122F" w:rsidP="001A122F">
      <w:pPr>
        <w:numPr>
          <w:ilvl w:val="0"/>
          <w:numId w:val="2"/>
        </w:numPr>
        <w:tabs>
          <w:tab w:val="left" w:pos="720"/>
          <w:tab w:val="left" w:pos="851"/>
        </w:tabs>
        <w:spacing w:before="120" w:after="120"/>
        <w:rPr>
          <w:noProof w:val="0"/>
          <w:szCs w:val="20"/>
          <w:lang w:val="en-US"/>
        </w:rPr>
      </w:pPr>
      <w:r w:rsidRPr="004542B5">
        <w:rPr>
          <w:noProof w:val="0"/>
          <w:szCs w:val="20"/>
          <w:lang w:val="en-US"/>
        </w:rPr>
        <w:t>T</w:t>
      </w:r>
      <w:r w:rsidR="00562CBB" w:rsidRPr="004542B5">
        <w:rPr>
          <w:noProof w:val="0"/>
          <w:szCs w:val="20"/>
          <w:lang w:val="en-US"/>
        </w:rPr>
        <w:t>he representatives</w:t>
      </w:r>
      <w:r w:rsidR="007B47B1" w:rsidRPr="004542B5">
        <w:rPr>
          <w:noProof w:val="0"/>
          <w:szCs w:val="20"/>
          <w:lang w:val="en-US"/>
        </w:rPr>
        <w:t xml:space="preserve"> </w:t>
      </w:r>
      <w:r w:rsidRPr="004542B5">
        <w:rPr>
          <w:noProof w:val="0"/>
          <w:szCs w:val="20"/>
          <w:lang w:val="en-US"/>
        </w:rPr>
        <w:t xml:space="preserve">also indicated that the </w:t>
      </w:r>
      <w:r w:rsidR="00C437DD" w:rsidRPr="004542B5">
        <w:rPr>
          <w:noProof w:val="0"/>
          <w:szCs w:val="20"/>
          <w:lang w:val="en-US"/>
        </w:rPr>
        <w:t>petitioners</w:t>
      </w:r>
      <w:r w:rsidRPr="004542B5">
        <w:rPr>
          <w:noProof w:val="0"/>
          <w:szCs w:val="20"/>
          <w:lang w:val="en-US"/>
        </w:rPr>
        <w:t xml:space="preserve"> had been prevented from </w:t>
      </w:r>
      <w:r w:rsidR="00C437DD" w:rsidRPr="004542B5">
        <w:rPr>
          <w:noProof w:val="0"/>
          <w:szCs w:val="20"/>
          <w:lang w:val="en-US"/>
        </w:rPr>
        <w:t>exhausting</w:t>
      </w:r>
      <w:r w:rsidRPr="004542B5">
        <w:rPr>
          <w:noProof w:val="0"/>
          <w:szCs w:val="20"/>
          <w:lang w:val="en-US"/>
        </w:rPr>
        <w:t xml:space="preserve"> domestic remedies because there was no mechanism that obliged the State to comply with the agreements reached</w:t>
      </w:r>
      <w:r w:rsidR="000A03ED" w:rsidRPr="004542B5">
        <w:rPr>
          <w:noProof w:val="0"/>
          <w:szCs w:val="20"/>
          <w:lang w:val="en-US"/>
        </w:rPr>
        <w:t>; moreover,</w:t>
      </w:r>
      <w:r w:rsidRPr="004542B5">
        <w:rPr>
          <w:noProof w:val="0"/>
          <w:szCs w:val="20"/>
          <w:lang w:val="en-US"/>
        </w:rPr>
        <w:t xml:space="preserve"> existing remedies did not take into account their particularities as indigenous peoples (especially the collective nature of their demands). They added that the action of unconstitutionality was not appropriate because its purpose was to conte</w:t>
      </w:r>
      <w:r w:rsidR="000A03ED" w:rsidRPr="004542B5">
        <w:rPr>
          <w:noProof w:val="0"/>
          <w:szCs w:val="20"/>
          <w:lang w:val="en-US"/>
        </w:rPr>
        <w:t>s</w:t>
      </w:r>
      <w:r w:rsidRPr="004542B5">
        <w:rPr>
          <w:noProof w:val="0"/>
          <w:szCs w:val="20"/>
          <w:lang w:val="en-US"/>
        </w:rPr>
        <w:t>t laws, decrees and resolutions, while what was being alleged was not the unconstitutionality of the agreement</w:t>
      </w:r>
      <w:r w:rsidR="000A03ED" w:rsidRPr="004542B5">
        <w:rPr>
          <w:noProof w:val="0"/>
          <w:szCs w:val="20"/>
          <w:lang w:val="en-US"/>
        </w:rPr>
        <w:t>s</w:t>
      </w:r>
      <w:r w:rsidRPr="004542B5">
        <w:rPr>
          <w:noProof w:val="0"/>
          <w:szCs w:val="20"/>
          <w:lang w:val="en-US"/>
        </w:rPr>
        <w:t xml:space="preserve"> signed by the State, but rather the State’s failure to comply with them. </w:t>
      </w:r>
      <w:r w:rsidR="00562CBB" w:rsidRPr="004542B5">
        <w:rPr>
          <w:noProof w:val="0"/>
          <w:lang w:val="en-US"/>
        </w:rPr>
        <w:t>The representatives</w:t>
      </w:r>
      <w:r w:rsidR="007B47B1" w:rsidRPr="004542B5">
        <w:rPr>
          <w:noProof w:val="0"/>
          <w:lang w:val="en-US"/>
        </w:rPr>
        <w:t xml:space="preserve"> </w:t>
      </w:r>
      <w:r w:rsidRPr="004542B5">
        <w:rPr>
          <w:noProof w:val="0"/>
          <w:lang w:val="en-US"/>
        </w:rPr>
        <w:t xml:space="preserve">added that the purpose of the remedy </w:t>
      </w:r>
      <w:r w:rsidR="00DF2D9E" w:rsidRPr="004542B5">
        <w:rPr>
          <w:noProof w:val="0"/>
          <w:lang w:val="en-US"/>
        </w:rPr>
        <w:t>for</w:t>
      </w:r>
      <w:r w:rsidRPr="004542B5">
        <w:rPr>
          <w:noProof w:val="0"/>
          <w:lang w:val="en-US"/>
        </w:rPr>
        <w:t xml:space="preserve"> protection of constitutional guarantees </w:t>
      </w:r>
      <w:r w:rsidR="00DF2D9E" w:rsidRPr="004542B5">
        <w:rPr>
          <w:noProof w:val="0"/>
          <w:lang w:val="en-US"/>
        </w:rPr>
        <w:t>was</w:t>
      </w:r>
      <w:r w:rsidRPr="004542B5">
        <w:rPr>
          <w:noProof w:val="0"/>
          <w:lang w:val="en-US"/>
        </w:rPr>
        <w:t xml:space="preserve"> to request the repeal of an order </w:t>
      </w:r>
      <w:r w:rsidR="000A03ED" w:rsidRPr="004542B5">
        <w:rPr>
          <w:noProof w:val="0"/>
          <w:lang w:val="en-US"/>
        </w:rPr>
        <w:t xml:space="preserve">issued or executed by a public servant </w:t>
      </w:r>
      <w:r w:rsidRPr="004542B5">
        <w:rPr>
          <w:noProof w:val="0"/>
          <w:lang w:val="en-US"/>
        </w:rPr>
        <w:t>to do or not to do something</w:t>
      </w:r>
      <w:r w:rsidR="000A03ED" w:rsidRPr="004542B5">
        <w:rPr>
          <w:noProof w:val="0"/>
          <w:lang w:val="en-US"/>
        </w:rPr>
        <w:t>; thus,</w:t>
      </w:r>
      <w:r w:rsidRPr="004542B5">
        <w:rPr>
          <w:noProof w:val="0"/>
          <w:lang w:val="en-US"/>
        </w:rPr>
        <w:t xml:space="preserve"> </w:t>
      </w:r>
      <w:r w:rsidR="00DF2D9E" w:rsidRPr="004542B5">
        <w:rPr>
          <w:noProof w:val="0"/>
          <w:lang w:val="en-US"/>
        </w:rPr>
        <w:t xml:space="preserve">that </w:t>
      </w:r>
      <w:r w:rsidRPr="004542B5">
        <w:rPr>
          <w:noProof w:val="0"/>
          <w:lang w:val="en-US"/>
        </w:rPr>
        <w:t>remedy was also inappropriate. In addition, the representatives indicated that the presumed victims did not have access to domestic remedies owing to their poverty and geographical isolation, and because the State’s institutions impart justice in Spanish and do not acknowledge the indigenous languages.</w:t>
      </w:r>
      <w:r w:rsidR="007B47B1" w:rsidRPr="004542B5">
        <w:rPr>
          <w:rStyle w:val="FootnoteReference"/>
          <w:noProof w:val="0"/>
          <w:lang w:val="en-US"/>
        </w:rPr>
        <w:footnoteReference w:id="24"/>
      </w:r>
      <w:r w:rsidR="007B47B1" w:rsidRPr="004542B5">
        <w:rPr>
          <w:noProof w:val="0"/>
          <w:szCs w:val="20"/>
          <w:lang w:val="en-US"/>
        </w:rPr>
        <w:t xml:space="preserve">  </w:t>
      </w:r>
    </w:p>
    <w:p w14:paraId="0AC3E903" w14:textId="4F3280B2" w:rsidR="00085BE7" w:rsidRPr="004542B5" w:rsidRDefault="007B47B1" w:rsidP="00E01664">
      <w:pPr>
        <w:pStyle w:val="Heading3"/>
        <w:rPr>
          <w:noProof w:val="0"/>
          <w:lang w:val="en-US"/>
        </w:rPr>
      </w:pPr>
      <w:bookmarkStart w:id="76" w:name="_Toc361671587"/>
      <w:bookmarkStart w:id="77" w:name="_Toc361672007"/>
      <w:bookmarkStart w:id="78" w:name="_Toc361732804"/>
      <w:bookmarkStart w:id="79" w:name="_Toc361732847"/>
      <w:bookmarkStart w:id="80" w:name="_Toc362456878"/>
      <w:bookmarkStart w:id="81" w:name="_Toc365021407"/>
      <w:bookmarkStart w:id="82" w:name="_Toc369076795"/>
      <w:r w:rsidRPr="004542B5">
        <w:rPr>
          <w:noProof w:val="0"/>
          <w:lang w:val="en-US"/>
        </w:rPr>
        <w:tab/>
      </w:r>
      <w:bookmarkStart w:id="83" w:name="_Toc45200854"/>
      <w:r w:rsidRPr="004542B5">
        <w:rPr>
          <w:noProof w:val="0"/>
          <w:lang w:val="en-US"/>
        </w:rPr>
        <w:t xml:space="preserve">A.2. </w:t>
      </w:r>
      <w:r w:rsidR="00B902E7" w:rsidRPr="004542B5">
        <w:rPr>
          <w:noProof w:val="0"/>
          <w:lang w:val="en-US"/>
        </w:rPr>
        <w:t>Considerations</w:t>
      </w:r>
      <w:r w:rsidR="008A56D7" w:rsidRPr="004542B5">
        <w:rPr>
          <w:noProof w:val="0"/>
          <w:lang w:val="en-US"/>
        </w:rPr>
        <w:t xml:space="preserve"> of the </w:t>
      </w:r>
      <w:r w:rsidR="00562CBB" w:rsidRPr="004542B5">
        <w:rPr>
          <w:noProof w:val="0"/>
          <w:lang w:val="en-US"/>
        </w:rPr>
        <w:t>Court</w:t>
      </w:r>
      <w:bookmarkEnd w:id="83"/>
    </w:p>
    <w:p w14:paraId="18CECE44" w14:textId="47161407" w:rsidR="008A6DC1" w:rsidRPr="004542B5" w:rsidRDefault="001A122F" w:rsidP="00D650FD">
      <w:pPr>
        <w:pStyle w:val="Default"/>
        <w:numPr>
          <w:ilvl w:val="0"/>
          <w:numId w:val="2"/>
        </w:numPr>
        <w:spacing w:before="120" w:after="120"/>
        <w:jc w:val="both"/>
        <w:rPr>
          <w:sz w:val="20"/>
          <w:szCs w:val="20"/>
        </w:rPr>
      </w:pPr>
      <w:r w:rsidRPr="004542B5">
        <w:rPr>
          <w:rFonts w:cs="Verdana Bold"/>
          <w:bCs/>
          <w:sz w:val="20"/>
          <w:szCs w:val="20"/>
        </w:rPr>
        <w:t>Th</w:t>
      </w:r>
      <w:r w:rsidR="00D650FD" w:rsidRPr="004542B5">
        <w:rPr>
          <w:rFonts w:cs="Verdana Bold"/>
          <w:bCs/>
          <w:sz w:val="20"/>
          <w:szCs w:val="20"/>
        </w:rPr>
        <w:t>e</w:t>
      </w:r>
      <w:r w:rsidRPr="004542B5">
        <w:rPr>
          <w:rFonts w:cs="Verdana Bold"/>
          <w:bCs/>
          <w:sz w:val="20"/>
          <w:szCs w:val="20"/>
        </w:rPr>
        <w:t xml:space="preserve"> Court</w:t>
      </w:r>
      <w:r w:rsidR="000C584B" w:rsidRPr="004542B5">
        <w:rPr>
          <w:sz w:val="20"/>
          <w:szCs w:val="20"/>
        </w:rPr>
        <w:t xml:space="preserve"> ha</w:t>
      </w:r>
      <w:r w:rsidR="00D650FD" w:rsidRPr="004542B5">
        <w:rPr>
          <w:sz w:val="20"/>
          <w:szCs w:val="20"/>
        </w:rPr>
        <w:t xml:space="preserve">s maintained consistently that an objection to the exercise of </w:t>
      </w:r>
      <w:r w:rsidR="00DF2D9E" w:rsidRPr="004542B5">
        <w:rPr>
          <w:sz w:val="20"/>
          <w:szCs w:val="20"/>
        </w:rPr>
        <w:t>its</w:t>
      </w:r>
      <w:r w:rsidR="00D650FD" w:rsidRPr="004542B5">
        <w:rPr>
          <w:sz w:val="20"/>
          <w:szCs w:val="20"/>
        </w:rPr>
        <w:t xml:space="preserve"> jurisdiction based on the supposed failure to exhaust domestic remedies must be filed at the proper procedural moment; that is, during the admissibility </w:t>
      </w:r>
      <w:r w:rsidRPr="004542B5">
        <w:rPr>
          <w:sz w:val="20"/>
          <w:szCs w:val="20"/>
        </w:rPr>
        <w:t>proce</w:t>
      </w:r>
      <w:r w:rsidR="00D650FD" w:rsidRPr="004542B5">
        <w:rPr>
          <w:sz w:val="20"/>
          <w:szCs w:val="20"/>
        </w:rPr>
        <w:t>dure</w:t>
      </w:r>
      <w:r w:rsidRPr="004542B5">
        <w:rPr>
          <w:sz w:val="20"/>
          <w:szCs w:val="20"/>
        </w:rPr>
        <w:t xml:space="preserve"> before </w:t>
      </w:r>
      <w:r w:rsidR="00562CBB" w:rsidRPr="004542B5">
        <w:rPr>
          <w:sz w:val="20"/>
          <w:szCs w:val="20"/>
        </w:rPr>
        <w:t>the Commission</w:t>
      </w:r>
      <w:r w:rsidR="00D650FD" w:rsidRPr="004542B5">
        <w:rPr>
          <w:sz w:val="20"/>
          <w:szCs w:val="20"/>
        </w:rPr>
        <w:t>.</w:t>
      </w:r>
      <w:r w:rsidR="007B47B1" w:rsidRPr="004542B5">
        <w:rPr>
          <w:rStyle w:val="FootnoteReference"/>
          <w:sz w:val="20"/>
        </w:rPr>
        <w:footnoteReference w:id="25"/>
      </w:r>
      <w:r w:rsidR="000C584B" w:rsidRPr="004542B5">
        <w:rPr>
          <w:sz w:val="20"/>
          <w:szCs w:val="20"/>
        </w:rPr>
        <w:t xml:space="preserve"> </w:t>
      </w:r>
      <w:r w:rsidR="00D650FD" w:rsidRPr="004542B5">
        <w:rPr>
          <w:sz w:val="20"/>
          <w:szCs w:val="20"/>
        </w:rPr>
        <w:t>Therefore, at th</w:t>
      </w:r>
      <w:r w:rsidR="00DF2D9E" w:rsidRPr="004542B5">
        <w:rPr>
          <w:sz w:val="20"/>
          <w:szCs w:val="20"/>
        </w:rPr>
        <w:t>at</w:t>
      </w:r>
      <w:r w:rsidR="00D650FD" w:rsidRPr="004542B5">
        <w:rPr>
          <w:sz w:val="20"/>
          <w:szCs w:val="20"/>
        </w:rPr>
        <w:t xml:space="preserve"> stage of the processing of the case, the State must explain clearly the remedies that, in its opinion, have not yet been exhausted.</w:t>
      </w:r>
      <w:r w:rsidR="000F6E5B" w:rsidRPr="004542B5">
        <w:rPr>
          <w:rStyle w:val="FootnoteReference"/>
          <w:sz w:val="20"/>
        </w:rPr>
        <w:footnoteReference w:id="26"/>
      </w:r>
      <w:r w:rsidR="000C584B" w:rsidRPr="004542B5">
        <w:rPr>
          <w:sz w:val="20"/>
          <w:szCs w:val="20"/>
        </w:rPr>
        <w:t xml:space="preserve"> </w:t>
      </w:r>
      <w:r w:rsidR="00D650FD" w:rsidRPr="004542B5">
        <w:rPr>
          <w:sz w:val="20"/>
          <w:szCs w:val="20"/>
        </w:rPr>
        <w:t xml:space="preserve">This relates to the need to safeguard the principle of procedural equality between the parties that </w:t>
      </w:r>
      <w:r w:rsidR="00DF2D9E" w:rsidRPr="004542B5">
        <w:rPr>
          <w:sz w:val="20"/>
          <w:szCs w:val="20"/>
        </w:rPr>
        <w:t>should</w:t>
      </w:r>
      <w:r w:rsidR="00D650FD" w:rsidRPr="004542B5">
        <w:rPr>
          <w:sz w:val="20"/>
          <w:szCs w:val="20"/>
        </w:rPr>
        <w:t xml:space="preserve"> govern the proce</w:t>
      </w:r>
      <w:r w:rsidR="00DF2D9E" w:rsidRPr="004542B5">
        <w:rPr>
          <w:sz w:val="20"/>
          <w:szCs w:val="20"/>
        </w:rPr>
        <w:t>edings</w:t>
      </w:r>
      <w:r w:rsidR="00D650FD" w:rsidRPr="004542B5">
        <w:rPr>
          <w:sz w:val="20"/>
          <w:szCs w:val="20"/>
        </w:rPr>
        <w:t xml:space="preserve"> before the inter-American system. As the Court has repeatedly established, it is not the task of either the Court or the Commission to identify, </w:t>
      </w:r>
      <w:r w:rsidR="000C584B" w:rsidRPr="004542B5">
        <w:rPr>
          <w:i/>
          <w:sz w:val="20"/>
          <w:szCs w:val="20"/>
        </w:rPr>
        <w:t>ex of</w:t>
      </w:r>
      <w:r w:rsidR="00BE29AB" w:rsidRPr="004542B5">
        <w:rPr>
          <w:i/>
          <w:sz w:val="20"/>
          <w:szCs w:val="20"/>
        </w:rPr>
        <w:t>f</w:t>
      </w:r>
      <w:r w:rsidR="000C584B" w:rsidRPr="004542B5">
        <w:rPr>
          <w:i/>
          <w:sz w:val="20"/>
          <w:szCs w:val="20"/>
        </w:rPr>
        <w:t>icio</w:t>
      </w:r>
      <w:r w:rsidR="00DF2D9E" w:rsidRPr="004542B5">
        <w:rPr>
          <w:i/>
          <w:sz w:val="20"/>
          <w:szCs w:val="20"/>
        </w:rPr>
        <w:t>,</w:t>
      </w:r>
      <w:r w:rsidR="000C584B" w:rsidRPr="004542B5">
        <w:rPr>
          <w:sz w:val="20"/>
          <w:szCs w:val="20"/>
        </w:rPr>
        <w:t xml:space="preserve"> </w:t>
      </w:r>
      <w:r w:rsidR="00D650FD" w:rsidRPr="004542B5">
        <w:rPr>
          <w:sz w:val="20"/>
          <w:szCs w:val="20"/>
        </w:rPr>
        <w:t xml:space="preserve">the domestic remedies that remain to be exhausted because it is not incumbent on the international organs to rectify the lack of precision of the State’s arguments. Moreover, the arguments that substantiate </w:t>
      </w:r>
      <w:r w:rsidR="00DE6766" w:rsidRPr="004542B5">
        <w:rPr>
          <w:sz w:val="20"/>
          <w:szCs w:val="20"/>
        </w:rPr>
        <w:t>the preliminary objection</w:t>
      </w:r>
      <w:r w:rsidR="000C584B" w:rsidRPr="004542B5">
        <w:rPr>
          <w:sz w:val="20"/>
          <w:szCs w:val="20"/>
        </w:rPr>
        <w:t xml:space="preserve"> </w:t>
      </w:r>
      <w:r w:rsidR="00D650FD" w:rsidRPr="004542B5">
        <w:rPr>
          <w:sz w:val="20"/>
          <w:szCs w:val="20"/>
        </w:rPr>
        <w:t>filed by</w:t>
      </w:r>
      <w:r w:rsidR="000C584B" w:rsidRPr="004542B5">
        <w:rPr>
          <w:sz w:val="20"/>
          <w:szCs w:val="20"/>
        </w:rPr>
        <w:t xml:space="preserve"> </w:t>
      </w:r>
      <w:r w:rsidR="00562CBB" w:rsidRPr="004542B5">
        <w:rPr>
          <w:sz w:val="20"/>
          <w:szCs w:val="20"/>
        </w:rPr>
        <w:t>the State</w:t>
      </w:r>
      <w:r w:rsidR="000C584B" w:rsidRPr="004542B5">
        <w:rPr>
          <w:sz w:val="20"/>
          <w:szCs w:val="20"/>
        </w:rPr>
        <w:t xml:space="preserve"> </w:t>
      </w:r>
      <w:r w:rsidR="00D650FD" w:rsidRPr="004542B5">
        <w:rPr>
          <w:sz w:val="20"/>
          <w:szCs w:val="20"/>
        </w:rPr>
        <w:t>before</w:t>
      </w:r>
      <w:r w:rsidR="000C584B" w:rsidRPr="004542B5">
        <w:rPr>
          <w:sz w:val="20"/>
          <w:szCs w:val="20"/>
        </w:rPr>
        <w:t xml:space="preserve"> </w:t>
      </w:r>
      <w:r w:rsidR="00562CBB" w:rsidRPr="004542B5">
        <w:rPr>
          <w:sz w:val="20"/>
          <w:szCs w:val="20"/>
        </w:rPr>
        <w:t>the Commission</w:t>
      </w:r>
      <w:r w:rsidR="000C584B" w:rsidRPr="004542B5">
        <w:rPr>
          <w:sz w:val="20"/>
          <w:szCs w:val="20"/>
        </w:rPr>
        <w:t xml:space="preserve"> </w:t>
      </w:r>
      <w:r w:rsidR="00D650FD" w:rsidRPr="004542B5">
        <w:rPr>
          <w:sz w:val="20"/>
          <w:szCs w:val="20"/>
        </w:rPr>
        <w:t>at the admissibility stage must correspond to those submitted to</w:t>
      </w:r>
      <w:r w:rsidR="000C584B" w:rsidRPr="004542B5">
        <w:rPr>
          <w:sz w:val="20"/>
          <w:szCs w:val="20"/>
        </w:rPr>
        <w:t xml:space="preserve"> </w:t>
      </w:r>
      <w:r w:rsidR="00562CBB" w:rsidRPr="004542B5">
        <w:rPr>
          <w:sz w:val="20"/>
          <w:szCs w:val="20"/>
        </w:rPr>
        <w:t>the Court</w:t>
      </w:r>
      <w:r w:rsidR="00D650FD" w:rsidRPr="004542B5">
        <w:rPr>
          <w:sz w:val="20"/>
          <w:szCs w:val="20"/>
        </w:rPr>
        <w:t>.</w:t>
      </w:r>
      <w:r w:rsidR="007B47B1" w:rsidRPr="004542B5">
        <w:rPr>
          <w:rStyle w:val="FootnoteReference"/>
          <w:sz w:val="20"/>
        </w:rPr>
        <w:footnoteReference w:id="27"/>
      </w:r>
      <w:r w:rsidR="000C584B" w:rsidRPr="004542B5">
        <w:rPr>
          <w:sz w:val="20"/>
          <w:szCs w:val="20"/>
        </w:rPr>
        <w:t xml:space="preserve"> </w:t>
      </w:r>
    </w:p>
    <w:p w14:paraId="50CBC6B1" w14:textId="61E8F4C4" w:rsidR="008C5471" w:rsidRPr="004542B5" w:rsidRDefault="00BA6243" w:rsidP="00BA6243">
      <w:pPr>
        <w:pStyle w:val="Default"/>
        <w:numPr>
          <w:ilvl w:val="0"/>
          <w:numId w:val="2"/>
        </w:numPr>
        <w:spacing w:before="120" w:after="120"/>
        <w:jc w:val="both"/>
        <w:rPr>
          <w:sz w:val="20"/>
          <w:szCs w:val="20"/>
        </w:rPr>
      </w:pPr>
      <w:r w:rsidRPr="004542B5">
        <w:rPr>
          <w:sz w:val="20"/>
          <w:szCs w:val="20"/>
        </w:rPr>
        <w:lastRenderedPageBreak/>
        <w:t>In the instant case, the Court note</w:t>
      </w:r>
      <w:r w:rsidR="00DF2D9E" w:rsidRPr="004542B5">
        <w:rPr>
          <w:sz w:val="20"/>
          <w:szCs w:val="20"/>
        </w:rPr>
        <w:t>s</w:t>
      </w:r>
      <w:r w:rsidRPr="004542B5">
        <w:rPr>
          <w:sz w:val="20"/>
          <w:szCs w:val="20"/>
        </w:rPr>
        <w:t xml:space="preserve"> that the State referred generically to five remedies that should have been exhausted</w:t>
      </w:r>
      <w:r w:rsidR="007B47B1" w:rsidRPr="004542B5">
        <w:rPr>
          <w:sz w:val="20"/>
          <w:szCs w:val="20"/>
        </w:rPr>
        <w:t xml:space="preserve"> (</w:t>
      </w:r>
      <w:r w:rsidR="007B47B1" w:rsidRPr="004542B5">
        <w:rPr>
          <w:i/>
          <w:sz w:val="20"/>
          <w:szCs w:val="20"/>
        </w:rPr>
        <w:t>supra</w:t>
      </w:r>
      <w:r w:rsidR="007B47B1" w:rsidRPr="004542B5">
        <w:rPr>
          <w:sz w:val="20"/>
          <w:szCs w:val="20"/>
        </w:rPr>
        <w:t xml:space="preserve"> </w:t>
      </w:r>
      <w:r w:rsidR="00F66B76" w:rsidRPr="004542B5">
        <w:rPr>
          <w:sz w:val="20"/>
          <w:szCs w:val="20"/>
        </w:rPr>
        <w:t>para.</w:t>
      </w:r>
      <w:r w:rsidR="007B47B1" w:rsidRPr="004542B5">
        <w:rPr>
          <w:sz w:val="20"/>
          <w:szCs w:val="20"/>
        </w:rPr>
        <w:t xml:space="preserve"> </w:t>
      </w:r>
      <w:r w:rsidR="00642967" w:rsidRPr="004542B5">
        <w:rPr>
          <w:sz w:val="20"/>
          <w:szCs w:val="20"/>
        </w:rPr>
        <w:t>17</w:t>
      </w:r>
      <w:r w:rsidR="007B47B1" w:rsidRPr="004542B5">
        <w:rPr>
          <w:sz w:val="20"/>
          <w:szCs w:val="20"/>
        </w:rPr>
        <w:t xml:space="preserve">). </w:t>
      </w:r>
      <w:r w:rsidRPr="004542B5">
        <w:rPr>
          <w:sz w:val="20"/>
          <w:szCs w:val="20"/>
        </w:rPr>
        <w:t xml:space="preserve">In this regard, the State referred, </w:t>
      </w:r>
      <w:r w:rsidR="00DF2D9E" w:rsidRPr="004542B5">
        <w:rPr>
          <w:i/>
          <w:iCs/>
          <w:sz w:val="20"/>
          <w:szCs w:val="20"/>
        </w:rPr>
        <w:t>inter alia</w:t>
      </w:r>
      <w:r w:rsidR="00DF2D9E" w:rsidRPr="004542B5">
        <w:rPr>
          <w:sz w:val="20"/>
          <w:szCs w:val="20"/>
        </w:rPr>
        <w:t>,</w:t>
      </w:r>
      <w:r w:rsidRPr="004542B5">
        <w:rPr>
          <w:sz w:val="20"/>
          <w:szCs w:val="20"/>
        </w:rPr>
        <w:t xml:space="preserve"> to the “contentious administrative jurisdiction” and “actions and remedies in all administrative and judicial instances.” Th</w:t>
      </w:r>
      <w:r w:rsidR="00DF2D9E" w:rsidRPr="004542B5">
        <w:rPr>
          <w:sz w:val="20"/>
          <w:szCs w:val="20"/>
        </w:rPr>
        <w:t>is</w:t>
      </w:r>
      <w:r w:rsidRPr="004542B5">
        <w:rPr>
          <w:sz w:val="20"/>
          <w:szCs w:val="20"/>
        </w:rPr>
        <w:t xml:space="preserve"> argument was submitted in both the procedure before the Commission and the contentious proceedings before the Court. Regarding the “contentious administrative jurisdiction,” in its brief answering the submission of the case to the Court, the State provided supplementary information on the competence of the </w:t>
      </w:r>
      <w:r w:rsidRPr="004542B5">
        <w:rPr>
          <w:rFonts w:cs="Verdana Bold"/>
          <w:bCs/>
          <w:sz w:val="20"/>
          <w:szCs w:val="20"/>
        </w:rPr>
        <w:t xml:space="preserve">Third Contentious Administrative Chamber of the Supreme Court of Justice </w:t>
      </w:r>
      <w:r w:rsidR="00FE0BF3" w:rsidRPr="004542B5">
        <w:rPr>
          <w:rFonts w:cs="Verdana Bold"/>
          <w:bCs/>
          <w:sz w:val="20"/>
          <w:szCs w:val="20"/>
        </w:rPr>
        <w:t>of Panama</w:t>
      </w:r>
      <w:r w:rsidRPr="004542B5">
        <w:rPr>
          <w:rFonts w:cs="Verdana Bold"/>
          <w:bCs/>
          <w:sz w:val="20"/>
          <w:szCs w:val="20"/>
        </w:rPr>
        <w:t xml:space="preserve"> indicating which of the 15 remedies that this jurisdiction</w:t>
      </w:r>
      <w:r w:rsidR="00DF2D9E" w:rsidRPr="004542B5">
        <w:rPr>
          <w:rFonts w:cs="Verdana Bold"/>
          <w:bCs/>
          <w:sz w:val="20"/>
          <w:szCs w:val="20"/>
        </w:rPr>
        <w:t>s is able to</w:t>
      </w:r>
      <w:r w:rsidRPr="004542B5">
        <w:rPr>
          <w:rFonts w:cs="Verdana Bold"/>
          <w:bCs/>
          <w:sz w:val="20"/>
          <w:szCs w:val="20"/>
        </w:rPr>
        <w:t xml:space="preserve"> examine would be appropriate to </w:t>
      </w:r>
      <w:r w:rsidR="00D1760E" w:rsidRPr="004542B5">
        <w:rPr>
          <w:rFonts w:cs="Verdana Bold"/>
          <w:bCs/>
          <w:sz w:val="20"/>
          <w:szCs w:val="20"/>
        </w:rPr>
        <w:t>examine the claims for compensation.</w:t>
      </w:r>
      <w:r w:rsidR="007B47B1" w:rsidRPr="004542B5">
        <w:rPr>
          <w:rStyle w:val="FootnoteReference"/>
          <w:bCs/>
          <w:sz w:val="20"/>
        </w:rPr>
        <w:footnoteReference w:id="28"/>
      </w:r>
      <w:r w:rsidR="007B47B1" w:rsidRPr="004542B5">
        <w:rPr>
          <w:rFonts w:cs="Verdana Bold"/>
          <w:bCs/>
          <w:sz w:val="20"/>
          <w:szCs w:val="20"/>
        </w:rPr>
        <w:t xml:space="preserve"> </w:t>
      </w:r>
    </w:p>
    <w:p w14:paraId="349252C9" w14:textId="79C1C2C2" w:rsidR="008C5471" w:rsidRPr="004542B5" w:rsidRDefault="00D1760E" w:rsidP="00D1760E">
      <w:pPr>
        <w:pStyle w:val="Default"/>
        <w:numPr>
          <w:ilvl w:val="0"/>
          <w:numId w:val="2"/>
        </w:numPr>
        <w:spacing w:before="120" w:after="120"/>
        <w:jc w:val="both"/>
        <w:rPr>
          <w:rFonts w:cs="Verdana Bold"/>
          <w:bCs/>
          <w:sz w:val="20"/>
          <w:szCs w:val="20"/>
        </w:rPr>
      </w:pPr>
      <w:r w:rsidRPr="004542B5">
        <w:rPr>
          <w:rFonts w:cs="Verdana Bold"/>
          <w:bCs/>
          <w:sz w:val="20"/>
          <w:szCs w:val="20"/>
        </w:rPr>
        <w:t xml:space="preserve">Consequently, although the State effectively filed the objection of failure to exhaust domestic remedies during the processing of the case before </w:t>
      </w:r>
      <w:r w:rsidR="00562CBB" w:rsidRPr="004542B5">
        <w:rPr>
          <w:rFonts w:cs="Verdana Bold"/>
          <w:bCs/>
          <w:sz w:val="20"/>
          <w:szCs w:val="20"/>
        </w:rPr>
        <w:t>the Commission</w:t>
      </w:r>
      <w:r w:rsidR="007B47B1" w:rsidRPr="004542B5">
        <w:rPr>
          <w:rFonts w:cs="Verdana Bold"/>
          <w:bCs/>
          <w:sz w:val="20"/>
          <w:szCs w:val="20"/>
        </w:rPr>
        <w:t>, indica</w:t>
      </w:r>
      <w:r w:rsidRPr="004542B5">
        <w:rPr>
          <w:rFonts w:cs="Verdana Bold"/>
          <w:bCs/>
          <w:sz w:val="20"/>
          <w:szCs w:val="20"/>
        </w:rPr>
        <w:t xml:space="preserve">ting five remedies that could have been filed by the petitioners, the Court </w:t>
      </w:r>
      <w:r w:rsidR="006E0D22" w:rsidRPr="004542B5">
        <w:rPr>
          <w:rFonts w:cs="Verdana Bold"/>
          <w:bCs/>
          <w:sz w:val="20"/>
          <w:szCs w:val="20"/>
        </w:rPr>
        <w:t xml:space="preserve">has </w:t>
      </w:r>
      <w:r w:rsidRPr="004542B5">
        <w:rPr>
          <w:rFonts w:cs="Verdana Bold"/>
          <w:bCs/>
          <w:sz w:val="20"/>
          <w:szCs w:val="20"/>
        </w:rPr>
        <w:t>verifie</w:t>
      </w:r>
      <w:r w:rsidR="006E0D22" w:rsidRPr="004542B5">
        <w:rPr>
          <w:rFonts w:cs="Verdana Bold"/>
          <w:bCs/>
          <w:sz w:val="20"/>
          <w:szCs w:val="20"/>
        </w:rPr>
        <w:t>d</w:t>
      </w:r>
      <w:r w:rsidRPr="004542B5">
        <w:rPr>
          <w:rFonts w:cs="Verdana Bold"/>
          <w:bCs/>
          <w:sz w:val="20"/>
          <w:szCs w:val="20"/>
        </w:rPr>
        <w:t xml:space="preserve"> that the State has only recently specified – during the contentious proceedings before it – which of these remedies would be appropriate and effective for facts such as the failure to pay compensation in this case. Therefore, the objection of </w:t>
      </w:r>
      <w:r w:rsidR="00DE6766" w:rsidRPr="004542B5">
        <w:rPr>
          <w:rFonts w:cs="Verdana Bold"/>
          <w:bCs/>
          <w:sz w:val="20"/>
          <w:szCs w:val="20"/>
        </w:rPr>
        <w:t>failure to exhaust domestic remedies</w:t>
      </w:r>
      <w:r w:rsidR="007B47B1" w:rsidRPr="004542B5">
        <w:rPr>
          <w:rFonts w:cs="Verdana Bold"/>
          <w:bCs/>
          <w:sz w:val="20"/>
          <w:szCs w:val="20"/>
        </w:rPr>
        <w:t xml:space="preserve"> rela</w:t>
      </w:r>
      <w:r w:rsidRPr="004542B5">
        <w:rPr>
          <w:rFonts w:cs="Verdana Bold"/>
          <w:bCs/>
          <w:sz w:val="20"/>
          <w:szCs w:val="20"/>
        </w:rPr>
        <w:t>ted to the presumed failure to pay compensation must be rejected because it was not filed precisely and specifically at the proper procedural moment</w:t>
      </w:r>
      <w:r w:rsidR="007B47B1" w:rsidRPr="004542B5">
        <w:rPr>
          <w:rFonts w:cs="Verdana Bold"/>
          <w:bCs/>
          <w:sz w:val="20"/>
          <w:szCs w:val="20"/>
        </w:rPr>
        <w:t>.</w:t>
      </w:r>
    </w:p>
    <w:p w14:paraId="6C7EC4BB" w14:textId="53A60A60" w:rsidR="003B7977" w:rsidRPr="004542B5" w:rsidRDefault="00AD34D8" w:rsidP="00E01664">
      <w:pPr>
        <w:pStyle w:val="Heading2"/>
        <w:rPr>
          <w:noProof w:val="0"/>
          <w:lang w:val="en-US"/>
        </w:rPr>
      </w:pPr>
      <w:bookmarkStart w:id="84" w:name="_Toc45200855"/>
      <w:r w:rsidRPr="004542B5">
        <w:rPr>
          <w:noProof w:val="0"/>
          <w:lang w:val="en-US"/>
        </w:rPr>
        <w:t>Second</w:t>
      </w:r>
      <w:r w:rsidR="007B47B1" w:rsidRPr="004542B5">
        <w:rPr>
          <w:noProof w:val="0"/>
          <w:lang w:val="en-US"/>
        </w:rPr>
        <w:t xml:space="preserve"> </w:t>
      </w:r>
      <w:r w:rsidR="00DE6766" w:rsidRPr="004542B5">
        <w:rPr>
          <w:noProof w:val="0"/>
          <w:lang w:val="en-US"/>
        </w:rPr>
        <w:t>preliminary objection</w:t>
      </w:r>
      <w:r w:rsidR="007B47B1" w:rsidRPr="004542B5">
        <w:rPr>
          <w:noProof w:val="0"/>
          <w:lang w:val="en-US"/>
        </w:rPr>
        <w:t>: “</w:t>
      </w:r>
      <w:r w:rsidR="0063510B" w:rsidRPr="004542B5">
        <w:rPr>
          <w:noProof w:val="0"/>
          <w:lang w:val="en-US"/>
        </w:rPr>
        <w:t>Lack of jurisdiction</w:t>
      </w:r>
      <w:r w:rsidR="007B47B1" w:rsidRPr="004542B5">
        <w:rPr>
          <w:noProof w:val="0"/>
          <w:lang w:val="en-US"/>
        </w:rPr>
        <w:t xml:space="preserve"> ratione temporis”</w:t>
      </w:r>
      <w:bookmarkEnd w:id="76"/>
      <w:bookmarkEnd w:id="77"/>
      <w:bookmarkEnd w:id="78"/>
      <w:bookmarkEnd w:id="79"/>
      <w:bookmarkEnd w:id="80"/>
      <w:bookmarkEnd w:id="81"/>
      <w:bookmarkEnd w:id="82"/>
      <w:bookmarkEnd w:id="84"/>
    </w:p>
    <w:p w14:paraId="564E205C" w14:textId="687B90B7" w:rsidR="008C5471" w:rsidRPr="004542B5" w:rsidRDefault="007B47B1" w:rsidP="00E01664">
      <w:pPr>
        <w:pStyle w:val="Heading3"/>
        <w:rPr>
          <w:i w:val="0"/>
          <w:noProof w:val="0"/>
          <w:lang w:val="en-US"/>
        </w:rPr>
      </w:pPr>
      <w:bookmarkStart w:id="85" w:name="_Toc45200856"/>
      <w:r w:rsidRPr="004542B5">
        <w:rPr>
          <w:noProof w:val="0"/>
          <w:lang w:val="en-US"/>
        </w:rPr>
        <w:t>B.1</w:t>
      </w:r>
      <w:r w:rsidR="0077142F" w:rsidRPr="004542B5">
        <w:rPr>
          <w:noProof w:val="0"/>
          <w:lang w:val="en-US"/>
        </w:rPr>
        <w:t>.</w:t>
      </w:r>
      <w:r w:rsidRPr="004542B5">
        <w:rPr>
          <w:noProof w:val="0"/>
          <w:lang w:val="en-US"/>
        </w:rPr>
        <w:t xml:space="preserve"> </w:t>
      </w:r>
      <w:r w:rsidR="00AD34D8" w:rsidRPr="004542B5">
        <w:rPr>
          <w:noProof w:val="0"/>
          <w:lang w:val="en-US"/>
        </w:rPr>
        <w:t>Allegations of the parties and arguments</w:t>
      </w:r>
      <w:r w:rsidR="008A56D7" w:rsidRPr="004542B5">
        <w:rPr>
          <w:noProof w:val="0"/>
          <w:lang w:val="en-US"/>
        </w:rPr>
        <w:t xml:space="preserve"> of the </w:t>
      </w:r>
      <w:r w:rsidR="00562CBB" w:rsidRPr="004542B5">
        <w:rPr>
          <w:noProof w:val="0"/>
          <w:lang w:val="en-US"/>
        </w:rPr>
        <w:t>Commission</w:t>
      </w:r>
      <w:bookmarkEnd w:id="85"/>
    </w:p>
    <w:p w14:paraId="1C1C2574" w14:textId="07168299" w:rsidR="00E93F52" w:rsidRPr="004542B5" w:rsidRDefault="00562CBB" w:rsidP="00E93F52">
      <w:pPr>
        <w:pStyle w:val="ListParagraph"/>
        <w:numPr>
          <w:ilvl w:val="0"/>
          <w:numId w:val="2"/>
        </w:numPr>
        <w:spacing w:before="120" w:after="120"/>
        <w:contextualSpacing w:val="0"/>
        <w:rPr>
          <w:noProof w:val="0"/>
          <w:szCs w:val="20"/>
          <w:lang w:val="en-US"/>
        </w:rPr>
      </w:pPr>
      <w:r w:rsidRPr="004542B5">
        <w:rPr>
          <w:noProof w:val="0"/>
          <w:szCs w:val="20"/>
          <w:lang w:val="en-US"/>
        </w:rPr>
        <w:t>The State</w:t>
      </w:r>
      <w:r w:rsidR="007B47B1" w:rsidRPr="004542B5">
        <w:rPr>
          <w:noProof w:val="0"/>
          <w:szCs w:val="20"/>
          <w:lang w:val="en-US"/>
        </w:rPr>
        <w:t xml:space="preserve"> </w:t>
      </w:r>
      <w:r w:rsidR="00573745" w:rsidRPr="004542B5">
        <w:rPr>
          <w:noProof w:val="0"/>
          <w:szCs w:val="20"/>
          <w:lang w:val="en-US"/>
        </w:rPr>
        <w:t>filed the</w:t>
      </w:r>
      <w:r w:rsidR="00E93F52" w:rsidRPr="004542B5">
        <w:rPr>
          <w:noProof w:val="0"/>
          <w:szCs w:val="20"/>
          <w:lang w:val="en-US"/>
        </w:rPr>
        <w:t xml:space="preserve"> objection of partial </w:t>
      </w:r>
      <w:r w:rsidR="006E0D22" w:rsidRPr="004542B5">
        <w:rPr>
          <w:noProof w:val="0"/>
          <w:szCs w:val="20"/>
          <w:lang w:val="en-US"/>
        </w:rPr>
        <w:t>l</w:t>
      </w:r>
      <w:r w:rsidR="0063510B" w:rsidRPr="004542B5">
        <w:rPr>
          <w:noProof w:val="0"/>
          <w:szCs w:val="20"/>
          <w:lang w:val="en-US"/>
        </w:rPr>
        <w:t>ack of jurisdiction</w:t>
      </w:r>
      <w:r w:rsidR="00E93F52" w:rsidRPr="004542B5">
        <w:rPr>
          <w:noProof w:val="0"/>
          <w:szCs w:val="20"/>
          <w:lang w:val="en-US"/>
        </w:rPr>
        <w:t xml:space="preserve"> </w:t>
      </w:r>
      <w:r w:rsidR="00E93F52" w:rsidRPr="004542B5">
        <w:rPr>
          <w:i/>
          <w:iCs/>
          <w:noProof w:val="0"/>
          <w:szCs w:val="20"/>
          <w:lang w:val="en-US"/>
        </w:rPr>
        <w:t>ratione temporis</w:t>
      </w:r>
      <w:r w:rsidR="007B47B1" w:rsidRPr="004542B5">
        <w:rPr>
          <w:noProof w:val="0"/>
          <w:szCs w:val="20"/>
          <w:lang w:val="en-US"/>
        </w:rPr>
        <w:t xml:space="preserve"> </w:t>
      </w:r>
      <w:r w:rsidR="00E93F52" w:rsidRPr="004542B5">
        <w:rPr>
          <w:noProof w:val="0"/>
          <w:szCs w:val="20"/>
          <w:lang w:val="en-US"/>
        </w:rPr>
        <w:t xml:space="preserve">owing to </w:t>
      </w:r>
      <w:r w:rsidR="006E0D22" w:rsidRPr="004542B5">
        <w:rPr>
          <w:noProof w:val="0"/>
          <w:szCs w:val="20"/>
          <w:lang w:val="en-US"/>
        </w:rPr>
        <w:t xml:space="preserve">the </w:t>
      </w:r>
      <w:r w:rsidR="00E93F52" w:rsidRPr="004542B5">
        <w:rPr>
          <w:noProof w:val="0"/>
          <w:szCs w:val="20"/>
          <w:lang w:val="en-US"/>
        </w:rPr>
        <w:t xml:space="preserve">date on which the alleged facts occurred. Panama indicated that the facts relating to the financial claims </w:t>
      </w:r>
      <w:r w:rsidR="006E0D22" w:rsidRPr="004542B5">
        <w:rPr>
          <w:noProof w:val="0"/>
          <w:szCs w:val="20"/>
          <w:lang w:val="en-US"/>
        </w:rPr>
        <w:t>based on</w:t>
      </w:r>
      <w:r w:rsidR="00E93F52" w:rsidRPr="004542B5">
        <w:rPr>
          <w:noProof w:val="0"/>
          <w:szCs w:val="20"/>
          <w:lang w:val="en-US"/>
        </w:rPr>
        <w:t xml:space="preserve"> the relocation of the indigenous peoples because of the construction of the Bayano reservoir occurred starting in 1971. It added that the claims concerning insufficient amounts</w:t>
      </w:r>
      <w:r w:rsidR="006E0D22" w:rsidRPr="004542B5">
        <w:rPr>
          <w:noProof w:val="0"/>
          <w:szCs w:val="20"/>
          <w:lang w:val="en-US"/>
        </w:rPr>
        <w:t>,</w:t>
      </w:r>
      <w:r w:rsidR="00E93F52" w:rsidRPr="004542B5">
        <w:rPr>
          <w:noProof w:val="0"/>
          <w:szCs w:val="20"/>
          <w:lang w:val="en-US"/>
        </w:rPr>
        <w:t xml:space="preserve"> or sums that were not paid</w:t>
      </w:r>
      <w:r w:rsidR="006E0D22" w:rsidRPr="004542B5">
        <w:rPr>
          <w:noProof w:val="0"/>
          <w:szCs w:val="20"/>
          <w:lang w:val="en-US"/>
        </w:rPr>
        <w:t>,</w:t>
      </w:r>
      <w:r w:rsidR="00E93F52" w:rsidRPr="004542B5">
        <w:rPr>
          <w:noProof w:val="0"/>
          <w:szCs w:val="20"/>
          <w:lang w:val="en-US"/>
        </w:rPr>
        <w:t xml:space="preserve"> referred to the </w:t>
      </w:r>
      <w:r w:rsidR="007B47B1" w:rsidRPr="004542B5">
        <w:rPr>
          <w:noProof w:val="0"/>
          <w:szCs w:val="20"/>
          <w:lang w:val="en-US"/>
        </w:rPr>
        <w:t xml:space="preserve">Majecito </w:t>
      </w:r>
      <w:r w:rsidR="00E93F52" w:rsidRPr="004542B5">
        <w:rPr>
          <w:noProof w:val="0"/>
          <w:szCs w:val="20"/>
          <w:lang w:val="en-US"/>
        </w:rPr>
        <w:t xml:space="preserve">Agreement </w:t>
      </w:r>
      <w:r w:rsidR="007B47B1" w:rsidRPr="004542B5">
        <w:rPr>
          <w:noProof w:val="0"/>
          <w:szCs w:val="20"/>
          <w:lang w:val="en-US"/>
        </w:rPr>
        <w:t xml:space="preserve">(1975), </w:t>
      </w:r>
      <w:r w:rsidR="00E93F52" w:rsidRPr="004542B5">
        <w:rPr>
          <w:noProof w:val="0"/>
          <w:szCs w:val="20"/>
          <w:lang w:val="en-US"/>
        </w:rPr>
        <w:t>the Farallón Agreement</w:t>
      </w:r>
      <w:r w:rsidR="007B47B1" w:rsidRPr="004542B5">
        <w:rPr>
          <w:noProof w:val="0"/>
          <w:szCs w:val="20"/>
          <w:lang w:val="en-US"/>
        </w:rPr>
        <w:t xml:space="preserve"> (1976), </w:t>
      </w:r>
      <w:r w:rsidR="00E93F52" w:rsidRPr="004542B5">
        <w:rPr>
          <w:noProof w:val="0"/>
          <w:szCs w:val="20"/>
          <w:lang w:val="en-US"/>
        </w:rPr>
        <w:t>the Fuerte Cimarrón Agreement</w:t>
      </w:r>
      <w:r w:rsidR="007B47B1" w:rsidRPr="004542B5">
        <w:rPr>
          <w:noProof w:val="0"/>
          <w:szCs w:val="20"/>
          <w:lang w:val="en-US"/>
        </w:rPr>
        <w:t xml:space="preserve"> (1977)</w:t>
      </w:r>
      <w:r w:rsidR="00CD2B90" w:rsidRPr="004542B5">
        <w:rPr>
          <w:noProof w:val="0"/>
          <w:szCs w:val="20"/>
          <w:lang w:val="en-US"/>
        </w:rPr>
        <w:t xml:space="preserve"> and </w:t>
      </w:r>
      <w:r w:rsidR="00E93F52" w:rsidRPr="004542B5">
        <w:rPr>
          <w:noProof w:val="0"/>
          <w:szCs w:val="20"/>
          <w:lang w:val="en-US"/>
        </w:rPr>
        <w:t>the</w:t>
      </w:r>
      <w:r w:rsidR="007B47B1" w:rsidRPr="004542B5">
        <w:rPr>
          <w:noProof w:val="0"/>
          <w:szCs w:val="20"/>
          <w:lang w:val="en-US"/>
        </w:rPr>
        <w:t xml:space="preserve"> </w:t>
      </w:r>
      <w:r w:rsidR="00E93F52" w:rsidRPr="004542B5">
        <w:rPr>
          <w:noProof w:val="0"/>
          <w:szCs w:val="20"/>
          <w:lang w:val="en-US"/>
        </w:rPr>
        <w:t>La Espriella Agreement</w:t>
      </w:r>
      <w:r w:rsidR="007B47B1" w:rsidRPr="004542B5">
        <w:rPr>
          <w:noProof w:val="0"/>
          <w:szCs w:val="20"/>
          <w:lang w:val="en-US"/>
        </w:rPr>
        <w:t xml:space="preserve"> (1980, </w:t>
      </w:r>
      <w:r w:rsidR="007B47B1" w:rsidRPr="004542B5">
        <w:rPr>
          <w:i/>
          <w:noProof w:val="0"/>
          <w:szCs w:val="20"/>
          <w:lang w:val="en-US"/>
        </w:rPr>
        <w:t>infra</w:t>
      </w:r>
      <w:r w:rsidR="007B47B1" w:rsidRPr="004542B5">
        <w:rPr>
          <w:noProof w:val="0"/>
          <w:szCs w:val="20"/>
          <w:lang w:val="en-US"/>
        </w:rPr>
        <w:t xml:space="preserve"> </w:t>
      </w:r>
      <w:r w:rsidR="00F66B76" w:rsidRPr="004542B5">
        <w:rPr>
          <w:noProof w:val="0"/>
          <w:szCs w:val="20"/>
          <w:lang w:val="en-US"/>
        </w:rPr>
        <w:t>para.</w:t>
      </w:r>
      <w:r w:rsidR="007B47B1" w:rsidRPr="004542B5">
        <w:rPr>
          <w:noProof w:val="0"/>
          <w:szCs w:val="20"/>
          <w:lang w:val="en-US"/>
        </w:rPr>
        <w:t xml:space="preserve"> </w:t>
      </w:r>
      <w:r w:rsidR="00776ED4" w:rsidRPr="004542B5">
        <w:rPr>
          <w:noProof w:val="0"/>
          <w:szCs w:val="20"/>
          <w:lang w:val="en-US"/>
        </w:rPr>
        <w:t>38</w:t>
      </w:r>
      <w:r w:rsidR="007B47B1" w:rsidRPr="004542B5">
        <w:rPr>
          <w:noProof w:val="0"/>
          <w:szCs w:val="20"/>
          <w:lang w:val="en-US"/>
        </w:rPr>
        <w:t xml:space="preserve">). </w:t>
      </w:r>
      <w:r w:rsidR="00E93F52" w:rsidRPr="004542B5">
        <w:rPr>
          <w:noProof w:val="0"/>
          <w:szCs w:val="20"/>
          <w:lang w:val="en-US"/>
        </w:rPr>
        <w:t>It also indicated that the facts relating to the alleged violation of the ancestral rights over the property of the indigenous</w:t>
      </w:r>
      <w:r w:rsidR="006E0D22" w:rsidRPr="004542B5">
        <w:rPr>
          <w:noProof w:val="0"/>
          <w:szCs w:val="20"/>
          <w:lang w:val="en-US"/>
        </w:rPr>
        <w:t xml:space="preserve"> peoples</w:t>
      </w:r>
      <w:r w:rsidR="00E93F52" w:rsidRPr="004542B5">
        <w:rPr>
          <w:noProof w:val="0"/>
          <w:szCs w:val="20"/>
          <w:lang w:val="en-US"/>
        </w:rPr>
        <w:t xml:space="preserve"> </w:t>
      </w:r>
      <w:r w:rsidR="006E0D22" w:rsidRPr="004542B5">
        <w:rPr>
          <w:noProof w:val="0"/>
          <w:szCs w:val="20"/>
          <w:lang w:val="en-US"/>
        </w:rPr>
        <w:t>due to</w:t>
      </w:r>
      <w:r w:rsidR="00E93F52" w:rsidRPr="004542B5">
        <w:rPr>
          <w:noProof w:val="0"/>
          <w:szCs w:val="20"/>
          <w:lang w:val="en-US"/>
        </w:rPr>
        <w:t xml:space="preserve"> their transfer occurred in 1972 and 1976. </w:t>
      </w:r>
      <w:r w:rsidR="006D1D00" w:rsidRPr="004542B5">
        <w:rPr>
          <w:noProof w:val="0"/>
          <w:szCs w:val="20"/>
          <w:lang w:val="en-US"/>
        </w:rPr>
        <w:t xml:space="preserve">However, Panama </w:t>
      </w:r>
      <w:r w:rsidR="006E0D22" w:rsidRPr="004542B5">
        <w:rPr>
          <w:noProof w:val="0"/>
          <w:szCs w:val="20"/>
          <w:lang w:val="en-US"/>
        </w:rPr>
        <w:t xml:space="preserve">only </w:t>
      </w:r>
      <w:r w:rsidR="006D1D00" w:rsidRPr="004542B5">
        <w:rPr>
          <w:noProof w:val="0"/>
          <w:szCs w:val="20"/>
          <w:lang w:val="en-US"/>
        </w:rPr>
        <w:t>ratified the American Convention on June 5, 1978, and accepted the Court’s contentious jurisdiction on May 9, 1990. The State recalled that the Court ha</w:t>
      </w:r>
      <w:r w:rsidR="006E0D22" w:rsidRPr="004542B5">
        <w:rPr>
          <w:noProof w:val="0"/>
          <w:szCs w:val="20"/>
          <w:lang w:val="en-US"/>
        </w:rPr>
        <w:t>d</w:t>
      </w:r>
      <w:r w:rsidR="006D1D00" w:rsidRPr="004542B5">
        <w:rPr>
          <w:noProof w:val="0"/>
          <w:szCs w:val="20"/>
          <w:lang w:val="en-US"/>
        </w:rPr>
        <w:t xml:space="preserve"> repeatedly asserted, as established in the Vienna Convention on the Law of Treaties, that international norms are non-retroactive and that, in the case of the facts and rights referred to, it was “evident” that the Court’s jurisdiction came into effect on February 29, 1990.</w:t>
      </w:r>
    </w:p>
    <w:p w14:paraId="3AAD9ED6" w14:textId="7DFDDF4A" w:rsidR="006C5E82" w:rsidRPr="004542B5" w:rsidRDefault="00562CBB" w:rsidP="006D1D00">
      <w:pPr>
        <w:pStyle w:val="ListParagraph"/>
        <w:numPr>
          <w:ilvl w:val="0"/>
          <w:numId w:val="2"/>
        </w:numPr>
        <w:spacing w:before="120" w:after="120"/>
        <w:contextualSpacing w:val="0"/>
        <w:rPr>
          <w:noProof w:val="0"/>
          <w:szCs w:val="20"/>
          <w:lang w:val="en-US"/>
        </w:rPr>
      </w:pPr>
      <w:r w:rsidRPr="004542B5">
        <w:rPr>
          <w:noProof w:val="0"/>
          <w:szCs w:val="20"/>
          <w:lang w:val="en-US"/>
        </w:rPr>
        <w:t>The Commission</w:t>
      </w:r>
      <w:r w:rsidR="007B47B1" w:rsidRPr="004542B5">
        <w:rPr>
          <w:b/>
          <w:noProof w:val="0"/>
          <w:szCs w:val="20"/>
          <w:lang w:val="en-US"/>
        </w:rPr>
        <w:t xml:space="preserve"> </w:t>
      </w:r>
      <w:r w:rsidR="007B47B1" w:rsidRPr="004542B5">
        <w:rPr>
          <w:noProof w:val="0"/>
          <w:szCs w:val="20"/>
          <w:lang w:val="en-US"/>
        </w:rPr>
        <w:t>consider</w:t>
      </w:r>
      <w:r w:rsidR="006D1D00" w:rsidRPr="004542B5">
        <w:rPr>
          <w:noProof w:val="0"/>
          <w:szCs w:val="20"/>
          <w:lang w:val="en-US"/>
        </w:rPr>
        <w:t>ed that the State’s arguments regarding the existence</w:t>
      </w:r>
      <w:r w:rsidR="006E0D22" w:rsidRPr="004542B5">
        <w:rPr>
          <w:noProof w:val="0"/>
          <w:szCs w:val="20"/>
          <w:lang w:val="en-US"/>
        </w:rPr>
        <w:t>, in the domestic sphere,</w:t>
      </w:r>
      <w:r w:rsidR="006D1D00" w:rsidRPr="004542B5">
        <w:rPr>
          <w:noProof w:val="0"/>
          <w:szCs w:val="20"/>
          <w:lang w:val="en-US"/>
        </w:rPr>
        <w:t xml:space="preserve"> of </w:t>
      </w:r>
      <w:r w:rsidR="006E0D22" w:rsidRPr="004542B5">
        <w:rPr>
          <w:noProof w:val="0"/>
          <w:szCs w:val="20"/>
          <w:lang w:val="en-US"/>
        </w:rPr>
        <w:t>grounds</w:t>
      </w:r>
      <w:r w:rsidR="006D1D00" w:rsidRPr="004542B5">
        <w:rPr>
          <w:noProof w:val="0"/>
          <w:szCs w:val="20"/>
          <w:lang w:val="en-US"/>
        </w:rPr>
        <w:t xml:space="preserve"> that constitute exceptions to the principle of non-retroactivity of the law, lack rele</w:t>
      </w:r>
      <w:r w:rsidR="006E0D22" w:rsidRPr="004542B5">
        <w:rPr>
          <w:noProof w:val="0"/>
          <w:szCs w:val="20"/>
          <w:lang w:val="en-US"/>
        </w:rPr>
        <w:t>v</w:t>
      </w:r>
      <w:r w:rsidR="006D1D00" w:rsidRPr="004542B5">
        <w:rPr>
          <w:noProof w:val="0"/>
          <w:szCs w:val="20"/>
          <w:lang w:val="en-US"/>
        </w:rPr>
        <w:t xml:space="preserve">ance because the Court’s analysis is based on the American Convention. It added that, it was precisely </w:t>
      </w:r>
      <w:r w:rsidR="006E0D22" w:rsidRPr="004542B5">
        <w:rPr>
          <w:noProof w:val="0"/>
          <w:szCs w:val="20"/>
          <w:lang w:val="en-US"/>
        </w:rPr>
        <w:t>due to</w:t>
      </w:r>
      <w:r w:rsidR="006D1D00" w:rsidRPr="004542B5">
        <w:rPr>
          <w:noProof w:val="0"/>
          <w:szCs w:val="20"/>
          <w:lang w:val="en-US"/>
        </w:rPr>
        <w:t xml:space="preserve"> the principle of non-retroactivity of treaties that it had refrained from incorporating considerations on the expropriation and flooding of the ancestral territories in its Merits Report and in its requests to the Court. It also indicated that, even though the facts that substantiate this case are related by connectivity to the original event (the expropriation and flooding of the lands), the violations of the right to collective property continue</w:t>
      </w:r>
      <w:r w:rsidR="006E0D22" w:rsidRPr="004542B5">
        <w:rPr>
          <w:noProof w:val="0"/>
          <w:szCs w:val="20"/>
          <w:lang w:val="en-US"/>
        </w:rPr>
        <w:t>d</w:t>
      </w:r>
      <w:r w:rsidR="006D1D00" w:rsidRPr="004542B5">
        <w:rPr>
          <w:noProof w:val="0"/>
          <w:szCs w:val="20"/>
          <w:lang w:val="en-US"/>
        </w:rPr>
        <w:t xml:space="preserve"> to occur following the State’s acceptance of the Court’s jurisdiction</w:t>
      </w:r>
      <w:r w:rsidR="006E0D22" w:rsidRPr="004542B5">
        <w:rPr>
          <w:noProof w:val="0"/>
          <w:szCs w:val="20"/>
          <w:lang w:val="en-US"/>
        </w:rPr>
        <w:t>,</w:t>
      </w:r>
      <w:r w:rsidR="006D1D00" w:rsidRPr="004542B5">
        <w:rPr>
          <w:noProof w:val="0"/>
          <w:szCs w:val="20"/>
          <w:lang w:val="en-US"/>
        </w:rPr>
        <w:t xml:space="preserve"> and that it was the intrinsic relationship between communal property and compensation in a case such as this that determined the continu</w:t>
      </w:r>
      <w:r w:rsidR="006E0D22" w:rsidRPr="004542B5">
        <w:rPr>
          <w:noProof w:val="0"/>
          <w:szCs w:val="20"/>
          <w:lang w:val="en-US"/>
        </w:rPr>
        <w:t>ing nature</w:t>
      </w:r>
      <w:r w:rsidR="006D1D00" w:rsidRPr="004542B5">
        <w:rPr>
          <w:noProof w:val="0"/>
          <w:szCs w:val="20"/>
          <w:lang w:val="en-US"/>
        </w:rPr>
        <w:t xml:space="preserve"> of the violation</w:t>
      </w:r>
      <w:r w:rsidR="007B47B1" w:rsidRPr="004542B5">
        <w:rPr>
          <w:noProof w:val="0"/>
          <w:szCs w:val="20"/>
          <w:lang w:val="en-US"/>
        </w:rPr>
        <w:t xml:space="preserve">. </w:t>
      </w:r>
      <w:r w:rsidRPr="004542B5">
        <w:rPr>
          <w:noProof w:val="0"/>
          <w:szCs w:val="20"/>
          <w:lang w:val="en-US"/>
        </w:rPr>
        <w:t>The Commission</w:t>
      </w:r>
      <w:r w:rsidR="007B47B1" w:rsidRPr="004542B5">
        <w:rPr>
          <w:noProof w:val="0"/>
          <w:szCs w:val="20"/>
          <w:lang w:val="en-US"/>
        </w:rPr>
        <w:t xml:space="preserve"> a</w:t>
      </w:r>
      <w:r w:rsidR="006D1D00" w:rsidRPr="004542B5">
        <w:rPr>
          <w:noProof w:val="0"/>
          <w:szCs w:val="20"/>
          <w:lang w:val="en-US"/>
        </w:rPr>
        <w:t xml:space="preserve">dded that the Court’s temporal </w:t>
      </w:r>
      <w:r w:rsidR="00592D79" w:rsidRPr="004542B5">
        <w:rPr>
          <w:noProof w:val="0"/>
          <w:szCs w:val="20"/>
          <w:lang w:val="en-US"/>
        </w:rPr>
        <w:t xml:space="preserve">jurisdiction </w:t>
      </w:r>
      <w:r w:rsidR="00A410D0" w:rsidRPr="004542B5">
        <w:rPr>
          <w:noProof w:val="0"/>
          <w:szCs w:val="20"/>
          <w:lang w:val="en-US"/>
        </w:rPr>
        <w:t xml:space="preserve">relates to the failure to </w:t>
      </w:r>
      <w:r w:rsidR="00C437DD" w:rsidRPr="004542B5">
        <w:rPr>
          <w:noProof w:val="0"/>
          <w:szCs w:val="20"/>
          <w:lang w:val="en-US"/>
        </w:rPr>
        <w:t>satisfy</w:t>
      </w:r>
      <w:r w:rsidR="00A410D0" w:rsidRPr="004542B5">
        <w:rPr>
          <w:noProof w:val="0"/>
          <w:szCs w:val="20"/>
          <w:lang w:val="en-US"/>
        </w:rPr>
        <w:t xml:space="preserve"> th</w:t>
      </w:r>
      <w:r w:rsidR="00592D79" w:rsidRPr="004542B5">
        <w:rPr>
          <w:noProof w:val="0"/>
          <w:szCs w:val="20"/>
          <w:lang w:val="en-US"/>
        </w:rPr>
        <w:t>e</w:t>
      </w:r>
      <w:r w:rsidR="00A410D0" w:rsidRPr="004542B5">
        <w:rPr>
          <w:noProof w:val="0"/>
          <w:szCs w:val="20"/>
          <w:lang w:val="en-US"/>
        </w:rPr>
        <w:t xml:space="preserve"> fundamental </w:t>
      </w:r>
      <w:r w:rsidR="00592D79" w:rsidRPr="004542B5">
        <w:rPr>
          <w:noProof w:val="0"/>
          <w:szCs w:val="20"/>
          <w:lang w:val="en-US"/>
        </w:rPr>
        <w:t xml:space="preserve">claim </w:t>
      </w:r>
      <w:r w:rsidR="00A410D0" w:rsidRPr="004542B5">
        <w:rPr>
          <w:noProof w:val="0"/>
          <w:szCs w:val="20"/>
          <w:lang w:val="en-US"/>
        </w:rPr>
        <w:t xml:space="preserve">of the right to communal property from May 9, </w:t>
      </w:r>
      <w:r w:rsidR="007B47B1" w:rsidRPr="004542B5">
        <w:rPr>
          <w:noProof w:val="0"/>
          <w:szCs w:val="20"/>
          <w:lang w:val="en-US"/>
        </w:rPr>
        <w:t>1990</w:t>
      </w:r>
      <w:r w:rsidR="00A410D0" w:rsidRPr="004542B5">
        <w:rPr>
          <w:noProof w:val="0"/>
          <w:szCs w:val="20"/>
          <w:lang w:val="en-US"/>
        </w:rPr>
        <w:t xml:space="preserve">, to date. It also alleged that the Court had </w:t>
      </w:r>
      <w:r w:rsidR="0020681C" w:rsidRPr="004542B5">
        <w:rPr>
          <w:noProof w:val="0"/>
          <w:szCs w:val="20"/>
          <w:lang w:val="en-US"/>
        </w:rPr>
        <w:t>jurisdiction</w:t>
      </w:r>
      <w:r w:rsidR="00A410D0" w:rsidRPr="004542B5">
        <w:rPr>
          <w:noProof w:val="0"/>
          <w:szCs w:val="20"/>
          <w:lang w:val="en-US"/>
        </w:rPr>
        <w:t xml:space="preserve"> to </w:t>
      </w:r>
      <w:r w:rsidR="00A410D0" w:rsidRPr="004542B5">
        <w:rPr>
          <w:noProof w:val="0"/>
          <w:szCs w:val="20"/>
          <w:lang w:val="en-US"/>
        </w:rPr>
        <w:lastRenderedPageBreak/>
        <w:t>rule on the presumed failure to demarcate, title and delimit land for more than 10 years with regard to the Kuna people, and</w:t>
      </w:r>
      <w:r w:rsidR="00592D79" w:rsidRPr="004542B5">
        <w:rPr>
          <w:noProof w:val="0"/>
          <w:szCs w:val="20"/>
          <w:lang w:val="en-US"/>
        </w:rPr>
        <w:t xml:space="preserve"> the persistence of that failure</w:t>
      </w:r>
      <w:r w:rsidR="00A410D0" w:rsidRPr="004542B5">
        <w:rPr>
          <w:noProof w:val="0"/>
          <w:szCs w:val="20"/>
          <w:lang w:val="en-US"/>
        </w:rPr>
        <w:t xml:space="preserve"> in the case of the Emberá people. Lastly, </w:t>
      </w:r>
      <w:r w:rsidRPr="004542B5">
        <w:rPr>
          <w:noProof w:val="0"/>
          <w:szCs w:val="20"/>
          <w:lang w:val="en-US"/>
        </w:rPr>
        <w:t>the Commission</w:t>
      </w:r>
      <w:r w:rsidR="00A410D0" w:rsidRPr="004542B5">
        <w:rPr>
          <w:noProof w:val="0"/>
          <w:szCs w:val="20"/>
          <w:lang w:val="en-US"/>
        </w:rPr>
        <w:t xml:space="preserve"> indicated that all the other facts relat</w:t>
      </w:r>
      <w:r w:rsidR="00592D79" w:rsidRPr="004542B5">
        <w:rPr>
          <w:noProof w:val="0"/>
          <w:szCs w:val="20"/>
          <w:lang w:val="en-US"/>
        </w:rPr>
        <w:t xml:space="preserve">ing </w:t>
      </w:r>
      <w:r w:rsidR="00A410D0" w:rsidRPr="004542B5">
        <w:rPr>
          <w:noProof w:val="0"/>
          <w:szCs w:val="20"/>
          <w:lang w:val="en-US"/>
        </w:rPr>
        <w:t xml:space="preserve">to the lack of protection against incursions by third parties and the absence of judicial protection fall within the Court’s </w:t>
      </w:r>
      <w:r w:rsidR="0020681C" w:rsidRPr="004542B5">
        <w:rPr>
          <w:noProof w:val="0"/>
          <w:szCs w:val="20"/>
          <w:lang w:val="en-US"/>
        </w:rPr>
        <w:t>jurisdiction</w:t>
      </w:r>
      <w:r w:rsidR="00A410D0" w:rsidRPr="004542B5">
        <w:rPr>
          <w:noProof w:val="0"/>
          <w:szCs w:val="20"/>
          <w:lang w:val="en-US"/>
        </w:rPr>
        <w:t>.</w:t>
      </w:r>
    </w:p>
    <w:p w14:paraId="500242FC" w14:textId="1626EE8A" w:rsidR="009B3EC1" w:rsidRPr="004542B5" w:rsidRDefault="00562CBB" w:rsidP="009B3EC1">
      <w:pPr>
        <w:pStyle w:val="ListParagraph"/>
        <w:numPr>
          <w:ilvl w:val="0"/>
          <w:numId w:val="2"/>
        </w:numPr>
        <w:spacing w:before="120" w:after="120"/>
        <w:contextualSpacing w:val="0"/>
        <w:rPr>
          <w:noProof w:val="0"/>
          <w:szCs w:val="20"/>
          <w:lang w:val="en-US"/>
        </w:rPr>
      </w:pPr>
      <w:r w:rsidRPr="004542B5">
        <w:rPr>
          <w:noProof w:val="0"/>
          <w:szCs w:val="20"/>
          <w:lang w:val="en-US"/>
        </w:rPr>
        <w:t>The representatives</w:t>
      </w:r>
      <w:r w:rsidR="007B47B1" w:rsidRPr="004542B5">
        <w:rPr>
          <w:b/>
          <w:noProof w:val="0"/>
          <w:szCs w:val="20"/>
          <w:lang w:val="en-US"/>
        </w:rPr>
        <w:t xml:space="preserve"> </w:t>
      </w:r>
      <w:r w:rsidR="007B47B1" w:rsidRPr="004542B5">
        <w:rPr>
          <w:noProof w:val="0"/>
          <w:szCs w:val="20"/>
          <w:lang w:val="en-US"/>
        </w:rPr>
        <w:t>argu</w:t>
      </w:r>
      <w:r w:rsidR="009B3EC1" w:rsidRPr="004542B5">
        <w:rPr>
          <w:noProof w:val="0"/>
          <w:szCs w:val="20"/>
          <w:lang w:val="en-US"/>
        </w:rPr>
        <w:t xml:space="preserve">ed that, even though the Court has recognized the principle of </w:t>
      </w:r>
      <w:r w:rsidR="00592D79" w:rsidRPr="004542B5">
        <w:rPr>
          <w:noProof w:val="0"/>
          <w:szCs w:val="20"/>
          <w:lang w:val="en-US"/>
        </w:rPr>
        <w:t xml:space="preserve">the </w:t>
      </w:r>
      <w:r w:rsidR="009B3EC1" w:rsidRPr="004542B5">
        <w:rPr>
          <w:noProof w:val="0"/>
          <w:szCs w:val="20"/>
          <w:lang w:val="en-US"/>
        </w:rPr>
        <w:t>non-retroactivity of treaties, this principle did not preclude its competence to hear the case, owing to the contin</w:t>
      </w:r>
      <w:r w:rsidR="00592D79" w:rsidRPr="004542B5">
        <w:rPr>
          <w:noProof w:val="0"/>
          <w:szCs w:val="20"/>
          <w:lang w:val="en-US"/>
        </w:rPr>
        <w:t>uing</w:t>
      </w:r>
      <w:r w:rsidR="009B3EC1" w:rsidRPr="004542B5">
        <w:rPr>
          <w:noProof w:val="0"/>
          <w:szCs w:val="20"/>
          <w:lang w:val="en-US"/>
        </w:rPr>
        <w:t xml:space="preserve"> nature of the human rights violations perpetrated. They also indicated that</w:t>
      </w:r>
      <w:r w:rsidR="00592D79" w:rsidRPr="004542B5">
        <w:rPr>
          <w:noProof w:val="0"/>
          <w:szCs w:val="20"/>
          <w:lang w:val="en-US"/>
        </w:rPr>
        <w:t>,</w:t>
      </w:r>
      <w:r w:rsidR="009B3EC1" w:rsidRPr="004542B5">
        <w:rPr>
          <w:noProof w:val="0"/>
          <w:szCs w:val="20"/>
          <w:lang w:val="en-US"/>
        </w:rPr>
        <w:t xml:space="preserve"> although the dam construction occurred before the State had accepted the Court’s jurisdiction, the Court should take th</w:t>
      </w:r>
      <w:r w:rsidR="00592D79" w:rsidRPr="004542B5">
        <w:rPr>
          <w:noProof w:val="0"/>
          <w:szCs w:val="20"/>
          <w:lang w:val="en-US"/>
        </w:rPr>
        <w:t>o</w:t>
      </w:r>
      <w:r w:rsidR="009B3EC1" w:rsidRPr="004542B5">
        <w:rPr>
          <w:noProof w:val="0"/>
          <w:szCs w:val="20"/>
          <w:lang w:val="en-US"/>
        </w:rPr>
        <w:t xml:space="preserve">se facts into account merely to provide a context to the human rights violations that have persisted following the acceptance of its jurisdiction. </w:t>
      </w:r>
      <w:r w:rsidRPr="004542B5">
        <w:rPr>
          <w:noProof w:val="0"/>
          <w:szCs w:val="20"/>
          <w:lang w:val="en-US"/>
        </w:rPr>
        <w:t>The representatives</w:t>
      </w:r>
      <w:r w:rsidR="007B47B1" w:rsidRPr="004542B5">
        <w:rPr>
          <w:noProof w:val="0"/>
          <w:szCs w:val="20"/>
          <w:lang w:val="en-US"/>
        </w:rPr>
        <w:t xml:space="preserve"> conclu</w:t>
      </w:r>
      <w:r w:rsidR="009B3EC1" w:rsidRPr="004542B5">
        <w:rPr>
          <w:noProof w:val="0"/>
          <w:szCs w:val="20"/>
          <w:lang w:val="en-US"/>
        </w:rPr>
        <w:t xml:space="preserve">ded that the Court had competence to examine all the acts and facts that have perpetuated the displacement of the Kuna and Emberá peoples after May 9, 1990, and that have also </w:t>
      </w:r>
      <w:r w:rsidR="00592D79" w:rsidRPr="004542B5">
        <w:rPr>
          <w:noProof w:val="0"/>
          <w:szCs w:val="20"/>
          <w:lang w:val="en-US"/>
        </w:rPr>
        <w:t>breached</w:t>
      </w:r>
      <w:r w:rsidR="009B3EC1" w:rsidRPr="004542B5">
        <w:rPr>
          <w:noProof w:val="0"/>
          <w:szCs w:val="20"/>
          <w:lang w:val="en-US"/>
        </w:rPr>
        <w:t xml:space="preserve"> their right to collective ownership of their ancestral territories. They added that the said facts could include the “Working arrangement for the territorial reorganization of the Alto Bayano signed b</w:t>
      </w:r>
      <w:r w:rsidR="00592D79" w:rsidRPr="004542B5">
        <w:rPr>
          <w:noProof w:val="0"/>
          <w:szCs w:val="20"/>
          <w:lang w:val="en-US"/>
        </w:rPr>
        <w:t>y</w:t>
      </w:r>
      <w:r w:rsidR="009B3EC1" w:rsidRPr="004542B5">
        <w:rPr>
          <w:noProof w:val="0"/>
          <w:szCs w:val="20"/>
          <w:lang w:val="en-US"/>
        </w:rPr>
        <w:t xml:space="preserve"> the Provincial Government of Panama and the Kuna People of Wacuco” on July 16, 1991, the invasions and illegal appropriations of the territories of the indigenous communities by non-indigenous settlers</w:t>
      </w:r>
      <w:r w:rsidR="009C56D9" w:rsidRPr="004542B5">
        <w:rPr>
          <w:noProof w:val="0"/>
          <w:szCs w:val="20"/>
          <w:lang w:val="en-US"/>
        </w:rPr>
        <w:t>, and the failure to fulfill agreements signed b</w:t>
      </w:r>
      <w:r w:rsidR="00592D79" w:rsidRPr="004542B5">
        <w:rPr>
          <w:noProof w:val="0"/>
          <w:szCs w:val="20"/>
          <w:lang w:val="en-US"/>
        </w:rPr>
        <w:t>y</w:t>
      </w:r>
      <w:r w:rsidR="009C56D9" w:rsidRPr="004542B5">
        <w:rPr>
          <w:noProof w:val="0"/>
          <w:szCs w:val="20"/>
          <w:lang w:val="en-US"/>
        </w:rPr>
        <w:t xml:space="preserve"> the State and the communities after May 9, 1990. </w:t>
      </w:r>
    </w:p>
    <w:p w14:paraId="48A0C38A" w14:textId="4F18C26E" w:rsidR="003B7977" w:rsidRPr="004542B5" w:rsidRDefault="007B47B1" w:rsidP="00E01664">
      <w:pPr>
        <w:pStyle w:val="Heading3"/>
        <w:rPr>
          <w:bCs w:val="0"/>
          <w:i w:val="0"/>
          <w:noProof w:val="0"/>
          <w:lang w:val="en-US"/>
        </w:rPr>
      </w:pPr>
      <w:bookmarkStart w:id="86" w:name="_Toc45200857"/>
      <w:r w:rsidRPr="004542B5">
        <w:rPr>
          <w:noProof w:val="0"/>
          <w:lang w:val="en-US"/>
        </w:rPr>
        <w:t xml:space="preserve">B.3. </w:t>
      </w:r>
      <w:r w:rsidR="00B902E7" w:rsidRPr="004542B5">
        <w:rPr>
          <w:noProof w:val="0"/>
          <w:lang w:val="en-US"/>
        </w:rPr>
        <w:t>Considerations</w:t>
      </w:r>
      <w:r w:rsidR="008A56D7" w:rsidRPr="004542B5">
        <w:rPr>
          <w:noProof w:val="0"/>
          <w:lang w:val="en-US"/>
        </w:rPr>
        <w:t xml:space="preserve"> of the </w:t>
      </w:r>
      <w:r w:rsidR="00562CBB" w:rsidRPr="004542B5">
        <w:rPr>
          <w:noProof w:val="0"/>
          <w:lang w:val="en-US"/>
        </w:rPr>
        <w:t>Court</w:t>
      </w:r>
      <w:bookmarkEnd w:id="86"/>
      <w:r w:rsidRPr="004542B5">
        <w:rPr>
          <w:noProof w:val="0"/>
          <w:lang w:val="en-US"/>
        </w:rPr>
        <w:t xml:space="preserve">  </w:t>
      </w:r>
    </w:p>
    <w:p w14:paraId="5A7A6AF6" w14:textId="0AD6E1FE" w:rsidR="008A6DC1" w:rsidRPr="004542B5" w:rsidRDefault="00562CBB" w:rsidP="00E01664">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t>The Court</w:t>
      </w:r>
      <w:r w:rsidR="000C584B" w:rsidRPr="004542B5">
        <w:rPr>
          <w:rFonts w:cs="Verdana Bold"/>
          <w:bCs/>
          <w:color w:val="auto"/>
          <w:sz w:val="20"/>
          <w:szCs w:val="20"/>
        </w:rPr>
        <w:t xml:space="preserve"> not</w:t>
      </w:r>
      <w:r w:rsidR="009C56D9" w:rsidRPr="004542B5">
        <w:rPr>
          <w:rFonts w:cs="Verdana Bold"/>
          <w:bCs/>
          <w:color w:val="auto"/>
          <w:sz w:val="20"/>
          <w:szCs w:val="20"/>
        </w:rPr>
        <w:t>es that</w:t>
      </w:r>
      <w:r w:rsidR="000C584B" w:rsidRPr="004542B5">
        <w:rPr>
          <w:rFonts w:cs="Verdana Bold"/>
          <w:bCs/>
          <w:color w:val="auto"/>
          <w:sz w:val="20"/>
          <w:szCs w:val="20"/>
        </w:rPr>
        <w:t xml:space="preserve"> </w:t>
      </w:r>
      <w:r w:rsidR="00DE6766" w:rsidRPr="004542B5">
        <w:rPr>
          <w:rFonts w:cs="Verdana Bold"/>
          <w:bCs/>
          <w:color w:val="auto"/>
          <w:sz w:val="20"/>
          <w:szCs w:val="20"/>
        </w:rPr>
        <w:t>the preliminary objection</w:t>
      </w:r>
      <w:r w:rsidR="000C584B" w:rsidRPr="004542B5">
        <w:rPr>
          <w:rFonts w:cs="Verdana Bold"/>
          <w:bCs/>
          <w:color w:val="auto"/>
          <w:sz w:val="20"/>
          <w:szCs w:val="20"/>
        </w:rPr>
        <w:t xml:space="preserve"> </w:t>
      </w:r>
      <w:r w:rsidR="009C56D9" w:rsidRPr="004542B5">
        <w:rPr>
          <w:rFonts w:cs="Verdana Bold"/>
          <w:bCs/>
          <w:color w:val="auto"/>
          <w:sz w:val="20"/>
          <w:szCs w:val="20"/>
        </w:rPr>
        <w:t>of</w:t>
      </w:r>
      <w:r w:rsidR="000C584B" w:rsidRPr="004542B5">
        <w:rPr>
          <w:rFonts w:cs="Verdana Bold"/>
          <w:bCs/>
          <w:color w:val="auto"/>
          <w:sz w:val="20"/>
          <w:szCs w:val="20"/>
        </w:rPr>
        <w:t xml:space="preserve"> </w:t>
      </w:r>
      <w:r w:rsidR="00DB0394" w:rsidRPr="004542B5">
        <w:rPr>
          <w:rFonts w:cs="Verdana Bold"/>
          <w:bCs/>
          <w:color w:val="auto"/>
          <w:sz w:val="20"/>
          <w:szCs w:val="20"/>
        </w:rPr>
        <w:t>l</w:t>
      </w:r>
      <w:r w:rsidR="0063510B" w:rsidRPr="004542B5">
        <w:rPr>
          <w:rFonts w:cs="Verdana Bold"/>
          <w:bCs/>
          <w:color w:val="auto"/>
          <w:sz w:val="20"/>
          <w:szCs w:val="20"/>
        </w:rPr>
        <w:t>ack of jurisdiction</w:t>
      </w:r>
      <w:r w:rsidR="000C584B" w:rsidRPr="004542B5">
        <w:rPr>
          <w:rFonts w:cs="Verdana Bold"/>
          <w:bCs/>
          <w:color w:val="auto"/>
          <w:sz w:val="20"/>
          <w:szCs w:val="20"/>
        </w:rPr>
        <w:t xml:space="preserve"> </w:t>
      </w:r>
      <w:r w:rsidR="000C584B" w:rsidRPr="004542B5">
        <w:rPr>
          <w:rFonts w:cs="Verdana Bold"/>
          <w:bCs/>
          <w:i/>
          <w:color w:val="auto"/>
          <w:sz w:val="20"/>
          <w:szCs w:val="20"/>
        </w:rPr>
        <w:t>ratione temporis</w:t>
      </w:r>
      <w:r w:rsidR="000C584B" w:rsidRPr="004542B5">
        <w:rPr>
          <w:rFonts w:cs="Verdana Bold"/>
          <w:bCs/>
          <w:color w:val="auto"/>
          <w:sz w:val="20"/>
          <w:szCs w:val="20"/>
        </w:rPr>
        <w:t xml:space="preserve"> </w:t>
      </w:r>
      <w:r w:rsidR="009C56D9" w:rsidRPr="004542B5">
        <w:rPr>
          <w:rFonts w:cs="Verdana Bold"/>
          <w:bCs/>
          <w:color w:val="auto"/>
          <w:sz w:val="20"/>
          <w:szCs w:val="20"/>
        </w:rPr>
        <w:t>filed by the</w:t>
      </w:r>
      <w:r w:rsidRPr="004542B5">
        <w:rPr>
          <w:rFonts w:cs="Verdana Bold"/>
          <w:bCs/>
          <w:color w:val="auto"/>
          <w:sz w:val="20"/>
          <w:szCs w:val="20"/>
        </w:rPr>
        <w:t xml:space="preserve"> State</w:t>
      </w:r>
      <w:r w:rsidR="000C584B" w:rsidRPr="004542B5">
        <w:rPr>
          <w:rFonts w:cs="Verdana Bold"/>
          <w:bCs/>
          <w:color w:val="auto"/>
          <w:sz w:val="20"/>
          <w:szCs w:val="20"/>
        </w:rPr>
        <w:t xml:space="preserve"> </w:t>
      </w:r>
      <w:r w:rsidR="00DB0394" w:rsidRPr="004542B5">
        <w:rPr>
          <w:rFonts w:cs="Verdana Bold"/>
          <w:bCs/>
          <w:color w:val="auto"/>
          <w:sz w:val="20"/>
          <w:szCs w:val="20"/>
        </w:rPr>
        <w:t xml:space="preserve">only </w:t>
      </w:r>
      <w:r w:rsidR="009C56D9" w:rsidRPr="004542B5">
        <w:rPr>
          <w:rFonts w:cs="Verdana Bold"/>
          <w:bCs/>
          <w:color w:val="auto"/>
          <w:sz w:val="20"/>
          <w:szCs w:val="20"/>
        </w:rPr>
        <w:t>refers to the State’s alleged failure to pay the compensation and not to the other alleged human rights violations.</w:t>
      </w:r>
    </w:p>
    <w:p w14:paraId="25663370" w14:textId="7D26F906" w:rsidR="00D12D34" w:rsidRPr="004542B5" w:rsidRDefault="009C56D9" w:rsidP="00E01664">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t xml:space="preserve">According to the State, several of the facts alleged by </w:t>
      </w:r>
      <w:r w:rsidR="00562CBB" w:rsidRPr="004542B5">
        <w:rPr>
          <w:rFonts w:cs="Verdana Bold"/>
          <w:bCs/>
          <w:color w:val="auto"/>
          <w:sz w:val="20"/>
          <w:szCs w:val="20"/>
        </w:rPr>
        <w:t>the Commission</w:t>
      </w:r>
      <w:r w:rsidR="00CD2B90" w:rsidRPr="004542B5">
        <w:rPr>
          <w:rFonts w:cs="Verdana Bold"/>
          <w:bCs/>
          <w:color w:val="auto"/>
          <w:sz w:val="20"/>
          <w:szCs w:val="20"/>
        </w:rPr>
        <w:t xml:space="preserve"> and</w:t>
      </w:r>
      <w:r w:rsidRPr="004542B5">
        <w:rPr>
          <w:rFonts w:cs="Verdana Bold"/>
          <w:bCs/>
          <w:color w:val="auto"/>
          <w:sz w:val="20"/>
          <w:szCs w:val="20"/>
        </w:rPr>
        <w:t xml:space="preserve"> </w:t>
      </w:r>
      <w:r w:rsidR="00562CBB" w:rsidRPr="004542B5">
        <w:rPr>
          <w:rFonts w:cs="Verdana Bold"/>
          <w:bCs/>
          <w:color w:val="auto"/>
          <w:sz w:val="20"/>
          <w:szCs w:val="20"/>
        </w:rPr>
        <w:t>the representatives</w:t>
      </w:r>
      <w:r w:rsidR="000C584B" w:rsidRPr="004542B5">
        <w:rPr>
          <w:rFonts w:cs="Verdana Bold"/>
          <w:bCs/>
          <w:color w:val="auto"/>
          <w:sz w:val="20"/>
          <w:szCs w:val="20"/>
        </w:rPr>
        <w:t xml:space="preserve"> </w:t>
      </w:r>
      <w:r w:rsidR="00DB0394" w:rsidRPr="004542B5">
        <w:rPr>
          <w:rFonts w:cs="Verdana Bold"/>
          <w:bCs/>
          <w:color w:val="auto"/>
          <w:sz w:val="20"/>
          <w:szCs w:val="20"/>
        </w:rPr>
        <w:t xml:space="preserve">in relation to compensation payments </w:t>
      </w:r>
      <w:r w:rsidRPr="004542B5">
        <w:rPr>
          <w:rFonts w:cs="Verdana Bold"/>
          <w:bCs/>
          <w:color w:val="auto"/>
          <w:sz w:val="20"/>
          <w:szCs w:val="20"/>
        </w:rPr>
        <w:t>supposedly occurred before Panama had accepted the Court’s contentious jurisdiction</w:t>
      </w:r>
      <w:r w:rsidR="00B43C3E" w:rsidRPr="004542B5">
        <w:rPr>
          <w:rFonts w:cs="Verdana Bold"/>
          <w:bCs/>
          <w:color w:val="auto"/>
          <w:sz w:val="20"/>
          <w:szCs w:val="20"/>
        </w:rPr>
        <w:t>;</w:t>
      </w:r>
      <w:r w:rsidRPr="004542B5">
        <w:rPr>
          <w:rFonts w:cs="Verdana Bold"/>
          <w:bCs/>
          <w:color w:val="auto"/>
          <w:sz w:val="20"/>
          <w:szCs w:val="20"/>
        </w:rPr>
        <w:t xml:space="preserve"> thus</w:t>
      </w:r>
      <w:r w:rsidR="00B43C3E" w:rsidRPr="004542B5">
        <w:rPr>
          <w:rFonts w:cs="Verdana Bold"/>
          <w:bCs/>
          <w:color w:val="auto"/>
          <w:sz w:val="20"/>
          <w:szCs w:val="20"/>
        </w:rPr>
        <w:t>,</w:t>
      </w:r>
      <w:r w:rsidRPr="004542B5">
        <w:rPr>
          <w:rFonts w:cs="Verdana Bold"/>
          <w:bCs/>
          <w:color w:val="auto"/>
          <w:sz w:val="20"/>
          <w:szCs w:val="20"/>
        </w:rPr>
        <w:t xml:space="preserve"> the Court </w:t>
      </w:r>
      <w:r w:rsidR="00B43C3E" w:rsidRPr="004542B5">
        <w:rPr>
          <w:rFonts w:cs="Verdana Bold"/>
          <w:bCs/>
          <w:color w:val="auto"/>
          <w:sz w:val="20"/>
          <w:szCs w:val="20"/>
        </w:rPr>
        <w:t>did</w:t>
      </w:r>
      <w:r w:rsidRPr="004542B5">
        <w:rPr>
          <w:rFonts w:cs="Verdana Bold"/>
          <w:bCs/>
          <w:color w:val="auto"/>
          <w:sz w:val="20"/>
          <w:szCs w:val="20"/>
        </w:rPr>
        <w:t xml:space="preserve"> not have temporal </w:t>
      </w:r>
      <w:r w:rsidR="00B43C3E" w:rsidRPr="004542B5">
        <w:rPr>
          <w:rFonts w:cs="Verdana Bold"/>
          <w:bCs/>
          <w:color w:val="auto"/>
          <w:sz w:val="20"/>
          <w:szCs w:val="20"/>
        </w:rPr>
        <w:t>jurisdiction</w:t>
      </w:r>
      <w:r w:rsidRPr="004542B5">
        <w:rPr>
          <w:rFonts w:cs="Verdana Bold"/>
          <w:bCs/>
          <w:color w:val="auto"/>
          <w:sz w:val="20"/>
          <w:szCs w:val="20"/>
        </w:rPr>
        <w:t xml:space="preserve"> with regard to them </w:t>
      </w:r>
      <w:r w:rsidR="000C584B" w:rsidRPr="004542B5">
        <w:rPr>
          <w:rFonts w:cs="Verdana Bold"/>
          <w:bCs/>
          <w:color w:val="auto"/>
          <w:sz w:val="20"/>
          <w:szCs w:val="20"/>
        </w:rPr>
        <w:t>(</w:t>
      </w:r>
      <w:r w:rsidR="000C584B" w:rsidRPr="004542B5">
        <w:rPr>
          <w:rFonts w:cs="Verdana Bold"/>
          <w:bCs/>
          <w:i/>
          <w:color w:val="auto"/>
          <w:sz w:val="20"/>
          <w:szCs w:val="20"/>
        </w:rPr>
        <w:t>supra</w:t>
      </w:r>
      <w:r w:rsidR="000C584B" w:rsidRPr="004542B5">
        <w:rPr>
          <w:rFonts w:cs="Verdana Bold"/>
          <w:bCs/>
          <w:color w:val="auto"/>
          <w:sz w:val="20"/>
          <w:szCs w:val="20"/>
        </w:rPr>
        <w:t xml:space="preserve"> </w:t>
      </w:r>
      <w:r w:rsidR="00F66B76" w:rsidRPr="004542B5">
        <w:rPr>
          <w:rFonts w:cs="Verdana Bold"/>
          <w:bCs/>
          <w:color w:val="auto"/>
          <w:sz w:val="20"/>
          <w:szCs w:val="20"/>
        </w:rPr>
        <w:t>para.</w:t>
      </w:r>
      <w:r w:rsidR="000C584B" w:rsidRPr="004542B5">
        <w:rPr>
          <w:rFonts w:cs="Verdana Bold"/>
          <w:bCs/>
          <w:color w:val="auto"/>
          <w:sz w:val="20"/>
          <w:szCs w:val="20"/>
        </w:rPr>
        <w:t xml:space="preserve"> </w:t>
      </w:r>
      <w:r w:rsidR="005332A5" w:rsidRPr="004542B5">
        <w:rPr>
          <w:rFonts w:cs="Verdana Bold"/>
          <w:bCs/>
          <w:color w:val="auto"/>
          <w:sz w:val="20"/>
          <w:szCs w:val="20"/>
        </w:rPr>
        <w:t>24</w:t>
      </w:r>
      <w:r w:rsidR="000C584B" w:rsidRPr="004542B5">
        <w:rPr>
          <w:rFonts w:cs="Verdana Bold"/>
          <w:bCs/>
          <w:color w:val="auto"/>
          <w:sz w:val="20"/>
          <w:szCs w:val="20"/>
        </w:rPr>
        <w:t>).</w:t>
      </w:r>
    </w:p>
    <w:p w14:paraId="5CD021E2" w14:textId="74C9B574" w:rsidR="003B7977" w:rsidRPr="004542B5" w:rsidRDefault="00562CBB" w:rsidP="009C56D9">
      <w:pPr>
        <w:pStyle w:val="Default"/>
        <w:numPr>
          <w:ilvl w:val="0"/>
          <w:numId w:val="2"/>
        </w:numPr>
        <w:spacing w:before="120" w:after="120"/>
        <w:jc w:val="both"/>
        <w:rPr>
          <w:rFonts w:cs="Verdana Bold"/>
          <w:bCs/>
          <w:color w:val="auto"/>
          <w:sz w:val="20"/>
          <w:szCs w:val="20"/>
        </w:rPr>
      </w:pPr>
      <w:r w:rsidRPr="004542B5">
        <w:rPr>
          <w:color w:val="auto"/>
          <w:sz w:val="20"/>
          <w:szCs w:val="20"/>
        </w:rPr>
        <w:t>The Commission</w:t>
      </w:r>
      <w:r w:rsidR="00CD2B90" w:rsidRPr="004542B5">
        <w:rPr>
          <w:color w:val="auto"/>
          <w:sz w:val="20"/>
          <w:szCs w:val="20"/>
        </w:rPr>
        <w:t xml:space="preserve"> and </w:t>
      </w:r>
      <w:r w:rsidRPr="004542B5">
        <w:rPr>
          <w:color w:val="auto"/>
          <w:sz w:val="20"/>
          <w:szCs w:val="20"/>
        </w:rPr>
        <w:t>the representatives</w:t>
      </w:r>
      <w:r w:rsidR="003B7977" w:rsidRPr="004542B5">
        <w:rPr>
          <w:color w:val="auto"/>
          <w:sz w:val="20"/>
          <w:szCs w:val="20"/>
        </w:rPr>
        <w:t xml:space="preserve"> a</w:t>
      </w:r>
      <w:r w:rsidR="009C56D9" w:rsidRPr="004542B5">
        <w:rPr>
          <w:color w:val="auto"/>
          <w:sz w:val="20"/>
          <w:szCs w:val="20"/>
        </w:rPr>
        <w:t xml:space="preserve">rgued that the State’s failure to pay compensation to the indigenous communities constituted a continuing violation of the right to property and, </w:t>
      </w:r>
      <w:r w:rsidR="00B43C3E" w:rsidRPr="004542B5">
        <w:rPr>
          <w:color w:val="auto"/>
          <w:sz w:val="20"/>
          <w:szCs w:val="20"/>
        </w:rPr>
        <w:t>accordingly</w:t>
      </w:r>
      <w:r w:rsidR="009C56D9" w:rsidRPr="004542B5">
        <w:rPr>
          <w:color w:val="auto"/>
          <w:sz w:val="20"/>
          <w:szCs w:val="20"/>
        </w:rPr>
        <w:t xml:space="preserve"> the Court would have temporal </w:t>
      </w:r>
      <w:r w:rsidR="0020681C" w:rsidRPr="004542B5">
        <w:rPr>
          <w:color w:val="auto"/>
          <w:sz w:val="20"/>
          <w:szCs w:val="20"/>
        </w:rPr>
        <w:t>jurisdiction</w:t>
      </w:r>
      <w:r w:rsidR="009C56D9" w:rsidRPr="004542B5">
        <w:rPr>
          <w:color w:val="auto"/>
          <w:sz w:val="20"/>
          <w:szCs w:val="20"/>
        </w:rPr>
        <w:t xml:space="preserve"> to examine this violation. In this regard, the representatives referred to the case of the </w:t>
      </w:r>
      <w:r w:rsidR="003B7977" w:rsidRPr="004542B5">
        <w:rPr>
          <w:rFonts w:cs="Verdana Bold"/>
          <w:bCs/>
          <w:i/>
          <w:color w:val="auto"/>
          <w:sz w:val="20"/>
          <w:szCs w:val="20"/>
        </w:rPr>
        <w:t>Moiwana</w:t>
      </w:r>
      <w:r w:rsidR="009C56D9" w:rsidRPr="004542B5">
        <w:rPr>
          <w:rFonts w:cs="Verdana Bold"/>
          <w:bCs/>
          <w:i/>
          <w:color w:val="auto"/>
          <w:sz w:val="20"/>
          <w:szCs w:val="20"/>
        </w:rPr>
        <w:t xml:space="preserve"> Community</w:t>
      </w:r>
      <w:r w:rsidR="003B7977" w:rsidRPr="004542B5">
        <w:rPr>
          <w:rFonts w:cs="Verdana Bold"/>
          <w:bCs/>
          <w:color w:val="auto"/>
          <w:sz w:val="20"/>
          <w:szCs w:val="20"/>
        </w:rPr>
        <w:t xml:space="preserve"> </w:t>
      </w:r>
      <w:r w:rsidRPr="004542B5">
        <w:rPr>
          <w:rFonts w:cs="Verdana Bold"/>
          <w:bCs/>
          <w:i/>
          <w:color w:val="auto"/>
          <w:sz w:val="20"/>
          <w:szCs w:val="20"/>
        </w:rPr>
        <w:t>v.</w:t>
      </w:r>
      <w:r w:rsidR="003B7977" w:rsidRPr="004542B5">
        <w:rPr>
          <w:rFonts w:cs="Verdana Bold"/>
          <w:bCs/>
          <w:i/>
          <w:color w:val="auto"/>
          <w:sz w:val="20"/>
          <w:szCs w:val="20"/>
        </w:rPr>
        <w:t xml:space="preserve"> Suriname</w:t>
      </w:r>
      <w:r w:rsidR="003B7977" w:rsidRPr="004542B5">
        <w:rPr>
          <w:color w:val="auto"/>
          <w:sz w:val="20"/>
          <w:szCs w:val="20"/>
        </w:rPr>
        <w:t xml:space="preserve">. </w:t>
      </w:r>
    </w:p>
    <w:p w14:paraId="37B0BEE8" w14:textId="467042C3" w:rsidR="008C5471" w:rsidRPr="004542B5" w:rsidRDefault="009C56D9" w:rsidP="009C56D9">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t xml:space="preserve">First, it should be recalled that, as indicated above, Panama ratified </w:t>
      </w:r>
      <w:r w:rsidR="00562CBB" w:rsidRPr="004542B5">
        <w:rPr>
          <w:rFonts w:cs="Verdana Bold"/>
          <w:bCs/>
          <w:color w:val="auto"/>
          <w:sz w:val="20"/>
          <w:szCs w:val="20"/>
        </w:rPr>
        <w:t>the American Convention</w:t>
      </w:r>
      <w:r w:rsidR="007B47B1" w:rsidRPr="004542B5">
        <w:rPr>
          <w:rFonts w:cs="Verdana Bold"/>
          <w:bCs/>
          <w:color w:val="auto"/>
          <w:sz w:val="20"/>
          <w:szCs w:val="20"/>
        </w:rPr>
        <w:t xml:space="preserve"> </w:t>
      </w:r>
      <w:r w:rsidRPr="004542B5">
        <w:rPr>
          <w:rFonts w:cs="Verdana Bold"/>
          <w:bCs/>
          <w:color w:val="auto"/>
          <w:sz w:val="20"/>
          <w:szCs w:val="20"/>
        </w:rPr>
        <w:t>on June 22,</w:t>
      </w:r>
      <w:r w:rsidR="007B47B1" w:rsidRPr="004542B5">
        <w:rPr>
          <w:rFonts w:cs="Verdana Bold"/>
          <w:bCs/>
          <w:color w:val="auto"/>
          <w:sz w:val="20"/>
          <w:szCs w:val="20"/>
        </w:rPr>
        <w:t xml:space="preserve"> 1978</w:t>
      </w:r>
      <w:r w:rsidRPr="004542B5">
        <w:rPr>
          <w:rFonts w:cs="Verdana Bold"/>
          <w:bCs/>
          <w:color w:val="auto"/>
          <w:sz w:val="20"/>
          <w:szCs w:val="20"/>
        </w:rPr>
        <w:t>,</w:t>
      </w:r>
      <w:r w:rsidR="00CD2B90" w:rsidRPr="004542B5">
        <w:rPr>
          <w:rFonts w:cs="Verdana Bold"/>
          <w:bCs/>
          <w:color w:val="auto"/>
          <w:sz w:val="20"/>
          <w:szCs w:val="20"/>
        </w:rPr>
        <w:t xml:space="preserve"> and </w:t>
      </w:r>
      <w:r w:rsidRPr="004542B5">
        <w:rPr>
          <w:rFonts w:cs="Verdana Bold"/>
          <w:bCs/>
          <w:color w:val="auto"/>
          <w:sz w:val="20"/>
          <w:szCs w:val="20"/>
        </w:rPr>
        <w:t>accepted the contentious jurisdiction</w:t>
      </w:r>
      <w:r w:rsidR="008A56D7" w:rsidRPr="004542B5">
        <w:rPr>
          <w:rFonts w:cs="Verdana Bold"/>
          <w:bCs/>
          <w:color w:val="auto"/>
          <w:sz w:val="20"/>
          <w:szCs w:val="20"/>
        </w:rPr>
        <w:t xml:space="preserve"> of the </w:t>
      </w:r>
      <w:r w:rsidR="00562CBB" w:rsidRPr="004542B5">
        <w:rPr>
          <w:rFonts w:cs="Verdana Bold"/>
          <w:bCs/>
          <w:color w:val="auto"/>
          <w:sz w:val="20"/>
          <w:szCs w:val="20"/>
        </w:rPr>
        <w:t>Inter-American Court</w:t>
      </w:r>
      <w:r w:rsidR="007B47B1" w:rsidRPr="004542B5">
        <w:rPr>
          <w:rFonts w:cs="Verdana Bold"/>
          <w:bCs/>
          <w:color w:val="auto"/>
          <w:sz w:val="20"/>
          <w:szCs w:val="20"/>
        </w:rPr>
        <w:t xml:space="preserve"> </w:t>
      </w:r>
      <w:r w:rsidRPr="004542B5">
        <w:rPr>
          <w:rFonts w:cs="Verdana Bold"/>
          <w:bCs/>
          <w:color w:val="auto"/>
          <w:sz w:val="20"/>
          <w:szCs w:val="20"/>
        </w:rPr>
        <w:t>on May 9,</w:t>
      </w:r>
      <w:r w:rsidR="007B47B1" w:rsidRPr="004542B5">
        <w:rPr>
          <w:rFonts w:cs="Verdana Bold"/>
          <w:bCs/>
          <w:color w:val="auto"/>
          <w:sz w:val="20"/>
          <w:szCs w:val="20"/>
        </w:rPr>
        <w:t xml:space="preserve"> 1990. </w:t>
      </w:r>
      <w:r w:rsidRPr="004542B5">
        <w:rPr>
          <w:rFonts w:cs="Verdana Bold"/>
          <w:bCs/>
          <w:color w:val="auto"/>
          <w:sz w:val="20"/>
          <w:szCs w:val="20"/>
        </w:rPr>
        <w:t xml:space="preserve">In other cases involving Panama, the Court has indicated that it “has </w:t>
      </w:r>
      <w:r w:rsidR="0020681C" w:rsidRPr="004542B5">
        <w:rPr>
          <w:rFonts w:cs="Verdana Bold"/>
          <w:bCs/>
          <w:color w:val="auto"/>
          <w:sz w:val="20"/>
          <w:szCs w:val="20"/>
        </w:rPr>
        <w:t>jurisdiction</w:t>
      </w:r>
      <w:r w:rsidRPr="004542B5">
        <w:rPr>
          <w:rFonts w:cs="Verdana Bold"/>
          <w:bCs/>
          <w:color w:val="auto"/>
          <w:sz w:val="20"/>
          <w:szCs w:val="20"/>
        </w:rPr>
        <w:t xml:space="preserve"> to rule on the supposed facts that substantiate the alleged violations that took place after May 9, 1990, the date on which Panama accepted the Court’s c</w:t>
      </w:r>
      <w:r w:rsidR="0020681C" w:rsidRPr="004542B5">
        <w:rPr>
          <w:rFonts w:cs="Verdana Bold"/>
          <w:bCs/>
          <w:color w:val="auto"/>
          <w:sz w:val="20"/>
          <w:szCs w:val="20"/>
        </w:rPr>
        <w:t xml:space="preserve">ompulsory </w:t>
      </w:r>
      <w:r w:rsidRPr="004542B5">
        <w:rPr>
          <w:rFonts w:cs="Verdana Bold"/>
          <w:bCs/>
          <w:color w:val="auto"/>
          <w:sz w:val="20"/>
          <w:szCs w:val="20"/>
        </w:rPr>
        <w:t>jurisdiction, as well as on violations that, even though they started before that date, continued or subsisted after it.</w:t>
      </w:r>
      <w:r w:rsidR="007B47B1" w:rsidRPr="004542B5">
        <w:rPr>
          <w:color w:val="auto"/>
          <w:sz w:val="20"/>
          <w:szCs w:val="20"/>
        </w:rPr>
        <w:t>”</w:t>
      </w:r>
      <w:r w:rsidR="007B47B1" w:rsidRPr="004542B5">
        <w:rPr>
          <w:rStyle w:val="FootnoteReference"/>
          <w:bCs/>
          <w:color w:val="auto"/>
          <w:sz w:val="20"/>
        </w:rPr>
        <w:footnoteReference w:id="29"/>
      </w:r>
    </w:p>
    <w:p w14:paraId="1298A206" w14:textId="2E082A9A" w:rsidR="003B7977" w:rsidRPr="004542B5" w:rsidRDefault="009C56D9" w:rsidP="00E01664">
      <w:pPr>
        <w:pStyle w:val="Default"/>
        <w:numPr>
          <w:ilvl w:val="0"/>
          <w:numId w:val="2"/>
        </w:numPr>
        <w:spacing w:before="120" w:after="120"/>
        <w:jc w:val="both"/>
        <w:rPr>
          <w:rFonts w:cs="Verdana Bold"/>
          <w:bCs/>
          <w:color w:val="auto"/>
          <w:sz w:val="20"/>
          <w:szCs w:val="20"/>
        </w:rPr>
      </w:pPr>
      <w:r w:rsidRPr="004542B5">
        <w:rPr>
          <w:color w:val="auto"/>
          <w:sz w:val="20"/>
          <w:szCs w:val="20"/>
        </w:rPr>
        <w:t xml:space="preserve">In the instant case, the Court notes that the alleged violations refer to facts related to two different and independent legal </w:t>
      </w:r>
      <w:r w:rsidR="00F041B7" w:rsidRPr="004542B5">
        <w:rPr>
          <w:color w:val="auto"/>
          <w:sz w:val="20"/>
          <w:szCs w:val="20"/>
        </w:rPr>
        <w:t>issues</w:t>
      </w:r>
      <w:r w:rsidRPr="004542B5">
        <w:rPr>
          <w:color w:val="auto"/>
          <w:sz w:val="20"/>
          <w:szCs w:val="20"/>
        </w:rPr>
        <w:t xml:space="preserve">: (a) </w:t>
      </w:r>
      <w:r w:rsidR="00F041B7" w:rsidRPr="004542B5">
        <w:rPr>
          <w:color w:val="auto"/>
          <w:sz w:val="20"/>
          <w:szCs w:val="20"/>
        </w:rPr>
        <w:t>the facts</w:t>
      </w:r>
      <w:r w:rsidRPr="004542B5">
        <w:rPr>
          <w:color w:val="auto"/>
          <w:sz w:val="20"/>
          <w:szCs w:val="20"/>
        </w:rPr>
        <w:t xml:space="preserve"> relat</w:t>
      </w:r>
      <w:r w:rsidR="00B43C3E" w:rsidRPr="004542B5">
        <w:rPr>
          <w:color w:val="auto"/>
          <w:sz w:val="20"/>
          <w:szCs w:val="20"/>
        </w:rPr>
        <w:t>ing</w:t>
      </w:r>
      <w:r w:rsidRPr="004542B5">
        <w:rPr>
          <w:color w:val="auto"/>
          <w:sz w:val="20"/>
          <w:szCs w:val="20"/>
        </w:rPr>
        <w:t xml:space="preserve"> to the displace</w:t>
      </w:r>
      <w:r w:rsidR="00B43C3E" w:rsidRPr="004542B5">
        <w:rPr>
          <w:color w:val="auto"/>
          <w:sz w:val="20"/>
          <w:szCs w:val="20"/>
        </w:rPr>
        <w:t>ment</w:t>
      </w:r>
      <w:r w:rsidRPr="004542B5">
        <w:rPr>
          <w:color w:val="auto"/>
          <w:sz w:val="20"/>
          <w:szCs w:val="20"/>
        </w:rPr>
        <w:t xml:space="preserve"> of the communities that took place between </w:t>
      </w:r>
      <w:r w:rsidR="007B47B1" w:rsidRPr="004542B5">
        <w:rPr>
          <w:rFonts w:cs="Verdana Bold"/>
          <w:bCs/>
          <w:color w:val="auto"/>
          <w:sz w:val="20"/>
          <w:szCs w:val="20"/>
        </w:rPr>
        <w:t>1973</w:t>
      </w:r>
      <w:r w:rsidR="00CD2B90" w:rsidRPr="004542B5">
        <w:rPr>
          <w:rFonts w:cs="Verdana Bold"/>
          <w:bCs/>
          <w:color w:val="auto"/>
          <w:sz w:val="20"/>
          <w:szCs w:val="20"/>
        </w:rPr>
        <w:t xml:space="preserve"> and </w:t>
      </w:r>
      <w:r w:rsidR="007B47B1" w:rsidRPr="004542B5">
        <w:rPr>
          <w:rFonts w:cs="Verdana Bold"/>
          <w:bCs/>
          <w:color w:val="auto"/>
          <w:sz w:val="20"/>
          <w:szCs w:val="20"/>
        </w:rPr>
        <w:t>1975,</w:t>
      </w:r>
      <w:r w:rsidR="00CD2B90" w:rsidRPr="004542B5">
        <w:rPr>
          <w:rFonts w:cs="Verdana Bold"/>
          <w:bCs/>
          <w:color w:val="auto"/>
          <w:sz w:val="20"/>
          <w:szCs w:val="20"/>
        </w:rPr>
        <w:t xml:space="preserve"> and</w:t>
      </w:r>
      <w:r w:rsidRPr="004542B5">
        <w:rPr>
          <w:rFonts w:cs="Verdana Bold"/>
          <w:bCs/>
          <w:color w:val="auto"/>
          <w:sz w:val="20"/>
          <w:szCs w:val="20"/>
        </w:rPr>
        <w:t xml:space="preserve"> the State’s undertaking to pay compensation to the</w:t>
      </w:r>
      <w:r w:rsidR="007B47B1" w:rsidRPr="004542B5">
        <w:rPr>
          <w:rFonts w:cs="Verdana Bold"/>
          <w:bCs/>
          <w:color w:val="auto"/>
          <w:sz w:val="20"/>
          <w:szCs w:val="20"/>
        </w:rPr>
        <w:t xml:space="preserve"> Kuna </w:t>
      </w:r>
      <w:r w:rsidR="009B7DC6" w:rsidRPr="004542B5">
        <w:rPr>
          <w:rFonts w:cs="Verdana Bold"/>
          <w:bCs/>
          <w:color w:val="auto"/>
          <w:sz w:val="20"/>
          <w:szCs w:val="20"/>
        </w:rPr>
        <w:t>community of</w:t>
      </w:r>
      <w:r w:rsidR="007B47B1" w:rsidRPr="004542B5">
        <w:rPr>
          <w:rFonts w:cs="Verdana Bold"/>
          <w:bCs/>
          <w:color w:val="auto"/>
          <w:sz w:val="20"/>
          <w:szCs w:val="20"/>
        </w:rPr>
        <w:t xml:space="preserve"> </w:t>
      </w:r>
      <w:r w:rsidR="00053C14" w:rsidRPr="004542B5">
        <w:rPr>
          <w:rFonts w:cs="Verdana Bold"/>
          <w:bCs/>
          <w:color w:val="auto"/>
          <w:sz w:val="20"/>
          <w:szCs w:val="20"/>
        </w:rPr>
        <w:t>Madungandí</w:t>
      </w:r>
      <w:r w:rsidR="00CD2B90" w:rsidRPr="004542B5">
        <w:rPr>
          <w:rFonts w:cs="Verdana Bold"/>
          <w:bCs/>
          <w:color w:val="auto"/>
          <w:sz w:val="20"/>
          <w:szCs w:val="20"/>
        </w:rPr>
        <w:t xml:space="preserve"> and</w:t>
      </w:r>
      <w:r w:rsidR="009B7DC6" w:rsidRPr="004542B5">
        <w:rPr>
          <w:rFonts w:cs="Verdana Bold"/>
          <w:bCs/>
          <w:color w:val="auto"/>
          <w:sz w:val="20"/>
          <w:szCs w:val="20"/>
        </w:rPr>
        <w:t xml:space="preserve"> to the</w:t>
      </w:r>
      <w:r w:rsidR="00CD2B90" w:rsidRPr="004542B5">
        <w:rPr>
          <w:rFonts w:cs="Verdana Bold"/>
          <w:bCs/>
          <w:color w:val="auto"/>
          <w:sz w:val="20"/>
          <w:szCs w:val="20"/>
        </w:rPr>
        <w:t xml:space="preserve"> </w:t>
      </w:r>
      <w:r w:rsidR="007B47B1" w:rsidRPr="004542B5">
        <w:rPr>
          <w:rFonts w:cs="Verdana Bold"/>
          <w:bCs/>
          <w:color w:val="auto"/>
          <w:sz w:val="20"/>
          <w:szCs w:val="20"/>
        </w:rPr>
        <w:t>Emberá</w:t>
      </w:r>
      <w:r w:rsidR="009B7DC6" w:rsidRPr="004542B5">
        <w:rPr>
          <w:rFonts w:cs="Verdana Bold"/>
          <w:bCs/>
          <w:color w:val="auto"/>
          <w:sz w:val="20"/>
          <w:szCs w:val="20"/>
        </w:rPr>
        <w:t xml:space="preserve"> community</w:t>
      </w:r>
      <w:r w:rsidR="007B47B1" w:rsidRPr="004542B5">
        <w:rPr>
          <w:rFonts w:cs="Verdana Bold"/>
          <w:bCs/>
          <w:color w:val="auto"/>
          <w:sz w:val="20"/>
          <w:szCs w:val="20"/>
        </w:rPr>
        <w:t>,</w:t>
      </w:r>
      <w:r w:rsidR="00CD2B90" w:rsidRPr="004542B5">
        <w:rPr>
          <w:rFonts w:cs="Verdana Bold"/>
          <w:bCs/>
          <w:color w:val="auto"/>
          <w:sz w:val="20"/>
          <w:szCs w:val="20"/>
        </w:rPr>
        <w:t xml:space="preserve"> and </w:t>
      </w:r>
      <w:r w:rsidR="009B7DC6" w:rsidRPr="004542B5">
        <w:rPr>
          <w:rFonts w:cs="Verdana Bold"/>
          <w:bCs/>
          <w:color w:val="auto"/>
          <w:sz w:val="20"/>
          <w:szCs w:val="20"/>
        </w:rPr>
        <w:t>(</w:t>
      </w:r>
      <w:r w:rsidR="007B47B1" w:rsidRPr="004542B5">
        <w:rPr>
          <w:rFonts w:cs="Verdana Bold"/>
          <w:bCs/>
          <w:color w:val="auto"/>
          <w:sz w:val="20"/>
          <w:szCs w:val="20"/>
        </w:rPr>
        <w:t xml:space="preserve">b) </w:t>
      </w:r>
      <w:r w:rsidR="009B7DC6" w:rsidRPr="004542B5">
        <w:rPr>
          <w:rFonts w:cs="Verdana Bold"/>
          <w:bCs/>
          <w:color w:val="auto"/>
          <w:sz w:val="20"/>
          <w:szCs w:val="20"/>
        </w:rPr>
        <w:t>th</w:t>
      </w:r>
      <w:r w:rsidR="00F041B7" w:rsidRPr="004542B5">
        <w:rPr>
          <w:rFonts w:cs="Verdana Bold"/>
          <w:bCs/>
          <w:color w:val="auto"/>
          <w:sz w:val="20"/>
          <w:szCs w:val="20"/>
        </w:rPr>
        <w:t>e facts</w:t>
      </w:r>
      <w:r w:rsidR="009B7DC6" w:rsidRPr="004542B5">
        <w:rPr>
          <w:rFonts w:cs="Verdana Bold"/>
          <w:bCs/>
          <w:color w:val="auto"/>
          <w:sz w:val="20"/>
          <w:szCs w:val="20"/>
        </w:rPr>
        <w:t xml:space="preserve"> relat</w:t>
      </w:r>
      <w:r w:rsidR="00B43C3E" w:rsidRPr="004542B5">
        <w:rPr>
          <w:rFonts w:cs="Verdana Bold"/>
          <w:bCs/>
          <w:color w:val="auto"/>
          <w:sz w:val="20"/>
          <w:szCs w:val="20"/>
        </w:rPr>
        <w:t>ing</w:t>
      </w:r>
      <w:r w:rsidR="009B7DC6" w:rsidRPr="004542B5">
        <w:rPr>
          <w:rFonts w:cs="Verdana Bold"/>
          <w:bCs/>
          <w:color w:val="auto"/>
          <w:sz w:val="20"/>
          <w:szCs w:val="20"/>
        </w:rPr>
        <w:t xml:space="preserve"> to the alternative lands assigned to the indigenous communities of the Bayano that persist to date.</w:t>
      </w:r>
    </w:p>
    <w:p w14:paraId="048C8E8F" w14:textId="0CF16084" w:rsidR="00827C85" w:rsidRPr="004542B5" w:rsidRDefault="00562CBB" w:rsidP="00E01664">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lastRenderedPageBreak/>
        <w:t>The Court</w:t>
      </w:r>
      <w:r w:rsidR="00F24257" w:rsidRPr="004542B5">
        <w:rPr>
          <w:rFonts w:cs="Verdana Bold"/>
          <w:bCs/>
          <w:color w:val="auto"/>
          <w:sz w:val="20"/>
          <w:szCs w:val="20"/>
        </w:rPr>
        <w:t xml:space="preserve"> not</w:t>
      </w:r>
      <w:r w:rsidR="00D652FF" w:rsidRPr="004542B5">
        <w:rPr>
          <w:rFonts w:cs="Verdana Bold"/>
          <w:bCs/>
          <w:color w:val="auto"/>
          <w:sz w:val="20"/>
          <w:szCs w:val="20"/>
        </w:rPr>
        <w:t xml:space="preserve">es that the arguments </w:t>
      </w:r>
      <w:r w:rsidR="00B902E7" w:rsidRPr="004542B5">
        <w:rPr>
          <w:rFonts w:cs="Verdana Bold"/>
          <w:bCs/>
          <w:color w:val="auto"/>
          <w:sz w:val="20"/>
          <w:szCs w:val="20"/>
        </w:rPr>
        <w:t>of the parties</w:t>
      </w:r>
      <w:r w:rsidR="00CD2B90" w:rsidRPr="004542B5">
        <w:rPr>
          <w:rFonts w:cs="Verdana Bold"/>
          <w:bCs/>
          <w:color w:val="auto"/>
          <w:sz w:val="20"/>
          <w:szCs w:val="20"/>
        </w:rPr>
        <w:t xml:space="preserve"> and</w:t>
      </w:r>
      <w:r w:rsidR="008A56D7" w:rsidRPr="004542B5">
        <w:rPr>
          <w:rFonts w:cs="Verdana Bold"/>
          <w:bCs/>
          <w:color w:val="auto"/>
          <w:sz w:val="20"/>
          <w:szCs w:val="20"/>
        </w:rPr>
        <w:t xml:space="preserve"> the </w:t>
      </w:r>
      <w:r w:rsidRPr="004542B5">
        <w:rPr>
          <w:rFonts w:cs="Verdana Bold"/>
          <w:bCs/>
          <w:color w:val="auto"/>
          <w:sz w:val="20"/>
          <w:szCs w:val="20"/>
        </w:rPr>
        <w:t>Commission</w:t>
      </w:r>
      <w:r w:rsidR="00F24257" w:rsidRPr="004542B5">
        <w:rPr>
          <w:rFonts w:cs="Verdana Bold"/>
          <w:bCs/>
          <w:color w:val="auto"/>
          <w:sz w:val="20"/>
          <w:szCs w:val="20"/>
        </w:rPr>
        <w:t xml:space="preserve"> </w:t>
      </w:r>
      <w:r w:rsidR="00D652FF" w:rsidRPr="004542B5">
        <w:rPr>
          <w:rFonts w:cs="Verdana Bold"/>
          <w:bCs/>
          <w:color w:val="auto"/>
          <w:sz w:val="20"/>
          <w:szCs w:val="20"/>
        </w:rPr>
        <w:t>regarding</w:t>
      </w:r>
      <w:r w:rsidR="00FC1C56" w:rsidRPr="004542B5">
        <w:rPr>
          <w:rFonts w:cs="Verdana Bold"/>
          <w:bCs/>
          <w:color w:val="auto"/>
          <w:sz w:val="20"/>
          <w:szCs w:val="20"/>
        </w:rPr>
        <w:t xml:space="preserve"> the </w:t>
      </w:r>
      <w:r w:rsidR="00DE6766" w:rsidRPr="004542B5">
        <w:rPr>
          <w:rFonts w:cs="Verdana Bold"/>
          <w:bCs/>
          <w:color w:val="auto"/>
          <w:sz w:val="20"/>
          <w:szCs w:val="20"/>
        </w:rPr>
        <w:t>preliminary objection</w:t>
      </w:r>
      <w:r w:rsidR="00F24257" w:rsidRPr="004542B5">
        <w:rPr>
          <w:rFonts w:cs="Verdana Bold"/>
          <w:bCs/>
          <w:color w:val="auto"/>
          <w:sz w:val="20"/>
          <w:szCs w:val="20"/>
        </w:rPr>
        <w:t xml:space="preserve"> </w:t>
      </w:r>
      <w:r w:rsidR="00D652FF" w:rsidRPr="004542B5">
        <w:rPr>
          <w:rFonts w:cs="Verdana Bold"/>
          <w:bCs/>
          <w:color w:val="auto"/>
          <w:sz w:val="20"/>
          <w:szCs w:val="20"/>
        </w:rPr>
        <w:t>of</w:t>
      </w:r>
      <w:r w:rsidR="00F24257" w:rsidRPr="004542B5">
        <w:rPr>
          <w:rFonts w:cs="Verdana Bold"/>
          <w:bCs/>
          <w:color w:val="auto"/>
          <w:sz w:val="20"/>
          <w:szCs w:val="20"/>
        </w:rPr>
        <w:t xml:space="preserve"> </w:t>
      </w:r>
      <w:r w:rsidR="00F041B7" w:rsidRPr="004542B5">
        <w:rPr>
          <w:rFonts w:cs="Verdana Bold"/>
          <w:bCs/>
          <w:color w:val="auto"/>
          <w:sz w:val="20"/>
          <w:szCs w:val="20"/>
        </w:rPr>
        <w:t>l</w:t>
      </w:r>
      <w:r w:rsidR="0063510B" w:rsidRPr="004542B5">
        <w:rPr>
          <w:rFonts w:cs="Verdana Bold"/>
          <w:bCs/>
          <w:color w:val="auto"/>
          <w:sz w:val="20"/>
          <w:szCs w:val="20"/>
        </w:rPr>
        <w:t>ack of jurisdiction</w:t>
      </w:r>
      <w:r w:rsidR="00F24257" w:rsidRPr="004542B5">
        <w:rPr>
          <w:rFonts w:cs="Verdana Bold"/>
          <w:bCs/>
          <w:color w:val="auto"/>
          <w:sz w:val="20"/>
          <w:szCs w:val="20"/>
        </w:rPr>
        <w:t xml:space="preserve"> </w:t>
      </w:r>
      <w:r w:rsidR="00F24257" w:rsidRPr="004542B5">
        <w:rPr>
          <w:rFonts w:cs="Verdana Bold"/>
          <w:bCs/>
          <w:i/>
          <w:color w:val="auto"/>
          <w:sz w:val="20"/>
          <w:szCs w:val="20"/>
        </w:rPr>
        <w:t>ratione temporis</w:t>
      </w:r>
      <w:r w:rsidR="00F24257" w:rsidRPr="004542B5">
        <w:rPr>
          <w:rFonts w:cs="Verdana Bold"/>
          <w:bCs/>
          <w:color w:val="auto"/>
          <w:sz w:val="20"/>
          <w:szCs w:val="20"/>
        </w:rPr>
        <w:t xml:space="preserve"> </w:t>
      </w:r>
      <w:r w:rsidR="00D652FF" w:rsidRPr="004542B5">
        <w:rPr>
          <w:rFonts w:cs="Verdana Bold"/>
          <w:bCs/>
          <w:color w:val="auto"/>
          <w:sz w:val="20"/>
          <w:szCs w:val="20"/>
        </w:rPr>
        <w:t>filed by</w:t>
      </w:r>
      <w:r w:rsidR="00F24257" w:rsidRPr="004542B5">
        <w:rPr>
          <w:rFonts w:cs="Verdana Bold"/>
          <w:bCs/>
          <w:color w:val="auto"/>
          <w:sz w:val="20"/>
          <w:szCs w:val="20"/>
        </w:rPr>
        <w:t xml:space="preserve"> </w:t>
      </w:r>
      <w:r w:rsidRPr="004542B5">
        <w:rPr>
          <w:rFonts w:cs="Verdana Bold"/>
          <w:bCs/>
          <w:color w:val="auto"/>
          <w:sz w:val="20"/>
          <w:szCs w:val="20"/>
        </w:rPr>
        <w:t>the State</w:t>
      </w:r>
      <w:r w:rsidR="00F24257" w:rsidRPr="004542B5">
        <w:rPr>
          <w:rFonts w:cs="Verdana Bold"/>
          <w:bCs/>
          <w:color w:val="auto"/>
          <w:sz w:val="20"/>
          <w:szCs w:val="20"/>
        </w:rPr>
        <w:t xml:space="preserve">, </w:t>
      </w:r>
      <w:r w:rsidR="00D652FF" w:rsidRPr="004542B5">
        <w:rPr>
          <w:rFonts w:cs="Verdana Bold"/>
          <w:bCs/>
          <w:color w:val="auto"/>
          <w:sz w:val="20"/>
          <w:szCs w:val="20"/>
        </w:rPr>
        <w:t>which refer to the State’s alleged failure to pay compensation relate</w:t>
      </w:r>
      <w:r w:rsidR="00F041B7" w:rsidRPr="004542B5">
        <w:rPr>
          <w:rFonts w:cs="Verdana Bold"/>
          <w:bCs/>
          <w:color w:val="auto"/>
          <w:sz w:val="20"/>
          <w:szCs w:val="20"/>
        </w:rPr>
        <w:t>s</w:t>
      </w:r>
      <w:r w:rsidR="00D652FF" w:rsidRPr="004542B5">
        <w:rPr>
          <w:rFonts w:cs="Verdana Bold"/>
          <w:bCs/>
          <w:color w:val="auto"/>
          <w:sz w:val="20"/>
          <w:szCs w:val="20"/>
        </w:rPr>
        <w:t xml:space="preserve"> to the first </w:t>
      </w:r>
      <w:r w:rsidR="00F041B7" w:rsidRPr="004542B5">
        <w:rPr>
          <w:rFonts w:cs="Verdana Bold"/>
          <w:bCs/>
          <w:color w:val="auto"/>
          <w:sz w:val="20"/>
          <w:szCs w:val="20"/>
        </w:rPr>
        <w:t>issue</w:t>
      </w:r>
      <w:r w:rsidR="00D652FF" w:rsidRPr="004542B5">
        <w:rPr>
          <w:rFonts w:cs="Verdana Bold"/>
          <w:bCs/>
          <w:color w:val="auto"/>
          <w:sz w:val="20"/>
          <w:szCs w:val="20"/>
        </w:rPr>
        <w:t xml:space="preserve"> and not the</w:t>
      </w:r>
      <w:r w:rsidR="00F24257" w:rsidRPr="004542B5">
        <w:rPr>
          <w:rFonts w:cs="Verdana Bold"/>
          <w:bCs/>
          <w:color w:val="auto"/>
          <w:sz w:val="20"/>
          <w:szCs w:val="20"/>
        </w:rPr>
        <w:t xml:space="preserve"> </w:t>
      </w:r>
      <w:r w:rsidR="00AD34D8" w:rsidRPr="004542B5">
        <w:rPr>
          <w:rFonts w:cs="Verdana Bold"/>
          <w:bCs/>
          <w:color w:val="auto"/>
          <w:sz w:val="20"/>
          <w:szCs w:val="20"/>
        </w:rPr>
        <w:t>second</w:t>
      </w:r>
      <w:r w:rsidR="00F24257" w:rsidRPr="004542B5">
        <w:rPr>
          <w:rFonts w:cs="Verdana Bold"/>
          <w:bCs/>
          <w:color w:val="auto"/>
          <w:sz w:val="20"/>
          <w:szCs w:val="20"/>
        </w:rPr>
        <w:t xml:space="preserve">. </w:t>
      </w:r>
    </w:p>
    <w:p w14:paraId="1F45B747" w14:textId="4F2A45F4" w:rsidR="003B7977" w:rsidRPr="004542B5" w:rsidRDefault="00D652FF" w:rsidP="00D652FF">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t xml:space="preserve">Therefore, the Court must determine whether it has </w:t>
      </w:r>
      <w:r w:rsidR="00F041B7" w:rsidRPr="004542B5">
        <w:rPr>
          <w:rFonts w:cs="Verdana Bold"/>
          <w:bCs/>
          <w:color w:val="auto"/>
          <w:sz w:val="20"/>
          <w:szCs w:val="20"/>
        </w:rPr>
        <w:t>jurisdiction</w:t>
      </w:r>
      <w:r w:rsidRPr="004542B5">
        <w:rPr>
          <w:rFonts w:cs="Verdana Bold"/>
          <w:bCs/>
          <w:color w:val="auto"/>
          <w:sz w:val="20"/>
          <w:szCs w:val="20"/>
        </w:rPr>
        <w:t xml:space="preserve"> to examine: (a) the presumed failure to pay the compensation agreed more than 10 years before the State accepted the Court’s co</w:t>
      </w:r>
      <w:r w:rsidR="00F041B7" w:rsidRPr="004542B5">
        <w:rPr>
          <w:rFonts w:cs="Verdana Bold"/>
          <w:bCs/>
          <w:color w:val="auto"/>
          <w:sz w:val="20"/>
          <w:szCs w:val="20"/>
        </w:rPr>
        <w:t>mpulsory</w:t>
      </w:r>
      <w:r w:rsidRPr="004542B5">
        <w:rPr>
          <w:rFonts w:cs="Verdana Bold"/>
          <w:bCs/>
          <w:color w:val="auto"/>
          <w:sz w:val="20"/>
          <w:szCs w:val="20"/>
        </w:rPr>
        <w:t xml:space="preserve"> jurisdiction, and (b) whether this compensation was consistent with the </w:t>
      </w:r>
      <w:r w:rsidR="00F041B7" w:rsidRPr="004542B5">
        <w:rPr>
          <w:rFonts w:cs="Verdana Bold"/>
          <w:bCs/>
          <w:color w:val="auto"/>
          <w:sz w:val="20"/>
          <w:szCs w:val="20"/>
        </w:rPr>
        <w:t>harm</w:t>
      </w:r>
      <w:r w:rsidRPr="004542B5">
        <w:rPr>
          <w:rFonts w:cs="Verdana Bold"/>
          <w:bCs/>
          <w:color w:val="auto"/>
          <w:sz w:val="20"/>
          <w:szCs w:val="20"/>
        </w:rPr>
        <w:t xml:space="preserve"> presumably caused to the indigenous communities owing to the construction of the hydroelectric dam. To this end, the Court must analyze whether the failure to pay the compensation constitutes a continuing situation.</w:t>
      </w:r>
      <w:r w:rsidR="000C584B" w:rsidRPr="004542B5">
        <w:rPr>
          <w:rFonts w:cs="Verdana Bold"/>
          <w:bCs/>
          <w:color w:val="auto"/>
          <w:sz w:val="20"/>
          <w:szCs w:val="20"/>
        </w:rPr>
        <w:t xml:space="preserve"> </w:t>
      </w:r>
    </w:p>
    <w:p w14:paraId="5094E287" w14:textId="2EB3CBCE" w:rsidR="006D4ABA" w:rsidRPr="004542B5" w:rsidRDefault="00D652FF" w:rsidP="00D652FF">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t xml:space="preserve">Regarding the alleged continuing violation of the right to property, the Court declared a continuing violation of the right to property in the case of the </w:t>
      </w:r>
      <w:r w:rsidRPr="004542B5">
        <w:rPr>
          <w:rFonts w:cs="Verdana Bold"/>
          <w:bCs/>
          <w:i/>
          <w:color w:val="auto"/>
          <w:sz w:val="20"/>
          <w:szCs w:val="20"/>
        </w:rPr>
        <w:t>Moiwana Community</w:t>
      </w:r>
      <w:r w:rsidR="000C584B" w:rsidRPr="004542B5">
        <w:rPr>
          <w:rFonts w:cs="Verdana Bold"/>
          <w:bCs/>
          <w:color w:val="auto"/>
          <w:sz w:val="20"/>
          <w:szCs w:val="20"/>
        </w:rPr>
        <w:t xml:space="preserve"> </w:t>
      </w:r>
      <w:r w:rsidR="00562CBB" w:rsidRPr="004542B5">
        <w:rPr>
          <w:rFonts w:cs="Verdana Bold"/>
          <w:bCs/>
          <w:i/>
          <w:color w:val="auto"/>
          <w:sz w:val="20"/>
          <w:szCs w:val="20"/>
        </w:rPr>
        <w:t>v.</w:t>
      </w:r>
      <w:r w:rsidR="000C584B" w:rsidRPr="004542B5">
        <w:rPr>
          <w:rFonts w:cs="Verdana Bold"/>
          <w:bCs/>
          <w:i/>
          <w:color w:val="auto"/>
          <w:sz w:val="20"/>
          <w:szCs w:val="20"/>
        </w:rPr>
        <w:t xml:space="preserve"> Suriname. </w:t>
      </w:r>
      <w:r w:rsidR="00562CBB" w:rsidRPr="004542B5">
        <w:rPr>
          <w:rFonts w:cs="Verdana Bold"/>
          <w:bCs/>
          <w:color w:val="auto"/>
          <w:sz w:val="20"/>
          <w:szCs w:val="20"/>
        </w:rPr>
        <w:t>The Court</w:t>
      </w:r>
      <w:r w:rsidR="000C584B" w:rsidRPr="004542B5">
        <w:rPr>
          <w:rFonts w:cs="Verdana Bold"/>
          <w:bCs/>
          <w:color w:val="auto"/>
          <w:sz w:val="20"/>
          <w:szCs w:val="20"/>
        </w:rPr>
        <w:t xml:space="preserve"> rec</w:t>
      </w:r>
      <w:r w:rsidRPr="004542B5">
        <w:rPr>
          <w:rFonts w:cs="Verdana Bold"/>
          <w:bCs/>
          <w:color w:val="auto"/>
          <w:sz w:val="20"/>
          <w:szCs w:val="20"/>
        </w:rPr>
        <w:t xml:space="preserve">alls that the said case </w:t>
      </w:r>
      <w:r w:rsidR="00F041B7" w:rsidRPr="004542B5">
        <w:rPr>
          <w:rFonts w:cs="Verdana Bold"/>
          <w:bCs/>
          <w:color w:val="auto"/>
          <w:sz w:val="20"/>
          <w:szCs w:val="20"/>
        </w:rPr>
        <w:t>concerned</w:t>
      </w:r>
      <w:r w:rsidRPr="004542B5">
        <w:rPr>
          <w:rFonts w:cs="Verdana Bold"/>
          <w:bCs/>
          <w:color w:val="auto"/>
          <w:sz w:val="20"/>
          <w:szCs w:val="20"/>
        </w:rPr>
        <w:t xml:space="preserve"> members of a tribal community who had been forcibly displaced from their territories and unable to return to them owing to the</w:t>
      </w:r>
      <w:r w:rsidR="00F041B7" w:rsidRPr="004542B5">
        <w:rPr>
          <w:rFonts w:cs="Verdana Bold"/>
          <w:bCs/>
          <w:color w:val="auto"/>
          <w:sz w:val="20"/>
          <w:szCs w:val="20"/>
        </w:rPr>
        <w:t xml:space="preserve"> persisting</w:t>
      </w:r>
      <w:r w:rsidRPr="004542B5">
        <w:rPr>
          <w:rFonts w:cs="Verdana Bold"/>
          <w:bCs/>
          <w:color w:val="auto"/>
          <w:sz w:val="20"/>
          <w:szCs w:val="20"/>
        </w:rPr>
        <w:t xml:space="preserve"> situation of violence. In that case, the Court indicated that even though the facts of the forced displacement had occurred before the State had accepted its co</w:t>
      </w:r>
      <w:r w:rsidR="00F041B7" w:rsidRPr="004542B5">
        <w:rPr>
          <w:rFonts w:cs="Verdana Bold"/>
          <w:bCs/>
          <w:color w:val="auto"/>
          <w:sz w:val="20"/>
          <w:szCs w:val="20"/>
        </w:rPr>
        <w:t>mpulsory</w:t>
      </w:r>
      <w:r w:rsidRPr="004542B5">
        <w:rPr>
          <w:rFonts w:cs="Verdana Bold"/>
          <w:bCs/>
          <w:color w:val="auto"/>
          <w:sz w:val="20"/>
          <w:szCs w:val="20"/>
        </w:rPr>
        <w:t xml:space="preserve"> jurisdiction, “the impossibility of returning to those lands had supposedly subsisted,” and for this reason the Court “also has jurisdiction to decide on th</w:t>
      </w:r>
      <w:r w:rsidR="00F041B7" w:rsidRPr="004542B5">
        <w:rPr>
          <w:rFonts w:cs="Verdana Bold"/>
          <w:bCs/>
          <w:color w:val="auto"/>
          <w:sz w:val="20"/>
          <w:szCs w:val="20"/>
        </w:rPr>
        <w:t>o</w:t>
      </w:r>
      <w:r w:rsidRPr="004542B5">
        <w:rPr>
          <w:rFonts w:cs="Verdana Bold"/>
          <w:bCs/>
          <w:color w:val="auto"/>
          <w:sz w:val="20"/>
          <w:szCs w:val="20"/>
        </w:rPr>
        <w:t xml:space="preserve">se presumed facts and on their legal </w:t>
      </w:r>
      <w:r w:rsidR="00F041B7" w:rsidRPr="004542B5">
        <w:rPr>
          <w:rFonts w:cs="Verdana Bold"/>
          <w:bCs/>
          <w:color w:val="auto"/>
          <w:sz w:val="20"/>
          <w:szCs w:val="20"/>
        </w:rPr>
        <w:t>defini</w:t>
      </w:r>
      <w:r w:rsidRPr="004542B5">
        <w:rPr>
          <w:rFonts w:cs="Verdana Bold"/>
          <w:bCs/>
          <w:color w:val="auto"/>
          <w:sz w:val="20"/>
          <w:szCs w:val="20"/>
        </w:rPr>
        <w:t>tion.</w:t>
      </w:r>
      <w:r w:rsidR="000C584B" w:rsidRPr="004542B5">
        <w:rPr>
          <w:rFonts w:cs="Verdana Bold"/>
          <w:bCs/>
          <w:color w:val="auto"/>
          <w:sz w:val="20"/>
          <w:szCs w:val="20"/>
        </w:rPr>
        <w:t>”</w:t>
      </w:r>
      <w:r w:rsidR="000C584B" w:rsidRPr="004542B5">
        <w:rPr>
          <w:rStyle w:val="FootnoteReference"/>
          <w:bCs/>
          <w:color w:val="auto"/>
          <w:sz w:val="20"/>
        </w:rPr>
        <w:footnoteReference w:id="30"/>
      </w:r>
      <w:r w:rsidR="00A41A72" w:rsidRPr="004542B5">
        <w:rPr>
          <w:rFonts w:cs="Verdana Bold"/>
          <w:bCs/>
          <w:color w:val="auto"/>
          <w:sz w:val="20"/>
          <w:szCs w:val="20"/>
        </w:rPr>
        <w:t xml:space="preserve"> </w:t>
      </w:r>
    </w:p>
    <w:p w14:paraId="7AC336AC" w14:textId="1C5B8A5E" w:rsidR="003D3475" w:rsidRPr="004542B5" w:rsidRDefault="006D58A2" w:rsidP="006D58A2">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t>The</w:t>
      </w:r>
      <w:r w:rsidR="00562CBB" w:rsidRPr="004542B5">
        <w:rPr>
          <w:rFonts w:cs="Verdana Bold"/>
          <w:bCs/>
          <w:color w:val="auto"/>
          <w:sz w:val="20"/>
          <w:szCs w:val="20"/>
        </w:rPr>
        <w:t xml:space="preserve"> Court</w:t>
      </w:r>
      <w:r w:rsidR="007B47B1" w:rsidRPr="004542B5">
        <w:rPr>
          <w:rFonts w:cs="Verdana Bold"/>
          <w:bCs/>
          <w:color w:val="auto"/>
          <w:sz w:val="20"/>
          <w:szCs w:val="20"/>
        </w:rPr>
        <w:t xml:space="preserve"> </w:t>
      </w:r>
      <w:r w:rsidRPr="004542B5">
        <w:rPr>
          <w:rFonts w:cs="Verdana Bold"/>
          <w:bCs/>
          <w:color w:val="auto"/>
          <w:sz w:val="20"/>
          <w:szCs w:val="20"/>
        </w:rPr>
        <w:t>also notes that, the said case referred to a situation of forced displacement of a tribal community in which that community had not been relocated on alternative lands. Thus, the Court note</w:t>
      </w:r>
      <w:r w:rsidR="00F041B7" w:rsidRPr="004542B5">
        <w:rPr>
          <w:rFonts w:cs="Verdana Bold"/>
          <w:bCs/>
          <w:color w:val="auto"/>
          <w:sz w:val="20"/>
          <w:szCs w:val="20"/>
        </w:rPr>
        <w:t>s</w:t>
      </w:r>
      <w:r w:rsidRPr="004542B5">
        <w:rPr>
          <w:rFonts w:cs="Verdana Bold"/>
          <w:bCs/>
          <w:color w:val="auto"/>
          <w:sz w:val="20"/>
          <w:szCs w:val="20"/>
        </w:rPr>
        <w:t xml:space="preserve"> that the impossibility of returning to their ancestral territories was due to </w:t>
      </w:r>
      <w:r w:rsidR="00F041B7" w:rsidRPr="004542B5">
        <w:rPr>
          <w:rFonts w:cs="Verdana Bold"/>
          <w:bCs/>
          <w:color w:val="auto"/>
          <w:sz w:val="20"/>
          <w:szCs w:val="20"/>
        </w:rPr>
        <w:t>persisting</w:t>
      </w:r>
      <w:r w:rsidRPr="004542B5">
        <w:rPr>
          <w:rFonts w:cs="Verdana Bold"/>
          <w:bCs/>
          <w:color w:val="auto"/>
          <w:sz w:val="20"/>
          <w:szCs w:val="20"/>
        </w:rPr>
        <w:t xml:space="preserve"> situation of violence and insecurity and, on th</w:t>
      </w:r>
      <w:r w:rsidR="00F041B7" w:rsidRPr="004542B5">
        <w:rPr>
          <w:rFonts w:cs="Verdana Bold"/>
          <w:bCs/>
          <w:color w:val="auto"/>
          <w:sz w:val="20"/>
          <w:szCs w:val="20"/>
        </w:rPr>
        <w:t>ose grounds,</w:t>
      </w:r>
      <w:r w:rsidRPr="004542B5">
        <w:rPr>
          <w:rFonts w:cs="Verdana Bold"/>
          <w:bCs/>
          <w:color w:val="auto"/>
          <w:sz w:val="20"/>
          <w:szCs w:val="20"/>
        </w:rPr>
        <w:t xml:space="preserve"> the State was declared responsible. </w:t>
      </w:r>
      <w:r w:rsidR="00F041B7" w:rsidRPr="004542B5">
        <w:rPr>
          <w:rFonts w:cs="Verdana Bold"/>
          <w:bCs/>
          <w:color w:val="auto"/>
          <w:sz w:val="20"/>
          <w:szCs w:val="20"/>
        </w:rPr>
        <w:t>Furthermore, i</w:t>
      </w:r>
      <w:r w:rsidRPr="004542B5">
        <w:rPr>
          <w:rFonts w:cs="Verdana Bold"/>
          <w:bCs/>
          <w:color w:val="auto"/>
          <w:sz w:val="20"/>
          <w:szCs w:val="20"/>
        </w:rPr>
        <w:t xml:space="preserve">n that case, the Court declared the violation of the right to movement and residence contained in Article 22 of the Convention and, consequently, it also declared a violation of the right to property established in </w:t>
      </w:r>
      <w:r w:rsidR="00562CBB" w:rsidRPr="004542B5">
        <w:rPr>
          <w:rFonts w:cs="Verdana Bold"/>
          <w:bCs/>
          <w:color w:val="auto"/>
          <w:sz w:val="20"/>
          <w:szCs w:val="20"/>
        </w:rPr>
        <w:t>Article</w:t>
      </w:r>
      <w:r w:rsidR="007B47B1" w:rsidRPr="004542B5">
        <w:rPr>
          <w:rFonts w:cs="Verdana Bold"/>
          <w:bCs/>
          <w:color w:val="auto"/>
          <w:sz w:val="20"/>
          <w:szCs w:val="20"/>
        </w:rPr>
        <w:t xml:space="preserve"> 21 </w:t>
      </w:r>
      <w:r w:rsidR="00342385" w:rsidRPr="004542B5">
        <w:rPr>
          <w:rFonts w:cs="Verdana Bold"/>
          <w:bCs/>
          <w:color w:val="auto"/>
          <w:sz w:val="20"/>
          <w:szCs w:val="20"/>
        </w:rPr>
        <w:t>of this instrument</w:t>
      </w:r>
      <w:r w:rsidRPr="004542B5">
        <w:rPr>
          <w:rFonts w:cs="Verdana Bold"/>
          <w:bCs/>
          <w:color w:val="auto"/>
          <w:sz w:val="20"/>
          <w:szCs w:val="20"/>
        </w:rPr>
        <w:t xml:space="preserve"> because the situation of violence deprived the victims of the communal use and enjoyment of their traditional property.</w:t>
      </w:r>
    </w:p>
    <w:p w14:paraId="2E155853" w14:textId="2DC4B065" w:rsidR="003B7977" w:rsidRPr="004542B5" w:rsidRDefault="00562CBB" w:rsidP="006D58A2">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t>The Court</w:t>
      </w:r>
      <w:r w:rsidR="007B47B1" w:rsidRPr="004542B5">
        <w:rPr>
          <w:rFonts w:cs="Verdana Bold"/>
          <w:bCs/>
          <w:color w:val="auto"/>
          <w:sz w:val="20"/>
          <w:szCs w:val="20"/>
        </w:rPr>
        <w:t xml:space="preserve"> not</w:t>
      </w:r>
      <w:r w:rsidR="006D58A2" w:rsidRPr="004542B5">
        <w:rPr>
          <w:rFonts w:cs="Verdana Bold"/>
          <w:bCs/>
          <w:color w:val="auto"/>
          <w:sz w:val="20"/>
          <w:szCs w:val="20"/>
        </w:rPr>
        <w:t>es that the situation in the instant case is different: (a)</w:t>
      </w:r>
      <w:r w:rsidR="007B47B1" w:rsidRPr="004542B5">
        <w:rPr>
          <w:rFonts w:cs="Verdana Bold"/>
          <w:bCs/>
          <w:color w:val="auto"/>
          <w:sz w:val="20"/>
          <w:szCs w:val="20"/>
        </w:rPr>
        <w:t xml:space="preserve"> </w:t>
      </w:r>
      <w:r w:rsidR="006D58A2" w:rsidRPr="004542B5">
        <w:rPr>
          <w:rFonts w:cs="Verdana Bold"/>
          <w:bCs/>
          <w:color w:val="auto"/>
          <w:sz w:val="20"/>
          <w:szCs w:val="20"/>
        </w:rPr>
        <w:t xml:space="preserve">there is no possibility of a return to the ancestral lands; (b) the circumstance of a lack of protection by the State that results in the impossibility </w:t>
      </w:r>
      <w:r w:rsidR="00F041B7" w:rsidRPr="004542B5">
        <w:rPr>
          <w:rFonts w:cs="Verdana Bold"/>
          <w:bCs/>
          <w:color w:val="auto"/>
          <w:sz w:val="20"/>
          <w:szCs w:val="20"/>
        </w:rPr>
        <w:t>of</w:t>
      </w:r>
      <w:r w:rsidR="006D58A2" w:rsidRPr="004542B5">
        <w:rPr>
          <w:rFonts w:cs="Verdana Bold"/>
          <w:bCs/>
          <w:color w:val="auto"/>
          <w:sz w:val="20"/>
          <w:szCs w:val="20"/>
        </w:rPr>
        <w:t xml:space="preserve"> return</w:t>
      </w:r>
      <w:r w:rsidR="00F041B7" w:rsidRPr="004542B5">
        <w:rPr>
          <w:rFonts w:cs="Verdana Bold"/>
          <w:bCs/>
          <w:color w:val="auto"/>
          <w:sz w:val="20"/>
          <w:szCs w:val="20"/>
        </w:rPr>
        <w:t>ing</w:t>
      </w:r>
      <w:r w:rsidR="006D58A2" w:rsidRPr="004542B5">
        <w:rPr>
          <w:rFonts w:cs="Verdana Bold"/>
          <w:bCs/>
          <w:color w:val="auto"/>
          <w:sz w:val="20"/>
          <w:szCs w:val="20"/>
        </w:rPr>
        <w:t xml:space="preserve"> is not present; (c) the indigenous communities were relocated permanently in alternative lands by an executive decree; (d) </w:t>
      </w:r>
      <w:r w:rsidR="009D1962" w:rsidRPr="004542B5">
        <w:rPr>
          <w:rFonts w:cs="Verdana Bold"/>
          <w:bCs/>
          <w:color w:val="auto"/>
          <w:sz w:val="20"/>
          <w:szCs w:val="20"/>
        </w:rPr>
        <w:t xml:space="preserve">violation of </w:t>
      </w:r>
      <w:r w:rsidR="006D58A2" w:rsidRPr="004542B5">
        <w:rPr>
          <w:rFonts w:cs="Verdana Bold"/>
          <w:bCs/>
          <w:color w:val="auto"/>
          <w:sz w:val="20"/>
          <w:szCs w:val="20"/>
        </w:rPr>
        <w:t>the right to freedom of movement and residence was not alleged, and (e) the only arguments presented related to a continuing violation of the right to property owing to the failure to pay compensation</w:t>
      </w:r>
      <w:r w:rsidR="009D1962" w:rsidRPr="004542B5">
        <w:rPr>
          <w:rFonts w:cs="Verdana Bold"/>
          <w:bCs/>
          <w:color w:val="auto"/>
          <w:sz w:val="20"/>
          <w:szCs w:val="20"/>
        </w:rPr>
        <w:t>,</w:t>
      </w:r>
      <w:r w:rsidR="006D58A2" w:rsidRPr="004542B5">
        <w:rPr>
          <w:rFonts w:cs="Verdana Bold"/>
          <w:bCs/>
          <w:color w:val="auto"/>
          <w:sz w:val="20"/>
          <w:szCs w:val="20"/>
        </w:rPr>
        <w:t xml:space="preserve"> and not to the communal use and enjoyment of the ownership of ancestral lands. Consequently, the Court finds that the case of the </w:t>
      </w:r>
      <w:r w:rsidR="007B47B1" w:rsidRPr="004542B5">
        <w:rPr>
          <w:rFonts w:cs="Verdana Bold"/>
          <w:bCs/>
          <w:i/>
          <w:color w:val="auto"/>
          <w:sz w:val="20"/>
          <w:szCs w:val="20"/>
        </w:rPr>
        <w:t xml:space="preserve">Moiwana </w:t>
      </w:r>
      <w:r w:rsidR="006D58A2" w:rsidRPr="004542B5">
        <w:rPr>
          <w:rFonts w:cs="Verdana Bold"/>
          <w:bCs/>
          <w:i/>
          <w:color w:val="auto"/>
          <w:sz w:val="20"/>
          <w:szCs w:val="20"/>
        </w:rPr>
        <w:t xml:space="preserve">Community </w:t>
      </w:r>
      <w:r w:rsidR="007B47B1" w:rsidRPr="004542B5">
        <w:rPr>
          <w:rFonts w:cs="Verdana Bold"/>
          <w:bCs/>
          <w:i/>
          <w:color w:val="auto"/>
          <w:sz w:val="20"/>
          <w:szCs w:val="20"/>
        </w:rPr>
        <w:t>v</w:t>
      </w:r>
      <w:r w:rsidR="006D58A2" w:rsidRPr="004542B5">
        <w:rPr>
          <w:rFonts w:cs="Verdana Bold"/>
          <w:bCs/>
          <w:i/>
          <w:color w:val="auto"/>
          <w:sz w:val="20"/>
          <w:szCs w:val="20"/>
        </w:rPr>
        <w:t>.</w:t>
      </w:r>
      <w:r w:rsidR="007B47B1" w:rsidRPr="004542B5">
        <w:rPr>
          <w:rFonts w:cs="Verdana Bold"/>
          <w:bCs/>
          <w:i/>
          <w:color w:val="auto"/>
          <w:sz w:val="20"/>
          <w:szCs w:val="20"/>
        </w:rPr>
        <w:t xml:space="preserve"> Suriname</w:t>
      </w:r>
      <w:r w:rsidR="007B47B1" w:rsidRPr="004542B5">
        <w:rPr>
          <w:rFonts w:cs="Verdana Bold"/>
          <w:bCs/>
          <w:color w:val="auto"/>
          <w:sz w:val="20"/>
          <w:szCs w:val="20"/>
        </w:rPr>
        <w:t xml:space="preserve"> </w:t>
      </w:r>
      <w:r w:rsidR="006D58A2" w:rsidRPr="004542B5">
        <w:rPr>
          <w:rFonts w:cs="Verdana Bold"/>
          <w:bCs/>
          <w:color w:val="auto"/>
          <w:sz w:val="20"/>
          <w:szCs w:val="20"/>
        </w:rPr>
        <w:t>is not a precedent that can be applied in this case.</w:t>
      </w:r>
      <w:r w:rsidR="007B47B1" w:rsidRPr="004542B5">
        <w:rPr>
          <w:rFonts w:cs="Verdana Bold"/>
          <w:bCs/>
          <w:color w:val="auto"/>
          <w:sz w:val="20"/>
          <w:szCs w:val="20"/>
        </w:rPr>
        <w:t xml:space="preserve"> </w:t>
      </w:r>
    </w:p>
    <w:p w14:paraId="03EA3B1A" w14:textId="3325D694" w:rsidR="00BA0461" w:rsidRPr="004542B5" w:rsidRDefault="006D58A2" w:rsidP="00E01664">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t xml:space="preserve">The Court notes that there is a necessary relationship between the international responsibility of the State for </w:t>
      </w:r>
      <w:r w:rsidR="009D1962" w:rsidRPr="004542B5">
        <w:rPr>
          <w:rFonts w:cs="Verdana Bold"/>
          <w:bCs/>
          <w:color w:val="auto"/>
          <w:sz w:val="20"/>
          <w:szCs w:val="20"/>
        </w:rPr>
        <w:t xml:space="preserve">the </w:t>
      </w:r>
      <w:r w:rsidRPr="004542B5">
        <w:rPr>
          <w:rFonts w:cs="Verdana Bold"/>
          <w:bCs/>
          <w:color w:val="auto"/>
          <w:sz w:val="20"/>
          <w:szCs w:val="20"/>
        </w:rPr>
        <w:t xml:space="preserve">violation of rights contained in </w:t>
      </w:r>
      <w:r w:rsidR="00562CBB" w:rsidRPr="004542B5">
        <w:rPr>
          <w:rFonts w:cs="Verdana Bold"/>
          <w:bCs/>
          <w:color w:val="auto"/>
          <w:sz w:val="20"/>
          <w:szCs w:val="20"/>
        </w:rPr>
        <w:t>the American Convention</w:t>
      </w:r>
      <w:r w:rsidR="00CD2B90" w:rsidRPr="004542B5">
        <w:rPr>
          <w:rFonts w:cs="Verdana Bold"/>
          <w:bCs/>
          <w:color w:val="auto"/>
          <w:sz w:val="20"/>
          <w:szCs w:val="20"/>
        </w:rPr>
        <w:t xml:space="preserve"> and </w:t>
      </w:r>
      <w:r w:rsidRPr="004542B5">
        <w:rPr>
          <w:rFonts w:cs="Verdana Bold"/>
          <w:bCs/>
          <w:color w:val="auto"/>
          <w:sz w:val="20"/>
          <w:szCs w:val="20"/>
        </w:rPr>
        <w:t xml:space="preserve">the obligation to make reparation to victims of </w:t>
      </w:r>
      <w:r w:rsidR="009D1962" w:rsidRPr="004542B5">
        <w:rPr>
          <w:rFonts w:cs="Verdana Bold"/>
          <w:bCs/>
          <w:color w:val="auto"/>
          <w:sz w:val="20"/>
          <w:szCs w:val="20"/>
        </w:rPr>
        <w:t xml:space="preserve">such </w:t>
      </w:r>
      <w:r w:rsidRPr="004542B5">
        <w:rPr>
          <w:rFonts w:cs="Verdana Bold"/>
          <w:bCs/>
          <w:color w:val="auto"/>
          <w:sz w:val="20"/>
          <w:szCs w:val="20"/>
        </w:rPr>
        <w:t>violations. Regarding it</w:t>
      </w:r>
      <w:r w:rsidR="009D1962" w:rsidRPr="004542B5">
        <w:rPr>
          <w:rFonts w:cs="Verdana Bold"/>
          <w:bCs/>
          <w:color w:val="auto"/>
          <w:sz w:val="20"/>
          <w:szCs w:val="20"/>
        </w:rPr>
        <w:t>s</w:t>
      </w:r>
      <w:r w:rsidRPr="004542B5">
        <w:rPr>
          <w:rFonts w:cs="Verdana Bold"/>
          <w:bCs/>
          <w:color w:val="auto"/>
          <w:sz w:val="20"/>
          <w:szCs w:val="20"/>
        </w:rPr>
        <w:t xml:space="preserve"> </w:t>
      </w:r>
      <w:r w:rsidR="009D1962" w:rsidRPr="004542B5">
        <w:rPr>
          <w:rFonts w:cs="Verdana Bold"/>
          <w:bCs/>
          <w:color w:val="auto"/>
          <w:sz w:val="20"/>
          <w:szCs w:val="20"/>
        </w:rPr>
        <w:t>jurisdiction</w:t>
      </w:r>
      <w:r w:rsidRPr="004542B5">
        <w:rPr>
          <w:rFonts w:cs="Verdana Bold"/>
          <w:bCs/>
          <w:color w:val="auto"/>
          <w:sz w:val="20"/>
          <w:szCs w:val="20"/>
        </w:rPr>
        <w:t xml:space="preserve"> </w:t>
      </w:r>
      <w:r w:rsidR="00BA0461" w:rsidRPr="004542B5">
        <w:rPr>
          <w:rFonts w:cs="Verdana Bold"/>
          <w:bCs/>
          <w:i/>
          <w:color w:val="auto"/>
          <w:sz w:val="20"/>
          <w:szCs w:val="20"/>
        </w:rPr>
        <w:t>ratione temporis</w:t>
      </w:r>
      <w:r w:rsidR="00BA0461" w:rsidRPr="004542B5">
        <w:rPr>
          <w:rFonts w:cs="Verdana Bold"/>
          <w:bCs/>
          <w:color w:val="auto"/>
          <w:sz w:val="20"/>
          <w:szCs w:val="20"/>
        </w:rPr>
        <w:t xml:space="preserve">, </w:t>
      </w:r>
      <w:r w:rsidR="00562CBB" w:rsidRPr="004542B5">
        <w:rPr>
          <w:rFonts w:cs="Verdana Bold"/>
          <w:bCs/>
          <w:color w:val="auto"/>
          <w:sz w:val="20"/>
          <w:szCs w:val="20"/>
        </w:rPr>
        <w:t>the Court</w:t>
      </w:r>
      <w:r w:rsidR="00BA0461" w:rsidRPr="004542B5">
        <w:rPr>
          <w:rFonts w:cs="Verdana Bold"/>
          <w:bCs/>
          <w:color w:val="auto"/>
          <w:sz w:val="20"/>
          <w:szCs w:val="20"/>
        </w:rPr>
        <w:t xml:space="preserve"> ha</w:t>
      </w:r>
      <w:r w:rsidRPr="004542B5">
        <w:rPr>
          <w:rFonts w:cs="Verdana Bold"/>
          <w:bCs/>
          <w:color w:val="auto"/>
          <w:sz w:val="20"/>
          <w:szCs w:val="20"/>
        </w:rPr>
        <w:t xml:space="preserve">s established in a recent case that “the individualization and integral nature of the reparation can only be appreciated on the basis of an examination of the facts that resulted in the </w:t>
      </w:r>
      <w:r w:rsidR="009D1962" w:rsidRPr="004542B5">
        <w:rPr>
          <w:rFonts w:cs="Verdana Bold"/>
          <w:bCs/>
          <w:color w:val="auto"/>
          <w:sz w:val="20"/>
          <w:szCs w:val="20"/>
        </w:rPr>
        <w:t xml:space="preserve">harm </w:t>
      </w:r>
      <w:r w:rsidRPr="004542B5">
        <w:rPr>
          <w:rFonts w:cs="Verdana Bold"/>
          <w:bCs/>
          <w:color w:val="auto"/>
          <w:sz w:val="20"/>
          <w:szCs w:val="20"/>
        </w:rPr>
        <w:t>and their effects” and</w:t>
      </w:r>
      <w:r w:rsidR="009D1962" w:rsidRPr="004542B5">
        <w:rPr>
          <w:rFonts w:cs="Verdana Bold"/>
          <w:bCs/>
          <w:color w:val="auto"/>
          <w:sz w:val="20"/>
          <w:szCs w:val="20"/>
        </w:rPr>
        <w:t xml:space="preserve"> that</w:t>
      </w:r>
      <w:r w:rsidRPr="004542B5">
        <w:rPr>
          <w:rFonts w:cs="Verdana Bold"/>
          <w:bCs/>
          <w:color w:val="auto"/>
          <w:sz w:val="20"/>
          <w:szCs w:val="20"/>
        </w:rPr>
        <w:t xml:space="preserve">, consequently, if it lacks </w:t>
      </w:r>
      <w:r w:rsidR="009D1962" w:rsidRPr="004542B5">
        <w:rPr>
          <w:rFonts w:cs="Verdana Bold"/>
          <w:bCs/>
          <w:color w:val="auto"/>
          <w:sz w:val="20"/>
          <w:szCs w:val="20"/>
        </w:rPr>
        <w:t>jurisdiction</w:t>
      </w:r>
      <w:r w:rsidRPr="004542B5">
        <w:rPr>
          <w:rFonts w:cs="Verdana Bold"/>
          <w:bCs/>
          <w:color w:val="auto"/>
          <w:sz w:val="20"/>
          <w:szCs w:val="20"/>
        </w:rPr>
        <w:t xml:space="preserve"> to</w:t>
      </w:r>
      <w:r w:rsidR="00937739" w:rsidRPr="004542B5">
        <w:rPr>
          <w:rFonts w:cs="Verdana Bold"/>
          <w:bCs/>
          <w:color w:val="auto"/>
          <w:sz w:val="20"/>
          <w:szCs w:val="20"/>
        </w:rPr>
        <w:t xml:space="preserve"> </w:t>
      </w:r>
      <w:r w:rsidRPr="004542B5">
        <w:rPr>
          <w:rFonts w:cs="Verdana Bold"/>
          <w:bCs/>
          <w:color w:val="auto"/>
          <w:sz w:val="20"/>
          <w:szCs w:val="20"/>
        </w:rPr>
        <w:t>examine the fac</w:t>
      </w:r>
      <w:r w:rsidR="009D1962" w:rsidRPr="004542B5">
        <w:rPr>
          <w:rFonts w:cs="Verdana Bold"/>
          <w:bCs/>
          <w:color w:val="auto"/>
          <w:sz w:val="20"/>
          <w:szCs w:val="20"/>
        </w:rPr>
        <w:t>ts</w:t>
      </w:r>
      <w:r w:rsidRPr="004542B5">
        <w:rPr>
          <w:rFonts w:cs="Verdana Bold"/>
          <w:bCs/>
          <w:color w:val="auto"/>
          <w:sz w:val="20"/>
          <w:szCs w:val="20"/>
        </w:rPr>
        <w:t xml:space="preserve"> that caused the </w:t>
      </w:r>
      <w:r w:rsidR="009D1962" w:rsidRPr="004542B5">
        <w:rPr>
          <w:rFonts w:cs="Verdana Bold"/>
          <w:bCs/>
          <w:color w:val="auto"/>
          <w:sz w:val="20"/>
          <w:szCs w:val="20"/>
        </w:rPr>
        <w:t>harm,</w:t>
      </w:r>
      <w:r w:rsidRPr="004542B5">
        <w:rPr>
          <w:rFonts w:cs="Verdana Bold"/>
          <w:bCs/>
          <w:color w:val="auto"/>
          <w:sz w:val="20"/>
          <w:szCs w:val="20"/>
        </w:rPr>
        <w:t xml:space="preserve"> it “is unable to analyze</w:t>
      </w:r>
      <w:r w:rsidR="00BA0461" w:rsidRPr="004542B5">
        <w:rPr>
          <w:rFonts w:cs="Verdana Bold"/>
          <w:bCs/>
          <w:color w:val="auto"/>
          <w:sz w:val="20"/>
          <w:szCs w:val="20"/>
        </w:rPr>
        <w:t xml:space="preserve"> </w:t>
      </w:r>
      <w:r w:rsidRPr="004542B5">
        <w:rPr>
          <w:rFonts w:cs="Verdana Bold"/>
          <w:bCs/>
          <w:color w:val="auto"/>
          <w:sz w:val="20"/>
          <w:szCs w:val="20"/>
        </w:rPr>
        <w:t>such facts,</w:t>
      </w:r>
      <w:r w:rsidR="009D1962" w:rsidRPr="004542B5">
        <w:rPr>
          <w:rFonts w:cs="Verdana Bold"/>
          <w:bCs/>
          <w:i/>
          <w:color w:val="auto"/>
          <w:sz w:val="20"/>
          <w:szCs w:val="20"/>
        </w:rPr>
        <w:t xml:space="preserve"> per se,</w:t>
      </w:r>
      <w:r w:rsidRPr="004542B5">
        <w:rPr>
          <w:rFonts w:cs="Verdana Bold"/>
          <w:bCs/>
          <w:color w:val="auto"/>
          <w:sz w:val="20"/>
          <w:szCs w:val="20"/>
        </w:rPr>
        <w:t xml:space="preserve"> or their effects, or the measures of reparation granted in that regard.</w:t>
      </w:r>
      <w:r w:rsidR="00BF29D6" w:rsidRPr="004542B5">
        <w:rPr>
          <w:rStyle w:val="FootnoteReference"/>
          <w:bCs/>
          <w:color w:val="auto"/>
          <w:sz w:val="20"/>
        </w:rPr>
        <w:footnoteReference w:id="31"/>
      </w:r>
      <w:r w:rsidR="00BA0461" w:rsidRPr="004542B5">
        <w:rPr>
          <w:rFonts w:cs="Verdana Bold"/>
          <w:bCs/>
          <w:color w:val="auto"/>
          <w:sz w:val="20"/>
          <w:szCs w:val="20"/>
        </w:rPr>
        <w:t xml:space="preserve"> </w:t>
      </w:r>
    </w:p>
    <w:p w14:paraId="4BEA0AD8" w14:textId="65116368" w:rsidR="00BA0461" w:rsidRPr="004542B5" w:rsidRDefault="00937739" w:rsidP="00E01664">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t xml:space="preserve">In the instant case, the alleged continuing violation of the right to property relates to the difference of opinion between the State and the indigenous communities in relation to payment </w:t>
      </w:r>
      <w:r w:rsidRPr="004542B5">
        <w:rPr>
          <w:rFonts w:cs="Verdana Bold"/>
          <w:bCs/>
          <w:color w:val="auto"/>
          <w:sz w:val="20"/>
          <w:szCs w:val="20"/>
        </w:rPr>
        <w:lastRenderedPageBreak/>
        <w:t xml:space="preserve">of the compensation recognized in </w:t>
      </w:r>
      <w:r w:rsidR="00C06694" w:rsidRPr="004542B5">
        <w:rPr>
          <w:rFonts w:cs="Verdana Bold"/>
          <w:bCs/>
          <w:color w:val="auto"/>
          <w:sz w:val="20"/>
          <w:szCs w:val="20"/>
        </w:rPr>
        <w:t>Executive Decree</w:t>
      </w:r>
      <w:r w:rsidR="00A41A72" w:rsidRPr="004542B5">
        <w:rPr>
          <w:rFonts w:cs="Verdana Bold"/>
          <w:bCs/>
          <w:color w:val="auto"/>
          <w:sz w:val="20"/>
          <w:szCs w:val="20"/>
        </w:rPr>
        <w:t xml:space="preserve"> </w:t>
      </w:r>
      <w:r w:rsidR="00CD2B90" w:rsidRPr="004542B5">
        <w:rPr>
          <w:rFonts w:cs="Verdana Bold"/>
          <w:bCs/>
          <w:color w:val="auto"/>
          <w:sz w:val="20"/>
          <w:szCs w:val="20"/>
        </w:rPr>
        <w:t>No.</w:t>
      </w:r>
      <w:r w:rsidRPr="004542B5">
        <w:rPr>
          <w:rFonts w:cs="Verdana Bold"/>
          <w:bCs/>
          <w:color w:val="auto"/>
          <w:sz w:val="20"/>
          <w:szCs w:val="20"/>
        </w:rPr>
        <w:t xml:space="preserve"> </w:t>
      </w:r>
      <w:r w:rsidR="00A41A72" w:rsidRPr="004542B5">
        <w:rPr>
          <w:rFonts w:cs="Verdana Bold"/>
          <w:bCs/>
          <w:color w:val="auto"/>
          <w:sz w:val="20"/>
          <w:szCs w:val="20"/>
        </w:rPr>
        <w:t xml:space="preserve">156, </w:t>
      </w:r>
      <w:r w:rsidRPr="004542B5">
        <w:rPr>
          <w:rFonts w:cs="Verdana Bold"/>
          <w:bCs/>
          <w:color w:val="auto"/>
          <w:sz w:val="20"/>
          <w:szCs w:val="20"/>
        </w:rPr>
        <w:t>issued in</w:t>
      </w:r>
      <w:r w:rsidR="00A41A72" w:rsidRPr="004542B5">
        <w:rPr>
          <w:rFonts w:cs="Verdana Bold"/>
          <w:bCs/>
          <w:color w:val="auto"/>
          <w:sz w:val="20"/>
          <w:szCs w:val="20"/>
        </w:rPr>
        <w:t xml:space="preserve"> 1971, </w:t>
      </w:r>
      <w:r w:rsidRPr="004542B5">
        <w:rPr>
          <w:rFonts w:cs="Verdana Bold"/>
          <w:bCs/>
          <w:color w:val="auto"/>
          <w:sz w:val="20"/>
          <w:szCs w:val="20"/>
        </w:rPr>
        <w:t>the 1976</w:t>
      </w:r>
      <w:r w:rsidR="00A41A72" w:rsidRPr="004542B5">
        <w:rPr>
          <w:rFonts w:cs="Verdana Bold"/>
          <w:bCs/>
          <w:color w:val="auto"/>
          <w:sz w:val="20"/>
          <w:szCs w:val="20"/>
        </w:rPr>
        <w:t xml:space="preserve"> </w:t>
      </w:r>
      <w:r w:rsidR="00E93F52" w:rsidRPr="004542B5">
        <w:rPr>
          <w:rFonts w:cs="Verdana Bold"/>
          <w:bCs/>
          <w:color w:val="auto"/>
          <w:sz w:val="20"/>
          <w:szCs w:val="20"/>
        </w:rPr>
        <w:t>Farallón Agreement</w:t>
      </w:r>
      <w:r w:rsidR="00A41A72" w:rsidRPr="004542B5">
        <w:rPr>
          <w:rFonts w:cs="Verdana Bold"/>
          <w:bCs/>
          <w:color w:val="auto"/>
          <w:sz w:val="20"/>
          <w:szCs w:val="20"/>
        </w:rPr>
        <w:t xml:space="preserve">, </w:t>
      </w:r>
      <w:r w:rsidRPr="004542B5">
        <w:rPr>
          <w:rFonts w:cs="Verdana Bold"/>
          <w:bCs/>
          <w:color w:val="auto"/>
          <w:sz w:val="20"/>
          <w:szCs w:val="20"/>
        </w:rPr>
        <w:t xml:space="preserve">the 1977 </w:t>
      </w:r>
      <w:r w:rsidR="00E93F52" w:rsidRPr="004542B5">
        <w:rPr>
          <w:rFonts w:cs="Verdana Bold"/>
          <w:bCs/>
          <w:color w:val="auto"/>
          <w:sz w:val="20"/>
          <w:szCs w:val="20"/>
        </w:rPr>
        <w:t>Fuerte Cimarrón Agreement</w:t>
      </w:r>
      <w:r w:rsidR="009D1962" w:rsidRPr="004542B5">
        <w:rPr>
          <w:rFonts w:cs="Verdana Bold"/>
          <w:bCs/>
          <w:color w:val="auto"/>
          <w:sz w:val="20"/>
          <w:szCs w:val="20"/>
        </w:rPr>
        <w:t xml:space="preserve">, </w:t>
      </w:r>
      <w:r w:rsidR="00CD2B90" w:rsidRPr="004542B5">
        <w:rPr>
          <w:rFonts w:cs="Verdana Bold"/>
          <w:bCs/>
          <w:color w:val="auto"/>
          <w:sz w:val="20"/>
          <w:szCs w:val="20"/>
        </w:rPr>
        <w:t xml:space="preserve">and </w:t>
      </w:r>
      <w:r w:rsidRPr="004542B5">
        <w:rPr>
          <w:rFonts w:cs="Verdana Bold"/>
          <w:bCs/>
          <w:color w:val="auto"/>
          <w:sz w:val="20"/>
          <w:szCs w:val="20"/>
        </w:rPr>
        <w:t>the 1980</w:t>
      </w:r>
      <w:r w:rsidR="00A41A72" w:rsidRPr="004542B5">
        <w:rPr>
          <w:rFonts w:cs="Verdana Bold"/>
          <w:bCs/>
          <w:color w:val="auto"/>
          <w:sz w:val="20"/>
          <w:szCs w:val="20"/>
        </w:rPr>
        <w:t xml:space="preserve"> </w:t>
      </w:r>
      <w:r w:rsidR="00E93F52" w:rsidRPr="004542B5">
        <w:rPr>
          <w:rFonts w:cs="Verdana Bold"/>
          <w:bCs/>
          <w:color w:val="auto"/>
          <w:sz w:val="20"/>
          <w:szCs w:val="20"/>
        </w:rPr>
        <w:t>La Espriella Agreement</w:t>
      </w:r>
      <w:r w:rsidRPr="004542B5">
        <w:rPr>
          <w:rFonts w:cs="Verdana Bold"/>
          <w:bCs/>
          <w:color w:val="auto"/>
          <w:sz w:val="20"/>
          <w:szCs w:val="20"/>
        </w:rPr>
        <w:t>.</w:t>
      </w:r>
      <w:r w:rsidR="000C584B" w:rsidRPr="004542B5">
        <w:rPr>
          <w:rStyle w:val="FootnoteReference"/>
          <w:bCs/>
          <w:color w:val="auto"/>
          <w:sz w:val="20"/>
        </w:rPr>
        <w:footnoteReference w:id="32"/>
      </w:r>
      <w:r w:rsidRPr="004542B5">
        <w:rPr>
          <w:rFonts w:cs="Verdana Bold"/>
          <w:bCs/>
          <w:color w:val="auto"/>
          <w:sz w:val="20"/>
          <w:szCs w:val="20"/>
        </w:rPr>
        <w:t xml:space="preserve"> All these agreements were signed by state authorities and representatives of t</w:t>
      </w:r>
      <w:r w:rsidR="00AD34D8" w:rsidRPr="004542B5">
        <w:rPr>
          <w:rFonts w:cs="Verdana Bold"/>
          <w:bCs/>
          <w:color w:val="auto"/>
          <w:sz w:val="20"/>
          <w:szCs w:val="20"/>
        </w:rPr>
        <w:t>he Kuna indigenous people</w:t>
      </w:r>
      <w:r w:rsidR="00A41A72" w:rsidRPr="004542B5">
        <w:rPr>
          <w:rFonts w:cs="Verdana Bold"/>
          <w:bCs/>
          <w:color w:val="auto"/>
          <w:sz w:val="20"/>
          <w:szCs w:val="20"/>
        </w:rPr>
        <w:t xml:space="preserve"> </w:t>
      </w:r>
      <w:r w:rsidRPr="004542B5">
        <w:rPr>
          <w:rFonts w:cs="Verdana Bold"/>
          <w:bCs/>
          <w:color w:val="auto"/>
          <w:sz w:val="20"/>
          <w:szCs w:val="20"/>
        </w:rPr>
        <w:t>of</w:t>
      </w:r>
      <w:r w:rsidR="00A41A72" w:rsidRPr="004542B5">
        <w:rPr>
          <w:rFonts w:cs="Verdana Bold"/>
          <w:bCs/>
          <w:color w:val="auto"/>
          <w:sz w:val="20"/>
          <w:szCs w:val="20"/>
        </w:rPr>
        <w:t xml:space="preserve"> Madungandí </w:t>
      </w:r>
      <w:r w:rsidRPr="004542B5">
        <w:rPr>
          <w:rFonts w:cs="Verdana Bold"/>
          <w:bCs/>
          <w:color w:val="auto"/>
          <w:sz w:val="20"/>
          <w:szCs w:val="20"/>
        </w:rPr>
        <w:t>prior to</w:t>
      </w:r>
      <w:r w:rsidR="00A41A72" w:rsidRPr="004542B5">
        <w:rPr>
          <w:rFonts w:cs="Verdana Bold"/>
          <w:bCs/>
          <w:color w:val="auto"/>
          <w:sz w:val="20"/>
          <w:szCs w:val="20"/>
        </w:rPr>
        <w:t xml:space="preserve"> 1990</w:t>
      </w:r>
      <w:r w:rsidRPr="004542B5">
        <w:rPr>
          <w:rFonts w:cs="Verdana Bold"/>
          <w:bCs/>
          <w:color w:val="auto"/>
          <w:sz w:val="20"/>
          <w:szCs w:val="20"/>
        </w:rPr>
        <w:t xml:space="preserve">, the year in which Panama accepted the </w:t>
      </w:r>
      <w:r w:rsidR="009D1962" w:rsidRPr="004542B5">
        <w:rPr>
          <w:rFonts w:cs="Verdana Bold"/>
          <w:bCs/>
          <w:color w:val="auto"/>
          <w:sz w:val="20"/>
          <w:szCs w:val="20"/>
        </w:rPr>
        <w:t>Court’s compulsory</w:t>
      </w:r>
      <w:r w:rsidRPr="004542B5">
        <w:rPr>
          <w:rFonts w:cs="Verdana Bold"/>
          <w:bCs/>
          <w:color w:val="auto"/>
          <w:sz w:val="20"/>
          <w:szCs w:val="20"/>
        </w:rPr>
        <w:t xml:space="preserve"> jurisdiction. Therefore, none of these agreements, nor </w:t>
      </w:r>
      <w:r w:rsidR="00C06694" w:rsidRPr="004542B5">
        <w:rPr>
          <w:rFonts w:cs="Verdana Bold"/>
          <w:bCs/>
          <w:color w:val="auto"/>
          <w:sz w:val="20"/>
          <w:szCs w:val="20"/>
        </w:rPr>
        <w:t>Executive Decree</w:t>
      </w:r>
      <w:r w:rsidRPr="004542B5">
        <w:rPr>
          <w:rFonts w:cs="Verdana Bold"/>
          <w:bCs/>
          <w:color w:val="auto"/>
          <w:sz w:val="20"/>
          <w:szCs w:val="20"/>
        </w:rPr>
        <w:t xml:space="preserve"> </w:t>
      </w:r>
      <w:r w:rsidR="00CD2B90" w:rsidRPr="004542B5">
        <w:rPr>
          <w:rFonts w:cs="Verdana Bold"/>
          <w:bCs/>
          <w:color w:val="auto"/>
          <w:sz w:val="20"/>
          <w:szCs w:val="20"/>
        </w:rPr>
        <w:t>No.</w:t>
      </w:r>
      <w:r w:rsidR="0048010C" w:rsidRPr="004542B5">
        <w:rPr>
          <w:rFonts w:cs="Verdana Bold"/>
          <w:bCs/>
          <w:color w:val="auto"/>
          <w:sz w:val="20"/>
          <w:szCs w:val="20"/>
        </w:rPr>
        <w:t xml:space="preserve"> </w:t>
      </w:r>
      <w:r w:rsidR="00A41A72" w:rsidRPr="004542B5">
        <w:rPr>
          <w:rFonts w:cs="Verdana Bold"/>
          <w:bCs/>
          <w:color w:val="auto"/>
          <w:sz w:val="20"/>
          <w:szCs w:val="20"/>
        </w:rPr>
        <w:t xml:space="preserve">156, </w:t>
      </w:r>
      <w:r w:rsidRPr="004542B5">
        <w:rPr>
          <w:rFonts w:cs="Verdana Bold"/>
          <w:bCs/>
          <w:color w:val="auto"/>
          <w:sz w:val="20"/>
          <w:szCs w:val="20"/>
        </w:rPr>
        <w:t xml:space="preserve">fall within the </w:t>
      </w:r>
      <w:r w:rsidR="009D1962" w:rsidRPr="004542B5">
        <w:rPr>
          <w:rFonts w:cs="Verdana Bold"/>
          <w:bCs/>
          <w:color w:val="auto"/>
          <w:sz w:val="20"/>
          <w:szCs w:val="20"/>
        </w:rPr>
        <w:t>jurisdiction</w:t>
      </w:r>
      <w:r w:rsidR="00A41A72" w:rsidRPr="004542B5">
        <w:rPr>
          <w:rFonts w:cs="Verdana Bold"/>
          <w:bCs/>
          <w:color w:val="auto"/>
          <w:sz w:val="20"/>
          <w:szCs w:val="20"/>
        </w:rPr>
        <w:t xml:space="preserve"> </w:t>
      </w:r>
      <w:r w:rsidR="00A41A72" w:rsidRPr="004542B5">
        <w:rPr>
          <w:rFonts w:cs="Verdana Bold"/>
          <w:bCs/>
          <w:i/>
          <w:color w:val="auto"/>
          <w:sz w:val="20"/>
          <w:szCs w:val="20"/>
        </w:rPr>
        <w:t>ratione temporis</w:t>
      </w:r>
      <w:r w:rsidR="008A56D7" w:rsidRPr="004542B5">
        <w:rPr>
          <w:rFonts w:cs="Verdana Bold"/>
          <w:bCs/>
          <w:color w:val="auto"/>
          <w:sz w:val="20"/>
          <w:szCs w:val="20"/>
        </w:rPr>
        <w:t xml:space="preserve"> of the </w:t>
      </w:r>
      <w:r w:rsidR="00562CBB" w:rsidRPr="004542B5">
        <w:rPr>
          <w:rFonts w:cs="Verdana Bold"/>
          <w:bCs/>
          <w:color w:val="auto"/>
          <w:sz w:val="20"/>
          <w:szCs w:val="20"/>
        </w:rPr>
        <w:t>Court</w:t>
      </w:r>
      <w:r w:rsidR="00A41A72" w:rsidRPr="004542B5">
        <w:rPr>
          <w:rFonts w:cs="Verdana Bold"/>
          <w:bCs/>
          <w:color w:val="auto"/>
          <w:sz w:val="20"/>
          <w:szCs w:val="20"/>
        </w:rPr>
        <w:t xml:space="preserve">. </w:t>
      </w:r>
    </w:p>
    <w:p w14:paraId="6CAED55C" w14:textId="6309B42B" w:rsidR="00BA0461" w:rsidRPr="004542B5" w:rsidRDefault="00937739" w:rsidP="00E01664">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t xml:space="preserve">Accordingly, it is clear that the Court </w:t>
      </w:r>
      <w:r w:rsidR="009D1962" w:rsidRPr="004542B5">
        <w:rPr>
          <w:rFonts w:cs="Verdana Bold"/>
          <w:bCs/>
          <w:color w:val="auto"/>
          <w:sz w:val="20"/>
          <w:szCs w:val="20"/>
        </w:rPr>
        <w:t>does not have</w:t>
      </w:r>
      <w:r w:rsidRPr="004542B5">
        <w:rPr>
          <w:rFonts w:cs="Verdana Bold"/>
          <w:bCs/>
          <w:color w:val="auto"/>
          <w:sz w:val="20"/>
          <w:szCs w:val="20"/>
        </w:rPr>
        <w:t xml:space="preserve"> </w:t>
      </w:r>
      <w:r w:rsidR="0020681C" w:rsidRPr="004542B5">
        <w:rPr>
          <w:rFonts w:cs="Verdana Bold"/>
          <w:bCs/>
          <w:color w:val="auto"/>
          <w:sz w:val="20"/>
          <w:szCs w:val="20"/>
        </w:rPr>
        <w:t xml:space="preserve">jurisdiction </w:t>
      </w:r>
      <w:r w:rsidRPr="004542B5">
        <w:rPr>
          <w:rFonts w:cs="Verdana Bold"/>
          <w:bCs/>
          <w:color w:val="auto"/>
          <w:sz w:val="20"/>
          <w:szCs w:val="20"/>
        </w:rPr>
        <w:t xml:space="preserve">to examine the relocation, the amounts agreed under </w:t>
      </w:r>
      <w:r w:rsidR="00BA0461" w:rsidRPr="004542B5">
        <w:rPr>
          <w:rFonts w:cs="Verdana Bold"/>
          <w:bCs/>
          <w:color w:val="auto"/>
          <w:sz w:val="20"/>
          <w:szCs w:val="20"/>
        </w:rPr>
        <w:t>Decre</w:t>
      </w:r>
      <w:r w:rsidRPr="004542B5">
        <w:rPr>
          <w:rFonts w:cs="Verdana Bold"/>
          <w:bCs/>
          <w:color w:val="auto"/>
          <w:sz w:val="20"/>
          <w:szCs w:val="20"/>
        </w:rPr>
        <w:t>e</w:t>
      </w:r>
      <w:r w:rsidR="00BA0461" w:rsidRPr="004542B5">
        <w:rPr>
          <w:rFonts w:cs="Verdana Bold"/>
          <w:bCs/>
          <w:color w:val="auto"/>
          <w:sz w:val="20"/>
          <w:szCs w:val="20"/>
        </w:rPr>
        <w:t xml:space="preserve"> 156</w:t>
      </w:r>
      <w:r w:rsidR="00CD2B90" w:rsidRPr="004542B5">
        <w:rPr>
          <w:rFonts w:cs="Verdana Bold"/>
          <w:bCs/>
          <w:color w:val="auto"/>
          <w:sz w:val="20"/>
          <w:szCs w:val="20"/>
        </w:rPr>
        <w:t xml:space="preserve"> and </w:t>
      </w:r>
      <w:r w:rsidRPr="004542B5">
        <w:rPr>
          <w:rFonts w:cs="Verdana Bold"/>
          <w:bCs/>
          <w:color w:val="auto"/>
          <w:sz w:val="20"/>
          <w:szCs w:val="20"/>
        </w:rPr>
        <w:t>the said agreements, or the payments made by</w:t>
      </w:r>
      <w:r w:rsidR="00BA0461" w:rsidRPr="004542B5">
        <w:rPr>
          <w:rFonts w:cs="Verdana Bold"/>
          <w:bCs/>
          <w:color w:val="auto"/>
          <w:sz w:val="20"/>
          <w:szCs w:val="20"/>
        </w:rPr>
        <w:t xml:space="preserve"> </w:t>
      </w:r>
      <w:r w:rsidR="00562CBB" w:rsidRPr="004542B5">
        <w:rPr>
          <w:rFonts w:cs="Verdana Bold"/>
          <w:bCs/>
          <w:color w:val="auto"/>
          <w:sz w:val="20"/>
          <w:szCs w:val="20"/>
        </w:rPr>
        <w:t>the State</w:t>
      </w:r>
      <w:r w:rsidR="00BA0461" w:rsidRPr="004542B5">
        <w:rPr>
          <w:rFonts w:cs="Verdana Bold"/>
          <w:bCs/>
          <w:color w:val="auto"/>
          <w:sz w:val="20"/>
          <w:szCs w:val="20"/>
        </w:rPr>
        <w:t xml:space="preserve"> </w:t>
      </w:r>
      <w:r w:rsidR="00FE0BF3" w:rsidRPr="004542B5">
        <w:rPr>
          <w:rFonts w:cs="Verdana Bold"/>
          <w:bCs/>
          <w:color w:val="auto"/>
          <w:sz w:val="20"/>
          <w:szCs w:val="20"/>
        </w:rPr>
        <w:t>of Panama</w:t>
      </w:r>
      <w:r w:rsidR="00BA0461" w:rsidRPr="004542B5">
        <w:rPr>
          <w:rFonts w:cs="Verdana Bold"/>
          <w:bCs/>
          <w:color w:val="auto"/>
          <w:sz w:val="20"/>
          <w:szCs w:val="20"/>
        </w:rPr>
        <w:t xml:space="preserve"> </w:t>
      </w:r>
      <w:r w:rsidRPr="004542B5">
        <w:rPr>
          <w:rFonts w:cs="Verdana Bold"/>
          <w:bCs/>
          <w:color w:val="auto"/>
          <w:sz w:val="20"/>
          <w:szCs w:val="20"/>
        </w:rPr>
        <w:t>based on them.</w:t>
      </w:r>
      <w:r w:rsidR="00BA0461" w:rsidRPr="004542B5">
        <w:rPr>
          <w:rStyle w:val="FootnoteReference"/>
          <w:bCs/>
          <w:color w:val="auto"/>
          <w:sz w:val="20"/>
        </w:rPr>
        <w:footnoteReference w:id="33"/>
      </w:r>
    </w:p>
    <w:p w14:paraId="3332E1F2" w14:textId="579BBCEF" w:rsidR="003706F9" w:rsidRPr="004542B5" w:rsidRDefault="003706F9" w:rsidP="003706F9">
      <w:pPr>
        <w:pStyle w:val="Default"/>
        <w:numPr>
          <w:ilvl w:val="0"/>
          <w:numId w:val="2"/>
        </w:numPr>
        <w:spacing w:before="120" w:after="120"/>
        <w:jc w:val="both"/>
        <w:rPr>
          <w:rFonts w:cs="Verdana Bold"/>
          <w:bCs/>
          <w:color w:val="auto"/>
          <w:sz w:val="20"/>
          <w:szCs w:val="20"/>
        </w:rPr>
      </w:pPr>
      <w:r w:rsidRPr="004542B5">
        <w:rPr>
          <w:rFonts w:cs="Verdana Bold"/>
          <w:bCs/>
          <w:color w:val="auto"/>
          <w:sz w:val="20"/>
          <w:szCs w:val="20"/>
        </w:rPr>
        <w:t>Consequently, considering the date on which Panama accepted the Court’s co</w:t>
      </w:r>
      <w:r w:rsidR="009D1962" w:rsidRPr="004542B5">
        <w:rPr>
          <w:rFonts w:cs="Verdana Bold"/>
          <w:bCs/>
          <w:color w:val="auto"/>
          <w:sz w:val="20"/>
          <w:szCs w:val="20"/>
        </w:rPr>
        <w:t xml:space="preserve">mpulsory </w:t>
      </w:r>
      <w:r w:rsidRPr="004542B5">
        <w:rPr>
          <w:rFonts w:cs="Verdana Bold"/>
          <w:bCs/>
          <w:color w:val="auto"/>
          <w:sz w:val="20"/>
          <w:szCs w:val="20"/>
        </w:rPr>
        <w:t>jurisdiction, and given that the said facts occurred prior to that acceptance, the Court admit</w:t>
      </w:r>
      <w:r w:rsidR="009D1962" w:rsidRPr="004542B5">
        <w:rPr>
          <w:rFonts w:cs="Verdana Bold"/>
          <w:bCs/>
          <w:color w:val="auto"/>
          <w:sz w:val="20"/>
          <w:szCs w:val="20"/>
        </w:rPr>
        <w:t>s</w:t>
      </w:r>
      <w:r w:rsidRPr="004542B5">
        <w:rPr>
          <w:rFonts w:cs="Verdana Bold"/>
          <w:bCs/>
          <w:color w:val="auto"/>
          <w:sz w:val="20"/>
          <w:szCs w:val="20"/>
        </w:rPr>
        <w:t xml:space="preserve"> the objection as it was filed by the State in relation to the alleged failure to pay the compensation. Therefore, the Court declares that it does not have </w:t>
      </w:r>
      <w:r w:rsidR="009D1962" w:rsidRPr="004542B5">
        <w:rPr>
          <w:rFonts w:cs="Verdana Bold"/>
          <w:bCs/>
          <w:color w:val="auto"/>
          <w:sz w:val="20"/>
          <w:szCs w:val="20"/>
        </w:rPr>
        <w:t xml:space="preserve">jurisdiction </w:t>
      </w:r>
      <w:r w:rsidR="00A41A72" w:rsidRPr="004542B5">
        <w:rPr>
          <w:rFonts w:cs="Verdana Bold"/>
          <w:bCs/>
          <w:i/>
          <w:color w:val="auto"/>
          <w:sz w:val="20"/>
          <w:szCs w:val="20"/>
        </w:rPr>
        <w:t>ratione temporis</w:t>
      </w:r>
      <w:r w:rsidR="00A41A72" w:rsidRPr="004542B5">
        <w:rPr>
          <w:rFonts w:cs="Verdana Bold"/>
          <w:bCs/>
          <w:color w:val="auto"/>
          <w:sz w:val="20"/>
          <w:szCs w:val="20"/>
        </w:rPr>
        <w:t xml:space="preserve"> </w:t>
      </w:r>
      <w:r w:rsidRPr="004542B5">
        <w:rPr>
          <w:rFonts w:cs="Verdana Bold"/>
          <w:bCs/>
          <w:color w:val="auto"/>
          <w:sz w:val="20"/>
          <w:szCs w:val="20"/>
        </w:rPr>
        <w:t>to analyze</w:t>
      </w:r>
      <w:r w:rsidR="0048010C" w:rsidRPr="004542B5">
        <w:rPr>
          <w:rFonts w:cs="Verdana Bold"/>
          <w:bCs/>
          <w:color w:val="auto"/>
          <w:sz w:val="20"/>
          <w:szCs w:val="20"/>
        </w:rPr>
        <w:t>:</w:t>
      </w:r>
      <w:r w:rsidR="00A41A72" w:rsidRPr="004542B5">
        <w:rPr>
          <w:rFonts w:cs="Verdana Bold"/>
          <w:bCs/>
          <w:color w:val="auto"/>
          <w:sz w:val="20"/>
          <w:szCs w:val="20"/>
        </w:rPr>
        <w:t xml:space="preserve"> </w:t>
      </w:r>
      <w:r w:rsidRPr="004542B5">
        <w:rPr>
          <w:rFonts w:cs="Verdana Bold"/>
          <w:bCs/>
          <w:color w:val="auto"/>
          <w:sz w:val="20"/>
          <w:szCs w:val="20"/>
        </w:rPr>
        <w:t>(</w:t>
      </w:r>
      <w:r w:rsidR="00A41A72" w:rsidRPr="004542B5">
        <w:rPr>
          <w:rFonts w:cs="Verdana Bold"/>
          <w:bCs/>
          <w:color w:val="auto"/>
          <w:sz w:val="20"/>
          <w:szCs w:val="20"/>
        </w:rPr>
        <w:t xml:space="preserve">a) </w:t>
      </w:r>
      <w:r w:rsidRPr="004542B5">
        <w:rPr>
          <w:rFonts w:cs="Verdana Bold"/>
          <w:bCs/>
          <w:color w:val="auto"/>
          <w:sz w:val="20"/>
          <w:szCs w:val="20"/>
        </w:rPr>
        <w:t>the content of</w:t>
      </w:r>
      <w:r w:rsidR="00A41A72" w:rsidRPr="004542B5">
        <w:rPr>
          <w:rFonts w:cs="Verdana Bold"/>
          <w:bCs/>
          <w:color w:val="auto"/>
          <w:sz w:val="20"/>
          <w:szCs w:val="20"/>
        </w:rPr>
        <w:t xml:space="preserve"> Decre</w:t>
      </w:r>
      <w:r w:rsidRPr="004542B5">
        <w:rPr>
          <w:rFonts w:cs="Verdana Bold"/>
          <w:bCs/>
          <w:color w:val="auto"/>
          <w:sz w:val="20"/>
          <w:szCs w:val="20"/>
        </w:rPr>
        <w:t>e</w:t>
      </w:r>
      <w:r w:rsidR="00A41A72" w:rsidRPr="004542B5">
        <w:rPr>
          <w:rFonts w:cs="Verdana Bold"/>
          <w:bCs/>
          <w:color w:val="auto"/>
          <w:sz w:val="20"/>
          <w:szCs w:val="20"/>
        </w:rPr>
        <w:t xml:space="preserve"> 156 </w:t>
      </w:r>
      <w:r w:rsidRPr="004542B5">
        <w:rPr>
          <w:rFonts w:cs="Verdana Bold"/>
          <w:bCs/>
          <w:color w:val="auto"/>
          <w:sz w:val="20"/>
          <w:szCs w:val="20"/>
        </w:rPr>
        <w:t>of</w:t>
      </w:r>
      <w:r w:rsidR="00A41A72" w:rsidRPr="004542B5">
        <w:rPr>
          <w:rFonts w:cs="Verdana Bold"/>
          <w:bCs/>
          <w:color w:val="auto"/>
          <w:sz w:val="20"/>
          <w:szCs w:val="20"/>
        </w:rPr>
        <w:t xml:space="preserve"> 1971; </w:t>
      </w:r>
      <w:r w:rsidRPr="004542B5">
        <w:rPr>
          <w:rFonts w:cs="Verdana Bold"/>
          <w:bCs/>
          <w:color w:val="auto"/>
          <w:sz w:val="20"/>
          <w:szCs w:val="20"/>
        </w:rPr>
        <w:t>(</w:t>
      </w:r>
      <w:r w:rsidR="00A41A72" w:rsidRPr="004542B5">
        <w:rPr>
          <w:rFonts w:cs="Verdana Bold"/>
          <w:bCs/>
          <w:color w:val="auto"/>
          <w:sz w:val="20"/>
          <w:szCs w:val="20"/>
        </w:rPr>
        <w:t xml:space="preserve">b) </w:t>
      </w:r>
      <w:r w:rsidRPr="004542B5">
        <w:rPr>
          <w:rFonts w:cs="Verdana Bold"/>
          <w:bCs/>
          <w:color w:val="auto"/>
          <w:sz w:val="20"/>
          <w:szCs w:val="20"/>
        </w:rPr>
        <w:t>the presumed non-compliance with its provisions; (c) the facts that occurred between 1972 and 1975 in relation to the flooding of the territories of the indigenous communities and their displacement; (d) the content of the 1976, 1977 and 1980 agreements relating to compensation for the flooding of the territory and the displacement of the communities; (e) the alleged failure to comply with those agreements, and (f) the reparations related to the said facts.</w:t>
      </w:r>
    </w:p>
    <w:p w14:paraId="4013FB1E" w14:textId="0F5F05F9" w:rsidR="003B7977" w:rsidRPr="004542B5" w:rsidRDefault="00AD34D8" w:rsidP="00E01664">
      <w:pPr>
        <w:pStyle w:val="Heading2"/>
        <w:rPr>
          <w:noProof w:val="0"/>
          <w:lang w:val="en-US"/>
        </w:rPr>
      </w:pPr>
      <w:bookmarkStart w:id="87" w:name="_Toc361671593"/>
      <w:bookmarkStart w:id="88" w:name="_Toc361672013"/>
      <w:bookmarkStart w:id="89" w:name="_Toc361732810"/>
      <w:bookmarkStart w:id="90" w:name="_Toc361732853"/>
      <w:bookmarkStart w:id="91" w:name="_Toc362456884"/>
      <w:bookmarkStart w:id="92" w:name="_Toc365021413"/>
      <w:bookmarkStart w:id="93" w:name="_Toc369076797"/>
      <w:bookmarkStart w:id="94" w:name="_Toc45200858"/>
      <w:r w:rsidRPr="004542B5">
        <w:rPr>
          <w:noProof w:val="0"/>
          <w:lang w:val="en-US"/>
        </w:rPr>
        <w:t>Third</w:t>
      </w:r>
      <w:r w:rsidR="007B47B1" w:rsidRPr="004542B5">
        <w:rPr>
          <w:noProof w:val="0"/>
          <w:lang w:val="en-US"/>
        </w:rPr>
        <w:t xml:space="preserve"> </w:t>
      </w:r>
      <w:r w:rsidR="00DE6766" w:rsidRPr="004542B5">
        <w:rPr>
          <w:noProof w:val="0"/>
          <w:lang w:val="en-US"/>
        </w:rPr>
        <w:t>preliminary objection</w:t>
      </w:r>
      <w:r w:rsidR="007B47B1" w:rsidRPr="004542B5">
        <w:rPr>
          <w:noProof w:val="0"/>
          <w:lang w:val="en-US"/>
        </w:rPr>
        <w:t>: “</w:t>
      </w:r>
      <w:r w:rsidR="0063510B" w:rsidRPr="004542B5">
        <w:rPr>
          <w:noProof w:val="0"/>
          <w:lang w:val="en-US"/>
        </w:rPr>
        <w:t>Lack of jurisdiction</w:t>
      </w:r>
      <w:r w:rsidR="007B47B1" w:rsidRPr="004542B5">
        <w:rPr>
          <w:noProof w:val="0"/>
          <w:lang w:val="en-US"/>
        </w:rPr>
        <w:t xml:space="preserve"> </w:t>
      </w:r>
      <w:r w:rsidRPr="004542B5">
        <w:rPr>
          <w:noProof w:val="0"/>
          <w:lang w:val="en-US"/>
        </w:rPr>
        <w:t>based on the statute of limitations</w:t>
      </w:r>
      <w:r w:rsidR="007B47B1" w:rsidRPr="004542B5">
        <w:rPr>
          <w:noProof w:val="0"/>
          <w:lang w:val="en-US"/>
        </w:rPr>
        <w:t>”</w:t>
      </w:r>
      <w:bookmarkEnd w:id="87"/>
      <w:bookmarkEnd w:id="88"/>
      <w:bookmarkEnd w:id="89"/>
      <w:bookmarkEnd w:id="90"/>
      <w:bookmarkEnd w:id="91"/>
      <w:bookmarkEnd w:id="92"/>
      <w:bookmarkEnd w:id="93"/>
      <w:bookmarkEnd w:id="94"/>
    </w:p>
    <w:p w14:paraId="599589C2" w14:textId="28F3711D" w:rsidR="008C5471" w:rsidRPr="004542B5" w:rsidRDefault="007B47B1" w:rsidP="00E01664">
      <w:pPr>
        <w:pStyle w:val="Heading3"/>
        <w:rPr>
          <w:i w:val="0"/>
          <w:noProof w:val="0"/>
          <w:lang w:val="en-US"/>
        </w:rPr>
      </w:pPr>
      <w:bookmarkStart w:id="95" w:name="_Toc45200859"/>
      <w:r w:rsidRPr="004542B5">
        <w:rPr>
          <w:noProof w:val="0"/>
          <w:lang w:val="en-US"/>
        </w:rPr>
        <w:t>C.1</w:t>
      </w:r>
      <w:r w:rsidR="0077142F" w:rsidRPr="004542B5">
        <w:rPr>
          <w:noProof w:val="0"/>
          <w:lang w:val="en-US"/>
        </w:rPr>
        <w:t>.</w:t>
      </w:r>
      <w:r w:rsidRPr="004542B5">
        <w:rPr>
          <w:noProof w:val="0"/>
          <w:lang w:val="en-US"/>
        </w:rPr>
        <w:t xml:space="preserve"> </w:t>
      </w:r>
      <w:r w:rsidR="00AD34D8" w:rsidRPr="004542B5">
        <w:rPr>
          <w:noProof w:val="0"/>
          <w:lang w:val="en-US"/>
        </w:rPr>
        <w:t>Allegations of the parties and arguments</w:t>
      </w:r>
      <w:r w:rsidR="008A56D7" w:rsidRPr="004542B5">
        <w:rPr>
          <w:noProof w:val="0"/>
          <w:lang w:val="en-US"/>
        </w:rPr>
        <w:t xml:space="preserve"> of the </w:t>
      </w:r>
      <w:r w:rsidR="00562CBB" w:rsidRPr="004542B5">
        <w:rPr>
          <w:noProof w:val="0"/>
          <w:lang w:val="en-US"/>
        </w:rPr>
        <w:t>Commission</w:t>
      </w:r>
      <w:bookmarkEnd w:id="95"/>
    </w:p>
    <w:p w14:paraId="58D2CBD7" w14:textId="0D7A5512" w:rsidR="006C5E82" w:rsidRPr="004542B5" w:rsidRDefault="00562CBB" w:rsidP="00673288">
      <w:pPr>
        <w:pStyle w:val="ListParagraph"/>
        <w:numPr>
          <w:ilvl w:val="0"/>
          <w:numId w:val="2"/>
        </w:numPr>
        <w:spacing w:before="120" w:after="120"/>
        <w:contextualSpacing w:val="0"/>
        <w:rPr>
          <w:noProof w:val="0"/>
          <w:szCs w:val="20"/>
          <w:lang w:val="en-US"/>
        </w:rPr>
      </w:pPr>
      <w:r w:rsidRPr="004542B5">
        <w:rPr>
          <w:noProof w:val="0"/>
          <w:szCs w:val="20"/>
          <w:lang w:val="en-US"/>
        </w:rPr>
        <w:t>The State</w:t>
      </w:r>
      <w:r w:rsidR="007B47B1" w:rsidRPr="004542B5">
        <w:rPr>
          <w:i/>
          <w:noProof w:val="0"/>
          <w:szCs w:val="20"/>
          <w:lang w:val="en-US"/>
        </w:rPr>
        <w:t xml:space="preserve"> </w:t>
      </w:r>
      <w:r w:rsidR="00673288" w:rsidRPr="004542B5">
        <w:rPr>
          <w:noProof w:val="0"/>
          <w:szCs w:val="20"/>
          <w:lang w:val="en-US"/>
        </w:rPr>
        <w:t xml:space="preserve">filed an objection of partial </w:t>
      </w:r>
      <w:r w:rsidR="009D1962" w:rsidRPr="004542B5">
        <w:rPr>
          <w:noProof w:val="0"/>
          <w:szCs w:val="20"/>
          <w:lang w:val="en-US"/>
        </w:rPr>
        <w:t>l</w:t>
      </w:r>
      <w:r w:rsidR="0063510B" w:rsidRPr="004542B5">
        <w:rPr>
          <w:noProof w:val="0"/>
          <w:szCs w:val="20"/>
          <w:lang w:val="en-US"/>
        </w:rPr>
        <w:t>ack of jurisdiction</w:t>
      </w:r>
      <w:r w:rsidR="007B47B1" w:rsidRPr="004542B5">
        <w:rPr>
          <w:noProof w:val="0"/>
          <w:szCs w:val="20"/>
          <w:lang w:val="en-US"/>
        </w:rPr>
        <w:t xml:space="preserve"> </w:t>
      </w:r>
      <w:r w:rsidR="00AD34D8" w:rsidRPr="004542B5">
        <w:rPr>
          <w:noProof w:val="0"/>
          <w:szCs w:val="20"/>
          <w:lang w:val="en-US"/>
        </w:rPr>
        <w:t>based on the statute of limitations</w:t>
      </w:r>
      <w:r w:rsidR="007B47B1" w:rsidRPr="004542B5">
        <w:rPr>
          <w:noProof w:val="0"/>
          <w:szCs w:val="20"/>
          <w:lang w:val="en-US"/>
        </w:rPr>
        <w:t xml:space="preserve"> </w:t>
      </w:r>
      <w:r w:rsidR="00673288" w:rsidRPr="004542B5">
        <w:rPr>
          <w:noProof w:val="0"/>
          <w:szCs w:val="20"/>
          <w:lang w:val="en-US"/>
        </w:rPr>
        <w:t xml:space="preserve">regarding the supposed </w:t>
      </w:r>
      <w:r w:rsidR="009D1962" w:rsidRPr="004542B5">
        <w:rPr>
          <w:noProof w:val="0"/>
          <w:szCs w:val="20"/>
          <w:lang w:val="en-US"/>
        </w:rPr>
        <w:t xml:space="preserve">amount </w:t>
      </w:r>
      <w:r w:rsidR="00673288" w:rsidRPr="004542B5">
        <w:rPr>
          <w:noProof w:val="0"/>
          <w:szCs w:val="20"/>
          <w:lang w:val="en-US"/>
        </w:rPr>
        <w:t xml:space="preserve">owed by </w:t>
      </w:r>
      <w:r w:rsidRPr="004542B5">
        <w:rPr>
          <w:noProof w:val="0"/>
          <w:szCs w:val="20"/>
          <w:lang w:val="en-US"/>
        </w:rPr>
        <w:t>the State</w:t>
      </w:r>
      <w:r w:rsidR="007B47B1" w:rsidRPr="004542B5">
        <w:rPr>
          <w:noProof w:val="0"/>
          <w:szCs w:val="20"/>
          <w:lang w:val="en-US"/>
        </w:rPr>
        <w:t xml:space="preserve"> </w:t>
      </w:r>
      <w:r w:rsidR="00FE0BF3" w:rsidRPr="004542B5">
        <w:rPr>
          <w:noProof w:val="0"/>
          <w:szCs w:val="20"/>
          <w:lang w:val="en-US"/>
        </w:rPr>
        <w:t>of Panama</w:t>
      </w:r>
      <w:r w:rsidR="009D1962" w:rsidRPr="004542B5">
        <w:rPr>
          <w:noProof w:val="0"/>
          <w:szCs w:val="20"/>
          <w:lang w:val="en-US"/>
        </w:rPr>
        <w:t xml:space="preserve"> in</w:t>
      </w:r>
      <w:r w:rsidR="007B47B1" w:rsidRPr="004542B5">
        <w:rPr>
          <w:noProof w:val="0"/>
          <w:szCs w:val="20"/>
          <w:lang w:val="en-US"/>
        </w:rPr>
        <w:t xml:space="preserve"> </w:t>
      </w:r>
      <w:r w:rsidR="00673288" w:rsidRPr="004542B5">
        <w:rPr>
          <w:noProof w:val="0"/>
          <w:szCs w:val="20"/>
          <w:lang w:val="en-US"/>
        </w:rPr>
        <w:t>relat</w:t>
      </w:r>
      <w:r w:rsidR="009D1962" w:rsidRPr="004542B5">
        <w:rPr>
          <w:noProof w:val="0"/>
          <w:szCs w:val="20"/>
          <w:lang w:val="en-US"/>
        </w:rPr>
        <w:t>ion</w:t>
      </w:r>
      <w:r w:rsidR="00673288" w:rsidRPr="004542B5">
        <w:rPr>
          <w:noProof w:val="0"/>
          <w:szCs w:val="20"/>
          <w:lang w:val="en-US"/>
        </w:rPr>
        <w:t xml:space="preserve"> to the </w:t>
      </w:r>
      <w:r w:rsidR="009D1962" w:rsidRPr="004542B5">
        <w:rPr>
          <w:noProof w:val="0"/>
          <w:szCs w:val="20"/>
          <w:lang w:val="en-US"/>
        </w:rPr>
        <w:t xml:space="preserve">compensation </w:t>
      </w:r>
      <w:r w:rsidR="00673288" w:rsidRPr="004542B5">
        <w:rPr>
          <w:noProof w:val="0"/>
          <w:szCs w:val="20"/>
          <w:lang w:val="en-US"/>
        </w:rPr>
        <w:t xml:space="preserve">payment </w:t>
      </w:r>
      <w:r w:rsidR="009D1962" w:rsidRPr="004542B5">
        <w:rPr>
          <w:noProof w:val="0"/>
          <w:szCs w:val="20"/>
          <w:lang w:val="en-US"/>
        </w:rPr>
        <w:t xml:space="preserve">to the indigenous peoples </w:t>
      </w:r>
      <w:r w:rsidR="00673288" w:rsidRPr="004542B5">
        <w:rPr>
          <w:noProof w:val="0"/>
          <w:szCs w:val="20"/>
          <w:lang w:val="en-US"/>
        </w:rPr>
        <w:t xml:space="preserve">that </w:t>
      </w:r>
      <w:r w:rsidR="009D1962" w:rsidRPr="004542B5">
        <w:rPr>
          <w:noProof w:val="0"/>
          <w:szCs w:val="20"/>
          <w:lang w:val="en-US"/>
        </w:rPr>
        <w:t xml:space="preserve">allegedly remained </w:t>
      </w:r>
      <w:r w:rsidR="00673288" w:rsidRPr="004542B5">
        <w:rPr>
          <w:noProof w:val="0"/>
          <w:szCs w:val="20"/>
          <w:lang w:val="en-US"/>
        </w:rPr>
        <w:t>pending</w:t>
      </w:r>
      <w:r w:rsidR="009D1962" w:rsidRPr="004542B5">
        <w:rPr>
          <w:noProof w:val="0"/>
          <w:szCs w:val="20"/>
          <w:lang w:val="en-US"/>
        </w:rPr>
        <w:t>.</w:t>
      </w:r>
      <w:r w:rsidR="00673288" w:rsidRPr="004542B5">
        <w:rPr>
          <w:noProof w:val="0"/>
          <w:szCs w:val="20"/>
          <w:lang w:val="en-US"/>
        </w:rPr>
        <w:t xml:space="preserve"> </w:t>
      </w:r>
      <w:r w:rsidRPr="004542B5">
        <w:rPr>
          <w:noProof w:val="0"/>
          <w:szCs w:val="20"/>
          <w:lang w:val="en-US"/>
        </w:rPr>
        <w:t>The State</w:t>
      </w:r>
      <w:r w:rsidR="007B47B1" w:rsidRPr="004542B5">
        <w:rPr>
          <w:noProof w:val="0"/>
          <w:szCs w:val="20"/>
          <w:lang w:val="en-US"/>
        </w:rPr>
        <w:t xml:space="preserve"> </w:t>
      </w:r>
      <w:r w:rsidR="00673288" w:rsidRPr="004542B5">
        <w:rPr>
          <w:noProof w:val="0"/>
          <w:szCs w:val="20"/>
          <w:lang w:val="en-US"/>
        </w:rPr>
        <w:t>indicated that the compensation claimed by these peoples relate</w:t>
      </w:r>
      <w:r w:rsidR="009D1962" w:rsidRPr="004542B5">
        <w:rPr>
          <w:noProof w:val="0"/>
          <w:szCs w:val="20"/>
          <w:lang w:val="en-US"/>
        </w:rPr>
        <w:t>d</w:t>
      </w:r>
      <w:r w:rsidR="00673288" w:rsidRPr="004542B5">
        <w:rPr>
          <w:noProof w:val="0"/>
          <w:szCs w:val="20"/>
          <w:lang w:val="en-US"/>
        </w:rPr>
        <w:t xml:space="preserve"> to the flooding of ancestral lands and the 1971, 1975, 1976 and 1977 agreements. It added that the law establish</w:t>
      </w:r>
      <w:r w:rsidR="009D0A0B" w:rsidRPr="004542B5">
        <w:rPr>
          <w:noProof w:val="0"/>
          <w:szCs w:val="20"/>
          <w:lang w:val="en-US"/>
        </w:rPr>
        <w:t>ing</w:t>
      </w:r>
      <w:r w:rsidR="00673288" w:rsidRPr="004542B5">
        <w:rPr>
          <w:noProof w:val="0"/>
          <w:szCs w:val="20"/>
          <w:lang w:val="en-US"/>
        </w:rPr>
        <w:t xml:space="preserve"> the State’s intention to provide compensation to these peoples date</w:t>
      </w:r>
      <w:r w:rsidR="009D1962" w:rsidRPr="004542B5">
        <w:rPr>
          <w:noProof w:val="0"/>
          <w:szCs w:val="20"/>
          <w:lang w:val="en-US"/>
        </w:rPr>
        <w:t>d</w:t>
      </w:r>
      <w:r w:rsidR="00673288" w:rsidRPr="004542B5">
        <w:rPr>
          <w:noProof w:val="0"/>
          <w:szCs w:val="20"/>
          <w:lang w:val="en-US"/>
        </w:rPr>
        <w:t xml:space="preserve"> from 1971, with the promulgation of Decree 156, and that 42 years ha</w:t>
      </w:r>
      <w:r w:rsidR="009D0A0B" w:rsidRPr="004542B5">
        <w:rPr>
          <w:noProof w:val="0"/>
          <w:szCs w:val="20"/>
          <w:lang w:val="en-US"/>
        </w:rPr>
        <w:t>d</w:t>
      </w:r>
      <w:r w:rsidR="00673288" w:rsidRPr="004542B5">
        <w:rPr>
          <w:noProof w:val="0"/>
          <w:szCs w:val="20"/>
          <w:lang w:val="en-US"/>
        </w:rPr>
        <w:t xml:space="preserve"> passed since th</w:t>
      </w:r>
      <w:r w:rsidR="009D0A0B" w:rsidRPr="004542B5">
        <w:rPr>
          <w:noProof w:val="0"/>
          <w:szCs w:val="20"/>
          <w:lang w:val="en-US"/>
        </w:rPr>
        <w:t>e said</w:t>
      </w:r>
      <w:r w:rsidR="00673288" w:rsidRPr="004542B5">
        <w:rPr>
          <w:noProof w:val="0"/>
          <w:szCs w:val="20"/>
          <w:lang w:val="en-US"/>
        </w:rPr>
        <w:t xml:space="preserve"> decree was issued. It also indicated that the last final agreement mentioned, the </w:t>
      </w:r>
      <w:r w:rsidR="00E93F52" w:rsidRPr="004542B5">
        <w:rPr>
          <w:noProof w:val="0"/>
          <w:szCs w:val="20"/>
          <w:lang w:val="en-US"/>
        </w:rPr>
        <w:t>La Espriella Agreement</w:t>
      </w:r>
      <w:r w:rsidR="007B47B1" w:rsidRPr="004542B5">
        <w:rPr>
          <w:noProof w:val="0"/>
          <w:szCs w:val="20"/>
          <w:lang w:val="en-US"/>
        </w:rPr>
        <w:t xml:space="preserve">, </w:t>
      </w:r>
      <w:r w:rsidR="00673288" w:rsidRPr="004542B5">
        <w:rPr>
          <w:noProof w:val="0"/>
          <w:szCs w:val="20"/>
          <w:lang w:val="en-US"/>
        </w:rPr>
        <w:t>dates from</w:t>
      </w:r>
      <w:r w:rsidR="007B47B1" w:rsidRPr="004542B5">
        <w:rPr>
          <w:noProof w:val="0"/>
          <w:szCs w:val="20"/>
          <w:lang w:val="en-US"/>
        </w:rPr>
        <w:t xml:space="preserve"> 1980. </w:t>
      </w:r>
      <w:r w:rsidRPr="004542B5">
        <w:rPr>
          <w:noProof w:val="0"/>
          <w:szCs w:val="20"/>
          <w:lang w:val="en-US"/>
        </w:rPr>
        <w:t>The State</w:t>
      </w:r>
      <w:r w:rsidR="007B47B1" w:rsidRPr="004542B5">
        <w:rPr>
          <w:noProof w:val="0"/>
          <w:szCs w:val="20"/>
          <w:lang w:val="en-US"/>
        </w:rPr>
        <w:t xml:space="preserve"> </w:t>
      </w:r>
      <w:r w:rsidR="009D0A0B" w:rsidRPr="004542B5">
        <w:rPr>
          <w:noProof w:val="0"/>
          <w:szCs w:val="20"/>
          <w:lang w:val="en-US"/>
        </w:rPr>
        <w:t xml:space="preserve">argued </w:t>
      </w:r>
      <w:r w:rsidR="00673288" w:rsidRPr="004542B5">
        <w:rPr>
          <w:noProof w:val="0"/>
          <w:szCs w:val="20"/>
          <w:lang w:val="en-US"/>
        </w:rPr>
        <w:t xml:space="preserve">that the compensation report presented by </w:t>
      </w:r>
      <w:r w:rsidR="00F3300A" w:rsidRPr="004542B5">
        <w:rPr>
          <w:noProof w:val="0"/>
          <w:szCs w:val="20"/>
          <w:lang w:val="en-US"/>
        </w:rPr>
        <w:t>the presumed victims</w:t>
      </w:r>
      <w:r w:rsidR="007B47B1" w:rsidRPr="004542B5">
        <w:rPr>
          <w:noProof w:val="0"/>
          <w:szCs w:val="20"/>
          <w:lang w:val="en-US"/>
        </w:rPr>
        <w:t xml:space="preserve"> indic</w:t>
      </w:r>
      <w:r w:rsidR="00673288" w:rsidRPr="004542B5">
        <w:rPr>
          <w:noProof w:val="0"/>
          <w:szCs w:val="20"/>
          <w:lang w:val="en-US"/>
        </w:rPr>
        <w:t xml:space="preserve">ated that the payments should have been made before </w:t>
      </w:r>
      <w:r w:rsidR="007B47B1" w:rsidRPr="004542B5">
        <w:rPr>
          <w:noProof w:val="0"/>
          <w:szCs w:val="20"/>
          <w:lang w:val="en-US"/>
        </w:rPr>
        <w:t>1985</w:t>
      </w:r>
      <w:r w:rsidR="00673288" w:rsidRPr="004542B5">
        <w:rPr>
          <w:noProof w:val="0"/>
          <w:szCs w:val="20"/>
          <w:lang w:val="en-US"/>
        </w:rPr>
        <w:t xml:space="preserve">; consequently, 28 years have </w:t>
      </w:r>
      <w:r w:rsidR="009D0A0B" w:rsidRPr="004542B5">
        <w:rPr>
          <w:noProof w:val="0"/>
          <w:szCs w:val="20"/>
          <w:lang w:val="en-US"/>
        </w:rPr>
        <w:t>pass</w:t>
      </w:r>
      <w:r w:rsidR="00673288" w:rsidRPr="004542B5">
        <w:rPr>
          <w:noProof w:val="0"/>
          <w:szCs w:val="20"/>
          <w:lang w:val="en-US"/>
        </w:rPr>
        <w:t>ed since the last obligation of the State to pay any amount</w:t>
      </w:r>
      <w:r w:rsidR="007B47B1" w:rsidRPr="004542B5">
        <w:rPr>
          <w:noProof w:val="0"/>
          <w:szCs w:val="20"/>
          <w:lang w:val="en-US"/>
        </w:rPr>
        <w:t xml:space="preserve">. </w:t>
      </w:r>
    </w:p>
    <w:p w14:paraId="179BC6AB" w14:textId="22C84795" w:rsidR="00B439A0" w:rsidRPr="004542B5" w:rsidRDefault="00673288" w:rsidP="00673288">
      <w:pPr>
        <w:pStyle w:val="ListParagraph"/>
        <w:numPr>
          <w:ilvl w:val="0"/>
          <w:numId w:val="2"/>
        </w:numPr>
        <w:spacing w:before="120" w:after="120"/>
        <w:contextualSpacing w:val="0"/>
        <w:rPr>
          <w:noProof w:val="0"/>
          <w:szCs w:val="20"/>
          <w:lang w:val="en-US"/>
        </w:rPr>
      </w:pPr>
      <w:r w:rsidRPr="004542B5">
        <w:rPr>
          <w:noProof w:val="0"/>
          <w:szCs w:val="20"/>
          <w:lang w:val="en-US"/>
        </w:rPr>
        <w:t>The</w:t>
      </w:r>
      <w:r w:rsidR="00562CBB" w:rsidRPr="004542B5">
        <w:rPr>
          <w:noProof w:val="0"/>
          <w:szCs w:val="20"/>
          <w:lang w:val="en-US"/>
        </w:rPr>
        <w:t xml:space="preserve"> State</w:t>
      </w:r>
      <w:r w:rsidR="007B47B1" w:rsidRPr="004542B5">
        <w:rPr>
          <w:noProof w:val="0"/>
          <w:szCs w:val="20"/>
          <w:lang w:val="en-US"/>
        </w:rPr>
        <w:t xml:space="preserve"> </w:t>
      </w:r>
      <w:r w:rsidRPr="004542B5">
        <w:rPr>
          <w:noProof w:val="0"/>
          <w:szCs w:val="20"/>
          <w:lang w:val="en-US"/>
        </w:rPr>
        <w:t>also cited</w:t>
      </w:r>
      <w:r w:rsidR="007B47B1" w:rsidRPr="004542B5">
        <w:rPr>
          <w:noProof w:val="0"/>
          <w:szCs w:val="20"/>
          <w:lang w:val="en-US"/>
        </w:rPr>
        <w:t xml:space="preserve"> </w:t>
      </w:r>
      <w:r w:rsidRPr="004542B5">
        <w:rPr>
          <w:noProof w:val="0"/>
          <w:szCs w:val="20"/>
          <w:lang w:val="en-US"/>
        </w:rPr>
        <w:t>a</w:t>
      </w:r>
      <w:r w:rsidR="00562CBB" w:rsidRPr="004542B5">
        <w:rPr>
          <w:noProof w:val="0"/>
          <w:szCs w:val="20"/>
          <w:lang w:val="en-US"/>
        </w:rPr>
        <w:t>rticle</w:t>
      </w:r>
      <w:r w:rsidR="007B47B1" w:rsidRPr="004542B5">
        <w:rPr>
          <w:noProof w:val="0"/>
          <w:szCs w:val="20"/>
          <w:lang w:val="en-US"/>
        </w:rPr>
        <w:t xml:space="preserve"> 1086 </w:t>
      </w:r>
      <w:r w:rsidRPr="004542B5">
        <w:rPr>
          <w:noProof w:val="0"/>
          <w:szCs w:val="20"/>
          <w:lang w:val="en-US"/>
        </w:rPr>
        <w:t>of its Tax Code which establishe</w:t>
      </w:r>
      <w:r w:rsidR="009D0A0B" w:rsidRPr="004542B5">
        <w:rPr>
          <w:noProof w:val="0"/>
          <w:szCs w:val="20"/>
          <w:lang w:val="en-US"/>
        </w:rPr>
        <w:t>d</w:t>
      </w:r>
      <w:r w:rsidRPr="004542B5">
        <w:rPr>
          <w:noProof w:val="0"/>
          <w:szCs w:val="20"/>
          <w:lang w:val="en-US"/>
        </w:rPr>
        <w:t>, among other matters, that “[d]ebts for which the Treasur</w:t>
      </w:r>
      <w:r w:rsidR="009D0A0B" w:rsidRPr="004542B5">
        <w:rPr>
          <w:noProof w:val="0"/>
          <w:szCs w:val="20"/>
          <w:lang w:val="en-US"/>
        </w:rPr>
        <w:t>y</w:t>
      </w:r>
      <w:r w:rsidRPr="004542B5">
        <w:rPr>
          <w:noProof w:val="0"/>
          <w:szCs w:val="20"/>
          <w:lang w:val="en-US"/>
        </w:rPr>
        <w:t xml:space="preserve"> is responsible shall extinguish […] by a statute of limitation of 15 years, </w:t>
      </w:r>
      <w:r w:rsidR="00B439A0" w:rsidRPr="004542B5">
        <w:rPr>
          <w:noProof w:val="0"/>
          <w:szCs w:val="20"/>
          <w:lang w:val="en-US"/>
        </w:rPr>
        <w:t>which may be interrupted by an a</w:t>
      </w:r>
      <w:r w:rsidR="009D0A0B" w:rsidRPr="004542B5">
        <w:rPr>
          <w:noProof w:val="0"/>
          <w:szCs w:val="20"/>
          <w:lang w:val="en-US"/>
        </w:rPr>
        <w:t>d</w:t>
      </w:r>
      <w:r w:rsidR="00B439A0" w:rsidRPr="004542B5">
        <w:rPr>
          <w:noProof w:val="0"/>
          <w:szCs w:val="20"/>
          <w:lang w:val="en-US"/>
        </w:rPr>
        <w:t xml:space="preserve">ministrative procedure or by a legally notified judicial claim.” It added that this article revealed that, even if the alleged debts existed, given </w:t>
      </w:r>
      <w:r w:rsidR="00B439A0" w:rsidRPr="004542B5">
        <w:rPr>
          <w:noProof w:val="0"/>
          <w:szCs w:val="20"/>
          <w:lang w:val="en-US"/>
        </w:rPr>
        <w:lastRenderedPageBreak/>
        <w:t>the inexistence of a formal request to the administrative authorities or a judicial claim, they had prescribed. The State argued that there was no evidence that any administrative or judicial claim had been formally submitted to a public authority by the Kuna Comarca of</w:t>
      </w:r>
      <w:r w:rsidR="007B47B1" w:rsidRPr="004542B5">
        <w:rPr>
          <w:noProof w:val="0"/>
          <w:szCs w:val="20"/>
          <w:lang w:val="en-US"/>
        </w:rPr>
        <w:t xml:space="preserve"> Madungandí</w:t>
      </w:r>
      <w:r w:rsidR="00CD2B90" w:rsidRPr="004542B5">
        <w:rPr>
          <w:noProof w:val="0"/>
          <w:szCs w:val="20"/>
          <w:lang w:val="en-US"/>
        </w:rPr>
        <w:t xml:space="preserve"> and </w:t>
      </w:r>
      <w:r w:rsidR="00B439A0" w:rsidRPr="004542B5">
        <w:rPr>
          <w:noProof w:val="0"/>
          <w:szCs w:val="20"/>
          <w:lang w:val="en-US"/>
        </w:rPr>
        <w:t>the</w:t>
      </w:r>
      <w:r w:rsidR="007B47B1" w:rsidRPr="004542B5">
        <w:rPr>
          <w:noProof w:val="0"/>
          <w:szCs w:val="20"/>
          <w:lang w:val="en-US"/>
        </w:rPr>
        <w:t xml:space="preserve"> Emberá</w:t>
      </w:r>
      <w:r w:rsidR="00B439A0" w:rsidRPr="004542B5">
        <w:rPr>
          <w:noProof w:val="0"/>
          <w:szCs w:val="20"/>
          <w:lang w:val="en-US"/>
        </w:rPr>
        <w:t xml:space="preserve"> Comarca</w:t>
      </w:r>
      <w:r w:rsidR="007B47B1" w:rsidRPr="004542B5">
        <w:rPr>
          <w:noProof w:val="0"/>
          <w:szCs w:val="20"/>
          <w:lang w:val="en-US"/>
        </w:rPr>
        <w:t>.</w:t>
      </w:r>
      <w:r w:rsidR="007B47B1" w:rsidRPr="004542B5">
        <w:rPr>
          <w:b/>
          <w:noProof w:val="0"/>
          <w:szCs w:val="20"/>
          <w:lang w:val="en-US"/>
        </w:rPr>
        <w:t xml:space="preserve"> </w:t>
      </w:r>
      <w:r w:rsidR="00562CBB" w:rsidRPr="004542B5">
        <w:rPr>
          <w:noProof w:val="0"/>
          <w:szCs w:val="20"/>
          <w:lang w:val="en-US"/>
        </w:rPr>
        <w:t>Panama</w:t>
      </w:r>
      <w:r w:rsidR="007B47B1" w:rsidRPr="004542B5">
        <w:rPr>
          <w:noProof w:val="0"/>
          <w:szCs w:val="20"/>
          <w:lang w:val="en-US"/>
        </w:rPr>
        <w:t xml:space="preserve"> conclu</w:t>
      </w:r>
      <w:r w:rsidR="00B439A0" w:rsidRPr="004542B5">
        <w:rPr>
          <w:noProof w:val="0"/>
          <w:szCs w:val="20"/>
          <w:lang w:val="en-US"/>
        </w:rPr>
        <w:t xml:space="preserve">ded that it had been proved than more than 40 years had passed since the date of the supposed initial events and more than 20 years since the supposed final events that gave rise to the petition and asked the Court to reject the financial claim because the possibility of claiming those supposed </w:t>
      </w:r>
      <w:r w:rsidR="009D0A0B" w:rsidRPr="004542B5">
        <w:rPr>
          <w:noProof w:val="0"/>
          <w:szCs w:val="20"/>
          <w:lang w:val="en-US"/>
        </w:rPr>
        <w:t>payments</w:t>
      </w:r>
      <w:r w:rsidR="00B439A0" w:rsidRPr="004542B5">
        <w:rPr>
          <w:noProof w:val="0"/>
          <w:szCs w:val="20"/>
          <w:lang w:val="en-US"/>
        </w:rPr>
        <w:t xml:space="preserve"> had prescribed under domestic law.</w:t>
      </w:r>
    </w:p>
    <w:p w14:paraId="0CADAF34" w14:textId="4069CAE6" w:rsidR="00F209B1"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Commission</w:t>
      </w:r>
      <w:r w:rsidR="007B47B1" w:rsidRPr="004542B5">
        <w:rPr>
          <w:b/>
          <w:noProof w:val="0"/>
          <w:szCs w:val="20"/>
          <w:lang w:val="en-US"/>
        </w:rPr>
        <w:t xml:space="preserve"> </w:t>
      </w:r>
      <w:r w:rsidR="007B47B1" w:rsidRPr="004542B5">
        <w:rPr>
          <w:noProof w:val="0"/>
          <w:szCs w:val="20"/>
          <w:lang w:val="en-US"/>
        </w:rPr>
        <w:t>consider</w:t>
      </w:r>
      <w:r w:rsidR="00F209B1" w:rsidRPr="004542B5">
        <w:rPr>
          <w:noProof w:val="0"/>
          <w:szCs w:val="20"/>
          <w:lang w:val="en-US"/>
        </w:rPr>
        <w:t xml:space="preserve">ed that the situation described by the State did not constitute </w:t>
      </w:r>
      <w:r w:rsidR="006110CB" w:rsidRPr="004542B5">
        <w:rPr>
          <w:noProof w:val="0"/>
          <w:szCs w:val="20"/>
          <w:lang w:val="en-US"/>
        </w:rPr>
        <w:t>a preliminary</w:t>
      </w:r>
      <w:r w:rsidR="00DE6766" w:rsidRPr="004542B5">
        <w:rPr>
          <w:noProof w:val="0"/>
          <w:szCs w:val="20"/>
          <w:lang w:val="en-US"/>
        </w:rPr>
        <w:t xml:space="preserve"> objection</w:t>
      </w:r>
      <w:r w:rsidR="00F209B1" w:rsidRPr="004542B5">
        <w:rPr>
          <w:noProof w:val="0"/>
          <w:szCs w:val="20"/>
          <w:lang w:val="en-US"/>
        </w:rPr>
        <w:t xml:space="preserve"> because, such an objection should refer to a dispute regarding the </w:t>
      </w:r>
      <w:r w:rsidR="009D0A0B" w:rsidRPr="004542B5">
        <w:rPr>
          <w:noProof w:val="0"/>
          <w:szCs w:val="20"/>
          <w:lang w:val="en-US"/>
        </w:rPr>
        <w:t>Court’s jurisdiction</w:t>
      </w:r>
      <w:r w:rsidR="00F209B1" w:rsidRPr="004542B5">
        <w:rPr>
          <w:noProof w:val="0"/>
          <w:szCs w:val="20"/>
          <w:lang w:val="en-US"/>
        </w:rPr>
        <w:t xml:space="preserve"> </w:t>
      </w:r>
      <w:r w:rsidR="009D0A0B" w:rsidRPr="004542B5">
        <w:rPr>
          <w:noProof w:val="0"/>
          <w:szCs w:val="20"/>
          <w:lang w:val="en-US"/>
        </w:rPr>
        <w:t>or</w:t>
      </w:r>
      <w:r w:rsidR="00F209B1" w:rsidRPr="004542B5">
        <w:rPr>
          <w:noProof w:val="0"/>
          <w:szCs w:val="20"/>
          <w:lang w:val="en-US"/>
        </w:rPr>
        <w:t xml:space="preserve"> compliance with admissibility requirements. It added that the existence of a statute of limitations in the domestic sphere had no legal effect on the</w:t>
      </w:r>
      <w:r w:rsidR="00BD5730" w:rsidRPr="004542B5">
        <w:rPr>
          <w:noProof w:val="0"/>
          <w:szCs w:val="20"/>
          <w:lang w:val="en-US"/>
        </w:rPr>
        <w:t xml:space="preserve"> </w:t>
      </w:r>
      <w:r w:rsidR="00C437DD" w:rsidRPr="004542B5">
        <w:rPr>
          <w:noProof w:val="0"/>
          <w:szCs w:val="20"/>
          <w:lang w:val="en-US"/>
        </w:rPr>
        <w:t>Court’s</w:t>
      </w:r>
      <w:r w:rsidR="00F209B1" w:rsidRPr="004542B5">
        <w:rPr>
          <w:noProof w:val="0"/>
          <w:szCs w:val="20"/>
          <w:lang w:val="en-US"/>
        </w:rPr>
        <w:t xml:space="preserve"> temporal </w:t>
      </w:r>
      <w:r w:rsidR="009D0A0B" w:rsidRPr="004542B5">
        <w:rPr>
          <w:noProof w:val="0"/>
          <w:szCs w:val="20"/>
          <w:lang w:val="en-US"/>
        </w:rPr>
        <w:t>jurisdiction</w:t>
      </w:r>
      <w:r w:rsidR="00BD5730" w:rsidRPr="004542B5">
        <w:rPr>
          <w:noProof w:val="0"/>
          <w:szCs w:val="20"/>
          <w:lang w:val="en-US"/>
        </w:rPr>
        <w:t>; rather it was a matter for discussion in relation to the merits of the case. The Commission indicated that</w:t>
      </w:r>
      <w:r w:rsidR="009D0A0B" w:rsidRPr="004542B5">
        <w:rPr>
          <w:noProof w:val="0"/>
          <w:szCs w:val="20"/>
          <w:lang w:val="en-US"/>
        </w:rPr>
        <w:t>,</w:t>
      </w:r>
      <w:r w:rsidR="00BD5730" w:rsidRPr="004542B5">
        <w:rPr>
          <w:noProof w:val="0"/>
          <w:szCs w:val="20"/>
          <w:lang w:val="en-US"/>
        </w:rPr>
        <w:t xml:space="preserve"> what the State considered had prescribed</w:t>
      </w:r>
      <w:r w:rsidR="009D0A0B" w:rsidRPr="004542B5">
        <w:rPr>
          <w:noProof w:val="0"/>
          <w:szCs w:val="20"/>
          <w:lang w:val="en-US"/>
        </w:rPr>
        <w:t>,</w:t>
      </w:r>
      <w:r w:rsidR="00BD5730" w:rsidRPr="004542B5">
        <w:rPr>
          <w:noProof w:val="0"/>
          <w:szCs w:val="20"/>
          <w:lang w:val="en-US"/>
        </w:rPr>
        <w:t xml:space="preserve"> was the payment of compensation, </w:t>
      </w:r>
      <w:r w:rsidR="009D0A0B" w:rsidRPr="004542B5">
        <w:rPr>
          <w:noProof w:val="0"/>
          <w:szCs w:val="20"/>
          <w:lang w:val="en-US"/>
        </w:rPr>
        <w:t>which</w:t>
      </w:r>
      <w:r w:rsidR="00BD5730" w:rsidRPr="004542B5">
        <w:rPr>
          <w:noProof w:val="0"/>
          <w:szCs w:val="20"/>
          <w:lang w:val="en-US"/>
        </w:rPr>
        <w:t xml:space="preserve"> constituted an essential component of the right to communal property in a case such as this one, and that the payment of th</w:t>
      </w:r>
      <w:r w:rsidR="009D0A0B" w:rsidRPr="004542B5">
        <w:rPr>
          <w:noProof w:val="0"/>
          <w:szCs w:val="20"/>
          <w:lang w:val="en-US"/>
        </w:rPr>
        <w:t>e said</w:t>
      </w:r>
      <w:r w:rsidR="00BD5730" w:rsidRPr="004542B5">
        <w:rPr>
          <w:noProof w:val="0"/>
          <w:szCs w:val="20"/>
          <w:lang w:val="en-US"/>
        </w:rPr>
        <w:t xml:space="preserve"> compensation arose from the obligation to guarantee the said right. It added that States may not invoke provisions of domestic law to justify failure to comply with their international obligations.</w:t>
      </w:r>
    </w:p>
    <w:p w14:paraId="75DF5A5A" w14:textId="2167C8F0" w:rsidR="00BD5730"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representatives</w:t>
      </w:r>
      <w:r w:rsidR="007B47B1" w:rsidRPr="004542B5">
        <w:rPr>
          <w:noProof w:val="0"/>
          <w:szCs w:val="20"/>
          <w:lang w:val="en-US"/>
        </w:rPr>
        <w:t xml:space="preserve"> argu</w:t>
      </w:r>
      <w:r w:rsidR="00BD5730" w:rsidRPr="004542B5">
        <w:rPr>
          <w:noProof w:val="0"/>
          <w:szCs w:val="20"/>
          <w:lang w:val="en-US"/>
        </w:rPr>
        <w:t>ed that the right contained i</w:t>
      </w:r>
      <w:r w:rsidR="007B47B1" w:rsidRPr="004542B5">
        <w:rPr>
          <w:noProof w:val="0"/>
          <w:szCs w:val="20"/>
          <w:lang w:val="en-US"/>
        </w:rPr>
        <w:t xml:space="preserve">n </w:t>
      </w:r>
      <w:r w:rsidRPr="004542B5">
        <w:rPr>
          <w:noProof w:val="0"/>
          <w:szCs w:val="20"/>
          <w:lang w:val="en-US"/>
        </w:rPr>
        <w:t>Article</w:t>
      </w:r>
      <w:r w:rsidR="007B47B1" w:rsidRPr="004542B5">
        <w:rPr>
          <w:noProof w:val="0"/>
          <w:szCs w:val="20"/>
          <w:lang w:val="en-US"/>
        </w:rPr>
        <w:t xml:space="preserve"> 21</w:t>
      </w:r>
      <w:r w:rsidR="008A56D7" w:rsidRPr="004542B5">
        <w:rPr>
          <w:noProof w:val="0"/>
          <w:szCs w:val="20"/>
          <w:lang w:val="en-US"/>
        </w:rPr>
        <w:t xml:space="preserve"> of the </w:t>
      </w:r>
      <w:r w:rsidRPr="004542B5">
        <w:rPr>
          <w:noProof w:val="0"/>
          <w:szCs w:val="20"/>
          <w:lang w:val="en-US"/>
        </w:rPr>
        <w:t>Convention</w:t>
      </w:r>
      <w:r w:rsidR="007B47B1" w:rsidRPr="004542B5">
        <w:rPr>
          <w:noProof w:val="0"/>
          <w:szCs w:val="20"/>
          <w:lang w:val="en-US"/>
        </w:rPr>
        <w:t xml:space="preserve"> </w:t>
      </w:r>
      <w:r w:rsidR="00BD5730" w:rsidRPr="004542B5">
        <w:rPr>
          <w:noProof w:val="0"/>
          <w:szCs w:val="20"/>
          <w:lang w:val="en-US"/>
        </w:rPr>
        <w:t xml:space="preserve">could not prescribe, because it </w:t>
      </w:r>
      <w:r w:rsidR="009D0A0B" w:rsidRPr="004542B5">
        <w:rPr>
          <w:noProof w:val="0"/>
          <w:szCs w:val="20"/>
          <w:lang w:val="en-US"/>
        </w:rPr>
        <w:t>was</w:t>
      </w:r>
      <w:r w:rsidR="00BD5730" w:rsidRPr="004542B5">
        <w:rPr>
          <w:noProof w:val="0"/>
          <w:szCs w:val="20"/>
          <w:lang w:val="en-US"/>
        </w:rPr>
        <w:t xml:space="preserve"> a human right recognized in the said instrument. They also indicated that the presumed victims</w:t>
      </w:r>
      <w:r w:rsidR="009D0A0B" w:rsidRPr="004542B5">
        <w:rPr>
          <w:noProof w:val="0"/>
          <w:szCs w:val="20"/>
          <w:lang w:val="en-US"/>
        </w:rPr>
        <w:t>’ claims</w:t>
      </w:r>
      <w:r w:rsidR="00BD5730" w:rsidRPr="004542B5">
        <w:rPr>
          <w:noProof w:val="0"/>
          <w:szCs w:val="20"/>
          <w:lang w:val="en-US"/>
        </w:rPr>
        <w:t xml:space="preserve"> had been permanent, referring to several communications and actions taken before the national Government, to which the State had failed to respond appropriately, </w:t>
      </w:r>
      <w:r w:rsidR="009D0A0B" w:rsidRPr="004542B5">
        <w:rPr>
          <w:noProof w:val="0"/>
          <w:szCs w:val="20"/>
          <w:lang w:val="en-US"/>
        </w:rPr>
        <w:t>or to provide</w:t>
      </w:r>
      <w:r w:rsidR="00BD5730" w:rsidRPr="004542B5">
        <w:rPr>
          <w:noProof w:val="0"/>
          <w:szCs w:val="20"/>
          <w:lang w:val="en-US"/>
        </w:rPr>
        <w:t xml:space="preserve"> the necessary advice to ensure that the claims were addressed to the appropriate instance</w:t>
      </w:r>
      <w:r w:rsidR="00CE29E9" w:rsidRPr="004542B5">
        <w:rPr>
          <w:noProof w:val="0"/>
          <w:szCs w:val="20"/>
          <w:lang w:val="en-US"/>
        </w:rPr>
        <w:t>; thus,</w:t>
      </w:r>
      <w:r w:rsidR="00BD5730" w:rsidRPr="004542B5">
        <w:rPr>
          <w:noProof w:val="0"/>
          <w:szCs w:val="20"/>
          <w:lang w:val="en-US"/>
        </w:rPr>
        <w:t xml:space="preserve"> the prescription invoked by the State was inadmissible.</w:t>
      </w:r>
    </w:p>
    <w:p w14:paraId="7EB87999" w14:textId="6ED10081" w:rsidR="008C5471" w:rsidRPr="004542B5" w:rsidRDefault="007B47B1" w:rsidP="00E01664">
      <w:pPr>
        <w:pStyle w:val="Heading3"/>
        <w:rPr>
          <w:noProof w:val="0"/>
          <w:lang w:val="en-US"/>
        </w:rPr>
      </w:pPr>
      <w:r w:rsidRPr="004542B5">
        <w:rPr>
          <w:noProof w:val="0"/>
          <w:lang w:val="en-US"/>
        </w:rPr>
        <w:tab/>
      </w:r>
      <w:bookmarkStart w:id="96" w:name="_Toc45200860"/>
      <w:r w:rsidRPr="004542B5">
        <w:rPr>
          <w:noProof w:val="0"/>
          <w:lang w:val="en-US"/>
        </w:rPr>
        <w:t xml:space="preserve">C.2. </w:t>
      </w:r>
      <w:r w:rsidR="00B902E7" w:rsidRPr="004542B5">
        <w:rPr>
          <w:noProof w:val="0"/>
          <w:lang w:val="en-US"/>
        </w:rPr>
        <w:t>Considerations</w:t>
      </w:r>
      <w:r w:rsidR="008A56D7" w:rsidRPr="004542B5">
        <w:rPr>
          <w:noProof w:val="0"/>
          <w:lang w:val="en-US"/>
        </w:rPr>
        <w:t xml:space="preserve"> of the </w:t>
      </w:r>
      <w:r w:rsidR="00562CBB" w:rsidRPr="004542B5">
        <w:rPr>
          <w:noProof w:val="0"/>
          <w:lang w:val="en-US"/>
        </w:rPr>
        <w:t>Court</w:t>
      </w:r>
      <w:bookmarkEnd w:id="96"/>
    </w:p>
    <w:p w14:paraId="061DDD9E" w14:textId="3C0742EA" w:rsidR="006C5E82" w:rsidRPr="004542B5" w:rsidRDefault="00BD5730" w:rsidP="00E01664">
      <w:pPr>
        <w:pStyle w:val="Default"/>
        <w:numPr>
          <w:ilvl w:val="0"/>
          <w:numId w:val="2"/>
        </w:numPr>
        <w:spacing w:before="120" w:after="120"/>
        <w:jc w:val="both"/>
        <w:rPr>
          <w:rFonts w:cs="Verdana Bold"/>
          <w:b/>
          <w:bCs/>
          <w:sz w:val="20"/>
          <w:szCs w:val="20"/>
        </w:rPr>
      </w:pPr>
      <w:r w:rsidRPr="004542B5">
        <w:rPr>
          <w:rFonts w:cs="Verdana Bold"/>
          <w:bCs/>
          <w:sz w:val="20"/>
          <w:szCs w:val="20"/>
        </w:rPr>
        <w:t xml:space="preserve">Regarding this objection of </w:t>
      </w:r>
      <w:r w:rsidR="00CE29E9" w:rsidRPr="004542B5">
        <w:rPr>
          <w:rFonts w:cs="Verdana Bold"/>
          <w:bCs/>
          <w:sz w:val="20"/>
          <w:szCs w:val="20"/>
        </w:rPr>
        <w:t>l</w:t>
      </w:r>
      <w:r w:rsidR="0063510B" w:rsidRPr="004542B5">
        <w:rPr>
          <w:rFonts w:cs="Verdana Bold"/>
          <w:bCs/>
          <w:sz w:val="20"/>
          <w:szCs w:val="20"/>
        </w:rPr>
        <w:t>ack of jurisdiction</w:t>
      </w:r>
      <w:r w:rsidR="007B47B1" w:rsidRPr="004542B5">
        <w:rPr>
          <w:rFonts w:cs="Verdana Bold"/>
          <w:bCs/>
          <w:sz w:val="20"/>
          <w:szCs w:val="20"/>
        </w:rPr>
        <w:t xml:space="preserve"> </w:t>
      </w:r>
      <w:r w:rsidRPr="004542B5">
        <w:rPr>
          <w:rFonts w:cs="Verdana Bold"/>
          <w:bCs/>
          <w:sz w:val="20"/>
          <w:szCs w:val="20"/>
        </w:rPr>
        <w:t xml:space="preserve">owing to “prescription” of the alleged amount owed by </w:t>
      </w:r>
      <w:r w:rsidR="00562CBB" w:rsidRPr="004542B5">
        <w:rPr>
          <w:sz w:val="20"/>
          <w:szCs w:val="20"/>
        </w:rPr>
        <w:t>the State</w:t>
      </w:r>
      <w:r w:rsidR="007B47B1" w:rsidRPr="004542B5">
        <w:rPr>
          <w:sz w:val="20"/>
          <w:szCs w:val="20"/>
        </w:rPr>
        <w:t xml:space="preserve">, </w:t>
      </w:r>
      <w:r w:rsidR="00562CBB" w:rsidRPr="004542B5">
        <w:rPr>
          <w:sz w:val="20"/>
          <w:szCs w:val="20"/>
        </w:rPr>
        <w:t>the Court</w:t>
      </w:r>
      <w:r w:rsidR="007B47B1" w:rsidRPr="004542B5">
        <w:rPr>
          <w:sz w:val="20"/>
          <w:szCs w:val="20"/>
        </w:rPr>
        <w:t xml:space="preserve"> </w:t>
      </w:r>
      <w:r w:rsidRPr="004542B5">
        <w:rPr>
          <w:sz w:val="20"/>
          <w:szCs w:val="20"/>
        </w:rPr>
        <w:t xml:space="preserve">considers it unnecessary to rule on this objection, because it has admitted the objection of </w:t>
      </w:r>
      <w:r w:rsidR="00CE29E9" w:rsidRPr="004542B5">
        <w:rPr>
          <w:sz w:val="20"/>
          <w:szCs w:val="20"/>
        </w:rPr>
        <w:t>l</w:t>
      </w:r>
      <w:r w:rsidR="0063510B" w:rsidRPr="004542B5">
        <w:rPr>
          <w:sz w:val="20"/>
          <w:szCs w:val="20"/>
        </w:rPr>
        <w:t>ack of jurisdiction</w:t>
      </w:r>
      <w:r w:rsidR="007B47B1" w:rsidRPr="004542B5">
        <w:rPr>
          <w:sz w:val="20"/>
          <w:szCs w:val="20"/>
        </w:rPr>
        <w:t xml:space="preserve"> </w:t>
      </w:r>
      <w:r w:rsidR="007B47B1" w:rsidRPr="004542B5">
        <w:rPr>
          <w:rFonts w:cs="Times"/>
          <w:i/>
          <w:sz w:val="20"/>
          <w:szCs w:val="20"/>
        </w:rPr>
        <w:t>ratione temporis</w:t>
      </w:r>
      <w:r w:rsidR="007B47B1" w:rsidRPr="004542B5">
        <w:rPr>
          <w:rFonts w:cs="Times"/>
          <w:sz w:val="20"/>
          <w:szCs w:val="20"/>
        </w:rPr>
        <w:t xml:space="preserve">, </w:t>
      </w:r>
      <w:r w:rsidR="00342385" w:rsidRPr="004542B5">
        <w:rPr>
          <w:rFonts w:cs="Times"/>
          <w:sz w:val="20"/>
          <w:szCs w:val="20"/>
        </w:rPr>
        <w:t>in relation to</w:t>
      </w:r>
      <w:r w:rsidRPr="004542B5">
        <w:rPr>
          <w:rFonts w:cs="Times"/>
          <w:sz w:val="20"/>
          <w:szCs w:val="20"/>
        </w:rPr>
        <w:t xml:space="preserve"> the compensation</w:t>
      </w:r>
      <w:r w:rsidR="007B47B1" w:rsidRPr="004542B5">
        <w:rPr>
          <w:rFonts w:cs="Times"/>
          <w:sz w:val="20"/>
          <w:szCs w:val="20"/>
        </w:rPr>
        <w:t xml:space="preserve"> </w:t>
      </w:r>
      <w:r w:rsidR="007B47B1" w:rsidRPr="004542B5">
        <w:rPr>
          <w:sz w:val="20"/>
          <w:szCs w:val="20"/>
        </w:rPr>
        <w:t>(</w:t>
      </w:r>
      <w:r w:rsidR="007B47B1" w:rsidRPr="004542B5">
        <w:rPr>
          <w:i/>
          <w:sz w:val="20"/>
          <w:szCs w:val="20"/>
        </w:rPr>
        <w:t>supra</w:t>
      </w:r>
      <w:r w:rsidR="007B47B1" w:rsidRPr="004542B5">
        <w:rPr>
          <w:sz w:val="20"/>
          <w:szCs w:val="20"/>
        </w:rPr>
        <w:t xml:space="preserve"> </w:t>
      </w:r>
      <w:r w:rsidR="00F66B76" w:rsidRPr="004542B5">
        <w:rPr>
          <w:sz w:val="20"/>
          <w:szCs w:val="20"/>
        </w:rPr>
        <w:t>para.</w:t>
      </w:r>
      <w:r w:rsidR="007B47B1" w:rsidRPr="004542B5">
        <w:rPr>
          <w:sz w:val="20"/>
          <w:szCs w:val="20"/>
        </w:rPr>
        <w:t xml:space="preserve"> </w:t>
      </w:r>
      <w:r w:rsidR="006F4260" w:rsidRPr="004542B5">
        <w:rPr>
          <w:sz w:val="20"/>
          <w:szCs w:val="20"/>
        </w:rPr>
        <w:t>40</w:t>
      </w:r>
      <w:r w:rsidR="007B47B1" w:rsidRPr="004542B5">
        <w:rPr>
          <w:sz w:val="20"/>
          <w:szCs w:val="20"/>
        </w:rPr>
        <w:t>)</w:t>
      </w:r>
      <w:r w:rsidR="007B47B1" w:rsidRPr="004542B5">
        <w:rPr>
          <w:rFonts w:cs="Times"/>
          <w:sz w:val="20"/>
          <w:szCs w:val="20"/>
        </w:rPr>
        <w:t>.</w:t>
      </w:r>
    </w:p>
    <w:p w14:paraId="42CBB3C4" w14:textId="458DEBAF" w:rsidR="00E51798" w:rsidRPr="004542B5" w:rsidRDefault="007B47B1" w:rsidP="00E01664">
      <w:pPr>
        <w:pStyle w:val="Heading1"/>
        <w:rPr>
          <w:noProof w:val="0"/>
          <w:lang w:val="en-US"/>
        </w:rPr>
      </w:pPr>
      <w:bookmarkStart w:id="97" w:name="_Toc369989371"/>
      <w:bookmarkStart w:id="98" w:name="_Toc369989458"/>
      <w:bookmarkStart w:id="99" w:name="_Toc369989739"/>
      <w:bookmarkStart w:id="100" w:name="_Toc45200861"/>
      <w:bookmarkEnd w:id="68"/>
      <w:bookmarkEnd w:id="69"/>
      <w:bookmarkEnd w:id="70"/>
      <w:bookmarkEnd w:id="71"/>
      <w:bookmarkEnd w:id="72"/>
      <w:bookmarkEnd w:id="73"/>
      <w:r w:rsidRPr="004542B5">
        <w:rPr>
          <w:noProof w:val="0"/>
          <w:lang w:val="en-US"/>
        </w:rPr>
        <w:t>V</w:t>
      </w:r>
      <w:bookmarkStart w:id="101" w:name="_Toc315133577"/>
      <w:bookmarkStart w:id="102" w:name="_Toc316919762"/>
      <w:bookmarkStart w:id="103" w:name="_Toc329703867"/>
      <w:bookmarkStart w:id="104" w:name="_Toc336638904"/>
      <w:bookmarkStart w:id="105" w:name="_Toc359314424"/>
      <w:bookmarkStart w:id="106" w:name="_Toc361671574"/>
      <w:bookmarkStart w:id="107" w:name="_Toc361671994"/>
      <w:bookmarkStart w:id="108" w:name="_Toc361732791"/>
      <w:bookmarkStart w:id="109" w:name="_Toc361732834"/>
      <w:bookmarkStart w:id="110" w:name="_Toc362456865"/>
      <w:bookmarkStart w:id="111" w:name="_Toc365021394"/>
      <w:bookmarkStart w:id="112" w:name="_Toc369076780"/>
      <w:bookmarkStart w:id="113" w:name="_Toc369989372"/>
      <w:bookmarkStart w:id="114" w:name="_Toc369989459"/>
      <w:bookmarkStart w:id="115" w:name="_Toc369989740"/>
      <w:bookmarkStart w:id="116" w:name="_Toc311128165"/>
      <w:bookmarkStart w:id="117" w:name="_Toc311128362"/>
      <w:bookmarkEnd w:id="97"/>
      <w:bookmarkEnd w:id="98"/>
      <w:bookmarkEnd w:id="99"/>
      <w:r w:rsidRPr="004542B5">
        <w:rPr>
          <w:noProof w:val="0"/>
          <w:color w:val="FFFFFF" w:themeColor="background1"/>
          <w:lang w:val="en-US"/>
        </w:rPr>
        <w:t>.</w:t>
      </w:r>
      <w:r w:rsidRPr="004542B5">
        <w:rPr>
          <w:noProof w:val="0"/>
          <w:lang w:val="en-US"/>
        </w:rPr>
        <w:t xml:space="preserve"> </w:t>
      </w:r>
      <w:r w:rsidRPr="004542B5">
        <w:rPr>
          <w:noProof w:val="0"/>
          <w:lang w:val="en-US"/>
        </w:rPr>
        <w:br/>
      </w:r>
      <w:r w:rsidR="00AD34D8" w:rsidRPr="004542B5">
        <w:rPr>
          <w:noProof w:val="0"/>
          <w:lang w:val="en-US"/>
        </w:rPr>
        <w:t>EVIDENCE</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BBC36FA" w14:textId="4A8B8E7A" w:rsidR="008920D1" w:rsidRPr="004542B5" w:rsidRDefault="00AD34D8" w:rsidP="00E01664">
      <w:pPr>
        <w:pStyle w:val="Heading2"/>
        <w:numPr>
          <w:ilvl w:val="0"/>
          <w:numId w:val="27"/>
        </w:numPr>
        <w:rPr>
          <w:noProof w:val="0"/>
          <w:lang w:val="en-US"/>
        </w:rPr>
      </w:pPr>
      <w:bookmarkStart w:id="118" w:name="_Toc45200862"/>
      <w:r w:rsidRPr="004542B5">
        <w:rPr>
          <w:noProof w:val="0"/>
          <w:lang w:val="en-US"/>
        </w:rPr>
        <w:t>Documentary, testimonial and expert evidence</w:t>
      </w:r>
      <w:bookmarkStart w:id="119" w:name="_Ref305145673"/>
      <w:bookmarkEnd w:id="118"/>
    </w:p>
    <w:p w14:paraId="1E95E752" w14:textId="209F1CA9" w:rsidR="008920D1" w:rsidRPr="004542B5" w:rsidRDefault="00562CBB" w:rsidP="009B7DCC">
      <w:pPr>
        <w:numPr>
          <w:ilvl w:val="0"/>
          <w:numId w:val="2"/>
        </w:numPr>
        <w:tabs>
          <w:tab w:val="left" w:pos="720"/>
          <w:tab w:val="left" w:pos="1134"/>
          <w:tab w:val="num" w:pos="1427"/>
          <w:tab w:val="num" w:pos="6042"/>
        </w:tabs>
        <w:autoSpaceDE w:val="0"/>
        <w:autoSpaceDN w:val="0"/>
        <w:adjustRightInd w:val="0"/>
        <w:spacing w:before="120"/>
        <w:ind w:right="-90"/>
        <w:rPr>
          <w:rStyle w:val="Estilo1Car"/>
          <w:rFonts w:cs="Verdana"/>
          <w:i w:val="0"/>
          <w:noProof w:val="0"/>
          <w:lang w:val="en-US"/>
        </w:rPr>
      </w:pPr>
      <w:r w:rsidRPr="004542B5">
        <w:rPr>
          <w:rStyle w:val="Estilo1Car"/>
          <w:i w:val="0"/>
          <w:noProof w:val="0"/>
          <w:lang w:val="en-US"/>
        </w:rPr>
        <w:t>The Court</w:t>
      </w:r>
      <w:r w:rsidR="007B47B1" w:rsidRPr="004542B5">
        <w:rPr>
          <w:rStyle w:val="Estilo1Car"/>
          <w:i w:val="0"/>
          <w:noProof w:val="0"/>
          <w:lang w:val="en-US"/>
        </w:rPr>
        <w:t xml:space="preserve"> rec</w:t>
      </w:r>
      <w:r w:rsidR="00BD5730" w:rsidRPr="004542B5">
        <w:rPr>
          <w:rStyle w:val="Estilo1Car"/>
          <w:i w:val="0"/>
          <w:noProof w:val="0"/>
          <w:lang w:val="en-US"/>
        </w:rPr>
        <w:t>eived different documents presented as evidence by</w:t>
      </w:r>
      <w:r w:rsidR="007B47B1" w:rsidRPr="004542B5">
        <w:rPr>
          <w:rStyle w:val="Estilo1Car"/>
          <w:i w:val="0"/>
          <w:noProof w:val="0"/>
          <w:lang w:val="en-US"/>
        </w:rPr>
        <w:t xml:space="preserve"> </w:t>
      </w:r>
      <w:r w:rsidRPr="004542B5">
        <w:rPr>
          <w:rStyle w:val="Estilo1Car"/>
          <w:i w:val="0"/>
          <w:noProof w:val="0"/>
          <w:lang w:val="en-US"/>
        </w:rPr>
        <w:t>the Commission</w:t>
      </w:r>
      <w:r w:rsidR="007B47B1" w:rsidRPr="004542B5">
        <w:rPr>
          <w:rStyle w:val="Estilo1Car"/>
          <w:i w:val="0"/>
          <w:noProof w:val="0"/>
          <w:lang w:val="en-US"/>
        </w:rPr>
        <w:t xml:space="preserve">, </w:t>
      </w:r>
      <w:r w:rsidRPr="004542B5">
        <w:rPr>
          <w:rStyle w:val="Estilo1Car"/>
          <w:i w:val="0"/>
          <w:noProof w:val="0"/>
          <w:lang w:val="en-US"/>
        </w:rPr>
        <w:t>the representatives</w:t>
      </w:r>
      <w:r w:rsidR="00CD2B90" w:rsidRPr="004542B5">
        <w:rPr>
          <w:rStyle w:val="Estilo1Car"/>
          <w:i w:val="0"/>
          <w:noProof w:val="0"/>
          <w:lang w:val="en-US"/>
        </w:rPr>
        <w:t xml:space="preserve"> and </w:t>
      </w:r>
      <w:r w:rsidRPr="004542B5">
        <w:rPr>
          <w:rStyle w:val="Estilo1Car"/>
          <w:i w:val="0"/>
          <w:noProof w:val="0"/>
          <w:lang w:val="en-US"/>
        </w:rPr>
        <w:t>the State</w:t>
      </w:r>
      <w:r w:rsidR="007B47B1" w:rsidRPr="004542B5">
        <w:rPr>
          <w:rStyle w:val="Estilo1Car"/>
          <w:i w:val="0"/>
          <w:noProof w:val="0"/>
          <w:lang w:val="en-US"/>
        </w:rPr>
        <w:t xml:space="preserve">, </w:t>
      </w:r>
      <w:r w:rsidR="00BD5730" w:rsidRPr="004542B5">
        <w:rPr>
          <w:rStyle w:val="Estilo1Car"/>
          <w:i w:val="0"/>
          <w:noProof w:val="0"/>
          <w:lang w:val="en-US"/>
        </w:rPr>
        <w:t xml:space="preserve">attached to their principal briefs </w:t>
      </w:r>
      <w:r w:rsidR="007B47B1" w:rsidRPr="004542B5">
        <w:rPr>
          <w:rStyle w:val="Estilo1Car"/>
          <w:i w:val="0"/>
          <w:noProof w:val="0"/>
          <w:lang w:val="en-US"/>
        </w:rPr>
        <w:t>(</w:t>
      </w:r>
      <w:r w:rsidR="007B47B1" w:rsidRPr="004542B5">
        <w:rPr>
          <w:rStyle w:val="Estilo1Car"/>
          <w:noProof w:val="0"/>
          <w:lang w:val="en-US"/>
        </w:rPr>
        <w:t>supra</w:t>
      </w:r>
      <w:r w:rsidR="007B47B1" w:rsidRPr="004542B5">
        <w:rPr>
          <w:rStyle w:val="Estilo1Car"/>
          <w:i w:val="0"/>
          <w:noProof w:val="0"/>
          <w:lang w:val="en-US"/>
        </w:rPr>
        <w:t xml:space="preserve"> </w:t>
      </w:r>
      <w:r w:rsidR="00F66B76" w:rsidRPr="004542B5">
        <w:rPr>
          <w:rStyle w:val="Estilo1Car"/>
          <w:i w:val="0"/>
          <w:noProof w:val="0"/>
          <w:lang w:val="en-US"/>
        </w:rPr>
        <w:t>para.</w:t>
      </w:r>
      <w:r w:rsidR="007B47B1" w:rsidRPr="004542B5">
        <w:rPr>
          <w:rStyle w:val="Estilo1Car"/>
          <w:i w:val="0"/>
          <w:noProof w:val="0"/>
          <w:lang w:val="en-US"/>
        </w:rPr>
        <w:t xml:space="preserve"> </w:t>
      </w:r>
      <w:r w:rsidR="00B82216" w:rsidRPr="004542B5">
        <w:rPr>
          <w:rStyle w:val="Estilo1Car"/>
          <w:i w:val="0"/>
          <w:noProof w:val="0"/>
          <w:lang w:val="en-US"/>
        </w:rPr>
        <w:t>1</w:t>
      </w:r>
      <w:r w:rsidR="00BD5730" w:rsidRPr="004542B5">
        <w:rPr>
          <w:rStyle w:val="Estilo1Car"/>
          <w:i w:val="0"/>
          <w:noProof w:val="0"/>
          <w:lang w:val="en-US"/>
        </w:rPr>
        <w:t>,</w:t>
      </w:r>
      <w:r w:rsidR="007B47B1" w:rsidRPr="004542B5">
        <w:rPr>
          <w:rStyle w:val="Estilo1Car"/>
          <w:i w:val="0"/>
          <w:noProof w:val="0"/>
          <w:lang w:val="en-US"/>
        </w:rPr>
        <w:t xml:space="preserve"> </w:t>
      </w:r>
      <w:r w:rsidR="00B82216" w:rsidRPr="004542B5">
        <w:rPr>
          <w:rStyle w:val="Estilo1Car"/>
          <w:i w:val="0"/>
          <w:noProof w:val="0"/>
          <w:lang w:val="en-US"/>
        </w:rPr>
        <w:t>6</w:t>
      </w:r>
      <w:r w:rsidR="00BD5730" w:rsidRPr="004542B5">
        <w:rPr>
          <w:rStyle w:val="Estilo1Car"/>
          <w:i w:val="0"/>
          <w:noProof w:val="0"/>
          <w:lang w:val="en-US"/>
        </w:rPr>
        <w:t>, 7,</w:t>
      </w:r>
      <w:r w:rsidR="007B47B1" w:rsidRPr="004542B5">
        <w:rPr>
          <w:rStyle w:val="Estilo1Car"/>
          <w:i w:val="0"/>
          <w:noProof w:val="0"/>
          <w:lang w:val="en-US"/>
        </w:rPr>
        <w:t xml:space="preserve"> </w:t>
      </w:r>
      <w:r w:rsidR="00B82216" w:rsidRPr="004542B5">
        <w:rPr>
          <w:rStyle w:val="Estilo1Car"/>
          <w:i w:val="0"/>
          <w:noProof w:val="0"/>
          <w:lang w:val="en-US"/>
        </w:rPr>
        <w:t>8</w:t>
      </w:r>
      <w:r w:rsidR="00CD2B90" w:rsidRPr="004542B5">
        <w:rPr>
          <w:rStyle w:val="Estilo1Car"/>
          <w:i w:val="0"/>
          <w:noProof w:val="0"/>
          <w:lang w:val="en-US"/>
        </w:rPr>
        <w:t xml:space="preserve"> and </w:t>
      </w:r>
      <w:r w:rsidR="00B82216" w:rsidRPr="004542B5">
        <w:rPr>
          <w:rStyle w:val="Estilo1Car"/>
          <w:i w:val="0"/>
          <w:noProof w:val="0"/>
          <w:lang w:val="en-US"/>
        </w:rPr>
        <w:t>10</w:t>
      </w:r>
      <w:r w:rsidR="007B47B1" w:rsidRPr="004542B5">
        <w:rPr>
          <w:rStyle w:val="Estilo1Car"/>
          <w:i w:val="0"/>
          <w:noProof w:val="0"/>
          <w:lang w:val="en-US"/>
        </w:rPr>
        <w:t xml:space="preserve">). </w:t>
      </w:r>
      <w:r w:rsidR="00BD5730" w:rsidRPr="004542B5">
        <w:rPr>
          <w:rStyle w:val="Estilo1Car"/>
          <w:i w:val="0"/>
          <w:noProof w:val="0"/>
          <w:lang w:val="en-US"/>
        </w:rPr>
        <w:t>The</w:t>
      </w:r>
      <w:r w:rsidRPr="004542B5">
        <w:rPr>
          <w:rStyle w:val="Estilo1Car"/>
          <w:i w:val="0"/>
          <w:noProof w:val="0"/>
          <w:lang w:val="en-US"/>
        </w:rPr>
        <w:t xml:space="preserve"> Court</w:t>
      </w:r>
      <w:r w:rsidR="007B47B1" w:rsidRPr="004542B5">
        <w:rPr>
          <w:rStyle w:val="Estilo1Car"/>
          <w:i w:val="0"/>
          <w:noProof w:val="0"/>
          <w:lang w:val="en-US"/>
        </w:rPr>
        <w:t xml:space="preserve"> </w:t>
      </w:r>
      <w:r w:rsidR="00BD5730" w:rsidRPr="004542B5">
        <w:rPr>
          <w:rStyle w:val="Estilo1Car"/>
          <w:i w:val="0"/>
          <w:noProof w:val="0"/>
          <w:lang w:val="en-US"/>
        </w:rPr>
        <w:t xml:space="preserve">also received the affidavits </w:t>
      </w:r>
      <w:r w:rsidR="00CE29E9" w:rsidRPr="004542B5">
        <w:rPr>
          <w:rStyle w:val="Estilo1Car"/>
          <w:i w:val="0"/>
          <w:noProof w:val="0"/>
          <w:lang w:val="en-US"/>
        </w:rPr>
        <w:t>of</w:t>
      </w:r>
      <w:r w:rsidR="00BD5730" w:rsidRPr="004542B5">
        <w:rPr>
          <w:rStyle w:val="Estilo1Car"/>
          <w:i w:val="0"/>
          <w:noProof w:val="0"/>
          <w:lang w:val="en-US"/>
        </w:rPr>
        <w:t xml:space="preserve"> two presumed victims and on</w:t>
      </w:r>
      <w:r w:rsidR="00CE29E9" w:rsidRPr="004542B5">
        <w:rPr>
          <w:rStyle w:val="Estilo1Car"/>
          <w:i w:val="0"/>
          <w:noProof w:val="0"/>
          <w:lang w:val="en-US"/>
        </w:rPr>
        <w:t>e</w:t>
      </w:r>
      <w:r w:rsidR="00BD5730" w:rsidRPr="004542B5">
        <w:rPr>
          <w:rStyle w:val="Estilo1Car"/>
          <w:i w:val="0"/>
          <w:noProof w:val="0"/>
          <w:lang w:val="en-US"/>
        </w:rPr>
        <w:t xml:space="preserve"> expert witness.</w:t>
      </w:r>
      <w:bookmarkEnd w:id="119"/>
      <w:r w:rsidR="0052636A" w:rsidRPr="004542B5">
        <w:rPr>
          <w:rStyle w:val="FootnoteReference"/>
          <w:noProof w:val="0"/>
          <w:lang w:val="en-US"/>
        </w:rPr>
        <w:footnoteReference w:id="34"/>
      </w:r>
      <w:r w:rsidR="0052636A" w:rsidRPr="004542B5">
        <w:rPr>
          <w:rStyle w:val="Estilo1Car"/>
          <w:i w:val="0"/>
          <w:noProof w:val="0"/>
          <w:lang w:val="en-US"/>
        </w:rPr>
        <w:t xml:space="preserve"> </w:t>
      </w:r>
      <w:r w:rsidR="00BD5730" w:rsidRPr="004542B5">
        <w:rPr>
          <w:rStyle w:val="Estilo1Car"/>
          <w:i w:val="0"/>
          <w:noProof w:val="0"/>
          <w:lang w:val="en-US"/>
        </w:rPr>
        <w:t xml:space="preserve">Regarding the evidence provided during the </w:t>
      </w:r>
      <w:r w:rsidR="00FC1C56" w:rsidRPr="004542B5">
        <w:rPr>
          <w:rStyle w:val="Estilo1Car"/>
          <w:i w:val="0"/>
          <w:noProof w:val="0"/>
          <w:lang w:val="en-US"/>
        </w:rPr>
        <w:t>public hearing</w:t>
      </w:r>
      <w:r w:rsidR="0052636A" w:rsidRPr="004542B5">
        <w:rPr>
          <w:rStyle w:val="Estilo1Car"/>
          <w:i w:val="0"/>
          <w:noProof w:val="0"/>
          <w:lang w:val="en-US"/>
        </w:rPr>
        <w:t xml:space="preserve">, </w:t>
      </w:r>
      <w:r w:rsidRPr="004542B5">
        <w:rPr>
          <w:rStyle w:val="Estilo1Car"/>
          <w:i w:val="0"/>
          <w:noProof w:val="0"/>
          <w:lang w:val="en-US"/>
        </w:rPr>
        <w:t>the Court</w:t>
      </w:r>
      <w:r w:rsidR="0052636A" w:rsidRPr="004542B5">
        <w:rPr>
          <w:rStyle w:val="Estilo1Car"/>
          <w:i w:val="0"/>
          <w:noProof w:val="0"/>
          <w:lang w:val="en-US"/>
        </w:rPr>
        <w:t xml:space="preserve"> </w:t>
      </w:r>
      <w:r w:rsidR="00D80AD1" w:rsidRPr="004542B5">
        <w:rPr>
          <w:rStyle w:val="Estilo1Car"/>
          <w:i w:val="0"/>
          <w:noProof w:val="0"/>
          <w:lang w:val="en-US"/>
        </w:rPr>
        <w:t>received the statements of two presumed victims.</w:t>
      </w:r>
      <w:r w:rsidR="0052636A" w:rsidRPr="004542B5">
        <w:rPr>
          <w:rStyle w:val="FootnoteReference"/>
          <w:noProof w:val="0"/>
          <w:lang w:val="en-US"/>
        </w:rPr>
        <w:footnoteReference w:id="35"/>
      </w:r>
      <w:r w:rsidR="00D80AD1" w:rsidRPr="004542B5">
        <w:rPr>
          <w:rStyle w:val="Estilo1Car"/>
          <w:i w:val="0"/>
          <w:noProof w:val="0"/>
          <w:lang w:val="en-US"/>
        </w:rPr>
        <w:t xml:space="preserve"> The purpose of these stat</w:t>
      </w:r>
      <w:r w:rsidR="000C5757" w:rsidRPr="004542B5">
        <w:rPr>
          <w:rStyle w:val="Estilo1Car"/>
          <w:i w:val="0"/>
          <w:noProof w:val="0"/>
          <w:lang w:val="en-US"/>
        </w:rPr>
        <w:t>e</w:t>
      </w:r>
      <w:r w:rsidR="00D80AD1" w:rsidRPr="004542B5">
        <w:rPr>
          <w:rStyle w:val="Estilo1Car"/>
          <w:i w:val="0"/>
          <w:noProof w:val="0"/>
          <w:lang w:val="en-US"/>
        </w:rPr>
        <w:t xml:space="preserve">ments was established in the order of the </w:t>
      </w:r>
      <w:r w:rsidRPr="004542B5">
        <w:rPr>
          <w:noProof w:val="0"/>
          <w:szCs w:val="16"/>
          <w:lang w:val="en-US"/>
        </w:rPr>
        <w:t>President</w:t>
      </w:r>
      <w:r w:rsidR="008A56D7" w:rsidRPr="004542B5">
        <w:rPr>
          <w:noProof w:val="0"/>
          <w:szCs w:val="16"/>
          <w:lang w:val="en-US"/>
        </w:rPr>
        <w:t xml:space="preserve"> of the </w:t>
      </w:r>
      <w:r w:rsidRPr="004542B5">
        <w:rPr>
          <w:noProof w:val="0"/>
          <w:szCs w:val="16"/>
          <w:lang w:val="en-US"/>
        </w:rPr>
        <w:t>Court</w:t>
      </w:r>
      <w:r w:rsidR="00A41A72" w:rsidRPr="004542B5">
        <w:rPr>
          <w:noProof w:val="0"/>
          <w:szCs w:val="16"/>
          <w:lang w:val="en-US"/>
        </w:rPr>
        <w:t xml:space="preserve"> </w:t>
      </w:r>
      <w:r w:rsidR="00D80AD1" w:rsidRPr="004542B5">
        <w:rPr>
          <w:noProof w:val="0"/>
          <w:szCs w:val="16"/>
          <w:lang w:val="en-US"/>
        </w:rPr>
        <w:t>of March 3,</w:t>
      </w:r>
      <w:r w:rsidR="00A41A72" w:rsidRPr="004542B5">
        <w:rPr>
          <w:noProof w:val="0"/>
          <w:szCs w:val="16"/>
          <w:lang w:val="en-US"/>
        </w:rPr>
        <w:t xml:space="preserve"> 2014.</w:t>
      </w:r>
    </w:p>
    <w:p w14:paraId="77D7E7BD" w14:textId="55B6CA4A" w:rsidR="008920D1" w:rsidRPr="004542B5" w:rsidRDefault="00AD34D8" w:rsidP="00E01664">
      <w:pPr>
        <w:pStyle w:val="Heading2"/>
        <w:numPr>
          <w:ilvl w:val="0"/>
          <w:numId w:val="27"/>
        </w:numPr>
        <w:rPr>
          <w:noProof w:val="0"/>
          <w:lang w:val="en-US"/>
        </w:rPr>
      </w:pPr>
      <w:bookmarkStart w:id="120" w:name="_Toc359314426"/>
      <w:bookmarkStart w:id="121" w:name="_Toc361671576"/>
      <w:bookmarkStart w:id="122" w:name="_Toc361671996"/>
      <w:bookmarkStart w:id="123" w:name="_Toc361732793"/>
      <w:bookmarkStart w:id="124" w:name="_Toc361732836"/>
      <w:bookmarkStart w:id="125" w:name="_Toc362456867"/>
      <w:bookmarkStart w:id="126" w:name="_Toc365021396"/>
      <w:bookmarkStart w:id="127" w:name="_Toc45200863"/>
      <w:bookmarkStart w:id="128" w:name="_Toc369076782"/>
      <w:bookmarkStart w:id="129" w:name="_Toc369989374"/>
      <w:bookmarkStart w:id="130" w:name="_Toc369989461"/>
      <w:bookmarkStart w:id="131" w:name="_Toc369989742"/>
      <w:r w:rsidRPr="004542B5">
        <w:rPr>
          <w:noProof w:val="0"/>
          <w:lang w:val="en-US"/>
        </w:rPr>
        <w:lastRenderedPageBreak/>
        <w:t xml:space="preserve">Admission </w:t>
      </w:r>
      <w:r w:rsidR="000C5757" w:rsidRPr="004542B5">
        <w:rPr>
          <w:noProof w:val="0"/>
          <w:lang w:val="en-US"/>
        </w:rPr>
        <w:t>of the evidence</w:t>
      </w:r>
      <w:bookmarkEnd w:id="120"/>
      <w:bookmarkEnd w:id="121"/>
      <w:bookmarkEnd w:id="122"/>
      <w:bookmarkEnd w:id="123"/>
      <w:bookmarkEnd w:id="124"/>
      <w:bookmarkEnd w:id="125"/>
      <w:bookmarkEnd w:id="126"/>
      <w:bookmarkEnd w:id="127"/>
      <w:r w:rsidR="00A41A72" w:rsidRPr="004542B5">
        <w:rPr>
          <w:noProof w:val="0"/>
          <w:lang w:val="en-US"/>
        </w:rPr>
        <w:t xml:space="preserve"> </w:t>
      </w:r>
      <w:bookmarkEnd w:id="128"/>
      <w:bookmarkEnd w:id="129"/>
      <w:bookmarkEnd w:id="130"/>
      <w:bookmarkEnd w:id="131"/>
    </w:p>
    <w:p w14:paraId="30E22B48" w14:textId="6DF47712" w:rsidR="00E51798" w:rsidRPr="004542B5" w:rsidRDefault="00562CBB" w:rsidP="009B7DCC">
      <w:pPr>
        <w:pStyle w:val="Estilo1"/>
        <w:numPr>
          <w:ilvl w:val="0"/>
          <w:numId w:val="2"/>
        </w:numPr>
        <w:tabs>
          <w:tab w:val="left" w:pos="720"/>
          <w:tab w:val="left" w:pos="1134"/>
          <w:tab w:val="num" w:pos="6042"/>
        </w:tabs>
        <w:spacing w:before="120" w:after="0"/>
        <w:ind w:right="0"/>
        <w:rPr>
          <w:rFonts w:eastAsia="Calibri" w:cs="Verdana"/>
          <w:i w:val="0"/>
          <w:noProof w:val="0"/>
          <w:spacing w:val="-2"/>
          <w:szCs w:val="20"/>
          <w:lang w:val="en-US" w:eastAsia="es-MX"/>
        </w:rPr>
      </w:pPr>
      <w:r w:rsidRPr="004542B5">
        <w:rPr>
          <w:i w:val="0"/>
          <w:noProof w:val="0"/>
          <w:lang w:val="en-US"/>
        </w:rPr>
        <w:t>The Court</w:t>
      </w:r>
      <w:r w:rsidR="00A41A72" w:rsidRPr="004542B5">
        <w:rPr>
          <w:i w:val="0"/>
          <w:noProof w:val="0"/>
          <w:lang w:val="en-US"/>
        </w:rPr>
        <w:t xml:space="preserve"> admit</w:t>
      </w:r>
      <w:r w:rsidR="000C5757" w:rsidRPr="004542B5">
        <w:rPr>
          <w:i w:val="0"/>
          <w:noProof w:val="0"/>
          <w:lang w:val="en-US"/>
        </w:rPr>
        <w:t xml:space="preserve">s the documents presented at the proper procedural opportunity by the parties </w:t>
      </w:r>
      <w:r w:rsidR="00CD2B90" w:rsidRPr="004542B5">
        <w:rPr>
          <w:i w:val="0"/>
          <w:noProof w:val="0"/>
          <w:lang w:val="en-US"/>
        </w:rPr>
        <w:t xml:space="preserve">and </w:t>
      </w:r>
      <w:r w:rsidRPr="004542B5">
        <w:rPr>
          <w:i w:val="0"/>
          <w:noProof w:val="0"/>
          <w:lang w:val="en-US"/>
        </w:rPr>
        <w:t>the Commission</w:t>
      </w:r>
      <w:r w:rsidR="00A41A72" w:rsidRPr="004542B5">
        <w:rPr>
          <w:i w:val="0"/>
          <w:noProof w:val="0"/>
          <w:lang w:val="en-US"/>
        </w:rPr>
        <w:t>,</w:t>
      </w:r>
      <w:r w:rsidR="00CD2B90" w:rsidRPr="004542B5">
        <w:rPr>
          <w:i w:val="0"/>
          <w:noProof w:val="0"/>
          <w:lang w:val="en-US"/>
        </w:rPr>
        <w:t xml:space="preserve"> </w:t>
      </w:r>
      <w:r w:rsidR="000C5757" w:rsidRPr="004542B5">
        <w:rPr>
          <w:i w:val="0"/>
          <w:noProof w:val="0"/>
          <w:lang w:val="en-US"/>
        </w:rPr>
        <w:t>the admissibility of which was not contested or challenged.</w:t>
      </w:r>
      <w:r w:rsidR="0052636A" w:rsidRPr="004542B5">
        <w:rPr>
          <w:rStyle w:val="FootnoteReference"/>
          <w:i w:val="0"/>
          <w:noProof w:val="0"/>
          <w:lang w:val="en-US"/>
        </w:rPr>
        <w:footnoteReference w:id="36"/>
      </w:r>
      <w:r w:rsidR="00A41A72" w:rsidRPr="004542B5">
        <w:rPr>
          <w:rFonts w:cs="Verdana"/>
          <w:i w:val="0"/>
          <w:noProof w:val="0"/>
          <w:szCs w:val="20"/>
          <w:lang w:val="en-US"/>
        </w:rPr>
        <w:t xml:space="preserve"> </w:t>
      </w:r>
      <w:r w:rsidR="000C5757" w:rsidRPr="004542B5">
        <w:rPr>
          <w:rFonts w:cs="Verdana"/>
          <w:i w:val="0"/>
          <w:noProof w:val="0"/>
          <w:szCs w:val="20"/>
          <w:lang w:val="en-US"/>
        </w:rPr>
        <w:t xml:space="preserve">In the case of the newspaper articles submitted by the parties </w:t>
      </w:r>
      <w:r w:rsidR="00CD2B90" w:rsidRPr="004542B5">
        <w:rPr>
          <w:rFonts w:cs="Verdana"/>
          <w:i w:val="0"/>
          <w:noProof w:val="0"/>
          <w:szCs w:val="20"/>
          <w:lang w:val="en-US"/>
        </w:rPr>
        <w:t xml:space="preserve">and </w:t>
      </w:r>
      <w:r w:rsidRPr="004542B5">
        <w:rPr>
          <w:rFonts w:cs="Verdana"/>
          <w:i w:val="0"/>
          <w:noProof w:val="0"/>
          <w:szCs w:val="20"/>
          <w:lang w:val="en-US"/>
        </w:rPr>
        <w:t>the Commission</w:t>
      </w:r>
      <w:r w:rsidR="00A41A72" w:rsidRPr="004542B5">
        <w:rPr>
          <w:rFonts w:cs="Verdana"/>
          <w:i w:val="0"/>
          <w:noProof w:val="0"/>
          <w:szCs w:val="20"/>
          <w:lang w:val="en-US"/>
        </w:rPr>
        <w:t xml:space="preserve"> </w:t>
      </w:r>
      <w:r w:rsidR="000C5757" w:rsidRPr="004542B5">
        <w:rPr>
          <w:rFonts w:cs="Verdana"/>
          <w:i w:val="0"/>
          <w:noProof w:val="0"/>
          <w:szCs w:val="20"/>
          <w:lang w:val="en-US"/>
        </w:rPr>
        <w:t>together with their different brief</w:t>
      </w:r>
      <w:r w:rsidR="00CE29E9" w:rsidRPr="004542B5">
        <w:rPr>
          <w:rFonts w:cs="Verdana"/>
          <w:i w:val="0"/>
          <w:noProof w:val="0"/>
          <w:szCs w:val="20"/>
          <w:lang w:val="en-US"/>
        </w:rPr>
        <w:t>s</w:t>
      </w:r>
      <w:r w:rsidR="000C5757" w:rsidRPr="004542B5">
        <w:rPr>
          <w:rFonts w:cs="Verdana"/>
          <w:i w:val="0"/>
          <w:noProof w:val="0"/>
          <w:szCs w:val="20"/>
          <w:lang w:val="en-US"/>
        </w:rPr>
        <w:t>,</w:t>
      </w:r>
      <w:r w:rsidR="0052636A" w:rsidRPr="004542B5">
        <w:rPr>
          <w:rStyle w:val="FootnoteReference"/>
          <w:i w:val="0"/>
          <w:noProof w:val="0"/>
          <w:lang w:val="en-US"/>
        </w:rPr>
        <w:footnoteReference w:id="37"/>
      </w:r>
      <w:r w:rsidR="00A41A72" w:rsidRPr="004542B5">
        <w:rPr>
          <w:rFonts w:cs="Verdana"/>
          <w:i w:val="0"/>
          <w:noProof w:val="0"/>
          <w:szCs w:val="20"/>
          <w:lang w:val="en-US"/>
        </w:rPr>
        <w:t xml:space="preserve"> </w:t>
      </w:r>
      <w:r w:rsidRPr="004542B5">
        <w:rPr>
          <w:rFonts w:cs="Verdana"/>
          <w:i w:val="0"/>
          <w:noProof w:val="0"/>
          <w:szCs w:val="20"/>
          <w:lang w:val="en-US"/>
        </w:rPr>
        <w:t>the Court</w:t>
      </w:r>
      <w:r w:rsidR="00A41A72" w:rsidRPr="004542B5">
        <w:rPr>
          <w:rFonts w:cs="Verdana"/>
          <w:i w:val="0"/>
          <w:noProof w:val="0"/>
          <w:szCs w:val="20"/>
          <w:lang w:val="en-US"/>
        </w:rPr>
        <w:t xml:space="preserve"> ha</w:t>
      </w:r>
      <w:r w:rsidR="000C5757" w:rsidRPr="004542B5">
        <w:rPr>
          <w:rFonts w:cs="Verdana"/>
          <w:i w:val="0"/>
          <w:noProof w:val="0"/>
          <w:szCs w:val="20"/>
          <w:lang w:val="en-US"/>
        </w:rPr>
        <w:t>s considered that these may be taken into account when they refer to well-known public facts or declarations of State officials, or when they corroborate aspects of the case; therefore, it decide</w:t>
      </w:r>
      <w:r w:rsidR="00CE29E9" w:rsidRPr="004542B5">
        <w:rPr>
          <w:rFonts w:cs="Verdana"/>
          <w:i w:val="0"/>
          <w:noProof w:val="0"/>
          <w:szCs w:val="20"/>
          <w:lang w:val="en-US"/>
        </w:rPr>
        <w:t>s</w:t>
      </w:r>
      <w:r w:rsidR="000C5757" w:rsidRPr="004542B5">
        <w:rPr>
          <w:rFonts w:cs="Verdana"/>
          <w:i w:val="0"/>
          <w:noProof w:val="0"/>
          <w:szCs w:val="20"/>
          <w:lang w:val="en-US"/>
        </w:rPr>
        <w:t xml:space="preserve"> to admit those documents that are complete or that, at least, permit verification of the source and</w:t>
      </w:r>
      <w:r w:rsidR="00CE29E9" w:rsidRPr="004542B5">
        <w:rPr>
          <w:rFonts w:cs="Verdana"/>
          <w:i w:val="0"/>
          <w:noProof w:val="0"/>
          <w:szCs w:val="20"/>
          <w:lang w:val="en-US"/>
        </w:rPr>
        <w:t xml:space="preserve"> the</w:t>
      </w:r>
      <w:r w:rsidR="000C5757" w:rsidRPr="004542B5">
        <w:rPr>
          <w:rFonts w:cs="Verdana"/>
          <w:i w:val="0"/>
          <w:noProof w:val="0"/>
          <w:szCs w:val="20"/>
          <w:lang w:val="en-US"/>
        </w:rPr>
        <w:t xml:space="preserve"> date of publication.</w:t>
      </w:r>
      <w:r w:rsidR="0052636A" w:rsidRPr="004542B5">
        <w:rPr>
          <w:rStyle w:val="FootnoteReference"/>
          <w:rFonts w:cs="Verdana"/>
          <w:i w:val="0"/>
          <w:noProof w:val="0"/>
          <w:lang w:val="en-US"/>
        </w:rPr>
        <w:footnoteReference w:id="38"/>
      </w:r>
      <w:r w:rsidR="00A41A72" w:rsidRPr="004542B5">
        <w:rPr>
          <w:rFonts w:cs="Verdana"/>
          <w:i w:val="0"/>
          <w:noProof w:val="0"/>
          <w:szCs w:val="20"/>
          <w:lang w:val="en-US"/>
        </w:rPr>
        <w:t xml:space="preserve"> </w:t>
      </w:r>
    </w:p>
    <w:p w14:paraId="6FA3391A" w14:textId="2673B9FD" w:rsidR="00E51798" w:rsidRPr="004542B5" w:rsidRDefault="000C5757" w:rsidP="009B7DCC">
      <w:pPr>
        <w:pStyle w:val="Estilo1"/>
        <w:numPr>
          <w:ilvl w:val="0"/>
          <w:numId w:val="2"/>
        </w:numPr>
        <w:tabs>
          <w:tab w:val="left" w:pos="720"/>
          <w:tab w:val="left" w:pos="1134"/>
          <w:tab w:val="num" w:pos="6042"/>
        </w:tabs>
        <w:spacing w:before="120" w:after="0"/>
        <w:ind w:right="0"/>
        <w:rPr>
          <w:rFonts w:cs="Verdana"/>
          <w:i w:val="0"/>
          <w:noProof w:val="0"/>
          <w:szCs w:val="20"/>
          <w:lang w:val="en-US"/>
        </w:rPr>
      </w:pPr>
      <w:r w:rsidRPr="004542B5">
        <w:rPr>
          <w:rFonts w:cs="Verdana"/>
          <w:i w:val="0"/>
          <w:noProof w:val="0"/>
          <w:szCs w:val="20"/>
          <w:lang w:val="en-US"/>
        </w:rPr>
        <w:t xml:space="preserve">Furthermore, regarding documents indicated by the parties </w:t>
      </w:r>
      <w:r w:rsidR="00CD2B90" w:rsidRPr="004542B5">
        <w:rPr>
          <w:rFonts w:cs="Verdana"/>
          <w:i w:val="0"/>
          <w:noProof w:val="0"/>
          <w:szCs w:val="20"/>
          <w:lang w:val="en-US"/>
        </w:rPr>
        <w:t xml:space="preserve">and </w:t>
      </w:r>
      <w:r w:rsidR="00562CBB" w:rsidRPr="004542B5">
        <w:rPr>
          <w:rFonts w:cs="Verdana"/>
          <w:i w:val="0"/>
          <w:noProof w:val="0"/>
          <w:szCs w:val="20"/>
          <w:lang w:val="en-US"/>
        </w:rPr>
        <w:t>the Commission</w:t>
      </w:r>
      <w:r w:rsidR="00A41A72" w:rsidRPr="004542B5">
        <w:rPr>
          <w:rFonts w:cs="Verdana"/>
          <w:i w:val="0"/>
          <w:noProof w:val="0"/>
          <w:szCs w:val="20"/>
          <w:lang w:val="en-US"/>
        </w:rPr>
        <w:t xml:space="preserve"> </w:t>
      </w:r>
      <w:r w:rsidRPr="004542B5">
        <w:rPr>
          <w:rFonts w:cs="Verdana"/>
          <w:i w:val="0"/>
          <w:noProof w:val="0"/>
          <w:szCs w:val="20"/>
          <w:lang w:val="en-US"/>
        </w:rPr>
        <w:t>by means of electronic links, the Court considers that neither legal certainty nor procedural balance is affected because they can be located immediately by the Court and the other parties</w:t>
      </w:r>
      <w:r w:rsidR="00CE29E9" w:rsidRPr="004542B5">
        <w:rPr>
          <w:rFonts w:cs="Verdana"/>
          <w:i w:val="0"/>
          <w:noProof w:val="0"/>
          <w:szCs w:val="20"/>
          <w:lang w:val="en-US"/>
        </w:rPr>
        <w:t>.</w:t>
      </w:r>
      <w:r w:rsidR="00A41A72" w:rsidRPr="004542B5">
        <w:rPr>
          <w:rStyle w:val="FootnoteReference"/>
          <w:rFonts w:cs="Verdana"/>
          <w:i w:val="0"/>
          <w:noProof w:val="0"/>
          <w:lang w:val="en-US"/>
        </w:rPr>
        <w:footnoteReference w:id="39"/>
      </w:r>
      <w:r w:rsidRPr="004542B5">
        <w:rPr>
          <w:rFonts w:cs="Verdana"/>
          <w:i w:val="0"/>
          <w:noProof w:val="0"/>
          <w:szCs w:val="20"/>
          <w:lang w:val="en-US"/>
        </w:rPr>
        <w:t xml:space="preserve"> </w:t>
      </w:r>
      <w:r w:rsidR="00CE29E9" w:rsidRPr="004542B5">
        <w:rPr>
          <w:rFonts w:cs="Verdana"/>
          <w:i w:val="0"/>
          <w:noProof w:val="0"/>
          <w:szCs w:val="20"/>
          <w:lang w:val="en-US"/>
        </w:rPr>
        <w:t>A</w:t>
      </w:r>
      <w:r w:rsidRPr="004542B5">
        <w:rPr>
          <w:rFonts w:cs="Verdana"/>
          <w:i w:val="0"/>
          <w:noProof w:val="0"/>
          <w:szCs w:val="20"/>
          <w:lang w:val="en-US"/>
        </w:rPr>
        <w:t>ccordingly it considers admissible those that can be consulted at the date this judgment is delivered. Regarding article</w:t>
      </w:r>
      <w:r w:rsidR="00CE29E9" w:rsidRPr="004542B5">
        <w:rPr>
          <w:rFonts w:cs="Verdana"/>
          <w:i w:val="0"/>
          <w:noProof w:val="0"/>
          <w:szCs w:val="20"/>
          <w:lang w:val="en-US"/>
        </w:rPr>
        <w:t>s</w:t>
      </w:r>
      <w:r w:rsidRPr="004542B5">
        <w:rPr>
          <w:rFonts w:cs="Verdana"/>
          <w:i w:val="0"/>
          <w:noProof w:val="0"/>
          <w:szCs w:val="20"/>
          <w:lang w:val="en-US"/>
        </w:rPr>
        <w:t xml:space="preserve"> or texts about events relating to this case, the Court considers that these are written reports that contain statements or declarations </w:t>
      </w:r>
      <w:r w:rsidR="00CE29E9" w:rsidRPr="004542B5">
        <w:rPr>
          <w:rFonts w:cs="Verdana"/>
          <w:i w:val="0"/>
          <w:noProof w:val="0"/>
          <w:szCs w:val="20"/>
          <w:lang w:val="en-US"/>
        </w:rPr>
        <w:t>by</w:t>
      </w:r>
      <w:r w:rsidRPr="004542B5">
        <w:rPr>
          <w:rFonts w:cs="Verdana"/>
          <w:i w:val="0"/>
          <w:noProof w:val="0"/>
          <w:szCs w:val="20"/>
          <w:lang w:val="en-US"/>
        </w:rPr>
        <w:t xml:space="preserve"> their authors for public dissemination.</w:t>
      </w:r>
      <w:r w:rsidR="0052636A" w:rsidRPr="004542B5">
        <w:rPr>
          <w:rStyle w:val="FootnoteReference"/>
          <w:rFonts w:cs="Verdana"/>
          <w:i w:val="0"/>
          <w:noProof w:val="0"/>
          <w:lang w:val="en-US"/>
        </w:rPr>
        <w:footnoteReference w:id="40"/>
      </w:r>
    </w:p>
    <w:p w14:paraId="63D29361" w14:textId="5BF982E2" w:rsidR="008920D1" w:rsidRPr="004542B5" w:rsidRDefault="00A41A72" w:rsidP="00E01664">
      <w:pPr>
        <w:pStyle w:val="Heading3"/>
        <w:rPr>
          <w:rFonts w:eastAsia="Batang" w:cs="Verdana"/>
          <w:bCs w:val="0"/>
          <w:noProof w:val="0"/>
          <w:lang w:val="en-US"/>
        </w:rPr>
      </w:pPr>
      <w:bookmarkStart w:id="132" w:name="_Toc369076784"/>
      <w:bookmarkStart w:id="133" w:name="_Toc369989375"/>
      <w:bookmarkStart w:id="134" w:name="_Toc369989462"/>
      <w:bookmarkStart w:id="135" w:name="_Toc369989743"/>
      <w:bookmarkStart w:id="136" w:name="_Toc45200864"/>
      <w:r w:rsidRPr="004542B5">
        <w:rPr>
          <w:rFonts w:eastAsia="Batang" w:cs="Verdana"/>
          <w:bCs w:val="0"/>
          <w:noProof w:val="0"/>
          <w:lang w:val="en-US"/>
        </w:rPr>
        <w:t xml:space="preserve">B.1. </w:t>
      </w:r>
      <w:bookmarkEnd w:id="132"/>
      <w:bookmarkEnd w:id="133"/>
      <w:bookmarkEnd w:id="134"/>
      <w:bookmarkEnd w:id="135"/>
      <w:r w:rsidR="000C5757" w:rsidRPr="004542B5">
        <w:rPr>
          <w:rFonts w:eastAsia="Batang" w:cs="Verdana"/>
          <w:bCs w:val="0"/>
          <w:noProof w:val="0"/>
          <w:lang w:val="en-US"/>
        </w:rPr>
        <w:t>Documentary evidence submitted after the pleadings and motions brief and the answering brief</w:t>
      </w:r>
      <w:bookmarkEnd w:id="136"/>
    </w:p>
    <w:p w14:paraId="206CD0AC" w14:textId="7414EED8" w:rsidR="00B1153B" w:rsidRPr="004542B5" w:rsidRDefault="000C5757" w:rsidP="009B7DCC">
      <w:pPr>
        <w:pStyle w:val="Estilo1"/>
        <w:numPr>
          <w:ilvl w:val="0"/>
          <w:numId w:val="2"/>
        </w:numPr>
        <w:tabs>
          <w:tab w:val="left" w:pos="720"/>
          <w:tab w:val="left" w:pos="1134"/>
          <w:tab w:val="num" w:pos="6042"/>
        </w:tabs>
        <w:spacing w:before="120" w:after="0"/>
        <w:ind w:right="0"/>
        <w:rPr>
          <w:rFonts w:eastAsia="Calibri" w:cs="Verdana"/>
          <w:i w:val="0"/>
          <w:noProof w:val="0"/>
          <w:spacing w:val="-2"/>
          <w:szCs w:val="20"/>
          <w:lang w:val="en-US" w:eastAsia="es-CR"/>
        </w:rPr>
      </w:pPr>
      <w:r w:rsidRPr="004542B5">
        <w:rPr>
          <w:rFonts w:cs="Verdana"/>
          <w:i w:val="0"/>
          <w:noProof w:val="0"/>
          <w:szCs w:val="20"/>
          <w:lang w:val="en-US"/>
        </w:rPr>
        <w:t>On July 26 and August 8,</w:t>
      </w:r>
      <w:r w:rsidR="00CD2B90" w:rsidRPr="004542B5">
        <w:rPr>
          <w:rFonts w:cs="Verdana"/>
          <w:i w:val="0"/>
          <w:noProof w:val="0"/>
          <w:szCs w:val="20"/>
          <w:lang w:val="en-US"/>
        </w:rPr>
        <w:t xml:space="preserve"> </w:t>
      </w:r>
      <w:r w:rsidR="00A41A72" w:rsidRPr="004542B5">
        <w:rPr>
          <w:rFonts w:cs="Verdana"/>
          <w:i w:val="0"/>
          <w:noProof w:val="0"/>
          <w:szCs w:val="20"/>
          <w:lang w:val="en-US"/>
        </w:rPr>
        <w:t xml:space="preserve">2013, </w:t>
      </w:r>
      <w:r w:rsidR="00562CBB" w:rsidRPr="004542B5">
        <w:rPr>
          <w:rFonts w:cs="Verdana"/>
          <w:i w:val="0"/>
          <w:noProof w:val="0"/>
          <w:szCs w:val="20"/>
          <w:lang w:val="en-US"/>
        </w:rPr>
        <w:t>the representatives</w:t>
      </w:r>
      <w:r w:rsidR="00A41A72" w:rsidRPr="004542B5">
        <w:rPr>
          <w:rFonts w:cs="Verdana"/>
          <w:i w:val="0"/>
          <w:noProof w:val="0"/>
          <w:szCs w:val="20"/>
          <w:lang w:val="en-US"/>
        </w:rPr>
        <w:t xml:space="preserve"> </w:t>
      </w:r>
      <w:r w:rsidRPr="004542B5">
        <w:rPr>
          <w:rFonts w:cs="Verdana"/>
          <w:i w:val="0"/>
          <w:noProof w:val="0"/>
          <w:szCs w:val="20"/>
          <w:lang w:val="en-US"/>
        </w:rPr>
        <w:t>forwarded to</w:t>
      </w:r>
      <w:r w:rsidR="00A41A72" w:rsidRPr="004542B5">
        <w:rPr>
          <w:rFonts w:cs="Verdana"/>
          <w:i w:val="0"/>
          <w:noProof w:val="0"/>
          <w:szCs w:val="20"/>
          <w:lang w:val="en-US"/>
        </w:rPr>
        <w:t xml:space="preserve"> </w:t>
      </w:r>
      <w:r w:rsidR="00562CBB" w:rsidRPr="004542B5">
        <w:rPr>
          <w:rFonts w:cs="Verdana"/>
          <w:i w:val="0"/>
          <w:noProof w:val="0"/>
          <w:szCs w:val="20"/>
          <w:lang w:val="en-US"/>
        </w:rPr>
        <w:t>the Court</w:t>
      </w:r>
      <w:r w:rsidR="00A41A72" w:rsidRPr="004542B5">
        <w:rPr>
          <w:rFonts w:cs="Verdana"/>
          <w:i w:val="0"/>
          <w:noProof w:val="0"/>
          <w:szCs w:val="20"/>
          <w:lang w:val="en-US"/>
        </w:rPr>
        <w:t xml:space="preserve"> </w:t>
      </w:r>
      <w:r w:rsidRPr="004542B5">
        <w:rPr>
          <w:rFonts w:cs="Verdana"/>
          <w:i w:val="0"/>
          <w:noProof w:val="0"/>
          <w:szCs w:val="20"/>
          <w:lang w:val="en-US"/>
        </w:rPr>
        <w:t>some missing annexes and a complete version of another annex that had been requested by the Secretariat.</w:t>
      </w:r>
      <w:r w:rsidR="00A41A72" w:rsidRPr="004542B5">
        <w:rPr>
          <w:rStyle w:val="FootnoteReference"/>
          <w:rFonts w:cs="Verdana"/>
          <w:i w:val="0"/>
          <w:noProof w:val="0"/>
          <w:lang w:val="en-US"/>
        </w:rPr>
        <w:footnoteReference w:id="41"/>
      </w:r>
      <w:r w:rsidR="00A41A72" w:rsidRPr="004542B5">
        <w:rPr>
          <w:rFonts w:cs="Verdana"/>
          <w:i w:val="0"/>
          <w:noProof w:val="0"/>
          <w:szCs w:val="20"/>
          <w:lang w:val="en-US"/>
        </w:rPr>
        <w:t xml:space="preserve"> </w:t>
      </w:r>
      <w:r w:rsidRPr="004542B5">
        <w:rPr>
          <w:rFonts w:cs="Verdana"/>
          <w:i w:val="0"/>
          <w:noProof w:val="0"/>
          <w:szCs w:val="20"/>
          <w:lang w:val="en-US"/>
        </w:rPr>
        <w:t>Pursuant to</w:t>
      </w:r>
      <w:r w:rsidR="00A41A72" w:rsidRPr="004542B5">
        <w:rPr>
          <w:rFonts w:cs="Verdana"/>
          <w:i w:val="0"/>
          <w:noProof w:val="0"/>
          <w:szCs w:val="20"/>
          <w:lang w:val="en-US"/>
        </w:rPr>
        <w:t xml:space="preserve"> </w:t>
      </w:r>
      <w:r w:rsidR="00562CBB" w:rsidRPr="004542B5">
        <w:rPr>
          <w:rFonts w:cs="Verdana"/>
          <w:i w:val="0"/>
          <w:noProof w:val="0"/>
          <w:szCs w:val="20"/>
          <w:lang w:val="en-US"/>
        </w:rPr>
        <w:t>Article</w:t>
      </w:r>
      <w:r w:rsidR="00A41A72" w:rsidRPr="004542B5">
        <w:rPr>
          <w:rFonts w:cs="Verdana"/>
          <w:i w:val="0"/>
          <w:noProof w:val="0"/>
          <w:szCs w:val="20"/>
          <w:lang w:val="en-US"/>
        </w:rPr>
        <w:t xml:space="preserve"> 57</w:t>
      </w:r>
      <w:r w:rsidRPr="004542B5">
        <w:rPr>
          <w:rFonts w:cs="Verdana"/>
          <w:i w:val="0"/>
          <w:noProof w:val="0"/>
          <w:szCs w:val="20"/>
          <w:lang w:val="en-US"/>
        </w:rPr>
        <w:t>(</w:t>
      </w:r>
      <w:r w:rsidR="00A41A72" w:rsidRPr="004542B5">
        <w:rPr>
          <w:rFonts w:cs="Verdana"/>
          <w:i w:val="0"/>
          <w:noProof w:val="0"/>
          <w:szCs w:val="20"/>
          <w:lang w:val="en-US"/>
        </w:rPr>
        <w:t>2</w:t>
      </w:r>
      <w:r w:rsidRPr="004542B5">
        <w:rPr>
          <w:rFonts w:cs="Verdana"/>
          <w:i w:val="0"/>
          <w:noProof w:val="0"/>
          <w:szCs w:val="20"/>
          <w:lang w:val="en-US"/>
        </w:rPr>
        <w:t>)</w:t>
      </w:r>
      <w:r w:rsidR="008A56D7" w:rsidRPr="004542B5">
        <w:rPr>
          <w:rFonts w:cs="Verdana"/>
          <w:i w:val="0"/>
          <w:noProof w:val="0"/>
          <w:szCs w:val="20"/>
          <w:lang w:val="en-US"/>
        </w:rPr>
        <w:t xml:space="preserve"> of the </w:t>
      </w:r>
      <w:r w:rsidR="00562CBB" w:rsidRPr="004542B5">
        <w:rPr>
          <w:rFonts w:cs="Verdana"/>
          <w:i w:val="0"/>
          <w:noProof w:val="0"/>
          <w:szCs w:val="20"/>
          <w:lang w:val="en-US"/>
        </w:rPr>
        <w:t>Rules of Procedure</w:t>
      </w:r>
      <w:r w:rsidR="00A41A72" w:rsidRPr="004542B5">
        <w:rPr>
          <w:rFonts w:cs="Verdana"/>
          <w:i w:val="0"/>
          <w:noProof w:val="0"/>
          <w:szCs w:val="20"/>
          <w:lang w:val="en-US"/>
        </w:rPr>
        <w:t xml:space="preserve">, </w:t>
      </w:r>
      <w:r w:rsidR="00562CBB" w:rsidRPr="004542B5">
        <w:rPr>
          <w:rFonts w:cs="Verdana"/>
          <w:i w:val="0"/>
          <w:noProof w:val="0"/>
          <w:szCs w:val="20"/>
          <w:lang w:val="en-US"/>
        </w:rPr>
        <w:t>the Court</w:t>
      </w:r>
      <w:r w:rsidR="00A41A72" w:rsidRPr="004542B5">
        <w:rPr>
          <w:rFonts w:cs="Verdana"/>
          <w:i w:val="0"/>
          <w:noProof w:val="0"/>
          <w:szCs w:val="20"/>
          <w:lang w:val="en-US"/>
        </w:rPr>
        <w:t xml:space="preserve"> </w:t>
      </w:r>
      <w:r w:rsidRPr="004542B5">
        <w:rPr>
          <w:rFonts w:cs="Verdana"/>
          <w:i w:val="0"/>
          <w:noProof w:val="0"/>
          <w:szCs w:val="20"/>
          <w:lang w:val="en-US"/>
        </w:rPr>
        <w:t xml:space="preserve">finds it in order to admit the documentation presented by </w:t>
      </w:r>
      <w:r w:rsidR="00562CBB" w:rsidRPr="004542B5">
        <w:rPr>
          <w:i w:val="0"/>
          <w:noProof w:val="0"/>
          <w:szCs w:val="20"/>
          <w:lang w:val="en-US"/>
        </w:rPr>
        <w:t>the representatives</w:t>
      </w:r>
      <w:r w:rsidR="00A41A72" w:rsidRPr="004542B5">
        <w:rPr>
          <w:i w:val="0"/>
          <w:noProof w:val="0"/>
          <w:szCs w:val="20"/>
          <w:lang w:val="en-US"/>
        </w:rPr>
        <w:t xml:space="preserve"> </w:t>
      </w:r>
      <w:r w:rsidRPr="004542B5">
        <w:rPr>
          <w:i w:val="0"/>
          <w:noProof w:val="0"/>
          <w:szCs w:val="20"/>
          <w:lang w:val="en-US"/>
        </w:rPr>
        <w:t xml:space="preserve">as it relates to missing annexes requested by the Court’s Secretariat, which are relevant to decide this case and were not contested by either </w:t>
      </w:r>
      <w:r w:rsidR="00562CBB" w:rsidRPr="004542B5">
        <w:rPr>
          <w:rFonts w:cs="Verdana"/>
          <w:i w:val="0"/>
          <w:noProof w:val="0"/>
          <w:szCs w:val="20"/>
          <w:lang w:val="en-US"/>
        </w:rPr>
        <w:t>the State</w:t>
      </w:r>
      <w:r w:rsidR="001A72F8" w:rsidRPr="004542B5">
        <w:rPr>
          <w:rFonts w:cs="Verdana"/>
          <w:i w:val="0"/>
          <w:noProof w:val="0"/>
          <w:szCs w:val="20"/>
          <w:lang w:val="en-US"/>
        </w:rPr>
        <w:t xml:space="preserve"> o</w:t>
      </w:r>
      <w:r w:rsidRPr="004542B5">
        <w:rPr>
          <w:rFonts w:cs="Verdana"/>
          <w:i w:val="0"/>
          <w:noProof w:val="0"/>
          <w:szCs w:val="20"/>
          <w:lang w:val="en-US"/>
        </w:rPr>
        <w:t>r</w:t>
      </w:r>
      <w:r w:rsidR="001A72F8" w:rsidRPr="004542B5">
        <w:rPr>
          <w:rFonts w:cs="Verdana"/>
          <w:i w:val="0"/>
          <w:noProof w:val="0"/>
          <w:szCs w:val="20"/>
          <w:lang w:val="en-US"/>
        </w:rPr>
        <w:t xml:space="preserve"> </w:t>
      </w:r>
      <w:r w:rsidR="00562CBB" w:rsidRPr="004542B5">
        <w:rPr>
          <w:rFonts w:cs="Verdana"/>
          <w:i w:val="0"/>
          <w:noProof w:val="0"/>
          <w:szCs w:val="20"/>
          <w:lang w:val="en-US"/>
        </w:rPr>
        <w:t>the Commission</w:t>
      </w:r>
      <w:r w:rsidR="00A41A72" w:rsidRPr="004542B5">
        <w:rPr>
          <w:rFonts w:cs="Verdana"/>
          <w:i w:val="0"/>
          <w:noProof w:val="0"/>
          <w:szCs w:val="20"/>
          <w:lang w:val="en-US"/>
        </w:rPr>
        <w:t xml:space="preserve">. </w:t>
      </w:r>
    </w:p>
    <w:p w14:paraId="098E278F" w14:textId="2ABEB3B7" w:rsidR="00487904" w:rsidRPr="004542B5" w:rsidRDefault="000C5757" w:rsidP="009B7DCC">
      <w:pPr>
        <w:pStyle w:val="Estilo1"/>
        <w:numPr>
          <w:ilvl w:val="0"/>
          <w:numId w:val="2"/>
        </w:numPr>
        <w:tabs>
          <w:tab w:val="left" w:pos="720"/>
          <w:tab w:val="left" w:pos="1134"/>
          <w:tab w:val="num" w:pos="6042"/>
        </w:tabs>
        <w:spacing w:before="120" w:after="0"/>
        <w:ind w:right="0"/>
        <w:rPr>
          <w:rFonts w:eastAsia="Calibri" w:cs="Verdana"/>
          <w:i w:val="0"/>
          <w:noProof w:val="0"/>
          <w:spacing w:val="-2"/>
          <w:szCs w:val="20"/>
          <w:lang w:val="en-US" w:eastAsia="es-CR"/>
        </w:rPr>
      </w:pPr>
      <w:r w:rsidRPr="004542B5">
        <w:rPr>
          <w:rFonts w:cs="Verdana"/>
          <w:i w:val="0"/>
          <w:noProof w:val="0"/>
          <w:szCs w:val="20"/>
          <w:lang w:val="en-US"/>
        </w:rPr>
        <w:t>Also</w:t>
      </w:r>
      <w:r w:rsidR="00B1153B" w:rsidRPr="004542B5">
        <w:rPr>
          <w:rFonts w:cs="Verdana"/>
          <w:i w:val="0"/>
          <w:noProof w:val="0"/>
          <w:szCs w:val="20"/>
          <w:lang w:val="en-US"/>
        </w:rPr>
        <w:t xml:space="preserve">, </w:t>
      </w:r>
      <w:r w:rsidRPr="004542B5">
        <w:rPr>
          <w:rFonts w:cs="Verdana"/>
          <w:i w:val="0"/>
          <w:noProof w:val="0"/>
          <w:szCs w:val="20"/>
          <w:lang w:val="en-US"/>
        </w:rPr>
        <w:t>on November 26,</w:t>
      </w:r>
      <w:r w:rsidR="00A41A72" w:rsidRPr="004542B5">
        <w:rPr>
          <w:rFonts w:cs="Verdana"/>
          <w:i w:val="0"/>
          <w:noProof w:val="0"/>
          <w:szCs w:val="20"/>
          <w:lang w:val="en-US"/>
        </w:rPr>
        <w:t xml:space="preserve"> 2013, </w:t>
      </w:r>
      <w:r w:rsidR="00562CBB" w:rsidRPr="004542B5">
        <w:rPr>
          <w:rFonts w:cs="Verdana"/>
          <w:i w:val="0"/>
          <w:noProof w:val="0"/>
          <w:szCs w:val="20"/>
          <w:lang w:val="en-US"/>
        </w:rPr>
        <w:t>the State</w:t>
      </w:r>
      <w:r w:rsidR="00A41A72" w:rsidRPr="004542B5">
        <w:rPr>
          <w:rFonts w:cs="Verdana"/>
          <w:i w:val="0"/>
          <w:noProof w:val="0"/>
          <w:szCs w:val="20"/>
          <w:lang w:val="en-US"/>
        </w:rPr>
        <w:t xml:space="preserve"> </w:t>
      </w:r>
      <w:r w:rsidRPr="004542B5">
        <w:rPr>
          <w:rFonts w:cs="Verdana"/>
          <w:i w:val="0"/>
          <w:noProof w:val="0"/>
          <w:szCs w:val="20"/>
          <w:lang w:val="en-US"/>
        </w:rPr>
        <w:t xml:space="preserve">forwarded documentation that was not supervening and that had not been requested by the Court, without justifying that this was due to force majeure or grave impediment </w:t>
      </w:r>
      <w:r w:rsidR="00CE29E9" w:rsidRPr="004542B5">
        <w:rPr>
          <w:rFonts w:cs="Verdana"/>
          <w:i w:val="0"/>
          <w:noProof w:val="0"/>
          <w:szCs w:val="20"/>
          <w:lang w:val="en-US"/>
        </w:rPr>
        <w:t>which</w:t>
      </w:r>
      <w:r w:rsidRPr="004542B5">
        <w:rPr>
          <w:rFonts w:cs="Verdana"/>
          <w:i w:val="0"/>
          <w:noProof w:val="0"/>
          <w:szCs w:val="20"/>
          <w:lang w:val="en-US"/>
        </w:rPr>
        <w:t xml:space="preserve"> had prevented the State from presenting it with the answering brief; therefore, it was not admitted.</w:t>
      </w:r>
      <w:bookmarkStart w:id="137" w:name="_Toc369076786"/>
      <w:bookmarkStart w:id="138" w:name="_Toc369989377"/>
      <w:bookmarkStart w:id="139" w:name="_Toc369989464"/>
      <w:bookmarkStart w:id="140" w:name="_Toc369989745"/>
      <w:bookmarkStart w:id="141" w:name="_Toc375154228"/>
    </w:p>
    <w:p w14:paraId="2D9060F5" w14:textId="5AF6F6C3" w:rsidR="005D6B83" w:rsidRPr="004542B5" w:rsidRDefault="00A41A72" w:rsidP="00E01664">
      <w:pPr>
        <w:pStyle w:val="Heading3"/>
        <w:rPr>
          <w:rFonts w:eastAsia="Batang" w:cs="Times"/>
          <w:bCs w:val="0"/>
          <w:noProof w:val="0"/>
          <w:szCs w:val="24"/>
          <w:lang w:val="en-US"/>
        </w:rPr>
      </w:pPr>
      <w:bookmarkStart w:id="142" w:name="_Toc45200865"/>
      <w:r w:rsidRPr="004542B5">
        <w:rPr>
          <w:rFonts w:eastAsia="Batang" w:cs="Times"/>
          <w:bCs w:val="0"/>
          <w:noProof w:val="0"/>
          <w:szCs w:val="24"/>
          <w:lang w:val="en-US"/>
        </w:rPr>
        <w:lastRenderedPageBreak/>
        <w:t xml:space="preserve">B.2. </w:t>
      </w:r>
      <w:r w:rsidR="009B7DCC" w:rsidRPr="004542B5">
        <w:rPr>
          <w:rFonts w:eastAsia="Batang" w:cs="Times"/>
          <w:bCs w:val="0"/>
          <w:noProof w:val="0"/>
          <w:szCs w:val="24"/>
          <w:lang w:val="en-US"/>
        </w:rPr>
        <w:t>Documentation requested during the hearing and subsequently</w:t>
      </w:r>
      <w:bookmarkEnd w:id="137"/>
      <w:bookmarkEnd w:id="138"/>
      <w:bookmarkEnd w:id="139"/>
      <w:bookmarkEnd w:id="140"/>
      <w:bookmarkEnd w:id="141"/>
      <w:bookmarkEnd w:id="142"/>
    </w:p>
    <w:p w14:paraId="16E45FD6" w14:textId="0755B445" w:rsidR="00951E11" w:rsidRPr="004542B5" w:rsidRDefault="00562CBB" w:rsidP="009B7DCC">
      <w:pPr>
        <w:pStyle w:val="Estilo1"/>
        <w:numPr>
          <w:ilvl w:val="0"/>
          <w:numId w:val="2"/>
        </w:numPr>
        <w:tabs>
          <w:tab w:val="left" w:pos="720"/>
          <w:tab w:val="left" w:pos="1134"/>
          <w:tab w:val="num" w:pos="6042"/>
        </w:tabs>
        <w:spacing w:before="120"/>
        <w:ind w:right="0"/>
        <w:rPr>
          <w:rFonts w:cs="Verdana"/>
          <w:i w:val="0"/>
          <w:noProof w:val="0"/>
          <w:szCs w:val="20"/>
          <w:lang w:val="en-US"/>
        </w:rPr>
      </w:pPr>
      <w:r w:rsidRPr="004542B5">
        <w:rPr>
          <w:rFonts w:eastAsia="Calibri" w:cs="Verdana"/>
          <w:i w:val="0"/>
          <w:noProof w:val="0"/>
          <w:spacing w:val="-2"/>
          <w:szCs w:val="20"/>
          <w:lang w:val="en-US" w:eastAsia="es-CR"/>
        </w:rPr>
        <w:t>The Court</w:t>
      </w:r>
      <w:r w:rsidR="009B7DCC" w:rsidRPr="004542B5">
        <w:rPr>
          <w:rFonts w:eastAsia="Calibri" w:cs="Verdana"/>
          <w:i w:val="0"/>
          <w:noProof w:val="0"/>
          <w:spacing w:val="-2"/>
          <w:szCs w:val="20"/>
          <w:lang w:val="en-US" w:eastAsia="es-CR"/>
        </w:rPr>
        <w:t xml:space="preserve"> notes</w:t>
      </w:r>
      <w:r w:rsidR="00A41A72" w:rsidRPr="004542B5">
        <w:rPr>
          <w:rFonts w:eastAsia="Calibri" w:cs="Verdana"/>
          <w:i w:val="0"/>
          <w:noProof w:val="0"/>
          <w:spacing w:val="-2"/>
          <w:szCs w:val="20"/>
          <w:lang w:val="en-US" w:eastAsia="es-CR"/>
        </w:rPr>
        <w:t xml:space="preserve"> </w:t>
      </w:r>
      <w:r w:rsidR="009B7DCC" w:rsidRPr="004542B5">
        <w:rPr>
          <w:rFonts w:eastAsia="Calibri" w:cs="Verdana"/>
          <w:i w:val="0"/>
          <w:noProof w:val="0"/>
          <w:spacing w:val="-2"/>
          <w:szCs w:val="20"/>
          <w:lang w:val="en-US" w:eastAsia="es-CR"/>
        </w:rPr>
        <w:t xml:space="preserve">that </w:t>
      </w:r>
      <w:r w:rsidRPr="004542B5">
        <w:rPr>
          <w:rFonts w:eastAsia="Calibri" w:cs="Verdana"/>
          <w:i w:val="0"/>
          <w:noProof w:val="0"/>
          <w:spacing w:val="-2"/>
          <w:szCs w:val="20"/>
          <w:lang w:val="en-US" w:eastAsia="es-CR"/>
        </w:rPr>
        <w:t>the representatives</w:t>
      </w:r>
      <w:r w:rsidR="00CD2B90" w:rsidRPr="004542B5">
        <w:rPr>
          <w:rFonts w:eastAsia="Calibri" w:cs="Verdana"/>
          <w:i w:val="0"/>
          <w:noProof w:val="0"/>
          <w:spacing w:val="-2"/>
          <w:szCs w:val="20"/>
          <w:lang w:val="en-US" w:eastAsia="es-CR"/>
        </w:rPr>
        <w:t xml:space="preserve"> and </w:t>
      </w:r>
      <w:r w:rsidRPr="004542B5">
        <w:rPr>
          <w:rFonts w:eastAsia="Calibri" w:cs="Verdana"/>
          <w:i w:val="0"/>
          <w:noProof w:val="0"/>
          <w:spacing w:val="-2"/>
          <w:szCs w:val="20"/>
          <w:lang w:val="en-US" w:eastAsia="es-MX"/>
        </w:rPr>
        <w:t>the State</w:t>
      </w:r>
      <w:r w:rsidR="00A41A72" w:rsidRPr="004542B5">
        <w:rPr>
          <w:rFonts w:eastAsia="Calibri" w:cs="Verdana"/>
          <w:i w:val="0"/>
          <w:noProof w:val="0"/>
          <w:spacing w:val="-2"/>
          <w:szCs w:val="20"/>
          <w:lang w:val="en-US" w:eastAsia="es-MX"/>
        </w:rPr>
        <w:t xml:space="preserve"> </w:t>
      </w:r>
      <w:r w:rsidR="009B7DCC" w:rsidRPr="004542B5">
        <w:rPr>
          <w:rFonts w:eastAsia="Calibri" w:cs="Verdana"/>
          <w:i w:val="0"/>
          <w:noProof w:val="0"/>
          <w:spacing w:val="-2"/>
          <w:szCs w:val="20"/>
          <w:lang w:val="en-US" w:eastAsia="es-MX"/>
        </w:rPr>
        <w:t>forwarded several documents with their final written arguments</w:t>
      </w:r>
      <w:r w:rsidR="00A41A72" w:rsidRPr="004542B5">
        <w:rPr>
          <w:rFonts w:eastAsia="Calibri" w:cs="Verdana"/>
          <w:i w:val="0"/>
          <w:noProof w:val="0"/>
          <w:spacing w:val="-2"/>
          <w:szCs w:val="20"/>
          <w:lang w:val="en-US" w:eastAsia="es-MX"/>
        </w:rPr>
        <w:t xml:space="preserve">. </w:t>
      </w:r>
      <w:r w:rsidR="009B7DCC" w:rsidRPr="004542B5">
        <w:rPr>
          <w:rFonts w:eastAsia="Calibri" w:cs="Verdana"/>
          <w:i w:val="0"/>
          <w:noProof w:val="0"/>
          <w:spacing w:val="-2"/>
          <w:szCs w:val="20"/>
          <w:lang w:val="en-US" w:eastAsia="es-MX"/>
        </w:rPr>
        <w:t xml:space="preserve">The Court requested the other party to submit observations in this regard and the State contested </w:t>
      </w:r>
      <w:r w:rsidR="00CE29E9" w:rsidRPr="004542B5">
        <w:rPr>
          <w:rFonts w:eastAsia="Calibri" w:cs="Verdana"/>
          <w:i w:val="0"/>
          <w:noProof w:val="0"/>
          <w:spacing w:val="-2"/>
          <w:szCs w:val="20"/>
          <w:lang w:val="en-US" w:eastAsia="es-MX"/>
        </w:rPr>
        <w:t>some</w:t>
      </w:r>
      <w:r w:rsidR="009B7DCC" w:rsidRPr="004542B5">
        <w:rPr>
          <w:rFonts w:eastAsia="Calibri" w:cs="Verdana"/>
          <w:i w:val="0"/>
          <w:noProof w:val="0"/>
          <w:spacing w:val="-2"/>
          <w:szCs w:val="20"/>
          <w:lang w:val="en-US" w:eastAsia="es-MX"/>
        </w:rPr>
        <w:t xml:space="preserve"> evidence presented by </w:t>
      </w:r>
      <w:r w:rsidRPr="004542B5">
        <w:rPr>
          <w:rFonts w:eastAsia="Calibri" w:cs="Verdana"/>
          <w:i w:val="0"/>
          <w:noProof w:val="0"/>
          <w:spacing w:val="-2"/>
          <w:lang w:val="en-US" w:eastAsia="es-MX"/>
        </w:rPr>
        <w:t>the representatives</w:t>
      </w:r>
      <w:r w:rsidR="00CD2B90" w:rsidRPr="004542B5">
        <w:rPr>
          <w:rFonts w:eastAsia="Calibri" w:cs="Verdana"/>
          <w:i w:val="0"/>
          <w:noProof w:val="0"/>
          <w:spacing w:val="-2"/>
          <w:lang w:val="en-US" w:eastAsia="es-MX"/>
        </w:rPr>
        <w:t xml:space="preserve"> and</w:t>
      </w:r>
      <w:r w:rsidR="009B7DCC" w:rsidRPr="004542B5">
        <w:rPr>
          <w:rFonts w:eastAsia="Calibri" w:cs="Verdana"/>
          <w:i w:val="0"/>
          <w:noProof w:val="0"/>
          <w:spacing w:val="-2"/>
          <w:lang w:val="en-US" w:eastAsia="es-MX"/>
        </w:rPr>
        <w:t xml:space="preserve"> they contested two </w:t>
      </w:r>
      <w:r w:rsidR="0093764D" w:rsidRPr="004542B5">
        <w:rPr>
          <w:i w:val="0"/>
          <w:noProof w:val="0"/>
          <w:lang w:val="en-US"/>
        </w:rPr>
        <w:t>annex</w:t>
      </w:r>
      <w:r w:rsidR="009B7DCC" w:rsidRPr="004542B5">
        <w:rPr>
          <w:i w:val="0"/>
          <w:noProof w:val="0"/>
          <w:lang w:val="en-US"/>
        </w:rPr>
        <w:t>e</w:t>
      </w:r>
      <w:r w:rsidR="007B47B1" w:rsidRPr="004542B5">
        <w:rPr>
          <w:i w:val="0"/>
          <w:noProof w:val="0"/>
          <w:lang w:val="en-US"/>
        </w:rPr>
        <w:t xml:space="preserve">s </w:t>
      </w:r>
      <w:r w:rsidR="009B7DCC" w:rsidRPr="004542B5">
        <w:rPr>
          <w:i w:val="0"/>
          <w:noProof w:val="0"/>
          <w:lang w:val="en-US"/>
        </w:rPr>
        <w:t>forwarded by</w:t>
      </w:r>
      <w:r w:rsidR="007B47B1" w:rsidRPr="004542B5">
        <w:rPr>
          <w:i w:val="0"/>
          <w:noProof w:val="0"/>
          <w:lang w:val="en-US"/>
        </w:rPr>
        <w:t xml:space="preserve"> </w:t>
      </w:r>
      <w:r w:rsidRPr="004542B5">
        <w:rPr>
          <w:i w:val="0"/>
          <w:noProof w:val="0"/>
          <w:lang w:val="en-US"/>
        </w:rPr>
        <w:t>the State</w:t>
      </w:r>
      <w:r w:rsidR="009B7DCC" w:rsidRPr="004542B5">
        <w:rPr>
          <w:i w:val="0"/>
          <w:noProof w:val="0"/>
          <w:lang w:val="en-US"/>
        </w:rPr>
        <w:t>.</w:t>
      </w:r>
      <w:r w:rsidR="007B47B1" w:rsidRPr="004542B5">
        <w:rPr>
          <w:rStyle w:val="FootnoteReference"/>
          <w:i w:val="0"/>
          <w:noProof w:val="0"/>
          <w:lang w:val="en-US"/>
        </w:rPr>
        <w:footnoteReference w:id="42"/>
      </w:r>
      <w:r w:rsidR="009B7DCC" w:rsidRPr="004542B5">
        <w:rPr>
          <w:i w:val="0"/>
          <w:noProof w:val="0"/>
          <w:lang w:val="en-US"/>
        </w:rPr>
        <w:t xml:space="preserve"> However,</w:t>
      </w:r>
      <w:r w:rsidR="007B47B1" w:rsidRPr="004542B5">
        <w:rPr>
          <w:i w:val="0"/>
          <w:noProof w:val="0"/>
          <w:lang w:val="en-US"/>
        </w:rPr>
        <w:t xml:space="preserve"> </w:t>
      </w:r>
      <w:r w:rsidRPr="004542B5">
        <w:rPr>
          <w:i w:val="0"/>
          <w:noProof w:val="0"/>
          <w:lang w:val="en-US"/>
        </w:rPr>
        <w:t>the State</w:t>
      </w:r>
      <w:r w:rsidR="00CD2B90" w:rsidRPr="004542B5">
        <w:rPr>
          <w:i w:val="0"/>
          <w:noProof w:val="0"/>
          <w:lang w:val="en-US"/>
        </w:rPr>
        <w:t xml:space="preserve"> and </w:t>
      </w:r>
      <w:r w:rsidRPr="004542B5">
        <w:rPr>
          <w:i w:val="0"/>
          <w:noProof w:val="0"/>
          <w:lang w:val="en-US"/>
        </w:rPr>
        <w:t>the representatives</w:t>
      </w:r>
      <w:r w:rsidR="007B47B1" w:rsidRPr="004542B5">
        <w:rPr>
          <w:i w:val="0"/>
          <w:noProof w:val="0"/>
          <w:lang w:val="en-US"/>
        </w:rPr>
        <w:t xml:space="preserve"> </w:t>
      </w:r>
      <w:r w:rsidR="009B7DCC" w:rsidRPr="004542B5">
        <w:rPr>
          <w:i w:val="0"/>
          <w:noProof w:val="0"/>
          <w:lang w:val="en-US"/>
        </w:rPr>
        <w:t>only made observations on the assessment of the evidence and not on its admission. Bearing in mind that, apart from those mentioned below, these documents had been requested during the</w:t>
      </w:r>
      <w:r w:rsidR="007B47B1" w:rsidRPr="004542B5">
        <w:rPr>
          <w:i w:val="0"/>
          <w:noProof w:val="0"/>
          <w:lang w:val="en-US"/>
        </w:rPr>
        <w:t xml:space="preserve"> </w:t>
      </w:r>
      <w:r w:rsidR="00FC1C56" w:rsidRPr="004542B5">
        <w:rPr>
          <w:i w:val="0"/>
          <w:noProof w:val="0"/>
          <w:szCs w:val="20"/>
          <w:lang w:val="en-US"/>
        </w:rPr>
        <w:t>public hearing</w:t>
      </w:r>
      <w:r w:rsidR="007B47B1" w:rsidRPr="004542B5">
        <w:rPr>
          <w:i w:val="0"/>
          <w:noProof w:val="0"/>
          <w:szCs w:val="20"/>
          <w:lang w:val="en-US"/>
        </w:rPr>
        <w:t xml:space="preserve"> </w:t>
      </w:r>
      <w:r w:rsidR="009B7DCC" w:rsidRPr="004542B5">
        <w:rPr>
          <w:i w:val="0"/>
          <w:noProof w:val="0"/>
          <w:szCs w:val="20"/>
          <w:lang w:val="en-US"/>
        </w:rPr>
        <w:t>held in this case</w:t>
      </w:r>
      <w:r w:rsidR="007B47B1" w:rsidRPr="004542B5">
        <w:rPr>
          <w:i w:val="0"/>
          <w:noProof w:val="0"/>
          <w:szCs w:val="20"/>
          <w:lang w:val="en-US"/>
        </w:rPr>
        <w:t xml:space="preserve">, </w:t>
      </w:r>
      <w:r w:rsidRPr="004542B5">
        <w:rPr>
          <w:i w:val="0"/>
          <w:noProof w:val="0"/>
          <w:szCs w:val="20"/>
          <w:lang w:val="en-US"/>
        </w:rPr>
        <w:t>the Court</w:t>
      </w:r>
      <w:r w:rsidR="007B47B1" w:rsidRPr="004542B5">
        <w:rPr>
          <w:rFonts w:cs="Verdana"/>
          <w:i w:val="0"/>
          <w:noProof w:val="0"/>
          <w:szCs w:val="20"/>
          <w:lang w:val="en-US"/>
        </w:rPr>
        <w:t xml:space="preserve"> </w:t>
      </w:r>
      <w:r w:rsidR="009B7DCC" w:rsidRPr="004542B5">
        <w:rPr>
          <w:rFonts w:cs="Verdana"/>
          <w:i w:val="0"/>
          <w:noProof w:val="0"/>
          <w:szCs w:val="20"/>
          <w:lang w:val="en-US"/>
        </w:rPr>
        <w:t>incorporates them into the case file.</w:t>
      </w:r>
      <w:r w:rsidR="007B47B1" w:rsidRPr="004542B5">
        <w:rPr>
          <w:i w:val="0"/>
          <w:noProof w:val="0"/>
          <w:lang w:val="en-US"/>
        </w:rPr>
        <w:t xml:space="preserve"> </w:t>
      </w:r>
    </w:p>
    <w:p w14:paraId="523D5D7F" w14:textId="118910FA" w:rsidR="00427297" w:rsidRPr="004542B5" w:rsidRDefault="009B7DCC" w:rsidP="009B7DCC">
      <w:pPr>
        <w:pStyle w:val="Estilo1"/>
        <w:numPr>
          <w:ilvl w:val="0"/>
          <w:numId w:val="2"/>
        </w:numPr>
        <w:tabs>
          <w:tab w:val="left" w:pos="720"/>
          <w:tab w:val="left" w:pos="1134"/>
          <w:tab w:val="num" w:pos="6042"/>
        </w:tabs>
        <w:spacing w:before="120"/>
        <w:ind w:right="0"/>
        <w:rPr>
          <w:rFonts w:cs="Verdana"/>
          <w:i w:val="0"/>
          <w:noProof w:val="0"/>
          <w:szCs w:val="20"/>
          <w:lang w:val="en-US"/>
        </w:rPr>
      </w:pPr>
      <w:r w:rsidRPr="004542B5">
        <w:rPr>
          <w:i w:val="0"/>
          <w:noProof w:val="0"/>
          <w:lang w:val="en-US"/>
        </w:rPr>
        <w:t>Regarding the copy of the</w:t>
      </w:r>
      <w:r w:rsidR="007B47B1" w:rsidRPr="004542B5">
        <w:rPr>
          <w:i w:val="0"/>
          <w:noProof w:val="0"/>
          <w:lang w:val="en-US"/>
        </w:rPr>
        <w:t xml:space="preserve"> “</w:t>
      </w:r>
      <w:r w:rsidRPr="004542B5">
        <w:rPr>
          <w:i w:val="0"/>
          <w:noProof w:val="0"/>
          <w:lang w:val="en-US"/>
        </w:rPr>
        <w:t>Deed</w:t>
      </w:r>
      <w:r w:rsidR="007B47B1" w:rsidRPr="004542B5">
        <w:rPr>
          <w:i w:val="0"/>
          <w:noProof w:val="0"/>
          <w:lang w:val="en-US"/>
        </w:rPr>
        <w:t xml:space="preserve"> ANATI-8-7-1254”</w:t>
      </w:r>
      <w:r w:rsidR="00CD2B90" w:rsidRPr="004542B5">
        <w:rPr>
          <w:i w:val="0"/>
          <w:noProof w:val="0"/>
          <w:lang w:val="en-US"/>
        </w:rPr>
        <w:t xml:space="preserve"> and </w:t>
      </w:r>
      <w:r w:rsidR="007B47B1" w:rsidRPr="004542B5">
        <w:rPr>
          <w:i w:val="0"/>
          <w:noProof w:val="0"/>
          <w:lang w:val="en-US"/>
        </w:rPr>
        <w:t>“Resolu</w:t>
      </w:r>
      <w:r w:rsidRPr="004542B5">
        <w:rPr>
          <w:i w:val="0"/>
          <w:noProof w:val="0"/>
          <w:lang w:val="en-US"/>
        </w:rPr>
        <w:t>tion</w:t>
      </w:r>
      <w:r w:rsidR="007B47B1" w:rsidRPr="004542B5">
        <w:rPr>
          <w:i w:val="0"/>
          <w:noProof w:val="0"/>
          <w:lang w:val="en-US"/>
        </w:rPr>
        <w:t xml:space="preserve"> </w:t>
      </w:r>
      <w:r w:rsidR="00CD2B90" w:rsidRPr="004542B5">
        <w:rPr>
          <w:i w:val="0"/>
          <w:noProof w:val="0"/>
          <w:szCs w:val="20"/>
          <w:lang w:val="en-US"/>
        </w:rPr>
        <w:t>No.</w:t>
      </w:r>
      <w:r w:rsidR="00B7701D" w:rsidRPr="004542B5">
        <w:rPr>
          <w:noProof w:val="0"/>
          <w:szCs w:val="20"/>
          <w:lang w:val="en-US"/>
        </w:rPr>
        <w:t xml:space="preserve"> </w:t>
      </w:r>
      <w:r w:rsidR="007B47B1" w:rsidRPr="004542B5">
        <w:rPr>
          <w:i w:val="0"/>
          <w:noProof w:val="0"/>
          <w:lang w:val="en-US"/>
        </w:rPr>
        <w:t>ANATI 8-7-1254</w:t>
      </w:r>
      <w:r w:rsidRPr="004542B5">
        <w:rPr>
          <w:i w:val="0"/>
          <w:noProof w:val="0"/>
          <w:lang w:val="en-US"/>
        </w:rPr>
        <w:t>,</w:t>
      </w:r>
      <w:r w:rsidR="007B47B1" w:rsidRPr="004542B5">
        <w:rPr>
          <w:i w:val="0"/>
          <w:noProof w:val="0"/>
          <w:lang w:val="en-US"/>
        </w:rPr>
        <w:t>”</w:t>
      </w:r>
      <w:r w:rsidRPr="004542B5">
        <w:rPr>
          <w:i w:val="0"/>
          <w:noProof w:val="0"/>
          <w:lang w:val="en-US"/>
        </w:rPr>
        <w:t xml:space="preserve"> both dated August 13, </w:t>
      </w:r>
      <w:r w:rsidR="007B47B1" w:rsidRPr="004542B5">
        <w:rPr>
          <w:i w:val="0"/>
          <w:noProof w:val="0"/>
          <w:lang w:val="en-US"/>
        </w:rPr>
        <w:t xml:space="preserve"> 2013, </w:t>
      </w:r>
      <w:r w:rsidRPr="004542B5">
        <w:rPr>
          <w:i w:val="0"/>
          <w:noProof w:val="0"/>
          <w:lang w:val="en-US"/>
        </w:rPr>
        <w:t>and the “Undertaking</w:t>
      </w:r>
      <w:r w:rsidR="007B47B1" w:rsidRPr="004542B5">
        <w:rPr>
          <w:i w:val="0"/>
          <w:noProof w:val="0"/>
          <w:lang w:val="en-US"/>
        </w:rPr>
        <w:t xml:space="preserve">” </w:t>
      </w:r>
      <w:r w:rsidRPr="004542B5">
        <w:rPr>
          <w:i w:val="0"/>
          <w:noProof w:val="0"/>
          <w:lang w:val="en-US"/>
        </w:rPr>
        <w:t>of February 23,</w:t>
      </w:r>
      <w:r w:rsidR="007B47B1" w:rsidRPr="004542B5">
        <w:rPr>
          <w:i w:val="0"/>
          <w:noProof w:val="0"/>
          <w:lang w:val="en-US"/>
        </w:rPr>
        <w:t xml:space="preserve"> 2014</w:t>
      </w:r>
      <w:r w:rsidRPr="004542B5">
        <w:rPr>
          <w:i w:val="0"/>
          <w:noProof w:val="0"/>
          <w:lang w:val="en-US"/>
        </w:rPr>
        <w:t>,</w:t>
      </w:r>
      <w:r w:rsidR="007B47B1" w:rsidRPr="004542B5">
        <w:rPr>
          <w:i w:val="0"/>
          <w:noProof w:val="0"/>
          <w:lang w:val="en-US"/>
        </w:rPr>
        <w:t xml:space="preserve"> </w:t>
      </w:r>
      <w:r w:rsidRPr="004542B5">
        <w:rPr>
          <w:i w:val="0"/>
          <w:noProof w:val="0"/>
          <w:lang w:val="en-US"/>
        </w:rPr>
        <w:t>submitted by</w:t>
      </w:r>
      <w:r w:rsidR="007B47B1" w:rsidRPr="004542B5">
        <w:rPr>
          <w:i w:val="0"/>
          <w:noProof w:val="0"/>
          <w:lang w:val="en-US"/>
        </w:rPr>
        <w:t xml:space="preserve"> </w:t>
      </w:r>
      <w:r w:rsidR="00562CBB" w:rsidRPr="004542B5">
        <w:rPr>
          <w:i w:val="0"/>
          <w:noProof w:val="0"/>
          <w:lang w:val="en-US"/>
        </w:rPr>
        <w:t>the representatives</w:t>
      </w:r>
      <w:r w:rsidR="007B47B1" w:rsidRPr="004542B5">
        <w:rPr>
          <w:i w:val="0"/>
          <w:noProof w:val="0"/>
          <w:lang w:val="en-US"/>
        </w:rPr>
        <w:t xml:space="preserve"> </w:t>
      </w:r>
      <w:r w:rsidRPr="004542B5">
        <w:rPr>
          <w:i w:val="0"/>
          <w:noProof w:val="0"/>
          <w:lang w:val="en-US"/>
        </w:rPr>
        <w:t>as</w:t>
      </w:r>
      <w:r w:rsidR="007B47B1" w:rsidRPr="004542B5">
        <w:rPr>
          <w:i w:val="0"/>
          <w:noProof w:val="0"/>
          <w:lang w:val="en-US"/>
        </w:rPr>
        <w:t xml:space="preserve"> </w:t>
      </w:r>
      <w:r w:rsidRPr="004542B5">
        <w:rPr>
          <w:i w:val="0"/>
          <w:noProof w:val="0"/>
          <w:lang w:val="en-US"/>
        </w:rPr>
        <w:t>annexes</w:t>
      </w:r>
      <w:r w:rsidR="007B47B1" w:rsidRPr="004542B5">
        <w:rPr>
          <w:i w:val="0"/>
          <w:noProof w:val="0"/>
          <w:lang w:val="en-US"/>
        </w:rPr>
        <w:t xml:space="preserve"> </w:t>
      </w:r>
      <w:r w:rsidRPr="004542B5">
        <w:rPr>
          <w:i w:val="0"/>
          <w:noProof w:val="0"/>
          <w:lang w:val="en-US"/>
        </w:rPr>
        <w:t xml:space="preserve">to their final arguments; a ruling of </w:t>
      </w:r>
      <w:r w:rsidR="003C263F" w:rsidRPr="004542B5">
        <w:rPr>
          <w:i w:val="0"/>
          <w:noProof w:val="0"/>
          <w:lang w:val="en-US"/>
        </w:rPr>
        <w:t>the Third</w:t>
      </w:r>
      <w:r w:rsidRPr="004542B5">
        <w:rPr>
          <w:i w:val="0"/>
          <w:noProof w:val="0"/>
          <w:lang w:val="en-US"/>
        </w:rPr>
        <w:t xml:space="preserve"> Contentious Administrative and Labor</w:t>
      </w:r>
      <w:r w:rsidR="003C263F" w:rsidRPr="004542B5">
        <w:rPr>
          <w:i w:val="0"/>
          <w:noProof w:val="0"/>
          <w:lang w:val="en-US"/>
        </w:rPr>
        <w:t xml:space="preserve"> Chamber</w:t>
      </w:r>
      <w:r w:rsidR="007B47B1" w:rsidRPr="004542B5">
        <w:rPr>
          <w:i w:val="0"/>
          <w:noProof w:val="0"/>
          <w:lang w:val="en-US"/>
        </w:rPr>
        <w:t xml:space="preserve"> </w:t>
      </w:r>
      <w:r w:rsidRPr="004542B5">
        <w:rPr>
          <w:i w:val="0"/>
          <w:noProof w:val="0"/>
          <w:lang w:val="en-US"/>
        </w:rPr>
        <w:t>dated February 27, 2014, provided by the</w:t>
      </w:r>
      <w:r w:rsidR="00562CBB" w:rsidRPr="004542B5">
        <w:rPr>
          <w:i w:val="0"/>
          <w:noProof w:val="0"/>
          <w:lang w:val="en-US"/>
        </w:rPr>
        <w:t xml:space="preserve"> State</w:t>
      </w:r>
      <w:r w:rsidR="007B47B1" w:rsidRPr="004542B5">
        <w:rPr>
          <w:i w:val="0"/>
          <w:noProof w:val="0"/>
          <w:lang w:val="en-US"/>
        </w:rPr>
        <w:t xml:space="preserve"> </w:t>
      </w:r>
      <w:r w:rsidRPr="004542B5">
        <w:rPr>
          <w:i w:val="0"/>
          <w:noProof w:val="0"/>
          <w:lang w:val="en-US"/>
        </w:rPr>
        <w:t>as an</w:t>
      </w:r>
      <w:r w:rsidR="007B47B1" w:rsidRPr="004542B5">
        <w:rPr>
          <w:i w:val="0"/>
          <w:noProof w:val="0"/>
          <w:lang w:val="en-US"/>
        </w:rPr>
        <w:t xml:space="preserve"> </w:t>
      </w:r>
      <w:r w:rsidR="0093764D" w:rsidRPr="004542B5">
        <w:rPr>
          <w:i w:val="0"/>
          <w:noProof w:val="0"/>
          <w:lang w:val="en-US"/>
        </w:rPr>
        <w:t>annex</w:t>
      </w:r>
      <w:r w:rsidR="007B47B1" w:rsidRPr="004542B5">
        <w:rPr>
          <w:i w:val="0"/>
          <w:noProof w:val="0"/>
          <w:lang w:val="en-US"/>
        </w:rPr>
        <w:t xml:space="preserve"> </w:t>
      </w:r>
      <w:r w:rsidRPr="004542B5">
        <w:rPr>
          <w:i w:val="0"/>
          <w:noProof w:val="0"/>
          <w:lang w:val="en-US"/>
        </w:rPr>
        <w:t>to its final arguments</w:t>
      </w:r>
      <w:r w:rsidR="007B47B1" w:rsidRPr="004542B5">
        <w:rPr>
          <w:i w:val="0"/>
          <w:noProof w:val="0"/>
          <w:lang w:val="en-US"/>
        </w:rPr>
        <w:t>,</w:t>
      </w:r>
      <w:r w:rsidR="00CD2B90" w:rsidRPr="004542B5">
        <w:rPr>
          <w:i w:val="0"/>
          <w:noProof w:val="0"/>
          <w:lang w:val="en-US"/>
        </w:rPr>
        <w:t xml:space="preserve"> and </w:t>
      </w:r>
      <w:r w:rsidRPr="004542B5">
        <w:rPr>
          <w:i w:val="0"/>
          <w:noProof w:val="0"/>
          <w:lang w:val="en-US"/>
        </w:rPr>
        <w:t>a communication of January 6,</w:t>
      </w:r>
      <w:r w:rsidR="007B47B1" w:rsidRPr="004542B5">
        <w:rPr>
          <w:i w:val="0"/>
          <w:noProof w:val="0"/>
          <w:lang w:val="en-US"/>
        </w:rPr>
        <w:t xml:space="preserve"> 2014</w:t>
      </w:r>
      <w:r w:rsidRPr="004542B5">
        <w:rPr>
          <w:i w:val="0"/>
          <w:noProof w:val="0"/>
          <w:lang w:val="en-US"/>
        </w:rPr>
        <w:t>,</w:t>
      </w:r>
      <w:r w:rsidR="007B47B1" w:rsidRPr="004542B5">
        <w:rPr>
          <w:rStyle w:val="FootnoteReference"/>
          <w:i w:val="0"/>
          <w:noProof w:val="0"/>
          <w:lang w:val="en-US"/>
        </w:rPr>
        <w:footnoteReference w:id="43"/>
      </w:r>
      <w:r w:rsidR="007B47B1" w:rsidRPr="004542B5">
        <w:rPr>
          <w:i w:val="0"/>
          <w:noProof w:val="0"/>
          <w:lang w:val="en-US"/>
        </w:rPr>
        <w:t xml:space="preserve"> </w:t>
      </w:r>
      <w:r w:rsidRPr="004542B5">
        <w:rPr>
          <w:i w:val="0"/>
          <w:noProof w:val="0"/>
          <w:lang w:val="en-US"/>
        </w:rPr>
        <w:t>submitted by</w:t>
      </w:r>
      <w:r w:rsidR="007B47B1" w:rsidRPr="004542B5">
        <w:rPr>
          <w:i w:val="0"/>
          <w:noProof w:val="0"/>
          <w:lang w:val="en-US"/>
        </w:rPr>
        <w:t xml:space="preserve"> </w:t>
      </w:r>
      <w:r w:rsidR="00562CBB" w:rsidRPr="004542B5">
        <w:rPr>
          <w:i w:val="0"/>
          <w:noProof w:val="0"/>
          <w:lang w:val="en-US"/>
        </w:rPr>
        <w:t>the representatives</w:t>
      </w:r>
      <w:r w:rsidR="007B47B1" w:rsidRPr="004542B5">
        <w:rPr>
          <w:i w:val="0"/>
          <w:noProof w:val="0"/>
          <w:lang w:val="en-US"/>
        </w:rPr>
        <w:t xml:space="preserve"> </w:t>
      </w:r>
      <w:r w:rsidRPr="004542B5">
        <w:rPr>
          <w:i w:val="0"/>
          <w:noProof w:val="0"/>
          <w:lang w:val="en-US"/>
        </w:rPr>
        <w:t>as an</w:t>
      </w:r>
      <w:r w:rsidR="007B47B1" w:rsidRPr="004542B5">
        <w:rPr>
          <w:i w:val="0"/>
          <w:noProof w:val="0"/>
          <w:lang w:val="en-US"/>
        </w:rPr>
        <w:t xml:space="preserve"> </w:t>
      </w:r>
      <w:r w:rsidR="0093764D" w:rsidRPr="004542B5">
        <w:rPr>
          <w:i w:val="0"/>
          <w:noProof w:val="0"/>
          <w:lang w:val="en-US"/>
        </w:rPr>
        <w:t>annex</w:t>
      </w:r>
      <w:r w:rsidR="007B47B1" w:rsidRPr="004542B5">
        <w:rPr>
          <w:i w:val="0"/>
          <w:noProof w:val="0"/>
          <w:lang w:val="en-US"/>
        </w:rPr>
        <w:t xml:space="preserve"> </w:t>
      </w:r>
      <w:r w:rsidRPr="004542B5">
        <w:rPr>
          <w:i w:val="0"/>
          <w:noProof w:val="0"/>
          <w:lang w:val="en-US"/>
        </w:rPr>
        <w:t>to their brief of July 1,</w:t>
      </w:r>
      <w:r w:rsidR="007B47B1" w:rsidRPr="004542B5">
        <w:rPr>
          <w:i w:val="0"/>
          <w:noProof w:val="0"/>
          <w:lang w:val="en-US"/>
        </w:rPr>
        <w:t xml:space="preserve"> 2014 (</w:t>
      </w:r>
      <w:r w:rsidR="007B47B1" w:rsidRPr="004542B5">
        <w:rPr>
          <w:noProof w:val="0"/>
          <w:lang w:val="en-US"/>
        </w:rPr>
        <w:t>supra</w:t>
      </w:r>
      <w:r w:rsidR="007B47B1" w:rsidRPr="004542B5">
        <w:rPr>
          <w:i w:val="0"/>
          <w:noProof w:val="0"/>
          <w:lang w:val="en-US"/>
        </w:rPr>
        <w:t xml:space="preserve"> </w:t>
      </w:r>
      <w:r w:rsidR="00F66B76" w:rsidRPr="004542B5">
        <w:rPr>
          <w:i w:val="0"/>
          <w:noProof w:val="0"/>
          <w:lang w:val="en-US"/>
        </w:rPr>
        <w:t>para.</w:t>
      </w:r>
      <w:r w:rsidR="007B47B1" w:rsidRPr="004542B5">
        <w:rPr>
          <w:i w:val="0"/>
          <w:noProof w:val="0"/>
          <w:lang w:val="en-US"/>
        </w:rPr>
        <w:t xml:space="preserve"> </w:t>
      </w:r>
      <w:r w:rsidR="00AA0849" w:rsidRPr="004542B5">
        <w:rPr>
          <w:i w:val="0"/>
          <w:noProof w:val="0"/>
          <w:lang w:val="en-US"/>
        </w:rPr>
        <w:t>13</w:t>
      </w:r>
      <w:r w:rsidR="007B47B1" w:rsidRPr="004542B5">
        <w:rPr>
          <w:i w:val="0"/>
          <w:noProof w:val="0"/>
          <w:lang w:val="en-US"/>
        </w:rPr>
        <w:t xml:space="preserve">), </w:t>
      </w:r>
      <w:r w:rsidR="00562CBB" w:rsidRPr="004542B5">
        <w:rPr>
          <w:i w:val="0"/>
          <w:noProof w:val="0"/>
          <w:lang w:val="en-US"/>
        </w:rPr>
        <w:t>the Court</w:t>
      </w:r>
      <w:r w:rsidR="007B47B1" w:rsidRPr="004542B5">
        <w:rPr>
          <w:i w:val="0"/>
          <w:noProof w:val="0"/>
          <w:lang w:val="en-US"/>
        </w:rPr>
        <w:t xml:space="preserve"> consider</w:t>
      </w:r>
      <w:r w:rsidRPr="004542B5">
        <w:rPr>
          <w:i w:val="0"/>
          <w:noProof w:val="0"/>
          <w:lang w:val="en-US"/>
        </w:rPr>
        <w:t xml:space="preserve">s that this documentation is related to supervening acts and, therefore, incorporates it into the case file in application </w:t>
      </w:r>
      <w:r w:rsidR="00E04132" w:rsidRPr="004542B5">
        <w:rPr>
          <w:i w:val="0"/>
          <w:noProof w:val="0"/>
          <w:lang w:val="en-US"/>
        </w:rPr>
        <w:t>of Article</w:t>
      </w:r>
      <w:r w:rsidR="007B47B1" w:rsidRPr="004542B5">
        <w:rPr>
          <w:i w:val="0"/>
          <w:noProof w:val="0"/>
          <w:lang w:val="en-US"/>
        </w:rPr>
        <w:t xml:space="preserve"> 58</w:t>
      </w:r>
      <w:r w:rsidR="008A56D7" w:rsidRPr="004542B5">
        <w:rPr>
          <w:i w:val="0"/>
          <w:noProof w:val="0"/>
          <w:lang w:val="en-US"/>
        </w:rPr>
        <w:t xml:space="preserve"> of the </w:t>
      </w:r>
      <w:r w:rsidR="00562CBB" w:rsidRPr="004542B5">
        <w:rPr>
          <w:i w:val="0"/>
          <w:noProof w:val="0"/>
          <w:lang w:val="en-US"/>
        </w:rPr>
        <w:t>Rules of Procedure</w:t>
      </w:r>
      <w:r w:rsidR="007B47B1" w:rsidRPr="004542B5">
        <w:rPr>
          <w:i w:val="0"/>
          <w:noProof w:val="0"/>
          <w:lang w:val="en-US"/>
        </w:rPr>
        <w:t xml:space="preserve">. </w:t>
      </w:r>
    </w:p>
    <w:p w14:paraId="1738B94A" w14:textId="09066A9D" w:rsidR="00484878" w:rsidRPr="004542B5" w:rsidRDefault="009B7DCC" w:rsidP="009B7DCC">
      <w:pPr>
        <w:pStyle w:val="Estilo1"/>
        <w:numPr>
          <w:ilvl w:val="0"/>
          <w:numId w:val="2"/>
        </w:numPr>
        <w:tabs>
          <w:tab w:val="left" w:pos="720"/>
          <w:tab w:val="left" w:pos="1134"/>
          <w:tab w:val="num" w:pos="6042"/>
        </w:tabs>
        <w:autoSpaceDE w:val="0"/>
        <w:autoSpaceDN w:val="0"/>
        <w:adjustRightInd w:val="0"/>
        <w:spacing w:before="120"/>
        <w:ind w:right="0"/>
        <w:rPr>
          <w:rFonts w:cs="Verdana"/>
          <w:i w:val="0"/>
          <w:noProof w:val="0"/>
          <w:szCs w:val="20"/>
          <w:lang w:val="en-US"/>
        </w:rPr>
      </w:pPr>
      <w:r w:rsidRPr="004542B5">
        <w:rPr>
          <w:rFonts w:cs="Verdana"/>
          <w:i w:val="0"/>
          <w:noProof w:val="0"/>
          <w:szCs w:val="20"/>
          <w:lang w:val="en-US"/>
        </w:rPr>
        <w:t xml:space="preserve">In the case of the documentation that the representatives were requested to forward as helpful evidence following the </w:t>
      </w:r>
      <w:r w:rsidR="00FC1C56" w:rsidRPr="004542B5">
        <w:rPr>
          <w:rFonts w:cs="Verdana"/>
          <w:i w:val="0"/>
          <w:noProof w:val="0"/>
          <w:szCs w:val="20"/>
          <w:lang w:val="en-US"/>
        </w:rPr>
        <w:t>public hearing</w:t>
      </w:r>
      <w:r w:rsidR="007B47B1" w:rsidRPr="004542B5">
        <w:rPr>
          <w:rFonts w:cs="Verdana"/>
          <w:i w:val="0"/>
          <w:noProof w:val="0"/>
          <w:szCs w:val="20"/>
          <w:lang w:val="en-US"/>
        </w:rPr>
        <w:t>,</w:t>
      </w:r>
      <w:r w:rsidR="00CD2B90" w:rsidRPr="004542B5">
        <w:rPr>
          <w:rFonts w:cs="Verdana"/>
          <w:i w:val="0"/>
          <w:noProof w:val="0"/>
          <w:szCs w:val="20"/>
          <w:lang w:val="en-US"/>
        </w:rPr>
        <w:t xml:space="preserve"> and </w:t>
      </w:r>
      <w:r w:rsidRPr="004542B5">
        <w:rPr>
          <w:rFonts w:cs="Verdana"/>
          <w:i w:val="0"/>
          <w:noProof w:val="0"/>
          <w:szCs w:val="20"/>
          <w:lang w:val="en-US"/>
        </w:rPr>
        <w:t xml:space="preserve">sent by them on June 20, </w:t>
      </w:r>
      <w:r w:rsidR="007B47B1" w:rsidRPr="004542B5">
        <w:rPr>
          <w:rFonts w:cs="Verdana"/>
          <w:i w:val="0"/>
          <w:noProof w:val="0"/>
          <w:szCs w:val="20"/>
          <w:lang w:val="en-US"/>
        </w:rPr>
        <w:t xml:space="preserve">2014, </w:t>
      </w:r>
      <w:r w:rsidRPr="004542B5">
        <w:rPr>
          <w:rFonts w:cs="Verdana"/>
          <w:i w:val="0"/>
          <w:noProof w:val="0"/>
          <w:szCs w:val="20"/>
          <w:lang w:val="en-US"/>
        </w:rPr>
        <w:t xml:space="preserve">this was incorporated into the body of evidence of the case in application </w:t>
      </w:r>
      <w:r w:rsidR="00E04132" w:rsidRPr="004542B5">
        <w:rPr>
          <w:rFonts w:cs="Verdana"/>
          <w:i w:val="0"/>
          <w:noProof w:val="0"/>
          <w:szCs w:val="20"/>
          <w:lang w:val="en-US"/>
        </w:rPr>
        <w:t>of Article</w:t>
      </w:r>
      <w:r w:rsidR="007B47B1" w:rsidRPr="004542B5">
        <w:rPr>
          <w:rFonts w:cs="Verdana"/>
          <w:i w:val="0"/>
          <w:noProof w:val="0"/>
          <w:szCs w:val="20"/>
          <w:lang w:val="en-US"/>
        </w:rPr>
        <w:t xml:space="preserve"> 58</w:t>
      </w:r>
      <w:r w:rsidR="008A56D7" w:rsidRPr="004542B5">
        <w:rPr>
          <w:rFonts w:cs="Verdana"/>
          <w:i w:val="0"/>
          <w:noProof w:val="0"/>
          <w:szCs w:val="20"/>
          <w:lang w:val="en-US"/>
        </w:rPr>
        <w:t xml:space="preserve"> of the </w:t>
      </w:r>
      <w:r w:rsidR="00562CBB" w:rsidRPr="004542B5">
        <w:rPr>
          <w:rFonts w:cs="Verdana"/>
          <w:i w:val="0"/>
          <w:noProof w:val="0"/>
          <w:szCs w:val="20"/>
          <w:lang w:val="en-US"/>
        </w:rPr>
        <w:t>Rules of Procedure</w:t>
      </w:r>
      <w:r w:rsidR="007B47B1" w:rsidRPr="004542B5">
        <w:rPr>
          <w:rFonts w:cs="Verdana"/>
          <w:i w:val="0"/>
          <w:noProof w:val="0"/>
          <w:szCs w:val="20"/>
          <w:lang w:val="en-US"/>
        </w:rPr>
        <w:t xml:space="preserve">. </w:t>
      </w:r>
      <w:r w:rsidRPr="004542B5">
        <w:rPr>
          <w:rFonts w:cs="Verdana"/>
          <w:i w:val="0"/>
          <w:noProof w:val="0"/>
          <w:szCs w:val="20"/>
          <w:lang w:val="en-US"/>
        </w:rPr>
        <w:t>Additionally,</w:t>
      </w:r>
      <w:r w:rsidR="00E53915" w:rsidRPr="004542B5">
        <w:rPr>
          <w:rFonts w:cs="Verdana"/>
          <w:i w:val="0"/>
          <w:noProof w:val="0"/>
          <w:szCs w:val="20"/>
          <w:lang w:val="en-US"/>
        </w:rPr>
        <w:t xml:space="preserve"> </w:t>
      </w:r>
      <w:r w:rsidR="00562CBB" w:rsidRPr="004542B5">
        <w:rPr>
          <w:rFonts w:cs="Verdana"/>
          <w:i w:val="0"/>
          <w:noProof w:val="0"/>
          <w:szCs w:val="20"/>
          <w:lang w:val="en-US"/>
        </w:rPr>
        <w:t>the representatives</w:t>
      </w:r>
      <w:r w:rsidR="00E53915" w:rsidRPr="004542B5">
        <w:rPr>
          <w:rFonts w:cs="Verdana"/>
          <w:i w:val="0"/>
          <w:noProof w:val="0"/>
          <w:szCs w:val="20"/>
          <w:lang w:val="en-US"/>
        </w:rPr>
        <w:t xml:space="preserve"> </w:t>
      </w:r>
      <w:r w:rsidRPr="004542B5">
        <w:rPr>
          <w:rFonts w:cs="Verdana"/>
          <w:i w:val="0"/>
          <w:noProof w:val="0"/>
          <w:szCs w:val="20"/>
          <w:lang w:val="en-US"/>
        </w:rPr>
        <w:t xml:space="preserve">forwarded a copy of an agreement dated November 27, </w:t>
      </w:r>
      <w:r w:rsidR="00E53915" w:rsidRPr="004542B5">
        <w:rPr>
          <w:rFonts w:cs="Verdana"/>
          <w:i w:val="0"/>
          <w:noProof w:val="0"/>
          <w:szCs w:val="20"/>
          <w:lang w:val="en-US"/>
        </w:rPr>
        <w:t xml:space="preserve">2013. </w:t>
      </w:r>
      <w:r w:rsidRPr="004542B5">
        <w:rPr>
          <w:rFonts w:cs="Verdana"/>
          <w:i w:val="0"/>
          <w:noProof w:val="0"/>
          <w:szCs w:val="20"/>
          <w:lang w:val="en-US"/>
        </w:rPr>
        <w:t xml:space="preserve">The Court considers that this document relates to a supervening fact and therefore incorporates it into the case file in application </w:t>
      </w:r>
      <w:r w:rsidR="00E04132" w:rsidRPr="004542B5">
        <w:rPr>
          <w:i w:val="0"/>
          <w:noProof w:val="0"/>
          <w:lang w:val="en-US"/>
        </w:rPr>
        <w:t>of Article</w:t>
      </w:r>
      <w:r w:rsidR="00E53915" w:rsidRPr="004542B5">
        <w:rPr>
          <w:i w:val="0"/>
          <w:noProof w:val="0"/>
          <w:lang w:val="en-US"/>
        </w:rPr>
        <w:t xml:space="preserve"> 58</w:t>
      </w:r>
      <w:r w:rsidR="008A56D7" w:rsidRPr="004542B5">
        <w:rPr>
          <w:i w:val="0"/>
          <w:noProof w:val="0"/>
          <w:lang w:val="en-US"/>
        </w:rPr>
        <w:t xml:space="preserve"> of the </w:t>
      </w:r>
      <w:r w:rsidR="00562CBB" w:rsidRPr="004542B5">
        <w:rPr>
          <w:i w:val="0"/>
          <w:noProof w:val="0"/>
          <w:lang w:val="en-US"/>
        </w:rPr>
        <w:t>Rules of Procedure</w:t>
      </w:r>
      <w:r w:rsidR="00E53915" w:rsidRPr="004542B5">
        <w:rPr>
          <w:i w:val="0"/>
          <w:noProof w:val="0"/>
          <w:lang w:val="en-US"/>
        </w:rPr>
        <w:t>.</w:t>
      </w:r>
      <w:r w:rsidR="00E53915" w:rsidRPr="004542B5">
        <w:rPr>
          <w:rFonts w:cs="Verdana"/>
          <w:i w:val="0"/>
          <w:noProof w:val="0"/>
          <w:szCs w:val="20"/>
          <w:lang w:val="en-US"/>
        </w:rPr>
        <w:t xml:space="preserve"> </w:t>
      </w:r>
    </w:p>
    <w:p w14:paraId="762911CA" w14:textId="1A38B051" w:rsidR="00E51798" w:rsidRPr="004542B5" w:rsidRDefault="000A6353" w:rsidP="00E01664">
      <w:pPr>
        <w:pStyle w:val="Heading3"/>
        <w:rPr>
          <w:rFonts w:eastAsia="Batang" w:cs="Times"/>
          <w:bCs w:val="0"/>
          <w:noProof w:val="0"/>
          <w:szCs w:val="24"/>
          <w:lang w:val="en-US"/>
        </w:rPr>
      </w:pPr>
      <w:bookmarkStart w:id="143" w:name="_Toc359314428"/>
      <w:bookmarkStart w:id="144" w:name="_Toc361671578"/>
      <w:bookmarkStart w:id="145" w:name="_Toc361671998"/>
      <w:bookmarkStart w:id="146" w:name="_Toc361732795"/>
      <w:bookmarkStart w:id="147" w:name="_Toc361732838"/>
      <w:bookmarkStart w:id="148" w:name="_Toc362456869"/>
      <w:bookmarkStart w:id="149" w:name="_Toc365021398"/>
      <w:bookmarkStart w:id="150" w:name="_Toc369076788"/>
      <w:bookmarkStart w:id="151" w:name="_Toc369989379"/>
      <w:bookmarkStart w:id="152" w:name="_Toc369989466"/>
      <w:bookmarkStart w:id="153" w:name="_Toc369989747"/>
      <w:bookmarkStart w:id="154" w:name="_Toc45200866"/>
      <w:r w:rsidRPr="004542B5">
        <w:rPr>
          <w:rFonts w:eastAsia="Batang" w:cs="Times"/>
          <w:bCs w:val="0"/>
          <w:noProof w:val="0"/>
          <w:szCs w:val="24"/>
          <w:lang w:val="en-US"/>
        </w:rPr>
        <w:t xml:space="preserve">B.3. </w:t>
      </w:r>
      <w:r w:rsidR="00AD34D8" w:rsidRPr="004542B5">
        <w:rPr>
          <w:rFonts w:eastAsia="Batang" w:cs="Times"/>
          <w:bCs w:val="0"/>
          <w:noProof w:val="0"/>
          <w:szCs w:val="24"/>
          <w:lang w:val="en-US"/>
        </w:rPr>
        <w:t xml:space="preserve">Admission </w:t>
      </w:r>
      <w:r w:rsidR="000C5757" w:rsidRPr="004542B5">
        <w:rPr>
          <w:rFonts w:eastAsia="Batang" w:cs="Times"/>
          <w:bCs w:val="0"/>
          <w:noProof w:val="0"/>
          <w:szCs w:val="24"/>
          <w:lang w:val="en-US"/>
        </w:rPr>
        <w:t xml:space="preserve">of </w:t>
      </w:r>
      <w:r w:rsidR="009B7DCC" w:rsidRPr="004542B5">
        <w:rPr>
          <w:rFonts w:eastAsia="Batang" w:cs="Times"/>
          <w:bCs w:val="0"/>
          <w:noProof w:val="0"/>
          <w:szCs w:val="24"/>
          <w:lang w:val="en-US"/>
        </w:rPr>
        <w:t>the testimonial and expert evidence</w:t>
      </w:r>
      <w:bookmarkEnd w:id="143"/>
      <w:bookmarkEnd w:id="144"/>
      <w:bookmarkEnd w:id="145"/>
      <w:bookmarkEnd w:id="146"/>
      <w:bookmarkEnd w:id="147"/>
      <w:bookmarkEnd w:id="148"/>
      <w:bookmarkEnd w:id="149"/>
      <w:bookmarkEnd w:id="150"/>
      <w:bookmarkEnd w:id="151"/>
      <w:bookmarkEnd w:id="152"/>
      <w:bookmarkEnd w:id="153"/>
      <w:bookmarkEnd w:id="154"/>
    </w:p>
    <w:p w14:paraId="209C5E48" w14:textId="31DD9C5B" w:rsidR="008920D1" w:rsidRPr="004542B5" w:rsidRDefault="00562CBB" w:rsidP="00E01664">
      <w:pPr>
        <w:pStyle w:val="ListParagraph"/>
        <w:numPr>
          <w:ilvl w:val="0"/>
          <w:numId w:val="2"/>
        </w:numPr>
        <w:spacing w:before="120"/>
        <w:contextualSpacing w:val="0"/>
        <w:rPr>
          <w:noProof w:val="0"/>
          <w:lang w:val="en-US"/>
        </w:rPr>
      </w:pPr>
      <w:r w:rsidRPr="004542B5">
        <w:rPr>
          <w:noProof w:val="0"/>
          <w:lang w:val="en-US"/>
        </w:rPr>
        <w:t>The Court</w:t>
      </w:r>
      <w:r w:rsidR="009B7DCC" w:rsidRPr="004542B5">
        <w:rPr>
          <w:noProof w:val="0"/>
          <w:lang w:val="en-US"/>
        </w:rPr>
        <w:t xml:space="preserve"> finds it pertinent to admit the statements and the expert opini</w:t>
      </w:r>
      <w:r w:rsidR="00DB4C82" w:rsidRPr="004542B5">
        <w:rPr>
          <w:noProof w:val="0"/>
          <w:lang w:val="en-US"/>
        </w:rPr>
        <w:t>o</w:t>
      </w:r>
      <w:r w:rsidR="009B7DCC" w:rsidRPr="004542B5">
        <w:rPr>
          <w:noProof w:val="0"/>
          <w:lang w:val="en-US"/>
        </w:rPr>
        <w:t xml:space="preserve">n provided during the </w:t>
      </w:r>
      <w:r w:rsidR="00FC1C56" w:rsidRPr="004542B5">
        <w:rPr>
          <w:noProof w:val="0"/>
          <w:lang w:val="en-US"/>
        </w:rPr>
        <w:t>public hearing</w:t>
      </w:r>
      <w:r w:rsidR="00CD2B90" w:rsidRPr="004542B5">
        <w:rPr>
          <w:noProof w:val="0"/>
          <w:lang w:val="en-US"/>
        </w:rPr>
        <w:t xml:space="preserve"> and </w:t>
      </w:r>
      <w:r w:rsidR="009B7DCC" w:rsidRPr="004542B5">
        <w:rPr>
          <w:noProof w:val="0"/>
          <w:lang w:val="en-US"/>
        </w:rPr>
        <w:t>by affidavit</w:t>
      </w:r>
      <w:r w:rsidR="00DB4C82" w:rsidRPr="004542B5">
        <w:rPr>
          <w:noProof w:val="0"/>
          <w:lang w:val="en-US"/>
        </w:rPr>
        <w:t xml:space="preserve">, insofar as they are in keeping with the purpose defined by the </w:t>
      </w:r>
      <w:r w:rsidRPr="004542B5">
        <w:rPr>
          <w:noProof w:val="0"/>
          <w:lang w:val="en-US"/>
        </w:rPr>
        <w:t>President</w:t>
      </w:r>
      <w:r w:rsidR="007B47B1" w:rsidRPr="004542B5">
        <w:rPr>
          <w:noProof w:val="0"/>
          <w:lang w:val="en-US"/>
        </w:rPr>
        <w:t xml:space="preserve"> </w:t>
      </w:r>
      <w:r w:rsidR="00DB4C82" w:rsidRPr="004542B5">
        <w:rPr>
          <w:noProof w:val="0"/>
          <w:lang w:val="en-US"/>
        </w:rPr>
        <w:t>in the order requiring them</w:t>
      </w:r>
      <w:r w:rsidR="007B47B1" w:rsidRPr="004542B5">
        <w:rPr>
          <w:rStyle w:val="FootnoteReference"/>
          <w:noProof w:val="0"/>
          <w:lang w:val="en-US"/>
        </w:rPr>
        <w:footnoteReference w:id="44"/>
      </w:r>
      <w:r w:rsidR="00CD2B90" w:rsidRPr="004542B5">
        <w:rPr>
          <w:noProof w:val="0"/>
          <w:lang w:val="en-US"/>
        </w:rPr>
        <w:t xml:space="preserve"> and </w:t>
      </w:r>
      <w:r w:rsidR="00DB4C82" w:rsidRPr="004542B5">
        <w:rPr>
          <w:noProof w:val="0"/>
          <w:lang w:val="en-US"/>
        </w:rPr>
        <w:t>the purpose of this case.</w:t>
      </w:r>
    </w:p>
    <w:p w14:paraId="29D9B937" w14:textId="0BCF8F81" w:rsidR="00E51798" w:rsidRPr="004542B5" w:rsidRDefault="00AD34D8" w:rsidP="00E01664">
      <w:pPr>
        <w:pStyle w:val="Heading2"/>
        <w:rPr>
          <w:noProof w:val="0"/>
          <w:lang w:val="en-US"/>
        </w:rPr>
      </w:pPr>
      <w:bookmarkStart w:id="155" w:name="_Toc45200867"/>
      <w:r w:rsidRPr="004542B5">
        <w:rPr>
          <w:noProof w:val="0"/>
          <w:lang w:val="en-US"/>
        </w:rPr>
        <w:t xml:space="preserve">Assessment of </w:t>
      </w:r>
      <w:r w:rsidR="00DB4C82" w:rsidRPr="004542B5">
        <w:rPr>
          <w:noProof w:val="0"/>
          <w:lang w:val="en-US"/>
        </w:rPr>
        <w:t>the evidence</w:t>
      </w:r>
      <w:bookmarkEnd w:id="155"/>
    </w:p>
    <w:p w14:paraId="20A32A48" w14:textId="45358302" w:rsidR="00E51798" w:rsidRPr="004542B5" w:rsidRDefault="007334C7" w:rsidP="007334C7">
      <w:pPr>
        <w:pStyle w:val="ListParagraph"/>
        <w:numPr>
          <w:ilvl w:val="0"/>
          <w:numId w:val="2"/>
        </w:numPr>
        <w:spacing w:before="120" w:after="120"/>
        <w:contextualSpacing w:val="0"/>
        <w:rPr>
          <w:noProof w:val="0"/>
          <w:lang w:val="en-US"/>
        </w:rPr>
      </w:pPr>
      <w:r w:rsidRPr="004542B5">
        <w:rPr>
          <w:noProof w:val="0"/>
          <w:szCs w:val="20"/>
          <w:lang w:val="en-US"/>
        </w:rPr>
        <w:t>Based on the provisions of</w:t>
      </w:r>
      <w:r w:rsidR="00A41A72" w:rsidRPr="004542B5">
        <w:rPr>
          <w:noProof w:val="0"/>
          <w:szCs w:val="20"/>
          <w:lang w:val="en-US"/>
        </w:rPr>
        <w:t xml:space="preserve"> </w:t>
      </w:r>
      <w:r w:rsidR="00562CBB" w:rsidRPr="004542B5">
        <w:rPr>
          <w:noProof w:val="0"/>
          <w:szCs w:val="20"/>
          <w:lang w:val="en-US"/>
        </w:rPr>
        <w:t>Articles</w:t>
      </w:r>
      <w:r w:rsidR="00A41A72" w:rsidRPr="004542B5">
        <w:rPr>
          <w:noProof w:val="0"/>
          <w:szCs w:val="20"/>
          <w:lang w:val="en-US"/>
        </w:rPr>
        <w:t xml:space="preserve"> 46, 47, 48, 50, 51, 57</w:t>
      </w:r>
      <w:r w:rsidR="00CD2B90" w:rsidRPr="004542B5">
        <w:rPr>
          <w:noProof w:val="0"/>
          <w:szCs w:val="20"/>
          <w:lang w:val="en-US"/>
        </w:rPr>
        <w:t xml:space="preserve"> and </w:t>
      </w:r>
      <w:r w:rsidR="00A41A72" w:rsidRPr="004542B5">
        <w:rPr>
          <w:noProof w:val="0"/>
          <w:szCs w:val="20"/>
          <w:lang w:val="en-US"/>
        </w:rPr>
        <w:t>58</w:t>
      </w:r>
      <w:r w:rsidR="008A56D7" w:rsidRPr="004542B5">
        <w:rPr>
          <w:noProof w:val="0"/>
          <w:szCs w:val="20"/>
          <w:lang w:val="en-US"/>
        </w:rPr>
        <w:t xml:space="preserve"> of the </w:t>
      </w:r>
      <w:r w:rsidR="00562CBB" w:rsidRPr="004542B5">
        <w:rPr>
          <w:noProof w:val="0"/>
          <w:szCs w:val="20"/>
          <w:lang w:val="en-US"/>
        </w:rPr>
        <w:t>Rules of Procedure</w:t>
      </w:r>
      <w:r w:rsidR="00A41A72" w:rsidRPr="004542B5">
        <w:rPr>
          <w:noProof w:val="0"/>
          <w:szCs w:val="20"/>
          <w:lang w:val="en-US"/>
        </w:rPr>
        <w:t>, a</w:t>
      </w:r>
      <w:r w:rsidRPr="004542B5">
        <w:rPr>
          <w:noProof w:val="0"/>
          <w:szCs w:val="20"/>
          <w:lang w:val="en-US"/>
        </w:rPr>
        <w:t>nd on its consistent case law concerning evidence and its assessment,</w:t>
      </w:r>
      <w:r w:rsidR="000A6353" w:rsidRPr="004542B5">
        <w:rPr>
          <w:noProof w:val="0"/>
          <w:szCs w:val="20"/>
          <w:vertAlign w:val="superscript"/>
          <w:lang w:val="en-US"/>
        </w:rPr>
        <w:footnoteReference w:id="45"/>
      </w:r>
      <w:r w:rsidR="00A41A72" w:rsidRPr="004542B5">
        <w:rPr>
          <w:noProof w:val="0"/>
          <w:szCs w:val="20"/>
          <w:lang w:val="en-US"/>
        </w:rPr>
        <w:t xml:space="preserve"> </w:t>
      </w:r>
      <w:r w:rsidR="00562CBB" w:rsidRPr="004542B5">
        <w:rPr>
          <w:noProof w:val="0"/>
          <w:szCs w:val="20"/>
          <w:lang w:val="en-US"/>
        </w:rPr>
        <w:t>the Court</w:t>
      </w:r>
      <w:r w:rsidR="00A41A72" w:rsidRPr="004542B5">
        <w:rPr>
          <w:noProof w:val="0"/>
          <w:szCs w:val="20"/>
          <w:lang w:val="en-US"/>
        </w:rPr>
        <w:t xml:space="preserve"> </w:t>
      </w:r>
      <w:r w:rsidRPr="004542B5">
        <w:rPr>
          <w:noProof w:val="0"/>
          <w:szCs w:val="20"/>
          <w:lang w:val="en-US"/>
        </w:rPr>
        <w:t>will examine and assess the documentary probative elements forwarded by the parties at the appropriate procedur</w:t>
      </w:r>
      <w:r w:rsidR="008D5878" w:rsidRPr="004542B5">
        <w:rPr>
          <w:noProof w:val="0"/>
          <w:szCs w:val="20"/>
          <w:lang w:val="en-US"/>
        </w:rPr>
        <w:t>al</w:t>
      </w:r>
      <w:r w:rsidRPr="004542B5">
        <w:rPr>
          <w:noProof w:val="0"/>
          <w:szCs w:val="20"/>
          <w:lang w:val="en-US"/>
        </w:rPr>
        <w:t xml:space="preserve"> moment, the statements made by affidavit and during the </w:t>
      </w:r>
      <w:r w:rsidR="00FC1C56" w:rsidRPr="004542B5">
        <w:rPr>
          <w:rFonts w:cs="Verdana"/>
          <w:noProof w:val="0"/>
          <w:szCs w:val="20"/>
          <w:lang w:val="en-US"/>
        </w:rPr>
        <w:t>public hearing</w:t>
      </w:r>
      <w:r w:rsidR="00A41A72" w:rsidRPr="004542B5">
        <w:rPr>
          <w:rFonts w:cs="Verdana"/>
          <w:i/>
          <w:noProof w:val="0"/>
          <w:szCs w:val="20"/>
          <w:lang w:val="en-US"/>
        </w:rPr>
        <w:t xml:space="preserve"> </w:t>
      </w:r>
      <w:r w:rsidR="00A41A72" w:rsidRPr="004542B5">
        <w:rPr>
          <w:rFonts w:cs="Verdana"/>
          <w:noProof w:val="0"/>
          <w:szCs w:val="20"/>
          <w:lang w:val="en-US"/>
        </w:rPr>
        <w:t>a</w:t>
      </w:r>
      <w:r w:rsidRPr="004542B5">
        <w:rPr>
          <w:rFonts w:cs="Verdana"/>
          <w:noProof w:val="0"/>
          <w:szCs w:val="20"/>
          <w:lang w:val="en-US"/>
        </w:rPr>
        <w:t xml:space="preserve">nd also the helpful evidence requested and incorporated, </w:t>
      </w:r>
      <w:r w:rsidRPr="004542B5">
        <w:rPr>
          <w:rFonts w:cs="Verdana"/>
          <w:i/>
          <w:iCs/>
          <w:noProof w:val="0"/>
          <w:szCs w:val="20"/>
          <w:lang w:val="en-US"/>
        </w:rPr>
        <w:t>ex officio,</w:t>
      </w:r>
      <w:r w:rsidRPr="004542B5">
        <w:rPr>
          <w:rFonts w:cs="Verdana"/>
          <w:noProof w:val="0"/>
          <w:szCs w:val="20"/>
          <w:lang w:val="en-US"/>
        </w:rPr>
        <w:t xml:space="preserve"> by this Court </w:t>
      </w:r>
      <w:r w:rsidR="00A41A72" w:rsidRPr="004542B5">
        <w:rPr>
          <w:rFonts w:cs="Verdana"/>
          <w:noProof w:val="0"/>
          <w:szCs w:val="20"/>
          <w:lang w:val="en-US"/>
        </w:rPr>
        <w:t>(</w:t>
      </w:r>
      <w:r w:rsidR="00A41A72" w:rsidRPr="004542B5">
        <w:rPr>
          <w:rFonts w:cs="Verdana"/>
          <w:i/>
          <w:noProof w:val="0"/>
          <w:szCs w:val="20"/>
          <w:lang w:val="en-US"/>
        </w:rPr>
        <w:t>supra</w:t>
      </w:r>
      <w:r w:rsidR="00A41A72" w:rsidRPr="004542B5">
        <w:rPr>
          <w:rFonts w:cs="Verdana"/>
          <w:noProof w:val="0"/>
          <w:szCs w:val="20"/>
          <w:lang w:val="en-US"/>
        </w:rPr>
        <w:t xml:space="preserve"> </w:t>
      </w:r>
      <w:r w:rsidR="00F66B76" w:rsidRPr="004542B5">
        <w:rPr>
          <w:rFonts w:cs="Verdana"/>
          <w:noProof w:val="0"/>
          <w:szCs w:val="20"/>
          <w:lang w:val="en-US"/>
        </w:rPr>
        <w:t>paras.</w:t>
      </w:r>
      <w:r w:rsidR="00A41A72" w:rsidRPr="004542B5">
        <w:rPr>
          <w:rFonts w:cs="Verdana"/>
          <w:noProof w:val="0"/>
          <w:szCs w:val="20"/>
          <w:lang w:val="en-US"/>
        </w:rPr>
        <w:t xml:space="preserve"> </w:t>
      </w:r>
      <w:r w:rsidR="0017203C" w:rsidRPr="004542B5">
        <w:rPr>
          <w:rFonts w:cs="Verdana"/>
          <w:noProof w:val="0"/>
          <w:szCs w:val="20"/>
          <w:lang w:val="en-US"/>
        </w:rPr>
        <w:t>9, 10, 13, 53</w:t>
      </w:r>
      <w:r w:rsidR="00A41A72" w:rsidRPr="004542B5">
        <w:rPr>
          <w:rFonts w:cs="Verdana"/>
          <w:noProof w:val="0"/>
          <w:szCs w:val="20"/>
          <w:lang w:val="en-US"/>
        </w:rPr>
        <w:t xml:space="preserve"> </w:t>
      </w:r>
      <w:r w:rsidRPr="004542B5">
        <w:rPr>
          <w:rFonts w:cs="Verdana"/>
          <w:noProof w:val="0"/>
          <w:szCs w:val="20"/>
          <w:lang w:val="en-US"/>
        </w:rPr>
        <w:t>and</w:t>
      </w:r>
      <w:r w:rsidR="00A41A72" w:rsidRPr="004542B5">
        <w:rPr>
          <w:rFonts w:cs="Verdana"/>
          <w:noProof w:val="0"/>
          <w:szCs w:val="20"/>
          <w:lang w:val="en-US"/>
        </w:rPr>
        <w:t xml:space="preserve"> </w:t>
      </w:r>
      <w:r w:rsidR="00A41A72" w:rsidRPr="004542B5">
        <w:rPr>
          <w:rFonts w:cs="Verdana"/>
          <w:i/>
          <w:noProof w:val="0"/>
          <w:szCs w:val="20"/>
          <w:lang w:val="en-US"/>
        </w:rPr>
        <w:t>infra</w:t>
      </w:r>
      <w:r w:rsidR="00A41A72" w:rsidRPr="004542B5">
        <w:rPr>
          <w:rFonts w:cs="Verdana"/>
          <w:noProof w:val="0"/>
          <w:szCs w:val="20"/>
          <w:lang w:val="en-US"/>
        </w:rPr>
        <w:t xml:space="preserve"> </w:t>
      </w:r>
      <w:r w:rsidR="00F66B76" w:rsidRPr="004542B5">
        <w:rPr>
          <w:rFonts w:cs="Verdana"/>
          <w:noProof w:val="0"/>
          <w:szCs w:val="20"/>
          <w:lang w:val="en-US"/>
        </w:rPr>
        <w:t>paras.</w:t>
      </w:r>
      <w:r w:rsidR="00A41A72" w:rsidRPr="004542B5">
        <w:rPr>
          <w:rFonts w:cs="Verdana"/>
          <w:noProof w:val="0"/>
          <w:szCs w:val="20"/>
          <w:lang w:val="en-US"/>
        </w:rPr>
        <w:t xml:space="preserve"> </w:t>
      </w:r>
      <w:r w:rsidR="0017203C" w:rsidRPr="004542B5">
        <w:rPr>
          <w:rFonts w:cs="Verdana"/>
          <w:noProof w:val="0"/>
          <w:szCs w:val="20"/>
          <w:lang w:val="en-US"/>
        </w:rPr>
        <w:t>130</w:t>
      </w:r>
      <w:r w:rsidR="00CD2B90" w:rsidRPr="004542B5">
        <w:rPr>
          <w:rFonts w:cs="Verdana"/>
          <w:noProof w:val="0"/>
          <w:szCs w:val="20"/>
          <w:lang w:val="en-US"/>
        </w:rPr>
        <w:t xml:space="preserve"> and </w:t>
      </w:r>
      <w:r w:rsidR="0017203C" w:rsidRPr="004542B5">
        <w:rPr>
          <w:rFonts w:cs="Verdana"/>
          <w:noProof w:val="0"/>
          <w:szCs w:val="20"/>
          <w:lang w:val="en-US"/>
        </w:rPr>
        <w:t>131</w:t>
      </w:r>
      <w:r w:rsidR="00A41A72" w:rsidRPr="004542B5">
        <w:rPr>
          <w:rFonts w:cs="Verdana"/>
          <w:noProof w:val="0"/>
          <w:szCs w:val="20"/>
          <w:lang w:val="en-US"/>
        </w:rPr>
        <w:t xml:space="preserve">). </w:t>
      </w:r>
      <w:r w:rsidRPr="004542B5">
        <w:rPr>
          <w:rFonts w:cs="Verdana"/>
          <w:noProof w:val="0"/>
          <w:szCs w:val="20"/>
          <w:lang w:val="en-US"/>
        </w:rPr>
        <w:t xml:space="preserve">To this end, it will abide by the principle of sound </w:t>
      </w:r>
      <w:r w:rsidRPr="004542B5">
        <w:rPr>
          <w:rFonts w:cs="Verdana"/>
          <w:noProof w:val="0"/>
          <w:szCs w:val="20"/>
          <w:lang w:val="en-US"/>
        </w:rPr>
        <w:lastRenderedPageBreak/>
        <w:t>judicial discretion within the corresponding legal framework, taking into account the whole body of evidence and the arguments submitted in the case.</w:t>
      </w:r>
      <w:r w:rsidR="000A6353" w:rsidRPr="004542B5">
        <w:rPr>
          <w:rFonts w:cs="Verdana"/>
          <w:noProof w:val="0"/>
          <w:szCs w:val="20"/>
          <w:vertAlign w:val="superscript"/>
          <w:lang w:val="en-US"/>
        </w:rPr>
        <w:footnoteReference w:id="46"/>
      </w:r>
      <w:r w:rsidR="00A41A72" w:rsidRPr="004542B5">
        <w:rPr>
          <w:rFonts w:cs="Verdana"/>
          <w:noProof w:val="0"/>
          <w:szCs w:val="20"/>
          <w:lang w:val="en-US"/>
        </w:rPr>
        <w:t xml:space="preserve"> </w:t>
      </w:r>
    </w:p>
    <w:p w14:paraId="2E99C195" w14:textId="52289603" w:rsidR="00E51798" w:rsidRPr="004542B5" w:rsidRDefault="004D2910" w:rsidP="00E01664">
      <w:pPr>
        <w:pStyle w:val="ListParagraph"/>
        <w:numPr>
          <w:ilvl w:val="0"/>
          <w:numId w:val="2"/>
        </w:numPr>
        <w:spacing w:before="120" w:after="120"/>
        <w:contextualSpacing w:val="0"/>
        <w:rPr>
          <w:noProof w:val="0"/>
          <w:lang w:val="en-US"/>
        </w:rPr>
      </w:pPr>
      <w:r w:rsidRPr="004542B5">
        <w:rPr>
          <w:noProof w:val="0"/>
          <w:lang w:val="en-US"/>
        </w:rPr>
        <w:t xml:space="preserve">In addition, the statements made by </w:t>
      </w:r>
      <w:r w:rsidR="00F3300A" w:rsidRPr="004542B5">
        <w:rPr>
          <w:noProof w:val="0"/>
          <w:lang w:val="en-US"/>
        </w:rPr>
        <w:t>the presumed victims</w:t>
      </w:r>
      <w:r w:rsidRPr="004542B5">
        <w:rPr>
          <w:noProof w:val="0"/>
          <w:lang w:val="en-US"/>
        </w:rPr>
        <w:t xml:space="preserve"> will be assessed in the context of all the evidence in the proceedings to the extent that it may provide further information on the presumed violations and their consequences.</w:t>
      </w:r>
      <w:r w:rsidR="0052636A" w:rsidRPr="004542B5">
        <w:rPr>
          <w:rStyle w:val="FootnoteReference"/>
          <w:noProof w:val="0"/>
          <w:lang w:val="en-US"/>
        </w:rPr>
        <w:footnoteReference w:id="47"/>
      </w:r>
      <w:r w:rsidR="00A41A72" w:rsidRPr="004542B5">
        <w:rPr>
          <w:noProof w:val="0"/>
          <w:lang w:val="en-US"/>
        </w:rPr>
        <w:t xml:space="preserve"> </w:t>
      </w:r>
      <w:r w:rsidRPr="004542B5">
        <w:rPr>
          <w:rFonts w:cs="Verdana"/>
          <w:noProof w:val="0"/>
          <w:szCs w:val="20"/>
          <w:lang w:val="en-US"/>
        </w:rPr>
        <w:t>Regarding the</w:t>
      </w:r>
      <w:r w:rsidR="00A41A72" w:rsidRPr="004542B5">
        <w:rPr>
          <w:rFonts w:cs="Verdana"/>
          <w:noProof w:val="0"/>
          <w:szCs w:val="20"/>
          <w:lang w:val="en-US"/>
        </w:rPr>
        <w:t xml:space="preserve"> </w:t>
      </w:r>
      <w:r w:rsidRPr="004542B5">
        <w:rPr>
          <w:rFonts w:cs="Verdana"/>
          <w:noProof w:val="0"/>
          <w:szCs w:val="20"/>
          <w:lang w:val="en-US"/>
        </w:rPr>
        <w:t>a</w:t>
      </w:r>
      <w:r w:rsidR="00562CBB" w:rsidRPr="004542B5">
        <w:rPr>
          <w:rFonts w:cs="Verdana"/>
          <w:noProof w:val="0"/>
          <w:szCs w:val="20"/>
          <w:lang w:val="en-US"/>
        </w:rPr>
        <w:t>rticle</w:t>
      </w:r>
      <w:r w:rsidR="00A41A72" w:rsidRPr="004542B5">
        <w:rPr>
          <w:rFonts w:cs="Verdana"/>
          <w:noProof w:val="0"/>
          <w:szCs w:val="20"/>
          <w:lang w:val="en-US"/>
        </w:rPr>
        <w:t>s o</w:t>
      </w:r>
      <w:r w:rsidRPr="004542B5">
        <w:rPr>
          <w:rFonts w:cs="Verdana"/>
          <w:noProof w:val="0"/>
          <w:szCs w:val="20"/>
          <w:lang w:val="en-US"/>
        </w:rPr>
        <w:t>r texts which refer to facts that relate to this case, their assessment is not subject to the formalities r</w:t>
      </w:r>
      <w:r w:rsidR="004856EA" w:rsidRPr="004542B5">
        <w:rPr>
          <w:rFonts w:cs="Verdana"/>
          <w:noProof w:val="0"/>
          <w:szCs w:val="20"/>
          <w:lang w:val="en-US"/>
        </w:rPr>
        <w:t>e</w:t>
      </w:r>
      <w:r w:rsidRPr="004542B5">
        <w:rPr>
          <w:rFonts w:cs="Verdana"/>
          <w:noProof w:val="0"/>
          <w:szCs w:val="20"/>
          <w:lang w:val="en-US"/>
        </w:rPr>
        <w:t>qu</w:t>
      </w:r>
      <w:r w:rsidR="004856EA" w:rsidRPr="004542B5">
        <w:rPr>
          <w:rFonts w:cs="Verdana"/>
          <w:noProof w:val="0"/>
          <w:szCs w:val="20"/>
          <w:lang w:val="en-US"/>
        </w:rPr>
        <w:t>i</w:t>
      </w:r>
      <w:r w:rsidRPr="004542B5">
        <w:rPr>
          <w:rFonts w:cs="Verdana"/>
          <w:noProof w:val="0"/>
          <w:szCs w:val="20"/>
          <w:lang w:val="en-US"/>
        </w:rPr>
        <w:t>red for testimonial evidence, and their probative value will depend on whether they corroborate or refer to aspects related to this specific case.</w:t>
      </w:r>
      <w:r w:rsidR="00A41A72" w:rsidRPr="004542B5">
        <w:rPr>
          <w:rStyle w:val="FootnoteReference"/>
          <w:noProof w:val="0"/>
          <w:lang w:val="en-US"/>
        </w:rPr>
        <w:footnoteReference w:id="48"/>
      </w:r>
    </w:p>
    <w:p w14:paraId="5BA43829" w14:textId="1346A9D5" w:rsidR="00DC5DDA" w:rsidRPr="004542B5" w:rsidRDefault="007B47B1" w:rsidP="00E01664">
      <w:pPr>
        <w:pStyle w:val="Heading1"/>
        <w:rPr>
          <w:rFonts w:cs="Tahoma"/>
          <w:noProof w:val="0"/>
          <w:szCs w:val="18"/>
          <w:lang w:val="en-US"/>
        </w:rPr>
      </w:pPr>
      <w:bookmarkStart w:id="156" w:name="_Toc45200868"/>
      <w:r w:rsidRPr="004542B5">
        <w:rPr>
          <w:rFonts w:eastAsia="Batang" w:cs="Times"/>
          <w:bCs w:val="0"/>
          <w:caps w:val="0"/>
          <w:noProof w:val="0"/>
          <w:snapToGrid/>
          <w:szCs w:val="24"/>
          <w:lang w:val="en-US" w:eastAsia="en-US"/>
        </w:rPr>
        <w:t>VI</w:t>
      </w:r>
      <w:bookmarkStart w:id="157" w:name="_Toc383188372"/>
      <w:r w:rsidRPr="004542B5">
        <w:rPr>
          <w:rFonts w:eastAsia="Batang" w:cs="Times"/>
          <w:bCs w:val="0"/>
          <w:caps w:val="0"/>
          <w:noProof w:val="0"/>
          <w:snapToGrid/>
          <w:color w:val="FFFFFF" w:themeColor="background1"/>
          <w:szCs w:val="24"/>
          <w:lang w:val="en-US" w:eastAsia="en-US"/>
        </w:rPr>
        <w:t>.</w:t>
      </w:r>
      <w:r w:rsidRPr="004542B5">
        <w:rPr>
          <w:rFonts w:eastAsia="Batang" w:cs="Times"/>
          <w:bCs w:val="0"/>
          <w:caps w:val="0"/>
          <w:noProof w:val="0"/>
          <w:snapToGrid/>
          <w:szCs w:val="24"/>
          <w:lang w:val="en-US" w:eastAsia="en-US"/>
        </w:rPr>
        <w:t xml:space="preserve"> </w:t>
      </w:r>
      <w:r w:rsidRPr="004542B5">
        <w:rPr>
          <w:rFonts w:eastAsia="Batang" w:cs="Times"/>
          <w:bCs w:val="0"/>
          <w:caps w:val="0"/>
          <w:noProof w:val="0"/>
          <w:snapToGrid/>
          <w:szCs w:val="24"/>
          <w:lang w:val="en-US" w:eastAsia="en-US"/>
        </w:rPr>
        <w:br/>
      </w:r>
      <w:r w:rsidR="00AD34D8" w:rsidRPr="004542B5">
        <w:rPr>
          <w:rFonts w:cs="Tahoma"/>
          <w:noProof w:val="0"/>
          <w:szCs w:val="18"/>
          <w:lang w:val="en-US"/>
        </w:rPr>
        <w:t>FACTS</w:t>
      </w:r>
      <w:bookmarkEnd w:id="156"/>
      <w:bookmarkEnd w:id="157"/>
    </w:p>
    <w:p w14:paraId="460B5E3A" w14:textId="6E7A383A" w:rsidR="003252C0" w:rsidRPr="004542B5" w:rsidRDefault="004D2910" w:rsidP="004856EA">
      <w:pPr>
        <w:pStyle w:val="ListParagraph"/>
        <w:numPr>
          <w:ilvl w:val="0"/>
          <w:numId w:val="2"/>
        </w:numPr>
        <w:spacing w:before="120"/>
        <w:contextualSpacing w:val="0"/>
        <w:rPr>
          <w:rFonts w:cs="Tahoma"/>
          <w:noProof w:val="0"/>
          <w:szCs w:val="20"/>
          <w:lang w:val="en-US"/>
        </w:rPr>
      </w:pPr>
      <w:bookmarkStart w:id="158" w:name="_Toc383161743"/>
      <w:r w:rsidRPr="004542B5">
        <w:rPr>
          <w:rFonts w:cs="Tahoma"/>
          <w:noProof w:val="0"/>
          <w:szCs w:val="20"/>
          <w:lang w:val="en-US"/>
        </w:rPr>
        <w:t>In this</w:t>
      </w:r>
      <w:r w:rsidR="00843925" w:rsidRPr="004542B5">
        <w:rPr>
          <w:rFonts w:cs="Tahoma"/>
          <w:noProof w:val="0"/>
          <w:szCs w:val="20"/>
          <w:lang w:val="en-US"/>
        </w:rPr>
        <w:t xml:space="preserve"> </w:t>
      </w:r>
      <w:r w:rsidRPr="004542B5">
        <w:rPr>
          <w:rFonts w:cs="Tahoma"/>
          <w:noProof w:val="0"/>
          <w:szCs w:val="20"/>
          <w:lang w:val="en-US"/>
        </w:rPr>
        <w:t>c</w:t>
      </w:r>
      <w:r w:rsidR="0093764D" w:rsidRPr="004542B5">
        <w:rPr>
          <w:rFonts w:cs="Tahoma"/>
          <w:noProof w:val="0"/>
          <w:szCs w:val="20"/>
          <w:lang w:val="en-US"/>
        </w:rPr>
        <w:t>hapter</w:t>
      </w:r>
      <w:r w:rsidR="00843925" w:rsidRPr="004542B5">
        <w:rPr>
          <w:rFonts w:cs="Tahoma"/>
          <w:noProof w:val="0"/>
          <w:szCs w:val="20"/>
          <w:lang w:val="en-US"/>
        </w:rPr>
        <w:t xml:space="preserve"> </w:t>
      </w:r>
      <w:r w:rsidR="00562CBB" w:rsidRPr="004542B5">
        <w:rPr>
          <w:rFonts w:cs="Tahoma"/>
          <w:noProof w:val="0"/>
          <w:szCs w:val="20"/>
          <w:lang w:val="en-US"/>
        </w:rPr>
        <w:t>the Court</w:t>
      </w:r>
      <w:r w:rsidR="00843925" w:rsidRPr="004542B5">
        <w:rPr>
          <w:rFonts w:cs="Tahoma"/>
          <w:noProof w:val="0"/>
          <w:szCs w:val="20"/>
          <w:lang w:val="en-US"/>
        </w:rPr>
        <w:t xml:space="preserve"> </w:t>
      </w:r>
      <w:r w:rsidR="004856EA" w:rsidRPr="004542B5">
        <w:rPr>
          <w:rFonts w:cs="Tahoma"/>
          <w:noProof w:val="0"/>
          <w:szCs w:val="20"/>
          <w:lang w:val="en-US"/>
        </w:rPr>
        <w:t>will refer to certain relevant events that took place before the State had accepted the contentious jurisdiction of the Court (</w:t>
      </w:r>
      <w:r w:rsidR="004856EA" w:rsidRPr="004542B5">
        <w:rPr>
          <w:rFonts w:cs="Tahoma"/>
          <w:i/>
          <w:noProof w:val="0"/>
          <w:szCs w:val="20"/>
          <w:lang w:val="en-US"/>
        </w:rPr>
        <w:t>supra</w:t>
      </w:r>
      <w:r w:rsidR="004856EA" w:rsidRPr="004542B5">
        <w:rPr>
          <w:rFonts w:cs="Tahoma"/>
          <w:noProof w:val="0"/>
          <w:szCs w:val="20"/>
          <w:lang w:val="en-US"/>
        </w:rPr>
        <w:t xml:space="preserve"> para. 14), which will only be taken into account to clarify the factual framework of this case. These events will be described in the following order: (a) the Kuna and Emberá indigenous peoples in Panama and the domestic legal framework; (b) the construction of the Bayano Hydroelectric Complex and transfer of the indigenous population; (c) the e</w:t>
      </w:r>
      <w:r w:rsidR="00AD34D8" w:rsidRPr="004542B5">
        <w:rPr>
          <w:rFonts w:cs="Tahoma"/>
          <w:noProof w:val="0"/>
          <w:szCs w:val="18"/>
          <w:lang w:val="en-US"/>
        </w:rPr>
        <w:t>vents that occurred after the transfer of the indigenous population</w:t>
      </w:r>
      <w:r w:rsidR="00843925" w:rsidRPr="004542B5">
        <w:rPr>
          <w:rFonts w:cs="Tahoma"/>
          <w:noProof w:val="0"/>
          <w:szCs w:val="20"/>
          <w:lang w:val="en-US"/>
        </w:rPr>
        <w:t xml:space="preserve">; </w:t>
      </w:r>
      <w:r w:rsidR="00DC28E4" w:rsidRPr="004542B5">
        <w:rPr>
          <w:rFonts w:cs="Tahoma"/>
          <w:noProof w:val="0"/>
          <w:szCs w:val="20"/>
          <w:lang w:val="en-US"/>
        </w:rPr>
        <w:t>(</w:t>
      </w:r>
      <w:r w:rsidR="00843925" w:rsidRPr="004542B5">
        <w:rPr>
          <w:rFonts w:cs="Tahoma"/>
          <w:noProof w:val="0"/>
          <w:szCs w:val="20"/>
          <w:lang w:val="en-US"/>
        </w:rPr>
        <w:t xml:space="preserve">d) </w:t>
      </w:r>
      <w:r w:rsidR="004856EA" w:rsidRPr="004542B5">
        <w:rPr>
          <w:rFonts w:cs="Tahoma"/>
          <w:noProof w:val="0"/>
          <w:szCs w:val="20"/>
          <w:lang w:val="en-US"/>
        </w:rPr>
        <w:t xml:space="preserve">the incursions of non-indigenous persons and the creation of the </w:t>
      </w:r>
      <w:r w:rsidR="00843925" w:rsidRPr="004542B5">
        <w:rPr>
          <w:rFonts w:cs="Tahoma"/>
          <w:noProof w:val="0"/>
          <w:szCs w:val="20"/>
          <w:lang w:val="en-US"/>
        </w:rPr>
        <w:t xml:space="preserve">Kuna </w:t>
      </w:r>
      <w:r w:rsidR="004856EA" w:rsidRPr="004542B5">
        <w:rPr>
          <w:rFonts w:cs="Tahoma"/>
          <w:noProof w:val="0"/>
          <w:szCs w:val="20"/>
          <w:lang w:val="en-US"/>
        </w:rPr>
        <w:t>Comarca of</w:t>
      </w:r>
      <w:r w:rsidR="00843925" w:rsidRPr="004542B5">
        <w:rPr>
          <w:rFonts w:cs="Tahoma"/>
          <w:noProof w:val="0"/>
          <w:szCs w:val="20"/>
          <w:lang w:val="en-US"/>
        </w:rPr>
        <w:t xml:space="preserve"> Madungandí (1990-1996); </w:t>
      </w:r>
      <w:r w:rsidR="004856EA" w:rsidRPr="004542B5">
        <w:rPr>
          <w:rFonts w:cs="Tahoma"/>
          <w:noProof w:val="0"/>
          <w:szCs w:val="20"/>
          <w:lang w:val="en-US"/>
        </w:rPr>
        <w:t>(</w:t>
      </w:r>
      <w:r w:rsidR="00843925" w:rsidRPr="004542B5">
        <w:rPr>
          <w:rFonts w:cs="Tahoma"/>
          <w:noProof w:val="0"/>
          <w:szCs w:val="20"/>
          <w:lang w:val="en-US"/>
        </w:rPr>
        <w:t xml:space="preserve">e) </w:t>
      </w:r>
      <w:r w:rsidR="004856EA" w:rsidRPr="004542B5">
        <w:rPr>
          <w:rFonts w:cs="Tahoma"/>
          <w:noProof w:val="0"/>
          <w:szCs w:val="20"/>
          <w:lang w:val="en-US"/>
        </w:rPr>
        <w:t xml:space="preserve">the Negotiation Tables of the Daríén Sustainable Development Program </w:t>
      </w:r>
      <w:r w:rsidR="00843925" w:rsidRPr="004542B5">
        <w:rPr>
          <w:rFonts w:cs="Tahoma"/>
          <w:noProof w:val="0"/>
          <w:szCs w:val="20"/>
          <w:lang w:val="en-US"/>
        </w:rPr>
        <w:t>(1996-2001)</w:t>
      </w:r>
      <w:r w:rsidR="00CD2B90" w:rsidRPr="004542B5">
        <w:rPr>
          <w:rFonts w:cs="Tahoma"/>
          <w:noProof w:val="0"/>
          <w:szCs w:val="20"/>
          <w:lang w:val="en-US"/>
        </w:rPr>
        <w:t xml:space="preserve"> and </w:t>
      </w:r>
      <w:r w:rsidR="004856EA" w:rsidRPr="004542B5">
        <w:rPr>
          <w:rFonts w:cs="Tahoma"/>
          <w:noProof w:val="0"/>
          <w:szCs w:val="20"/>
          <w:lang w:val="en-US"/>
        </w:rPr>
        <w:t>the</w:t>
      </w:r>
      <w:r w:rsidR="00843925" w:rsidRPr="004542B5">
        <w:rPr>
          <w:rFonts w:cs="Tahoma"/>
          <w:noProof w:val="0"/>
          <w:szCs w:val="20"/>
          <w:lang w:val="en-US"/>
        </w:rPr>
        <w:t xml:space="preserve"> </w:t>
      </w:r>
      <w:r w:rsidR="00B201CC" w:rsidRPr="004542B5">
        <w:rPr>
          <w:rFonts w:cs="Tahoma"/>
          <w:noProof w:val="0"/>
          <w:szCs w:val="20"/>
          <w:lang w:val="en-US"/>
        </w:rPr>
        <w:t>demarcation of the Kuna Comarca of Madungandí</w:t>
      </w:r>
      <w:r w:rsidR="00843925" w:rsidRPr="004542B5">
        <w:rPr>
          <w:rFonts w:cs="Tahoma"/>
          <w:noProof w:val="0"/>
          <w:szCs w:val="20"/>
          <w:lang w:val="en-US"/>
        </w:rPr>
        <w:t xml:space="preserve">; </w:t>
      </w:r>
      <w:r w:rsidR="004856EA" w:rsidRPr="004542B5">
        <w:rPr>
          <w:rFonts w:cs="Tahoma"/>
          <w:noProof w:val="0"/>
          <w:szCs w:val="20"/>
          <w:lang w:val="en-US"/>
        </w:rPr>
        <w:t>(</w:t>
      </w:r>
      <w:r w:rsidR="00843925" w:rsidRPr="004542B5">
        <w:rPr>
          <w:rFonts w:cs="Tahoma"/>
          <w:noProof w:val="0"/>
          <w:szCs w:val="20"/>
          <w:lang w:val="en-US"/>
        </w:rPr>
        <w:t xml:space="preserve">f) </w:t>
      </w:r>
      <w:r w:rsidR="004856EA" w:rsidRPr="004542B5">
        <w:rPr>
          <w:rFonts w:cs="Tahoma"/>
          <w:noProof w:val="0"/>
          <w:szCs w:val="20"/>
          <w:lang w:val="en-US"/>
        </w:rPr>
        <w:t>the</w:t>
      </w:r>
      <w:r w:rsidR="00843925" w:rsidRPr="004542B5">
        <w:rPr>
          <w:rFonts w:cs="Tahoma"/>
          <w:noProof w:val="0"/>
          <w:szCs w:val="20"/>
          <w:lang w:val="en-US"/>
        </w:rPr>
        <w:t xml:space="preserve"> </w:t>
      </w:r>
      <w:r w:rsidR="004856EA" w:rsidRPr="004542B5">
        <w:rPr>
          <w:rFonts w:cs="Tahoma"/>
          <w:noProof w:val="0"/>
          <w:szCs w:val="20"/>
          <w:lang w:val="en-US"/>
        </w:rPr>
        <w:t>a</w:t>
      </w:r>
      <w:r w:rsidR="00B201CC" w:rsidRPr="004542B5">
        <w:rPr>
          <w:rFonts w:cs="Tahoma"/>
          <w:noProof w:val="0"/>
          <w:szCs w:val="20"/>
          <w:lang w:val="en-US"/>
        </w:rPr>
        <w:t>ttempt to reach a friendly settlement agreement before</w:t>
      </w:r>
      <w:r w:rsidR="00843925" w:rsidRPr="004542B5">
        <w:rPr>
          <w:rFonts w:cs="Tahoma"/>
          <w:noProof w:val="0"/>
          <w:szCs w:val="20"/>
          <w:lang w:val="en-US"/>
        </w:rPr>
        <w:t xml:space="preserve"> </w:t>
      </w:r>
      <w:r w:rsidR="00562CBB" w:rsidRPr="004542B5">
        <w:rPr>
          <w:rFonts w:cs="Tahoma"/>
          <w:noProof w:val="0"/>
          <w:szCs w:val="20"/>
          <w:lang w:val="en-US"/>
        </w:rPr>
        <w:t>the Inter-American Commission on Human Rights</w:t>
      </w:r>
      <w:r w:rsidR="00DC28E4" w:rsidRPr="004542B5">
        <w:rPr>
          <w:rFonts w:cs="Tahoma"/>
          <w:noProof w:val="0"/>
          <w:szCs w:val="20"/>
          <w:lang w:val="en-US"/>
        </w:rPr>
        <w:t>,</w:t>
      </w:r>
      <w:r w:rsidR="00CD2B90" w:rsidRPr="004542B5">
        <w:rPr>
          <w:rFonts w:cs="Tahoma"/>
          <w:noProof w:val="0"/>
          <w:szCs w:val="20"/>
          <w:lang w:val="en-US"/>
        </w:rPr>
        <w:t xml:space="preserve"> and </w:t>
      </w:r>
      <w:r w:rsidR="00562CBB" w:rsidRPr="004542B5">
        <w:rPr>
          <w:rFonts w:cs="Tahoma"/>
          <w:noProof w:val="0"/>
          <w:szCs w:val="20"/>
          <w:lang w:val="en-US"/>
        </w:rPr>
        <w:t xml:space="preserve">the </w:t>
      </w:r>
      <w:r w:rsidR="00B201CC" w:rsidRPr="004542B5">
        <w:rPr>
          <w:rFonts w:cs="Tahoma"/>
          <w:noProof w:val="0"/>
          <w:szCs w:val="20"/>
          <w:lang w:val="en-US"/>
        </w:rPr>
        <w:t xml:space="preserve">Indigenous </w:t>
      </w:r>
      <w:r w:rsidR="00DC28E4" w:rsidRPr="004542B5">
        <w:rPr>
          <w:rFonts w:cs="Tahoma"/>
          <w:noProof w:val="0"/>
          <w:szCs w:val="20"/>
          <w:lang w:val="en-US"/>
        </w:rPr>
        <w:t>P</w:t>
      </w:r>
      <w:r w:rsidR="00B201CC" w:rsidRPr="004542B5">
        <w:rPr>
          <w:rFonts w:cs="Tahoma"/>
          <w:noProof w:val="0"/>
          <w:szCs w:val="20"/>
          <w:lang w:val="en-US"/>
        </w:rPr>
        <w:t>eoples - Government Commission</w:t>
      </w:r>
      <w:r w:rsidR="00843925" w:rsidRPr="004542B5">
        <w:rPr>
          <w:rFonts w:cs="Tahoma"/>
          <w:noProof w:val="0"/>
          <w:szCs w:val="20"/>
          <w:lang w:val="en-US"/>
        </w:rPr>
        <w:t xml:space="preserve"> (2001 – 2006); </w:t>
      </w:r>
      <w:r w:rsidR="004856EA" w:rsidRPr="004542B5">
        <w:rPr>
          <w:rFonts w:cs="Tahoma"/>
          <w:noProof w:val="0"/>
          <w:szCs w:val="20"/>
          <w:lang w:val="en-US"/>
        </w:rPr>
        <w:t>(</w:t>
      </w:r>
      <w:r w:rsidR="00843925" w:rsidRPr="004542B5">
        <w:rPr>
          <w:rFonts w:cs="Tahoma"/>
          <w:noProof w:val="0"/>
          <w:szCs w:val="20"/>
          <w:lang w:val="en-US"/>
        </w:rPr>
        <w:t xml:space="preserve">g) </w:t>
      </w:r>
      <w:r w:rsidR="004856EA" w:rsidRPr="004542B5">
        <w:rPr>
          <w:rFonts w:cs="Tahoma"/>
          <w:noProof w:val="0"/>
          <w:szCs w:val="20"/>
          <w:lang w:val="en-US"/>
        </w:rPr>
        <w:t xml:space="preserve">the </w:t>
      </w:r>
      <w:r w:rsidR="004856EA" w:rsidRPr="004542B5">
        <w:rPr>
          <w:rFonts w:cs="Tahoma"/>
          <w:noProof w:val="0"/>
          <w:lang w:val="en-US"/>
        </w:rPr>
        <w:t>creation of the High-</w:t>
      </w:r>
      <w:r w:rsidR="00DC28E4" w:rsidRPr="004542B5">
        <w:rPr>
          <w:rFonts w:cs="Tahoma"/>
          <w:noProof w:val="0"/>
          <w:lang w:val="en-US"/>
        </w:rPr>
        <w:t>l</w:t>
      </w:r>
      <w:r w:rsidR="004856EA" w:rsidRPr="004542B5">
        <w:rPr>
          <w:rFonts w:cs="Tahoma"/>
          <w:noProof w:val="0"/>
          <w:lang w:val="en-US"/>
        </w:rPr>
        <w:t>evel Presidential Commission</w:t>
      </w:r>
      <w:r w:rsidR="00843925" w:rsidRPr="004542B5">
        <w:rPr>
          <w:rFonts w:cs="Tahoma"/>
          <w:noProof w:val="0"/>
          <w:lang w:val="en-US"/>
        </w:rPr>
        <w:t xml:space="preserve">, </w:t>
      </w:r>
      <w:r w:rsidR="00C5686B" w:rsidRPr="004542B5">
        <w:rPr>
          <w:rFonts w:cs="Tahoma"/>
          <w:noProof w:val="0"/>
          <w:lang w:val="en-US"/>
        </w:rPr>
        <w:t xml:space="preserve">the establishment of a procedure for the adjudication of the communal ownership of indigenous lands and the </w:t>
      </w:r>
      <w:r w:rsidR="00B201CC" w:rsidRPr="004542B5">
        <w:rPr>
          <w:rFonts w:cs="Tahoma"/>
          <w:noProof w:val="0"/>
          <w:lang w:val="en-US"/>
        </w:rPr>
        <w:t>delimitation of Emberá lands</w:t>
      </w:r>
      <w:r w:rsidR="00843925" w:rsidRPr="004542B5">
        <w:rPr>
          <w:rFonts w:cs="Tahoma"/>
          <w:noProof w:val="0"/>
          <w:lang w:val="en-US"/>
        </w:rPr>
        <w:t xml:space="preserve"> (2007-2013),</w:t>
      </w:r>
      <w:r w:rsidR="00CD2B90" w:rsidRPr="004542B5">
        <w:rPr>
          <w:rFonts w:cs="Tahoma"/>
          <w:noProof w:val="0"/>
          <w:lang w:val="en-US"/>
        </w:rPr>
        <w:t xml:space="preserve"> and </w:t>
      </w:r>
      <w:r w:rsidR="00C5686B" w:rsidRPr="004542B5">
        <w:rPr>
          <w:rFonts w:cs="Tahoma"/>
          <w:noProof w:val="0"/>
          <w:lang w:val="en-US"/>
        </w:rPr>
        <w:t>(</w:t>
      </w:r>
      <w:r w:rsidR="00843925" w:rsidRPr="004542B5">
        <w:rPr>
          <w:rFonts w:cs="Tahoma"/>
          <w:noProof w:val="0"/>
          <w:lang w:val="en-US"/>
        </w:rPr>
        <w:t xml:space="preserve">h) </w:t>
      </w:r>
      <w:r w:rsidR="00C5686B" w:rsidRPr="004542B5">
        <w:rPr>
          <w:rFonts w:cs="Tahoma"/>
          <w:noProof w:val="0"/>
          <w:lang w:val="en-US"/>
        </w:rPr>
        <w:t>the a</w:t>
      </w:r>
      <w:r w:rsidR="00B201CC" w:rsidRPr="004542B5">
        <w:rPr>
          <w:rFonts w:cs="Tahoma"/>
          <w:noProof w:val="0"/>
          <w:lang w:val="en-US"/>
        </w:rPr>
        <w:t>dministrative and judicial actions file</w:t>
      </w:r>
      <w:r w:rsidR="00C5686B" w:rsidRPr="004542B5">
        <w:rPr>
          <w:rFonts w:cs="Tahoma"/>
          <w:noProof w:val="0"/>
          <w:lang w:val="en-US"/>
        </w:rPr>
        <w:t>d</w:t>
      </w:r>
      <w:r w:rsidR="00B201CC" w:rsidRPr="004542B5">
        <w:rPr>
          <w:rFonts w:cs="Tahoma"/>
          <w:noProof w:val="0"/>
          <w:lang w:val="en-US"/>
        </w:rPr>
        <w:t xml:space="preserve"> by</w:t>
      </w:r>
      <w:r w:rsidR="00843925" w:rsidRPr="004542B5">
        <w:rPr>
          <w:rFonts w:cs="Tahoma"/>
          <w:noProof w:val="0"/>
          <w:lang w:val="en-US"/>
        </w:rPr>
        <w:t xml:space="preserve"> </w:t>
      </w:r>
      <w:r w:rsidR="003C263F" w:rsidRPr="004542B5">
        <w:rPr>
          <w:rFonts w:cs="Tahoma"/>
          <w:noProof w:val="0"/>
          <w:lang w:val="en-US"/>
        </w:rPr>
        <w:t>the Kuna and Emberá peoples</w:t>
      </w:r>
      <w:r w:rsidR="00843925" w:rsidRPr="004542B5">
        <w:rPr>
          <w:rFonts w:cs="Tahoma"/>
          <w:noProof w:val="0"/>
          <w:lang w:val="en-US"/>
        </w:rPr>
        <w:t xml:space="preserve"> </w:t>
      </w:r>
      <w:r w:rsidR="00C5686B" w:rsidRPr="004542B5">
        <w:rPr>
          <w:rFonts w:cs="Tahoma"/>
          <w:noProof w:val="0"/>
          <w:lang w:val="en-US"/>
        </w:rPr>
        <w:t>to protect their lands</w:t>
      </w:r>
      <w:r w:rsidR="00970B0F" w:rsidRPr="004542B5">
        <w:rPr>
          <w:rFonts w:cs="Tahoma"/>
          <w:noProof w:val="0"/>
          <w:lang w:val="en-US"/>
        </w:rPr>
        <w:t>.</w:t>
      </w:r>
    </w:p>
    <w:p w14:paraId="3D2AAF09" w14:textId="2B422E58" w:rsidR="00DC5DDA" w:rsidRPr="004542B5" w:rsidRDefault="00447676" w:rsidP="00E01664">
      <w:pPr>
        <w:pStyle w:val="Heading2"/>
        <w:numPr>
          <w:ilvl w:val="0"/>
          <w:numId w:val="33"/>
        </w:numPr>
        <w:rPr>
          <w:rFonts w:cs="Tahoma"/>
          <w:b w:val="0"/>
          <w:i w:val="0"/>
          <w:noProof w:val="0"/>
          <w:szCs w:val="18"/>
          <w:lang w:val="en-US"/>
        </w:rPr>
      </w:pPr>
      <w:bookmarkStart w:id="159" w:name="_Toc393988454"/>
      <w:bookmarkStart w:id="160" w:name="_Toc394003958"/>
      <w:bookmarkStart w:id="161" w:name="_Toc45200869"/>
      <w:bookmarkEnd w:id="158"/>
      <w:bookmarkEnd w:id="159"/>
      <w:bookmarkEnd w:id="160"/>
      <w:r w:rsidRPr="004542B5">
        <w:rPr>
          <w:rFonts w:cs="Tahoma"/>
          <w:noProof w:val="0"/>
          <w:szCs w:val="18"/>
          <w:lang w:val="en-US"/>
        </w:rPr>
        <w:t>Kuna and Emberá indigenous peoples in Panama; domestic legal framework</w:t>
      </w:r>
      <w:bookmarkEnd w:id="161"/>
    </w:p>
    <w:p w14:paraId="2989CF8D" w14:textId="39B4894C" w:rsidR="00DC5DDA" w:rsidRPr="004542B5" w:rsidRDefault="00447676" w:rsidP="00E01664">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Panama has an indigenous population of</w:t>
      </w:r>
      <w:r w:rsidR="00843925" w:rsidRPr="004542B5">
        <w:rPr>
          <w:rFonts w:cs="Tahoma"/>
          <w:noProof w:val="0"/>
          <w:szCs w:val="20"/>
          <w:lang w:val="en-US"/>
        </w:rPr>
        <w:t xml:space="preserve"> 417,559 persons, represent</w:t>
      </w:r>
      <w:r w:rsidRPr="004542B5">
        <w:rPr>
          <w:rFonts w:cs="Tahoma"/>
          <w:noProof w:val="0"/>
          <w:szCs w:val="20"/>
          <w:lang w:val="en-US"/>
        </w:rPr>
        <w:t xml:space="preserve">ing </w:t>
      </w:r>
      <w:r w:rsidR="00843925" w:rsidRPr="004542B5">
        <w:rPr>
          <w:rFonts w:cs="Tahoma"/>
          <w:noProof w:val="0"/>
          <w:szCs w:val="20"/>
          <w:lang w:val="en-US"/>
        </w:rPr>
        <w:t xml:space="preserve">12.3% </w:t>
      </w:r>
      <w:r w:rsidRPr="004542B5">
        <w:rPr>
          <w:rFonts w:cs="Tahoma"/>
          <w:noProof w:val="0"/>
          <w:szCs w:val="20"/>
          <w:lang w:val="en-US"/>
        </w:rPr>
        <w:t>of the population according to the 2010 census.</w:t>
      </w:r>
      <w:r w:rsidR="00843925" w:rsidRPr="004542B5">
        <w:rPr>
          <w:rStyle w:val="FootnoteReference"/>
          <w:noProof w:val="0"/>
          <w:lang w:val="en-US"/>
        </w:rPr>
        <w:footnoteReference w:id="49"/>
      </w:r>
      <w:r w:rsidR="00843925" w:rsidRPr="004542B5">
        <w:rPr>
          <w:rFonts w:cs="Tahoma"/>
          <w:noProof w:val="0"/>
          <w:szCs w:val="20"/>
          <w:lang w:val="en-US"/>
        </w:rPr>
        <w:t xml:space="preserve"> </w:t>
      </w:r>
      <w:r w:rsidRPr="004542B5">
        <w:rPr>
          <w:rFonts w:cs="Tahoma"/>
          <w:noProof w:val="0"/>
          <w:szCs w:val="20"/>
          <w:lang w:val="en-US"/>
        </w:rPr>
        <w:t>The indigenous peoples of</w:t>
      </w:r>
      <w:r w:rsidR="00843925" w:rsidRPr="004542B5">
        <w:rPr>
          <w:rFonts w:cs="Tahoma"/>
          <w:noProof w:val="0"/>
          <w:szCs w:val="20"/>
          <w:lang w:val="en-US"/>
        </w:rPr>
        <w:t xml:space="preserve"> </w:t>
      </w:r>
      <w:r w:rsidR="00562CBB" w:rsidRPr="004542B5">
        <w:rPr>
          <w:rFonts w:cs="Tahoma"/>
          <w:noProof w:val="0"/>
          <w:szCs w:val="20"/>
          <w:lang w:val="en-US"/>
        </w:rPr>
        <w:t>Panama</w:t>
      </w:r>
      <w:r w:rsidR="00843925" w:rsidRPr="004542B5">
        <w:rPr>
          <w:rFonts w:cs="Tahoma"/>
          <w:noProof w:val="0"/>
          <w:szCs w:val="20"/>
          <w:lang w:val="en-US"/>
        </w:rPr>
        <w:t xml:space="preserve"> </w:t>
      </w:r>
      <w:r w:rsidRPr="004542B5">
        <w:rPr>
          <w:rFonts w:cs="Tahoma"/>
          <w:noProof w:val="0"/>
          <w:szCs w:val="20"/>
          <w:lang w:val="en-US"/>
        </w:rPr>
        <w:t xml:space="preserve">are composed of seven groups: </w:t>
      </w:r>
      <w:r w:rsidR="00843925" w:rsidRPr="004542B5">
        <w:rPr>
          <w:rFonts w:cs="Tahoma"/>
          <w:noProof w:val="0"/>
          <w:szCs w:val="20"/>
          <w:lang w:val="en-US"/>
        </w:rPr>
        <w:t>Ngäbe, Kuna, Emberá, Buglé, Wounaan, Naso</w:t>
      </w:r>
      <w:r w:rsidR="00CD2B90" w:rsidRPr="004542B5">
        <w:rPr>
          <w:rFonts w:cs="Tahoma"/>
          <w:noProof w:val="0"/>
          <w:szCs w:val="20"/>
          <w:lang w:val="en-US"/>
        </w:rPr>
        <w:t xml:space="preserve"> and </w:t>
      </w:r>
      <w:r w:rsidR="00843925" w:rsidRPr="004542B5">
        <w:rPr>
          <w:rFonts w:cs="Tahoma"/>
          <w:noProof w:val="0"/>
          <w:szCs w:val="20"/>
          <w:lang w:val="en-US"/>
        </w:rPr>
        <w:t>Bri-bri</w:t>
      </w:r>
      <w:r w:rsidRPr="004542B5">
        <w:rPr>
          <w:rFonts w:cs="Tahoma"/>
          <w:noProof w:val="0"/>
          <w:szCs w:val="20"/>
          <w:lang w:val="en-US"/>
        </w:rPr>
        <w:t>.</w:t>
      </w:r>
      <w:r w:rsidR="00843925" w:rsidRPr="004542B5">
        <w:rPr>
          <w:rStyle w:val="FootnoteReference"/>
          <w:noProof w:val="0"/>
          <w:lang w:val="en-US"/>
        </w:rPr>
        <w:footnoteReference w:id="50"/>
      </w:r>
      <w:r w:rsidR="00843925" w:rsidRPr="004542B5">
        <w:rPr>
          <w:rFonts w:cs="Tahoma"/>
          <w:noProof w:val="0"/>
          <w:szCs w:val="20"/>
          <w:lang w:val="en-US"/>
        </w:rPr>
        <w:t xml:space="preserve"> </w:t>
      </w:r>
      <w:r w:rsidRPr="004542B5">
        <w:rPr>
          <w:rFonts w:cs="Tahoma"/>
          <w:noProof w:val="0"/>
          <w:szCs w:val="20"/>
          <w:lang w:val="en-US"/>
        </w:rPr>
        <w:t>The ancestral territories of the indigenous peoples of Panama cover more than 22.7% of its territory.</w:t>
      </w:r>
      <w:r w:rsidR="00843925" w:rsidRPr="004542B5">
        <w:rPr>
          <w:rStyle w:val="FootnoteReference"/>
          <w:noProof w:val="0"/>
          <w:lang w:val="en-US"/>
        </w:rPr>
        <w:footnoteReference w:id="51"/>
      </w:r>
      <w:r w:rsidR="00843925" w:rsidRPr="004542B5">
        <w:rPr>
          <w:rFonts w:cs="Tahoma"/>
          <w:noProof w:val="0"/>
          <w:szCs w:val="20"/>
          <w:lang w:val="en-US"/>
        </w:rPr>
        <w:t xml:space="preserve"> </w:t>
      </w:r>
      <w:r w:rsidRPr="004542B5">
        <w:rPr>
          <w:rFonts w:cs="Tahoma"/>
          <w:noProof w:val="0"/>
          <w:szCs w:val="20"/>
          <w:lang w:val="en-US"/>
        </w:rPr>
        <w:t>Starting in 1930, several indigenous reserves were established,</w:t>
      </w:r>
      <w:r w:rsidR="00843925" w:rsidRPr="004542B5">
        <w:rPr>
          <w:rStyle w:val="FootnoteReference"/>
          <w:noProof w:val="0"/>
          <w:lang w:val="en-US"/>
        </w:rPr>
        <w:footnoteReference w:id="52"/>
      </w:r>
      <w:r w:rsidRPr="004542B5">
        <w:rPr>
          <w:noProof w:val="0"/>
          <w:szCs w:val="20"/>
          <w:lang w:val="en-US"/>
        </w:rPr>
        <w:t xml:space="preserve"> including the lands inhabited </w:t>
      </w:r>
      <w:r w:rsidRPr="004542B5">
        <w:rPr>
          <w:noProof w:val="0"/>
          <w:szCs w:val="20"/>
          <w:lang w:val="en-US"/>
        </w:rPr>
        <w:lastRenderedPageBreak/>
        <w:t xml:space="preserve">by the indigenous peoples in the </w:t>
      </w:r>
      <w:r w:rsidR="00843925" w:rsidRPr="004542B5">
        <w:rPr>
          <w:noProof w:val="0"/>
          <w:szCs w:val="20"/>
          <w:lang w:val="en-US"/>
        </w:rPr>
        <w:t>Alto Bayano</w:t>
      </w:r>
      <w:r w:rsidRPr="004542B5">
        <w:rPr>
          <w:noProof w:val="0"/>
          <w:szCs w:val="20"/>
          <w:lang w:val="en-US"/>
        </w:rPr>
        <w:t>.</w:t>
      </w:r>
      <w:r w:rsidR="00843925" w:rsidRPr="004542B5">
        <w:rPr>
          <w:rStyle w:val="FootnoteReference"/>
          <w:noProof w:val="0"/>
          <w:lang w:val="en-US"/>
        </w:rPr>
        <w:footnoteReference w:id="53"/>
      </w:r>
      <w:r w:rsidR="00843925" w:rsidRPr="004542B5">
        <w:rPr>
          <w:noProof w:val="0"/>
          <w:szCs w:val="20"/>
          <w:lang w:val="en-US"/>
        </w:rPr>
        <w:t xml:space="preserve"> </w:t>
      </w:r>
      <w:r w:rsidR="00EF0CFC" w:rsidRPr="004542B5">
        <w:rPr>
          <w:noProof w:val="0"/>
          <w:szCs w:val="20"/>
          <w:lang w:val="en-US"/>
        </w:rPr>
        <w:t>The Alto Bayano reserve cover</w:t>
      </w:r>
      <w:r w:rsidR="00DC28E4" w:rsidRPr="004542B5">
        <w:rPr>
          <w:noProof w:val="0"/>
          <w:szCs w:val="20"/>
          <w:lang w:val="en-US"/>
        </w:rPr>
        <w:t>ed</w:t>
      </w:r>
      <w:r w:rsidR="00EF0CFC" w:rsidRPr="004542B5">
        <w:rPr>
          <w:noProof w:val="0"/>
          <w:szCs w:val="20"/>
          <w:lang w:val="en-US"/>
        </w:rPr>
        <w:t xml:space="preserve"> </w:t>
      </w:r>
      <w:r w:rsidR="00EF0CFC" w:rsidRPr="004542B5">
        <w:rPr>
          <w:rFonts w:cs="Tahoma"/>
          <w:noProof w:val="0"/>
          <w:szCs w:val="20"/>
          <w:lang w:val="en-US"/>
        </w:rPr>
        <w:t xml:space="preserve">an area of </w:t>
      </w:r>
      <w:r w:rsidR="00843925" w:rsidRPr="004542B5">
        <w:rPr>
          <w:rFonts w:cs="Tahoma"/>
          <w:noProof w:val="0"/>
          <w:szCs w:val="20"/>
          <w:lang w:val="en-US"/>
        </w:rPr>
        <w:t xml:space="preserve">87,321 </w:t>
      </w:r>
      <w:r w:rsidR="00EF0CFC" w:rsidRPr="004542B5">
        <w:rPr>
          <w:noProof w:val="0"/>
          <w:szCs w:val="20"/>
          <w:lang w:val="en-US"/>
        </w:rPr>
        <w:t>h</w:t>
      </w:r>
      <w:r w:rsidR="00E01664" w:rsidRPr="004542B5">
        <w:rPr>
          <w:noProof w:val="0"/>
          <w:szCs w:val="20"/>
          <w:lang w:val="en-US"/>
        </w:rPr>
        <w:t>e</w:t>
      </w:r>
      <w:r w:rsidR="00EF0CFC" w:rsidRPr="004542B5">
        <w:rPr>
          <w:noProof w:val="0"/>
          <w:szCs w:val="20"/>
          <w:lang w:val="en-US"/>
        </w:rPr>
        <w:t>ctare</w:t>
      </w:r>
      <w:r w:rsidR="00E01664" w:rsidRPr="004542B5">
        <w:rPr>
          <w:noProof w:val="0"/>
          <w:szCs w:val="20"/>
          <w:lang w:val="en-US"/>
        </w:rPr>
        <w:t xml:space="preserve">s </w:t>
      </w:r>
      <w:r w:rsidR="00843925" w:rsidRPr="004542B5">
        <w:rPr>
          <w:rFonts w:cs="Tahoma"/>
          <w:noProof w:val="0"/>
          <w:szCs w:val="20"/>
          <w:lang w:val="en-US"/>
        </w:rPr>
        <w:t>(873.21 Km²)</w:t>
      </w:r>
      <w:r w:rsidR="00EF0CFC" w:rsidRPr="004542B5">
        <w:rPr>
          <w:rFonts w:cs="Tahoma"/>
          <w:noProof w:val="0"/>
          <w:szCs w:val="20"/>
          <w:lang w:val="en-US"/>
        </w:rPr>
        <w:t>.</w:t>
      </w:r>
      <w:r w:rsidR="00843925" w:rsidRPr="004542B5">
        <w:rPr>
          <w:rStyle w:val="FootnoteReference"/>
          <w:noProof w:val="0"/>
          <w:lang w:val="en-US"/>
        </w:rPr>
        <w:footnoteReference w:id="54"/>
      </w:r>
      <w:r w:rsidR="00843925" w:rsidRPr="004542B5">
        <w:rPr>
          <w:rFonts w:cs="Tahoma"/>
          <w:noProof w:val="0"/>
          <w:szCs w:val="20"/>
          <w:lang w:val="en-US"/>
        </w:rPr>
        <w:t xml:space="preserve"> </w:t>
      </w:r>
      <w:r w:rsidR="00EF0CFC" w:rsidRPr="004542B5">
        <w:rPr>
          <w:rFonts w:cs="Tahoma"/>
          <w:noProof w:val="0"/>
          <w:szCs w:val="20"/>
          <w:lang w:val="en-US"/>
        </w:rPr>
        <w:t xml:space="preserve">This region forms part of the tropical rainforest ecosystem that extends from the southeast of the Chepo District in the province of Panama to the province of </w:t>
      </w:r>
      <w:r w:rsidR="00982EC9" w:rsidRPr="004542B5">
        <w:rPr>
          <w:rFonts w:cs="Tahoma"/>
          <w:noProof w:val="0"/>
          <w:szCs w:val="20"/>
          <w:lang w:val="en-US"/>
        </w:rPr>
        <w:t>Darien</w:t>
      </w:r>
      <w:r w:rsidR="00EF0CFC" w:rsidRPr="004542B5">
        <w:rPr>
          <w:rFonts w:cs="Tahoma"/>
          <w:noProof w:val="0"/>
          <w:szCs w:val="20"/>
          <w:lang w:val="en-US"/>
        </w:rPr>
        <w:t>, and to the Atrato river in Colombia.</w:t>
      </w:r>
      <w:r w:rsidR="00843925" w:rsidRPr="004542B5">
        <w:rPr>
          <w:rStyle w:val="FootnoteReference"/>
          <w:noProof w:val="0"/>
          <w:szCs w:val="18"/>
          <w:lang w:val="en-US"/>
        </w:rPr>
        <w:footnoteReference w:id="55"/>
      </w:r>
    </w:p>
    <w:p w14:paraId="26EC218D" w14:textId="79E9583F" w:rsidR="00DC5DDA" w:rsidRPr="004542B5" w:rsidRDefault="002A46E4" w:rsidP="00E94B7F">
      <w:pPr>
        <w:pStyle w:val="ListParagraph"/>
        <w:numPr>
          <w:ilvl w:val="0"/>
          <w:numId w:val="2"/>
        </w:numPr>
        <w:spacing w:before="120"/>
        <w:contextualSpacing w:val="0"/>
        <w:rPr>
          <w:noProof w:val="0"/>
          <w:szCs w:val="20"/>
          <w:lang w:val="en-US"/>
        </w:rPr>
      </w:pPr>
      <w:r w:rsidRPr="004542B5">
        <w:rPr>
          <w:noProof w:val="0"/>
          <w:szCs w:val="20"/>
          <w:lang w:val="en-US"/>
        </w:rPr>
        <w:t>The possibility of creating “comarcas”</w:t>
      </w:r>
      <w:r w:rsidR="00E94B7F" w:rsidRPr="004542B5">
        <w:rPr>
          <w:noProof w:val="0"/>
          <w:szCs w:val="20"/>
          <w:lang w:val="en-US"/>
        </w:rPr>
        <w:t xml:space="preserve"> [indigenous territorial units]</w:t>
      </w:r>
      <w:r w:rsidRPr="004542B5">
        <w:rPr>
          <w:noProof w:val="0"/>
          <w:szCs w:val="20"/>
          <w:lang w:val="en-US"/>
        </w:rPr>
        <w:t xml:space="preserve"> is included in </w:t>
      </w:r>
      <w:r w:rsidRPr="004542B5">
        <w:rPr>
          <w:rFonts w:cs="Tahoma"/>
          <w:noProof w:val="0"/>
          <w:szCs w:val="20"/>
          <w:lang w:val="en-US"/>
        </w:rPr>
        <w:t>a</w:t>
      </w:r>
      <w:r w:rsidR="00562CBB" w:rsidRPr="004542B5">
        <w:rPr>
          <w:rFonts w:cs="Tahoma"/>
          <w:noProof w:val="0"/>
          <w:szCs w:val="20"/>
          <w:lang w:val="en-US"/>
        </w:rPr>
        <w:t>rticle</w:t>
      </w:r>
      <w:r w:rsidR="00843925" w:rsidRPr="004542B5">
        <w:rPr>
          <w:rFonts w:cs="Tahoma"/>
          <w:noProof w:val="0"/>
          <w:szCs w:val="20"/>
          <w:lang w:val="en-US"/>
        </w:rPr>
        <w:t xml:space="preserve"> 5 </w:t>
      </w:r>
      <w:r w:rsidRPr="004542B5">
        <w:rPr>
          <w:rFonts w:cs="Tahoma"/>
          <w:noProof w:val="0"/>
          <w:szCs w:val="20"/>
          <w:lang w:val="en-US"/>
        </w:rPr>
        <w:t xml:space="preserve">of the 1972 Constitution, last amended in 2004, which stipulates, among other matters, that “[t]he law may create other political divisions [than provinces, districts and </w:t>
      </w:r>
      <w:r w:rsidRPr="004542B5">
        <w:rPr>
          <w:rFonts w:cs="Tahoma"/>
          <w:i/>
          <w:iCs/>
          <w:noProof w:val="0"/>
          <w:szCs w:val="20"/>
          <w:lang w:val="en-US"/>
        </w:rPr>
        <w:t>corregimientos</w:t>
      </w:r>
      <w:r w:rsidR="00EC152F" w:rsidRPr="004542B5">
        <w:rPr>
          <w:rFonts w:cs="Tahoma"/>
          <w:noProof w:val="0"/>
          <w:szCs w:val="20"/>
          <w:lang w:val="en-US"/>
        </w:rPr>
        <w:t xml:space="preserve"> [administrative districts smaller than a district</w:t>
      </w:r>
      <w:r w:rsidRPr="004542B5">
        <w:rPr>
          <w:rFonts w:cs="Tahoma"/>
          <w:noProof w:val="0"/>
          <w:szCs w:val="20"/>
          <w:lang w:val="en-US"/>
        </w:rPr>
        <w:t xml:space="preserve">], either by subjecting them to special regimes or for reasons of administrative convenience or public services.” </w:t>
      </w:r>
      <w:r w:rsidR="00E94B7F" w:rsidRPr="004542B5">
        <w:rPr>
          <w:rFonts w:cs="Tahoma"/>
          <w:noProof w:val="0"/>
          <w:szCs w:val="20"/>
          <w:lang w:val="en-US"/>
        </w:rPr>
        <w:t>The Constitution also recognizes, in its article 127, the collective ownership of lands of indigenous communities – a similar provision has been included in the Constitution since 1946 – establishing that “[t]he law shall regulate the procedures to be followed to achieve [this].”</w:t>
      </w:r>
      <w:r w:rsidR="00843925" w:rsidRPr="004542B5">
        <w:rPr>
          <w:rStyle w:val="FootnoteReference"/>
          <w:noProof w:val="0"/>
          <w:lang w:val="en-US"/>
        </w:rPr>
        <w:footnoteReference w:id="56"/>
      </w:r>
      <w:r w:rsidR="00E94B7F" w:rsidRPr="004542B5">
        <w:rPr>
          <w:noProof w:val="0"/>
          <w:szCs w:val="20"/>
          <w:lang w:val="en-US"/>
        </w:rPr>
        <w:t xml:space="preserve"> Accordingly, the State established the following five indigenous comarcas by law: the </w:t>
      </w:r>
      <w:r w:rsidR="00843925" w:rsidRPr="004542B5">
        <w:rPr>
          <w:rFonts w:cs="Tahoma"/>
          <w:noProof w:val="0"/>
          <w:szCs w:val="20"/>
          <w:lang w:val="en-US"/>
        </w:rPr>
        <w:t xml:space="preserve">Kuna Yala </w:t>
      </w:r>
      <w:r w:rsidR="00E94B7F" w:rsidRPr="004542B5">
        <w:rPr>
          <w:rFonts w:cs="Tahoma"/>
          <w:noProof w:val="0"/>
          <w:szCs w:val="20"/>
          <w:lang w:val="en-US"/>
        </w:rPr>
        <w:t xml:space="preserve">Comarca </w:t>
      </w:r>
      <w:r w:rsidR="00843925" w:rsidRPr="004542B5">
        <w:rPr>
          <w:rFonts w:cs="Tahoma"/>
          <w:noProof w:val="0"/>
          <w:szCs w:val="20"/>
          <w:lang w:val="en-US"/>
        </w:rPr>
        <w:t>(</w:t>
      </w:r>
      <w:r w:rsidR="00E94B7F" w:rsidRPr="004542B5">
        <w:rPr>
          <w:rFonts w:cs="Tahoma"/>
          <w:noProof w:val="0"/>
          <w:szCs w:val="20"/>
          <w:lang w:val="en-US"/>
        </w:rPr>
        <w:t>previously known as the Comarca of</w:t>
      </w:r>
      <w:r w:rsidR="00843925" w:rsidRPr="004542B5">
        <w:rPr>
          <w:rFonts w:cs="Tahoma"/>
          <w:noProof w:val="0"/>
          <w:szCs w:val="20"/>
          <w:lang w:val="en-US"/>
        </w:rPr>
        <w:t xml:space="preserve"> San Blas)</w:t>
      </w:r>
      <w:r w:rsidR="00E94B7F" w:rsidRPr="004542B5">
        <w:rPr>
          <w:rFonts w:cs="Tahoma"/>
          <w:noProof w:val="0"/>
          <w:szCs w:val="20"/>
          <w:lang w:val="en-US"/>
        </w:rPr>
        <w:t>,</w:t>
      </w:r>
      <w:r w:rsidR="00843925" w:rsidRPr="004542B5">
        <w:rPr>
          <w:rStyle w:val="FootnoteReference"/>
          <w:rFonts w:cs="Tahoma"/>
          <w:noProof w:val="0"/>
          <w:lang w:val="en-US"/>
        </w:rPr>
        <w:footnoteReference w:id="57"/>
      </w:r>
      <w:r w:rsidR="00E94B7F" w:rsidRPr="004542B5">
        <w:rPr>
          <w:rFonts w:cs="Tahoma"/>
          <w:noProof w:val="0"/>
          <w:szCs w:val="20"/>
          <w:lang w:val="en-US"/>
        </w:rPr>
        <w:t xml:space="preserve"> the Emberá</w:t>
      </w:r>
      <w:r w:rsidR="00843925" w:rsidRPr="004542B5">
        <w:rPr>
          <w:rFonts w:cs="Tahoma"/>
          <w:noProof w:val="0"/>
          <w:szCs w:val="20"/>
          <w:lang w:val="en-US"/>
        </w:rPr>
        <w:t xml:space="preserve"> Comarca </w:t>
      </w:r>
      <w:r w:rsidR="00E94B7F" w:rsidRPr="004542B5">
        <w:rPr>
          <w:rFonts w:cs="Tahoma"/>
          <w:noProof w:val="0"/>
          <w:szCs w:val="20"/>
          <w:lang w:val="en-US"/>
        </w:rPr>
        <w:t>of</w:t>
      </w:r>
      <w:r w:rsidR="00843925" w:rsidRPr="004542B5">
        <w:rPr>
          <w:rFonts w:cs="Tahoma"/>
          <w:noProof w:val="0"/>
          <w:szCs w:val="20"/>
          <w:lang w:val="en-US"/>
        </w:rPr>
        <w:t xml:space="preserve"> Darien</w:t>
      </w:r>
      <w:r w:rsidR="00E94B7F" w:rsidRPr="004542B5">
        <w:rPr>
          <w:rFonts w:cs="Tahoma"/>
          <w:noProof w:val="0"/>
          <w:szCs w:val="20"/>
          <w:lang w:val="en-US"/>
        </w:rPr>
        <w:t>,</w:t>
      </w:r>
      <w:r w:rsidR="00843925" w:rsidRPr="004542B5">
        <w:rPr>
          <w:rStyle w:val="FootnoteReference"/>
          <w:rFonts w:cs="Tahoma"/>
          <w:noProof w:val="0"/>
          <w:lang w:val="en-US"/>
        </w:rPr>
        <w:footnoteReference w:id="58"/>
      </w:r>
      <w:r w:rsidR="00843925" w:rsidRPr="004542B5">
        <w:rPr>
          <w:rFonts w:cs="Tahoma"/>
          <w:b/>
          <w:noProof w:val="0"/>
          <w:szCs w:val="20"/>
          <w:lang w:val="en-US"/>
        </w:rPr>
        <w:t xml:space="preserve"> </w:t>
      </w:r>
      <w:r w:rsidR="00E94B7F" w:rsidRPr="004542B5">
        <w:rPr>
          <w:rFonts w:cs="Tahoma"/>
          <w:bCs/>
          <w:noProof w:val="0"/>
          <w:szCs w:val="20"/>
          <w:lang w:val="en-US"/>
        </w:rPr>
        <w:t xml:space="preserve">the </w:t>
      </w:r>
      <w:r w:rsidR="00045DC1" w:rsidRPr="004542B5">
        <w:rPr>
          <w:rFonts w:cs="Tahoma"/>
          <w:noProof w:val="0"/>
          <w:szCs w:val="20"/>
          <w:lang w:val="en-US"/>
        </w:rPr>
        <w:t>Kuna Comarca of</w:t>
      </w:r>
      <w:r w:rsidR="00843925" w:rsidRPr="004542B5">
        <w:rPr>
          <w:rFonts w:cs="Tahoma"/>
          <w:noProof w:val="0"/>
          <w:szCs w:val="20"/>
          <w:lang w:val="en-US"/>
        </w:rPr>
        <w:t xml:space="preserve"> Madungandí (“</w:t>
      </w:r>
      <w:r w:rsidR="00E94B7F" w:rsidRPr="004542B5">
        <w:rPr>
          <w:rFonts w:cs="Tahoma"/>
          <w:noProof w:val="0"/>
          <w:szCs w:val="20"/>
          <w:lang w:val="en-US"/>
        </w:rPr>
        <w:t xml:space="preserve">the </w:t>
      </w:r>
      <w:r w:rsidR="00843925" w:rsidRPr="004542B5">
        <w:rPr>
          <w:rFonts w:cs="Tahoma"/>
          <w:noProof w:val="0"/>
          <w:szCs w:val="20"/>
          <w:lang w:val="en-US"/>
        </w:rPr>
        <w:t>Kuna</w:t>
      </w:r>
      <w:r w:rsidR="00E94B7F" w:rsidRPr="004542B5">
        <w:rPr>
          <w:rFonts w:cs="Tahoma"/>
          <w:noProof w:val="0"/>
          <w:szCs w:val="20"/>
          <w:lang w:val="en-US"/>
        </w:rPr>
        <w:t xml:space="preserve"> Comarca</w:t>
      </w:r>
      <w:r w:rsidR="00843925" w:rsidRPr="004542B5">
        <w:rPr>
          <w:rFonts w:cs="Tahoma"/>
          <w:noProof w:val="0"/>
          <w:szCs w:val="20"/>
          <w:lang w:val="en-US"/>
        </w:rPr>
        <w:t>”)</w:t>
      </w:r>
      <w:r w:rsidR="00E94B7F" w:rsidRPr="004542B5">
        <w:rPr>
          <w:rFonts w:cs="Tahoma"/>
          <w:noProof w:val="0"/>
          <w:szCs w:val="20"/>
          <w:lang w:val="en-US"/>
        </w:rPr>
        <w:t>,</w:t>
      </w:r>
      <w:r w:rsidR="00843925" w:rsidRPr="004542B5">
        <w:rPr>
          <w:rStyle w:val="FootnoteReference"/>
          <w:rFonts w:cs="Tahoma"/>
          <w:noProof w:val="0"/>
          <w:lang w:val="en-US"/>
        </w:rPr>
        <w:footnoteReference w:id="59"/>
      </w:r>
      <w:r w:rsidR="00843925" w:rsidRPr="004542B5">
        <w:rPr>
          <w:rFonts w:cs="Tahoma"/>
          <w:noProof w:val="0"/>
          <w:szCs w:val="20"/>
          <w:lang w:val="en-US"/>
        </w:rPr>
        <w:t xml:space="preserve"> </w:t>
      </w:r>
      <w:r w:rsidR="00E94B7F" w:rsidRPr="004542B5">
        <w:rPr>
          <w:rFonts w:cs="Tahoma"/>
          <w:noProof w:val="0"/>
          <w:szCs w:val="20"/>
          <w:lang w:val="en-US"/>
        </w:rPr>
        <w:t>the</w:t>
      </w:r>
      <w:r w:rsidR="00843925" w:rsidRPr="004542B5">
        <w:rPr>
          <w:rFonts w:cs="Tahoma"/>
          <w:noProof w:val="0"/>
          <w:szCs w:val="20"/>
          <w:lang w:val="en-US"/>
        </w:rPr>
        <w:t xml:space="preserve"> Ngöbe-Buglé</w:t>
      </w:r>
      <w:r w:rsidR="00E94B7F" w:rsidRPr="004542B5">
        <w:rPr>
          <w:rFonts w:cs="Tahoma"/>
          <w:noProof w:val="0"/>
          <w:szCs w:val="20"/>
          <w:lang w:val="en-US"/>
        </w:rPr>
        <w:t xml:space="preserve"> Comarca,</w:t>
      </w:r>
      <w:r w:rsidR="00843925" w:rsidRPr="004542B5">
        <w:rPr>
          <w:rStyle w:val="FootnoteReference"/>
          <w:rFonts w:cs="Tahoma"/>
          <w:noProof w:val="0"/>
          <w:lang w:val="en-US"/>
        </w:rPr>
        <w:footnoteReference w:id="60"/>
      </w:r>
      <w:r w:rsidR="00CD2B90" w:rsidRPr="004542B5">
        <w:rPr>
          <w:rFonts w:cs="Tahoma"/>
          <w:noProof w:val="0"/>
          <w:szCs w:val="20"/>
          <w:lang w:val="en-US"/>
        </w:rPr>
        <w:t xml:space="preserve"> and </w:t>
      </w:r>
      <w:r w:rsidR="00E94B7F" w:rsidRPr="004542B5">
        <w:rPr>
          <w:rFonts w:cs="Tahoma"/>
          <w:noProof w:val="0"/>
          <w:szCs w:val="20"/>
          <w:lang w:val="en-US"/>
        </w:rPr>
        <w:t xml:space="preserve">the </w:t>
      </w:r>
      <w:r w:rsidR="00045DC1" w:rsidRPr="004542B5">
        <w:rPr>
          <w:rFonts w:cs="Tahoma"/>
          <w:noProof w:val="0"/>
          <w:szCs w:val="20"/>
          <w:lang w:val="en-US"/>
        </w:rPr>
        <w:t>Kuna Comarca of</w:t>
      </w:r>
      <w:r w:rsidR="00843925" w:rsidRPr="004542B5">
        <w:rPr>
          <w:rFonts w:cs="Tahoma"/>
          <w:noProof w:val="0"/>
          <w:szCs w:val="20"/>
          <w:lang w:val="en-US"/>
        </w:rPr>
        <w:t xml:space="preserve"> Wargandi</w:t>
      </w:r>
      <w:r w:rsidR="00E94B7F" w:rsidRPr="004542B5">
        <w:rPr>
          <w:rFonts w:cs="Tahoma"/>
          <w:noProof w:val="0"/>
          <w:szCs w:val="20"/>
          <w:lang w:val="en-US"/>
        </w:rPr>
        <w:t>.</w:t>
      </w:r>
      <w:r w:rsidR="00843925" w:rsidRPr="004542B5">
        <w:rPr>
          <w:rStyle w:val="FootnoteReference"/>
          <w:rFonts w:cs="Tahoma"/>
          <w:noProof w:val="0"/>
          <w:lang w:val="en-US"/>
        </w:rPr>
        <w:footnoteReference w:id="61"/>
      </w:r>
      <w:r w:rsidR="00843925" w:rsidRPr="004542B5">
        <w:rPr>
          <w:rFonts w:cs="Tahoma"/>
          <w:noProof w:val="0"/>
          <w:szCs w:val="20"/>
          <w:lang w:val="en-US"/>
        </w:rPr>
        <w:t xml:space="preserve"> </w:t>
      </w:r>
      <w:r w:rsidR="00E94B7F" w:rsidRPr="004542B5">
        <w:rPr>
          <w:noProof w:val="0"/>
          <w:szCs w:val="20"/>
          <w:lang w:val="en-US"/>
        </w:rPr>
        <w:t>On December 23,</w:t>
      </w:r>
      <w:r w:rsidR="00B7701D" w:rsidRPr="004542B5">
        <w:rPr>
          <w:noProof w:val="0"/>
          <w:szCs w:val="20"/>
          <w:lang w:val="en-US"/>
        </w:rPr>
        <w:t xml:space="preserve"> 2008, </w:t>
      </w:r>
      <w:r w:rsidR="0033788F" w:rsidRPr="004542B5">
        <w:rPr>
          <w:noProof w:val="0"/>
          <w:szCs w:val="20"/>
          <w:lang w:val="en-US"/>
        </w:rPr>
        <w:t>Law</w:t>
      </w:r>
      <w:r w:rsidR="00B7701D" w:rsidRPr="004542B5">
        <w:rPr>
          <w:noProof w:val="0"/>
          <w:szCs w:val="20"/>
          <w:lang w:val="en-US"/>
        </w:rPr>
        <w:t xml:space="preserve"> </w:t>
      </w:r>
      <w:r w:rsidR="00CD2B90" w:rsidRPr="004542B5">
        <w:rPr>
          <w:noProof w:val="0"/>
          <w:szCs w:val="20"/>
          <w:lang w:val="en-US"/>
        </w:rPr>
        <w:t>No.</w:t>
      </w:r>
      <w:r w:rsidR="00843925" w:rsidRPr="004542B5">
        <w:rPr>
          <w:noProof w:val="0"/>
          <w:szCs w:val="20"/>
          <w:lang w:val="en-US"/>
        </w:rPr>
        <w:t xml:space="preserve"> 72</w:t>
      </w:r>
      <w:r w:rsidR="00E94B7F" w:rsidRPr="004542B5">
        <w:rPr>
          <w:noProof w:val="0"/>
          <w:szCs w:val="20"/>
          <w:lang w:val="en-US"/>
        </w:rPr>
        <w:t xml:space="preserve"> was enacted</w:t>
      </w:r>
      <w:r w:rsidR="00843925" w:rsidRPr="004542B5">
        <w:rPr>
          <w:noProof w:val="0"/>
          <w:szCs w:val="20"/>
          <w:lang w:val="en-US"/>
        </w:rPr>
        <w:t xml:space="preserve"> “</w:t>
      </w:r>
      <w:r w:rsidR="00E94B7F" w:rsidRPr="004542B5">
        <w:rPr>
          <w:noProof w:val="0"/>
          <w:szCs w:val="20"/>
          <w:lang w:val="en-US"/>
        </w:rPr>
        <w:t>establishing the special procedure for the adjudication of the collective ownership of lands of the indigenous peoples outside the comarcas.</w:t>
      </w:r>
      <w:r w:rsidR="00843925" w:rsidRPr="004542B5">
        <w:rPr>
          <w:noProof w:val="0"/>
          <w:szCs w:val="20"/>
          <w:lang w:val="en-US"/>
        </w:rPr>
        <w:t>”</w:t>
      </w:r>
      <w:r w:rsidR="00843925" w:rsidRPr="004542B5">
        <w:rPr>
          <w:rStyle w:val="FootnoteReference"/>
          <w:noProof w:val="0"/>
          <w:lang w:val="en-US"/>
        </w:rPr>
        <w:footnoteReference w:id="62"/>
      </w:r>
    </w:p>
    <w:p w14:paraId="4BCFE315" w14:textId="7DB8D9BA" w:rsidR="00DC5DDA" w:rsidRPr="004542B5" w:rsidRDefault="007B47B1" w:rsidP="00E01664">
      <w:pPr>
        <w:pStyle w:val="Heading3"/>
        <w:rPr>
          <w:rFonts w:cs="Tahoma"/>
          <w:b/>
          <w:i w:val="0"/>
          <w:noProof w:val="0"/>
          <w:szCs w:val="18"/>
          <w:lang w:val="en-US"/>
        </w:rPr>
      </w:pPr>
      <w:bookmarkStart w:id="162" w:name="_Toc383161745"/>
      <w:bookmarkStart w:id="163" w:name="_Toc383188374"/>
      <w:bookmarkStart w:id="164" w:name="_Toc45200870"/>
      <w:r w:rsidRPr="004542B5">
        <w:rPr>
          <w:rFonts w:cs="Tahoma"/>
          <w:noProof w:val="0"/>
          <w:szCs w:val="18"/>
          <w:lang w:val="en-US"/>
        </w:rPr>
        <w:lastRenderedPageBreak/>
        <w:t xml:space="preserve">A.1. </w:t>
      </w:r>
      <w:r w:rsidR="00AD34D8" w:rsidRPr="004542B5">
        <w:rPr>
          <w:rFonts w:cs="Tahoma"/>
          <w:noProof w:val="0"/>
          <w:szCs w:val="18"/>
          <w:lang w:val="en-US"/>
        </w:rPr>
        <w:t>The Kuna indigenous people</w:t>
      </w:r>
      <w:bookmarkEnd w:id="162"/>
      <w:bookmarkEnd w:id="163"/>
      <w:bookmarkEnd w:id="164"/>
      <w:r w:rsidRPr="004542B5">
        <w:rPr>
          <w:rFonts w:cs="Tahoma"/>
          <w:noProof w:val="0"/>
          <w:szCs w:val="18"/>
          <w:lang w:val="en-US"/>
        </w:rPr>
        <w:t xml:space="preserve"> </w:t>
      </w:r>
    </w:p>
    <w:p w14:paraId="014773B3" w14:textId="171E832A" w:rsidR="00DC5DDA" w:rsidRPr="004542B5" w:rsidRDefault="00E94B7F" w:rsidP="00F06EC0">
      <w:pPr>
        <w:pStyle w:val="ListParagraph"/>
        <w:numPr>
          <w:ilvl w:val="0"/>
          <w:numId w:val="2"/>
        </w:numPr>
        <w:spacing w:before="120"/>
        <w:contextualSpacing w:val="0"/>
        <w:rPr>
          <w:noProof w:val="0"/>
          <w:szCs w:val="18"/>
          <w:lang w:val="en-US"/>
        </w:rPr>
      </w:pPr>
      <w:r w:rsidRPr="004542B5">
        <w:rPr>
          <w:rFonts w:cs="Tahoma"/>
          <w:noProof w:val="0"/>
          <w:szCs w:val="18"/>
          <w:lang w:val="en-US"/>
        </w:rPr>
        <w:t>The evidence reveals that members of the</w:t>
      </w:r>
      <w:r w:rsidR="00AD34D8" w:rsidRPr="004542B5">
        <w:rPr>
          <w:rFonts w:cs="Tahoma"/>
          <w:noProof w:val="0"/>
          <w:szCs w:val="18"/>
          <w:lang w:val="en-US"/>
        </w:rPr>
        <w:t xml:space="preserve"> Kuna indigenous people</w:t>
      </w:r>
      <w:r w:rsidR="00843925" w:rsidRPr="004542B5">
        <w:rPr>
          <w:rFonts w:cs="Tahoma"/>
          <w:noProof w:val="0"/>
          <w:szCs w:val="18"/>
          <w:lang w:val="en-US"/>
        </w:rPr>
        <w:t xml:space="preserve"> </w:t>
      </w:r>
      <w:r w:rsidRPr="004542B5">
        <w:rPr>
          <w:rFonts w:cs="Tahoma"/>
          <w:noProof w:val="0"/>
          <w:szCs w:val="18"/>
          <w:lang w:val="en-US"/>
        </w:rPr>
        <w:t>have inhabit</w:t>
      </w:r>
      <w:r w:rsidR="00DC28E4" w:rsidRPr="004542B5">
        <w:rPr>
          <w:rFonts w:cs="Tahoma"/>
          <w:noProof w:val="0"/>
          <w:szCs w:val="18"/>
          <w:lang w:val="en-US"/>
        </w:rPr>
        <w:t>e</w:t>
      </w:r>
      <w:r w:rsidRPr="004542B5">
        <w:rPr>
          <w:rFonts w:cs="Tahoma"/>
          <w:noProof w:val="0"/>
          <w:szCs w:val="18"/>
          <w:lang w:val="en-US"/>
        </w:rPr>
        <w:t xml:space="preserve">d the region of the </w:t>
      </w:r>
      <w:r w:rsidR="00843925" w:rsidRPr="004542B5">
        <w:rPr>
          <w:rFonts w:cs="Tahoma"/>
          <w:noProof w:val="0"/>
          <w:szCs w:val="18"/>
          <w:lang w:val="en-US"/>
        </w:rPr>
        <w:t xml:space="preserve">Bayano </w:t>
      </w:r>
      <w:r w:rsidRPr="004542B5">
        <w:rPr>
          <w:rFonts w:cs="Tahoma"/>
          <w:noProof w:val="0"/>
          <w:szCs w:val="18"/>
          <w:lang w:val="en-US"/>
        </w:rPr>
        <w:t>since</w:t>
      </w:r>
      <w:r w:rsidR="00DC28E4" w:rsidRPr="004542B5">
        <w:rPr>
          <w:rFonts w:cs="Tahoma"/>
          <w:noProof w:val="0"/>
          <w:szCs w:val="18"/>
          <w:lang w:val="en-US"/>
        </w:rPr>
        <w:t>, at least,</w:t>
      </w:r>
      <w:r w:rsidRPr="004542B5">
        <w:rPr>
          <w:rFonts w:cs="Tahoma"/>
          <w:noProof w:val="0"/>
          <w:szCs w:val="18"/>
          <w:lang w:val="en-US"/>
        </w:rPr>
        <w:t xml:space="preserve"> the sixteenth century.</w:t>
      </w:r>
      <w:r w:rsidR="00843925" w:rsidRPr="004542B5">
        <w:rPr>
          <w:rStyle w:val="FootnoteReference"/>
          <w:noProof w:val="0"/>
          <w:szCs w:val="18"/>
          <w:lang w:val="en-US"/>
        </w:rPr>
        <w:footnoteReference w:id="63"/>
      </w:r>
      <w:r w:rsidR="00F06EC0" w:rsidRPr="004542B5">
        <w:rPr>
          <w:rFonts w:cs="Tahoma"/>
          <w:noProof w:val="0"/>
          <w:szCs w:val="18"/>
          <w:lang w:val="en-US"/>
        </w:rPr>
        <w:t xml:space="preserve"> Also, as indicated by the petitioners, and undisputed by the State, most of the Kuna people inhabit the Kuna Yala Comarca,</w:t>
      </w:r>
      <w:r w:rsidR="00843925" w:rsidRPr="004542B5">
        <w:rPr>
          <w:rStyle w:val="FootnoteReference"/>
          <w:noProof w:val="0"/>
          <w:szCs w:val="18"/>
          <w:lang w:val="en-US"/>
        </w:rPr>
        <w:footnoteReference w:id="64"/>
      </w:r>
      <w:r w:rsidR="00F06EC0" w:rsidRPr="004542B5">
        <w:rPr>
          <w:rFonts w:cs="Tahoma"/>
          <w:noProof w:val="0"/>
          <w:szCs w:val="18"/>
          <w:lang w:val="en-US"/>
        </w:rPr>
        <w:t xml:space="preserve"> and the members of the Kuna people who inhabit the region of the Alto Bayano are distributed in approximately 15 communities.</w:t>
      </w:r>
      <w:r w:rsidR="00843925" w:rsidRPr="004542B5">
        <w:rPr>
          <w:rStyle w:val="FootnoteReference"/>
          <w:noProof w:val="0"/>
          <w:szCs w:val="18"/>
          <w:lang w:val="en-US"/>
        </w:rPr>
        <w:footnoteReference w:id="65"/>
      </w:r>
      <w:r w:rsidR="00843925" w:rsidRPr="004542B5">
        <w:rPr>
          <w:rFonts w:cs="Tahoma"/>
          <w:noProof w:val="0"/>
          <w:szCs w:val="18"/>
          <w:lang w:val="en-US"/>
        </w:rPr>
        <w:t xml:space="preserve"> </w:t>
      </w:r>
      <w:r w:rsidR="00F06EC0" w:rsidRPr="004542B5">
        <w:rPr>
          <w:rFonts w:cs="Tahoma"/>
          <w:noProof w:val="0"/>
          <w:szCs w:val="18"/>
          <w:lang w:val="en-US"/>
        </w:rPr>
        <w:t>The Kuna population in Panama consists of around 80,526 persons.</w:t>
      </w:r>
      <w:r w:rsidR="00843925" w:rsidRPr="004542B5">
        <w:rPr>
          <w:rStyle w:val="FootnoteReference"/>
          <w:noProof w:val="0"/>
          <w:szCs w:val="18"/>
          <w:lang w:val="en-US"/>
        </w:rPr>
        <w:footnoteReference w:id="66"/>
      </w:r>
      <w:r w:rsidR="00843925" w:rsidRPr="004542B5">
        <w:rPr>
          <w:rFonts w:cs="Tahoma"/>
          <w:noProof w:val="0"/>
          <w:szCs w:val="18"/>
          <w:lang w:val="en-US"/>
        </w:rPr>
        <w:t xml:space="preserve"> </w:t>
      </w:r>
      <w:r w:rsidR="00F06EC0" w:rsidRPr="004542B5">
        <w:rPr>
          <w:rFonts w:cs="Tahoma"/>
          <w:noProof w:val="0"/>
          <w:szCs w:val="18"/>
          <w:lang w:val="en-US"/>
        </w:rPr>
        <w:t>Traditionally, the</w:t>
      </w:r>
      <w:r w:rsidR="00843925" w:rsidRPr="004542B5">
        <w:rPr>
          <w:rFonts w:cs="Tahoma"/>
          <w:noProof w:val="0"/>
          <w:szCs w:val="18"/>
          <w:lang w:val="en-US"/>
        </w:rPr>
        <w:t xml:space="preserve"> Kuna</w:t>
      </w:r>
      <w:r w:rsidR="00F06EC0" w:rsidRPr="004542B5">
        <w:rPr>
          <w:rFonts w:cs="Tahoma"/>
          <w:noProof w:val="0"/>
          <w:szCs w:val="18"/>
          <w:lang w:val="en-US"/>
        </w:rPr>
        <w:t xml:space="preserve"> depend for their subsistence on slash and burn agriculture</w:t>
      </w:r>
      <w:r w:rsidR="00B9001E" w:rsidRPr="004542B5">
        <w:rPr>
          <w:rFonts w:cs="Tahoma"/>
          <w:noProof w:val="0"/>
          <w:szCs w:val="18"/>
          <w:lang w:val="en-US"/>
        </w:rPr>
        <w:t xml:space="preserve"> with </w:t>
      </w:r>
      <w:r w:rsidR="00F06EC0" w:rsidRPr="004542B5">
        <w:rPr>
          <w:rFonts w:cs="Tahoma"/>
          <w:noProof w:val="0"/>
          <w:szCs w:val="18"/>
          <w:lang w:val="en-US"/>
        </w:rPr>
        <w:t>refore</w:t>
      </w:r>
      <w:r w:rsidR="00DC28E4" w:rsidRPr="004542B5">
        <w:rPr>
          <w:rFonts w:cs="Tahoma"/>
          <w:noProof w:val="0"/>
          <w:szCs w:val="18"/>
          <w:lang w:val="en-US"/>
        </w:rPr>
        <w:t>s</w:t>
      </w:r>
      <w:r w:rsidR="00F06EC0" w:rsidRPr="004542B5">
        <w:rPr>
          <w:rFonts w:cs="Tahoma"/>
          <w:noProof w:val="0"/>
          <w:szCs w:val="18"/>
          <w:lang w:val="en-US"/>
        </w:rPr>
        <w:t>tation,</w:t>
      </w:r>
      <w:r w:rsidR="00B9001E" w:rsidRPr="004542B5">
        <w:rPr>
          <w:rFonts w:cs="Tahoma"/>
          <w:noProof w:val="0"/>
          <w:szCs w:val="18"/>
          <w:lang w:val="en-US"/>
        </w:rPr>
        <w:t xml:space="preserve"> and</w:t>
      </w:r>
      <w:r w:rsidR="00F06EC0" w:rsidRPr="004542B5">
        <w:rPr>
          <w:rFonts w:cs="Tahoma"/>
          <w:noProof w:val="0"/>
          <w:szCs w:val="18"/>
          <w:lang w:val="en-US"/>
        </w:rPr>
        <w:t xml:space="preserve"> hunting and fishing.</w:t>
      </w:r>
      <w:r w:rsidR="00843925" w:rsidRPr="004542B5">
        <w:rPr>
          <w:rStyle w:val="FootnoteReference"/>
          <w:noProof w:val="0"/>
          <w:szCs w:val="18"/>
          <w:lang w:val="en-US"/>
        </w:rPr>
        <w:footnoteReference w:id="67"/>
      </w:r>
      <w:r w:rsidR="00F06EC0" w:rsidRPr="004542B5">
        <w:rPr>
          <w:rFonts w:cs="Tahoma"/>
          <w:noProof w:val="0"/>
          <w:szCs w:val="18"/>
          <w:lang w:val="en-US"/>
        </w:rPr>
        <w:t xml:space="preserve"> Their highest authority is a General Congress</w:t>
      </w:r>
      <w:r w:rsidR="00B9001E" w:rsidRPr="004542B5">
        <w:rPr>
          <w:rFonts w:cs="Tahoma"/>
          <w:noProof w:val="0"/>
          <w:szCs w:val="18"/>
          <w:lang w:val="en-US"/>
        </w:rPr>
        <w:t>, and the representation of the General Congress</w:t>
      </w:r>
      <w:r w:rsidR="00F06EC0" w:rsidRPr="004542B5">
        <w:rPr>
          <w:rFonts w:cs="Tahoma"/>
          <w:noProof w:val="0"/>
          <w:szCs w:val="18"/>
          <w:lang w:val="en-US"/>
        </w:rPr>
        <w:t xml:space="preserve"> before the Central Government and the autonomous entities is a </w:t>
      </w:r>
      <w:r w:rsidR="00B9001E" w:rsidRPr="004542B5">
        <w:rPr>
          <w:rFonts w:cs="Tahoma"/>
          <w:i/>
          <w:iCs/>
          <w:noProof w:val="0"/>
          <w:szCs w:val="18"/>
          <w:lang w:val="en-US"/>
        </w:rPr>
        <w:t>C</w:t>
      </w:r>
      <w:r w:rsidR="00F06EC0" w:rsidRPr="004542B5">
        <w:rPr>
          <w:rFonts w:cs="Tahoma"/>
          <w:i/>
          <w:iCs/>
          <w:noProof w:val="0"/>
          <w:szCs w:val="18"/>
          <w:lang w:val="en-US"/>
        </w:rPr>
        <w:t xml:space="preserve">acique </w:t>
      </w:r>
      <w:r w:rsidR="00F06EC0" w:rsidRPr="004542B5">
        <w:rPr>
          <w:rFonts w:cs="Tahoma"/>
          <w:noProof w:val="0"/>
          <w:szCs w:val="18"/>
          <w:lang w:val="en-US"/>
        </w:rPr>
        <w:t>elected by the said Congress. In addition, each of the villages of the Comarca have an authority known as the</w:t>
      </w:r>
      <w:r w:rsidR="00843925" w:rsidRPr="004542B5">
        <w:rPr>
          <w:rFonts w:cs="Tahoma"/>
          <w:noProof w:val="0"/>
          <w:szCs w:val="18"/>
          <w:lang w:val="en-US"/>
        </w:rPr>
        <w:t xml:space="preserve"> “</w:t>
      </w:r>
      <w:r w:rsidR="00F06EC0" w:rsidRPr="004542B5">
        <w:rPr>
          <w:rFonts w:cs="Tahoma"/>
          <w:noProof w:val="0"/>
          <w:szCs w:val="18"/>
          <w:lang w:val="en-US"/>
        </w:rPr>
        <w:t>S</w:t>
      </w:r>
      <w:r w:rsidR="00843925" w:rsidRPr="004542B5">
        <w:rPr>
          <w:rFonts w:cs="Tahoma"/>
          <w:noProof w:val="0"/>
          <w:szCs w:val="18"/>
          <w:lang w:val="en-US"/>
        </w:rPr>
        <w:t>aila” o</w:t>
      </w:r>
      <w:r w:rsidR="00F06EC0" w:rsidRPr="004542B5">
        <w:rPr>
          <w:rFonts w:cs="Tahoma"/>
          <w:noProof w:val="0"/>
          <w:szCs w:val="18"/>
          <w:lang w:val="en-US"/>
        </w:rPr>
        <w:t>r</w:t>
      </w:r>
      <w:r w:rsidR="00843925" w:rsidRPr="004542B5">
        <w:rPr>
          <w:rFonts w:cs="Tahoma"/>
          <w:noProof w:val="0"/>
          <w:szCs w:val="18"/>
          <w:lang w:val="en-US"/>
        </w:rPr>
        <w:t xml:space="preserve"> “Sáhila</w:t>
      </w:r>
      <w:r w:rsidR="00F06EC0" w:rsidRPr="004542B5">
        <w:rPr>
          <w:rFonts w:cs="Tahoma"/>
          <w:noProof w:val="0"/>
          <w:szCs w:val="18"/>
          <w:lang w:val="en-US"/>
        </w:rPr>
        <w:t>.</w:t>
      </w:r>
      <w:r w:rsidR="00843925" w:rsidRPr="004542B5">
        <w:rPr>
          <w:rFonts w:cs="Tahoma"/>
          <w:noProof w:val="0"/>
          <w:szCs w:val="18"/>
          <w:lang w:val="en-US"/>
        </w:rPr>
        <w:t>”</w:t>
      </w:r>
      <w:r w:rsidR="00843925" w:rsidRPr="004542B5">
        <w:rPr>
          <w:rStyle w:val="FootnoteReference"/>
          <w:noProof w:val="0"/>
          <w:szCs w:val="18"/>
          <w:lang w:val="en-US"/>
        </w:rPr>
        <w:footnoteReference w:id="68"/>
      </w:r>
      <w:r w:rsidR="007B47B1" w:rsidRPr="004542B5">
        <w:rPr>
          <w:rFonts w:cs="Tahoma"/>
          <w:noProof w:val="0"/>
          <w:szCs w:val="18"/>
          <w:lang w:val="en-US"/>
        </w:rPr>
        <w:t xml:space="preserve"> </w:t>
      </w:r>
    </w:p>
    <w:p w14:paraId="2D2E500D" w14:textId="6A546814" w:rsidR="00DC5DDA" w:rsidRPr="004542B5" w:rsidRDefault="007B47B1" w:rsidP="00E01664">
      <w:pPr>
        <w:pStyle w:val="Heading3"/>
        <w:rPr>
          <w:rFonts w:cs="Tahoma"/>
          <w:b/>
          <w:i w:val="0"/>
          <w:noProof w:val="0"/>
          <w:szCs w:val="18"/>
          <w:lang w:val="en-US"/>
        </w:rPr>
      </w:pPr>
      <w:bookmarkStart w:id="165" w:name="_Toc383161746"/>
      <w:bookmarkStart w:id="166" w:name="_Toc383188375"/>
      <w:bookmarkStart w:id="167" w:name="_Toc45200871"/>
      <w:r w:rsidRPr="004542B5">
        <w:rPr>
          <w:rFonts w:cs="Tahoma"/>
          <w:noProof w:val="0"/>
          <w:szCs w:val="18"/>
          <w:lang w:val="en-US"/>
        </w:rPr>
        <w:t xml:space="preserve">A.2. </w:t>
      </w:r>
      <w:r w:rsidR="00AD34D8" w:rsidRPr="004542B5">
        <w:rPr>
          <w:rFonts w:cs="Tahoma"/>
          <w:noProof w:val="0"/>
          <w:szCs w:val="18"/>
          <w:lang w:val="en-US"/>
        </w:rPr>
        <w:t>The Emberá indigenous people</w:t>
      </w:r>
      <w:bookmarkEnd w:id="165"/>
      <w:bookmarkEnd w:id="166"/>
      <w:bookmarkEnd w:id="167"/>
      <w:r w:rsidRPr="004542B5">
        <w:rPr>
          <w:rFonts w:cs="Tahoma"/>
          <w:noProof w:val="0"/>
          <w:szCs w:val="18"/>
          <w:lang w:val="en-US"/>
        </w:rPr>
        <w:t xml:space="preserve"> </w:t>
      </w:r>
    </w:p>
    <w:p w14:paraId="64C1DB23" w14:textId="320484AA" w:rsidR="00DC5DDA" w:rsidRPr="004542B5" w:rsidRDefault="00F06EC0" w:rsidP="00F06EC0">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 xml:space="preserve">In the seventeenth and eighteenth centuries, some of the </w:t>
      </w:r>
      <w:r w:rsidR="00AD34D8" w:rsidRPr="004542B5">
        <w:rPr>
          <w:rFonts w:cs="Tahoma"/>
          <w:noProof w:val="0"/>
          <w:szCs w:val="20"/>
          <w:lang w:val="en-US"/>
        </w:rPr>
        <w:t>Emberá indigenous people</w:t>
      </w:r>
      <w:r w:rsidR="00843925" w:rsidRPr="004542B5">
        <w:rPr>
          <w:rFonts w:cs="Tahoma"/>
          <w:noProof w:val="0"/>
          <w:szCs w:val="20"/>
          <w:lang w:val="en-US"/>
        </w:rPr>
        <w:t xml:space="preserve"> mig</w:t>
      </w:r>
      <w:r w:rsidRPr="004542B5">
        <w:rPr>
          <w:rFonts w:cs="Tahoma"/>
          <w:noProof w:val="0"/>
          <w:szCs w:val="20"/>
          <w:lang w:val="en-US"/>
        </w:rPr>
        <w:t xml:space="preserve">rated from the Chocó region in </w:t>
      </w:r>
      <w:r w:rsidR="00843925" w:rsidRPr="004542B5">
        <w:rPr>
          <w:rFonts w:cs="Tahoma"/>
          <w:noProof w:val="0"/>
          <w:szCs w:val="20"/>
          <w:lang w:val="en-US"/>
        </w:rPr>
        <w:t xml:space="preserve">Colombia </w:t>
      </w:r>
      <w:r w:rsidRPr="004542B5">
        <w:rPr>
          <w:rFonts w:cs="Tahoma"/>
          <w:noProof w:val="0"/>
          <w:szCs w:val="20"/>
          <w:lang w:val="en-US"/>
        </w:rPr>
        <w:t xml:space="preserve">to territory that is now part of Panama, settling on the banks of the rivers of the actual province of </w:t>
      </w:r>
      <w:r w:rsidR="00982EC9" w:rsidRPr="004542B5">
        <w:rPr>
          <w:rFonts w:cs="Tahoma"/>
          <w:noProof w:val="0"/>
          <w:szCs w:val="20"/>
          <w:lang w:val="en-US"/>
        </w:rPr>
        <w:t>Darien</w:t>
      </w:r>
      <w:r w:rsidRPr="004542B5">
        <w:rPr>
          <w:rFonts w:cs="Tahoma"/>
          <w:noProof w:val="0"/>
          <w:szCs w:val="20"/>
          <w:lang w:val="en-US"/>
        </w:rPr>
        <w:t>.</w:t>
      </w:r>
      <w:r w:rsidR="00843925" w:rsidRPr="004542B5">
        <w:rPr>
          <w:rStyle w:val="FootnoteReference"/>
          <w:noProof w:val="0"/>
          <w:lang w:val="en-US"/>
        </w:rPr>
        <w:footnoteReference w:id="69"/>
      </w:r>
      <w:r w:rsidRPr="004542B5">
        <w:rPr>
          <w:rFonts w:cs="Tahoma"/>
          <w:noProof w:val="0"/>
          <w:szCs w:val="20"/>
          <w:lang w:val="en-US"/>
        </w:rPr>
        <w:t xml:space="preserve"> Subsequently, some of the Emberá people moved to the Bayano region</w:t>
      </w:r>
      <w:r w:rsidR="00843925" w:rsidRPr="004542B5">
        <w:rPr>
          <w:rStyle w:val="FootnoteReference"/>
          <w:noProof w:val="0"/>
          <w:lang w:val="en-US"/>
        </w:rPr>
        <w:footnoteReference w:id="70"/>
      </w:r>
      <w:r w:rsidR="00CD2B90" w:rsidRPr="004542B5">
        <w:rPr>
          <w:rFonts w:cs="Tahoma"/>
          <w:noProof w:val="0"/>
          <w:szCs w:val="20"/>
          <w:lang w:val="en-US"/>
        </w:rPr>
        <w:t xml:space="preserve"> and</w:t>
      </w:r>
      <w:r w:rsidRPr="004542B5">
        <w:rPr>
          <w:rFonts w:cs="Tahoma"/>
          <w:noProof w:val="0"/>
          <w:szCs w:val="20"/>
          <w:lang w:val="en-US"/>
        </w:rPr>
        <w:t xml:space="preserve">, currently, they are organized in four communities: </w:t>
      </w:r>
      <w:r w:rsidR="00843925" w:rsidRPr="004542B5">
        <w:rPr>
          <w:rFonts w:cs="Tahoma"/>
          <w:noProof w:val="0"/>
          <w:szCs w:val="20"/>
          <w:lang w:val="en-US"/>
        </w:rPr>
        <w:t>Ipetí, Piriatí, Maj</w:t>
      </w:r>
      <w:r w:rsidR="009D6100" w:rsidRPr="004542B5">
        <w:rPr>
          <w:rFonts w:cs="Tahoma"/>
          <w:noProof w:val="0"/>
          <w:szCs w:val="20"/>
          <w:lang w:val="en-US"/>
        </w:rPr>
        <w:t>é</w:t>
      </w:r>
      <w:r w:rsidR="00843925" w:rsidRPr="004542B5">
        <w:rPr>
          <w:rFonts w:cs="Tahoma"/>
          <w:noProof w:val="0"/>
          <w:szCs w:val="20"/>
          <w:lang w:val="en-US"/>
        </w:rPr>
        <w:t xml:space="preserve"> Cordillera</w:t>
      </w:r>
      <w:r w:rsidR="00CD2B90" w:rsidRPr="004542B5">
        <w:rPr>
          <w:rFonts w:cs="Tahoma"/>
          <w:noProof w:val="0"/>
          <w:szCs w:val="20"/>
          <w:lang w:val="en-US"/>
        </w:rPr>
        <w:t xml:space="preserve"> and </w:t>
      </w:r>
      <w:r w:rsidR="00843925" w:rsidRPr="004542B5">
        <w:rPr>
          <w:rFonts w:cs="Tahoma"/>
          <w:noProof w:val="0"/>
          <w:szCs w:val="20"/>
          <w:lang w:val="en-US"/>
        </w:rPr>
        <w:t>Unión Emberá</w:t>
      </w:r>
      <w:r w:rsidRPr="004542B5">
        <w:rPr>
          <w:rFonts w:cs="Tahoma"/>
          <w:noProof w:val="0"/>
          <w:szCs w:val="20"/>
          <w:lang w:val="en-US"/>
        </w:rPr>
        <w:t>.</w:t>
      </w:r>
      <w:r w:rsidR="00843925" w:rsidRPr="004542B5">
        <w:rPr>
          <w:rStyle w:val="FootnoteReference"/>
          <w:noProof w:val="0"/>
          <w:lang w:val="en-US"/>
        </w:rPr>
        <w:footnoteReference w:id="71"/>
      </w:r>
      <w:r w:rsidR="00843925" w:rsidRPr="004542B5">
        <w:rPr>
          <w:rFonts w:cs="Tahoma"/>
          <w:noProof w:val="0"/>
          <w:szCs w:val="20"/>
          <w:lang w:val="en-US"/>
        </w:rPr>
        <w:t xml:space="preserve"> </w:t>
      </w:r>
      <w:r w:rsidRPr="004542B5">
        <w:rPr>
          <w:rFonts w:cs="Tahoma"/>
          <w:noProof w:val="0"/>
          <w:szCs w:val="20"/>
          <w:lang w:val="en-US"/>
        </w:rPr>
        <w:t xml:space="preserve">The Emberá population in Panama is composed of approximately </w:t>
      </w:r>
      <w:r w:rsidR="00843925" w:rsidRPr="004542B5">
        <w:rPr>
          <w:rFonts w:cs="Tahoma"/>
          <w:noProof w:val="0"/>
          <w:szCs w:val="20"/>
          <w:lang w:val="en-US"/>
        </w:rPr>
        <w:t>31,284 persons</w:t>
      </w:r>
      <w:r w:rsidRPr="004542B5">
        <w:rPr>
          <w:rFonts w:cs="Tahoma"/>
          <w:noProof w:val="0"/>
          <w:szCs w:val="20"/>
          <w:lang w:val="en-US"/>
        </w:rPr>
        <w:t>.</w:t>
      </w:r>
      <w:r w:rsidR="00843925" w:rsidRPr="004542B5">
        <w:rPr>
          <w:rStyle w:val="FootnoteReference"/>
          <w:noProof w:val="0"/>
          <w:lang w:val="en-US"/>
        </w:rPr>
        <w:footnoteReference w:id="72"/>
      </w:r>
      <w:r w:rsidRPr="004542B5">
        <w:rPr>
          <w:rFonts w:cs="Tahoma"/>
          <w:noProof w:val="0"/>
          <w:szCs w:val="20"/>
          <w:lang w:val="en-US"/>
        </w:rPr>
        <w:t xml:space="preserve"> The State recognized the territories of the Emberá who remained in the </w:t>
      </w:r>
      <w:r w:rsidR="00982EC9" w:rsidRPr="004542B5">
        <w:rPr>
          <w:rFonts w:cs="Tahoma"/>
          <w:noProof w:val="0"/>
          <w:szCs w:val="20"/>
          <w:lang w:val="en-US"/>
        </w:rPr>
        <w:t>Darien</w:t>
      </w:r>
      <w:r w:rsidRPr="004542B5">
        <w:rPr>
          <w:rFonts w:cs="Tahoma"/>
          <w:noProof w:val="0"/>
          <w:szCs w:val="20"/>
          <w:lang w:val="en-US"/>
        </w:rPr>
        <w:t xml:space="preserve"> region as the </w:t>
      </w:r>
      <w:r w:rsidR="00843925" w:rsidRPr="004542B5">
        <w:rPr>
          <w:rFonts w:cs="Tahoma"/>
          <w:noProof w:val="0"/>
          <w:szCs w:val="20"/>
          <w:lang w:val="en-US"/>
        </w:rPr>
        <w:t xml:space="preserve">Emberá </w:t>
      </w:r>
      <w:r w:rsidRPr="004542B5">
        <w:rPr>
          <w:rFonts w:cs="Tahoma"/>
          <w:noProof w:val="0"/>
          <w:szCs w:val="20"/>
          <w:lang w:val="en-US"/>
        </w:rPr>
        <w:t>Comarca of</w:t>
      </w:r>
      <w:r w:rsidR="00843925" w:rsidRPr="004542B5">
        <w:rPr>
          <w:rFonts w:cs="Tahoma"/>
          <w:noProof w:val="0"/>
          <w:szCs w:val="20"/>
          <w:lang w:val="en-US"/>
        </w:rPr>
        <w:t xml:space="preserve"> </w:t>
      </w:r>
      <w:r w:rsidR="00982EC9" w:rsidRPr="004542B5">
        <w:rPr>
          <w:rFonts w:cs="Tahoma"/>
          <w:noProof w:val="0"/>
          <w:szCs w:val="20"/>
          <w:lang w:val="en-US"/>
        </w:rPr>
        <w:t>Darien</w:t>
      </w:r>
      <w:r w:rsidR="00843925" w:rsidRPr="004542B5">
        <w:rPr>
          <w:rFonts w:cs="Tahoma"/>
          <w:noProof w:val="0"/>
          <w:szCs w:val="20"/>
          <w:lang w:val="en-US"/>
        </w:rPr>
        <w:t xml:space="preserve"> (</w:t>
      </w:r>
      <w:r w:rsidR="00843925" w:rsidRPr="004542B5">
        <w:rPr>
          <w:rFonts w:cs="Tahoma"/>
          <w:i/>
          <w:noProof w:val="0"/>
          <w:szCs w:val="20"/>
          <w:lang w:val="en-US"/>
        </w:rPr>
        <w:t>supra</w:t>
      </w:r>
      <w:r w:rsidR="00843925" w:rsidRPr="004542B5">
        <w:rPr>
          <w:rFonts w:cs="Tahoma"/>
          <w:noProof w:val="0"/>
          <w:szCs w:val="20"/>
          <w:lang w:val="en-US"/>
        </w:rPr>
        <w:t xml:space="preserve"> </w:t>
      </w:r>
      <w:r w:rsidR="00F66B76" w:rsidRPr="004542B5">
        <w:rPr>
          <w:rFonts w:cs="Tahoma"/>
          <w:noProof w:val="0"/>
          <w:szCs w:val="20"/>
          <w:lang w:val="en-US"/>
        </w:rPr>
        <w:t>para.</w:t>
      </w:r>
      <w:r w:rsidR="00843925" w:rsidRPr="004542B5">
        <w:rPr>
          <w:rFonts w:cs="Tahoma"/>
          <w:noProof w:val="0"/>
          <w:szCs w:val="20"/>
          <w:lang w:val="en-US"/>
        </w:rPr>
        <w:t xml:space="preserve"> 59), </w:t>
      </w:r>
      <w:r w:rsidRPr="004542B5">
        <w:rPr>
          <w:rFonts w:cs="Tahoma"/>
          <w:noProof w:val="0"/>
          <w:szCs w:val="20"/>
          <w:lang w:val="en-US"/>
        </w:rPr>
        <w:t xml:space="preserve">but the law establishing this comarca did not refer to the Emberá who moved to the Bayano </w:t>
      </w:r>
      <w:r w:rsidR="00C10E5C" w:rsidRPr="004542B5">
        <w:rPr>
          <w:rFonts w:cs="Tahoma"/>
          <w:noProof w:val="0"/>
          <w:szCs w:val="20"/>
          <w:lang w:val="en-US"/>
        </w:rPr>
        <w:t>region</w:t>
      </w:r>
      <w:r w:rsidRPr="004542B5">
        <w:rPr>
          <w:rFonts w:cs="Tahoma"/>
          <w:noProof w:val="0"/>
          <w:szCs w:val="20"/>
          <w:lang w:val="en-US"/>
        </w:rPr>
        <w:t>. The traditional activities of the Emberá people are hunting, fishing and handcrafts.</w:t>
      </w:r>
      <w:r w:rsidR="00843925" w:rsidRPr="004542B5">
        <w:rPr>
          <w:rStyle w:val="FootnoteReference"/>
          <w:noProof w:val="0"/>
          <w:lang w:val="en-US"/>
        </w:rPr>
        <w:footnoteReference w:id="73"/>
      </w:r>
    </w:p>
    <w:p w14:paraId="7C00BFF1" w14:textId="7CA60095" w:rsidR="00DC5DDA" w:rsidRPr="004542B5" w:rsidRDefault="007B47B1" w:rsidP="00E01664">
      <w:pPr>
        <w:pStyle w:val="Heading3"/>
        <w:rPr>
          <w:rFonts w:cs="Tahoma"/>
          <w:b/>
          <w:i w:val="0"/>
          <w:noProof w:val="0"/>
          <w:szCs w:val="18"/>
          <w:lang w:val="en-US"/>
        </w:rPr>
      </w:pPr>
      <w:bookmarkStart w:id="168" w:name="_Toc383161747"/>
      <w:bookmarkStart w:id="169" w:name="_Toc383188376"/>
      <w:bookmarkStart w:id="170" w:name="_Toc45200872"/>
      <w:r w:rsidRPr="004542B5">
        <w:rPr>
          <w:rFonts w:cs="Tahoma"/>
          <w:noProof w:val="0"/>
          <w:szCs w:val="18"/>
          <w:lang w:val="en-US"/>
        </w:rPr>
        <w:lastRenderedPageBreak/>
        <w:t xml:space="preserve">A.3. </w:t>
      </w:r>
      <w:r w:rsidR="00AD34D8" w:rsidRPr="004542B5">
        <w:rPr>
          <w:rFonts w:cs="Tahoma"/>
          <w:noProof w:val="0"/>
          <w:szCs w:val="18"/>
          <w:lang w:val="en-US"/>
        </w:rPr>
        <w:t xml:space="preserve">The non-indigenous population or “settlers” </w:t>
      </w:r>
      <w:r w:rsidR="00C10E5C" w:rsidRPr="004542B5">
        <w:rPr>
          <w:rFonts w:cs="Tahoma"/>
          <w:noProof w:val="0"/>
          <w:szCs w:val="18"/>
          <w:lang w:val="en-US"/>
        </w:rPr>
        <w:t>in the Bayano region</w:t>
      </w:r>
      <w:bookmarkEnd w:id="168"/>
      <w:bookmarkEnd w:id="169"/>
      <w:bookmarkEnd w:id="170"/>
    </w:p>
    <w:p w14:paraId="43D06A33" w14:textId="7CE81222" w:rsidR="00DC5DDA" w:rsidRPr="004542B5" w:rsidRDefault="00843925" w:rsidP="00E01664">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A</w:t>
      </w:r>
      <w:r w:rsidR="00776FF0" w:rsidRPr="004542B5">
        <w:rPr>
          <w:rFonts w:cs="Tahoma"/>
          <w:noProof w:val="0"/>
          <w:szCs w:val="20"/>
          <w:lang w:val="en-US"/>
        </w:rPr>
        <w:t xml:space="preserve">t the time </w:t>
      </w:r>
      <w:r w:rsidR="003C263F" w:rsidRPr="004542B5">
        <w:rPr>
          <w:rFonts w:cs="Tahoma"/>
          <w:noProof w:val="0"/>
          <w:szCs w:val="20"/>
          <w:lang w:val="en-US"/>
        </w:rPr>
        <w:t>the Kuna and Emberá peoples</w:t>
      </w:r>
      <w:r w:rsidR="00776FF0" w:rsidRPr="004542B5">
        <w:rPr>
          <w:rFonts w:cs="Tahoma"/>
          <w:noProof w:val="0"/>
          <w:szCs w:val="20"/>
          <w:lang w:val="en-US"/>
        </w:rPr>
        <w:t xml:space="preserve"> were relocated owing to the construction of the </w:t>
      </w:r>
      <w:r w:rsidR="00C437DD" w:rsidRPr="004542B5">
        <w:rPr>
          <w:rFonts w:cs="Tahoma"/>
          <w:noProof w:val="0"/>
          <w:szCs w:val="20"/>
          <w:lang w:val="en-US"/>
        </w:rPr>
        <w:t>hydroelectric</w:t>
      </w:r>
      <w:r w:rsidR="00776FF0" w:rsidRPr="004542B5">
        <w:rPr>
          <w:rFonts w:cs="Tahoma"/>
          <w:noProof w:val="0"/>
          <w:szCs w:val="20"/>
          <w:lang w:val="en-US"/>
        </w:rPr>
        <w:t xml:space="preserve"> dam, there were some peasant farmers or </w:t>
      </w:r>
      <w:r w:rsidRPr="004542B5">
        <w:rPr>
          <w:rFonts w:cs="Tahoma"/>
          <w:noProof w:val="0"/>
          <w:szCs w:val="20"/>
          <w:lang w:val="en-US"/>
        </w:rPr>
        <w:t>“</w:t>
      </w:r>
      <w:r w:rsidR="00776FF0" w:rsidRPr="004542B5">
        <w:rPr>
          <w:rFonts w:cs="Tahoma"/>
          <w:noProof w:val="0"/>
          <w:szCs w:val="20"/>
          <w:lang w:val="en-US"/>
        </w:rPr>
        <w:t>settlers</w:t>
      </w:r>
      <w:r w:rsidRPr="004542B5">
        <w:rPr>
          <w:rFonts w:cs="Tahoma"/>
          <w:noProof w:val="0"/>
          <w:szCs w:val="20"/>
          <w:lang w:val="en-US"/>
        </w:rPr>
        <w:t xml:space="preserve">” </w:t>
      </w:r>
      <w:r w:rsidR="00776FF0" w:rsidRPr="004542B5">
        <w:rPr>
          <w:rFonts w:cs="Tahoma"/>
          <w:noProof w:val="0"/>
          <w:szCs w:val="20"/>
          <w:lang w:val="en-US"/>
        </w:rPr>
        <w:t>in the</w:t>
      </w:r>
      <w:r w:rsidRPr="004542B5">
        <w:rPr>
          <w:rFonts w:cs="Tahoma"/>
          <w:noProof w:val="0"/>
          <w:szCs w:val="20"/>
          <w:lang w:val="en-US"/>
        </w:rPr>
        <w:t xml:space="preserve"> Bayano</w:t>
      </w:r>
      <w:r w:rsidR="00776FF0" w:rsidRPr="004542B5">
        <w:rPr>
          <w:rFonts w:cs="Tahoma"/>
          <w:noProof w:val="0"/>
          <w:szCs w:val="20"/>
          <w:lang w:val="en-US"/>
        </w:rPr>
        <w:t xml:space="preserve"> region.</w:t>
      </w:r>
      <w:r w:rsidRPr="004542B5">
        <w:rPr>
          <w:rStyle w:val="FootnoteReference"/>
          <w:noProof w:val="0"/>
          <w:lang w:val="en-US"/>
        </w:rPr>
        <w:footnoteReference w:id="74"/>
      </w:r>
      <w:r w:rsidR="00776FF0" w:rsidRPr="004542B5">
        <w:rPr>
          <w:rFonts w:cs="Tahoma"/>
          <w:noProof w:val="0"/>
          <w:szCs w:val="20"/>
          <w:lang w:val="en-US"/>
        </w:rPr>
        <w:t xml:space="preserve"> Moreover, with the construction of the dam and the Pan-American Highway, the presence of </w:t>
      </w:r>
      <w:r w:rsidRPr="004542B5">
        <w:rPr>
          <w:rFonts w:cs="Tahoma"/>
          <w:noProof w:val="0"/>
          <w:szCs w:val="20"/>
          <w:lang w:val="en-US"/>
        </w:rPr>
        <w:t>“</w:t>
      </w:r>
      <w:r w:rsidR="00776FF0" w:rsidRPr="004542B5">
        <w:rPr>
          <w:rFonts w:cs="Tahoma"/>
          <w:noProof w:val="0"/>
          <w:szCs w:val="20"/>
          <w:lang w:val="en-US"/>
        </w:rPr>
        <w:t>settlers</w:t>
      </w:r>
      <w:r w:rsidRPr="004542B5">
        <w:rPr>
          <w:rFonts w:cs="Tahoma"/>
          <w:noProof w:val="0"/>
          <w:szCs w:val="20"/>
          <w:lang w:val="en-US"/>
        </w:rPr>
        <w:t xml:space="preserve">” </w:t>
      </w:r>
      <w:r w:rsidR="00776FF0" w:rsidRPr="004542B5">
        <w:rPr>
          <w:rFonts w:cs="Tahoma"/>
          <w:noProof w:val="0"/>
          <w:szCs w:val="20"/>
          <w:lang w:val="en-US"/>
        </w:rPr>
        <w:t>in the region increased considerably, and they formed at least three peasant communities</w:t>
      </w:r>
      <w:r w:rsidRPr="004542B5">
        <w:rPr>
          <w:rFonts w:cs="Tahoma"/>
          <w:noProof w:val="0"/>
          <w:szCs w:val="20"/>
          <w:lang w:val="en-US"/>
        </w:rPr>
        <w:t>, Wacuco, Loma Bonita</w:t>
      </w:r>
      <w:r w:rsidR="00CD2B90" w:rsidRPr="004542B5">
        <w:rPr>
          <w:rFonts w:cs="Tahoma"/>
          <w:noProof w:val="0"/>
          <w:szCs w:val="20"/>
          <w:lang w:val="en-US"/>
        </w:rPr>
        <w:t xml:space="preserve"> and </w:t>
      </w:r>
      <w:r w:rsidRPr="004542B5">
        <w:rPr>
          <w:rFonts w:cs="Tahoma"/>
          <w:noProof w:val="0"/>
          <w:szCs w:val="20"/>
          <w:lang w:val="en-US"/>
        </w:rPr>
        <w:t xml:space="preserve">Curtí, </w:t>
      </w:r>
      <w:r w:rsidR="00776FF0" w:rsidRPr="004542B5">
        <w:rPr>
          <w:rFonts w:cs="Tahoma"/>
          <w:noProof w:val="0"/>
          <w:szCs w:val="20"/>
          <w:lang w:val="en-US"/>
        </w:rPr>
        <w:t>in which workers unionized themselves.</w:t>
      </w:r>
      <w:r w:rsidRPr="004542B5">
        <w:rPr>
          <w:rStyle w:val="FootnoteReference"/>
          <w:noProof w:val="0"/>
          <w:lang w:val="en-US"/>
        </w:rPr>
        <w:footnoteReference w:id="75"/>
      </w:r>
      <w:r w:rsidRPr="004542B5">
        <w:rPr>
          <w:rFonts w:cs="Tahoma"/>
          <w:noProof w:val="0"/>
          <w:szCs w:val="20"/>
          <w:lang w:val="en-US"/>
        </w:rPr>
        <w:t xml:space="preserve"> </w:t>
      </w:r>
      <w:r w:rsidR="00776FF0" w:rsidRPr="004542B5">
        <w:rPr>
          <w:rFonts w:cs="Tahoma"/>
          <w:noProof w:val="0"/>
          <w:szCs w:val="20"/>
          <w:lang w:val="en-US"/>
        </w:rPr>
        <w:t>It is an undisputed fact that tension and conflicts arose between indigenous communities and “settlers” owing to tenure and use of the land.</w:t>
      </w:r>
    </w:p>
    <w:p w14:paraId="2D8704DD" w14:textId="5B8B9147" w:rsidR="007E4137" w:rsidRPr="004542B5" w:rsidRDefault="00AD34D8" w:rsidP="00E01664">
      <w:pPr>
        <w:pStyle w:val="Heading2"/>
        <w:rPr>
          <w:rFonts w:cs="Tahoma"/>
          <w:noProof w:val="0"/>
          <w:lang w:val="en-US"/>
        </w:rPr>
      </w:pPr>
      <w:bookmarkStart w:id="171" w:name="_Toc383161750"/>
      <w:bookmarkStart w:id="172" w:name="_Toc383188379"/>
      <w:bookmarkStart w:id="173" w:name="_Toc45200873"/>
      <w:r w:rsidRPr="004542B5">
        <w:rPr>
          <w:rFonts w:cs="Tahoma"/>
          <w:noProof w:val="0"/>
          <w:szCs w:val="18"/>
          <w:lang w:val="en-US"/>
        </w:rPr>
        <w:t>Construction of the Bayano Hydroelectric Complex and transfer of the indigenous population</w:t>
      </w:r>
      <w:bookmarkEnd w:id="171"/>
      <w:bookmarkEnd w:id="172"/>
      <w:bookmarkEnd w:id="173"/>
    </w:p>
    <w:p w14:paraId="2FD26010" w14:textId="6D705433" w:rsidR="00DC5DDA" w:rsidRPr="004542B5" w:rsidRDefault="00FF001F" w:rsidP="00FF001F">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I</w:t>
      </w:r>
      <w:r w:rsidR="00843925" w:rsidRPr="004542B5">
        <w:rPr>
          <w:rFonts w:cs="Tahoma"/>
          <w:noProof w:val="0"/>
          <w:szCs w:val="20"/>
          <w:lang w:val="en-US"/>
        </w:rPr>
        <w:t>n 1963</w:t>
      </w:r>
      <w:r w:rsidRPr="004542B5">
        <w:rPr>
          <w:rFonts w:cs="Tahoma"/>
          <w:noProof w:val="0"/>
          <w:szCs w:val="20"/>
          <w:lang w:val="en-US"/>
        </w:rPr>
        <w:t>,</w:t>
      </w:r>
      <w:r w:rsidR="00843925" w:rsidRPr="004542B5">
        <w:rPr>
          <w:rFonts w:cs="Tahoma"/>
          <w:noProof w:val="0"/>
          <w:szCs w:val="20"/>
          <w:lang w:val="en-US"/>
        </w:rPr>
        <w:t xml:space="preserve"> </w:t>
      </w:r>
      <w:r w:rsidR="00562CBB" w:rsidRPr="004542B5">
        <w:rPr>
          <w:rFonts w:cs="Tahoma"/>
          <w:noProof w:val="0"/>
          <w:szCs w:val="20"/>
          <w:lang w:val="en-US"/>
        </w:rPr>
        <w:t>the State</w:t>
      </w:r>
      <w:r w:rsidR="00843925" w:rsidRPr="004542B5">
        <w:rPr>
          <w:rFonts w:cs="Tahoma"/>
          <w:noProof w:val="0"/>
          <w:szCs w:val="20"/>
          <w:lang w:val="en-US"/>
        </w:rPr>
        <w:t xml:space="preserve"> </w:t>
      </w:r>
      <w:r w:rsidR="00B9001E" w:rsidRPr="004542B5">
        <w:rPr>
          <w:rFonts w:cs="Tahoma"/>
          <w:noProof w:val="0"/>
          <w:szCs w:val="20"/>
          <w:lang w:val="en-US"/>
        </w:rPr>
        <w:t>began to</w:t>
      </w:r>
      <w:r w:rsidRPr="004542B5">
        <w:rPr>
          <w:rFonts w:cs="Tahoma"/>
          <w:noProof w:val="0"/>
          <w:szCs w:val="20"/>
          <w:lang w:val="en-US"/>
        </w:rPr>
        <w:t xml:space="preserve"> consider a project that had been submitted for the construction of a hydroelectric dam in the Bayano region, which involved the flooding of approximately 350 km</w:t>
      </w:r>
      <w:r w:rsidRPr="004542B5">
        <w:rPr>
          <w:rFonts w:cs="Tahoma"/>
          <w:noProof w:val="0"/>
          <w:szCs w:val="20"/>
          <w:vertAlign w:val="superscript"/>
          <w:lang w:val="en-US"/>
        </w:rPr>
        <w:t>2</w:t>
      </w:r>
      <w:r w:rsidRPr="004542B5">
        <w:rPr>
          <w:rFonts w:cs="Tahoma"/>
          <w:noProof w:val="0"/>
          <w:szCs w:val="20"/>
          <w:lang w:val="en-US"/>
        </w:rPr>
        <w:t xml:space="preserve"> in the area.</w:t>
      </w:r>
      <w:r w:rsidRPr="004542B5">
        <w:rPr>
          <w:rStyle w:val="FootnoteReference"/>
          <w:noProof w:val="0"/>
          <w:lang w:val="en-US"/>
        </w:rPr>
        <w:footnoteReference w:id="76"/>
      </w:r>
      <w:r w:rsidRPr="004542B5">
        <w:rPr>
          <w:rFonts w:cs="Tahoma"/>
          <w:noProof w:val="0"/>
          <w:szCs w:val="20"/>
          <w:lang w:val="en-US"/>
        </w:rPr>
        <w:t xml:space="preserve"> On May 8, 1969, </w:t>
      </w:r>
      <w:r w:rsidR="00C06694" w:rsidRPr="004542B5">
        <w:rPr>
          <w:rFonts w:cs="Tahoma"/>
          <w:noProof w:val="0"/>
          <w:szCs w:val="20"/>
          <w:lang w:val="en-US"/>
        </w:rPr>
        <w:t>Executive Decree</w:t>
      </w:r>
      <w:r w:rsidR="00843925" w:rsidRPr="004542B5">
        <w:rPr>
          <w:rFonts w:cs="Tahoma"/>
          <w:noProof w:val="0"/>
          <w:szCs w:val="20"/>
          <w:lang w:val="en-US"/>
        </w:rPr>
        <w:t xml:space="preserve"> </w:t>
      </w:r>
      <w:r w:rsidR="00CD2B90" w:rsidRPr="004542B5">
        <w:rPr>
          <w:rFonts w:cs="Tahoma"/>
          <w:noProof w:val="0"/>
          <w:szCs w:val="20"/>
          <w:lang w:val="en-US"/>
        </w:rPr>
        <w:t>No.</w:t>
      </w:r>
      <w:r w:rsidR="001E6D67" w:rsidRPr="004542B5">
        <w:rPr>
          <w:rFonts w:cs="Tahoma"/>
          <w:noProof w:val="0"/>
          <w:szCs w:val="20"/>
          <w:vertAlign w:val="superscript"/>
          <w:lang w:val="en-US"/>
        </w:rPr>
        <w:t xml:space="preserve"> </w:t>
      </w:r>
      <w:r w:rsidR="00843925" w:rsidRPr="004542B5">
        <w:rPr>
          <w:rFonts w:cs="Tahoma"/>
          <w:noProof w:val="0"/>
          <w:szCs w:val="20"/>
          <w:lang w:val="en-US"/>
        </w:rPr>
        <w:t xml:space="preserve">123 </w:t>
      </w:r>
      <w:r w:rsidRPr="004542B5">
        <w:rPr>
          <w:rFonts w:cs="Tahoma"/>
          <w:noProof w:val="0"/>
          <w:szCs w:val="20"/>
          <w:lang w:val="en-US"/>
        </w:rPr>
        <w:t xml:space="preserve">was adopted indicating that “owing to the construction of the Río Bayano Project, part of the actual indigenous reserve in the Alto Bayano will be flooded by the reservoir” and that it was an “obligation of the State to provide the necessary </w:t>
      </w:r>
      <w:r w:rsidR="00B9001E" w:rsidRPr="004542B5">
        <w:rPr>
          <w:rFonts w:cs="Tahoma"/>
          <w:noProof w:val="0"/>
          <w:szCs w:val="20"/>
          <w:lang w:val="en-US"/>
        </w:rPr>
        <w:t>site</w:t>
      </w:r>
      <w:r w:rsidRPr="004542B5">
        <w:rPr>
          <w:rFonts w:cs="Tahoma"/>
          <w:noProof w:val="0"/>
          <w:szCs w:val="20"/>
          <w:lang w:val="en-US"/>
        </w:rPr>
        <w:t xml:space="preserve"> for the relocation of the inhabitants of the said reserve displaced by the reservoir.” The first article of this decree established that an area of 1,124.24 km</w:t>
      </w:r>
      <w:r w:rsidRPr="004542B5">
        <w:rPr>
          <w:rFonts w:cs="Tahoma"/>
          <w:noProof w:val="0"/>
          <w:szCs w:val="20"/>
          <w:vertAlign w:val="superscript"/>
          <w:lang w:val="en-US"/>
        </w:rPr>
        <w:t>2</w:t>
      </w:r>
      <w:r w:rsidRPr="004542B5">
        <w:rPr>
          <w:rFonts w:cs="Tahoma"/>
          <w:noProof w:val="0"/>
          <w:szCs w:val="20"/>
          <w:lang w:val="en-US"/>
        </w:rPr>
        <w:t xml:space="preserve"> was required for the hydroelectric reservoir of the Bayano Hydroelectric Project.</w:t>
      </w:r>
      <w:r w:rsidR="00843925" w:rsidRPr="004542B5">
        <w:rPr>
          <w:rStyle w:val="FootnoteReference"/>
          <w:noProof w:val="0"/>
          <w:lang w:val="en-US"/>
        </w:rPr>
        <w:footnoteReference w:id="77"/>
      </w:r>
      <w:r w:rsidRPr="004542B5">
        <w:rPr>
          <w:rFonts w:cs="Tahoma"/>
          <w:noProof w:val="0"/>
          <w:szCs w:val="20"/>
          <w:lang w:val="en-US"/>
        </w:rPr>
        <w:t xml:space="preserve"> Also, as compensation for the “area of the actual indigenous reserve that will be flooded” by this project, the decree established that new lands would be granted (adjacent and located to the east of the indigenous reserve) which were declared “non-adjudicable,” </w:t>
      </w:r>
      <w:r w:rsidR="00BD3488" w:rsidRPr="004542B5">
        <w:rPr>
          <w:rFonts w:cs="Tahoma"/>
          <w:noProof w:val="0"/>
          <w:szCs w:val="20"/>
          <w:lang w:val="en-US"/>
        </w:rPr>
        <w:t xml:space="preserve">and </w:t>
      </w:r>
      <w:r w:rsidRPr="004542B5">
        <w:rPr>
          <w:rFonts w:cs="Tahoma"/>
          <w:noProof w:val="0"/>
          <w:szCs w:val="20"/>
          <w:lang w:val="en-US"/>
        </w:rPr>
        <w:t xml:space="preserve">that measured </w:t>
      </w:r>
      <w:r w:rsidR="00843925" w:rsidRPr="004542B5">
        <w:rPr>
          <w:rFonts w:cs="Tahoma"/>
          <w:noProof w:val="0"/>
          <w:szCs w:val="20"/>
          <w:lang w:val="en-US"/>
        </w:rPr>
        <w:t>457.11 km</w:t>
      </w:r>
      <w:r w:rsidR="00843925" w:rsidRPr="004542B5">
        <w:rPr>
          <w:rFonts w:cs="Tahoma"/>
          <w:noProof w:val="0"/>
          <w:szCs w:val="20"/>
          <w:vertAlign w:val="superscript"/>
          <w:lang w:val="en-US"/>
        </w:rPr>
        <w:t>2</w:t>
      </w:r>
      <w:r w:rsidR="00CD2B90" w:rsidRPr="004542B5">
        <w:rPr>
          <w:rFonts w:cs="Tahoma"/>
          <w:noProof w:val="0"/>
          <w:szCs w:val="20"/>
          <w:lang w:val="en-US"/>
        </w:rPr>
        <w:t xml:space="preserve"> and </w:t>
      </w:r>
      <w:r w:rsidR="00843925" w:rsidRPr="004542B5">
        <w:rPr>
          <w:rFonts w:cs="Tahoma"/>
          <w:noProof w:val="0"/>
          <w:szCs w:val="20"/>
          <w:lang w:val="en-US"/>
        </w:rPr>
        <w:t>426.33 km</w:t>
      </w:r>
      <w:r w:rsidR="00843925" w:rsidRPr="004542B5">
        <w:rPr>
          <w:rFonts w:cs="Tahoma"/>
          <w:noProof w:val="0"/>
          <w:szCs w:val="20"/>
          <w:vertAlign w:val="superscript"/>
          <w:lang w:val="en-US"/>
        </w:rPr>
        <w:t>2</w:t>
      </w:r>
      <w:r w:rsidR="00843925" w:rsidRPr="004542B5">
        <w:rPr>
          <w:rFonts w:cs="Tahoma"/>
          <w:noProof w:val="0"/>
          <w:szCs w:val="20"/>
          <w:lang w:val="en-US"/>
        </w:rPr>
        <w:t>, respectiv</w:t>
      </w:r>
      <w:r w:rsidRPr="004542B5">
        <w:rPr>
          <w:rFonts w:cs="Tahoma"/>
          <w:noProof w:val="0"/>
          <w:szCs w:val="20"/>
          <w:lang w:val="en-US"/>
        </w:rPr>
        <w:t>ely.</w:t>
      </w:r>
      <w:r w:rsidR="00843925" w:rsidRPr="004542B5">
        <w:rPr>
          <w:rStyle w:val="FootnoteReference"/>
          <w:noProof w:val="0"/>
          <w:lang w:val="en-US"/>
        </w:rPr>
        <w:footnoteReference w:id="78"/>
      </w:r>
      <w:r w:rsidR="007B47B1" w:rsidRPr="004542B5">
        <w:rPr>
          <w:rFonts w:cs="Tahoma"/>
          <w:noProof w:val="0"/>
          <w:szCs w:val="20"/>
          <w:lang w:val="en-US"/>
        </w:rPr>
        <w:t xml:space="preserve"> </w:t>
      </w:r>
    </w:p>
    <w:p w14:paraId="34BC0E1F" w14:textId="155FDB5D" w:rsidR="00DC5DDA" w:rsidRPr="004542B5" w:rsidRDefault="00FF001F" w:rsidP="007232D7">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July 8,</w:t>
      </w:r>
      <w:r w:rsidR="00843925" w:rsidRPr="004542B5">
        <w:rPr>
          <w:rFonts w:cs="Tahoma"/>
          <w:noProof w:val="0"/>
          <w:szCs w:val="20"/>
          <w:lang w:val="en-US"/>
        </w:rPr>
        <w:t xml:space="preserve"> 1971</w:t>
      </w:r>
      <w:r w:rsidRPr="004542B5">
        <w:rPr>
          <w:rFonts w:cs="Tahoma"/>
          <w:noProof w:val="0"/>
          <w:szCs w:val="20"/>
          <w:lang w:val="en-US"/>
        </w:rPr>
        <w:t>,</w:t>
      </w:r>
      <w:r w:rsidR="00843925" w:rsidRPr="004542B5">
        <w:rPr>
          <w:rFonts w:cs="Tahoma"/>
          <w:noProof w:val="0"/>
          <w:szCs w:val="20"/>
          <w:lang w:val="en-US"/>
        </w:rPr>
        <w:t xml:space="preserve"> </w:t>
      </w:r>
      <w:r w:rsidR="00C06694" w:rsidRPr="004542B5">
        <w:rPr>
          <w:rFonts w:cs="Tahoma"/>
          <w:noProof w:val="0"/>
          <w:szCs w:val="20"/>
          <w:lang w:val="en-US"/>
        </w:rPr>
        <w:t>Executive Decree</w:t>
      </w:r>
      <w:r w:rsidR="00843925" w:rsidRPr="004542B5">
        <w:rPr>
          <w:rFonts w:cs="Tahoma"/>
          <w:noProof w:val="0"/>
          <w:szCs w:val="20"/>
          <w:lang w:val="en-US"/>
        </w:rPr>
        <w:t xml:space="preserve"> </w:t>
      </w:r>
      <w:r w:rsidR="00CD2B90" w:rsidRPr="004542B5">
        <w:rPr>
          <w:rFonts w:cs="Tahoma"/>
          <w:noProof w:val="0"/>
          <w:szCs w:val="20"/>
          <w:lang w:val="en-US"/>
        </w:rPr>
        <w:t>No.</w:t>
      </w:r>
      <w:r w:rsidR="00843925" w:rsidRPr="004542B5">
        <w:rPr>
          <w:rFonts w:cs="Tahoma"/>
          <w:noProof w:val="0"/>
          <w:szCs w:val="20"/>
          <w:vertAlign w:val="superscript"/>
          <w:lang w:val="en-US"/>
        </w:rPr>
        <w:t xml:space="preserve"> </w:t>
      </w:r>
      <w:r w:rsidR="00843925" w:rsidRPr="004542B5">
        <w:rPr>
          <w:rFonts w:cs="Tahoma"/>
          <w:noProof w:val="0"/>
          <w:szCs w:val="20"/>
          <w:lang w:val="en-US"/>
        </w:rPr>
        <w:t>156</w:t>
      </w:r>
      <w:r w:rsidRPr="004542B5">
        <w:rPr>
          <w:rFonts w:cs="Tahoma"/>
          <w:noProof w:val="0"/>
          <w:szCs w:val="20"/>
          <w:lang w:val="en-US"/>
        </w:rPr>
        <w:t xml:space="preserve"> was issued</w:t>
      </w:r>
      <w:r w:rsidR="00843925" w:rsidRPr="004542B5">
        <w:rPr>
          <w:rFonts w:cs="Tahoma"/>
          <w:noProof w:val="0"/>
          <w:szCs w:val="20"/>
          <w:lang w:val="en-US"/>
        </w:rPr>
        <w:t xml:space="preserve"> </w:t>
      </w:r>
      <w:r w:rsidRPr="004542B5">
        <w:rPr>
          <w:rFonts w:cs="Tahoma"/>
          <w:noProof w:val="0"/>
          <w:szCs w:val="20"/>
          <w:lang w:val="en-US"/>
        </w:rPr>
        <w:t>establishing a</w:t>
      </w:r>
      <w:r w:rsidR="00843925" w:rsidRPr="004542B5">
        <w:rPr>
          <w:rFonts w:cs="Tahoma"/>
          <w:noProof w:val="0"/>
          <w:szCs w:val="20"/>
          <w:lang w:val="en-US"/>
        </w:rPr>
        <w:t xml:space="preserve"> “</w:t>
      </w:r>
      <w:r w:rsidR="007232D7" w:rsidRPr="004542B5">
        <w:rPr>
          <w:rFonts w:cs="Tahoma"/>
          <w:noProof w:val="0"/>
          <w:szCs w:val="20"/>
          <w:lang w:val="en-US"/>
        </w:rPr>
        <w:t>Special Compensation</w:t>
      </w:r>
      <w:r w:rsidR="00761DDB" w:rsidRPr="004542B5">
        <w:rPr>
          <w:rFonts w:cs="Tahoma"/>
          <w:noProof w:val="0"/>
          <w:szCs w:val="20"/>
          <w:lang w:val="en-US"/>
        </w:rPr>
        <w:t xml:space="preserve"> </w:t>
      </w:r>
      <w:r w:rsidR="006140CD" w:rsidRPr="004542B5">
        <w:rPr>
          <w:rFonts w:cs="Tahoma"/>
          <w:noProof w:val="0"/>
          <w:szCs w:val="20"/>
          <w:lang w:val="en-US"/>
        </w:rPr>
        <w:t xml:space="preserve">Fund to Assist </w:t>
      </w:r>
      <w:r w:rsidR="007232D7" w:rsidRPr="004542B5">
        <w:rPr>
          <w:rFonts w:cs="Tahoma"/>
          <w:noProof w:val="0"/>
          <w:szCs w:val="20"/>
          <w:lang w:val="en-US"/>
        </w:rPr>
        <w:t>the Indigenous Peoples of the</w:t>
      </w:r>
      <w:r w:rsidR="00843925" w:rsidRPr="004542B5">
        <w:rPr>
          <w:rFonts w:cs="Tahoma"/>
          <w:noProof w:val="0"/>
          <w:szCs w:val="20"/>
          <w:lang w:val="en-US"/>
        </w:rPr>
        <w:t xml:space="preserve"> Bayano</w:t>
      </w:r>
      <w:r w:rsidR="007232D7" w:rsidRPr="004542B5">
        <w:rPr>
          <w:rFonts w:cs="Tahoma"/>
          <w:noProof w:val="0"/>
          <w:szCs w:val="20"/>
          <w:lang w:val="en-US"/>
        </w:rPr>
        <w:t>.</w:t>
      </w:r>
      <w:r w:rsidR="00843925" w:rsidRPr="004542B5">
        <w:rPr>
          <w:rFonts w:cs="Tahoma"/>
          <w:noProof w:val="0"/>
          <w:szCs w:val="20"/>
          <w:lang w:val="en-US"/>
        </w:rPr>
        <w:t xml:space="preserve">” </w:t>
      </w:r>
      <w:r w:rsidR="007232D7" w:rsidRPr="004542B5">
        <w:rPr>
          <w:rFonts w:cs="Tahoma"/>
          <w:noProof w:val="0"/>
          <w:szCs w:val="20"/>
          <w:lang w:val="en-US"/>
        </w:rPr>
        <w:t>This decree</w:t>
      </w:r>
      <w:r w:rsidR="00843925" w:rsidRPr="004542B5">
        <w:rPr>
          <w:rFonts w:cs="Tahoma"/>
          <w:noProof w:val="0"/>
          <w:szCs w:val="20"/>
          <w:lang w:val="en-US"/>
        </w:rPr>
        <w:t xml:space="preserve"> consider</w:t>
      </w:r>
      <w:r w:rsidR="007232D7" w:rsidRPr="004542B5">
        <w:rPr>
          <w:rFonts w:cs="Tahoma"/>
          <w:noProof w:val="0"/>
          <w:szCs w:val="20"/>
          <w:lang w:val="en-US"/>
        </w:rPr>
        <w:t>ed that “the indigenous groups who inhabit the actual Bayano Indigenous Reserve will have to aba</w:t>
      </w:r>
      <w:r w:rsidR="00761DDB" w:rsidRPr="004542B5">
        <w:rPr>
          <w:rFonts w:cs="Tahoma"/>
          <w:noProof w:val="0"/>
          <w:szCs w:val="20"/>
          <w:lang w:val="en-US"/>
        </w:rPr>
        <w:t>n</w:t>
      </w:r>
      <w:r w:rsidR="007232D7" w:rsidRPr="004542B5">
        <w:rPr>
          <w:rFonts w:cs="Tahoma"/>
          <w:noProof w:val="0"/>
          <w:szCs w:val="20"/>
          <w:lang w:val="en-US"/>
        </w:rPr>
        <w:t xml:space="preserve">don the lands they occupy owing to the execution of the Bayano Hydroelectric Project” and that “these groups will have to relocate in the areas established as non-adjudicable land by </w:t>
      </w:r>
      <w:r w:rsidR="00C06694" w:rsidRPr="004542B5">
        <w:rPr>
          <w:rFonts w:cs="Tahoma"/>
          <w:noProof w:val="0"/>
          <w:szCs w:val="20"/>
          <w:lang w:val="en-US"/>
        </w:rPr>
        <w:t>Executive Decree</w:t>
      </w:r>
      <w:r w:rsidR="00843925" w:rsidRPr="004542B5">
        <w:rPr>
          <w:rFonts w:cs="Tahoma"/>
          <w:noProof w:val="0"/>
          <w:szCs w:val="20"/>
          <w:lang w:val="en-US"/>
        </w:rPr>
        <w:t xml:space="preserve"> </w:t>
      </w:r>
      <w:r w:rsidR="00CD2B90" w:rsidRPr="004542B5">
        <w:rPr>
          <w:rFonts w:cs="Tahoma"/>
          <w:noProof w:val="0"/>
          <w:szCs w:val="20"/>
          <w:lang w:val="en-US"/>
        </w:rPr>
        <w:t>No.</w:t>
      </w:r>
      <w:r w:rsidR="000537BC" w:rsidRPr="004542B5">
        <w:rPr>
          <w:rFonts w:cs="Tahoma"/>
          <w:noProof w:val="0"/>
          <w:szCs w:val="20"/>
          <w:lang w:val="en-US"/>
        </w:rPr>
        <w:t xml:space="preserve"> </w:t>
      </w:r>
      <w:r w:rsidR="00843925" w:rsidRPr="004542B5">
        <w:rPr>
          <w:rFonts w:cs="Tahoma"/>
          <w:noProof w:val="0"/>
          <w:szCs w:val="20"/>
          <w:lang w:val="en-US"/>
        </w:rPr>
        <w:t>123</w:t>
      </w:r>
      <w:r w:rsidR="007232D7" w:rsidRPr="004542B5">
        <w:rPr>
          <w:rFonts w:cs="Tahoma"/>
          <w:noProof w:val="0"/>
          <w:szCs w:val="20"/>
          <w:lang w:val="en-US"/>
        </w:rPr>
        <w:t>.</w:t>
      </w:r>
      <w:r w:rsidR="00843925" w:rsidRPr="004542B5">
        <w:rPr>
          <w:rFonts w:cs="Tahoma"/>
          <w:noProof w:val="0"/>
          <w:szCs w:val="20"/>
          <w:lang w:val="en-US"/>
        </w:rPr>
        <w:t>”</w:t>
      </w:r>
      <w:r w:rsidR="007232D7" w:rsidRPr="004542B5">
        <w:rPr>
          <w:rFonts w:cs="Tahoma"/>
          <w:noProof w:val="0"/>
          <w:szCs w:val="20"/>
          <w:lang w:val="en-US"/>
        </w:rPr>
        <w:t xml:space="preserve"> The said decree also recognized that “the transfer to new areas entails major efforts for the indigenous peoples as well as considerable financial disbursements, all of which justifies, for reasons of humanity, the assistance that the State has decided in their favor” and established that the</w:t>
      </w:r>
      <w:r w:rsidR="00843925" w:rsidRPr="004542B5">
        <w:rPr>
          <w:rFonts w:cs="Tahoma"/>
          <w:noProof w:val="0"/>
          <w:szCs w:val="20"/>
          <w:lang w:val="en-US"/>
        </w:rPr>
        <w:t xml:space="preserve"> “</w:t>
      </w:r>
      <w:r w:rsidR="007232D7" w:rsidRPr="004542B5">
        <w:rPr>
          <w:rFonts w:cs="Tahoma"/>
          <w:noProof w:val="0"/>
          <w:szCs w:val="20"/>
          <w:lang w:val="en-US"/>
        </w:rPr>
        <w:t>Forestry Service of the Ministry of Agriculture and Livestock</w:t>
      </w:r>
      <w:r w:rsidR="00843925" w:rsidRPr="004542B5">
        <w:rPr>
          <w:rFonts w:cs="Tahoma"/>
          <w:noProof w:val="0"/>
          <w:szCs w:val="20"/>
          <w:lang w:val="en-US"/>
        </w:rPr>
        <w:t xml:space="preserve"> </w:t>
      </w:r>
      <w:r w:rsidR="007232D7" w:rsidRPr="004542B5">
        <w:rPr>
          <w:rFonts w:cs="Tahoma"/>
          <w:noProof w:val="0"/>
          <w:szCs w:val="20"/>
          <w:lang w:val="en-US"/>
        </w:rPr>
        <w:t xml:space="preserve">shall deliver to the official representatives of the indigenous peoples the sum that, pursuant to </w:t>
      </w:r>
      <w:r w:rsidR="007232D7" w:rsidRPr="004542B5">
        <w:rPr>
          <w:rFonts w:cs="Tahoma"/>
          <w:noProof w:val="0"/>
          <w:szCs w:val="20"/>
          <w:lang w:val="en-US"/>
        </w:rPr>
        <w:lastRenderedPageBreak/>
        <w:t xml:space="preserve">article </w:t>
      </w:r>
      <w:r w:rsidR="00761DDB" w:rsidRPr="004542B5">
        <w:rPr>
          <w:rFonts w:cs="Tahoma"/>
          <w:noProof w:val="0"/>
          <w:szCs w:val="20"/>
          <w:lang w:val="en-US"/>
        </w:rPr>
        <w:t xml:space="preserve">[2], forms part of the special compensation and assistance fund established by this </w:t>
      </w:r>
      <w:r w:rsidR="00C06694" w:rsidRPr="004542B5">
        <w:rPr>
          <w:rFonts w:cs="Tahoma"/>
          <w:noProof w:val="0"/>
          <w:szCs w:val="20"/>
          <w:lang w:val="en-US"/>
        </w:rPr>
        <w:t>Executive Decree</w:t>
      </w:r>
      <w:r w:rsidR="00761DDB" w:rsidRPr="004542B5">
        <w:rPr>
          <w:rFonts w:cs="Tahoma"/>
          <w:noProof w:val="0"/>
          <w:szCs w:val="20"/>
          <w:lang w:val="en-US"/>
        </w:rPr>
        <w:t>.</w:t>
      </w:r>
      <w:r w:rsidR="00843925" w:rsidRPr="004542B5">
        <w:rPr>
          <w:rFonts w:cs="Tahoma"/>
          <w:noProof w:val="0"/>
          <w:szCs w:val="20"/>
          <w:lang w:val="en-US"/>
        </w:rPr>
        <w:t>”</w:t>
      </w:r>
      <w:r w:rsidR="00843925" w:rsidRPr="004542B5">
        <w:rPr>
          <w:rStyle w:val="FootnoteReference"/>
          <w:noProof w:val="0"/>
          <w:lang w:val="en-US"/>
        </w:rPr>
        <w:footnoteReference w:id="79"/>
      </w:r>
      <w:r w:rsidR="007B47B1" w:rsidRPr="004542B5">
        <w:rPr>
          <w:rFonts w:cs="Tahoma"/>
          <w:noProof w:val="0"/>
          <w:szCs w:val="20"/>
          <w:lang w:val="en-US"/>
        </w:rPr>
        <w:t xml:space="preserve"> </w:t>
      </w:r>
    </w:p>
    <w:p w14:paraId="2D76799B" w14:textId="0ECF2963" w:rsidR="00DC5DDA" w:rsidRPr="004542B5" w:rsidRDefault="00562CBB" w:rsidP="00486496">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The State</w:t>
      </w:r>
      <w:r w:rsidR="000537BC" w:rsidRPr="004542B5">
        <w:rPr>
          <w:rFonts w:cs="Tahoma"/>
          <w:noProof w:val="0"/>
          <w:szCs w:val="20"/>
          <w:lang w:val="en-US"/>
        </w:rPr>
        <w:t xml:space="preserve"> </w:t>
      </w:r>
      <w:r w:rsidR="00761DDB" w:rsidRPr="004542B5">
        <w:rPr>
          <w:rFonts w:cs="Tahoma"/>
          <w:noProof w:val="0"/>
          <w:szCs w:val="20"/>
          <w:lang w:val="en-US"/>
        </w:rPr>
        <w:t xml:space="preserve">began construction of the dam in </w:t>
      </w:r>
      <w:r w:rsidR="000537BC" w:rsidRPr="004542B5">
        <w:rPr>
          <w:rFonts w:cs="Tahoma"/>
          <w:noProof w:val="0"/>
          <w:szCs w:val="20"/>
          <w:lang w:val="en-US"/>
        </w:rPr>
        <w:t>1972</w:t>
      </w:r>
      <w:r w:rsidR="00761DDB" w:rsidRPr="004542B5">
        <w:rPr>
          <w:rFonts w:cs="Tahoma"/>
          <w:noProof w:val="0"/>
          <w:szCs w:val="20"/>
          <w:lang w:val="en-US"/>
        </w:rPr>
        <w:t>.</w:t>
      </w:r>
      <w:r w:rsidR="000537BC" w:rsidRPr="004542B5">
        <w:rPr>
          <w:rStyle w:val="FootnoteReference"/>
          <w:noProof w:val="0"/>
          <w:lang w:val="en-US"/>
        </w:rPr>
        <w:footnoteReference w:id="80"/>
      </w:r>
      <w:r w:rsidR="00761DDB" w:rsidRPr="004542B5">
        <w:rPr>
          <w:rFonts w:cs="Tahoma"/>
          <w:noProof w:val="0"/>
          <w:szCs w:val="20"/>
          <w:lang w:val="en-US"/>
        </w:rPr>
        <w:t xml:space="preserve"> In addition, it created the Project for the Integral Development of the Bayano by Decree No. 112 of November 15, 1973, which ordered “the transfer and relocation of the communities located in the area of the reservoir [and other areas].</w:t>
      </w:r>
      <w:r w:rsidR="000537BC" w:rsidRPr="004542B5">
        <w:rPr>
          <w:rFonts w:cs="Tahoma"/>
          <w:noProof w:val="0"/>
          <w:szCs w:val="20"/>
          <w:lang w:val="en-US"/>
        </w:rPr>
        <w:t>”</w:t>
      </w:r>
      <w:r w:rsidR="000537BC" w:rsidRPr="004542B5">
        <w:rPr>
          <w:rStyle w:val="FootnoteReference"/>
          <w:noProof w:val="0"/>
          <w:lang w:val="en-US"/>
        </w:rPr>
        <w:footnoteReference w:id="81"/>
      </w:r>
      <w:r w:rsidR="000537BC" w:rsidRPr="004542B5">
        <w:rPr>
          <w:rFonts w:cs="Tahoma"/>
          <w:noProof w:val="0"/>
          <w:szCs w:val="20"/>
          <w:lang w:val="en-US"/>
        </w:rPr>
        <w:t xml:space="preserve"> </w:t>
      </w:r>
      <w:r w:rsidR="00BD3488" w:rsidRPr="004542B5">
        <w:rPr>
          <w:rFonts w:cs="Tahoma"/>
          <w:noProof w:val="0"/>
          <w:szCs w:val="20"/>
          <w:lang w:val="en-US"/>
        </w:rPr>
        <w:t>T</w:t>
      </w:r>
      <w:r w:rsidR="00761DDB" w:rsidRPr="004542B5">
        <w:rPr>
          <w:rFonts w:cs="Tahoma"/>
          <w:noProof w:val="0"/>
          <w:szCs w:val="20"/>
          <w:lang w:val="en-US"/>
        </w:rPr>
        <w:t xml:space="preserve">he transfer of </w:t>
      </w:r>
      <w:r w:rsidR="003C263F" w:rsidRPr="004542B5">
        <w:rPr>
          <w:rFonts w:cs="Tahoma"/>
          <w:noProof w:val="0"/>
          <w:szCs w:val="20"/>
          <w:lang w:val="en-US"/>
        </w:rPr>
        <w:t>the Kuna and Emberá peoples</w:t>
      </w:r>
      <w:r w:rsidR="000537BC" w:rsidRPr="004542B5">
        <w:rPr>
          <w:rFonts w:cs="Tahoma"/>
          <w:noProof w:val="0"/>
          <w:szCs w:val="20"/>
          <w:lang w:val="en-US"/>
        </w:rPr>
        <w:t xml:space="preserve"> </w:t>
      </w:r>
      <w:r w:rsidR="00761DDB" w:rsidRPr="004542B5">
        <w:rPr>
          <w:rFonts w:cs="Tahoma"/>
          <w:noProof w:val="0"/>
          <w:szCs w:val="20"/>
          <w:lang w:val="en-US"/>
        </w:rPr>
        <w:t xml:space="preserve">in the </w:t>
      </w:r>
      <w:r w:rsidR="000537BC" w:rsidRPr="004542B5">
        <w:rPr>
          <w:rFonts w:cs="Tahoma"/>
          <w:noProof w:val="0"/>
          <w:szCs w:val="20"/>
          <w:lang w:val="en-US"/>
        </w:rPr>
        <w:t>Alto Bayano</w:t>
      </w:r>
      <w:r w:rsidR="00761DDB" w:rsidRPr="004542B5">
        <w:rPr>
          <w:rFonts w:cs="Tahoma"/>
          <w:noProof w:val="0"/>
          <w:szCs w:val="20"/>
          <w:lang w:val="en-US"/>
        </w:rPr>
        <w:t xml:space="preserve"> was </w:t>
      </w:r>
      <w:r w:rsidR="00BD3488" w:rsidRPr="004542B5">
        <w:rPr>
          <w:rFonts w:cs="Tahoma"/>
          <w:noProof w:val="0"/>
          <w:szCs w:val="20"/>
          <w:lang w:val="en-US"/>
        </w:rPr>
        <w:t>implemented from 1973 to 1975</w:t>
      </w:r>
      <w:r w:rsidR="00761DDB" w:rsidRPr="004542B5">
        <w:rPr>
          <w:rFonts w:cs="Tahoma"/>
          <w:noProof w:val="0"/>
          <w:szCs w:val="20"/>
          <w:lang w:val="en-US"/>
        </w:rPr>
        <w:t>.</w:t>
      </w:r>
      <w:r w:rsidR="000537BC" w:rsidRPr="004542B5">
        <w:rPr>
          <w:rStyle w:val="FootnoteReference"/>
          <w:noProof w:val="0"/>
          <w:lang w:val="en-US"/>
        </w:rPr>
        <w:footnoteReference w:id="82"/>
      </w:r>
      <w:r w:rsidR="00761DDB" w:rsidRPr="004542B5">
        <w:rPr>
          <w:rFonts w:cs="Tahoma"/>
          <w:noProof w:val="0"/>
          <w:szCs w:val="20"/>
          <w:lang w:val="en-US"/>
        </w:rPr>
        <w:t xml:space="preserve"> Initially, the Emberá communities were </w:t>
      </w:r>
      <w:r w:rsidR="00BD3488" w:rsidRPr="004542B5">
        <w:rPr>
          <w:rFonts w:cs="Tahoma"/>
          <w:noProof w:val="0"/>
          <w:szCs w:val="20"/>
          <w:lang w:val="en-US"/>
        </w:rPr>
        <w:t>transferred</w:t>
      </w:r>
      <w:r w:rsidR="00761DDB" w:rsidRPr="004542B5">
        <w:rPr>
          <w:rFonts w:cs="Tahoma"/>
          <w:noProof w:val="0"/>
          <w:szCs w:val="20"/>
          <w:lang w:val="en-US"/>
        </w:rPr>
        <w:t xml:space="preserve"> to sites that </w:t>
      </w:r>
      <w:r w:rsidR="00BD3488" w:rsidRPr="004542B5">
        <w:rPr>
          <w:rFonts w:cs="Tahoma"/>
          <w:noProof w:val="0"/>
          <w:szCs w:val="20"/>
          <w:lang w:val="en-US"/>
        </w:rPr>
        <w:t>proved</w:t>
      </w:r>
      <w:r w:rsidR="00761DDB" w:rsidRPr="004542B5">
        <w:rPr>
          <w:rFonts w:cs="Tahoma"/>
          <w:noProof w:val="0"/>
          <w:szCs w:val="20"/>
          <w:lang w:val="en-US"/>
        </w:rPr>
        <w:t xml:space="preserve"> inadequate</w:t>
      </w:r>
      <w:r w:rsidR="00BD3488" w:rsidRPr="004542B5">
        <w:rPr>
          <w:rFonts w:cs="Tahoma"/>
          <w:noProof w:val="0"/>
          <w:szCs w:val="20"/>
          <w:lang w:val="en-US"/>
        </w:rPr>
        <w:t>; they were therefore</w:t>
      </w:r>
      <w:r w:rsidR="00761DDB" w:rsidRPr="004542B5">
        <w:rPr>
          <w:rFonts w:cs="Tahoma"/>
          <w:noProof w:val="0"/>
          <w:szCs w:val="20"/>
          <w:lang w:val="en-US"/>
        </w:rPr>
        <w:t xml:space="preserve"> </w:t>
      </w:r>
      <w:r w:rsidR="00BD3488" w:rsidRPr="004542B5">
        <w:rPr>
          <w:rFonts w:cs="Tahoma"/>
          <w:noProof w:val="0"/>
          <w:szCs w:val="20"/>
          <w:lang w:val="en-US"/>
        </w:rPr>
        <w:t>moved a second time</w:t>
      </w:r>
      <w:r w:rsidR="00761DDB" w:rsidRPr="004542B5">
        <w:rPr>
          <w:rStyle w:val="FootnoteReference"/>
          <w:noProof w:val="0"/>
          <w:lang w:val="en-US"/>
        </w:rPr>
        <w:footnoteReference w:id="83"/>
      </w:r>
      <w:r w:rsidR="00761DDB" w:rsidRPr="004542B5">
        <w:rPr>
          <w:rFonts w:cs="Tahoma"/>
          <w:noProof w:val="0"/>
          <w:szCs w:val="20"/>
          <w:lang w:val="en-US"/>
        </w:rPr>
        <w:t xml:space="preserve"> to the lands where they are now located to the south of Bay</w:t>
      </w:r>
      <w:r w:rsidR="00982EC9" w:rsidRPr="004542B5">
        <w:rPr>
          <w:rFonts w:cs="Tahoma"/>
          <w:noProof w:val="0"/>
          <w:szCs w:val="20"/>
          <w:lang w:val="en-US"/>
        </w:rPr>
        <w:t>ano</w:t>
      </w:r>
      <w:r w:rsidR="00761DDB" w:rsidRPr="004542B5">
        <w:rPr>
          <w:rFonts w:cs="Tahoma"/>
          <w:noProof w:val="0"/>
          <w:szCs w:val="20"/>
          <w:lang w:val="en-US"/>
        </w:rPr>
        <w:t xml:space="preserve"> Lake beside the Pan-American Highway, </w:t>
      </w:r>
      <w:r w:rsidR="00486496" w:rsidRPr="004542B5">
        <w:rPr>
          <w:rFonts w:cs="Tahoma"/>
          <w:noProof w:val="0"/>
          <w:szCs w:val="20"/>
          <w:lang w:val="en-US"/>
        </w:rPr>
        <w:t>cover</w:t>
      </w:r>
      <w:r w:rsidR="00BD3488" w:rsidRPr="004542B5">
        <w:rPr>
          <w:rFonts w:cs="Tahoma"/>
          <w:noProof w:val="0"/>
          <w:szCs w:val="20"/>
          <w:lang w:val="en-US"/>
        </w:rPr>
        <w:t>ing</w:t>
      </w:r>
      <w:r w:rsidR="00486496" w:rsidRPr="004542B5">
        <w:rPr>
          <w:rFonts w:cs="Tahoma"/>
          <w:noProof w:val="0"/>
          <w:szCs w:val="20"/>
          <w:lang w:val="en-US"/>
        </w:rPr>
        <w:t xml:space="preserve"> around 7,000 hectares; of this, 2,490 hectares were assigned to the Ipetí community,</w:t>
      </w:r>
      <w:r w:rsidR="000537BC" w:rsidRPr="004542B5">
        <w:rPr>
          <w:rStyle w:val="FootnoteReference"/>
          <w:noProof w:val="0"/>
          <w:lang w:val="en-US"/>
        </w:rPr>
        <w:footnoteReference w:id="84"/>
      </w:r>
      <w:r w:rsidR="00CD2B90" w:rsidRPr="004542B5">
        <w:rPr>
          <w:noProof w:val="0"/>
          <w:szCs w:val="20"/>
          <w:lang w:val="en-US"/>
        </w:rPr>
        <w:t xml:space="preserve"> and </w:t>
      </w:r>
      <w:r w:rsidR="00486496" w:rsidRPr="004542B5">
        <w:rPr>
          <w:noProof w:val="0"/>
          <w:szCs w:val="20"/>
          <w:lang w:val="en-US"/>
        </w:rPr>
        <w:t>two sites of 265 hectares and 3,840.95 m</w:t>
      </w:r>
      <w:r w:rsidR="00486496" w:rsidRPr="004542B5">
        <w:rPr>
          <w:noProof w:val="0"/>
          <w:szCs w:val="20"/>
          <w:vertAlign w:val="superscript"/>
          <w:lang w:val="en-US"/>
        </w:rPr>
        <w:t>2</w:t>
      </w:r>
      <w:r w:rsidR="00486496" w:rsidRPr="004542B5">
        <w:rPr>
          <w:noProof w:val="0"/>
          <w:szCs w:val="20"/>
          <w:lang w:val="en-US"/>
        </w:rPr>
        <w:t>, and 3,678 hectares and 4,190.65 m</w:t>
      </w:r>
      <w:r w:rsidR="00486496" w:rsidRPr="004542B5">
        <w:rPr>
          <w:noProof w:val="0"/>
          <w:szCs w:val="20"/>
          <w:vertAlign w:val="superscript"/>
          <w:lang w:val="en-US"/>
        </w:rPr>
        <w:t>2</w:t>
      </w:r>
      <w:r w:rsidR="00486496" w:rsidRPr="004542B5">
        <w:rPr>
          <w:noProof w:val="0"/>
          <w:szCs w:val="20"/>
          <w:lang w:val="en-US"/>
        </w:rPr>
        <w:t>, respectively, to the Piriatí community</w:t>
      </w:r>
      <w:r w:rsidR="000537BC" w:rsidRPr="004542B5">
        <w:rPr>
          <w:noProof w:val="0"/>
          <w:szCs w:val="20"/>
          <w:lang w:val="en-US"/>
        </w:rPr>
        <w:t xml:space="preserve"> (</w:t>
      </w:r>
      <w:r w:rsidR="000537BC" w:rsidRPr="004542B5">
        <w:rPr>
          <w:i/>
          <w:noProof w:val="0"/>
          <w:szCs w:val="20"/>
          <w:lang w:val="en-US"/>
        </w:rPr>
        <w:t>infra</w:t>
      </w:r>
      <w:r w:rsidR="000537BC" w:rsidRPr="004542B5">
        <w:rPr>
          <w:noProof w:val="0"/>
          <w:szCs w:val="20"/>
          <w:lang w:val="en-US"/>
        </w:rPr>
        <w:t xml:space="preserve"> </w:t>
      </w:r>
      <w:r w:rsidR="00F66B76" w:rsidRPr="004542B5">
        <w:rPr>
          <w:noProof w:val="0"/>
          <w:szCs w:val="20"/>
          <w:lang w:val="en-US"/>
        </w:rPr>
        <w:t>para.</w:t>
      </w:r>
      <w:r w:rsidR="000537BC" w:rsidRPr="004542B5">
        <w:rPr>
          <w:noProof w:val="0"/>
          <w:szCs w:val="20"/>
          <w:lang w:val="en-US"/>
        </w:rPr>
        <w:t xml:space="preserve"> 83). </w:t>
      </w:r>
      <w:r w:rsidR="00486496" w:rsidRPr="004542B5">
        <w:rPr>
          <w:noProof w:val="0"/>
          <w:szCs w:val="20"/>
          <w:lang w:val="en-US"/>
        </w:rPr>
        <w:t xml:space="preserve">The dam construction concluded in </w:t>
      </w:r>
      <w:r w:rsidR="000537BC" w:rsidRPr="004542B5">
        <w:rPr>
          <w:rFonts w:cs="Tahoma"/>
          <w:noProof w:val="0"/>
          <w:szCs w:val="20"/>
          <w:lang w:val="en-US"/>
        </w:rPr>
        <w:t>1976</w:t>
      </w:r>
      <w:r w:rsidR="00486496" w:rsidRPr="004542B5">
        <w:rPr>
          <w:rFonts w:cs="Tahoma"/>
          <w:noProof w:val="0"/>
          <w:szCs w:val="20"/>
          <w:lang w:val="en-US"/>
        </w:rPr>
        <w:t>.</w:t>
      </w:r>
      <w:r w:rsidR="000537BC" w:rsidRPr="004542B5">
        <w:rPr>
          <w:rStyle w:val="FootnoteReference"/>
          <w:noProof w:val="0"/>
          <w:lang w:val="en-US"/>
        </w:rPr>
        <w:footnoteReference w:id="85"/>
      </w:r>
      <w:r w:rsidR="000537BC" w:rsidRPr="004542B5">
        <w:rPr>
          <w:rFonts w:cs="Tahoma"/>
          <w:noProof w:val="0"/>
          <w:szCs w:val="20"/>
          <w:lang w:val="en-US"/>
        </w:rPr>
        <w:t xml:space="preserve"> </w:t>
      </w:r>
      <w:r w:rsidR="00486496" w:rsidRPr="004542B5">
        <w:rPr>
          <w:rFonts w:cs="Tahoma"/>
          <w:noProof w:val="0"/>
          <w:szCs w:val="20"/>
          <w:lang w:val="en-US"/>
        </w:rPr>
        <w:t>As a result of the construction, several indigenous villages were flooded and their inhabitants relocated.</w:t>
      </w:r>
      <w:r w:rsidR="000537BC" w:rsidRPr="004542B5">
        <w:rPr>
          <w:rStyle w:val="FootnoteReference"/>
          <w:noProof w:val="0"/>
          <w:lang w:val="en-US"/>
        </w:rPr>
        <w:footnoteReference w:id="86"/>
      </w:r>
      <w:r w:rsidR="007B47B1" w:rsidRPr="004542B5">
        <w:rPr>
          <w:noProof w:val="0"/>
          <w:szCs w:val="20"/>
          <w:lang w:val="en-US"/>
        </w:rPr>
        <w:t xml:space="preserve"> </w:t>
      </w:r>
    </w:p>
    <w:p w14:paraId="3523E795" w14:textId="2F6E5A5D" w:rsidR="00DC5DDA" w:rsidRPr="004542B5" w:rsidRDefault="00AD34D8" w:rsidP="00E01664">
      <w:pPr>
        <w:pStyle w:val="Heading2"/>
        <w:rPr>
          <w:noProof w:val="0"/>
          <w:lang w:val="en-US"/>
        </w:rPr>
      </w:pPr>
      <w:bookmarkStart w:id="174" w:name="_Toc393988460"/>
      <w:bookmarkStart w:id="175" w:name="_Toc394003964"/>
      <w:bookmarkStart w:id="176" w:name="_Toc393988461"/>
      <w:bookmarkStart w:id="177" w:name="_Toc394003965"/>
      <w:bookmarkStart w:id="178" w:name="_Toc393988462"/>
      <w:bookmarkStart w:id="179" w:name="_Toc394003966"/>
      <w:bookmarkStart w:id="180" w:name="_Toc393988463"/>
      <w:bookmarkStart w:id="181" w:name="_Toc394003967"/>
      <w:bookmarkStart w:id="182" w:name="_Toc393988464"/>
      <w:bookmarkStart w:id="183" w:name="_Toc394003968"/>
      <w:bookmarkStart w:id="184" w:name="_Toc393988465"/>
      <w:bookmarkStart w:id="185" w:name="_Toc394003969"/>
      <w:bookmarkStart w:id="186" w:name="_Toc393988466"/>
      <w:bookmarkStart w:id="187" w:name="_Toc394003970"/>
      <w:bookmarkStart w:id="188" w:name="_Toc393988467"/>
      <w:bookmarkStart w:id="189" w:name="_Toc394003971"/>
      <w:bookmarkStart w:id="190" w:name="_Toc393988468"/>
      <w:bookmarkStart w:id="191" w:name="_Toc394003972"/>
      <w:bookmarkStart w:id="192" w:name="_Toc393988469"/>
      <w:bookmarkStart w:id="193" w:name="_Toc394003973"/>
      <w:bookmarkStart w:id="194" w:name="_Toc393988470"/>
      <w:bookmarkStart w:id="195" w:name="_Toc394003974"/>
      <w:bookmarkStart w:id="196" w:name="_Toc393988471"/>
      <w:bookmarkStart w:id="197" w:name="_Toc394003975"/>
      <w:bookmarkStart w:id="198" w:name="_Toc393988472"/>
      <w:bookmarkStart w:id="199" w:name="_Toc394003976"/>
      <w:bookmarkStart w:id="200" w:name="_Toc393988473"/>
      <w:bookmarkStart w:id="201" w:name="_Toc394003977"/>
      <w:bookmarkStart w:id="202" w:name="_Toc393988474"/>
      <w:bookmarkStart w:id="203" w:name="_Toc394003978"/>
      <w:bookmarkStart w:id="204" w:name="_Toc393988475"/>
      <w:bookmarkStart w:id="205" w:name="_Toc394003979"/>
      <w:bookmarkStart w:id="206" w:name="_Toc393988476"/>
      <w:bookmarkStart w:id="207" w:name="_Toc394003980"/>
      <w:bookmarkStart w:id="208" w:name="_Toc45200874"/>
      <w:bookmarkStart w:id="209" w:name="_Toc383161751"/>
      <w:bookmarkStart w:id="210" w:name="_Toc383188380"/>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4542B5">
        <w:rPr>
          <w:rFonts w:cs="Tahoma"/>
          <w:noProof w:val="0"/>
          <w:szCs w:val="18"/>
          <w:lang w:val="en-US"/>
        </w:rPr>
        <w:t>Events that occurred after the transfer of the indigenous population</w:t>
      </w:r>
      <w:bookmarkEnd w:id="208"/>
    </w:p>
    <w:p w14:paraId="37FD7E70" w14:textId="07F7B140" w:rsidR="00203069" w:rsidRPr="004542B5" w:rsidRDefault="00203069" w:rsidP="00E01664">
      <w:pPr>
        <w:pStyle w:val="ListParagraph"/>
        <w:numPr>
          <w:ilvl w:val="0"/>
          <w:numId w:val="2"/>
        </w:numPr>
        <w:spacing w:before="120"/>
        <w:contextualSpacing w:val="0"/>
        <w:rPr>
          <w:bCs/>
          <w:noProof w:val="0"/>
          <w:szCs w:val="20"/>
          <w:lang w:val="en-US"/>
        </w:rPr>
      </w:pPr>
      <w:r w:rsidRPr="004542B5">
        <w:rPr>
          <w:rFonts w:cs="Tahoma"/>
          <w:noProof w:val="0"/>
          <w:szCs w:val="20"/>
          <w:lang w:val="en-US"/>
        </w:rPr>
        <w:t>Between</w:t>
      </w:r>
      <w:r w:rsidR="000537BC" w:rsidRPr="004542B5">
        <w:rPr>
          <w:rFonts w:cs="Tahoma"/>
          <w:noProof w:val="0"/>
          <w:szCs w:val="20"/>
          <w:lang w:val="en-US"/>
        </w:rPr>
        <w:t xml:space="preserve"> 1975</w:t>
      </w:r>
      <w:r w:rsidR="00CD2B90" w:rsidRPr="004542B5">
        <w:rPr>
          <w:rFonts w:cs="Tahoma"/>
          <w:noProof w:val="0"/>
          <w:szCs w:val="20"/>
          <w:lang w:val="en-US"/>
        </w:rPr>
        <w:t xml:space="preserve"> and </w:t>
      </w:r>
      <w:r w:rsidR="000537BC" w:rsidRPr="004542B5">
        <w:rPr>
          <w:rFonts w:cs="Tahoma"/>
          <w:noProof w:val="0"/>
          <w:szCs w:val="20"/>
          <w:lang w:val="en-US"/>
        </w:rPr>
        <w:t>1980</w:t>
      </w:r>
      <w:r w:rsidRPr="004542B5">
        <w:rPr>
          <w:rFonts w:cs="Tahoma"/>
          <w:noProof w:val="0"/>
          <w:szCs w:val="20"/>
          <w:lang w:val="en-US"/>
        </w:rPr>
        <w:t>, the state authorities signed f</w:t>
      </w:r>
      <w:r w:rsidR="00BD3488" w:rsidRPr="004542B5">
        <w:rPr>
          <w:rFonts w:cs="Tahoma"/>
          <w:noProof w:val="0"/>
          <w:szCs w:val="20"/>
          <w:lang w:val="en-US"/>
        </w:rPr>
        <w:t>our</w:t>
      </w:r>
      <w:r w:rsidRPr="004542B5">
        <w:rPr>
          <w:rFonts w:cs="Tahoma"/>
          <w:noProof w:val="0"/>
          <w:szCs w:val="20"/>
          <w:lang w:val="en-US"/>
        </w:rPr>
        <w:t xml:space="preserve"> main agreement</w:t>
      </w:r>
      <w:r w:rsidR="00BD3488" w:rsidRPr="004542B5">
        <w:rPr>
          <w:rFonts w:cs="Tahoma"/>
          <w:noProof w:val="0"/>
          <w:szCs w:val="20"/>
          <w:lang w:val="en-US"/>
        </w:rPr>
        <w:t>s</w:t>
      </w:r>
      <w:r w:rsidRPr="004542B5">
        <w:rPr>
          <w:rFonts w:cs="Tahoma"/>
          <w:noProof w:val="0"/>
          <w:szCs w:val="20"/>
          <w:lang w:val="en-US"/>
        </w:rPr>
        <w:t xml:space="preserve"> with indigenous representatives. The 1975 Majecito Agreement signed by</w:t>
      </w:r>
      <w:r w:rsidR="000537BC" w:rsidRPr="004542B5">
        <w:rPr>
          <w:rFonts w:cs="Tahoma"/>
          <w:noProof w:val="0"/>
          <w:szCs w:val="20"/>
          <w:lang w:val="en-US"/>
        </w:rPr>
        <w:t xml:space="preserve"> </w:t>
      </w:r>
      <w:r w:rsidRPr="004542B5">
        <w:rPr>
          <w:rFonts w:cs="Tahoma"/>
          <w:noProof w:val="0"/>
          <w:szCs w:val="20"/>
          <w:lang w:val="en-US"/>
        </w:rPr>
        <w:t>the Emberá Community</w:t>
      </w:r>
      <w:r w:rsidR="000537BC" w:rsidRPr="004542B5">
        <w:rPr>
          <w:rFonts w:cs="Tahoma"/>
          <w:noProof w:val="0"/>
          <w:szCs w:val="20"/>
          <w:lang w:val="en-US"/>
        </w:rPr>
        <w:t xml:space="preserve"> </w:t>
      </w:r>
      <w:r w:rsidRPr="004542B5">
        <w:rPr>
          <w:rFonts w:cs="Tahoma"/>
          <w:noProof w:val="0"/>
          <w:szCs w:val="20"/>
          <w:lang w:val="en-US"/>
        </w:rPr>
        <w:t>of</w:t>
      </w:r>
      <w:r w:rsidR="000537BC" w:rsidRPr="004542B5">
        <w:rPr>
          <w:rFonts w:cs="Tahoma"/>
          <w:noProof w:val="0"/>
          <w:szCs w:val="20"/>
          <w:lang w:val="en-US"/>
        </w:rPr>
        <w:t xml:space="preserve"> Majecito</w:t>
      </w:r>
      <w:r w:rsidR="00CD2B90" w:rsidRPr="004542B5">
        <w:rPr>
          <w:rFonts w:cs="Tahoma"/>
          <w:noProof w:val="0"/>
          <w:szCs w:val="20"/>
          <w:lang w:val="en-US"/>
        </w:rPr>
        <w:t xml:space="preserve"> and </w:t>
      </w:r>
      <w:r w:rsidR="000537BC" w:rsidRPr="004542B5">
        <w:rPr>
          <w:rFonts w:cs="Tahoma"/>
          <w:noProof w:val="0"/>
          <w:szCs w:val="20"/>
          <w:lang w:val="en-US"/>
        </w:rPr>
        <w:t>representa</w:t>
      </w:r>
      <w:r w:rsidRPr="004542B5">
        <w:rPr>
          <w:rFonts w:cs="Tahoma"/>
          <w:noProof w:val="0"/>
          <w:szCs w:val="20"/>
          <w:lang w:val="en-US"/>
        </w:rPr>
        <w:t>tive</w:t>
      </w:r>
      <w:r w:rsidR="000537BC" w:rsidRPr="004542B5">
        <w:rPr>
          <w:rFonts w:cs="Tahoma"/>
          <w:noProof w:val="0"/>
          <w:szCs w:val="20"/>
          <w:lang w:val="en-US"/>
        </w:rPr>
        <w:t xml:space="preserve">s </w:t>
      </w:r>
      <w:r w:rsidRPr="004542B5">
        <w:rPr>
          <w:rFonts w:cs="Tahoma"/>
          <w:noProof w:val="0"/>
          <w:szCs w:val="20"/>
          <w:lang w:val="en-US"/>
        </w:rPr>
        <w:t>of the Bayano Integral Development Project included the general guidelines for the relocation of this community.</w:t>
      </w:r>
      <w:r w:rsidR="000537BC" w:rsidRPr="004542B5">
        <w:rPr>
          <w:rStyle w:val="FootnoteReference"/>
          <w:noProof w:val="0"/>
          <w:lang w:val="en-US"/>
        </w:rPr>
        <w:footnoteReference w:id="87"/>
      </w:r>
      <w:r w:rsidR="000537BC" w:rsidRPr="004542B5">
        <w:rPr>
          <w:rFonts w:cs="Tahoma"/>
          <w:noProof w:val="0"/>
          <w:szCs w:val="20"/>
          <w:lang w:val="en-US"/>
        </w:rPr>
        <w:t xml:space="preserve"> </w:t>
      </w:r>
      <w:r w:rsidRPr="004542B5">
        <w:rPr>
          <w:rFonts w:cs="Tahoma"/>
          <w:noProof w:val="0"/>
          <w:szCs w:val="20"/>
          <w:lang w:val="en-US"/>
        </w:rPr>
        <w:t>Subsequently, the agreements of</w:t>
      </w:r>
      <w:r w:rsidR="000537BC" w:rsidRPr="004542B5">
        <w:rPr>
          <w:rFonts w:cs="Tahoma"/>
          <w:noProof w:val="0"/>
          <w:szCs w:val="20"/>
          <w:lang w:val="en-US"/>
        </w:rPr>
        <w:t xml:space="preserve"> Farallón </w:t>
      </w:r>
      <w:r w:rsidRPr="004542B5">
        <w:rPr>
          <w:rFonts w:cs="Tahoma"/>
          <w:noProof w:val="0"/>
          <w:szCs w:val="20"/>
          <w:lang w:val="en-US"/>
        </w:rPr>
        <w:t>(</w:t>
      </w:r>
      <w:r w:rsidR="000537BC" w:rsidRPr="004542B5">
        <w:rPr>
          <w:rFonts w:cs="Tahoma"/>
          <w:noProof w:val="0"/>
          <w:szCs w:val="20"/>
          <w:lang w:val="en-US"/>
        </w:rPr>
        <w:t>1976</w:t>
      </w:r>
      <w:r w:rsidRPr="004542B5">
        <w:rPr>
          <w:rFonts w:cs="Tahoma"/>
          <w:noProof w:val="0"/>
          <w:szCs w:val="20"/>
          <w:lang w:val="en-US"/>
        </w:rPr>
        <w:t>),</w:t>
      </w:r>
      <w:r w:rsidR="000537BC" w:rsidRPr="004542B5">
        <w:rPr>
          <w:rStyle w:val="FootnoteReference"/>
          <w:noProof w:val="0"/>
          <w:lang w:val="en-US"/>
        </w:rPr>
        <w:footnoteReference w:id="88"/>
      </w:r>
      <w:r w:rsidR="000537BC" w:rsidRPr="004542B5">
        <w:rPr>
          <w:rFonts w:cs="Tahoma"/>
          <w:noProof w:val="0"/>
          <w:szCs w:val="20"/>
          <w:lang w:val="en-US"/>
        </w:rPr>
        <w:t xml:space="preserve"> Fuerte Cimarrón </w:t>
      </w:r>
      <w:r w:rsidRPr="004542B5">
        <w:rPr>
          <w:rFonts w:cs="Tahoma"/>
          <w:noProof w:val="0"/>
          <w:szCs w:val="20"/>
          <w:lang w:val="en-US"/>
        </w:rPr>
        <w:t>(</w:t>
      </w:r>
      <w:r w:rsidR="000537BC" w:rsidRPr="004542B5">
        <w:rPr>
          <w:rFonts w:cs="Tahoma"/>
          <w:noProof w:val="0"/>
          <w:szCs w:val="20"/>
          <w:lang w:val="en-US"/>
        </w:rPr>
        <w:t>1977</w:t>
      </w:r>
      <w:r w:rsidRPr="004542B5">
        <w:rPr>
          <w:rFonts w:cs="Tahoma"/>
          <w:noProof w:val="0"/>
          <w:szCs w:val="20"/>
          <w:lang w:val="en-US"/>
        </w:rPr>
        <w:t>)</w:t>
      </w:r>
      <w:r w:rsidR="000537BC" w:rsidRPr="004542B5">
        <w:rPr>
          <w:rStyle w:val="FootnoteReference"/>
          <w:noProof w:val="0"/>
          <w:lang w:val="en-US"/>
        </w:rPr>
        <w:footnoteReference w:id="89"/>
      </w:r>
      <w:r w:rsidR="00CD2B90" w:rsidRPr="004542B5">
        <w:rPr>
          <w:rFonts w:cs="Tahoma"/>
          <w:noProof w:val="0"/>
          <w:szCs w:val="20"/>
          <w:lang w:val="en-US"/>
        </w:rPr>
        <w:t xml:space="preserve"> and </w:t>
      </w:r>
      <w:r w:rsidRPr="004542B5">
        <w:rPr>
          <w:rFonts w:cs="Tahoma"/>
          <w:noProof w:val="0"/>
          <w:szCs w:val="20"/>
          <w:lang w:val="en-US"/>
        </w:rPr>
        <w:t>La</w:t>
      </w:r>
      <w:r w:rsidR="000537BC" w:rsidRPr="004542B5">
        <w:rPr>
          <w:rFonts w:cs="Tahoma"/>
          <w:noProof w:val="0"/>
          <w:szCs w:val="20"/>
          <w:lang w:val="en-US"/>
        </w:rPr>
        <w:t xml:space="preserve"> Espriella </w:t>
      </w:r>
      <w:r w:rsidRPr="004542B5">
        <w:rPr>
          <w:rFonts w:cs="Tahoma"/>
          <w:noProof w:val="0"/>
          <w:szCs w:val="20"/>
          <w:lang w:val="en-US"/>
        </w:rPr>
        <w:t>(</w:t>
      </w:r>
      <w:r w:rsidR="000537BC" w:rsidRPr="004542B5">
        <w:rPr>
          <w:rFonts w:cs="Tahoma"/>
          <w:noProof w:val="0"/>
          <w:szCs w:val="20"/>
          <w:lang w:val="en-US"/>
        </w:rPr>
        <w:t>1980</w:t>
      </w:r>
      <w:r w:rsidRPr="004542B5">
        <w:rPr>
          <w:rFonts w:cs="Tahoma"/>
          <w:noProof w:val="0"/>
          <w:szCs w:val="20"/>
          <w:lang w:val="en-US"/>
        </w:rPr>
        <w:t>)</w:t>
      </w:r>
      <w:r w:rsidR="000537BC" w:rsidRPr="004542B5">
        <w:rPr>
          <w:rStyle w:val="FootnoteReference"/>
          <w:noProof w:val="0"/>
          <w:lang w:val="en-US"/>
        </w:rPr>
        <w:footnoteReference w:id="90"/>
      </w:r>
      <w:r w:rsidR="000537BC" w:rsidRPr="004542B5">
        <w:rPr>
          <w:rFonts w:cs="Tahoma"/>
          <w:noProof w:val="0"/>
          <w:szCs w:val="20"/>
          <w:lang w:val="en-US"/>
        </w:rPr>
        <w:t xml:space="preserve"> </w:t>
      </w:r>
      <w:r w:rsidRPr="004542B5">
        <w:rPr>
          <w:rFonts w:cs="Tahoma"/>
          <w:noProof w:val="0"/>
          <w:szCs w:val="20"/>
          <w:lang w:val="en-US"/>
        </w:rPr>
        <w:t xml:space="preserve">were signed by the </w:t>
      </w:r>
      <w:r w:rsidR="000537BC" w:rsidRPr="004542B5">
        <w:rPr>
          <w:rFonts w:cs="Tahoma"/>
          <w:noProof w:val="0"/>
          <w:szCs w:val="20"/>
          <w:lang w:val="en-US"/>
        </w:rPr>
        <w:t xml:space="preserve">Kuna </w:t>
      </w:r>
      <w:r w:rsidRPr="004542B5">
        <w:rPr>
          <w:rFonts w:cs="Tahoma"/>
          <w:noProof w:val="0"/>
          <w:szCs w:val="20"/>
          <w:lang w:val="en-US"/>
        </w:rPr>
        <w:t>of</w:t>
      </w:r>
      <w:r w:rsidR="000537BC" w:rsidRPr="004542B5">
        <w:rPr>
          <w:rFonts w:cs="Tahoma"/>
          <w:noProof w:val="0"/>
          <w:szCs w:val="20"/>
          <w:lang w:val="en-US"/>
        </w:rPr>
        <w:t xml:space="preserve"> </w:t>
      </w:r>
      <w:r w:rsidR="00053C14" w:rsidRPr="004542B5">
        <w:rPr>
          <w:rFonts w:cs="Tahoma"/>
          <w:noProof w:val="0"/>
          <w:szCs w:val="20"/>
          <w:lang w:val="en-US"/>
        </w:rPr>
        <w:lastRenderedPageBreak/>
        <w:t>Madungandí</w:t>
      </w:r>
      <w:r w:rsidR="00CD2B90" w:rsidRPr="004542B5">
        <w:rPr>
          <w:rFonts w:cs="Tahoma"/>
          <w:noProof w:val="0"/>
          <w:szCs w:val="20"/>
          <w:lang w:val="en-US"/>
        </w:rPr>
        <w:t xml:space="preserve"> and </w:t>
      </w:r>
      <w:r w:rsidRPr="004542B5">
        <w:rPr>
          <w:rFonts w:cs="Tahoma"/>
          <w:noProof w:val="0"/>
          <w:szCs w:val="20"/>
          <w:lang w:val="en-US"/>
        </w:rPr>
        <w:t xml:space="preserve">different state authorities. These referred, </w:t>
      </w:r>
      <w:r w:rsidRPr="004542B5">
        <w:rPr>
          <w:rFonts w:cs="Tahoma"/>
          <w:i/>
          <w:noProof w:val="0"/>
          <w:szCs w:val="20"/>
          <w:lang w:val="en-US"/>
        </w:rPr>
        <w:t>inter alia</w:t>
      </w:r>
      <w:r w:rsidRPr="004542B5">
        <w:rPr>
          <w:rFonts w:cs="Tahoma"/>
          <w:noProof w:val="0"/>
          <w:szCs w:val="20"/>
          <w:lang w:val="en-US"/>
        </w:rPr>
        <w:t>, to the compensation supposedly owed by the State for the flooding of the indigenous lands and the displacement of the inhabitant</w:t>
      </w:r>
      <w:r w:rsidR="00BD3488" w:rsidRPr="004542B5">
        <w:rPr>
          <w:rFonts w:cs="Tahoma"/>
          <w:noProof w:val="0"/>
          <w:szCs w:val="20"/>
          <w:lang w:val="en-US"/>
        </w:rPr>
        <w:t>s</w:t>
      </w:r>
      <w:r w:rsidRPr="004542B5">
        <w:rPr>
          <w:rFonts w:cs="Tahoma"/>
          <w:noProof w:val="0"/>
          <w:szCs w:val="20"/>
          <w:lang w:val="en-US"/>
        </w:rPr>
        <w:t xml:space="preserve">. Over the years following these agreements, several meetings were held between the representatives of the indigenous peoples and the State in order, above all, to seek a solution to the land disputes between the indigenous peoples and the settlers, and to </w:t>
      </w:r>
      <w:r w:rsidR="00BD3488" w:rsidRPr="004542B5">
        <w:rPr>
          <w:rFonts w:cs="Tahoma"/>
          <w:noProof w:val="0"/>
          <w:szCs w:val="20"/>
          <w:lang w:val="en-US"/>
        </w:rPr>
        <w:t xml:space="preserve">obtain </w:t>
      </w:r>
      <w:r w:rsidRPr="004542B5">
        <w:rPr>
          <w:rFonts w:cs="Tahoma"/>
          <w:noProof w:val="0"/>
          <w:szCs w:val="20"/>
          <w:lang w:val="en-US"/>
        </w:rPr>
        <w:t>recogn</w:t>
      </w:r>
      <w:r w:rsidR="00BD3488" w:rsidRPr="004542B5">
        <w:rPr>
          <w:rFonts w:cs="Tahoma"/>
          <w:noProof w:val="0"/>
          <w:szCs w:val="20"/>
          <w:lang w:val="en-US"/>
        </w:rPr>
        <w:t>ition of</w:t>
      </w:r>
      <w:r w:rsidRPr="004542B5">
        <w:rPr>
          <w:rFonts w:cs="Tahoma"/>
          <w:noProof w:val="0"/>
          <w:szCs w:val="20"/>
          <w:lang w:val="en-US"/>
        </w:rPr>
        <w:t xml:space="preserve"> the Kuna and Emberá peoples</w:t>
      </w:r>
      <w:r w:rsidR="00BD3488" w:rsidRPr="004542B5">
        <w:rPr>
          <w:rFonts w:cs="Tahoma"/>
          <w:noProof w:val="0"/>
          <w:szCs w:val="20"/>
          <w:lang w:val="en-US"/>
        </w:rPr>
        <w:t>’ land rights.</w:t>
      </w:r>
    </w:p>
    <w:p w14:paraId="40017AB1" w14:textId="1E0F3A77" w:rsidR="00DC5DDA" w:rsidRPr="004542B5" w:rsidRDefault="00510829" w:rsidP="002A2752">
      <w:pPr>
        <w:pStyle w:val="ListParagraph"/>
        <w:numPr>
          <w:ilvl w:val="0"/>
          <w:numId w:val="2"/>
        </w:numPr>
        <w:spacing w:before="120"/>
        <w:contextualSpacing w:val="0"/>
        <w:rPr>
          <w:noProof w:val="0"/>
          <w:szCs w:val="20"/>
          <w:lang w:val="en-US"/>
        </w:rPr>
      </w:pPr>
      <w:r w:rsidRPr="004542B5">
        <w:rPr>
          <w:bCs/>
          <w:noProof w:val="0"/>
          <w:szCs w:val="20"/>
          <w:lang w:val="en-US"/>
        </w:rPr>
        <w:t xml:space="preserve">In the early 1980s, an interinstitutional commission was set up responsible for the “Organization and </w:t>
      </w:r>
      <w:r w:rsidR="006D15E9" w:rsidRPr="004542B5">
        <w:rPr>
          <w:bCs/>
          <w:noProof w:val="0"/>
          <w:szCs w:val="20"/>
          <w:lang w:val="en-US"/>
        </w:rPr>
        <w:t>Integral</w:t>
      </w:r>
      <w:r w:rsidRPr="004542B5">
        <w:rPr>
          <w:bCs/>
          <w:noProof w:val="0"/>
          <w:szCs w:val="20"/>
          <w:lang w:val="en-US"/>
        </w:rPr>
        <w:t xml:space="preserve"> Management of the Alto Bayano Watershed” entrusted with the task</w:t>
      </w:r>
      <w:r w:rsidR="00606F6A" w:rsidRPr="004542B5">
        <w:rPr>
          <w:bCs/>
          <w:noProof w:val="0"/>
          <w:szCs w:val="20"/>
          <w:lang w:val="en-US"/>
        </w:rPr>
        <w:t>s</w:t>
      </w:r>
      <w:r w:rsidRPr="004542B5">
        <w:rPr>
          <w:bCs/>
          <w:noProof w:val="0"/>
          <w:szCs w:val="20"/>
          <w:lang w:val="en-US"/>
        </w:rPr>
        <w:t xml:space="preserve">, </w:t>
      </w:r>
      <w:r w:rsidR="00606F6A" w:rsidRPr="004542B5">
        <w:rPr>
          <w:bCs/>
          <w:i/>
          <w:iCs/>
          <w:noProof w:val="0"/>
          <w:szCs w:val="20"/>
          <w:lang w:val="en-US"/>
        </w:rPr>
        <w:t>inter alia</w:t>
      </w:r>
      <w:r w:rsidRPr="004542B5">
        <w:rPr>
          <w:bCs/>
          <w:noProof w:val="0"/>
          <w:szCs w:val="20"/>
          <w:lang w:val="en-US"/>
        </w:rPr>
        <w:t xml:space="preserve">, of making an initial study of the situation of land tenure in some of the areas that were considered conflictive, and defining the </w:t>
      </w:r>
      <w:r w:rsidR="00D21F9E" w:rsidRPr="004542B5">
        <w:rPr>
          <w:noProof w:val="0"/>
          <w:szCs w:val="20"/>
          <w:lang w:val="en-US"/>
        </w:rPr>
        <w:t>b</w:t>
      </w:r>
      <w:r w:rsidR="00D21F9E" w:rsidRPr="004542B5">
        <w:rPr>
          <w:rFonts w:cs="Tahoma"/>
          <w:noProof w:val="0"/>
          <w:szCs w:val="20"/>
          <w:lang w:val="en-US"/>
        </w:rPr>
        <w:t>oundaries</w:t>
      </w:r>
      <w:r w:rsidRPr="004542B5">
        <w:rPr>
          <w:bCs/>
          <w:noProof w:val="0"/>
          <w:szCs w:val="20"/>
          <w:lang w:val="en-US"/>
        </w:rPr>
        <w:t xml:space="preserve"> between the Madungandí Reserve and the </w:t>
      </w:r>
      <w:r w:rsidR="00776FF0" w:rsidRPr="004542B5">
        <w:rPr>
          <w:noProof w:val="0"/>
          <w:szCs w:val="20"/>
          <w:lang w:val="en-US"/>
        </w:rPr>
        <w:t>settlers</w:t>
      </w:r>
      <w:r w:rsidRPr="004542B5">
        <w:rPr>
          <w:noProof w:val="0"/>
          <w:szCs w:val="20"/>
          <w:lang w:val="en-US"/>
        </w:rPr>
        <w:t>.</w:t>
      </w:r>
      <w:r w:rsidR="000537BC" w:rsidRPr="004542B5">
        <w:rPr>
          <w:rStyle w:val="FootnoteReference"/>
          <w:noProof w:val="0"/>
          <w:lang w:val="en-US"/>
        </w:rPr>
        <w:footnoteReference w:id="91"/>
      </w:r>
      <w:r w:rsidR="000537BC" w:rsidRPr="004542B5">
        <w:rPr>
          <w:rFonts w:eastAsia="Times New Roman" w:cs="Tahoma"/>
          <w:bCs/>
          <w:i/>
          <w:noProof w:val="0"/>
          <w:szCs w:val="18"/>
          <w:lang w:val="en-US"/>
        </w:rPr>
        <w:t xml:space="preserve"> </w:t>
      </w:r>
      <w:r w:rsidRPr="004542B5">
        <w:rPr>
          <w:rFonts w:eastAsia="Times New Roman" w:cs="Tahoma"/>
          <w:noProof w:val="0"/>
          <w:szCs w:val="18"/>
          <w:lang w:val="en-US"/>
        </w:rPr>
        <w:t>On April 23,</w:t>
      </w:r>
      <w:r w:rsidR="000537BC" w:rsidRPr="004542B5">
        <w:rPr>
          <w:noProof w:val="0"/>
          <w:szCs w:val="20"/>
          <w:lang w:val="en-US"/>
        </w:rPr>
        <w:t xml:space="preserve"> 1982</w:t>
      </w:r>
      <w:r w:rsidRPr="004542B5">
        <w:rPr>
          <w:noProof w:val="0"/>
          <w:szCs w:val="20"/>
          <w:lang w:val="en-US"/>
        </w:rPr>
        <w:t>, the Government issued</w:t>
      </w:r>
      <w:r w:rsidR="000537BC" w:rsidRPr="004542B5">
        <w:rPr>
          <w:noProof w:val="0"/>
          <w:szCs w:val="20"/>
          <w:lang w:val="en-US"/>
        </w:rPr>
        <w:t xml:space="preserve"> </w:t>
      </w:r>
      <w:r w:rsidR="00673288" w:rsidRPr="004542B5">
        <w:rPr>
          <w:noProof w:val="0"/>
          <w:szCs w:val="20"/>
          <w:lang w:val="en-US"/>
        </w:rPr>
        <w:t>Decree</w:t>
      </w:r>
      <w:r w:rsidR="000537BC" w:rsidRPr="004542B5">
        <w:rPr>
          <w:noProof w:val="0"/>
          <w:szCs w:val="20"/>
          <w:lang w:val="en-US"/>
        </w:rPr>
        <w:t xml:space="preserve"> </w:t>
      </w:r>
      <w:r w:rsidR="00CD2B90" w:rsidRPr="004542B5">
        <w:rPr>
          <w:rFonts w:cs="Tahoma"/>
          <w:noProof w:val="0"/>
          <w:szCs w:val="20"/>
          <w:lang w:val="en-US"/>
        </w:rPr>
        <w:t>No.</w:t>
      </w:r>
      <w:r w:rsidR="00581ADF" w:rsidRPr="004542B5">
        <w:rPr>
          <w:rFonts w:cs="Tahoma"/>
          <w:noProof w:val="0"/>
          <w:szCs w:val="20"/>
          <w:lang w:val="en-US"/>
        </w:rPr>
        <w:t xml:space="preserve"> </w:t>
      </w:r>
      <w:r w:rsidR="000537BC" w:rsidRPr="004542B5">
        <w:rPr>
          <w:noProof w:val="0"/>
          <w:szCs w:val="20"/>
          <w:lang w:val="en-US"/>
        </w:rPr>
        <w:t xml:space="preserve">5-A </w:t>
      </w:r>
      <w:r w:rsidRPr="004542B5">
        <w:rPr>
          <w:noProof w:val="0"/>
          <w:szCs w:val="20"/>
          <w:lang w:val="en-US"/>
        </w:rPr>
        <w:t>which regulated the adjudication, for sale, of state rural lands in the Chepo district, excluding the areas of the lands of the Kuna and Emberá indigenous peoples.</w:t>
      </w:r>
      <w:r w:rsidRPr="004542B5">
        <w:rPr>
          <w:rStyle w:val="FootnoteReference"/>
          <w:noProof w:val="0"/>
          <w:lang w:val="en-US"/>
        </w:rPr>
        <w:footnoteReference w:id="92"/>
      </w:r>
      <w:r w:rsidRPr="004542B5">
        <w:rPr>
          <w:noProof w:val="0"/>
          <w:szCs w:val="20"/>
          <w:lang w:val="en-US"/>
        </w:rPr>
        <w:t xml:space="preserve"> Subsequently, on August 3, 1984, representatives of the State and the Kuna people signed a “</w:t>
      </w:r>
      <w:r w:rsidR="00606F6A" w:rsidRPr="004542B5">
        <w:rPr>
          <w:noProof w:val="0"/>
          <w:szCs w:val="20"/>
          <w:lang w:val="en-US"/>
        </w:rPr>
        <w:t>m</w:t>
      </w:r>
      <w:r w:rsidRPr="004542B5">
        <w:rPr>
          <w:noProof w:val="0"/>
          <w:szCs w:val="20"/>
          <w:lang w:val="en-US"/>
        </w:rPr>
        <w:t xml:space="preserve">emorandum of </w:t>
      </w:r>
      <w:r w:rsidR="00606F6A" w:rsidRPr="004542B5">
        <w:rPr>
          <w:noProof w:val="0"/>
          <w:szCs w:val="20"/>
          <w:lang w:val="en-US"/>
        </w:rPr>
        <w:t>u</w:t>
      </w:r>
      <w:r w:rsidRPr="004542B5">
        <w:rPr>
          <w:noProof w:val="0"/>
          <w:szCs w:val="20"/>
          <w:lang w:val="en-US"/>
        </w:rPr>
        <w:t>nderstanding”</w:t>
      </w:r>
      <w:r w:rsidR="002A2752" w:rsidRPr="004542B5">
        <w:rPr>
          <w:noProof w:val="0"/>
          <w:szCs w:val="20"/>
          <w:lang w:val="en-US"/>
        </w:rPr>
        <w:t xml:space="preserve"> which establishe</w:t>
      </w:r>
      <w:r w:rsidR="006D15E9" w:rsidRPr="004542B5">
        <w:rPr>
          <w:noProof w:val="0"/>
          <w:szCs w:val="20"/>
          <w:lang w:val="en-US"/>
        </w:rPr>
        <w:t>d</w:t>
      </w:r>
      <w:r w:rsidR="002A2752" w:rsidRPr="004542B5">
        <w:rPr>
          <w:noProof w:val="0"/>
          <w:szCs w:val="20"/>
          <w:lang w:val="en-US"/>
        </w:rPr>
        <w:t xml:space="preserve">, among other matters, that “the </w:t>
      </w:r>
      <w:r w:rsidR="006D15E9" w:rsidRPr="004542B5">
        <w:rPr>
          <w:noProof w:val="0"/>
          <w:szCs w:val="20"/>
          <w:lang w:val="en-US"/>
        </w:rPr>
        <w:t>n</w:t>
      </w:r>
      <w:r w:rsidR="002A2752" w:rsidRPr="004542B5">
        <w:rPr>
          <w:noProof w:val="0"/>
          <w:szCs w:val="20"/>
          <w:lang w:val="en-US"/>
        </w:rPr>
        <w:t>ational Government</w:t>
      </w:r>
      <w:r w:rsidR="006D15E9" w:rsidRPr="004542B5">
        <w:rPr>
          <w:noProof w:val="0"/>
          <w:szCs w:val="20"/>
          <w:lang w:val="en-US"/>
        </w:rPr>
        <w:t xml:space="preserve"> was obliged to comply with the commitments</w:t>
      </w:r>
      <w:r w:rsidR="002A2752" w:rsidRPr="004542B5">
        <w:rPr>
          <w:noProof w:val="0"/>
          <w:szCs w:val="20"/>
          <w:lang w:val="en-US"/>
        </w:rPr>
        <w:t xml:space="preserve"> </w:t>
      </w:r>
      <w:r w:rsidR="006D15E9" w:rsidRPr="004542B5">
        <w:rPr>
          <w:noProof w:val="0"/>
          <w:szCs w:val="20"/>
          <w:lang w:val="en-US"/>
        </w:rPr>
        <w:t xml:space="preserve">made </w:t>
      </w:r>
      <w:r w:rsidR="002A2752" w:rsidRPr="004542B5">
        <w:rPr>
          <w:noProof w:val="0"/>
          <w:szCs w:val="20"/>
          <w:lang w:val="en-US"/>
        </w:rPr>
        <w:t xml:space="preserve">to the Kuna indigenous communities located in the area” and that “one of the commitments refers to the creation of the </w:t>
      </w:r>
      <w:r w:rsidR="00045DC1" w:rsidRPr="004542B5">
        <w:rPr>
          <w:noProof w:val="0"/>
          <w:szCs w:val="20"/>
          <w:lang w:val="en-US"/>
        </w:rPr>
        <w:t>Kuna Comarca of</w:t>
      </w:r>
      <w:r w:rsidR="000537BC" w:rsidRPr="004542B5">
        <w:rPr>
          <w:noProof w:val="0"/>
          <w:szCs w:val="20"/>
          <w:lang w:val="en-US"/>
        </w:rPr>
        <w:t xml:space="preserve"> Madungandí</w:t>
      </w:r>
      <w:r w:rsidR="002A2752" w:rsidRPr="004542B5">
        <w:rPr>
          <w:noProof w:val="0"/>
          <w:szCs w:val="20"/>
          <w:lang w:val="en-US"/>
        </w:rPr>
        <w:t>.</w:t>
      </w:r>
      <w:r w:rsidR="000537BC" w:rsidRPr="004542B5">
        <w:rPr>
          <w:noProof w:val="0"/>
          <w:szCs w:val="20"/>
          <w:lang w:val="en-US"/>
        </w:rPr>
        <w:t>”</w:t>
      </w:r>
      <w:r w:rsidR="000537BC" w:rsidRPr="004542B5">
        <w:rPr>
          <w:rStyle w:val="FootnoteReference"/>
          <w:noProof w:val="0"/>
          <w:lang w:val="en-US"/>
        </w:rPr>
        <w:footnoteReference w:id="93"/>
      </w:r>
      <w:r w:rsidR="000537BC" w:rsidRPr="004542B5">
        <w:rPr>
          <w:noProof w:val="0"/>
          <w:szCs w:val="20"/>
          <w:lang w:val="en-US"/>
        </w:rPr>
        <w:t xml:space="preserve"> </w:t>
      </w:r>
      <w:r w:rsidR="002A2752" w:rsidRPr="004542B5">
        <w:rPr>
          <w:noProof w:val="0"/>
          <w:szCs w:val="16"/>
          <w:lang w:val="en-US"/>
        </w:rPr>
        <w:t>Then, on August 15,</w:t>
      </w:r>
      <w:r w:rsidR="000537BC" w:rsidRPr="004542B5">
        <w:rPr>
          <w:noProof w:val="0"/>
          <w:szCs w:val="16"/>
          <w:lang w:val="en-US"/>
        </w:rPr>
        <w:t xml:space="preserve"> 1984, representa</w:t>
      </w:r>
      <w:r w:rsidR="002A2752" w:rsidRPr="004542B5">
        <w:rPr>
          <w:noProof w:val="0"/>
          <w:szCs w:val="16"/>
          <w:lang w:val="en-US"/>
        </w:rPr>
        <w:t xml:space="preserve">tives of the Emberá communities of </w:t>
      </w:r>
      <w:r w:rsidR="000537BC" w:rsidRPr="004542B5">
        <w:rPr>
          <w:noProof w:val="0"/>
          <w:szCs w:val="16"/>
          <w:lang w:val="en-US"/>
        </w:rPr>
        <w:t xml:space="preserve">Piriatí </w:t>
      </w:r>
      <w:r w:rsidR="002A2752" w:rsidRPr="004542B5">
        <w:rPr>
          <w:noProof w:val="0"/>
          <w:szCs w:val="16"/>
          <w:lang w:val="en-US"/>
        </w:rPr>
        <w:t>and</w:t>
      </w:r>
      <w:r w:rsidR="000537BC" w:rsidRPr="004542B5">
        <w:rPr>
          <w:noProof w:val="0"/>
          <w:szCs w:val="16"/>
          <w:lang w:val="en-US"/>
        </w:rPr>
        <w:t xml:space="preserve"> Ipetí</w:t>
      </w:r>
      <w:r w:rsidR="00CD2B90" w:rsidRPr="004542B5">
        <w:rPr>
          <w:noProof w:val="0"/>
          <w:szCs w:val="16"/>
          <w:lang w:val="en-US"/>
        </w:rPr>
        <w:t xml:space="preserve"> and </w:t>
      </w:r>
      <w:r w:rsidR="002A2752" w:rsidRPr="004542B5">
        <w:rPr>
          <w:noProof w:val="0"/>
          <w:szCs w:val="16"/>
          <w:lang w:val="en-US"/>
        </w:rPr>
        <w:t>of the</w:t>
      </w:r>
      <w:r w:rsidR="000537BC" w:rsidRPr="004542B5">
        <w:rPr>
          <w:noProof w:val="0"/>
          <w:szCs w:val="16"/>
          <w:lang w:val="en-US"/>
        </w:rPr>
        <w:t xml:space="preserve"> </w:t>
      </w:r>
      <w:r w:rsidR="002A2752" w:rsidRPr="004542B5">
        <w:rPr>
          <w:noProof w:val="0"/>
          <w:szCs w:val="16"/>
          <w:lang w:val="en-US"/>
        </w:rPr>
        <w:t>Corporation for the Integral Development of the Bayano</w:t>
      </w:r>
      <w:r w:rsidR="000537BC" w:rsidRPr="004542B5">
        <w:rPr>
          <w:noProof w:val="0"/>
          <w:szCs w:val="16"/>
          <w:lang w:val="en-US"/>
        </w:rPr>
        <w:t xml:space="preserve"> </w:t>
      </w:r>
      <w:r w:rsidR="002A2752" w:rsidRPr="004542B5">
        <w:rPr>
          <w:noProof w:val="0"/>
          <w:szCs w:val="16"/>
          <w:lang w:val="en-US"/>
        </w:rPr>
        <w:t>signed a “</w:t>
      </w:r>
      <w:r w:rsidR="006D15E9" w:rsidRPr="004542B5">
        <w:rPr>
          <w:noProof w:val="0"/>
          <w:szCs w:val="16"/>
          <w:lang w:val="en-US"/>
        </w:rPr>
        <w:t>m</w:t>
      </w:r>
      <w:r w:rsidR="002A2752" w:rsidRPr="004542B5">
        <w:rPr>
          <w:noProof w:val="0"/>
          <w:szCs w:val="16"/>
          <w:lang w:val="en-US"/>
        </w:rPr>
        <w:t xml:space="preserve">emorandum of </w:t>
      </w:r>
      <w:r w:rsidR="006D15E9" w:rsidRPr="004542B5">
        <w:rPr>
          <w:noProof w:val="0"/>
          <w:szCs w:val="16"/>
          <w:lang w:val="en-US"/>
        </w:rPr>
        <w:t>u</w:t>
      </w:r>
      <w:r w:rsidR="002A2752" w:rsidRPr="004542B5">
        <w:rPr>
          <w:noProof w:val="0"/>
          <w:szCs w:val="16"/>
          <w:lang w:val="en-US"/>
        </w:rPr>
        <w:t>nderstanding”</w:t>
      </w:r>
      <w:r w:rsidR="006D15E9" w:rsidRPr="004542B5">
        <w:rPr>
          <w:noProof w:val="0"/>
          <w:szCs w:val="16"/>
          <w:lang w:val="en-US"/>
        </w:rPr>
        <w:t xml:space="preserve"> </w:t>
      </w:r>
      <w:r w:rsidR="002A2752" w:rsidRPr="004542B5">
        <w:rPr>
          <w:noProof w:val="0"/>
          <w:szCs w:val="16"/>
          <w:lang w:val="en-US"/>
        </w:rPr>
        <w:t xml:space="preserve">by which the </w:t>
      </w:r>
      <w:r w:rsidR="00C437DD" w:rsidRPr="004542B5">
        <w:rPr>
          <w:noProof w:val="0"/>
          <w:szCs w:val="16"/>
          <w:lang w:val="en-US"/>
        </w:rPr>
        <w:t>Corporation</w:t>
      </w:r>
      <w:r w:rsidR="002A2752" w:rsidRPr="004542B5">
        <w:rPr>
          <w:noProof w:val="0"/>
          <w:szCs w:val="16"/>
          <w:lang w:val="en-US"/>
        </w:rPr>
        <w:t xml:space="preserve"> “undertook to take all necessary steps to ensure that the aspirations of the indigenous peoples were achieved with regard to the full demarcation of the Emberá Reserve in the areas of</w:t>
      </w:r>
      <w:r w:rsidR="002A2752" w:rsidRPr="004542B5">
        <w:rPr>
          <w:noProof w:val="0"/>
          <w:szCs w:val="20"/>
          <w:lang w:val="en-US"/>
        </w:rPr>
        <w:t xml:space="preserve"> </w:t>
      </w:r>
      <w:r w:rsidR="000537BC" w:rsidRPr="004542B5">
        <w:rPr>
          <w:noProof w:val="0"/>
          <w:szCs w:val="16"/>
          <w:lang w:val="en-US"/>
        </w:rPr>
        <w:t>Ipetí</w:t>
      </w:r>
      <w:r w:rsidR="00CD2B90" w:rsidRPr="004542B5">
        <w:rPr>
          <w:noProof w:val="0"/>
          <w:szCs w:val="16"/>
          <w:lang w:val="en-US"/>
        </w:rPr>
        <w:t xml:space="preserve"> and </w:t>
      </w:r>
      <w:r w:rsidR="000537BC" w:rsidRPr="004542B5">
        <w:rPr>
          <w:noProof w:val="0"/>
          <w:szCs w:val="16"/>
          <w:lang w:val="en-US"/>
        </w:rPr>
        <w:t>Piriatí”</w:t>
      </w:r>
      <w:r w:rsidR="00CD2B90" w:rsidRPr="004542B5">
        <w:rPr>
          <w:noProof w:val="0"/>
          <w:szCs w:val="16"/>
          <w:lang w:val="en-US"/>
        </w:rPr>
        <w:t xml:space="preserve"> and </w:t>
      </w:r>
      <w:r w:rsidR="002A2752" w:rsidRPr="004542B5">
        <w:rPr>
          <w:noProof w:val="0"/>
          <w:szCs w:val="16"/>
          <w:lang w:val="en-US"/>
        </w:rPr>
        <w:t>that</w:t>
      </w:r>
      <w:r w:rsidR="000537BC" w:rsidRPr="004542B5">
        <w:rPr>
          <w:noProof w:val="0"/>
          <w:szCs w:val="16"/>
          <w:lang w:val="en-US"/>
        </w:rPr>
        <w:t xml:space="preserve"> “</w:t>
      </w:r>
      <w:r w:rsidR="002A2752" w:rsidRPr="004542B5">
        <w:rPr>
          <w:noProof w:val="0"/>
          <w:szCs w:val="16"/>
          <w:lang w:val="en-US"/>
        </w:rPr>
        <w:t>these lands would be held collectively.</w:t>
      </w:r>
      <w:r w:rsidR="000537BC" w:rsidRPr="004542B5">
        <w:rPr>
          <w:noProof w:val="0"/>
          <w:szCs w:val="16"/>
          <w:lang w:val="en-US"/>
        </w:rPr>
        <w:t>”</w:t>
      </w:r>
      <w:r w:rsidR="000537BC" w:rsidRPr="004542B5">
        <w:rPr>
          <w:rStyle w:val="FootnoteReference"/>
          <w:noProof w:val="0"/>
          <w:lang w:val="en-US"/>
        </w:rPr>
        <w:footnoteReference w:id="94"/>
      </w:r>
      <w:bookmarkEnd w:id="209"/>
      <w:bookmarkEnd w:id="210"/>
      <w:r w:rsidR="007B47B1" w:rsidRPr="004542B5">
        <w:rPr>
          <w:noProof w:val="0"/>
          <w:szCs w:val="20"/>
          <w:lang w:val="en-US"/>
        </w:rPr>
        <w:t xml:space="preserve"> </w:t>
      </w:r>
    </w:p>
    <w:p w14:paraId="13CCBE82" w14:textId="10979093" w:rsidR="003B7977" w:rsidRPr="004542B5" w:rsidRDefault="00B201CC" w:rsidP="00E01664">
      <w:pPr>
        <w:pStyle w:val="Heading2"/>
        <w:rPr>
          <w:rFonts w:cs="Tahoma"/>
          <w:b w:val="0"/>
          <w:noProof w:val="0"/>
          <w:lang w:val="en-US"/>
        </w:rPr>
      </w:pPr>
      <w:bookmarkStart w:id="211" w:name="_Toc383161752"/>
      <w:bookmarkStart w:id="212" w:name="_Toc383188381"/>
      <w:bookmarkStart w:id="213" w:name="_Toc45200875"/>
      <w:r w:rsidRPr="004542B5">
        <w:rPr>
          <w:rFonts w:cs="Tahoma"/>
          <w:noProof w:val="0"/>
          <w:lang w:val="en-US"/>
        </w:rPr>
        <w:t xml:space="preserve">Incursions by non-indigenous persons and creation of the Kuna Comarca of </w:t>
      </w:r>
      <w:r w:rsidR="006110CB" w:rsidRPr="004542B5">
        <w:rPr>
          <w:rFonts w:cs="Tahoma"/>
          <w:noProof w:val="0"/>
          <w:lang w:val="en-US"/>
        </w:rPr>
        <w:t>Madungandí (</w:t>
      </w:r>
      <w:r w:rsidR="007B47B1" w:rsidRPr="004542B5">
        <w:rPr>
          <w:rFonts w:cs="Tahoma"/>
          <w:noProof w:val="0"/>
          <w:lang w:val="en-US"/>
        </w:rPr>
        <w:t>1990-1996)</w:t>
      </w:r>
      <w:bookmarkEnd w:id="211"/>
      <w:bookmarkEnd w:id="212"/>
      <w:bookmarkEnd w:id="213"/>
    </w:p>
    <w:p w14:paraId="30B52B6A" w14:textId="61DDFB7A" w:rsidR="00DC5DDA" w:rsidRPr="004542B5" w:rsidRDefault="002A2752" w:rsidP="00816749">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 xml:space="preserve">In the early 1990s, the incursion of non-indigenous persons into the lands of the </w:t>
      </w:r>
      <w:r w:rsidR="000537BC" w:rsidRPr="004542B5">
        <w:rPr>
          <w:rFonts w:cs="Tahoma"/>
          <w:noProof w:val="0"/>
          <w:szCs w:val="20"/>
          <w:lang w:val="en-US"/>
        </w:rPr>
        <w:t>Kuna</w:t>
      </w:r>
      <w:r w:rsidR="00CD2B90" w:rsidRPr="004542B5">
        <w:rPr>
          <w:rFonts w:cs="Tahoma"/>
          <w:noProof w:val="0"/>
          <w:szCs w:val="20"/>
          <w:lang w:val="en-US"/>
        </w:rPr>
        <w:t xml:space="preserve"> and </w:t>
      </w:r>
      <w:r w:rsidR="000537BC" w:rsidRPr="004542B5">
        <w:rPr>
          <w:rFonts w:cs="Tahoma"/>
          <w:noProof w:val="0"/>
          <w:szCs w:val="20"/>
          <w:lang w:val="en-US"/>
        </w:rPr>
        <w:t>Emberá</w:t>
      </w:r>
      <w:r w:rsidR="00CD2B90" w:rsidRPr="004542B5">
        <w:rPr>
          <w:rFonts w:cs="Tahoma"/>
          <w:noProof w:val="0"/>
          <w:szCs w:val="20"/>
          <w:lang w:val="en-US"/>
        </w:rPr>
        <w:t xml:space="preserve"> </w:t>
      </w:r>
      <w:r w:rsidRPr="004542B5">
        <w:rPr>
          <w:rFonts w:cs="Tahoma"/>
          <w:noProof w:val="0"/>
          <w:szCs w:val="20"/>
          <w:lang w:val="en-US"/>
        </w:rPr>
        <w:t xml:space="preserve">communities increased </w:t>
      </w:r>
      <w:r w:rsidR="00CD2B90" w:rsidRPr="004542B5">
        <w:rPr>
          <w:rFonts w:cs="Tahoma"/>
          <w:noProof w:val="0"/>
          <w:szCs w:val="20"/>
          <w:lang w:val="en-US"/>
        </w:rPr>
        <w:t xml:space="preserve">and </w:t>
      </w:r>
      <w:r w:rsidRPr="004542B5">
        <w:rPr>
          <w:rFonts w:cs="Tahoma"/>
          <w:noProof w:val="0"/>
          <w:szCs w:val="20"/>
          <w:lang w:val="en-US"/>
        </w:rPr>
        <w:t>tensions rose in the area.</w:t>
      </w:r>
      <w:r w:rsidR="000537BC" w:rsidRPr="004542B5">
        <w:rPr>
          <w:rStyle w:val="FootnoteReference"/>
          <w:noProof w:val="0"/>
          <w:lang w:val="en-US"/>
        </w:rPr>
        <w:footnoteReference w:id="95"/>
      </w:r>
      <w:r w:rsidR="000537BC" w:rsidRPr="004542B5">
        <w:rPr>
          <w:rFonts w:cs="Tahoma"/>
          <w:noProof w:val="0"/>
          <w:szCs w:val="20"/>
          <w:lang w:val="en-US"/>
        </w:rPr>
        <w:t xml:space="preserve"> </w:t>
      </w:r>
      <w:r w:rsidRPr="004542B5">
        <w:rPr>
          <w:rFonts w:cs="Tahoma"/>
          <w:noProof w:val="0"/>
          <w:szCs w:val="20"/>
          <w:lang w:val="en-US"/>
        </w:rPr>
        <w:t>In</w:t>
      </w:r>
      <w:r w:rsidR="000537BC" w:rsidRPr="004542B5">
        <w:rPr>
          <w:rFonts w:cs="Tahoma"/>
          <w:noProof w:val="0"/>
          <w:szCs w:val="20"/>
          <w:lang w:val="en-US"/>
        </w:rPr>
        <w:t xml:space="preserve"> 1989</w:t>
      </w:r>
      <w:r w:rsidRPr="004542B5">
        <w:rPr>
          <w:rFonts w:cs="Tahoma"/>
          <w:noProof w:val="0"/>
          <w:szCs w:val="20"/>
          <w:lang w:val="en-US"/>
        </w:rPr>
        <w:t>,</w:t>
      </w:r>
      <w:r w:rsidR="000537BC" w:rsidRPr="004542B5">
        <w:rPr>
          <w:rFonts w:cs="Tahoma"/>
          <w:noProof w:val="0"/>
          <w:szCs w:val="20"/>
          <w:lang w:val="en-US"/>
        </w:rPr>
        <w:t xml:space="preserve"> </w:t>
      </w:r>
      <w:r w:rsidRPr="004542B5">
        <w:rPr>
          <w:rFonts w:cs="Tahoma"/>
          <w:noProof w:val="0"/>
          <w:szCs w:val="20"/>
          <w:lang w:val="en-US"/>
        </w:rPr>
        <w:t>the</w:t>
      </w:r>
      <w:r w:rsidR="000537BC" w:rsidRPr="004542B5">
        <w:rPr>
          <w:rFonts w:cs="Tahoma"/>
          <w:noProof w:val="0"/>
          <w:szCs w:val="20"/>
          <w:lang w:val="en-US"/>
        </w:rPr>
        <w:t xml:space="preserve"> Kuna </w:t>
      </w:r>
      <w:r w:rsidRPr="004542B5">
        <w:rPr>
          <w:rFonts w:cs="Tahoma"/>
          <w:noProof w:val="0"/>
          <w:szCs w:val="20"/>
          <w:lang w:val="en-US"/>
        </w:rPr>
        <w:t xml:space="preserve">drew up a </w:t>
      </w:r>
      <w:r w:rsidR="00684B61" w:rsidRPr="004542B5">
        <w:rPr>
          <w:rFonts w:cs="Tahoma"/>
          <w:noProof w:val="0"/>
          <w:szCs w:val="20"/>
          <w:lang w:val="en-US"/>
        </w:rPr>
        <w:t xml:space="preserve">proposed </w:t>
      </w:r>
      <w:r w:rsidRPr="004542B5">
        <w:rPr>
          <w:rFonts w:cs="Tahoma"/>
          <w:noProof w:val="0"/>
          <w:szCs w:val="20"/>
          <w:lang w:val="en-US"/>
        </w:rPr>
        <w:t>bill for the recognition of their lands under the format of an indigenous comarca, and this was presented to the Legislative Assembly.</w:t>
      </w:r>
      <w:r w:rsidR="000537BC" w:rsidRPr="004542B5">
        <w:rPr>
          <w:rStyle w:val="FootnoteReference"/>
          <w:noProof w:val="0"/>
          <w:lang w:val="en-US"/>
        </w:rPr>
        <w:footnoteReference w:id="96"/>
      </w:r>
      <w:r w:rsidR="000537BC" w:rsidRPr="004542B5">
        <w:rPr>
          <w:rFonts w:cs="Tahoma"/>
          <w:noProof w:val="0"/>
          <w:szCs w:val="20"/>
          <w:lang w:val="en-US"/>
        </w:rPr>
        <w:t xml:space="preserve"> </w:t>
      </w:r>
      <w:r w:rsidR="00D42CB8" w:rsidRPr="004542B5">
        <w:rPr>
          <w:rFonts w:cs="Tahoma"/>
          <w:noProof w:val="0"/>
          <w:szCs w:val="20"/>
          <w:lang w:val="en-US"/>
        </w:rPr>
        <w:t xml:space="preserve">Also, </w:t>
      </w:r>
      <w:r w:rsidR="00684B61" w:rsidRPr="004542B5">
        <w:rPr>
          <w:rFonts w:cs="Tahoma"/>
          <w:noProof w:val="0"/>
          <w:szCs w:val="20"/>
          <w:lang w:val="en-US"/>
        </w:rPr>
        <w:t>a</w:t>
      </w:r>
      <w:r w:rsidR="00D42CB8" w:rsidRPr="004542B5">
        <w:rPr>
          <w:rFonts w:cs="Tahoma"/>
          <w:noProof w:val="0"/>
          <w:szCs w:val="20"/>
          <w:lang w:val="en-US"/>
        </w:rPr>
        <w:t xml:space="preserve"> “Governmental Interdisciplinary Team” </w:t>
      </w:r>
      <w:r w:rsidR="00D42CB8" w:rsidRPr="004542B5">
        <w:rPr>
          <w:rFonts w:cs="Tahoma"/>
          <w:noProof w:val="0"/>
          <w:szCs w:val="20"/>
          <w:lang w:val="en-US"/>
        </w:rPr>
        <w:lastRenderedPageBreak/>
        <w:t>composed of several state entities</w:t>
      </w:r>
      <w:r w:rsidR="00684B61" w:rsidRPr="004542B5">
        <w:rPr>
          <w:rFonts w:cs="Tahoma"/>
          <w:noProof w:val="0"/>
          <w:szCs w:val="20"/>
          <w:lang w:val="en-US"/>
        </w:rPr>
        <w:t xml:space="preserve"> was created</w:t>
      </w:r>
      <w:r w:rsidR="00D42CB8" w:rsidRPr="004542B5">
        <w:rPr>
          <w:rFonts w:cs="Tahoma"/>
          <w:noProof w:val="0"/>
          <w:szCs w:val="20"/>
          <w:lang w:val="en-US"/>
        </w:rPr>
        <w:t xml:space="preserve">, </w:t>
      </w:r>
      <w:r w:rsidR="00684B61" w:rsidRPr="004542B5">
        <w:rPr>
          <w:rFonts w:cs="Tahoma"/>
          <w:noProof w:val="0"/>
          <w:szCs w:val="20"/>
          <w:lang w:val="en-US"/>
        </w:rPr>
        <w:t>and it</w:t>
      </w:r>
      <w:r w:rsidR="00D42CB8" w:rsidRPr="004542B5">
        <w:rPr>
          <w:rFonts w:cs="Tahoma"/>
          <w:noProof w:val="0"/>
          <w:szCs w:val="20"/>
          <w:lang w:val="en-US"/>
        </w:rPr>
        <w:t xml:space="preserve"> prepared an agreement that was signed by those entities and two official representatives of the indigenous peoples of the Bayano</w:t>
      </w:r>
      <w:r w:rsidR="00684B61" w:rsidRPr="004542B5">
        <w:rPr>
          <w:rFonts w:cs="Tahoma"/>
          <w:noProof w:val="0"/>
          <w:szCs w:val="20"/>
          <w:lang w:val="en-US"/>
        </w:rPr>
        <w:t xml:space="preserve"> on March 23, 1990</w:t>
      </w:r>
      <w:r w:rsidR="00D42CB8" w:rsidRPr="004542B5">
        <w:rPr>
          <w:rFonts w:cs="Tahoma"/>
          <w:noProof w:val="0"/>
          <w:szCs w:val="20"/>
          <w:lang w:val="en-US"/>
        </w:rPr>
        <w:t xml:space="preserve">. The agreement indicated that, “currently, the possessory rights of the indigenous sector of the Bayano </w:t>
      </w:r>
      <w:r w:rsidR="00684B61" w:rsidRPr="004542B5">
        <w:rPr>
          <w:rFonts w:cs="Tahoma"/>
          <w:noProof w:val="0"/>
          <w:szCs w:val="20"/>
          <w:lang w:val="en-US"/>
        </w:rPr>
        <w:t>area</w:t>
      </w:r>
      <w:r w:rsidR="00D42CB8" w:rsidRPr="004542B5">
        <w:rPr>
          <w:rFonts w:cs="Tahoma"/>
          <w:noProof w:val="0"/>
          <w:szCs w:val="20"/>
          <w:lang w:val="en-US"/>
        </w:rPr>
        <w:t xml:space="preserve">, as well as the ecological balance that is so necessary for the life of the Bayano Dam are [prejudiced by] the incursion of settlers in the region” and that “[t]he settlers who are within the </w:t>
      </w:r>
      <w:r w:rsidR="00D21F9E" w:rsidRPr="004542B5">
        <w:rPr>
          <w:rFonts w:cs="Tahoma"/>
          <w:noProof w:val="0"/>
          <w:szCs w:val="20"/>
          <w:lang w:val="en-US"/>
        </w:rPr>
        <w:t>boundaries</w:t>
      </w:r>
      <w:r w:rsidR="00D42CB8" w:rsidRPr="004542B5">
        <w:rPr>
          <w:rFonts w:cs="Tahoma"/>
          <w:noProof w:val="0"/>
          <w:szCs w:val="20"/>
          <w:lang w:val="en-US"/>
        </w:rPr>
        <w:t xml:space="preserve"> of the comarca and in the higher part of the protected watershed […] must leave the disputed area.</w:t>
      </w:r>
      <w:r w:rsidR="000537BC" w:rsidRPr="004542B5">
        <w:rPr>
          <w:rFonts w:cs="Tahoma"/>
          <w:noProof w:val="0"/>
          <w:szCs w:val="20"/>
          <w:lang w:val="en-US"/>
        </w:rPr>
        <w:t>”</w:t>
      </w:r>
      <w:r w:rsidR="000537BC" w:rsidRPr="004542B5">
        <w:rPr>
          <w:rStyle w:val="FootnoteReference"/>
          <w:noProof w:val="0"/>
          <w:lang w:val="en-US"/>
        </w:rPr>
        <w:footnoteReference w:id="97"/>
      </w:r>
      <w:r w:rsidR="000537BC" w:rsidRPr="004542B5">
        <w:rPr>
          <w:rFonts w:cs="Tahoma"/>
          <w:noProof w:val="0"/>
          <w:szCs w:val="20"/>
          <w:lang w:val="en-US"/>
        </w:rPr>
        <w:t xml:space="preserve"> </w:t>
      </w:r>
      <w:r w:rsidR="00D42CB8" w:rsidRPr="004542B5">
        <w:rPr>
          <w:rFonts w:cs="Tahoma"/>
          <w:noProof w:val="0"/>
          <w:szCs w:val="20"/>
          <w:lang w:val="en-US"/>
        </w:rPr>
        <w:t xml:space="preserve">Subsequently, on July 16, </w:t>
      </w:r>
      <w:r w:rsidR="000537BC" w:rsidRPr="004542B5">
        <w:rPr>
          <w:rFonts w:cs="Tahoma"/>
          <w:noProof w:val="0"/>
          <w:szCs w:val="20"/>
          <w:lang w:val="en-US"/>
        </w:rPr>
        <w:t xml:space="preserve">1991, </w:t>
      </w:r>
      <w:r w:rsidR="00D42CB8" w:rsidRPr="004542B5">
        <w:rPr>
          <w:rFonts w:cs="Tahoma"/>
          <w:noProof w:val="0"/>
          <w:szCs w:val="20"/>
          <w:lang w:val="en-US"/>
        </w:rPr>
        <w:t>the</w:t>
      </w:r>
      <w:r w:rsidR="000537BC" w:rsidRPr="004542B5">
        <w:rPr>
          <w:rFonts w:cs="Tahoma"/>
          <w:noProof w:val="0"/>
          <w:szCs w:val="20"/>
          <w:lang w:val="en-US"/>
        </w:rPr>
        <w:t xml:space="preserve"> “</w:t>
      </w:r>
      <w:r w:rsidR="00816749" w:rsidRPr="004542B5">
        <w:rPr>
          <w:rFonts w:cs="Tahoma"/>
          <w:noProof w:val="0"/>
          <w:szCs w:val="20"/>
          <w:lang w:val="en-US"/>
        </w:rPr>
        <w:t xml:space="preserve">Working Agreement for the Territorial Reorganization of Alto Bayano </w:t>
      </w:r>
      <w:r w:rsidR="000537BC" w:rsidRPr="004542B5">
        <w:rPr>
          <w:rFonts w:cs="Tahoma"/>
          <w:noProof w:val="0"/>
          <w:szCs w:val="20"/>
          <w:lang w:val="en-US"/>
        </w:rPr>
        <w:t xml:space="preserve">[…]” </w:t>
      </w:r>
      <w:r w:rsidR="00816749" w:rsidRPr="004542B5">
        <w:rPr>
          <w:rFonts w:cs="Tahoma"/>
          <w:noProof w:val="0"/>
          <w:szCs w:val="20"/>
          <w:lang w:val="en-US"/>
        </w:rPr>
        <w:t xml:space="preserve">was signed in which several state </w:t>
      </w:r>
      <w:r w:rsidR="00684B61" w:rsidRPr="004542B5">
        <w:rPr>
          <w:rFonts w:cs="Tahoma"/>
          <w:noProof w:val="0"/>
          <w:szCs w:val="20"/>
          <w:lang w:val="en-US"/>
        </w:rPr>
        <w:t>entities</w:t>
      </w:r>
      <w:r w:rsidR="00816749" w:rsidRPr="004542B5">
        <w:rPr>
          <w:rFonts w:cs="Tahoma"/>
          <w:noProof w:val="0"/>
          <w:szCs w:val="20"/>
          <w:lang w:val="en-US"/>
        </w:rPr>
        <w:t xml:space="preserve"> “undertook to take steps to relocate the settlers who have invaded the </w:t>
      </w:r>
      <w:r w:rsidR="00684B61" w:rsidRPr="004542B5">
        <w:rPr>
          <w:rFonts w:cs="Tahoma"/>
          <w:noProof w:val="0"/>
          <w:szCs w:val="20"/>
          <w:lang w:val="en-US"/>
        </w:rPr>
        <w:t xml:space="preserve">protected </w:t>
      </w:r>
      <w:r w:rsidR="00816749" w:rsidRPr="004542B5">
        <w:rPr>
          <w:rFonts w:cs="Tahoma"/>
          <w:noProof w:val="0"/>
          <w:szCs w:val="20"/>
          <w:lang w:val="en-US"/>
        </w:rPr>
        <w:t>lands in order to conserve the flora and fauna of the Bayano watershed,” establishing September 15, 1991, as the deadline.</w:t>
      </w:r>
      <w:r w:rsidR="000537BC" w:rsidRPr="004542B5">
        <w:rPr>
          <w:rStyle w:val="FootnoteReference"/>
          <w:noProof w:val="0"/>
          <w:lang w:val="en-US"/>
        </w:rPr>
        <w:footnoteReference w:id="98"/>
      </w:r>
      <w:r w:rsidR="007B47B1" w:rsidRPr="004542B5">
        <w:rPr>
          <w:rFonts w:cs="Tahoma"/>
          <w:noProof w:val="0"/>
          <w:szCs w:val="20"/>
          <w:lang w:val="en-US"/>
        </w:rPr>
        <w:t xml:space="preserve"> </w:t>
      </w:r>
    </w:p>
    <w:p w14:paraId="314F3F1A" w14:textId="4111138E" w:rsidR="00DC5DDA" w:rsidRPr="004542B5" w:rsidRDefault="00816749" w:rsidP="008B3891">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January 24,</w:t>
      </w:r>
      <w:r w:rsidR="00581ADF" w:rsidRPr="004542B5">
        <w:rPr>
          <w:rFonts w:cs="Tahoma"/>
          <w:noProof w:val="0"/>
          <w:szCs w:val="20"/>
          <w:lang w:val="en-US"/>
        </w:rPr>
        <w:t xml:space="preserve"> 1992</w:t>
      </w:r>
      <w:r w:rsidRPr="004542B5">
        <w:rPr>
          <w:rFonts w:cs="Tahoma"/>
          <w:noProof w:val="0"/>
          <w:szCs w:val="20"/>
          <w:lang w:val="en-US"/>
        </w:rPr>
        <w:t>, the</w:t>
      </w:r>
      <w:r w:rsidR="00581ADF" w:rsidRPr="004542B5">
        <w:rPr>
          <w:rFonts w:cs="Tahoma"/>
          <w:noProof w:val="0"/>
          <w:szCs w:val="20"/>
          <w:lang w:val="en-US"/>
        </w:rPr>
        <w:t xml:space="preserve"> Director General </w:t>
      </w:r>
      <w:r w:rsidRPr="004542B5">
        <w:rPr>
          <w:rFonts w:cs="Tahoma"/>
          <w:noProof w:val="0"/>
          <w:szCs w:val="20"/>
          <w:lang w:val="en-US"/>
        </w:rPr>
        <w:t>of the</w:t>
      </w:r>
      <w:r w:rsidR="00581ADF" w:rsidRPr="004542B5">
        <w:rPr>
          <w:rFonts w:cs="Tahoma"/>
          <w:noProof w:val="0"/>
          <w:szCs w:val="20"/>
          <w:lang w:val="en-US"/>
        </w:rPr>
        <w:t xml:space="preserve"> </w:t>
      </w:r>
      <w:r w:rsidR="002A2752" w:rsidRPr="004542B5">
        <w:rPr>
          <w:rFonts w:cs="Tahoma"/>
          <w:noProof w:val="0"/>
          <w:szCs w:val="20"/>
          <w:lang w:val="en-US"/>
        </w:rPr>
        <w:t>Corporation for the Integral Development of the Bayano</w:t>
      </w:r>
      <w:r w:rsidR="00581ADF" w:rsidRPr="004542B5">
        <w:rPr>
          <w:rFonts w:cs="Tahoma"/>
          <w:noProof w:val="0"/>
          <w:szCs w:val="20"/>
          <w:lang w:val="en-US"/>
        </w:rPr>
        <w:t xml:space="preserve"> </w:t>
      </w:r>
      <w:r w:rsidR="008B3891" w:rsidRPr="004542B5">
        <w:rPr>
          <w:rFonts w:cs="Tahoma"/>
          <w:noProof w:val="0"/>
          <w:szCs w:val="20"/>
          <w:lang w:val="en-US"/>
        </w:rPr>
        <w:t>issued</w:t>
      </w:r>
      <w:r w:rsidR="00581ADF" w:rsidRPr="004542B5">
        <w:rPr>
          <w:rFonts w:cs="Tahoma"/>
          <w:noProof w:val="0"/>
          <w:szCs w:val="20"/>
          <w:lang w:val="en-US"/>
        </w:rPr>
        <w:t xml:space="preserve"> </w:t>
      </w:r>
      <w:r w:rsidR="008B3891" w:rsidRPr="004542B5">
        <w:rPr>
          <w:rFonts w:cs="Tahoma"/>
          <w:noProof w:val="0"/>
          <w:szCs w:val="20"/>
          <w:lang w:val="en-US"/>
        </w:rPr>
        <w:t>Resolution</w:t>
      </w:r>
      <w:r w:rsidR="00581ADF" w:rsidRPr="004542B5">
        <w:rPr>
          <w:rFonts w:cs="Tahoma"/>
          <w:noProof w:val="0"/>
          <w:szCs w:val="20"/>
          <w:lang w:val="en-US"/>
        </w:rPr>
        <w:t xml:space="preserve"> </w:t>
      </w:r>
      <w:r w:rsidR="00CD2B90" w:rsidRPr="004542B5">
        <w:rPr>
          <w:rFonts w:cs="Tahoma"/>
          <w:noProof w:val="0"/>
          <w:szCs w:val="20"/>
          <w:lang w:val="en-US"/>
        </w:rPr>
        <w:t>No.</w:t>
      </w:r>
      <w:r w:rsidR="00581ADF" w:rsidRPr="004542B5">
        <w:rPr>
          <w:rFonts w:cs="Tahoma"/>
          <w:noProof w:val="0"/>
          <w:szCs w:val="20"/>
          <w:lang w:val="en-US"/>
        </w:rPr>
        <w:t xml:space="preserve"> 002 consider</w:t>
      </w:r>
      <w:r w:rsidR="008B3891" w:rsidRPr="004542B5">
        <w:rPr>
          <w:rFonts w:cs="Tahoma"/>
          <w:noProof w:val="0"/>
          <w:szCs w:val="20"/>
          <w:lang w:val="en-US"/>
        </w:rPr>
        <w:t xml:space="preserve">ing – with reference to the “process of invasion-colonization” of the Kuna and Emberá indigenous lands of Alto Bayano – that “a large number of individuals are re-occupying lands for which the </w:t>
      </w:r>
      <w:r w:rsidR="00684B61" w:rsidRPr="004542B5">
        <w:rPr>
          <w:rFonts w:cs="Tahoma"/>
          <w:noProof w:val="0"/>
          <w:szCs w:val="20"/>
          <w:lang w:val="en-US"/>
        </w:rPr>
        <w:t>n</w:t>
      </w:r>
      <w:r w:rsidR="008B3891" w:rsidRPr="004542B5">
        <w:rPr>
          <w:rFonts w:cs="Tahoma"/>
          <w:noProof w:val="0"/>
          <w:szCs w:val="20"/>
          <w:lang w:val="en-US"/>
        </w:rPr>
        <w:t xml:space="preserve">ational Government had provided compensation through the Bayano Corporation” and that “a process of illegal land grabbing and occupation </w:t>
      </w:r>
      <w:r w:rsidR="00684B61" w:rsidRPr="004542B5">
        <w:rPr>
          <w:rFonts w:cs="Tahoma"/>
          <w:noProof w:val="0"/>
          <w:szCs w:val="20"/>
          <w:lang w:val="en-US"/>
        </w:rPr>
        <w:t xml:space="preserve">is underway </w:t>
      </w:r>
      <w:r w:rsidR="008B3891" w:rsidRPr="004542B5">
        <w:rPr>
          <w:rFonts w:cs="Tahoma"/>
          <w:noProof w:val="0"/>
          <w:szCs w:val="20"/>
          <w:lang w:val="en-US"/>
        </w:rPr>
        <w:t>of lands belonging” to the said Corporation. In this regard, it was decided to take the necessary steps to recover th</w:t>
      </w:r>
      <w:r w:rsidR="00684B61" w:rsidRPr="004542B5">
        <w:rPr>
          <w:rFonts w:cs="Tahoma"/>
          <w:noProof w:val="0"/>
          <w:szCs w:val="20"/>
          <w:lang w:val="en-US"/>
        </w:rPr>
        <w:t>o</w:t>
      </w:r>
      <w:r w:rsidR="008B3891" w:rsidRPr="004542B5">
        <w:rPr>
          <w:rFonts w:cs="Tahoma"/>
          <w:noProof w:val="0"/>
          <w:szCs w:val="20"/>
          <w:lang w:val="en-US"/>
        </w:rPr>
        <w:t>se lands and “[t]o establish a land management program in order to settle the existing conflicts permanently.</w:t>
      </w:r>
      <w:r w:rsidR="00581ADF" w:rsidRPr="004542B5">
        <w:rPr>
          <w:rFonts w:cs="Tahoma"/>
          <w:noProof w:val="0"/>
          <w:szCs w:val="20"/>
          <w:lang w:val="en-US"/>
        </w:rPr>
        <w:t>”</w:t>
      </w:r>
      <w:r w:rsidR="00581ADF" w:rsidRPr="004542B5">
        <w:rPr>
          <w:rStyle w:val="FootnoteReference"/>
          <w:noProof w:val="0"/>
          <w:lang w:val="en-US"/>
        </w:rPr>
        <w:footnoteReference w:id="99"/>
      </w:r>
      <w:r w:rsidR="00581ADF" w:rsidRPr="004542B5">
        <w:rPr>
          <w:rFonts w:cs="Tahoma"/>
          <w:noProof w:val="0"/>
          <w:szCs w:val="20"/>
          <w:lang w:val="en-US"/>
        </w:rPr>
        <w:t xml:space="preserve"> </w:t>
      </w:r>
      <w:r w:rsidR="00684B61" w:rsidRPr="004542B5">
        <w:rPr>
          <w:rFonts w:cs="Tahoma"/>
          <w:noProof w:val="0"/>
          <w:szCs w:val="20"/>
          <w:lang w:val="en-US"/>
        </w:rPr>
        <w:t>On</w:t>
      </w:r>
      <w:r w:rsidR="00581ADF" w:rsidRPr="004542B5">
        <w:rPr>
          <w:rFonts w:cs="Tahoma"/>
          <w:noProof w:val="0"/>
          <w:szCs w:val="20"/>
          <w:lang w:val="en-US"/>
        </w:rPr>
        <w:t xml:space="preserve"> </w:t>
      </w:r>
      <w:r w:rsidRPr="004542B5">
        <w:rPr>
          <w:rFonts w:cs="Tahoma"/>
          <w:noProof w:val="0"/>
          <w:szCs w:val="20"/>
          <w:lang w:val="en-US"/>
        </w:rPr>
        <w:t>March 17,</w:t>
      </w:r>
      <w:r w:rsidR="00581ADF" w:rsidRPr="004542B5">
        <w:rPr>
          <w:rFonts w:cs="Tahoma"/>
          <w:noProof w:val="0"/>
          <w:szCs w:val="20"/>
          <w:lang w:val="en-US"/>
        </w:rPr>
        <w:t xml:space="preserve"> 1992</w:t>
      </w:r>
      <w:r w:rsidR="008B3891" w:rsidRPr="004542B5">
        <w:rPr>
          <w:rFonts w:cs="Tahoma"/>
          <w:noProof w:val="0"/>
          <w:szCs w:val="20"/>
          <w:lang w:val="en-US"/>
        </w:rPr>
        <w:t>,</w:t>
      </w:r>
      <w:r w:rsidR="00581ADF" w:rsidRPr="004542B5">
        <w:rPr>
          <w:rFonts w:cs="Tahoma"/>
          <w:noProof w:val="0"/>
          <w:szCs w:val="20"/>
          <w:lang w:val="en-US"/>
        </w:rPr>
        <w:t xml:space="preserve"> </w:t>
      </w:r>
      <w:r w:rsidRPr="004542B5">
        <w:rPr>
          <w:rFonts w:cs="Tahoma"/>
          <w:noProof w:val="0"/>
          <w:szCs w:val="20"/>
          <w:lang w:val="en-US"/>
        </w:rPr>
        <w:t>the Ministry of the Interior and Justice</w:t>
      </w:r>
      <w:r w:rsidR="00581ADF" w:rsidRPr="004542B5">
        <w:rPr>
          <w:rFonts w:cs="Tahoma"/>
          <w:noProof w:val="0"/>
          <w:szCs w:val="20"/>
          <w:lang w:val="en-US"/>
        </w:rPr>
        <w:t xml:space="preserve"> </w:t>
      </w:r>
      <w:r w:rsidR="008B3891" w:rsidRPr="004542B5">
        <w:rPr>
          <w:rFonts w:cs="Tahoma"/>
          <w:noProof w:val="0"/>
          <w:szCs w:val="20"/>
          <w:lang w:val="en-US"/>
        </w:rPr>
        <w:t>issued</w:t>
      </w:r>
      <w:r w:rsidR="00581ADF" w:rsidRPr="004542B5">
        <w:rPr>
          <w:rFonts w:cs="Tahoma"/>
          <w:noProof w:val="0"/>
          <w:szCs w:val="20"/>
          <w:lang w:val="en-US"/>
        </w:rPr>
        <w:t xml:space="preserve"> </w:t>
      </w:r>
      <w:r w:rsidR="008B3891" w:rsidRPr="004542B5">
        <w:rPr>
          <w:rFonts w:cs="Tahoma"/>
          <w:noProof w:val="0"/>
          <w:szCs w:val="20"/>
          <w:lang w:val="en-US"/>
        </w:rPr>
        <w:t>Resolution</w:t>
      </w:r>
      <w:r w:rsidR="00581ADF" w:rsidRPr="004542B5">
        <w:rPr>
          <w:rFonts w:cs="Tahoma"/>
          <w:noProof w:val="0"/>
          <w:szCs w:val="20"/>
          <w:lang w:val="en-US"/>
        </w:rPr>
        <w:t xml:space="preserve"> </w:t>
      </w:r>
      <w:r w:rsidR="00CD2B90" w:rsidRPr="004542B5">
        <w:rPr>
          <w:rFonts w:cs="Tahoma"/>
          <w:noProof w:val="0"/>
          <w:szCs w:val="20"/>
          <w:lang w:val="en-US"/>
        </w:rPr>
        <w:t>No.</w:t>
      </w:r>
      <w:r w:rsidR="00581ADF" w:rsidRPr="004542B5">
        <w:rPr>
          <w:rFonts w:cs="Tahoma"/>
          <w:noProof w:val="0"/>
          <w:szCs w:val="20"/>
          <w:lang w:val="en-US"/>
        </w:rPr>
        <w:t xml:space="preserve"> 63, </w:t>
      </w:r>
      <w:r w:rsidR="008B3891" w:rsidRPr="004542B5">
        <w:rPr>
          <w:rFonts w:cs="Tahoma"/>
          <w:noProof w:val="0"/>
          <w:szCs w:val="20"/>
          <w:lang w:val="en-US"/>
        </w:rPr>
        <w:t>which referred to the above-mentioned</w:t>
      </w:r>
      <w:r w:rsidR="00581ADF" w:rsidRPr="004542B5">
        <w:rPr>
          <w:rFonts w:cs="Tahoma"/>
          <w:noProof w:val="0"/>
          <w:szCs w:val="20"/>
          <w:lang w:val="en-US"/>
        </w:rPr>
        <w:t xml:space="preserve"> </w:t>
      </w:r>
      <w:r w:rsidR="008B3891" w:rsidRPr="004542B5">
        <w:rPr>
          <w:rFonts w:cs="Tahoma"/>
          <w:noProof w:val="0"/>
          <w:szCs w:val="20"/>
          <w:lang w:val="en-US"/>
        </w:rPr>
        <w:t>Resolution</w:t>
      </w:r>
      <w:r w:rsidR="00581ADF" w:rsidRPr="004542B5">
        <w:rPr>
          <w:rFonts w:cs="Tahoma"/>
          <w:noProof w:val="0"/>
          <w:szCs w:val="20"/>
          <w:lang w:val="en-US"/>
        </w:rPr>
        <w:t xml:space="preserve"> </w:t>
      </w:r>
      <w:r w:rsidR="00CD2B90" w:rsidRPr="004542B5">
        <w:rPr>
          <w:rFonts w:cs="Tahoma"/>
          <w:noProof w:val="0"/>
          <w:szCs w:val="20"/>
          <w:lang w:val="en-US"/>
        </w:rPr>
        <w:t>No.</w:t>
      </w:r>
      <w:r w:rsidR="00581ADF" w:rsidRPr="004542B5">
        <w:rPr>
          <w:rFonts w:cs="Tahoma"/>
          <w:noProof w:val="0"/>
          <w:szCs w:val="20"/>
          <w:lang w:val="en-US"/>
        </w:rPr>
        <w:t xml:space="preserve"> 002</w:t>
      </w:r>
      <w:r w:rsidR="00CD2B90" w:rsidRPr="004542B5">
        <w:rPr>
          <w:rFonts w:cs="Tahoma"/>
          <w:noProof w:val="0"/>
          <w:szCs w:val="20"/>
          <w:lang w:val="en-US"/>
        </w:rPr>
        <w:t xml:space="preserve"> and </w:t>
      </w:r>
      <w:r w:rsidR="008B3891" w:rsidRPr="004542B5">
        <w:rPr>
          <w:rFonts w:cs="Tahoma"/>
          <w:noProof w:val="0"/>
          <w:szCs w:val="20"/>
          <w:lang w:val="en-US"/>
        </w:rPr>
        <w:t xml:space="preserve">granted the provincial governor and the Chepo mayor the necessary authority “to order the relocation of the settlers who had invaded the conflict areas” and instructed the </w:t>
      </w:r>
      <w:r w:rsidR="005A0369" w:rsidRPr="004542B5">
        <w:rPr>
          <w:rFonts w:cs="Tahoma"/>
          <w:noProof w:val="0"/>
          <w:szCs w:val="20"/>
          <w:lang w:val="en-US"/>
        </w:rPr>
        <w:t>n</w:t>
      </w:r>
      <w:r w:rsidR="008B3891" w:rsidRPr="004542B5">
        <w:rPr>
          <w:rFonts w:cs="Tahoma"/>
          <w:noProof w:val="0"/>
          <w:szCs w:val="20"/>
          <w:lang w:val="en-US"/>
        </w:rPr>
        <w:t>ational Police Force to provide the required assistance.</w:t>
      </w:r>
      <w:r w:rsidR="00581ADF" w:rsidRPr="004542B5">
        <w:rPr>
          <w:rStyle w:val="FootnoteReference"/>
          <w:noProof w:val="0"/>
          <w:lang w:val="en-US"/>
        </w:rPr>
        <w:footnoteReference w:id="100"/>
      </w:r>
      <w:r w:rsidR="008B3891" w:rsidRPr="004542B5">
        <w:rPr>
          <w:rFonts w:cs="Tahoma"/>
          <w:noProof w:val="0"/>
          <w:szCs w:val="20"/>
          <w:lang w:val="en-US"/>
        </w:rPr>
        <w:t xml:space="preserve"> In April and May </w:t>
      </w:r>
      <w:r w:rsidR="00581ADF" w:rsidRPr="004542B5">
        <w:rPr>
          <w:rFonts w:cs="Tahoma"/>
          <w:noProof w:val="0"/>
          <w:szCs w:val="20"/>
          <w:lang w:val="en-US"/>
        </w:rPr>
        <w:t>1993</w:t>
      </w:r>
      <w:r w:rsidR="008B3891" w:rsidRPr="004542B5">
        <w:rPr>
          <w:rFonts w:cs="Tahoma"/>
          <w:noProof w:val="0"/>
          <w:szCs w:val="20"/>
          <w:lang w:val="en-US"/>
        </w:rPr>
        <w:t>, the indigenous peoples of the Bayano organized public protests and blocked part of the Pan-American Highway demanding recognition and protection of their lands.</w:t>
      </w:r>
      <w:r w:rsidR="00581ADF" w:rsidRPr="004542B5">
        <w:rPr>
          <w:rStyle w:val="FootnoteReference"/>
          <w:noProof w:val="0"/>
          <w:lang w:val="en-US"/>
        </w:rPr>
        <w:footnoteReference w:id="101"/>
      </w:r>
      <w:r w:rsidR="007B47B1" w:rsidRPr="004542B5">
        <w:rPr>
          <w:rFonts w:cs="Tahoma"/>
          <w:noProof w:val="0"/>
          <w:szCs w:val="20"/>
          <w:lang w:val="en-US"/>
        </w:rPr>
        <w:t xml:space="preserve"> </w:t>
      </w:r>
    </w:p>
    <w:p w14:paraId="483487C2" w14:textId="7F14A2B6" w:rsidR="001856BB" w:rsidRPr="004542B5" w:rsidRDefault="008B3891" w:rsidP="00E01664">
      <w:pPr>
        <w:pStyle w:val="ListParagraph"/>
        <w:numPr>
          <w:ilvl w:val="0"/>
          <w:numId w:val="2"/>
        </w:numPr>
        <w:spacing w:before="120"/>
        <w:contextualSpacing w:val="0"/>
        <w:rPr>
          <w:noProof w:val="0"/>
          <w:szCs w:val="20"/>
          <w:lang w:val="en-US"/>
        </w:rPr>
      </w:pPr>
      <w:r w:rsidRPr="004542B5">
        <w:rPr>
          <w:rFonts w:cs="Tahoma"/>
          <w:noProof w:val="0"/>
          <w:szCs w:val="20"/>
          <w:lang w:val="en-US"/>
        </w:rPr>
        <w:t>On December 5,</w:t>
      </w:r>
      <w:r w:rsidR="00581ADF" w:rsidRPr="004542B5">
        <w:rPr>
          <w:rFonts w:cs="Tahoma"/>
          <w:noProof w:val="0"/>
          <w:szCs w:val="20"/>
          <w:lang w:val="en-US"/>
        </w:rPr>
        <w:t xml:space="preserve"> 1994</w:t>
      </w:r>
      <w:r w:rsidRPr="004542B5">
        <w:rPr>
          <w:rFonts w:cs="Tahoma"/>
          <w:noProof w:val="0"/>
          <w:szCs w:val="20"/>
          <w:lang w:val="en-US"/>
        </w:rPr>
        <w:t>,</w:t>
      </w:r>
      <w:r w:rsidR="00581ADF" w:rsidRPr="004542B5">
        <w:rPr>
          <w:rFonts w:cs="Tahoma"/>
          <w:noProof w:val="0"/>
          <w:szCs w:val="20"/>
          <w:lang w:val="en-US"/>
        </w:rPr>
        <w:t xml:space="preserve"> </w:t>
      </w:r>
      <w:r w:rsidRPr="004542B5">
        <w:rPr>
          <w:rFonts w:cs="Tahoma"/>
          <w:noProof w:val="0"/>
          <w:szCs w:val="20"/>
          <w:lang w:val="en-US"/>
        </w:rPr>
        <w:t xml:space="preserve">the Director General of the </w:t>
      </w:r>
      <w:r w:rsidR="002A2752" w:rsidRPr="004542B5">
        <w:rPr>
          <w:rFonts w:cs="Tahoma"/>
          <w:noProof w:val="0"/>
          <w:szCs w:val="20"/>
          <w:lang w:val="en-US"/>
        </w:rPr>
        <w:t>Corporation for the Integral Development of the Bayano</w:t>
      </w:r>
      <w:r w:rsidR="00581ADF" w:rsidRPr="004542B5">
        <w:rPr>
          <w:rFonts w:cs="Tahoma"/>
          <w:noProof w:val="0"/>
          <w:szCs w:val="20"/>
          <w:lang w:val="en-US"/>
        </w:rPr>
        <w:t xml:space="preserve"> </w:t>
      </w:r>
      <w:r w:rsidRPr="004542B5">
        <w:rPr>
          <w:rFonts w:cs="Tahoma"/>
          <w:noProof w:val="0"/>
          <w:szCs w:val="20"/>
          <w:lang w:val="en-US"/>
        </w:rPr>
        <w:t>issued</w:t>
      </w:r>
      <w:r w:rsidR="00581ADF" w:rsidRPr="004542B5">
        <w:rPr>
          <w:rFonts w:cs="Tahoma"/>
          <w:noProof w:val="0"/>
          <w:szCs w:val="20"/>
          <w:lang w:val="en-US"/>
        </w:rPr>
        <w:t xml:space="preserve"> </w:t>
      </w:r>
      <w:r w:rsidRPr="004542B5">
        <w:rPr>
          <w:rFonts w:cs="Tahoma"/>
          <w:noProof w:val="0"/>
          <w:szCs w:val="20"/>
          <w:lang w:val="en-US"/>
        </w:rPr>
        <w:t>Resolution</w:t>
      </w:r>
      <w:r w:rsidR="00581ADF" w:rsidRPr="004542B5">
        <w:rPr>
          <w:rFonts w:cs="Tahoma"/>
          <w:noProof w:val="0"/>
          <w:szCs w:val="20"/>
          <w:lang w:val="en-US"/>
        </w:rPr>
        <w:t xml:space="preserve"> </w:t>
      </w:r>
      <w:r w:rsidR="00CD2B90" w:rsidRPr="004542B5">
        <w:rPr>
          <w:rFonts w:cs="Tahoma"/>
          <w:noProof w:val="0"/>
          <w:szCs w:val="20"/>
          <w:lang w:val="en-US"/>
        </w:rPr>
        <w:t>No.</w:t>
      </w:r>
      <w:r w:rsidR="00581ADF" w:rsidRPr="004542B5">
        <w:rPr>
          <w:rFonts w:cs="Tahoma"/>
          <w:noProof w:val="0"/>
          <w:szCs w:val="20"/>
          <w:lang w:val="en-US"/>
        </w:rPr>
        <w:t xml:space="preserve"> 1</w:t>
      </w:r>
      <w:r w:rsidRPr="004542B5">
        <w:rPr>
          <w:rFonts w:cs="Tahoma"/>
          <w:noProof w:val="0"/>
          <w:szCs w:val="20"/>
          <w:lang w:val="en-US"/>
        </w:rPr>
        <w:t xml:space="preserve"> which referred, </w:t>
      </w:r>
      <w:r w:rsidR="005A0369" w:rsidRPr="004542B5">
        <w:rPr>
          <w:rFonts w:cs="Tahoma"/>
          <w:i/>
          <w:iCs/>
          <w:noProof w:val="0"/>
          <w:szCs w:val="20"/>
          <w:lang w:val="en-US"/>
        </w:rPr>
        <w:t>inter alia</w:t>
      </w:r>
      <w:r w:rsidRPr="004542B5">
        <w:rPr>
          <w:rFonts w:cs="Tahoma"/>
          <w:i/>
          <w:iCs/>
          <w:noProof w:val="0"/>
          <w:szCs w:val="20"/>
          <w:lang w:val="en-US"/>
        </w:rPr>
        <w:t>,</w:t>
      </w:r>
      <w:r w:rsidRPr="004542B5">
        <w:rPr>
          <w:rFonts w:cs="Tahoma"/>
          <w:noProof w:val="0"/>
          <w:szCs w:val="20"/>
          <w:lang w:val="en-US"/>
        </w:rPr>
        <w:t xml:space="preserve"> to meetings held </w:t>
      </w:r>
      <w:r w:rsidR="00E15D78" w:rsidRPr="004542B5">
        <w:rPr>
          <w:rFonts w:cs="Tahoma"/>
          <w:noProof w:val="0"/>
          <w:szCs w:val="20"/>
          <w:lang w:val="en-US"/>
        </w:rPr>
        <w:t xml:space="preserve">between </w:t>
      </w:r>
      <w:r w:rsidR="00776FF0" w:rsidRPr="004542B5">
        <w:rPr>
          <w:rFonts w:cs="Tahoma"/>
          <w:noProof w:val="0"/>
          <w:szCs w:val="20"/>
          <w:lang w:val="en-US"/>
        </w:rPr>
        <w:t>settlers</w:t>
      </w:r>
      <w:r w:rsidR="00581ADF" w:rsidRPr="004542B5">
        <w:rPr>
          <w:rFonts w:cs="Tahoma"/>
          <w:noProof w:val="0"/>
          <w:szCs w:val="20"/>
          <w:lang w:val="en-US"/>
        </w:rPr>
        <w:t>, ind</w:t>
      </w:r>
      <w:r w:rsidR="00E15D78" w:rsidRPr="004542B5">
        <w:rPr>
          <w:rFonts w:cs="Tahoma"/>
          <w:noProof w:val="0"/>
          <w:szCs w:val="20"/>
          <w:lang w:val="en-US"/>
        </w:rPr>
        <w:t>igenous peoples</w:t>
      </w:r>
      <w:r w:rsidR="00581ADF" w:rsidRPr="004542B5">
        <w:rPr>
          <w:rFonts w:cs="Tahoma"/>
          <w:noProof w:val="0"/>
          <w:szCs w:val="20"/>
          <w:lang w:val="en-US"/>
        </w:rPr>
        <w:t xml:space="preserve">, </w:t>
      </w:r>
      <w:r w:rsidR="00E15D78" w:rsidRPr="004542B5">
        <w:rPr>
          <w:rFonts w:cs="Tahoma"/>
          <w:noProof w:val="0"/>
          <w:szCs w:val="20"/>
          <w:lang w:val="en-US"/>
        </w:rPr>
        <w:t>the Corporation and state institutions</w:t>
      </w:r>
      <w:r w:rsidR="005A0369" w:rsidRPr="004542B5">
        <w:rPr>
          <w:rFonts w:cs="Tahoma"/>
          <w:noProof w:val="0"/>
          <w:szCs w:val="20"/>
          <w:lang w:val="en-US"/>
        </w:rPr>
        <w:t xml:space="preserve"> on October 22 and 27, 1994</w:t>
      </w:r>
      <w:r w:rsidR="00E15D78" w:rsidRPr="004542B5">
        <w:rPr>
          <w:rFonts w:cs="Tahoma"/>
          <w:noProof w:val="0"/>
          <w:szCs w:val="20"/>
          <w:lang w:val="en-US"/>
        </w:rPr>
        <w:t>, and prohibited the establishment of new settlements, as well as logging, burning</w:t>
      </w:r>
      <w:r w:rsidR="005A0369" w:rsidRPr="004542B5">
        <w:rPr>
          <w:rFonts w:cs="Tahoma"/>
          <w:noProof w:val="0"/>
          <w:szCs w:val="20"/>
          <w:lang w:val="en-US"/>
        </w:rPr>
        <w:t>,</w:t>
      </w:r>
      <w:r w:rsidR="00E15D78" w:rsidRPr="004542B5">
        <w:rPr>
          <w:rFonts w:cs="Tahoma"/>
          <w:noProof w:val="0"/>
          <w:szCs w:val="20"/>
          <w:lang w:val="en-US"/>
        </w:rPr>
        <w:t xml:space="preserve"> and expansion of the agricultural frontier in the upper catchment area of the Bayano.</w:t>
      </w:r>
      <w:r w:rsidR="00581ADF" w:rsidRPr="004542B5">
        <w:rPr>
          <w:rStyle w:val="FootnoteReference"/>
          <w:noProof w:val="0"/>
          <w:lang w:val="en-US"/>
        </w:rPr>
        <w:footnoteReference w:id="102"/>
      </w:r>
      <w:r w:rsidR="00581ADF" w:rsidRPr="004542B5">
        <w:rPr>
          <w:rFonts w:cs="Tahoma"/>
          <w:noProof w:val="0"/>
          <w:szCs w:val="20"/>
          <w:lang w:val="en-US"/>
        </w:rPr>
        <w:t xml:space="preserve"> </w:t>
      </w:r>
      <w:r w:rsidR="00E15D78" w:rsidRPr="004542B5">
        <w:rPr>
          <w:rFonts w:cs="Tahoma"/>
          <w:noProof w:val="0"/>
          <w:szCs w:val="20"/>
          <w:lang w:val="en-US"/>
        </w:rPr>
        <w:t>In this regard, on</w:t>
      </w:r>
      <w:r w:rsidR="00581ADF" w:rsidRPr="004542B5">
        <w:rPr>
          <w:rFonts w:cs="Tahoma"/>
          <w:noProof w:val="0"/>
          <w:szCs w:val="20"/>
          <w:lang w:val="en-US"/>
        </w:rPr>
        <w:t xml:space="preserve"> </w:t>
      </w:r>
      <w:r w:rsidR="00816749" w:rsidRPr="004542B5">
        <w:rPr>
          <w:rFonts w:cs="Tahoma"/>
          <w:noProof w:val="0"/>
          <w:szCs w:val="20"/>
          <w:lang w:val="en-US"/>
        </w:rPr>
        <w:t>December 13,</w:t>
      </w:r>
      <w:r w:rsidR="00581ADF" w:rsidRPr="004542B5">
        <w:rPr>
          <w:rFonts w:cs="Tahoma"/>
          <w:noProof w:val="0"/>
          <w:szCs w:val="20"/>
          <w:lang w:val="en-US"/>
        </w:rPr>
        <w:t xml:space="preserve"> 1994, </w:t>
      </w:r>
      <w:r w:rsidR="00816749" w:rsidRPr="004542B5">
        <w:rPr>
          <w:rFonts w:cs="Tahoma"/>
          <w:noProof w:val="0"/>
          <w:szCs w:val="20"/>
          <w:lang w:val="en-US"/>
        </w:rPr>
        <w:t>the Ministry of the Interior and Justice</w:t>
      </w:r>
      <w:r w:rsidR="00581ADF" w:rsidRPr="004542B5">
        <w:rPr>
          <w:rFonts w:cs="Tahoma"/>
          <w:noProof w:val="0"/>
          <w:szCs w:val="20"/>
          <w:lang w:val="en-US"/>
        </w:rPr>
        <w:t xml:space="preserve"> </w:t>
      </w:r>
      <w:r w:rsidR="00E15D78" w:rsidRPr="004542B5">
        <w:rPr>
          <w:rFonts w:cs="Tahoma"/>
          <w:noProof w:val="0"/>
          <w:szCs w:val="20"/>
          <w:lang w:val="en-US"/>
        </w:rPr>
        <w:t xml:space="preserve">contacted the </w:t>
      </w:r>
      <w:r w:rsidR="00DE3305" w:rsidRPr="004542B5">
        <w:rPr>
          <w:rFonts w:cs="Tahoma"/>
          <w:noProof w:val="0"/>
          <w:szCs w:val="20"/>
          <w:lang w:val="en-US"/>
        </w:rPr>
        <w:t>m</w:t>
      </w:r>
      <w:r w:rsidR="00E15D78" w:rsidRPr="004542B5">
        <w:rPr>
          <w:rFonts w:cs="Tahoma"/>
          <w:noProof w:val="0"/>
          <w:szCs w:val="20"/>
          <w:lang w:val="en-US"/>
        </w:rPr>
        <w:t>a</w:t>
      </w:r>
      <w:r w:rsidR="00DE3305" w:rsidRPr="004542B5">
        <w:rPr>
          <w:rFonts w:cs="Tahoma"/>
          <w:noProof w:val="0"/>
          <w:szCs w:val="20"/>
          <w:lang w:val="en-US"/>
        </w:rPr>
        <w:t>y</w:t>
      </w:r>
      <w:r w:rsidR="00E15D78" w:rsidRPr="004542B5">
        <w:rPr>
          <w:rFonts w:cs="Tahoma"/>
          <w:noProof w:val="0"/>
          <w:szCs w:val="20"/>
          <w:lang w:val="en-US"/>
        </w:rPr>
        <w:t>or of Chepo district asking him to take appropriate measures to ensure “strict compliance” with the said resolution.</w:t>
      </w:r>
      <w:r w:rsidR="00581ADF" w:rsidRPr="004542B5">
        <w:rPr>
          <w:rStyle w:val="FootnoteReference"/>
          <w:noProof w:val="0"/>
          <w:lang w:val="en-US"/>
        </w:rPr>
        <w:footnoteReference w:id="103"/>
      </w:r>
      <w:r w:rsidR="007B47B1" w:rsidRPr="004542B5">
        <w:rPr>
          <w:rFonts w:cs="Tahoma"/>
          <w:noProof w:val="0"/>
          <w:szCs w:val="20"/>
          <w:lang w:val="en-US"/>
        </w:rPr>
        <w:t xml:space="preserve"> </w:t>
      </w:r>
    </w:p>
    <w:p w14:paraId="224909FA" w14:textId="1245B8B5" w:rsidR="00DC5DDA" w:rsidRPr="004542B5" w:rsidRDefault="00E15D78" w:rsidP="00E15D78">
      <w:pPr>
        <w:pStyle w:val="ListParagraph"/>
        <w:numPr>
          <w:ilvl w:val="0"/>
          <w:numId w:val="2"/>
        </w:numPr>
        <w:spacing w:before="120"/>
        <w:contextualSpacing w:val="0"/>
        <w:rPr>
          <w:noProof w:val="0"/>
          <w:szCs w:val="20"/>
          <w:lang w:val="en-US"/>
        </w:rPr>
      </w:pPr>
      <w:r w:rsidRPr="004542B5">
        <w:rPr>
          <w:rFonts w:cs="Tahoma"/>
          <w:noProof w:val="0"/>
          <w:szCs w:val="20"/>
          <w:lang w:val="en-US"/>
        </w:rPr>
        <w:lastRenderedPageBreak/>
        <w:t xml:space="preserve">Subsequently, on January 3 and February 1, </w:t>
      </w:r>
      <w:r w:rsidR="00BA584C" w:rsidRPr="004542B5">
        <w:rPr>
          <w:noProof w:val="0"/>
          <w:szCs w:val="20"/>
          <w:lang w:val="en-US"/>
        </w:rPr>
        <w:t>1995</w:t>
      </w:r>
      <w:r w:rsidRPr="004542B5">
        <w:rPr>
          <w:noProof w:val="0"/>
          <w:szCs w:val="20"/>
          <w:lang w:val="en-US"/>
        </w:rPr>
        <w:t>, meetings were held between st</w:t>
      </w:r>
      <w:r w:rsidR="00E72147" w:rsidRPr="004542B5">
        <w:rPr>
          <w:noProof w:val="0"/>
          <w:szCs w:val="20"/>
          <w:lang w:val="en-US"/>
        </w:rPr>
        <w:t>a</w:t>
      </w:r>
      <w:r w:rsidRPr="004542B5">
        <w:rPr>
          <w:noProof w:val="0"/>
          <w:szCs w:val="20"/>
          <w:lang w:val="en-US"/>
        </w:rPr>
        <w:t xml:space="preserve">te authorities and indigenous representatives in which the bill for the creation of the Kuna Comarca was discussed and it was proposed, among other matters, that </w:t>
      </w:r>
      <w:r w:rsidR="00BA584C" w:rsidRPr="004542B5">
        <w:rPr>
          <w:noProof w:val="0"/>
          <w:szCs w:val="20"/>
          <w:lang w:val="en-US"/>
        </w:rPr>
        <w:t>“</w:t>
      </w:r>
      <w:r w:rsidR="00E72147" w:rsidRPr="004542B5">
        <w:rPr>
          <w:noProof w:val="0"/>
          <w:szCs w:val="20"/>
          <w:lang w:val="en-US"/>
        </w:rPr>
        <w:t>the</w:t>
      </w:r>
      <w:r w:rsidR="00BA584C" w:rsidRPr="004542B5">
        <w:rPr>
          <w:noProof w:val="0"/>
          <w:szCs w:val="20"/>
          <w:lang w:val="en-US"/>
        </w:rPr>
        <w:t xml:space="preserve"> </w:t>
      </w:r>
      <w:r w:rsidRPr="004542B5">
        <w:rPr>
          <w:noProof w:val="0"/>
          <w:szCs w:val="20"/>
          <w:lang w:val="en-US"/>
        </w:rPr>
        <w:t>s</w:t>
      </w:r>
      <w:r w:rsidR="00776FF0" w:rsidRPr="004542B5">
        <w:rPr>
          <w:noProof w:val="0"/>
          <w:szCs w:val="20"/>
          <w:lang w:val="en-US"/>
        </w:rPr>
        <w:t>ettlers</w:t>
      </w:r>
      <w:r w:rsidR="00BA584C" w:rsidRPr="004542B5">
        <w:rPr>
          <w:noProof w:val="0"/>
          <w:szCs w:val="20"/>
          <w:lang w:val="en-US"/>
        </w:rPr>
        <w:t xml:space="preserve"> s</w:t>
      </w:r>
      <w:r w:rsidRPr="004542B5">
        <w:rPr>
          <w:noProof w:val="0"/>
          <w:szCs w:val="20"/>
          <w:lang w:val="en-US"/>
        </w:rPr>
        <w:t>hould stay where they are subject to certain special conditions,” including that “they c[ould] not expand the agricultural frontier beyond where it is at present.” Subsequently, the representatives of the State, the indigenous peoples and the settlers signed an agreement accepting the proposal.</w:t>
      </w:r>
      <w:r w:rsidR="00BA584C" w:rsidRPr="004542B5">
        <w:rPr>
          <w:rStyle w:val="FootnoteReference"/>
          <w:noProof w:val="0"/>
          <w:lang w:val="en-US"/>
        </w:rPr>
        <w:footnoteReference w:id="104"/>
      </w:r>
      <w:r w:rsidR="007B47B1" w:rsidRPr="004542B5">
        <w:rPr>
          <w:noProof w:val="0"/>
          <w:szCs w:val="20"/>
          <w:lang w:val="en-US"/>
        </w:rPr>
        <w:t xml:space="preserve"> </w:t>
      </w:r>
      <w:r w:rsidRPr="004542B5">
        <w:rPr>
          <w:noProof w:val="0"/>
          <w:szCs w:val="20"/>
          <w:lang w:val="en-US"/>
        </w:rPr>
        <w:t xml:space="preserve">On July 18 that year, the Governor of the province of Panama communicated with the Mayor of Chepo district with regard to the obligation to comply “immediately” with a decision taken by the national Government “in April 1992” to evict the settlers from </w:t>
      </w:r>
      <w:r w:rsidR="00E72147" w:rsidRPr="004542B5">
        <w:rPr>
          <w:noProof w:val="0"/>
          <w:szCs w:val="20"/>
          <w:lang w:val="en-US"/>
        </w:rPr>
        <w:t xml:space="preserve">the </w:t>
      </w:r>
      <w:r w:rsidR="00E74A3B" w:rsidRPr="004542B5">
        <w:rPr>
          <w:noProof w:val="0"/>
          <w:szCs w:val="20"/>
          <w:lang w:val="en-US"/>
        </w:rPr>
        <w:t>Ipetí Emberá</w:t>
      </w:r>
      <w:r w:rsidRPr="004542B5">
        <w:rPr>
          <w:noProof w:val="0"/>
          <w:szCs w:val="20"/>
          <w:lang w:val="en-US"/>
        </w:rPr>
        <w:t xml:space="preserve"> and Kuna indigenous areas.</w:t>
      </w:r>
      <w:r w:rsidR="00BA584C" w:rsidRPr="004542B5">
        <w:rPr>
          <w:rStyle w:val="FootnoteReference"/>
          <w:noProof w:val="0"/>
          <w:lang w:val="en-US"/>
        </w:rPr>
        <w:footnoteReference w:id="105"/>
      </w:r>
      <w:r w:rsidR="00BA584C" w:rsidRPr="004542B5">
        <w:rPr>
          <w:noProof w:val="0"/>
          <w:szCs w:val="20"/>
          <w:lang w:val="en-US"/>
        </w:rPr>
        <w:t xml:space="preserve"> </w:t>
      </w:r>
      <w:r w:rsidRPr="004542B5">
        <w:rPr>
          <w:noProof w:val="0"/>
          <w:szCs w:val="20"/>
          <w:lang w:val="en-US"/>
        </w:rPr>
        <w:t>On January 12,</w:t>
      </w:r>
      <w:r w:rsidR="00BA584C" w:rsidRPr="004542B5">
        <w:rPr>
          <w:noProof w:val="0"/>
          <w:szCs w:val="20"/>
          <w:lang w:val="en-US"/>
        </w:rPr>
        <w:t xml:space="preserve"> 1996</w:t>
      </w:r>
      <w:r w:rsidRPr="004542B5">
        <w:rPr>
          <w:noProof w:val="0"/>
          <w:szCs w:val="20"/>
          <w:lang w:val="en-US"/>
        </w:rPr>
        <w:t>, Law N</w:t>
      </w:r>
      <w:r w:rsidR="00E72147" w:rsidRPr="004542B5">
        <w:rPr>
          <w:noProof w:val="0"/>
          <w:szCs w:val="20"/>
          <w:lang w:val="en-US"/>
        </w:rPr>
        <w:t>o</w:t>
      </w:r>
      <w:r w:rsidRPr="004542B5">
        <w:rPr>
          <w:noProof w:val="0"/>
          <w:szCs w:val="20"/>
          <w:lang w:val="en-US"/>
        </w:rPr>
        <w:t>. 24 was enacted creating the Kuna Comarca</w:t>
      </w:r>
      <w:r w:rsidR="00062479" w:rsidRPr="004542B5">
        <w:rPr>
          <w:rStyle w:val="FootnoteReference"/>
          <w:noProof w:val="0"/>
          <w:lang w:val="en-US"/>
        </w:rPr>
        <w:footnoteReference w:id="106"/>
      </w:r>
      <w:r w:rsidR="00BA584C" w:rsidRPr="004542B5">
        <w:rPr>
          <w:noProof w:val="0"/>
          <w:szCs w:val="20"/>
          <w:lang w:val="en-US"/>
        </w:rPr>
        <w:t xml:space="preserve"> </w:t>
      </w:r>
      <w:r w:rsidRPr="004542B5">
        <w:rPr>
          <w:noProof w:val="0"/>
          <w:szCs w:val="20"/>
          <w:lang w:val="en-US"/>
        </w:rPr>
        <w:t xml:space="preserve">over an area of approximately </w:t>
      </w:r>
      <w:r w:rsidR="00BA584C" w:rsidRPr="004542B5">
        <w:rPr>
          <w:noProof w:val="0"/>
          <w:szCs w:val="20"/>
          <w:lang w:val="en-US"/>
        </w:rPr>
        <w:t>1,800 km</w:t>
      </w:r>
      <w:r w:rsidR="00BA584C" w:rsidRPr="004542B5">
        <w:rPr>
          <w:noProof w:val="0"/>
          <w:szCs w:val="20"/>
          <w:vertAlign w:val="superscript"/>
          <w:lang w:val="en-US"/>
        </w:rPr>
        <w:t>2</w:t>
      </w:r>
      <w:r w:rsidR="00BA584C" w:rsidRPr="004542B5">
        <w:rPr>
          <w:noProof w:val="0"/>
          <w:szCs w:val="20"/>
          <w:lang w:val="en-US"/>
        </w:rPr>
        <w:t>.</w:t>
      </w:r>
    </w:p>
    <w:p w14:paraId="67106FE5" w14:textId="3D5C2188" w:rsidR="003B7977" w:rsidRPr="004542B5" w:rsidRDefault="005115A6" w:rsidP="00E01664">
      <w:pPr>
        <w:pStyle w:val="Heading2"/>
        <w:rPr>
          <w:rFonts w:cs="Tahoma"/>
          <w:b w:val="0"/>
          <w:noProof w:val="0"/>
          <w:lang w:val="en-US"/>
        </w:rPr>
      </w:pPr>
      <w:bookmarkStart w:id="214" w:name="_Toc383161753"/>
      <w:bookmarkStart w:id="215" w:name="_Toc383188382"/>
      <w:bookmarkStart w:id="216" w:name="_Toc45200876"/>
      <w:r w:rsidRPr="004542B5">
        <w:rPr>
          <w:rFonts w:cs="Tahoma"/>
          <w:noProof w:val="0"/>
          <w:lang w:val="en-US"/>
        </w:rPr>
        <w:t>Negotiation Tables</w:t>
      </w:r>
      <w:r w:rsidR="007B47B1" w:rsidRPr="004542B5">
        <w:rPr>
          <w:rFonts w:cs="Tahoma"/>
          <w:noProof w:val="0"/>
          <w:lang w:val="en-US"/>
        </w:rPr>
        <w:t xml:space="preserve"> </w:t>
      </w:r>
      <w:r w:rsidR="00E26703" w:rsidRPr="004542B5">
        <w:rPr>
          <w:rFonts w:cs="Tahoma"/>
          <w:noProof w:val="0"/>
          <w:lang w:val="en-US"/>
        </w:rPr>
        <w:t xml:space="preserve">of the </w:t>
      </w:r>
      <w:r w:rsidR="00982EC9" w:rsidRPr="004542B5">
        <w:rPr>
          <w:rFonts w:cs="Tahoma"/>
          <w:noProof w:val="0"/>
          <w:lang w:val="en-US"/>
        </w:rPr>
        <w:t>Darien</w:t>
      </w:r>
      <w:r w:rsidR="004D0B27" w:rsidRPr="004542B5">
        <w:rPr>
          <w:rFonts w:cs="Tahoma"/>
          <w:noProof w:val="0"/>
          <w:lang w:val="en-US"/>
        </w:rPr>
        <w:t xml:space="preserve"> Sustainable Development Program</w:t>
      </w:r>
      <w:r w:rsidR="007B47B1" w:rsidRPr="004542B5">
        <w:rPr>
          <w:rFonts w:cs="Tahoma"/>
          <w:noProof w:val="0"/>
          <w:lang w:val="en-US"/>
        </w:rPr>
        <w:t xml:space="preserve"> (1996-2001)</w:t>
      </w:r>
      <w:bookmarkEnd w:id="214"/>
      <w:bookmarkEnd w:id="215"/>
      <w:r w:rsidR="00CD2B90" w:rsidRPr="004542B5">
        <w:rPr>
          <w:rFonts w:cs="Tahoma"/>
          <w:noProof w:val="0"/>
          <w:lang w:val="en-US"/>
        </w:rPr>
        <w:t xml:space="preserve"> and </w:t>
      </w:r>
      <w:r w:rsidR="00B201CC" w:rsidRPr="004542B5">
        <w:rPr>
          <w:rFonts w:cs="Tahoma"/>
          <w:noProof w:val="0"/>
          <w:lang w:val="en-US"/>
        </w:rPr>
        <w:t xml:space="preserve">demarcation of the Kuna Comarca of </w:t>
      </w:r>
      <w:r w:rsidR="00E26703" w:rsidRPr="004542B5">
        <w:rPr>
          <w:rFonts w:cs="Tahoma"/>
          <w:noProof w:val="0"/>
          <w:lang w:val="en-US"/>
        </w:rPr>
        <w:t>Madungandí</w:t>
      </w:r>
      <w:bookmarkEnd w:id="216"/>
    </w:p>
    <w:p w14:paraId="7CA1873E" w14:textId="2505460D" w:rsidR="007A18E9" w:rsidRPr="004542B5" w:rsidRDefault="004D0B27" w:rsidP="004D0B27">
      <w:pPr>
        <w:pStyle w:val="ListParagraph"/>
        <w:numPr>
          <w:ilvl w:val="0"/>
          <w:numId w:val="2"/>
        </w:numPr>
        <w:spacing w:before="120"/>
        <w:contextualSpacing w:val="0"/>
        <w:rPr>
          <w:noProof w:val="0"/>
          <w:szCs w:val="20"/>
          <w:lang w:val="en-US"/>
        </w:rPr>
      </w:pPr>
      <w:r w:rsidRPr="004542B5">
        <w:rPr>
          <w:rFonts w:cs="Tahoma"/>
          <w:noProof w:val="0"/>
          <w:szCs w:val="20"/>
          <w:lang w:val="en-US"/>
        </w:rPr>
        <w:t>Coexistence between the indigenous peoples and the settlers remained tense</w:t>
      </w:r>
      <w:r w:rsidR="00BA584C" w:rsidRPr="004542B5">
        <w:rPr>
          <w:rStyle w:val="FootnoteReference"/>
          <w:noProof w:val="0"/>
          <w:lang w:val="en-US"/>
        </w:rPr>
        <w:footnoteReference w:id="107"/>
      </w:r>
      <w:r w:rsidR="00CD2B90" w:rsidRPr="004542B5">
        <w:rPr>
          <w:rFonts w:cs="Tahoma"/>
          <w:noProof w:val="0"/>
          <w:szCs w:val="20"/>
          <w:lang w:val="en-US"/>
        </w:rPr>
        <w:t xml:space="preserve"> and</w:t>
      </w:r>
      <w:r w:rsidRPr="004542B5">
        <w:rPr>
          <w:rFonts w:cs="Tahoma"/>
          <w:noProof w:val="0"/>
          <w:szCs w:val="20"/>
          <w:lang w:val="en-US"/>
        </w:rPr>
        <w:t>, in August 1996, members of the Kuna people blocked the Pan-American Highway, and were involved in confrontations with the National Police.</w:t>
      </w:r>
      <w:r w:rsidR="00BA584C" w:rsidRPr="004542B5">
        <w:rPr>
          <w:rStyle w:val="FootnoteReference"/>
          <w:noProof w:val="0"/>
          <w:lang w:val="en-US"/>
        </w:rPr>
        <w:footnoteReference w:id="108"/>
      </w:r>
      <w:r w:rsidR="00BA584C" w:rsidRPr="004542B5">
        <w:rPr>
          <w:rFonts w:cs="Tahoma"/>
          <w:noProof w:val="0"/>
          <w:szCs w:val="20"/>
          <w:lang w:val="en-US"/>
        </w:rPr>
        <w:t xml:space="preserve"> </w:t>
      </w:r>
      <w:r w:rsidRPr="004542B5">
        <w:rPr>
          <w:rFonts w:cs="Tahoma"/>
          <w:noProof w:val="0"/>
          <w:szCs w:val="20"/>
          <w:lang w:val="en-US"/>
        </w:rPr>
        <w:t>On August</w:t>
      </w:r>
      <w:r w:rsidR="00BA584C" w:rsidRPr="004542B5">
        <w:rPr>
          <w:rFonts w:cs="Tahoma"/>
          <w:noProof w:val="0"/>
          <w:szCs w:val="20"/>
          <w:lang w:val="en-US"/>
        </w:rPr>
        <w:t xml:space="preserve"> 8</w:t>
      </w:r>
      <w:r w:rsidR="00CD2B90" w:rsidRPr="004542B5">
        <w:rPr>
          <w:rFonts w:cs="Tahoma"/>
          <w:noProof w:val="0"/>
          <w:szCs w:val="20"/>
          <w:lang w:val="en-US"/>
        </w:rPr>
        <w:t xml:space="preserve"> and </w:t>
      </w:r>
      <w:r w:rsidR="00BA584C" w:rsidRPr="004542B5">
        <w:rPr>
          <w:rFonts w:cs="Tahoma"/>
          <w:noProof w:val="0"/>
          <w:szCs w:val="20"/>
          <w:lang w:val="en-US"/>
        </w:rPr>
        <w:t>29</w:t>
      </w:r>
      <w:r w:rsidRPr="004542B5">
        <w:rPr>
          <w:rFonts w:cs="Tahoma"/>
          <w:noProof w:val="0"/>
          <w:szCs w:val="20"/>
          <w:lang w:val="en-US"/>
        </w:rPr>
        <w:t xml:space="preserve">, </w:t>
      </w:r>
      <w:r w:rsidR="00BA584C" w:rsidRPr="004542B5">
        <w:rPr>
          <w:rFonts w:cs="Tahoma"/>
          <w:noProof w:val="0"/>
          <w:szCs w:val="20"/>
          <w:lang w:val="en-US"/>
        </w:rPr>
        <w:t>1996</w:t>
      </w:r>
      <w:r w:rsidRPr="004542B5">
        <w:rPr>
          <w:rFonts w:cs="Tahoma"/>
          <w:noProof w:val="0"/>
          <w:szCs w:val="20"/>
          <w:lang w:val="en-US"/>
        </w:rPr>
        <w:t>, meetings were held during which a working agenda</w:t>
      </w:r>
      <w:r w:rsidR="00E72147" w:rsidRPr="004542B5">
        <w:rPr>
          <w:rFonts w:cs="Tahoma"/>
          <w:noProof w:val="0"/>
          <w:szCs w:val="20"/>
          <w:lang w:val="en-US"/>
        </w:rPr>
        <w:t xml:space="preserve"> was agreed on</w:t>
      </w:r>
      <w:r w:rsidRPr="004542B5">
        <w:rPr>
          <w:rFonts w:cs="Tahoma"/>
          <w:noProof w:val="0"/>
          <w:szCs w:val="20"/>
          <w:lang w:val="en-US"/>
        </w:rPr>
        <w:t xml:space="preserve"> for an interinstitutional commission to verify on-site the changes that had occurred owing to the arrival of new settlers. On December 16, 1996, a meeting was held between the Minister and the Vice Minister of the Interior and Justice, the Governor of the province of Panama, the Mayor of Chepo, </w:t>
      </w:r>
      <w:r w:rsidR="00CD2B90" w:rsidRPr="004542B5">
        <w:rPr>
          <w:noProof w:val="0"/>
          <w:szCs w:val="20"/>
          <w:lang w:val="en-US"/>
        </w:rPr>
        <w:t xml:space="preserve">and </w:t>
      </w:r>
      <w:r w:rsidR="00562CBB" w:rsidRPr="004542B5">
        <w:rPr>
          <w:rFonts w:cs="Tahoma"/>
          <w:noProof w:val="0"/>
          <w:szCs w:val="20"/>
          <w:lang w:val="en-US"/>
        </w:rPr>
        <w:t>the representatives</w:t>
      </w:r>
      <w:r w:rsidRPr="004542B5">
        <w:rPr>
          <w:noProof w:val="0"/>
          <w:szCs w:val="20"/>
          <w:lang w:val="en-US"/>
        </w:rPr>
        <w:t xml:space="preserve"> of the </w:t>
      </w:r>
      <w:r w:rsidR="008C4E08" w:rsidRPr="004542B5">
        <w:rPr>
          <w:noProof w:val="0"/>
          <w:szCs w:val="20"/>
          <w:lang w:val="en-US"/>
        </w:rPr>
        <w:t xml:space="preserve">Kuna </w:t>
      </w:r>
      <w:r w:rsidRPr="004542B5">
        <w:rPr>
          <w:noProof w:val="0"/>
          <w:szCs w:val="20"/>
          <w:lang w:val="en-US"/>
        </w:rPr>
        <w:t>Comarca</w:t>
      </w:r>
      <w:r w:rsidR="00E72147" w:rsidRPr="004542B5">
        <w:rPr>
          <w:noProof w:val="0"/>
          <w:szCs w:val="20"/>
          <w:lang w:val="en-US"/>
        </w:rPr>
        <w:t>.</w:t>
      </w:r>
      <w:r w:rsidRPr="004542B5">
        <w:rPr>
          <w:noProof w:val="0"/>
          <w:szCs w:val="20"/>
          <w:lang w:val="en-US"/>
        </w:rPr>
        <w:t xml:space="preserve"> </w:t>
      </w:r>
      <w:r w:rsidR="00E72147" w:rsidRPr="004542B5">
        <w:rPr>
          <w:noProof w:val="0"/>
          <w:szCs w:val="20"/>
          <w:lang w:val="en-US"/>
        </w:rPr>
        <w:t>O</w:t>
      </w:r>
      <w:r w:rsidRPr="004542B5">
        <w:rPr>
          <w:noProof w:val="0"/>
          <w:szCs w:val="20"/>
          <w:lang w:val="en-US"/>
        </w:rPr>
        <w:t xml:space="preserve">ne of its conclusions was that “[t]he Government undertook to take the necessary steps and legal measures to ensure that individuals identified as settlers </w:t>
      </w:r>
      <w:r w:rsidR="00E72147" w:rsidRPr="004542B5">
        <w:rPr>
          <w:noProof w:val="0"/>
          <w:szCs w:val="20"/>
          <w:lang w:val="en-US"/>
        </w:rPr>
        <w:t xml:space="preserve">and </w:t>
      </w:r>
      <w:r w:rsidRPr="004542B5">
        <w:rPr>
          <w:noProof w:val="0"/>
          <w:szCs w:val="20"/>
          <w:lang w:val="en-US"/>
        </w:rPr>
        <w:t>who were in the Comarca illegally would be evicted by January 30,</w:t>
      </w:r>
      <w:r w:rsidR="00BA584C" w:rsidRPr="004542B5">
        <w:rPr>
          <w:noProof w:val="0"/>
          <w:szCs w:val="20"/>
          <w:lang w:val="en-US"/>
        </w:rPr>
        <w:t xml:space="preserve"> 1997</w:t>
      </w:r>
      <w:r w:rsidRPr="004542B5">
        <w:rPr>
          <w:noProof w:val="0"/>
          <w:szCs w:val="20"/>
          <w:lang w:val="en-US"/>
        </w:rPr>
        <w:t>.</w:t>
      </w:r>
      <w:r w:rsidR="00BA584C" w:rsidRPr="004542B5">
        <w:rPr>
          <w:noProof w:val="0"/>
          <w:szCs w:val="20"/>
          <w:lang w:val="en-US"/>
        </w:rPr>
        <w:t>”</w:t>
      </w:r>
      <w:r w:rsidR="00BA584C" w:rsidRPr="004542B5">
        <w:rPr>
          <w:rStyle w:val="FootnoteReference"/>
          <w:noProof w:val="0"/>
          <w:lang w:val="en-US"/>
        </w:rPr>
        <w:footnoteReference w:id="109"/>
      </w:r>
    </w:p>
    <w:p w14:paraId="5BCE5AAB" w14:textId="7ED910D6" w:rsidR="00DC5DDA" w:rsidRPr="004542B5" w:rsidRDefault="004D0B27" w:rsidP="00E01664">
      <w:pPr>
        <w:pStyle w:val="ListParagraph"/>
        <w:numPr>
          <w:ilvl w:val="0"/>
          <w:numId w:val="2"/>
        </w:numPr>
        <w:spacing w:before="120"/>
        <w:contextualSpacing w:val="0"/>
        <w:rPr>
          <w:noProof w:val="0"/>
          <w:szCs w:val="20"/>
          <w:lang w:val="en-US"/>
        </w:rPr>
      </w:pPr>
      <w:r w:rsidRPr="004542B5">
        <w:rPr>
          <w:noProof w:val="0"/>
          <w:szCs w:val="20"/>
          <w:lang w:val="en-US"/>
        </w:rPr>
        <w:t xml:space="preserve">Another meeting was held on December 17, 1997, </w:t>
      </w:r>
      <w:r w:rsidR="008C4E08" w:rsidRPr="004542B5">
        <w:rPr>
          <w:noProof w:val="0"/>
          <w:szCs w:val="20"/>
          <w:lang w:val="en-US"/>
        </w:rPr>
        <w:t>between state authorities, settlers and indigenous peoples, during which the latter asserted that the problem</w:t>
      </w:r>
      <w:r w:rsidR="00E72147" w:rsidRPr="004542B5">
        <w:rPr>
          <w:noProof w:val="0"/>
          <w:szCs w:val="20"/>
          <w:lang w:val="en-US"/>
        </w:rPr>
        <w:t>s</w:t>
      </w:r>
      <w:r w:rsidR="008C4E08" w:rsidRPr="004542B5">
        <w:rPr>
          <w:noProof w:val="0"/>
          <w:szCs w:val="20"/>
          <w:lang w:val="en-US"/>
        </w:rPr>
        <w:t xml:space="preserve"> had </w:t>
      </w:r>
      <w:r w:rsidR="00E72147" w:rsidRPr="004542B5">
        <w:rPr>
          <w:noProof w:val="0"/>
          <w:szCs w:val="20"/>
          <w:lang w:val="en-US"/>
        </w:rPr>
        <w:t>intensified</w:t>
      </w:r>
      <w:r w:rsidR="008C4E08" w:rsidRPr="004542B5">
        <w:rPr>
          <w:noProof w:val="0"/>
          <w:szCs w:val="20"/>
          <w:lang w:val="en-US"/>
        </w:rPr>
        <w:t>, referring to violations of the agreements that had been signed.</w:t>
      </w:r>
      <w:r w:rsidR="00BA584C" w:rsidRPr="004542B5">
        <w:rPr>
          <w:rStyle w:val="FootnoteReference"/>
          <w:noProof w:val="0"/>
          <w:lang w:val="en-US"/>
        </w:rPr>
        <w:footnoteReference w:id="110"/>
      </w:r>
      <w:r w:rsidR="007B47B1" w:rsidRPr="004542B5">
        <w:rPr>
          <w:noProof w:val="0"/>
          <w:szCs w:val="20"/>
          <w:lang w:val="en-US"/>
        </w:rPr>
        <w:t xml:space="preserve"> </w:t>
      </w:r>
    </w:p>
    <w:p w14:paraId="167949C9" w14:textId="378084D5" w:rsidR="00BA584C" w:rsidRPr="004542B5" w:rsidRDefault="008C4E08" w:rsidP="00493F1E">
      <w:pPr>
        <w:pStyle w:val="ListParagraph"/>
        <w:numPr>
          <w:ilvl w:val="0"/>
          <w:numId w:val="2"/>
        </w:numPr>
        <w:spacing w:before="120"/>
        <w:contextualSpacing w:val="0"/>
        <w:rPr>
          <w:noProof w:val="0"/>
          <w:szCs w:val="20"/>
          <w:lang w:val="en-US"/>
        </w:rPr>
      </w:pPr>
      <w:r w:rsidRPr="004542B5">
        <w:rPr>
          <w:noProof w:val="0"/>
          <w:szCs w:val="20"/>
          <w:lang w:val="en-US"/>
        </w:rPr>
        <w:lastRenderedPageBreak/>
        <w:t>On June 13,</w:t>
      </w:r>
      <w:r w:rsidR="00BA584C" w:rsidRPr="004542B5">
        <w:rPr>
          <w:noProof w:val="0"/>
          <w:szCs w:val="20"/>
          <w:lang w:val="en-US"/>
        </w:rPr>
        <w:t xml:space="preserve"> 1999</w:t>
      </w:r>
      <w:r w:rsidRPr="004542B5">
        <w:rPr>
          <w:noProof w:val="0"/>
          <w:szCs w:val="20"/>
          <w:lang w:val="en-US"/>
        </w:rPr>
        <w:t>, the Kuna General Congress</w:t>
      </w:r>
      <w:r w:rsidR="00BA584C" w:rsidRPr="004542B5">
        <w:rPr>
          <w:noProof w:val="0"/>
          <w:szCs w:val="20"/>
          <w:lang w:val="en-US"/>
        </w:rPr>
        <w:t xml:space="preserve"> </w:t>
      </w:r>
      <w:r w:rsidRPr="004542B5">
        <w:rPr>
          <w:noProof w:val="0"/>
          <w:szCs w:val="20"/>
          <w:lang w:val="en-US"/>
        </w:rPr>
        <w:t xml:space="preserve">issued a resolution demanding that the Panamanian authorities comply with </w:t>
      </w:r>
      <w:r w:rsidR="0033788F" w:rsidRPr="004542B5">
        <w:rPr>
          <w:noProof w:val="0"/>
          <w:szCs w:val="20"/>
          <w:lang w:val="en-US"/>
        </w:rPr>
        <w:t>Law</w:t>
      </w:r>
      <w:r w:rsidR="00BA584C" w:rsidRPr="004542B5">
        <w:rPr>
          <w:noProof w:val="0"/>
          <w:szCs w:val="20"/>
          <w:lang w:val="en-US"/>
        </w:rPr>
        <w:t xml:space="preserve"> 24 </w:t>
      </w:r>
      <w:r w:rsidRPr="004542B5">
        <w:rPr>
          <w:noProof w:val="0"/>
          <w:szCs w:val="20"/>
          <w:lang w:val="en-US"/>
        </w:rPr>
        <w:t>of</w:t>
      </w:r>
      <w:r w:rsidR="00BA584C" w:rsidRPr="004542B5">
        <w:rPr>
          <w:noProof w:val="0"/>
          <w:szCs w:val="20"/>
          <w:lang w:val="en-US"/>
        </w:rPr>
        <w:t xml:space="preserve"> 1996</w:t>
      </w:r>
      <w:r w:rsidRPr="004542B5">
        <w:rPr>
          <w:noProof w:val="0"/>
          <w:szCs w:val="20"/>
          <w:lang w:val="en-US"/>
        </w:rPr>
        <w:t xml:space="preserve"> and, among other matters, evict all the settlers who were within </w:t>
      </w:r>
      <w:r w:rsidR="004D0B27" w:rsidRPr="004542B5">
        <w:rPr>
          <w:noProof w:val="0"/>
          <w:szCs w:val="20"/>
          <w:lang w:val="en-US"/>
        </w:rPr>
        <w:t xml:space="preserve">the </w:t>
      </w:r>
      <w:r w:rsidRPr="004542B5">
        <w:rPr>
          <w:noProof w:val="0"/>
          <w:szCs w:val="20"/>
          <w:lang w:val="en-US"/>
        </w:rPr>
        <w:t xml:space="preserve">Kuna </w:t>
      </w:r>
      <w:r w:rsidR="004D0B27" w:rsidRPr="004542B5">
        <w:rPr>
          <w:noProof w:val="0"/>
          <w:szCs w:val="20"/>
          <w:lang w:val="en-US"/>
        </w:rPr>
        <w:t>Comarca</w:t>
      </w:r>
      <w:r w:rsidRPr="004542B5">
        <w:rPr>
          <w:noProof w:val="0"/>
          <w:szCs w:val="20"/>
          <w:lang w:val="en-US"/>
        </w:rPr>
        <w:t>.</w:t>
      </w:r>
      <w:r w:rsidR="00BA584C" w:rsidRPr="004542B5">
        <w:rPr>
          <w:rStyle w:val="FootnoteReference"/>
          <w:noProof w:val="0"/>
          <w:lang w:val="en-US"/>
        </w:rPr>
        <w:footnoteReference w:id="111"/>
      </w:r>
      <w:r w:rsidR="00BA584C" w:rsidRPr="004542B5">
        <w:rPr>
          <w:noProof w:val="0"/>
          <w:szCs w:val="20"/>
          <w:lang w:val="en-US"/>
        </w:rPr>
        <w:t xml:space="preserve"> </w:t>
      </w:r>
      <w:r w:rsidRPr="004542B5">
        <w:rPr>
          <w:noProof w:val="0"/>
          <w:szCs w:val="20"/>
          <w:lang w:val="en-US"/>
        </w:rPr>
        <w:t>O</w:t>
      </w:r>
      <w:r w:rsidR="00707075" w:rsidRPr="004542B5">
        <w:rPr>
          <w:noProof w:val="0"/>
          <w:szCs w:val="20"/>
          <w:lang w:val="en-US"/>
        </w:rPr>
        <w:t>n</w:t>
      </w:r>
      <w:r w:rsidRPr="004542B5">
        <w:rPr>
          <w:noProof w:val="0"/>
          <w:szCs w:val="20"/>
          <w:lang w:val="en-US"/>
        </w:rPr>
        <w:t xml:space="preserve"> July 21,</w:t>
      </w:r>
      <w:r w:rsidR="00BA584C" w:rsidRPr="004542B5">
        <w:rPr>
          <w:noProof w:val="0"/>
          <w:szCs w:val="20"/>
          <w:lang w:val="en-US"/>
        </w:rPr>
        <w:t xml:space="preserve"> 1999</w:t>
      </w:r>
      <w:r w:rsidRPr="004542B5">
        <w:rPr>
          <w:noProof w:val="0"/>
          <w:szCs w:val="20"/>
          <w:lang w:val="en-US"/>
        </w:rPr>
        <w:t>, a meeting was held between several state authorities “to seek a definitive solution to the land dispute between the Kuna indigenous people of Madungandí and the peasants who had migrated from the central p</w:t>
      </w:r>
      <w:r w:rsidR="00707075" w:rsidRPr="004542B5">
        <w:rPr>
          <w:noProof w:val="0"/>
          <w:szCs w:val="20"/>
          <w:lang w:val="en-US"/>
        </w:rPr>
        <w:t>r</w:t>
      </w:r>
      <w:r w:rsidRPr="004542B5">
        <w:rPr>
          <w:noProof w:val="0"/>
          <w:szCs w:val="20"/>
          <w:lang w:val="en-US"/>
        </w:rPr>
        <w:t>ovinces, settling in the communities</w:t>
      </w:r>
      <w:r w:rsidR="00BA584C" w:rsidRPr="004542B5">
        <w:rPr>
          <w:noProof w:val="0"/>
          <w:szCs w:val="20"/>
          <w:lang w:val="en-US"/>
        </w:rPr>
        <w:t xml:space="preserve"> </w:t>
      </w:r>
      <w:r w:rsidR="00493F1E" w:rsidRPr="004542B5">
        <w:rPr>
          <w:noProof w:val="0"/>
          <w:szCs w:val="20"/>
          <w:lang w:val="en-US"/>
        </w:rPr>
        <w:t xml:space="preserve">of </w:t>
      </w:r>
      <w:r w:rsidR="00BA584C" w:rsidRPr="004542B5">
        <w:rPr>
          <w:noProof w:val="0"/>
          <w:szCs w:val="20"/>
          <w:lang w:val="en-US"/>
        </w:rPr>
        <w:t>Wacuco, Loma Bonita</w:t>
      </w:r>
      <w:r w:rsidR="00CD2B90" w:rsidRPr="004542B5">
        <w:rPr>
          <w:noProof w:val="0"/>
          <w:szCs w:val="20"/>
          <w:lang w:val="en-US"/>
        </w:rPr>
        <w:t xml:space="preserve"> and </w:t>
      </w:r>
      <w:r w:rsidR="00BA584C" w:rsidRPr="004542B5">
        <w:rPr>
          <w:noProof w:val="0"/>
          <w:szCs w:val="20"/>
          <w:lang w:val="en-US"/>
        </w:rPr>
        <w:t>Curtí”</w:t>
      </w:r>
      <w:r w:rsidR="00CD2B90" w:rsidRPr="004542B5">
        <w:rPr>
          <w:noProof w:val="0"/>
          <w:szCs w:val="20"/>
          <w:lang w:val="en-US"/>
        </w:rPr>
        <w:t xml:space="preserve"> and </w:t>
      </w:r>
      <w:r w:rsidR="00BA584C" w:rsidRPr="004542B5">
        <w:rPr>
          <w:noProof w:val="0"/>
          <w:szCs w:val="20"/>
          <w:lang w:val="en-US"/>
        </w:rPr>
        <w:t>“[</w:t>
      </w:r>
      <w:r w:rsidR="00493F1E" w:rsidRPr="004542B5">
        <w:rPr>
          <w:noProof w:val="0"/>
          <w:szCs w:val="20"/>
          <w:lang w:val="en-US"/>
        </w:rPr>
        <w:t>t</w:t>
      </w:r>
      <w:r w:rsidR="00BA584C" w:rsidRPr="004542B5">
        <w:rPr>
          <w:noProof w:val="0"/>
          <w:szCs w:val="20"/>
          <w:lang w:val="en-US"/>
        </w:rPr>
        <w:t>]</w:t>
      </w:r>
      <w:r w:rsidR="00493F1E" w:rsidRPr="004542B5">
        <w:rPr>
          <w:noProof w:val="0"/>
          <w:szCs w:val="20"/>
          <w:lang w:val="en-US"/>
        </w:rPr>
        <w:t xml:space="preserve">o unify the Government’s position in order to lead the two parties in conflict to a lasting agreement, and therefore setting up the </w:t>
      </w:r>
      <w:r w:rsidR="005115A6" w:rsidRPr="004542B5">
        <w:rPr>
          <w:noProof w:val="0"/>
          <w:szCs w:val="20"/>
          <w:lang w:val="en-US"/>
        </w:rPr>
        <w:t>Negotiation Table</w:t>
      </w:r>
      <w:r w:rsidR="00493F1E" w:rsidRPr="004542B5">
        <w:rPr>
          <w:noProof w:val="0"/>
          <w:szCs w:val="20"/>
          <w:lang w:val="en-US"/>
        </w:rPr>
        <w:t>.</w:t>
      </w:r>
      <w:r w:rsidR="00BA584C" w:rsidRPr="004542B5">
        <w:rPr>
          <w:noProof w:val="0"/>
          <w:szCs w:val="20"/>
          <w:lang w:val="en-US"/>
        </w:rPr>
        <w:t>”</w:t>
      </w:r>
      <w:r w:rsidR="00BA584C" w:rsidRPr="004542B5">
        <w:rPr>
          <w:rStyle w:val="FootnoteReference"/>
          <w:noProof w:val="0"/>
          <w:lang w:val="en-US"/>
        </w:rPr>
        <w:footnoteReference w:id="112"/>
      </w:r>
      <w:r w:rsidR="00493F1E" w:rsidRPr="004542B5">
        <w:rPr>
          <w:noProof w:val="0"/>
          <w:szCs w:val="20"/>
          <w:lang w:val="en-US"/>
        </w:rPr>
        <w:t xml:space="preserve"> In this regard the Ministry of Economy and Finance, through the </w:t>
      </w:r>
      <w:r w:rsidR="00982EC9" w:rsidRPr="004542B5">
        <w:rPr>
          <w:noProof w:val="0"/>
          <w:szCs w:val="20"/>
          <w:lang w:val="en-US"/>
        </w:rPr>
        <w:t>Darien</w:t>
      </w:r>
      <w:r w:rsidR="00493F1E" w:rsidRPr="004542B5">
        <w:rPr>
          <w:noProof w:val="0"/>
          <w:szCs w:val="20"/>
          <w:lang w:val="en-US"/>
        </w:rPr>
        <w:t xml:space="preserve"> Sustainable Development Program</w:t>
      </w:r>
      <w:r w:rsidR="00707075" w:rsidRPr="004542B5">
        <w:rPr>
          <w:noProof w:val="0"/>
          <w:szCs w:val="20"/>
          <w:lang w:val="en-US"/>
        </w:rPr>
        <w:t>,</w:t>
      </w:r>
      <w:r w:rsidR="00493F1E" w:rsidRPr="004542B5">
        <w:rPr>
          <w:noProof w:val="0"/>
          <w:szCs w:val="20"/>
          <w:lang w:val="en-US"/>
        </w:rPr>
        <w:t xml:space="preserve"> organized two</w:t>
      </w:r>
      <w:r w:rsidR="00BA584C" w:rsidRPr="004542B5">
        <w:rPr>
          <w:noProof w:val="0"/>
          <w:szCs w:val="20"/>
          <w:lang w:val="en-US"/>
        </w:rPr>
        <w:t xml:space="preserve"> “</w:t>
      </w:r>
      <w:r w:rsidR="00493F1E" w:rsidRPr="004542B5">
        <w:rPr>
          <w:noProof w:val="0"/>
          <w:szCs w:val="20"/>
          <w:lang w:val="en-US"/>
        </w:rPr>
        <w:t xml:space="preserve">Bayano </w:t>
      </w:r>
      <w:r w:rsidR="005115A6" w:rsidRPr="004542B5">
        <w:rPr>
          <w:noProof w:val="0"/>
          <w:szCs w:val="20"/>
          <w:lang w:val="en-US"/>
        </w:rPr>
        <w:t>Negotiation Table</w:t>
      </w:r>
      <w:r w:rsidR="00707075" w:rsidRPr="004542B5">
        <w:rPr>
          <w:noProof w:val="0"/>
          <w:szCs w:val="20"/>
          <w:lang w:val="en-US"/>
        </w:rPr>
        <w:t>s</w:t>
      </w:r>
      <w:r w:rsidR="00BA584C" w:rsidRPr="004542B5">
        <w:rPr>
          <w:noProof w:val="0"/>
          <w:szCs w:val="20"/>
          <w:lang w:val="en-US"/>
        </w:rPr>
        <w:t xml:space="preserve">” </w:t>
      </w:r>
      <w:r w:rsidR="00493F1E" w:rsidRPr="004542B5">
        <w:rPr>
          <w:noProof w:val="0"/>
          <w:szCs w:val="20"/>
          <w:lang w:val="en-US"/>
        </w:rPr>
        <w:t>on August 18,</w:t>
      </w:r>
      <w:r w:rsidR="00BA584C" w:rsidRPr="004542B5">
        <w:rPr>
          <w:noProof w:val="0"/>
          <w:szCs w:val="20"/>
          <w:lang w:val="en-US"/>
        </w:rPr>
        <w:t xml:space="preserve"> 1999, </w:t>
      </w:r>
      <w:r w:rsidR="00493F1E" w:rsidRPr="004542B5">
        <w:rPr>
          <w:noProof w:val="0"/>
          <w:szCs w:val="20"/>
          <w:lang w:val="en-US"/>
        </w:rPr>
        <w:t xml:space="preserve">one between state authorities, Emberá people from the Ipetí community, and peasants, and another between state authorities and </w:t>
      </w:r>
      <w:r w:rsidR="00C437DD" w:rsidRPr="004542B5">
        <w:rPr>
          <w:noProof w:val="0"/>
          <w:szCs w:val="20"/>
          <w:lang w:val="en-US"/>
        </w:rPr>
        <w:t>Emberá</w:t>
      </w:r>
      <w:r w:rsidR="00493F1E" w:rsidRPr="004542B5">
        <w:rPr>
          <w:noProof w:val="0"/>
          <w:szCs w:val="20"/>
          <w:lang w:val="en-US"/>
        </w:rPr>
        <w:t xml:space="preserve"> people from the Piriatí community.</w:t>
      </w:r>
      <w:r w:rsidR="00BA584C" w:rsidRPr="004542B5">
        <w:rPr>
          <w:rStyle w:val="FootnoteReference"/>
          <w:noProof w:val="0"/>
          <w:lang w:val="en-US"/>
        </w:rPr>
        <w:footnoteReference w:id="113"/>
      </w:r>
      <w:r w:rsidR="00BA584C" w:rsidRPr="004542B5">
        <w:rPr>
          <w:noProof w:val="0"/>
          <w:szCs w:val="20"/>
          <w:lang w:val="en-US"/>
        </w:rPr>
        <w:t xml:space="preserve"> </w:t>
      </w:r>
      <w:r w:rsidR="00493F1E" w:rsidRPr="004542B5">
        <w:rPr>
          <w:noProof w:val="0"/>
          <w:szCs w:val="20"/>
          <w:lang w:val="en-US"/>
        </w:rPr>
        <w:t>On August 25,</w:t>
      </w:r>
      <w:r w:rsidR="00BA584C" w:rsidRPr="004542B5">
        <w:rPr>
          <w:noProof w:val="0"/>
          <w:szCs w:val="20"/>
          <w:lang w:val="en-US"/>
        </w:rPr>
        <w:t xml:space="preserve"> 1999</w:t>
      </w:r>
      <w:r w:rsidR="00493F1E" w:rsidRPr="004542B5">
        <w:rPr>
          <w:noProof w:val="0"/>
          <w:szCs w:val="20"/>
          <w:lang w:val="en-US"/>
        </w:rPr>
        <w:t xml:space="preserve">, a </w:t>
      </w:r>
      <w:r w:rsidR="00BA584C" w:rsidRPr="004542B5">
        <w:rPr>
          <w:noProof w:val="0"/>
          <w:szCs w:val="20"/>
          <w:lang w:val="en-US"/>
        </w:rPr>
        <w:t>“</w:t>
      </w:r>
      <w:r w:rsidR="00776FF0" w:rsidRPr="004542B5">
        <w:rPr>
          <w:noProof w:val="0"/>
          <w:szCs w:val="20"/>
          <w:lang w:val="en-US"/>
        </w:rPr>
        <w:t>Final report</w:t>
      </w:r>
      <w:r w:rsidR="00BA584C" w:rsidRPr="004542B5">
        <w:rPr>
          <w:noProof w:val="0"/>
          <w:szCs w:val="20"/>
          <w:lang w:val="en-US"/>
        </w:rPr>
        <w:t xml:space="preserve"> </w:t>
      </w:r>
      <w:r w:rsidR="00493F1E" w:rsidRPr="004542B5">
        <w:rPr>
          <w:noProof w:val="0"/>
          <w:szCs w:val="20"/>
          <w:lang w:val="en-US"/>
        </w:rPr>
        <w:t>–</w:t>
      </w:r>
      <w:r w:rsidR="00BA584C" w:rsidRPr="004542B5">
        <w:rPr>
          <w:noProof w:val="0"/>
          <w:szCs w:val="20"/>
          <w:lang w:val="en-US"/>
        </w:rPr>
        <w:t xml:space="preserve"> Conclusion</w:t>
      </w:r>
      <w:r w:rsidR="00493F1E" w:rsidRPr="004542B5">
        <w:rPr>
          <w:noProof w:val="0"/>
          <w:szCs w:val="20"/>
          <w:lang w:val="en-US"/>
        </w:rPr>
        <w:t xml:space="preserve">s and Action Plan” was issued in relation to the said </w:t>
      </w:r>
      <w:r w:rsidR="005115A6" w:rsidRPr="004542B5">
        <w:rPr>
          <w:noProof w:val="0"/>
          <w:szCs w:val="20"/>
          <w:lang w:val="en-US"/>
        </w:rPr>
        <w:t>Negotiation Tables</w:t>
      </w:r>
      <w:r w:rsidR="00BA584C" w:rsidRPr="004542B5">
        <w:rPr>
          <w:noProof w:val="0"/>
          <w:szCs w:val="20"/>
          <w:lang w:val="en-US"/>
        </w:rPr>
        <w:t xml:space="preserve"> </w:t>
      </w:r>
      <w:r w:rsidR="00493F1E" w:rsidRPr="004542B5">
        <w:rPr>
          <w:noProof w:val="0"/>
          <w:szCs w:val="20"/>
          <w:lang w:val="en-US"/>
        </w:rPr>
        <w:t xml:space="preserve">which established, among other matters, that “[t]he demarcation, delimitation and </w:t>
      </w:r>
      <w:r w:rsidR="00912494" w:rsidRPr="004542B5">
        <w:rPr>
          <w:noProof w:val="0"/>
          <w:szCs w:val="20"/>
          <w:lang w:val="en-US"/>
        </w:rPr>
        <w:t>marking of</w:t>
      </w:r>
      <w:r w:rsidR="00CD2B90" w:rsidRPr="004542B5">
        <w:rPr>
          <w:noProof w:val="0"/>
          <w:szCs w:val="20"/>
          <w:lang w:val="en-US"/>
        </w:rPr>
        <w:t xml:space="preserve"> </w:t>
      </w:r>
      <w:r w:rsidR="00912494" w:rsidRPr="004542B5">
        <w:rPr>
          <w:noProof w:val="0"/>
          <w:szCs w:val="20"/>
          <w:lang w:val="en-US"/>
        </w:rPr>
        <w:t>the perimeter</w:t>
      </w:r>
      <w:r w:rsidR="00BA584C" w:rsidRPr="004542B5">
        <w:rPr>
          <w:noProof w:val="0"/>
          <w:szCs w:val="20"/>
          <w:lang w:val="en-US"/>
        </w:rPr>
        <w:t xml:space="preserve"> </w:t>
      </w:r>
      <w:r w:rsidR="00493F1E" w:rsidRPr="004542B5">
        <w:rPr>
          <w:noProof w:val="0"/>
          <w:szCs w:val="20"/>
          <w:lang w:val="en-US"/>
        </w:rPr>
        <w:t xml:space="preserve">of the </w:t>
      </w:r>
      <w:r w:rsidR="00912494" w:rsidRPr="004542B5">
        <w:rPr>
          <w:noProof w:val="0"/>
          <w:szCs w:val="20"/>
          <w:lang w:val="en-US"/>
        </w:rPr>
        <w:t xml:space="preserve">site </w:t>
      </w:r>
      <w:r w:rsidR="00493F1E" w:rsidRPr="004542B5">
        <w:rPr>
          <w:noProof w:val="0"/>
          <w:szCs w:val="20"/>
          <w:lang w:val="en-US"/>
        </w:rPr>
        <w:t xml:space="preserve">of each indigenous community </w:t>
      </w:r>
      <w:r w:rsidR="00BA584C" w:rsidRPr="004542B5">
        <w:rPr>
          <w:noProof w:val="0"/>
          <w:szCs w:val="20"/>
          <w:lang w:val="en-US"/>
        </w:rPr>
        <w:t>(Ipetí, Piriatí</w:t>
      </w:r>
      <w:r w:rsidR="00CD2B90" w:rsidRPr="004542B5">
        <w:rPr>
          <w:noProof w:val="0"/>
          <w:szCs w:val="20"/>
          <w:lang w:val="en-US"/>
        </w:rPr>
        <w:t xml:space="preserve"> and </w:t>
      </w:r>
      <w:r w:rsidR="00BA584C" w:rsidRPr="004542B5">
        <w:rPr>
          <w:noProof w:val="0"/>
          <w:szCs w:val="20"/>
          <w:lang w:val="en-US"/>
        </w:rPr>
        <w:t xml:space="preserve">Comarca </w:t>
      </w:r>
      <w:r w:rsidR="00493F1E" w:rsidRPr="004542B5">
        <w:rPr>
          <w:noProof w:val="0"/>
          <w:szCs w:val="20"/>
          <w:lang w:val="en-US"/>
        </w:rPr>
        <w:t>of</w:t>
      </w:r>
      <w:r w:rsidR="00BA584C" w:rsidRPr="004542B5">
        <w:rPr>
          <w:noProof w:val="0"/>
          <w:szCs w:val="20"/>
          <w:lang w:val="en-US"/>
        </w:rPr>
        <w:t xml:space="preserve"> Madungandí) </w:t>
      </w:r>
      <w:r w:rsidR="00493F1E" w:rsidRPr="004542B5">
        <w:rPr>
          <w:noProof w:val="0"/>
          <w:szCs w:val="20"/>
          <w:lang w:val="en-US"/>
        </w:rPr>
        <w:t>should be a priority.</w:t>
      </w:r>
      <w:r w:rsidR="00BA584C" w:rsidRPr="004542B5">
        <w:rPr>
          <w:noProof w:val="0"/>
          <w:szCs w:val="20"/>
          <w:lang w:val="en-US"/>
        </w:rPr>
        <w:t>”</w:t>
      </w:r>
      <w:r w:rsidR="00BA584C" w:rsidRPr="004542B5">
        <w:rPr>
          <w:rStyle w:val="FootnoteReference"/>
          <w:noProof w:val="0"/>
          <w:lang w:val="en-US"/>
        </w:rPr>
        <w:footnoteReference w:id="114"/>
      </w:r>
      <w:r w:rsidR="00493F1E" w:rsidRPr="004542B5">
        <w:rPr>
          <w:noProof w:val="0"/>
          <w:szCs w:val="20"/>
          <w:lang w:val="en-US"/>
        </w:rPr>
        <w:t xml:space="preserve"> In addition, an inter-governmental commission was created in order to settle the conflict arising from the use and occupation of the land, which made some recommendations.</w:t>
      </w:r>
      <w:r w:rsidR="00BA584C" w:rsidRPr="004542B5">
        <w:rPr>
          <w:rStyle w:val="FootnoteReference"/>
          <w:noProof w:val="0"/>
          <w:lang w:val="en-US"/>
        </w:rPr>
        <w:footnoteReference w:id="115"/>
      </w:r>
    </w:p>
    <w:p w14:paraId="46105A91" w14:textId="4DC718F3" w:rsidR="00DC5DDA" w:rsidRPr="004542B5" w:rsidRDefault="00493F1E" w:rsidP="00E01664">
      <w:pPr>
        <w:pStyle w:val="ListParagraph"/>
        <w:numPr>
          <w:ilvl w:val="0"/>
          <w:numId w:val="2"/>
        </w:numPr>
        <w:spacing w:before="120"/>
        <w:contextualSpacing w:val="0"/>
        <w:rPr>
          <w:noProof w:val="0"/>
          <w:szCs w:val="20"/>
          <w:lang w:val="en-US"/>
        </w:rPr>
      </w:pPr>
      <w:r w:rsidRPr="004542B5">
        <w:rPr>
          <w:noProof w:val="0"/>
          <w:szCs w:val="20"/>
          <w:lang w:val="en-US"/>
        </w:rPr>
        <w:t xml:space="preserve">Lastly, from April to June 2000, the </w:t>
      </w:r>
      <w:r w:rsidR="00C437DD" w:rsidRPr="004542B5">
        <w:rPr>
          <w:noProof w:val="0"/>
          <w:szCs w:val="20"/>
          <w:lang w:val="en-US"/>
        </w:rPr>
        <w:t>physical</w:t>
      </w:r>
      <w:r w:rsidRPr="004542B5">
        <w:rPr>
          <w:noProof w:val="0"/>
          <w:szCs w:val="20"/>
          <w:lang w:val="en-US"/>
        </w:rPr>
        <w:t xml:space="preserve"> demarcation of </w:t>
      </w:r>
      <w:r w:rsidR="004D0B27" w:rsidRPr="004542B5">
        <w:rPr>
          <w:noProof w:val="0"/>
          <w:szCs w:val="20"/>
          <w:lang w:val="en-US"/>
        </w:rPr>
        <w:t xml:space="preserve">the </w:t>
      </w:r>
      <w:r w:rsidR="008C4E08" w:rsidRPr="004542B5">
        <w:rPr>
          <w:noProof w:val="0"/>
          <w:szCs w:val="20"/>
          <w:lang w:val="en-US"/>
        </w:rPr>
        <w:t xml:space="preserve">Kuna </w:t>
      </w:r>
      <w:r w:rsidR="004D0B27" w:rsidRPr="004542B5">
        <w:rPr>
          <w:noProof w:val="0"/>
          <w:szCs w:val="20"/>
          <w:lang w:val="en-US"/>
        </w:rPr>
        <w:t>Comarca</w:t>
      </w:r>
      <w:r w:rsidRPr="004542B5">
        <w:rPr>
          <w:noProof w:val="0"/>
          <w:szCs w:val="20"/>
          <w:lang w:val="en-US"/>
        </w:rPr>
        <w:t xml:space="preserve"> was carried out, a process conducted in coordination with the indigenous</w:t>
      </w:r>
      <w:r w:rsidR="00562CBB" w:rsidRPr="004542B5">
        <w:rPr>
          <w:noProof w:val="0"/>
          <w:szCs w:val="20"/>
          <w:lang w:val="en-US"/>
        </w:rPr>
        <w:t xml:space="preserve"> representatives</w:t>
      </w:r>
      <w:r w:rsidRPr="004542B5">
        <w:rPr>
          <w:noProof w:val="0"/>
          <w:szCs w:val="20"/>
          <w:lang w:val="en-US"/>
        </w:rPr>
        <w:t>.</w:t>
      </w:r>
      <w:r w:rsidR="00BA584C" w:rsidRPr="004542B5">
        <w:rPr>
          <w:rStyle w:val="FootnoteReference"/>
          <w:noProof w:val="0"/>
          <w:lang w:val="en-US"/>
        </w:rPr>
        <w:footnoteReference w:id="116"/>
      </w:r>
      <w:r w:rsidR="00BA584C" w:rsidRPr="004542B5">
        <w:rPr>
          <w:noProof w:val="0"/>
          <w:szCs w:val="20"/>
          <w:lang w:val="en-US"/>
        </w:rPr>
        <w:t xml:space="preserve"> </w:t>
      </w:r>
    </w:p>
    <w:p w14:paraId="7C6F4F81" w14:textId="0BBBB619" w:rsidR="003B7977" w:rsidRPr="004542B5" w:rsidRDefault="00B201CC" w:rsidP="00E01664">
      <w:pPr>
        <w:pStyle w:val="Heading2"/>
        <w:rPr>
          <w:rFonts w:cs="Tahoma"/>
          <w:b w:val="0"/>
          <w:noProof w:val="0"/>
          <w:lang w:val="en-US"/>
        </w:rPr>
      </w:pPr>
      <w:bookmarkStart w:id="217" w:name="_Toc383161754"/>
      <w:bookmarkStart w:id="218" w:name="_Toc383188383"/>
      <w:bookmarkStart w:id="219" w:name="_Toc45200877"/>
      <w:r w:rsidRPr="004542B5">
        <w:rPr>
          <w:rFonts w:cs="Tahoma"/>
          <w:noProof w:val="0"/>
          <w:lang w:val="en-US"/>
        </w:rPr>
        <w:t>Attempt to reach a friendly settlement agreement before</w:t>
      </w:r>
      <w:r w:rsidR="007B47B1" w:rsidRPr="004542B5">
        <w:rPr>
          <w:rFonts w:cs="Tahoma"/>
          <w:noProof w:val="0"/>
          <w:lang w:val="en-US"/>
        </w:rPr>
        <w:t xml:space="preserve"> </w:t>
      </w:r>
      <w:r w:rsidR="00562CBB" w:rsidRPr="004542B5">
        <w:rPr>
          <w:rFonts w:cs="Tahoma"/>
          <w:noProof w:val="0"/>
          <w:lang w:val="en-US"/>
        </w:rPr>
        <w:t>the Inter-American Commission on Human Rights</w:t>
      </w:r>
      <w:r w:rsidR="007B47B1" w:rsidRPr="004542B5">
        <w:rPr>
          <w:rFonts w:cs="Tahoma"/>
          <w:noProof w:val="0"/>
          <w:lang w:val="en-US"/>
        </w:rPr>
        <w:t xml:space="preserve">; </w:t>
      </w:r>
      <w:r w:rsidRPr="004542B5">
        <w:rPr>
          <w:rFonts w:cs="Tahoma"/>
          <w:noProof w:val="0"/>
          <w:lang w:val="en-US"/>
        </w:rPr>
        <w:t xml:space="preserve">Indigenous </w:t>
      </w:r>
      <w:r w:rsidR="002B1944" w:rsidRPr="004542B5">
        <w:rPr>
          <w:rFonts w:cs="Tahoma"/>
          <w:noProof w:val="0"/>
          <w:lang w:val="en-US"/>
        </w:rPr>
        <w:t>P</w:t>
      </w:r>
      <w:r w:rsidRPr="004542B5">
        <w:rPr>
          <w:rFonts w:cs="Tahoma"/>
          <w:noProof w:val="0"/>
          <w:lang w:val="en-US"/>
        </w:rPr>
        <w:t>eoples - Government Commission</w:t>
      </w:r>
      <w:r w:rsidR="007B47B1" w:rsidRPr="004542B5">
        <w:rPr>
          <w:rFonts w:cs="Tahoma"/>
          <w:noProof w:val="0"/>
          <w:lang w:val="en-US"/>
        </w:rPr>
        <w:t xml:space="preserve"> (2001 – 2006)</w:t>
      </w:r>
      <w:bookmarkEnd w:id="217"/>
      <w:bookmarkEnd w:id="218"/>
      <w:bookmarkEnd w:id="219"/>
    </w:p>
    <w:p w14:paraId="5549F81B" w14:textId="4BC2EB22" w:rsidR="007E4137" w:rsidRPr="004542B5" w:rsidRDefault="00493F1E" w:rsidP="00912494">
      <w:pPr>
        <w:pStyle w:val="ListParagraph"/>
        <w:numPr>
          <w:ilvl w:val="0"/>
          <w:numId w:val="2"/>
        </w:numPr>
        <w:spacing w:before="120"/>
        <w:contextualSpacing w:val="0"/>
        <w:rPr>
          <w:noProof w:val="0"/>
          <w:szCs w:val="20"/>
          <w:lang w:val="en-US"/>
        </w:rPr>
      </w:pPr>
      <w:r w:rsidRPr="004542B5">
        <w:rPr>
          <w:noProof w:val="0"/>
          <w:szCs w:val="20"/>
          <w:lang w:val="en-US"/>
        </w:rPr>
        <w:t xml:space="preserve">From December </w:t>
      </w:r>
      <w:r w:rsidR="00BA584C" w:rsidRPr="004542B5">
        <w:rPr>
          <w:noProof w:val="0"/>
          <w:szCs w:val="20"/>
          <w:lang w:val="en-US"/>
        </w:rPr>
        <w:t>2001</w:t>
      </w:r>
      <w:r w:rsidR="00BA584C" w:rsidRPr="004542B5">
        <w:rPr>
          <w:rStyle w:val="FootnoteReference"/>
          <w:noProof w:val="0"/>
          <w:lang w:val="en-US"/>
        </w:rPr>
        <w:footnoteReference w:id="117"/>
      </w:r>
      <w:r w:rsidR="00BA584C" w:rsidRPr="004542B5">
        <w:rPr>
          <w:noProof w:val="0"/>
          <w:szCs w:val="20"/>
          <w:lang w:val="en-US"/>
        </w:rPr>
        <w:t xml:space="preserve"> </w:t>
      </w:r>
      <w:r w:rsidR="00912494" w:rsidRPr="004542B5">
        <w:rPr>
          <w:noProof w:val="0"/>
          <w:szCs w:val="20"/>
          <w:lang w:val="en-US"/>
        </w:rPr>
        <w:t xml:space="preserve">until </w:t>
      </w:r>
      <w:r w:rsidR="00513E10" w:rsidRPr="004542B5">
        <w:rPr>
          <w:noProof w:val="0"/>
          <w:szCs w:val="20"/>
          <w:lang w:val="en-US"/>
        </w:rPr>
        <w:t>early</w:t>
      </w:r>
      <w:r w:rsidR="00BA584C" w:rsidRPr="004542B5">
        <w:rPr>
          <w:noProof w:val="0"/>
          <w:szCs w:val="20"/>
          <w:lang w:val="en-US"/>
        </w:rPr>
        <w:t xml:space="preserve"> 2007</w:t>
      </w:r>
      <w:r w:rsidR="00912494" w:rsidRPr="004542B5">
        <w:rPr>
          <w:noProof w:val="0"/>
          <w:szCs w:val="20"/>
          <w:lang w:val="en-US"/>
        </w:rPr>
        <w:t>, a friendly settlement procedure was undertaken before th</w:t>
      </w:r>
      <w:r w:rsidR="00562CBB" w:rsidRPr="004542B5">
        <w:rPr>
          <w:noProof w:val="0"/>
          <w:szCs w:val="20"/>
          <w:lang w:val="en-US"/>
        </w:rPr>
        <w:t>e Inter-American Commission</w:t>
      </w:r>
      <w:r w:rsidR="00912494" w:rsidRPr="004542B5">
        <w:rPr>
          <w:noProof w:val="0"/>
          <w:szCs w:val="20"/>
          <w:lang w:val="en-US"/>
        </w:rPr>
        <w:t xml:space="preserve"> and, to this end, a</w:t>
      </w:r>
      <w:r w:rsidR="00513E10" w:rsidRPr="004542B5">
        <w:rPr>
          <w:noProof w:val="0"/>
          <w:szCs w:val="20"/>
          <w:lang w:val="en-US"/>
        </w:rPr>
        <w:t>n</w:t>
      </w:r>
      <w:r w:rsidR="00912494" w:rsidRPr="004542B5">
        <w:rPr>
          <w:noProof w:val="0"/>
          <w:szCs w:val="20"/>
          <w:lang w:val="en-US"/>
        </w:rPr>
        <w:t xml:space="preserve"> Indigenous Peoples-Government Commission was established in Panama with three subcommissions: </w:t>
      </w:r>
      <w:r w:rsidR="00BA584C" w:rsidRPr="004542B5">
        <w:rPr>
          <w:noProof w:val="0"/>
          <w:szCs w:val="20"/>
          <w:lang w:val="en-US"/>
        </w:rPr>
        <w:t xml:space="preserve">(i) </w:t>
      </w:r>
      <w:r w:rsidR="00912494" w:rsidRPr="004542B5">
        <w:rPr>
          <w:noProof w:val="0"/>
          <w:szCs w:val="20"/>
          <w:lang w:val="en-US"/>
        </w:rPr>
        <w:t xml:space="preserve">a territorial affairs subcommission; </w:t>
      </w:r>
      <w:r w:rsidR="00BA584C" w:rsidRPr="004542B5">
        <w:rPr>
          <w:noProof w:val="0"/>
          <w:szCs w:val="20"/>
          <w:lang w:val="en-US"/>
        </w:rPr>
        <w:t xml:space="preserve">(ii) </w:t>
      </w:r>
      <w:r w:rsidR="00912494" w:rsidRPr="004542B5">
        <w:rPr>
          <w:noProof w:val="0"/>
          <w:szCs w:val="20"/>
          <w:lang w:val="en-US"/>
        </w:rPr>
        <w:t>an investment subcommission, and (iii) a subcommission to assess the effects of the dam.</w:t>
      </w:r>
      <w:r w:rsidR="00BA584C" w:rsidRPr="004542B5">
        <w:rPr>
          <w:rStyle w:val="FootnoteReference"/>
          <w:noProof w:val="0"/>
          <w:lang w:val="en-US"/>
        </w:rPr>
        <w:footnoteReference w:id="118"/>
      </w:r>
      <w:r w:rsidR="00BA584C" w:rsidRPr="004542B5">
        <w:rPr>
          <w:noProof w:val="0"/>
          <w:szCs w:val="20"/>
          <w:lang w:val="en-US"/>
        </w:rPr>
        <w:t xml:space="preserve"> </w:t>
      </w:r>
      <w:r w:rsidR="00912494" w:rsidRPr="004542B5">
        <w:rPr>
          <w:noProof w:val="0"/>
          <w:szCs w:val="20"/>
          <w:lang w:val="en-US"/>
        </w:rPr>
        <w:t xml:space="preserve">Furthermore, during this period, the State took some steps </w:t>
      </w:r>
      <w:r w:rsidR="00513E10" w:rsidRPr="004542B5">
        <w:rPr>
          <w:noProof w:val="0"/>
          <w:szCs w:val="20"/>
          <w:lang w:val="en-US"/>
        </w:rPr>
        <w:t>to counter</w:t>
      </w:r>
      <w:r w:rsidR="00912494" w:rsidRPr="004542B5">
        <w:rPr>
          <w:noProof w:val="0"/>
          <w:szCs w:val="20"/>
          <w:lang w:val="en-US"/>
        </w:rPr>
        <w:t xml:space="preserve"> the invasion of indigenous lands, such as the issue by the Minister for the Interior and Justice of a “</w:t>
      </w:r>
      <w:r w:rsidR="00ED1A09" w:rsidRPr="004542B5">
        <w:rPr>
          <w:noProof w:val="0"/>
          <w:szCs w:val="20"/>
          <w:lang w:val="en-US"/>
        </w:rPr>
        <w:t>[</w:t>
      </w:r>
      <w:r w:rsidR="00912494" w:rsidRPr="004542B5">
        <w:rPr>
          <w:noProof w:val="0"/>
          <w:szCs w:val="20"/>
          <w:lang w:val="en-US"/>
        </w:rPr>
        <w:t>w</w:t>
      </w:r>
      <w:r w:rsidR="00ED1A09" w:rsidRPr="004542B5">
        <w:rPr>
          <w:noProof w:val="0"/>
          <w:szCs w:val="20"/>
          <w:lang w:val="en-US"/>
        </w:rPr>
        <w:t>]</w:t>
      </w:r>
      <w:r w:rsidR="00912494" w:rsidRPr="004542B5">
        <w:rPr>
          <w:noProof w:val="0"/>
          <w:szCs w:val="20"/>
          <w:lang w:val="en-US"/>
        </w:rPr>
        <w:t>arning,” indicating</w:t>
      </w:r>
      <w:r w:rsidR="00513E10" w:rsidRPr="004542B5">
        <w:rPr>
          <w:noProof w:val="0"/>
          <w:szCs w:val="20"/>
          <w:lang w:val="en-US"/>
        </w:rPr>
        <w:t>,</w:t>
      </w:r>
      <w:r w:rsidR="00912494" w:rsidRPr="004542B5">
        <w:rPr>
          <w:noProof w:val="0"/>
          <w:szCs w:val="20"/>
          <w:lang w:val="en-US"/>
        </w:rPr>
        <w:t xml:space="preserve"> </w:t>
      </w:r>
      <w:r w:rsidR="00513E10" w:rsidRPr="004542B5">
        <w:rPr>
          <w:i/>
          <w:iCs/>
          <w:noProof w:val="0"/>
          <w:szCs w:val="20"/>
          <w:lang w:val="en-US"/>
        </w:rPr>
        <w:t>inter alia</w:t>
      </w:r>
      <w:r w:rsidR="00513E10" w:rsidRPr="004542B5">
        <w:rPr>
          <w:noProof w:val="0"/>
          <w:szCs w:val="20"/>
          <w:lang w:val="en-US"/>
        </w:rPr>
        <w:t>,</w:t>
      </w:r>
      <w:r w:rsidR="00912494" w:rsidRPr="004542B5">
        <w:rPr>
          <w:noProof w:val="0"/>
          <w:szCs w:val="20"/>
          <w:lang w:val="en-US"/>
        </w:rPr>
        <w:t xml:space="preserve"> that it was “totally prohibited to occupy or invade land located within the Madungandí Comarca,</w:t>
      </w:r>
      <w:r w:rsidR="00BA584C" w:rsidRPr="004542B5">
        <w:rPr>
          <w:noProof w:val="0"/>
          <w:szCs w:val="20"/>
          <w:lang w:val="en-US"/>
        </w:rPr>
        <w:t>”</w:t>
      </w:r>
      <w:r w:rsidR="00BA584C" w:rsidRPr="004542B5">
        <w:rPr>
          <w:rStyle w:val="FootnoteReference"/>
          <w:noProof w:val="0"/>
          <w:lang w:val="en-US"/>
        </w:rPr>
        <w:footnoteReference w:id="119"/>
      </w:r>
      <w:r w:rsidR="00CD2B90" w:rsidRPr="004542B5">
        <w:rPr>
          <w:noProof w:val="0"/>
          <w:szCs w:val="20"/>
          <w:lang w:val="en-US"/>
        </w:rPr>
        <w:t xml:space="preserve"> and</w:t>
      </w:r>
      <w:r w:rsidR="00912494" w:rsidRPr="004542B5">
        <w:rPr>
          <w:noProof w:val="0"/>
          <w:szCs w:val="20"/>
          <w:lang w:val="en-US"/>
        </w:rPr>
        <w:t xml:space="preserve"> the training of 30 indigenous p</w:t>
      </w:r>
      <w:r w:rsidR="00ED1A09" w:rsidRPr="004542B5">
        <w:rPr>
          <w:noProof w:val="0"/>
          <w:szCs w:val="20"/>
          <w:lang w:val="en-US"/>
        </w:rPr>
        <w:t xml:space="preserve">ersons from six </w:t>
      </w:r>
      <w:r w:rsidR="00ED1A09" w:rsidRPr="004542B5">
        <w:rPr>
          <w:noProof w:val="0"/>
          <w:szCs w:val="20"/>
          <w:lang w:val="en-US"/>
        </w:rPr>
        <w:lastRenderedPageBreak/>
        <w:t>communities of the Madungandí Comarca as forest rangers by the National Environmental Authority.</w:t>
      </w:r>
      <w:r w:rsidR="00BA584C" w:rsidRPr="004542B5">
        <w:rPr>
          <w:rStyle w:val="FootnoteReference"/>
          <w:noProof w:val="0"/>
          <w:lang w:val="en-US"/>
        </w:rPr>
        <w:footnoteReference w:id="120"/>
      </w:r>
      <w:r w:rsidR="00BA584C" w:rsidRPr="004542B5">
        <w:rPr>
          <w:noProof w:val="0"/>
          <w:szCs w:val="20"/>
          <w:lang w:val="en-US"/>
        </w:rPr>
        <w:t xml:space="preserve"> A</w:t>
      </w:r>
      <w:r w:rsidR="00ED1A09" w:rsidRPr="004542B5">
        <w:rPr>
          <w:noProof w:val="0"/>
          <w:szCs w:val="20"/>
          <w:lang w:val="en-US"/>
        </w:rPr>
        <w:t>lso</w:t>
      </w:r>
      <w:r w:rsidR="00BA584C" w:rsidRPr="004542B5">
        <w:rPr>
          <w:noProof w:val="0"/>
          <w:szCs w:val="20"/>
          <w:lang w:val="en-US"/>
        </w:rPr>
        <w:t xml:space="preserve">, </w:t>
      </w:r>
      <w:r w:rsidR="00ED1A09" w:rsidRPr="004542B5">
        <w:rPr>
          <w:noProof w:val="0"/>
          <w:szCs w:val="20"/>
          <w:lang w:val="en-US"/>
        </w:rPr>
        <w:t>on October 2,</w:t>
      </w:r>
      <w:r w:rsidR="00BA584C" w:rsidRPr="004542B5">
        <w:rPr>
          <w:noProof w:val="0"/>
          <w:szCs w:val="20"/>
          <w:lang w:val="en-US"/>
        </w:rPr>
        <w:t xml:space="preserve"> 2002</w:t>
      </w:r>
      <w:r w:rsidR="00ED1A09" w:rsidRPr="004542B5">
        <w:rPr>
          <w:noProof w:val="0"/>
          <w:szCs w:val="20"/>
          <w:lang w:val="en-US"/>
        </w:rPr>
        <w:t>,</w:t>
      </w:r>
      <w:r w:rsidR="00BA584C" w:rsidRPr="004542B5">
        <w:rPr>
          <w:noProof w:val="0"/>
          <w:szCs w:val="20"/>
          <w:lang w:val="en-US"/>
        </w:rPr>
        <w:t xml:space="preserve"> </w:t>
      </w:r>
      <w:r w:rsidR="005115A6" w:rsidRPr="004542B5">
        <w:rPr>
          <w:noProof w:val="0"/>
          <w:szCs w:val="20"/>
          <w:lang w:val="en-US"/>
        </w:rPr>
        <w:t>Executive Decree</w:t>
      </w:r>
      <w:r w:rsidR="00BA584C" w:rsidRPr="004542B5">
        <w:rPr>
          <w:noProof w:val="0"/>
          <w:szCs w:val="20"/>
          <w:lang w:val="en-US"/>
        </w:rPr>
        <w:t xml:space="preserve"> </w:t>
      </w:r>
      <w:r w:rsidR="00ED1A09" w:rsidRPr="004542B5">
        <w:rPr>
          <w:noProof w:val="0"/>
          <w:szCs w:val="20"/>
          <w:lang w:val="en-US"/>
        </w:rPr>
        <w:t xml:space="preserve">No. </w:t>
      </w:r>
      <w:r w:rsidR="00BA584C" w:rsidRPr="004542B5">
        <w:rPr>
          <w:noProof w:val="0"/>
          <w:szCs w:val="20"/>
          <w:lang w:val="en-US"/>
        </w:rPr>
        <w:t>267</w:t>
      </w:r>
      <w:r w:rsidR="00ED1A09" w:rsidRPr="004542B5">
        <w:rPr>
          <w:noProof w:val="0"/>
          <w:szCs w:val="20"/>
          <w:lang w:val="en-US"/>
        </w:rPr>
        <w:t xml:space="preserve"> was adopted extending the sphere of application of the aforementioned </w:t>
      </w:r>
      <w:r w:rsidR="00673288" w:rsidRPr="004542B5">
        <w:rPr>
          <w:noProof w:val="0"/>
          <w:szCs w:val="20"/>
          <w:lang w:val="en-US"/>
        </w:rPr>
        <w:t>Decree</w:t>
      </w:r>
      <w:r w:rsidR="00BA584C" w:rsidRPr="004542B5">
        <w:rPr>
          <w:noProof w:val="0"/>
          <w:szCs w:val="20"/>
          <w:lang w:val="en-US"/>
        </w:rPr>
        <w:t xml:space="preserve"> 5-A </w:t>
      </w:r>
      <w:r w:rsidR="00ED1A09" w:rsidRPr="004542B5">
        <w:rPr>
          <w:noProof w:val="0"/>
          <w:szCs w:val="20"/>
          <w:lang w:val="en-US"/>
        </w:rPr>
        <w:t>of April 23,</w:t>
      </w:r>
      <w:r w:rsidR="00BA584C" w:rsidRPr="004542B5">
        <w:rPr>
          <w:noProof w:val="0"/>
          <w:szCs w:val="20"/>
          <w:lang w:val="en-US"/>
        </w:rPr>
        <w:t xml:space="preserve"> 1982 (</w:t>
      </w:r>
      <w:r w:rsidR="00BA584C" w:rsidRPr="004542B5">
        <w:rPr>
          <w:i/>
          <w:noProof w:val="0"/>
          <w:szCs w:val="20"/>
          <w:lang w:val="en-US"/>
        </w:rPr>
        <w:t>supra</w:t>
      </w:r>
      <w:r w:rsidR="00BA584C" w:rsidRPr="004542B5">
        <w:rPr>
          <w:noProof w:val="0"/>
          <w:szCs w:val="20"/>
          <w:lang w:val="en-US"/>
        </w:rPr>
        <w:t xml:space="preserve"> </w:t>
      </w:r>
      <w:r w:rsidR="00F66B76" w:rsidRPr="004542B5">
        <w:rPr>
          <w:noProof w:val="0"/>
          <w:szCs w:val="20"/>
          <w:lang w:val="en-US"/>
        </w:rPr>
        <w:t>para.</w:t>
      </w:r>
      <w:r w:rsidR="00BA584C" w:rsidRPr="004542B5">
        <w:rPr>
          <w:noProof w:val="0"/>
          <w:szCs w:val="20"/>
          <w:lang w:val="en-US"/>
        </w:rPr>
        <w:t xml:space="preserve"> 67)</w:t>
      </w:r>
      <w:r w:rsidR="00ED1A09" w:rsidRPr="004542B5">
        <w:rPr>
          <w:noProof w:val="0"/>
          <w:szCs w:val="20"/>
          <w:lang w:val="en-US"/>
        </w:rPr>
        <w:t>.</w:t>
      </w:r>
      <w:r w:rsidR="00BA584C" w:rsidRPr="004542B5">
        <w:rPr>
          <w:rStyle w:val="FootnoteReference"/>
          <w:noProof w:val="0"/>
          <w:lang w:val="en-US"/>
        </w:rPr>
        <w:footnoteReference w:id="121"/>
      </w:r>
      <w:r w:rsidR="007B47B1" w:rsidRPr="004542B5">
        <w:rPr>
          <w:noProof w:val="0"/>
          <w:szCs w:val="20"/>
          <w:lang w:val="en-US"/>
        </w:rPr>
        <w:t xml:space="preserve"> </w:t>
      </w:r>
    </w:p>
    <w:p w14:paraId="11C0018C" w14:textId="17601B35" w:rsidR="00DC5DDA" w:rsidRPr="004542B5" w:rsidRDefault="00ED1A09" w:rsidP="00E01664">
      <w:pPr>
        <w:pStyle w:val="ListParagraph"/>
        <w:numPr>
          <w:ilvl w:val="0"/>
          <w:numId w:val="2"/>
        </w:numPr>
        <w:spacing w:before="120"/>
        <w:contextualSpacing w:val="0"/>
        <w:rPr>
          <w:noProof w:val="0"/>
          <w:szCs w:val="20"/>
          <w:lang w:val="en-US"/>
        </w:rPr>
      </w:pPr>
      <w:r w:rsidRPr="004542B5">
        <w:rPr>
          <w:noProof w:val="0"/>
          <w:szCs w:val="20"/>
          <w:lang w:val="en-US"/>
        </w:rPr>
        <w:t>On August 19,</w:t>
      </w:r>
      <w:r w:rsidR="00BA584C" w:rsidRPr="004542B5">
        <w:rPr>
          <w:noProof w:val="0"/>
          <w:szCs w:val="20"/>
          <w:lang w:val="en-US"/>
        </w:rPr>
        <w:t xml:space="preserve"> 2006</w:t>
      </w:r>
      <w:r w:rsidRPr="004542B5">
        <w:rPr>
          <w:noProof w:val="0"/>
          <w:szCs w:val="20"/>
          <w:lang w:val="en-US"/>
        </w:rPr>
        <w:t xml:space="preserve">, the indigenous communities of the Bayano issued a communiqué in which they considered that “[t]he </w:t>
      </w:r>
      <w:r w:rsidR="00513E10" w:rsidRPr="004542B5">
        <w:rPr>
          <w:noProof w:val="0"/>
          <w:szCs w:val="20"/>
          <w:lang w:val="en-US"/>
        </w:rPr>
        <w:t>n</w:t>
      </w:r>
      <w:r w:rsidRPr="004542B5">
        <w:rPr>
          <w:noProof w:val="0"/>
          <w:szCs w:val="20"/>
          <w:lang w:val="en-US"/>
        </w:rPr>
        <w:t xml:space="preserve">ational Government has no intention of settling our just demands” and decided “to formally inform” </w:t>
      </w:r>
      <w:r w:rsidR="00562CBB" w:rsidRPr="004542B5">
        <w:rPr>
          <w:noProof w:val="0"/>
          <w:szCs w:val="20"/>
          <w:lang w:val="en-US"/>
        </w:rPr>
        <w:t>the Inter-American Commission</w:t>
      </w:r>
      <w:r w:rsidRPr="004542B5">
        <w:rPr>
          <w:noProof w:val="0"/>
          <w:szCs w:val="20"/>
          <w:lang w:val="en-US"/>
        </w:rPr>
        <w:t xml:space="preserve"> that</w:t>
      </w:r>
      <w:r w:rsidR="00BA584C" w:rsidRPr="004542B5">
        <w:rPr>
          <w:noProof w:val="0"/>
          <w:szCs w:val="20"/>
          <w:lang w:val="en-US"/>
        </w:rPr>
        <w:t xml:space="preserve"> “</w:t>
      </w:r>
      <w:r w:rsidRPr="004542B5">
        <w:rPr>
          <w:noProof w:val="0"/>
          <w:szCs w:val="20"/>
          <w:lang w:val="en-US"/>
        </w:rPr>
        <w:t>the negotiations had failed.</w:t>
      </w:r>
      <w:r w:rsidR="00BA584C" w:rsidRPr="004542B5">
        <w:rPr>
          <w:noProof w:val="0"/>
          <w:szCs w:val="20"/>
          <w:lang w:val="en-US"/>
        </w:rPr>
        <w:t>”</w:t>
      </w:r>
      <w:r w:rsidR="00BA584C" w:rsidRPr="004542B5">
        <w:rPr>
          <w:rStyle w:val="FootnoteReference"/>
          <w:noProof w:val="0"/>
          <w:lang w:val="en-US"/>
        </w:rPr>
        <w:footnoteReference w:id="122"/>
      </w:r>
      <w:r w:rsidR="00BA584C" w:rsidRPr="004542B5">
        <w:rPr>
          <w:noProof w:val="0"/>
          <w:szCs w:val="20"/>
          <w:lang w:val="en-US"/>
        </w:rPr>
        <w:t xml:space="preserve"> Final</w:t>
      </w:r>
      <w:r w:rsidRPr="004542B5">
        <w:rPr>
          <w:noProof w:val="0"/>
          <w:szCs w:val="20"/>
          <w:lang w:val="en-US"/>
        </w:rPr>
        <w:t>ly</w:t>
      </w:r>
      <w:r w:rsidR="00BA584C" w:rsidRPr="004542B5">
        <w:rPr>
          <w:noProof w:val="0"/>
          <w:szCs w:val="20"/>
          <w:lang w:val="en-US"/>
        </w:rPr>
        <w:t xml:space="preserve">, </w:t>
      </w:r>
      <w:r w:rsidRPr="004542B5">
        <w:rPr>
          <w:noProof w:val="0"/>
          <w:szCs w:val="20"/>
          <w:lang w:val="en-US"/>
        </w:rPr>
        <w:t>the friendly settlement procedure ended on January 19, 2007, when the petitioner</w:t>
      </w:r>
      <w:r w:rsidR="00513E10" w:rsidRPr="004542B5">
        <w:rPr>
          <w:noProof w:val="0"/>
          <w:szCs w:val="20"/>
          <w:lang w:val="en-US"/>
        </w:rPr>
        <w:t>s</w:t>
      </w:r>
      <w:r w:rsidRPr="004542B5">
        <w:rPr>
          <w:noProof w:val="0"/>
          <w:szCs w:val="20"/>
          <w:lang w:val="en-US"/>
        </w:rPr>
        <w:t xml:space="preserve"> advised </w:t>
      </w:r>
      <w:r w:rsidR="00562CBB" w:rsidRPr="004542B5">
        <w:rPr>
          <w:noProof w:val="0"/>
          <w:szCs w:val="20"/>
          <w:lang w:val="en-US"/>
        </w:rPr>
        <w:t>the Commission</w:t>
      </w:r>
      <w:r w:rsidR="00BA584C" w:rsidRPr="004542B5">
        <w:rPr>
          <w:noProof w:val="0"/>
          <w:szCs w:val="20"/>
          <w:lang w:val="en-US"/>
        </w:rPr>
        <w:t xml:space="preserve"> </w:t>
      </w:r>
      <w:r w:rsidRPr="004542B5">
        <w:rPr>
          <w:noProof w:val="0"/>
          <w:szCs w:val="20"/>
          <w:lang w:val="en-US"/>
        </w:rPr>
        <w:t>that they wished to continue processing the case before it.</w:t>
      </w:r>
      <w:r w:rsidR="00BA584C" w:rsidRPr="004542B5">
        <w:rPr>
          <w:rStyle w:val="FootnoteReference"/>
          <w:noProof w:val="0"/>
          <w:lang w:val="en-US"/>
        </w:rPr>
        <w:footnoteReference w:id="123"/>
      </w:r>
      <w:r w:rsidR="007B47B1" w:rsidRPr="004542B5">
        <w:rPr>
          <w:noProof w:val="0"/>
          <w:szCs w:val="20"/>
          <w:lang w:val="en-US"/>
        </w:rPr>
        <w:t xml:space="preserve">  </w:t>
      </w:r>
    </w:p>
    <w:p w14:paraId="0E081441" w14:textId="67995D16" w:rsidR="003B7977" w:rsidRPr="004542B5" w:rsidRDefault="00B201CC" w:rsidP="00E01664">
      <w:pPr>
        <w:pStyle w:val="Heading2"/>
        <w:rPr>
          <w:rFonts w:cs="Tahoma"/>
          <w:b w:val="0"/>
          <w:noProof w:val="0"/>
          <w:lang w:val="en-US"/>
        </w:rPr>
      </w:pPr>
      <w:bookmarkStart w:id="220" w:name="_Toc383161755"/>
      <w:bookmarkStart w:id="221" w:name="_Toc383188384"/>
      <w:bookmarkStart w:id="222" w:name="_Toc45200878"/>
      <w:r w:rsidRPr="004542B5">
        <w:rPr>
          <w:rFonts w:cs="Tahoma"/>
          <w:noProof w:val="0"/>
          <w:lang w:val="en-US"/>
        </w:rPr>
        <w:t>Creation of a High-Level Presidential Commission</w:t>
      </w:r>
      <w:r w:rsidR="007B47B1" w:rsidRPr="004542B5">
        <w:rPr>
          <w:rFonts w:cs="Tahoma"/>
          <w:noProof w:val="0"/>
          <w:lang w:val="en-US"/>
        </w:rPr>
        <w:t xml:space="preserve">; </w:t>
      </w:r>
      <w:r w:rsidRPr="004542B5">
        <w:rPr>
          <w:rFonts w:cs="Tahoma"/>
          <w:noProof w:val="0"/>
          <w:lang w:val="en-US"/>
        </w:rPr>
        <w:t>establishment of procedures to adjudicate collective ownership of indigenous lands</w:t>
      </w:r>
      <w:r w:rsidR="007B47B1" w:rsidRPr="004542B5">
        <w:rPr>
          <w:rFonts w:cs="Tahoma"/>
          <w:noProof w:val="0"/>
          <w:lang w:val="en-US"/>
        </w:rPr>
        <w:t xml:space="preserve">; </w:t>
      </w:r>
      <w:r w:rsidRPr="004542B5">
        <w:rPr>
          <w:rFonts w:cs="Tahoma"/>
          <w:noProof w:val="0"/>
          <w:lang w:val="en-US"/>
        </w:rPr>
        <w:t>delimitation of Emberá lands</w:t>
      </w:r>
      <w:r w:rsidR="007B47B1" w:rsidRPr="004542B5">
        <w:rPr>
          <w:rFonts w:cs="Tahoma"/>
          <w:noProof w:val="0"/>
          <w:lang w:val="en-US"/>
        </w:rPr>
        <w:t xml:space="preserve"> (2007-2013)</w:t>
      </w:r>
      <w:bookmarkEnd w:id="220"/>
      <w:bookmarkEnd w:id="221"/>
      <w:bookmarkEnd w:id="222"/>
    </w:p>
    <w:p w14:paraId="66FDC486" w14:textId="5A8B7935" w:rsidR="00DC5DDA" w:rsidRPr="004542B5" w:rsidRDefault="00ED1A09" w:rsidP="00E01664">
      <w:pPr>
        <w:pStyle w:val="ListParagraph"/>
        <w:numPr>
          <w:ilvl w:val="0"/>
          <w:numId w:val="2"/>
        </w:numPr>
        <w:spacing w:before="120"/>
        <w:contextualSpacing w:val="0"/>
        <w:rPr>
          <w:noProof w:val="0"/>
          <w:szCs w:val="20"/>
          <w:lang w:val="en-US"/>
        </w:rPr>
      </w:pPr>
      <w:r w:rsidRPr="004542B5">
        <w:rPr>
          <w:noProof w:val="0"/>
          <w:szCs w:val="20"/>
          <w:lang w:val="en-US"/>
        </w:rPr>
        <w:t>In October</w:t>
      </w:r>
      <w:r w:rsidR="00BA584C" w:rsidRPr="004542B5">
        <w:rPr>
          <w:noProof w:val="0"/>
          <w:szCs w:val="20"/>
          <w:lang w:val="en-US"/>
        </w:rPr>
        <w:t xml:space="preserve"> 2007</w:t>
      </w:r>
      <w:r w:rsidRPr="004542B5">
        <w:rPr>
          <w:noProof w:val="0"/>
          <w:szCs w:val="20"/>
          <w:lang w:val="en-US"/>
        </w:rPr>
        <w:t>,</w:t>
      </w:r>
      <w:r w:rsidR="00BA584C" w:rsidRPr="004542B5">
        <w:rPr>
          <w:noProof w:val="0"/>
          <w:szCs w:val="20"/>
          <w:lang w:val="en-US"/>
        </w:rPr>
        <w:t xml:space="preserve"> </w:t>
      </w:r>
      <w:r w:rsidRPr="004542B5">
        <w:rPr>
          <w:noProof w:val="0"/>
          <w:szCs w:val="20"/>
          <w:lang w:val="en-US"/>
        </w:rPr>
        <w:t>members of the Kuma people</w:t>
      </w:r>
      <w:r w:rsidR="00BA584C" w:rsidRPr="004542B5">
        <w:rPr>
          <w:noProof w:val="0"/>
          <w:szCs w:val="20"/>
          <w:lang w:val="en-US"/>
        </w:rPr>
        <w:t xml:space="preserve"> </w:t>
      </w:r>
      <w:r w:rsidR="00513E10" w:rsidRPr="004542B5">
        <w:rPr>
          <w:noProof w:val="0"/>
          <w:szCs w:val="20"/>
          <w:lang w:val="en-US"/>
        </w:rPr>
        <w:t>conducted</w:t>
      </w:r>
      <w:r w:rsidR="00DE3305" w:rsidRPr="004542B5">
        <w:rPr>
          <w:noProof w:val="0"/>
          <w:szCs w:val="20"/>
          <w:lang w:val="en-US"/>
        </w:rPr>
        <w:t xml:space="preserve"> a public protest to demand that the authorities respond to their claims.</w:t>
      </w:r>
      <w:r w:rsidR="00BA584C" w:rsidRPr="004542B5">
        <w:rPr>
          <w:rStyle w:val="FootnoteReference"/>
          <w:noProof w:val="0"/>
          <w:lang w:val="en-US"/>
        </w:rPr>
        <w:footnoteReference w:id="124"/>
      </w:r>
      <w:r w:rsidR="00DE3305" w:rsidRPr="004542B5">
        <w:rPr>
          <w:noProof w:val="0"/>
          <w:szCs w:val="20"/>
          <w:lang w:val="en-US"/>
        </w:rPr>
        <w:t xml:space="preserve"> On December 23, 2008, Law No. 72 was enacted “establishing the special procedure for the adjudication of the collective ownership of lands of the indigenous peoples outside the comarcas.</w:t>
      </w:r>
      <w:r w:rsidR="00BA584C" w:rsidRPr="004542B5">
        <w:rPr>
          <w:noProof w:val="0"/>
          <w:szCs w:val="20"/>
          <w:lang w:val="en-US"/>
        </w:rPr>
        <w:t>”</w:t>
      </w:r>
      <w:r w:rsidR="00BA584C" w:rsidRPr="004542B5">
        <w:rPr>
          <w:rStyle w:val="FootnoteReference"/>
          <w:noProof w:val="0"/>
          <w:lang w:val="en-US"/>
        </w:rPr>
        <w:footnoteReference w:id="125"/>
      </w:r>
    </w:p>
    <w:p w14:paraId="30692A63" w14:textId="4B336A6B" w:rsidR="00DC5DDA" w:rsidRPr="004542B5" w:rsidRDefault="00DE3305" w:rsidP="00E01664">
      <w:pPr>
        <w:pStyle w:val="ListParagraph"/>
        <w:numPr>
          <w:ilvl w:val="0"/>
          <w:numId w:val="2"/>
        </w:numPr>
        <w:spacing w:before="120"/>
        <w:contextualSpacing w:val="0"/>
        <w:rPr>
          <w:noProof w:val="0"/>
          <w:szCs w:val="20"/>
          <w:lang w:val="en-US"/>
        </w:rPr>
      </w:pPr>
      <w:r w:rsidRPr="004542B5">
        <w:rPr>
          <w:noProof w:val="0"/>
          <w:szCs w:val="20"/>
          <w:lang w:val="en-US"/>
        </w:rPr>
        <w:t>On January 26,</w:t>
      </w:r>
      <w:r w:rsidR="00BA584C" w:rsidRPr="004542B5">
        <w:rPr>
          <w:noProof w:val="0"/>
          <w:szCs w:val="20"/>
          <w:lang w:val="en-US"/>
        </w:rPr>
        <w:t xml:space="preserve"> 2009</w:t>
      </w:r>
      <w:r w:rsidRPr="004542B5">
        <w:rPr>
          <w:noProof w:val="0"/>
          <w:szCs w:val="20"/>
          <w:lang w:val="en-US"/>
        </w:rPr>
        <w:t xml:space="preserve">, the Government promulgated </w:t>
      </w:r>
      <w:r w:rsidR="005115A6" w:rsidRPr="004542B5">
        <w:rPr>
          <w:noProof w:val="0"/>
          <w:szCs w:val="20"/>
          <w:lang w:val="en-US"/>
        </w:rPr>
        <w:t>Executive Decree</w:t>
      </w:r>
      <w:r w:rsidR="00BA584C" w:rsidRPr="004542B5">
        <w:rPr>
          <w:noProof w:val="0"/>
          <w:szCs w:val="20"/>
          <w:lang w:val="en-US"/>
        </w:rPr>
        <w:t xml:space="preserve"> </w:t>
      </w:r>
      <w:r w:rsidR="00CD2B90" w:rsidRPr="004542B5">
        <w:rPr>
          <w:noProof w:val="0"/>
          <w:szCs w:val="20"/>
          <w:lang w:val="en-US"/>
        </w:rPr>
        <w:t>No.</w:t>
      </w:r>
      <w:r w:rsidR="00B7701D" w:rsidRPr="004542B5">
        <w:rPr>
          <w:noProof w:val="0"/>
          <w:szCs w:val="20"/>
          <w:lang w:val="en-US"/>
        </w:rPr>
        <w:t xml:space="preserve"> </w:t>
      </w:r>
      <w:r w:rsidR="00BA584C" w:rsidRPr="004542B5">
        <w:rPr>
          <w:noProof w:val="0"/>
          <w:szCs w:val="20"/>
          <w:lang w:val="en-US"/>
        </w:rPr>
        <w:t xml:space="preserve">1 </w:t>
      </w:r>
      <w:r w:rsidRPr="004542B5">
        <w:rPr>
          <w:noProof w:val="0"/>
          <w:szCs w:val="20"/>
          <w:lang w:val="en-US"/>
        </w:rPr>
        <w:t>amending</w:t>
      </w:r>
      <w:r w:rsidR="00BA584C" w:rsidRPr="004542B5">
        <w:rPr>
          <w:noProof w:val="0"/>
          <w:szCs w:val="20"/>
          <w:lang w:val="en-US"/>
        </w:rPr>
        <w:t xml:space="preserve"> </w:t>
      </w:r>
      <w:r w:rsidRPr="004542B5">
        <w:rPr>
          <w:noProof w:val="0"/>
          <w:szCs w:val="20"/>
          <w:lang w:val="en-US"/>
        </w:rPr>
        <w:t>a</w:t>
      </w:r>
      <w:r w:rsidR="00562CBB" w:rsidRPr="004542B5">
        <w:rPr>
          <w:noProof w:val="0"/>
          <w:szCs w:val="20"/>
          <w:lang w:val="en-US"/>
        </w:rPr>
        <w:t>rticle</w:t>
      </w:r>
      <w:r w:rsidR="00BA584C" w:rsidRPr="004542B5">
        <w:rPr>
          <w:noProof w:val="0"/>
          <w:szCs w:val="20"/>
          <w:lang w:val="en-US"/>
        </w:rPr>
        <w:t xml:space="preserve"> 2 </w:t>
      </w:r>
      <w:r w:rsidRPr="004542B5">
        <w:rPr>
          <w:noProof w:val="0"/>
          <w:szCs w:val="20"/>
          <w:lang w:val="en-US"/>
        </w:rPr>
        <w:t>of</w:t>
      </w:r>
      <w:r w:rsidR="00BA584C" w:rsidRPr="004542B5">
        <w:rPr>
          <w:noProof w:val="0"/>
          <w:szCs w:val="20"/>
          <w:lang w:val="en-US"/>
        </w:rPr>
        <w:t xml:space="preserve"> </w:t>
      </w:r>
      <w:r w:rsidR="00673288" w:rsidRPr="004542B5">
        <w:rPr>
          <w:noProof w:val="0"/>
          <w:szCs w:val="20"/>
          <w:lang w:val="en-US"/>
        </w:rPr>
        <w:t>Decree</w:t>
      </w:r>
      <w:r w:rsidR="00BA584C" w:rsidRPr="004542B5">
        <w:rPr>
          <w:noProof w:val="0"/>
          <w:szCs w:val="20"/>
          <w:lang w:val="en-US"/>
        </w:rPr>
        <w:t xml:space="preserve"> 5-A </w:t>
      </w:r>
      <w:r w:rsidRPr="004542B5">
        <w:rPr>
          <w:noProof w:val="0"/>
          <w:szCs w:val="20"/>
          <w:lang w:val="en-US"/>
        </w:rPr>
        <w:t>of April 23,</w:t>
      </w:r>
      <w:r w:rsidR="00BA584C" w:rsidRPr="004542B5">
        <w:rPr>
          <w:noProof w:val="0"/>
          <w:szCs w:val="20"/>
          <w:lang w:val="en-US"/>
        </w:rPr>
        <w:t xml:space="preserve"> 1982</w:t>
      </w:r>
      <w:r w:rsidRPr="004542B5">
        <w:rPr>
          <w:noProof w:val="0"/>
          <w:szCs w:val="20"/>
          <w:lang w:val="en-US"/>
        </w:rPr>
        <w:t xml:space="preserve">, “to regulate the territorial status of the occupants of the area known as the catchment area of Lake </w:t>
      </w:r>
      <w:r w:rsidR="00BA584C" w:rsidRPr="004542B5">
        <w:rPr>
          <w:noProof w:val="0"/>
          <w:szCs w:val="20"/>
          <w:lang w:val="en-US"/>
        </w:rPr>
        <w:t>Bayano</w:t>
      </w:r>
      <w:r w:rsidRPr="004542B5">
        <w:rPr>
          <w:noProof w:val="0"/>
          <w:szCs w:val="20"/>
          <w:lang w:val="en-US"/>
        </w:rPr>
        <w:t>.</w:t>
      </w:r>
      <w:r w:rsidR="00BA584C" w:rsidRPr="004542B5">
        <w:rPr>
          <w:noProof w:val="0"/>
          <w:szCs w:val="20"/>
          <w:lang w:val="en-US"/>
        </w:rPr>
        <w:t>”</w:t>
      </w:r>
      <w:r w:rsidR="00BA584C" w:rsidRPr="004542B5">
        <w:rPr>
          <w:rStyle w:val="FootnoteReference"/>
          <w:noProof w:val="0"/>
          <w:lang w:val="en-US"/>
        </w:rPr>
        <w:footnoteReference w:id="126"/>
      </w:r>
      <w:r w:rsidR="007B47B1" w:rsidRPr="004542B5">
        <w:rPr>
          <w:noProof w:val="0"/>
          <w:szCs w:val="20"/>
          <w:lang w:val="en-US"/>
        </w:rPr>
        <w:t xml:space="preserve"> </w:t>
      </w:r>
    </w:p>
    <w:p w14:paraId="4D8BEC69" w14:textId="5DAB74FE" w:rsidR="00DC5DDA" w:rsidRPr="004542B5" w:rsidRDefault="00DE3305" w:rsidP="00DE3305">
      <w:pPr>
        <w:pStyle w:val="ListParagraph"/>
        <w:numPr>
          <w:ilvl w:val="0"/>
          <w:numId w:val="2"/>
        </w:numPr>
        <w:spacing w:before="120"/>
        <w:contextualSpacing w:val="0"/>
        <w:rPr>
          <w:noProof w:val="0"/>
          <w:szCs w:val="20"/>
          <w:lang w:val="en-US"/>
        </w:rPr>
      </w:pPr>
      <w:r w:rsidRPr="004542B5">
        <w:rPr>
          <w:noProof w:val="0"/>
          <w:szCs w:val="20"/>
          <w:lang w:val="en-US"/>
        </w:rPr>
        <w:t>On the basis of this</w:t>
      </w:r>
      <w:r w:rsidR="00BA584C" w:rsidRPr="004542B5">
        <w:rPr>
          <w:noProof w:val="0"/>
          <w:szCs w:val="20"/>
          <w:lang w:val="en-US"/>
        </w:rPr>
        <w:t xml:space="preserve"> </w:t>
      </w:r>
      <w:r w:rsidR="0033788F" w:rsidRPr="004542B5">
        <w:rPr>
          <w:noProof w:val="0"/>
          <w:szCs w:val="20"/>
          <w:lang w:val="en-US"/>
        </w:rPr>
        <w:t>Law</w:t>
      </w:r>
      <w:r w:rsidR="00BA584C" w:rsidRPr="004542B5">
        <w:rPr>
          <w:noProof w:val="0"/>
          <w:szCs w:val="20"/>
          <w:lang w:val="en-US"/>
        </w:rPr>
        <w:t xml:space="preserve"> </w:t>
      </w:r>
      <w:r w:rsidR="00CD2B90" w:rsidRPr="004542B5">
        <w:rPr>
          <w:noProof w:val="0"/>
          <w:szCs w:val="20"/>
          <w:lang w:val="en-US"/>
        </w:rPr>
        <w:t>No.</w:t>
      </w:r>
      <w:r w:rsidR="00B7701D" w:rsidRPr="004542B5">
        <w:rPr>
          <w:noProof w:val="0"/>
          <w:szCs w:val="20"/>
          <w:lang w:val="en-US"/>
        </w:rPr>
        <w:t xml:space="preserve"> </w:t>
      </w:r>
      <w:r w:rsidR="00BA584C" w:rsidRPr="004542B5">
        <w:rPr>
          <w:noProof w:val="0"/>
          <w:szCs w:val="20"/>
          <w:lang w:val="en-US"/>
        </w:rPr>
        <w:t xml:space="preserve">72, </w:t>
      </w:r>
      <w:r w:rsidRPr="004542B5">
        <w:rPr>
          <w:noProof w:val="0"/>
          <w:szCs w:val="20"/>
          <w:lang w:val="en-US"/>
        </w:rPr>
        <w:t>the</w:t>
      </w:r>
      <w:r w:rsidR="00BA584C" w:rsidRPr="004542B5">
        <w:rPr>
          <w:noProof w:val="0"/>
          <w:szCs w:val="20"/>
          <w:lang w:val="en-US"/>
        </w:rPr>
        <w:t xml:space="preserve"> Cacique General </w:t>
      </w:r>
      <w:r w:rsidRPr="004542B5">
        <w:rPr>
          <w:noProof w:val="0"/>
          <w:szCs w:val="20"/>
          <w:lang w:val="en-US"/>
        </w:rPr>
        <w:t>of the</w:t>
      </w:r>
      <w:r w:rsidR="00BA584C" w:rsidRPr="004542B5">
        <w:rPr>
          <w:noProof w:val="0"/>
          <w:szCs w:val="20"/>
          <w:lang w:val="en-US"/>
        </w:rPr>
        <w:t xml:space="preserve"> Emberá </w:t>
      </w:r>
      <w:r w:rsidRPr="004542B5">
        <w:rPr>
          <w:noProof w:val="0"/>
          <w:szCs w:val="20"/>
          <w:lang w:val="en-US"/>
        </w:rPr>
        <w:t>of</w:t>
      </w:r>
      <w:r w:rsidR="00BA584C" w:rsidRPr="004542B5">
        <w:rPr>
          <w:noProof w:val="0"/>
          <w:szCs w:val="20"/>
          <w:lang w:val="en-US"/>
        </w:rPr>
        <w:t xml:space="preserve"> Alto Bayano </w:t>
      </w:r>
      <w:r w:rsidRPr="004542B5">
        <w:rPr>
          <w:noProof w:val="0"/>
          <w:szCs w:val="20"/>
          <w:lang w:val="en-US"/>
        </w:rPr>
        <w:t xml:space="preserve">filed two applications for adjudication of the collective ownership of land, one in </w:t>
      </w:r>
      <w:r w:rsidR="00BA584C" w:rsidRPr="004542B5">
        <w:rPr>
          <w:noProof w:val="0"/>
          <w:szCs w:val="20"/>
          <w:lang w:val="en-US"/>
        </w:rPr>
        <w:t>2009</w:t>
      </w:r>
      <w:r w:rsidR="00BA584C" w:rsidRPr="004542B5">
        <w:rPr>
          <w:rStyle w:val="FootnoteReference"/>
          <w:noProof w:val="0"/>
          <w:lang w:val="en-US"/>
        </w:rPr>
        <w:footnoteReference w:id="127"/>
      </w:r>
      <w:r w:rsidR="00CD2B90" w:rsidRPr="004542B5">
        <w:rPr>
          <w:noProof w:val="0"/>
          <w:szCs w:val="20"/>
          <w:lang w:val="en-US"/>
        </w:rPr>
        <w:t xml:space="preserve"> and</w:t>
      </w:r>
      <w:r w:rsidRPr="004542B5">
        <w:rPr>
          <w:noProof w:val="0"/>
          <w:szCs w:val="20"/>
          <w:lang w:val="en-US"/>
        </w:rPr>
        <w:t xml:space="preserve"> the other in</w:t>
      </w:r>
      <w:r w:rsidR="00CD2B90" w:rsidRPr="004542B5">
        <w:rPr>
          <w:noProof w:val="0"/>
          <w:szCs w:val="20"/>
          <w:lang w:val="en-US"/>
        </w:rPr>
        <w:t xml:space="preserve"> </w:t>
      </w:r>
      <w:r w:rsidR="00BA584C" w:rsidRPr="004542B5">
        <w:rPr>
          <w:noProof w:val="0"/>
          <w:szCs w:val="20"/>
          <w:lang w:val="en-US"/>
        </w:rPr>
        <w:t>2011</w:t>
      </w:r>
      <w:r w:rsidR="00BA584C" w:rsidRPr="004542B5">
        <w:rPr>
          <w:rStyle w:val="FootnoteReference"/>
          <w:noProof w:val="0"/>
          <w:lang w:val="en-US"/>
        </w:rPr>
        <w:footnoteReference w:id="128"/>
      </w:r>
      <w:r w:rsidR="00BA584C" w:rsidRPr="004542B5">
        <w:rPr>
          <w:noProof w:val="0"/>
          <w:szCs w:val="20"/>
          <w:lang w:val="en-US"/>
        </w:rPr>
        <w:t xml:space="preserve"> (</w:t>
      </w:r>
      <w:r w:rsidR="00BA584C" w:rsidRPr="004542B5">
        <w:rPr>
          <w:i/>
          <w:noProof w:val="0"/>
          <w:szCs w:val="20"/>
          <w:lang w:val="en-US"/>
        </w:rPr>
        <w:t>infra</w:t>
      </w:r>
      <w:r w:rsidR="00BA584C" w:rsidRPr="004542B5">
        <w:rPr>
          <w:noProof w:val="0"/>
          <w:szCs w:val="20"/>
          <w:lang w:val="en-US"/>
        </w:rPr>
        <w:t xml:space="preserve"> </w:t>
      </w:r>
      <w:r w:rsidR="00F66B76" w:rsidRPr="004542B5">
        <w:rPr>
          <w:noProof w:val="0"/>
          <w:szCs w:val="20"/>
          <w:lang w:val="en-US"/>
        </w:rPr>
        <w:t>para.</w:t>
      </w:r>
      <w:r w:rsidR="00BA584C" w:rsidRPr="004542B5">
        <w:rPr>
          <w:noProof w:val="0"/>
          <w:szCs w:val="20"/>
          <w:lang w:val="en-US"/>
        </w:rPr>
        <w:t xml:space="preserve"> 92). </w:t>
      </w:r>
      <w:r w:rsidRPr="004542B5">
        <w:rPr>
          <w:noProof w:val="0"/>
          <w:szCs w:val="20"/>
          <w:lang w:val="en-US"/>
        </w:rPr>
        <w:t>On November 18,</w:t>
      </w:r>
      <w:r w:rsidR="00BA584C" w:rsidRPr="004542B5">
        <w:rPr>
          <w:noProof w:val="0"/>
          <w:szCs w:val="20"/>
          <w:lang w:val="en-US"/>
        </w:rPr>
        <w:t xml:space="preserve"> 2011</w:t>
      </w:r>
      <w:r w:rsidRPr="004542B5">
        <w:rPr>
          <w:noProof w:val="0"/>
          <w:szCs w:val="20"/>
          <w:lang w:val="en-US"/>
        </w:rPr>
        <w:t>,</w:t>
      </w:r>
      <w:r w:rsidR="00BA584C" w:rsidRPr="004542B5">
        <w:rPr>
          <w:noProof w:val="0"/>
          <w:szCs w:val="20"/>
          <w:lang w:val="en-US"/>
        </w:rPr>
        <w:t xml:space="preserve"> </w:t>
      </w:r>
      <w:r w:rsidRPr="004542B5">
        <w:rPr>
          <w:noProof w:val="0"/>
          <w:szCs w:val="20"/>
          <w:lang w:val="en-US"/>
        </w:rPr>
        <w:t>a</w:t>
      </w:r>
      <w:r w:rsidR="00BA584C" w:rsidRPr="004542B5">
        <w:rPr>
          <w:noProof w:val="0"/>
          <w:szCs w:val="20"/>
          <w:lang w:val="en-US"/>
        </w:rPr>
        <w:t xml:space="preserve"> “</w:t>
      </w:r>
      <w:r w:rsidRPr="004542B5">
        <w:rPr>
          <w:noProof w:val="0"/>
          <w:szCs w:val="20"/>
          <w:lang w:val="en-US"/>
        </w:rPr>
        <w:t>Decision and Action Agreement</w:t>
      </w:r>
      <w:r w:rsidR="00BA584C" w:rsidRPr="004542B5">
        <w:rPr>
          <w:noProof w:val="0"/>
          <w:szCs w:val="20"/>
          <w:lang w:val="en-US"/>
        </w:rPr>
        <w:t xml:space="preserve">” </w:t>
      </w:r>
      <w:r w:rsidRPr="004542B5">
        <w:rPr>
          <w:noProof w:val="0"/>
          <w:szCs w:val="20"/>
          <w:lang w:val="en-US"/>
        </w:rPr>
        <w:t>was signed under which the General Administrator of the National Land Administration Authority</w:t>
      </w:r>
      <w:r w:rsidR="00BA584C" w:rsidRPr="004542B5">
        <w:rPr>
          <w:noProof w:val="0"/>
          <w:szCs w:val="20"/>
          <w:lang w:val="en-US"/>
        </w:rPr>
        <w:t xml:space="preserve"> </w:t>
      </w:r>
      <w:r w:rsidRPr="004542B5">
        <w:rPr>
          <w:noProof w:val="0"/>
          <w:szCs w:val="20"/>
          <w:lang w:val="en-US"/>
        </w:rPr>
        <w:t xml:space="preserve">(ANATI) affirmed that “coordination efforts will continue in order to continue the process to title </w:t>
      </w:r>
      <w:r w:rsidRPr="004542B5">
        <w:rPr>
          <w:noProof w:val="0"/>
          <w:szCs w:val="20"/>
          <w:lang w:val="en-US"/>
        </w:rPr>
        <w:lastRenderedPageBreak/>
        <w:t xml:space="preserve">the […] lands requested, namely: </w:t>
      </w:r>
      <w:r w:rsidR="00BA584C" w:rsidRPr="004542B5">
        <w:rPr>
          <w:noProof w:val="0"/>
          <w:szCs w:val="20"/>
          <w:lang w:val="en-US"/>
        </w:rPr>
        <w:t xml:space="preserve">Alto Bayano, Piriatí, </w:t>
      </w:r>
      <w:r w:rsidR="00E74A3B" w:rsidRPr="004542B5">
        <w:rPr>
          <w:noProof w:val="0"/>
          <w:szCs w:val="20"/>
          <w:lang w:val="en-US"/>
        </w:rPr>
        <w:t>Ipetí Emberá</w:t>
      </w:r>
      <w:r w:rsidR="00BA584C" w:rsidRPr="004542B5">
        <w:rPr>
          <w:noProof w:val="0"/>
          <w:szCs w:val="20"/>
          <w:lang w:val="en-US"/>
        </w:rPr>
        <w:t xml:space="preserve"> [</w:t>
      </w:r>
      <w:r w:rsidRPr="004542B5">
        <w:rPr>
          <w:noProof w:val="0"/>
          <w:szCs w:val="20"/>
          <w:lang w:val="en-US"/>
        </w:rPr>
        <w:t>and</w:t>
      </w:r>
      <w:r w:rsidR="00BA584C" w:rsidRPr="004542B5">
        <w:rPr>
          <w:noProof w:val="0"/>
          <w:szCs w:val="20"/>
          <w:lang w:val="en-US"/>
        </w:rPr>
        <w:t>] Maj</w:t>
      </w:r>
      <w:r w:rsidR="009D6100" w:rsidRPr="004542B5">
        <w:rPr>
          <w:noProof w:val="0"/>
          <w:szCs w:val="20"/>
          <w:lang w:val="en-US"/>
        </w:rPr>
        <w:t xml:space="preserve">é </w:t>
      </w:r>
      <w:r w:rsidR="00BA584C" w:rsidRPr="004542B5">
        <w:rPr>
          <w:noProof w:val="0"/>
          <w:szCs w:val="20"/>
          <w:lang w:val="en-US"/>
        </w:rPr>
        <w:t>Cordillera”</w:t>
      </w:r>
      <w:r w:rsidR="00CD2B90" w:rsidRPr="004542B5">
        <w:rPr>
          <w:noProof w:val="0"/>
          <w:szCs w:val="20"/>
          <w:lang w:val="en-US"/>
        </w:rPr>
        <w:t xml:space="preserve"> and </w:t>
      </w:r>
      <w:r w:rsidRPr="004542B5">
        <w:rPr>
          <w:noProof w:val="0"/>
          <w:szCs w:val="20"/>
          <w:lang w:val="en-US"/>
        </w:rPr>
        <w:t>that</w:t>
      </w:r>
      <w:r w:rsidR="00BA584C" w:rsidRPr="004542B5">
        <w:rPr>
          <w:noProof w:val="0"/>
          <w:szCs w:val="20"/>
          <w:lang w:val="en-US"/>
        </w:rPr>
        <w:t xml:space="preserve"> “a</w:t>
      </w:r>
      <w:r w:rsidRPr="004542B5">
        <w:rPr>
          <w:noProof w:val="0"/>
          <w:szCs w:val="20"/>
          <w:lang w:val="en-US"/>
        </w:rPr>
        <w:t xml:space="preserve">s of this time, </w:t>
      </w:r>
      <w:r w:rsidR="00513E10" w:rsidRPr="004542B5">
        <w:rPr>
          <w:noProof w:val="0"/>
          <w:szCs w:val="20"/>
          <w:lang w:val="en-US"/>
        </w:rPr>
        <w:t>r</w:t>
      </w:r>
      <w:r w:rsidRPr="004542B5">
        <w:rPr>
          <w:noProof w:val="0"/>
          <w:szCs w:val="20"/>
          <w:lang w:val="en-US"/>
        </w:rPr>
        <w:t>ecognition and adjudication of possessory rights will be suspended within the sites included in the collective lands requested by the people.</w:t>
      </w:r>
      <w:r w:rsidR="00BA584C" w:rsidRPr="004542B5">
        <w:rPr>
          <w:noProof w:val="0"/>
          <w:szCs w:val="20"/>
          <w:lang w:val="en-US"/>
        </w:rPr>
        <w:t>”</w:t>
      </w:r>
      <w:r w:rsidR="00BA584C" w:rsidRPr="004542B5">
        <w:rPr>
          <w:rStyle w:val="FootnoteReference"/>
          <w:noProof w:val="0"/>
          <w:lang w:val="en-US"/>
        </w:rPr>
        <w:footnoteReference w:id="129"/>
      </w:r>
      <w:r w:rsidRPr="004542B5">
        <w:rPr>
          <w:noProof w:val="0"/>
          <w:szCs w:val="20"/>
          <w:lang w:val="en-US"/>
        </w:rPr>
        <w:t xml:space="preserve"> </w:t>
      </w:r>
    </w:p>
    <w:p w14:paraId="0BF946D3" w14:textId="109C2EE6" w:rsidR="00DC5DDA" w:rsidRPr="004542B5" w:rsidRDefault="00DE3305" w:rsidP="00DE3305">
      <w:pPr>
        <w:pStyle w:val="ListParagraph"/>
        <w:numPr>
          <w:ilvl w:val="0"/>
          <w:numId w:val="2"/>
        </w:numPr>
        <w:spacing w:before="120"/>
        <w:contextualSpacing w:val="0"/>
        <w:rPr>
          <w:noProof w:val="0"/>
          <w:szCs w:val="20"/>
          <w:lang w:val="en-US"/>
        </w:rPr>
      </w:pPr>
      <w:r w:rsidRPr="004542B5">
        <w:rPr>
          <w:noProof w:val="0"/>
          <w:szCs w:val="20"/>
          <w:lang w:val="en-US"/>
        </w:rPr>
        <w:t>On February 8,</w:t>
      </w:r>
      <w:r w:rsidR="00BA584C" w:rsidRPr="004542B5">
        <w:rPr>
          <w:noProof w:val="0"/>
          <w:szCs w:val="20"/>
          <w:lang w:val="en-US"/>
        </w:rPr>
        <w:t xml:space="preserve"> 2012, </w:t>
      </w:r>
      <w:r w:rsidRPr="004542B5">
        <w:rPr>
          <w:noProof w:val="0"/>
          <w:szCs w:val="20"/>
          <w:lang w:val="en-US"/>
        </w:rPr>
        <w:t>state and indigenous authorities signed an agreement known as the “</w:t>
      </w:r>
      <w:r w:rsidR="00E74A3B" w:rsidRPr="004542B5">
        <w:rPr>
          <w:noProof w:val="0"/>
          <w:szCs w:val="20"/>
          <w:lang w:val="en-US"/>
        </w:rPr>
        <w:t>Piriatí Emberá</w:t>
      </w:r>
      <w:r w:rsidRPr="004542B5">
        <w:rPr>
          <w:noProof w:val="0"/>
          <w:szCs w:val="20"/>
          <w:lang w:val="en-US"/>
        </w:rPr>
        <w:t xml:space="preserve"> Agreement</w:t>
      </w:r>
      <w:r w:rsidR="00BA584C" w:rsidRPr="004542B5">
        <w:rPr>
          <w:noProof w:val="0"/>
          <w:szCs w:val="20"/>
          <w:lang w:val="en-US"/>
        </w:rPr>
        <w:t xml:space="preserve">” </w:t>
      </w:r>
      <w:r w:rsidRPr="004542B5">
        <w:rPr>
          <w:noProof w:val="0"/>
          <w:szCs w:val="20"/>
          <w:lang w:val="en-US"/>
        </w:rPr>
        <w:t xml:space="preserve">which established that “despite the requests for the adjudication of collective titles by the Emberá and Wounaan communities, the lands under consideration are invaded by settlers or unauthorized </w:t>
      </w:r>
      <w:r w:rsidR="00C437DD" w:rsidRPr="004542B5">
        <w:rPr>
          <w:noProof w:val="0"/>
          <w:szCs w:val="20"/>
          <w:lang w:val="en-US"/>
        </w:rPr>
        <w:t>persons</w:t>
      </w:r>
      <w:r w:rsidRPr="004542B5">
        <w:rPr>
          <w:noProof w:val="0"/>
          <w:szCs w:val="20"/>
          <w:lang w:val="en-US"/>
        </w:rPr>
        <w:t xml:space="preserve"> who allege that they have possessory rights issued by the municipal authorities of the provinces of </w:t>
      </w:r>
      <w:r w:rsidR="00982EC9" w:rsidRPr="004542B5">
        <w:rPr>
          <w:noProof w:val="0"/>
          <w:szCs w:val="20"/>
          <w:lang w:val="en-US"/>
        </w:rPr>
        <w:t>Darien</w:t>
      </w:r>
      <w:r w:rsidRPr="004542B5">
        <w:rPr>
          <w:noProof w:val="0"/>
          <w:szCs w:val="20"/>
          <w:lang w:val="en-US"/>
        </w:rPr>
        <w:t xml:space="preserve"> and Panama” and that “the Government undertakes to take the necessary steps to ensure that the indigenous communities are not deprived of their lands.” It was also agreed to set up “a commission to monitor the collective titling procedures until these had been totally adjudicated” composed of state and indigenous authorities and “to deliver the first collective titles by March 2012 at the latest.</w:t>
      </w:r>
      <w:r w:rsidR="00BA584C" w:rsidRPr="004542B5">
        <w:rPr>
          <w:noProof w:val="0"/>
          <w:szCs w:val="20"/>
          <w:lang w:val="en-US"/>
        </w:rPr>
        <w:t>”</w:t>
      </w:r>
      <w:r w:rsidR="00BA584C" w:rsidRPr="004542B5">
        <w:rPr>
          <w:rStyle w:val="FootnoteReference"/>
          <w:noProof w:val="0"/>
          <w:lang w:val="en-US"/>
        </w:rPr>
        <w:footnoteReference w:id="130"/>
      </w:r>
      <w:r w:rsidR="00BA584C" w:rsidRPr="004542B5">
        <w:rPr>
          <w:noProof w:val="0"/>
          <w:szCs w:val="20"/>
          <w:lang w:val="en-US"/>
        </w:rPr>
        <w:t xml:space="preserve"> </w:t>
      </w:r>
      <w:r w:rsidRPr="004542B5">
        <w:rPr>
          <w:noProof w:val="0"/>
          <w:szCs w:val="20"/>
          <w:lang w:val="en-US"/>
        </w:rPr>
        <w:t>In</w:t>
      </w:r>
      <w:r w:rsidR="00BA584C" w:rsidRPr="004542B5">
        <w:rPr>
          <w:noProof w:val="0"/>
          <w:szCs w:val="20"/>
          <w:lang w:val="en-US"/>
        </w:rPr>
        <w:t xml:space="preserve"> 2011</w:t>
      </w:r>
      <w:r w:rsidR="00CD2B90" w:rsidRPr="004542B5">
        <w:rPr>
          <w:noProof w:val="0"/>
          <w:szCs w:val="20"/>
          <w:lang w:val="en-US"/>
        </w:rPr>
        <w:t xml:space="preserve"> and </w:t>
      </w:r>
      <w:r w:rsidR="00BA584C" w:rsidRPr="004542B5">
        <w:rPr>
          <w:noProof w:val="0"/>
          <w:szCs w:val="20"/>
          <w:lang w:val="en-US"/>
        </w:rPr>
        <w:t>2012</w:t>
      </w:r>
      <w:r w:rsidRPr="004542B5">
        <w:rPr>
          <w:noProof w:val="0"/>
          <w:szCs w:val="20"/>
          <w:lang w:val="en-US"/>
        </w:rPr>
        <w:t>,</w:t>
      </w:r>
      <w:r w:rsidR="00BA584C" w:rsidRPr="004542B5">
        <w:rPr>
          <w:noProof w:val="0"/>
          <w:szCs w:val="20"/>
          <w:lang w:val="en-US"/>
        </w:rPr>
        <w:t xml:space="preserve"> </w:t>
      </w:r>
      <w:r w:rsidRPr="004542B5">
        <w:rPr>
          <w:noProof w:val="0"/>
          <w:szCs w:val="20"/>
          <w:lang w:val="en-US"/>
        </w:rPr>
        <w:t>the National Land Administration Authority</w:t>
      </w:r>
      <w:r w:rsidR="00BA584C" w:rsidRPr="004542B5">
        <w:rPr>
          <w:noProof w:val="0"/>
          <w:szCs w:val="20"/>
          <w:lang w:val="en-US"/>
        </w:rPr>
        <w:t xml:space="preserve"> </w:t>
      </w:r>
      <w:r w:rsidRPr="004542B5">
        <w:rPr>
          <w:noProof w:val="0"/>
          <w:szCs w:val="20"/>
          <w:lang w:val="en-US"/>
        </w:rPr>
        <w:t xml:space="preserve">issued several resolutions in relation to the </w:t>
      </w:r>
      <w:r w:rsidR="00023348" w:rsidRPr="004542B5">
        <w:rPr>
          <w:noProof w:val="0"/>
          <w:szCs w:val="20"/>
          <w:lang w:val="en-US"/>
        </w:rPr>
        <w:t xml:space="preserve">land </w:t>
      </w:r>
      <w:r w:rsidRPr="004542B5">
        <w:rPr>
          <w:noProof w:val="0"/>
          <w:szCs w:val="20"/>
          <w:lang w:val="en-US"/>
        </w:rPr>
        <w:t xml:space="preserve">tenure, including a certification of March 12, </w:t>
      </w:r>
      <w:r w:rsidR="00BA584C" w:rsidRPr="004542B5">
        <w:rPr>
          <w:noProof w:val="0"/>
          <w:szCs w:val="20"/>
          <w:lang w:val="en-US"/>
        </w:rPr>
        <w:t xml:space="preserve">2012, </w:t>
      </w:r>
      <w:r w:rsidRPr="004542B5">
        <w:rPr>
          <w:noProof w:val="0"/>
          <w:szCs w:val="20"/>
          <w:lang w:val="en-US"/>
        </w:rPr>
        <w:t>indicating that “the collective titling process in the area of</w:t>
      </w:r>
      <w:r w:rsidR="00BA584C" w:rsidRPr="004542B5">
        <w:rPr>
          <w:noProof w:val="0"/>
          <w:szCs w:val="20"/>
          <w:lang w:val="en-US"/>
        </w:rPr>
        <w:t xml:space="preserve"> Alto Bayano: </w:t>
      </w:r>
      <w:r w:rsidR="00E74A3B" w:rsidRPr="004542B5">
        <w:rPr>
          <w:noProof w:val="0"/>
          <w:szCs w:val="20"/>
          <w:lang w:val="en-US"/>
        </w:rPr>
        <w:t>Piriatí Emberá</w:t>
      </w:r>
      <w:r w:rsidR="00BA584C" w:rsidRPr="004542B5">
        <w:rPr>
          <w:noProof w:val="0"/>
          <w:szCs w:val="20"/>
          <w:lang w:val="en-US"/>
        </w:rPr>
        <w:t xml:space="preserve">, </w:t>
      </w:r>
      <w:r w:rsidR="00E74A3B" w:rsidRPr="004542B5">
        <w:rPr>
          <w:noProof w:val="0"/>
          <w:szCs w:val="20"/>
          <w:lang w:val="en-US"/>
        </w:rPr>
        <w:t>Ipetí Emberá</w:t>
      </w:r>
      <w:r w:rsidR="00BA584C" w:rsidRPr="004542B5">
        <w:rPr>
          <w:noProof w:val="0"/>
          <w:szCs w:val="20"/>
          <w:lang w:val="en-US"/>
        </w:rPr>
        <w:t>, Majé Emberá Drúa (Majé Cordillera</w:t>
      </w:r>
      <w:r w:rsidR="00CD2B90" w:rsidRPr="004542B5">
        <w:rPr>
          <w:noProof w:val="0"/>
          <w:szCs w:val="20"/>
          <w:lang w:val="en-US"/>
        </w:rPr>
        <w:t xml:space="preserve"> and </w:t>
      </w:r>
      <w:r w:rsidR="00BA584C" w:rsidRPr="004542B5">
        <w:rPr>
          <w:noProof w:val="0"/>
          <w:szCs w:val="20"/>
          <w:lang w:val="en-US"/>
        </w:rPr>
        <w:t xml:space="preserve">Unión Emberá), </w:t>
      </w:r>
      <w:r w:rsidRPr="004542B5">
        <w:rPr>
          <w:noProof w:val="0"/>
          <w:szCs w:val="20"/>
          <w:lang w:val="en-US"/>
        </w:rPr>
        <w:t>is being reviewed to continue with the appropriate procedure for the collective adjudication.</w:t>
      </w:r>
      <w:r w:rsidR="00BA584C" w:rsidRPr="004542B5">
        <w:rPr>
          <w:noProof w:val="0"/>
          <w:szCs w:val="20"/>
          <w:lang w:val="en-US"/>
        </w:rPr>
        <w:t>”</w:t>
      </w:r>
      <w:r w:rsidR="00BA584C" w:rsidRPr="004542B5">
        <w:rPr>
          <w:rStyle w:val="FootnoteReference"/>
          <w:noProof w:val="0"/>
          <w:lang w:val="en-US"/>
        </w:rPr>
        <w:footnoteReference w:id="131"/>
      </w:r>
      <w:r w:rsidR="007B47B1" w:rsidRPr="004542B5">
        <w:rPr>
          <w:noProof w:val="0"/>
          <w:szCs w:val="20"/>
          <w:lang w:val="en-US"/>
        </w:rPr>
        <w:t xml:space="preserve"> </w:t>
      </w:r>
    </w:p>
    <w:p w14:paraId="751EB57C" w14:textId="3327394F" w:rsidR="00DC5DDA" w:rsidRPr="004542B5" w:rsidRDefault="00DE3305" w:rsidP="00E01664">
      <w:pPr>
        <w:pStyle w:val="ListParagraph"/>
        <w:numPr>
          <w:ilvl w:val="0"/>
          <w:numId w:val="2"/>
        </w:numPr>
        <w:spacing w:before="120"/>
        <w:contextualSpacing w:val="0"/>
        <w:rPr>
          <w:noProof w:val="0"/>
          <w:szCs w:val="20"/>
          <w:lang w:val="en-US"/>
        </w:rPr>
      </w:pPr>
      <w:r w:rsidRPr="004542B5">
        <w:rPr>
          <w:noProof w:val="0"/>
          <w:szCs w:val="20"/>
          <w:lang w:val="en-US"/>
        </w:rPr>
        <w:t>In</w:t>
      </w:r>
      <w:r w:rsidR="00BA584C" w:rsidRPr="004542B5">
        <w:rPr>
          <w:noProof w:val="0"/>
          <w:szCs w:val="20"/>
          <w:lang w:val="en-US"/>
        </w:rPr>
        <w:t xml:space="preserve"> 2009</w:t>
      </w:r>
      <w:r w:rsidRPr="004542B5">
        <w:rPr>
          <w:noProof w:val="0"/>
          <w:szCs w:val="20"/>
          <w:lang w:val="en-US"/>
        </w:rPr>
        <w:t xml:space="preserve">, a private individual, </w:t>
      </w:r>
      <w:r w:rsidR="00F34012" w:rsidRPr="004542B5">
        <w:rPr>
          <w:noProof w:val="0"/>
          <w:szCs w:val="20"/>
          <w:lang w:val="en-US"/>
        </w:rPr>
        <w:t>C.C.M</w:t>
      </w:r>
      <w:r w:rsidR="001407F4" w:rsidRPr="004542B5">
        <w:rPr>
          <w:noProof w:val="0"/>
          <w:szCs w:val="20"/>
          <w:lang w:val="en-US"/>
        </w:rPr>
        <w:t>.</w:t>
      </w:r>
      <w:r w:rsidR="00BA584C" w:rsidRPr="004542B5">
        <w:rPr>
          <w:noProof w:val="0"/>
          <w:szCs w:val="20"/>
          <w:lang w:val="en-US"/>
        </w:rPr>
        <w:t xml:space="preserve">, </w:t>
      </w:r>
      <w:r w:rsidRPr="004542B5">
        <w:rPr>
          <w:noProof w:val="0"/>
          <w:szCs w:val="20"/>
          <w:lang w:val="en-US"/>
        </w:rPr>
        <w:t>requested the adjudication of a private property tit</w:t>
      </w:r>
      <w:r w:rsidR="00023348" w:rsidRPr="004542B5">
        <w:rPr>
          <w:noProof w:val="0"/>
          <w:szCs w:val="20"/>
          <w:lang w:val="en-US"/>
        </w:rPr>
        <w:t>le</w:t>
      </w:r>
      <w:r w:rsidRPr="004542B5">
        <w:rPr>
          <w:noProof w:val="0"/>
          <w:szCs w:val="20"/>
          <w:lang w:val="en-US"/>
        </w:rPr>
        <w:t xml:space="preserve"> in the </w:t>
      </w:r>
      <w:r w:rsidR="00BA584C" w:rsidRPr="004542B5">
        <w:rPr>
          <w:i/>
          <w:iCs/>
          <w:noProof w:val="0"/>
          <w:szCs w:val="20"/>
          <w:lang w:val="en-US"/>
        </w:rPr>
        <w:t>corregimiento</w:t>
      </w:r>
      <w:r w:rsidR="00BA584C" w:rsidRPr="004542B5">
        <w:rPr>
          <w:noProof w:val="0"/>
          <w:szCs w:val="20"/>
          <w:lang w:val="en-US"/>
        </w:rPr>
        <w:t xml:space="preserve"> </w:t>
      </w:r>
      <w:r w:rsidRPr="004542B5">
        <w:rPr>
          <w:noProof w:val="0"/>
          <w:szCs w:val="20"/>
          <w:lang w:val="en-US"/>
        </w:rPr>
        <w:t>of</w:t>
      </w:r>
      <w:r w:rsidR="00BA584C" w:rsidRPr="004542B5">
        <w:rPr>
          <w:noProof w:val="0"/>
          <w:szCs w:val="20"/>
          <w:lang w:val="en-US"/>
        </w:rPr>
        <w:t xml:space="preserve"> Tort</w:t>
      </w:r>
      <w:r w:rsidR="00982EC9" w:rsidRPr="004542B5">
        <w:rPr>
          <w:noProof w:val="0"/>
          <w:szCs w:val="20"/>
          <w:lang w:val="en-US"/>
        </w:rPr>
        <w:t>í</w:t>
      </w:r>
      <w:r w:rsidR="00BA584C" w:rsidRPr="004542B5">
        <w:rPr>
          <w:noProof w:val="0"/>
          <w:szCs w:val="20"/>
          <w:lang w:val="en-US"/>
        </w:rPr>
        <w:t>, Chepo</w:t>
      </w:r>
      <w:r w:rsidRPr="004542B5">
        <w:rPr>
          <w:noProof w:val="0"/>
          <w:szCs w:val="20"/>
          <w:lang w:val="en-US"/>
        </w:rPr>
        <w:t xml:space="preserve"> district,</w:t>
      </w:r>
      <w:r w:rsidR="00BA584C" w:rsidRPr="004542B5">
        <w:rPr>
          <w:rStyle w:val="FootnoteReference"/>
          <w:noProof w:val="0"/>
          <w:lang w:val="en-US"/>
        </w:rPr>
        <w:footnoteReference w:id="132"/>
      </w:r>
      <w:r w:rsidRPr="004542B5">
        <w:rPr>
          <w:noProof w:val="0"/>
          <w:szCs w:val="20"/>
          <w:lang w:val="en-US"/>
        </w:rPr>
        <w:t xml:space="preserve"> and the </w:t>
      </w:r>
      <w:r w:rsidR="00BA584C" w:rsidRPr="004542B5">
        <w:rPr>
          <w:noProof w:val="0"/>
          <w:szCs w:val="20"/>
          <w:lang w:val="en-US"/>
        </w:rPr>
        <w:t xml:space="preserve">Caciques </w:t>
      </w:r>
      <w:r w:rsidRPr="004542B5">
        <w:rPr>
          <w:noProof w:val="0"/>
          <w:szCs w:val="20"/>
          <w:lang w:val="en-US"/>
        </w:rPr>
        <w:t>of the</w:t>
      </w:r>
      <w:r w:rsidR="00BA584C" w:rsidRPr="004542B5">
        <w:rPr>
          <w:noProof w:val="0"/>
          <w:szCs w:val="20"/>
          <w:lang w:val="en-US"/>
        </w:rPr>
        <w:t xml:space="preserve"> Alto Bayano </w:t>
      </w:r>
      <w:r w:rsidRPr="004542B5">
        <w:rPr>
          <w:noProof w:val="0"/>
          <w:szCs w:val="20"/>
          <w:lang w:val="en-US"/>
        </w:rPr>
        <w:t>filed</w:t>
      </w:r>
      <w:r w:rsidR="00A4779D" w:rsidRPr="004542B5">
        <w:rPr>
          <w:noProof w:val="0"/>
          <w:szCs w:val="20"/>
          <w:lang w:val="en-US"/>
        </w:rPr>
        <w:t xml:space="preserve"> a petition opposing this.</w:t>
      </w:r>
      <w:r w:rsidR="00BA584C" w:rsidRPr="004542B5">
        <w:rPr>
          <w:rStyle w:val="FootnoteReference"/>
          <w:noProof w:val="0"/>
          <w:lang w:val="en-US"/>
        </w:rPr>
        <w:footnoteReference w:id="133"/>
      </w:r>
      <w:r w:rsidR="00A4779D" w:rsidRPr="004542B5">
        <w:rPr>
          <w:noProof w:val="0"/>
          <w:szCs w:val="20"/>
          <w:lang w:val="en-US"/>
        </w:rPr>
        <w:t xml:space="preserve"> ANATI </w:t>
      </w:r>
      <w:r w:rsidR="00023348" w:rsidRPr="004542B5">
        <w:rPr>
          <w:noProof w:val="0"/>
          <w:szCs w:val="20"/>
          <w:lang w:val="en-US"/>
        </w:rPr>
        <w:t>responded to this</w:t>
      </w:r>
      <w:r w:rsidR="00A4779D" w:rsidRPr="004542B5">
        <w:rPr>
          <w:noProof w:val="0"/>
          <w:szCs w:val="20"/>
          <w:lang w:val="en-US"/>
        </w:rPr>
        <w:t xml:space="preserve"> individual’s request</w:t>
      </w:r>
      <w:r w:rsidR="00F34012" w:rsidRPr="004542B5">
        <w:rPr>
          <w:rStyle w:val="FootnoteReference"/>
          <w:noProof w:val="0"/>
          <w:lang w:val="en-US"/>
        </w:rPr>
        <w:footnoteReference w:id="134"/>
      </w:r>
      <w:r w:rsidR="00BA584C" w:rsidRPr="004542B5">
        <w:rPr>
          <w:noProof w:val="0"/>
          <w:szCs w:val="20"/>
          <w:lang w:val="en-US"/>
        </w:rPr>
        <w:t xml:space="preserve"> </w:t>
      </w:r>
      <w:r w:rsidR="00A4779D" w:rsidRPr="004542B5">
        <w:rPr>
          <w:noProof w:val="0"/>
          <w:szCs w:val="20"/>
          <w:lang w:val="en-US"/>
        </w:rPr>
        <w:t>on August 13,</w:t>
      </w:r>
      <w:r w:rsidR="00BA584C" w:rsidRPr="004542B5">
        <w:rPr>
          <w:noProof w:val="0"/>
          <w:szCs w:val="20"/>
          <w:lang w:val="en-US"/>
        </w:rPr>
        <w:t xml:space="preserve"> 2013, </w:t>
      </w:r>
      <w:r w:rsidR="00A4779D" w:rsidRPr="004542B5">
        <w:rPr>
          <w:noProof w:val="0"/>
          <w:szCs w:val="20"/>
          <w:lang w:val="en-US"/>
        </w:rPr>
        <w:t>granting</w:t>
      </w:r>
      <w:r w:rsidR="00023348" w:rsidRPr="004542B5">
        <w:rPr>
          <w:noProof w:val="0"/>
          <w:szCs w:val="20"/>
          <w:lang w:val="en-US"/>
        </w:rPr>
        <w:t xml:space="preserve"> him</w:t>
      </w:r>
      <w:r w:rsidR="00A4779D" w:rsidRPr="004542B5">
        <w:rPr>
          <w:noProof w:val="0"/>
          <w:szCs w:val="20"/>
          <w:lang w:val="en-US"/>
        </w:rPr>
        <w:t xml:space="preserve"> title to a site of </w:t>
      </w:r>
      <w:r w:rsidR="00BA584C" w:rsidRPr="004542B5">
        <w:rPr>
          <w:noProof w:val="0"/>
          <w:szCs w:val="20"/>
          <w:lang w:val="en-US"/>
        </w:rPr>
        <w:t xml:space="preserve">96 </w:t>
      </w:r>
      <w:r w:rsidR="00A4779D" w:rsidRPr="004542B5">
        <w:rPr>
          <w:noProof w:val="0"/>
          <w:szCs w:val="20"/>
          <w:lang w:val="en-US"/>
        </w:rPr>
        <w:t xml:space="preserve">hectares </w:t>
      </w:r>
      <w:r w:rsidR="00CD2B90" w:rsidRPr="004542B5">
        <w:rPr>
          <w:noProof w:val="0"/>
          <w:szCs w:val="20"/>
          <w:lang w:val="en-US"/>
        </w:rPr>
        <w:t xml:space="preserve">and </w:t>
      </w:r>
      <w:r w:rsidR="00BA584C" w:rsidRPr="004542B5">
        <w:rPr>
          <w:noProof w:val="0"/>
          <w:szCs w:val="20"/>
          <w:lang w:val="en-US"/>
        </w:rPr>
        <w:t>4</w:t>
      </w:r>
      <w:r w:rsidR="00A4779D" w:rsidRPr="004542B5">
        <w:rPr>
          <w:noProof w:val="0"/>
          <w:szCs w:val="20"/>
          <w:lang w:val="en-US"/>
        </w:rPr>
        <w:t>,</w:t>
      </w:r>
      <w:r w:rsidR="00BA584C" w:rsidRPr="004542B5">
        <w:rPr>
          <w:noProof w:val="0"/>
          <w:szCs w:val="20"/>
          <w:lang w:val="en-US"/>
        </w:rPr>
        <w:t>960</w:t>
      </w:r>
      <w:r w:rsidR="00A4779D" w:rsidRPr="004542B5">
        <w:rPr>
          <w:noProof w:val="0"/>
          <w:szCs w:val="20"/>
          <w:lang w:val="en-US"/>
        </w:rPr>
        <w:t>.</w:t>
      </w:r>
      <w:r w:rsidR="00BA584C" w:rsidRPr="004542B5">
        <w:rPr>
          <w:noProof w:val="0"/>
          <w:szCs w:val="20"/>
          <w:lang w:val="en-US"/>
        </w:rPr>
        <w:t>03</w:t>
      </w:r>
      <w:r w:rsidR="00E01664" w:rsidRPr="004542B5">
        <w:rPr>
          <w:noProof w:val="0"/>
          <w:szCs w:val="20"/>
          <w:lang w:val="en-US"/>
        </w:rPr>
        <w:t xml:space="preserve"> </w:t>
      </w:r>
      <w:r w:rsidR="00BA584C" w:rsidRPr="004542B5">
        <w:rPr>
          <w:noProof w:val="0"/>
          <w:szCs w:val="20"/>
          <w:lang w:val="en-US"/>
        </w:rPr>
        <w:t>m</w:t>
      </w:r>
      <w:r w:rsidR="00BA584C" w:rsidRPr="004542B5">
        <w:rPr>
          <w:noProof w:val="0"/>
          <w:szCs w:val="20"/>
          <w:vertAlign w:val="superscript"/>
          <w:lang w:val="en-US"/>
        </w:rPr>
        <w:t>2</w:t>
      </w:r>
      <w:r w:rsidR="00BA584C" w:rsidRPr="004542B5">
        <w:rPr>
          <w:noProof w:val="0"/>
          <w:szCs w:val="20"/>
          <w:lang w:val="en-US"/>
        </w:rPr>
        <w:t xml:space="preserve">. </w:t>
      </w:r>
      <w:r w:rsidR="00A4779D" w:rsidRPr="004542B5">
        <w:rPr>
          <w:noProof w:val="0"/>
          <w:szCs w:val="20"/>
          <w:lang w:val="en-US"/>
        </w:rPr>
        <w:t xml:space="preserve">Subsequently, from October 14 to 19, </w:t>
      </w:r>
      <w:r w:rsidR="00BA584C" w:rsidRPr="004542B5">
        <w:rPr>
          <w:noProof w:val="0"/>
          <w:szCs w:val="20"/>
          <w:lang w:val="en-US"/>
        </w:rPr>
        <w:t>2013</w:t>
      </w:r>
      <w:r w:rsidR="00A4779D" w:rsidRPr="004542B5">
        <w:rPr>
          <w:noProof w:val="0"/>
          <w:szCs w:val="20"/>
          <w:lang w:val="en-US"/>
        </w:rPr>
        <w:t xml:space="preserve">, an on-site inspection and verification of the </w:t>
      </w:r>
      <w:r w:rsidR="00D21F9E" w:rsidRPr="004542B5">
        <w:rPr>
          <w:noProof w:val="0"/>
          <w:szCs w:val="20"/>
          <w:lang w:val="en-US"/>
        </w:rPr>
        <w:t>b</w:t>
      </w:r>
      <w:r w:rsidR="00D21F9E" w:rsidRPr="004542B5">
        <w:rPr>
          <w:rFonts w:cs="Tahoma"/>
          <w:noProof w:val="0"/>
          <w:szCs w:val="20"/>
          <w:lang w:val="en-US"/>
        </w:rPr>
        <w:t>oundaries</w:t>
      </w:r>
      <w:r w:rsidR="00A4779D" w:rsidRPr="004542B5">
        <w:rPr>
          <w:noProof w:val="0"/>
          <w:szCs w:val="20"/>
          <w:lang w:val="en-US"/>
        </w:rPr>
        <w:t xml:space="preserve"> of the territory of </w:t>
      </w:r>
      <w:r w:rsidR="00BA584C" w:rsidRPr="004542B5">
        <w:rPr>
          <w:noProof w:val="0"/>
          <w:szCs w:val="20"/>
          <w:lang w:val="en-US"/>
        </w:rPr>
        <w:t>Alto Bayano</w:t>
      </w:r>
      <w:r w:rsidR="00CD2B90" w:rsidRPr="004542B5">
        <w:rPr>
          <w:noProof w:val="0"/>
          <w:szCs w:val="20"/>
          <w:lang w:val="en-US"/>
        </w:rPr>
        <w:t xml:space="preserve"> and </w:t>
      </w:r>
      <w:r w:rsidR="00BA584C" w:rsidRPr="004542B5">
        <w:rPr>
          <w:noProof w:val="0"/>
          <w:szCs w:val="20"/>
          <w:lang w:val="en-US"/>
        </w:rPr>
        <w:t>Río Piragua</w:t>
      </w:r>
      <w:r w:rsidR="00672957" w:rsidRPr="004542B5">
        <w:rPr>
          <w:noProof w:val="0"/>
          <w:szCs w:val="20"/>
          <w:lang w:val="en-US"/>
        </w:rPr>
        <w:t xml:space="preserve"> was conducted</w:t>
      </w:r>
      <w:r w:rsidR="00BA584C" w:rsidRPr="004542B5">
        <w:rPr>
          <w:noProof w:val="0"/>
          <w:szCs w:val="20"/>
          <w:lang w:val="en-US"/>
        </w:rPr>
        <w:t xml:space="preserve">, </w:t>
      </w:r>
      <w:r w:rsidR="00A4779D" w:rsidRPr="004542B5">
        <w:rPr>
          <w:noProof w:val="0"/>
          <w:szCs w:val="20"/>
          <w:lang w:val="en-US"/>
        </w:rPr>
        <w:t xml:space="preserve">with the help of members </w:t>
      </w:r>
      <w:r w:rsidR="004D0B27" w:rsidRPr="004542B5">
        <w:rPr>
          <w:noProof w:val="0"/>
          <w:szCs w:val="20"/>
          <w:lang w:val="en-US"/>
        </w:rPr>
        <w:t xml:space="preserve">of the </w:t>
      </w:r>
      <w:r w:rsidR="008C4E08" w:rsidRPr="004542B5">
        <w:rPr>
          <w:noProof w:val="0"/>
          <w:szCs w:val="20"/>
          <w:lang w:val="en-US"/>
        </w:rPr>
        <w:t xml:space="preserve">Kuna </w:t>
      </w:r>
      <w:r w:rsidR="004D0B27" w:rsidRPr="004542B5">
        <w:rPr>
          <w:noProof w:val="0"/>
          <w:szCs w:val="20"/>
          <w:lang w:val="en-US"/>
        </w:rPr>
        <w:t>Comarca</w:t>
      </w:r>
      <w:r w:rsidR="00BA584C" w:rsidRPr="004542B5">
        <w:rPr>
          <w:noProof w:val="0"/>
          <w:szCs w:val="20"/>
          <w:lang w:val="en-US"/>
        </w:rPr>
        <w:t>, correspondi</w:t>
      </w:r>
      <w:r w:rsidR="00A4779D" w:rsidRPr="004542B5">
        <w:rPr>
          <w:noProof w:val="0"/>
          <w:szCs w:val="20"/>
          <w:lang w:val="en-US"/>
        </w:rPr>
        <w:t>ng to an “area of settler territory</w:t>
      </w:r>
      <w:r w:rsidR="00BA584C" w:rsidRPr="004542B5">
        <w:rPr>
          <w:noProof w:val="0"/>
          <w:szCs w:val="20"/>
          <w:lang w:val="en-US"/>
        </w:rPr>
        <w:t xml:space="preserve">” </w:t>
      </w:r>
      <w:r w:rsidR="00A4779D" w:rsidRPr="004542B5">
        <w:rPr>
          <w:noProof w:val="0"/>
          <w:szCs w:val="20"/>
          <w:lang w:val="en-US"/>
        </w:rPr>
        <w:t>within the</w:t>
      </w:r>
      <w:r w:rsidR="00BA584C" w:rsidRPr="004542B5">
        <w:rPr>
          <w:noProof w:val="0"/>
          <w:szCs w:val="20"/>
          <w:lang w:val="en-US"/>
        </w:rPr>
        <w:t xml:space="preserve"> </w:t>
      </w:r>
      <w:r w:rsidR="00045DC1" w:rsidRPr="004542B5">
        <w:rPr>
          <w:noProof w:val="0"/>
          <w:szCs w:val="20"/>
          <w:lang w:val="en-US"/>
        </w:rPr>
        <w:t>Kuna Comarca of</w:t>
      </w:r>
      <w:r w:rsidR="00BA584C" w:rsidRPr="004542B5">
        <w:rPr>
          <w:noProof w:val="0"/>
          <w:szCs w:val="20"/>
          <w:lang w:val="en-US"/>
        </w:rPr>
        <w:t xml:space="preserve"> Madungandí</w:t>
      </w:r>
      <w:r w:rsidR="00A4779D" w:rsidRPr="004542B5">
        <w:rPr>
          <w:noProof w:val="0"/>
          <w:szCs w:val="20"/>
          <w:lang w:val="en-US"/>
        </w:rPr>
        <w:t>.</w:t>
      </w:r>
      <w:r w:rsidR="00BA584C" w:rsidRPr="004542B5">
        <w:rPr>
          <w:rStyle w:val="FootnoteReference"/>
          <w:noProof w:val="0"/>
          <w:lang w:val="en-US"/>
        </w:rPr>
        <w:footnoteReference w:id="135"/>
      </w:r>
      <w:r w:rsidR="00A4779D" w:rsidRPr="004542B5">
        <w:rPr>
          <w:noProof w:val="0"/>
          <w:szCs w:val="20"/>
          <w:lang w:val="en-US"/>
        </w:rPr>
        <w:t xml:space="preserve"> On the same dates, an on-site inspection and verification was carried out of the </w:t>
      </w:r>
      <w:r w:rsidR="00D21F9E" w:rsidRPr="004542B5">
        <w:rPr>
          <w:noProof w:val="0"/>
          <w:szCs w:val="20"/>
          <w:lang w:val="en-US"/>
        </w:rPr>
        <w:t>b</w:t>
      </w:r>
      <w:r w:rsidR="00D21F9E" w:rsidRPr="004542B5">
        <w:rPr>
          <w:rFonts w:cs="Tahoma"/>
          <w:noProof w:val="0"/>
          <w:szCs w:val="20"/>
          <w:lang w:val="en-US"/>
        </w:rPr>
        <w:t>oundaries</w:t>
      </w:r>
      <w:r w:rsidR="00A4779D" w:rsidRPr="004542B5">
        <w:rPr>
          <w:noProof w:val="0"/>
          <w:szCs w:val="20"/>
          <w:lang w:val="en-US"/>
        </w:rPr>
        <w:t xml:space="preserve"> of the </w:t>
      </w:r>
      <w:r w:rsidR="00E74A3B" w:rsidRPr="004542B5">
        <w:rPr>
          <w:noProof w:val="0"/>
          <w:szCs w:val="20"/>
          <w:lang w:val="en-US"/>
        </w:rPr>
        <w:t>Piriatí Emberá</w:t>
      </w:r>
      <w:r w:rsidR="00A4779D" w:rsidRPr="004542B5">
        <w:rPr>
          <w:noProof w:val="0"/>
          <w:szCs w:val="20"/>
          <w:lang w:val="en-US"/>
        </w:rPr>
        <w:t xml:space="preserve"> territory</w:t>
      </w:r>
      <w:r w:rsidR="00BA584C" w:rsidRPr="004542B5">
        <w:rPr>
          <w:rStyle w:val="FootnoteReference"/>
          <w:noProof w:val="0"/>
          <w:lang w:val="en-US"/>
        </w:rPr>
        <w:footnoteReference w:id="136"/>
      </w:r>
      <w:r w:rsidR="00CD2B90" w:rsidRPr="004542B5">
        <w:rPr>
          <w:noProof w:val="0"/>
          <w:szCs w:val="20"/>
          <w:lang w:val="en-US"/>
        </w:rPr>
        <w:t xml:space="preserve"> and </w:t>
      </w:r>
      <w:r w:rsidR="00A4779D" w:rsidRPr="004542B5">
        <w:rPr>
          <w:noProof w:val="0"/>
          <w:szCs w:val="20"/>
          <w:lang w:val="en-US"/>
        </w:rPr>
        <w:t>from November 27 to December 3,</w:t>
      </w:r>
      <w:r w:rsidR="00BA584C" w:rsidRPr="004542B5">
        <w:rPr>
          <w:noProof w:val="0"/>
          <w:szCs w:val="20"/>
          <w:lang w:val="en-US"/>
        </w:rPr>
        <w:t xml:space="preserve"> 2013</w:t>
      </w:r>
      <w:r w:rsidR="00A4779D" w:rsidRPr="004542B5">
        <w:rPr>
          <w:noProof w:val="0"/>
          <w:szCs w:val="20"/>
          <w:lang w:val="en-US"/>
        </w:rPr>
        <w:t xml:space="preserve">, an on-site inspection and verification was conducted on the </w:t>
      </w:r>
      <w:r w:rsidR="00D21F9E" w:rsidRPr="004542B5">
        <w:rPr>
          <w:noProof w:val="0"/>
          <w:szCs w:val="20"/>
          <w:lang w:val="en-US"/>
        </w:rPr>
        <w:t>b</w:t>
      </w:r>
      <w:r w:rsidR="00D21F9E" w:rsidRPr="004542B5">
        <w:rPr>
          <w:rFonts w:cs="Tahoma"/>
          <w:noProof w:val="0"/>
          <w:szCs w:val="20"/>
          <w:lang w:val="en-US"/>
        </w:rPr>
        <w:t xml:space="preserve">oundaries </w:t>
      </w:r>
      <w:r w:rsidR="00A4779D" w:rsidRPr="004542B5">
        <w:rPr>
          <w:noProof w:val="0"/>
          <w:szCs w:val="20"/>
          <w:lang w:val="en-US"/>
        </w:rPr>
        <w:t xml:space="preserve">of the </w:t>
      </w:r>
      <w:r w:rsidR="00E74A3B" w:rsidRPr="004542B5">
        <w:rPr>
          <w:noProof w:val="0"/>
          <w:szCs w:val="20"/>
          <w:lang w:val="en-US"/>
        </w:rPr>
        <w:t>Ipetí Emberá</w:t>
      </w:r>
      <w:r w:rsidR="00A4779D" w:rsidRPr="004542B5">
        <w:rPr>
          <w:noProof w:val="0"/>
          <w:szCs w:val="20"/>
          <w:lang w:val="en-US"/>
        </w:rPr>
        <w:t xml:space="preserve"> territory.</w:t>
      </w:r>
      <w:r w:rsidR="00BA584C" w:rsidRPr="004542B5">
        <w:rPr>
          <w:rStyle w:val="FootnoteReference"/>
          <w:noProof w:val="0"/>
          <w:lang w:val="en-US"/>
        </w:rPr>
        <w:footnoteReference w:id="137"/>
      </w:r>
      <w:r w:rsidR="007B47B1" w:rsidRPr="004542B5">
        <w:rPr>
          <w:noProof w:val="0"/>
          <w:szCs w:val="20"/>
          <w:lang w:val="en-US"/>
        </w:rPr>
        <w:t xml:space="preserve"> </w:t>
      </w:r>
    </w:p>
    <w:p w14:paraId="36255606" w14:textId="6B054443" w:rsidR="00DC5DDA" w:rsidRPr="004542B5" w:rsidRDefault="001A3088" w:rsidP="001A3088">
      <w:pPr>
        <w:pStyle w:val="ListParagraph"/>
        <w:numPr>
          <w:ilvl w:val="0"/>
          <w:numId w:val="2"/>
        </w:numPr>
        <w:spacing w:before="120"/>
        <w:contextualSpacing w:val="0"/>
        <w:rPr>
          <w:noProof w:val="0"/>
          <w:szCs w:val="20"/>
          <w:lang w:val="en-US"/>
        </w:rPr>
      </w:pPr>
      <w:r w:rsidRPr="004542B5">
        <w:rPr>
          <w:noProof w:val="0"/>
          <w:szCs w:val="20"/>
          <w:lang w:val="en-US"/>
        </w:rPr>
        <w:lastRenderedPageBreak/>
        <w:t xml:space="preserve">According to the evidence provided by the State, the title to the </w:t>
      </w:r>
      <w:r w:rsidR="00E74A3B" w:rsidRPr="004542B5">
        <w:rPr>
          <w:noProof w:val="0"/>
          <w:szCs w:val="20"/>
          <w:lang w:val="en-US"/>
        </w:rPr>
        <w:t>Ipetí Emberá</w:t>
      </w:r>
      <w:r w:rsidR="00BA584C" w:rsidRPr="004542B5">
        <w:rPr>
          <w:noProof w:val="0"/>
          <w:szCs w:val="20"/>
          <w:lang w:val="en-US"/>
        </w:rPr>
        <w:t xml:space="preserve"> </w:t>
      </w:r>
      <w:r w:rsidRPr="004542B5">
        <w:rPr>
          <w:noProof w:val="0"/>
          <w:szCs w:val="20"/>
          <w:lang w:val="en-US"/>
        </w:rPr>
        <w:t>lands is presumably being processed.</w:t>
      </w:r>
      <w:r w:rsidR="00BA584C" w:rsidRPr="004542B5">
        <w:rPr>
          <w:rStyle w:val="FootnoteReference"/>
          <w:noProof w:val="0"/>
          <w:lang w:val="en-US"/>
        </w:rPr>
        <w:footnoteReference w:id="138"/>
      </w:r>
      <w:r w:rsidR="00BA584C" w:rsidRPr="004542B5">
        <w:rPr>
          <w:noProof w:val="0"/>
          <w:szCs w:val="20"/>
          <w:lang w:val="en-US"/>
        </w:rPr>
        <w:t xml:space="preserve"> </w:t>
      </w:r>
      <w:r w:rsidRPr="004542B5">
        <w:rPr>
          <w:noProof w:val="0"/>
          <w:szCs w:val="20"/>
          <w:lang w:val="en-US"/>
        </w:rPr>
        <w:t>Regarding the</w:t>
      </w:r>
      <w:r w:rsidR="00BA584C" w:rsidRPr="004542B5">
        <w:rPr>
          <w:noProof w:val="0"/>
          <w:szCs w:val="20"/>
          <w:lang w:val="en-US"/>
        </w:rPr>
        <w:t xml:space="preserve"> Piriatí</w:t>
      </w:r>
      <w:r w:rsidRPr="004542B5">
        <w:rPr>
          <w:noProof w:val="0"/>
          <w:szCs w:val="20"/>
          <w:lang w:val="en-US"/>
        </w:rPr>
        <w:t xml:space="preserve"> lands</w:t>
      </w:r>
      <w:r w:rsidR="00BA584C" w:rsidRPr="004542B5">
        <w:rPr>
          <w:noProof w:val="0"/>
          <w:szCs w:val="20"/>
          <w:lang w:val="en-US"/>
        </w:rPr>
        <w:t>,</w:t>
      </w:r>
      <w:r w:rsidRPr="004542B5">
        <w:rPr>
          <w:noProof w:val="0"/>
          <w:szCs w:val="20"/>
          <w:lang w:val="en-US"/>
        </w:rPr>
        <w:t xml:space="preserve"> in their final written arguments,</w:t>
      </w:r>
      <w:r w:rsidR="00BA584C" w:rsidRPr="004542B5">
        <w:rPr>
          <w:noProof w:val="0"/>
          <w:szCs w:val="20"/>
          <w:lang w:val="en-US"/>
        </w:rPr>
        <w:t xml:space="preserve"> </w:t>
      </w:r>
      <w:r w:rsidR="00562CBB" w:rsidRPr="004542B5">
        <w:rPr>
          <w:noProof w:val="0"/>
          <w:szCs w:val="20"/>
          <w:lang w:val="en-US"/>
        </w:rPr>
        <w:t>the representatives</w:t>
      </w:r>
      <w:r w:rsidR="00BA584C" w:rsidRPr="004542B5">
        <w:rPr>
          <w:noProof w:val="0"/>
          <w:szCs w:val="20"/>
          <w:lang w:val="en-US"/>
        </w:rPr>
        <w:t xml:space="preserve"> </w:t>
      </w:r>
      <w:r w:rsidRPr="004542B5">
        <w:rPr>
          <w:noProof w:val="0"/>
          <w:szCs w:val="20"/>
          <w:lang w:val="en-US"/>
        </w:rPr>
        <w:t>indicated that “on May 2, [2014,]” the title to collective ownership of the Piriatí lands had been granted and provided a document dated April 30, 2014,</w:t>
      </w:r>
      <w:r w:rsidR="00BA584C" w:rsidRPr="004542B5">
        <w:rPr>
          <w:rStyle w:val="FootnoteReference"/>
          <w:noProof w:val="0"/>
          <w:lang w:val="en-US"/>
        </w:rPr>
        <w:footnoteReference w:id="139"/>
      </w:r>
      <w:r w:rsidRPr="004542B5">
        <w:rPr>
          <w:noProof w:val="0"/>
          <w:szCs w:val="20"/>
          <w:lang w:val="en-US"/>
        </w:rPr>
        <w:t xml:space="preserve"> which effectively grants the </w:t>
      </w:r>
      <w:r w:rsidR="00E74A3B" w:rsidRPr="004542B5">
        <w:rPr>
          <w:noProof w:val="0"/>
          <w:szCs w:val="20"/>
          <w:lang w:val="en-US"/>
        </w:rPr>
        <w:t>Piriatí Emberá</w:t>
      </w:r>
      <w:r w:rsidRPr="004542B5">
        <w:rPr>
          <w:noProof w:val="0"/>
          <w:szCs w:val="20"/>
          <w:lang w:val="en-US"/>
        </w:rPr>
        <w:t xml:space="preserve"> community</w:t>
      </w:r>
      <w:r w:rsidR="00D47151" w:rsidRPr="004542B5">
        <w:rPr>
          <w:noProof w:val="0"/>
          <w:szCs w:val="20"/>
          <w:lang w:val="en-US"/>
        </w:rPr>
        <w:t xml:space="preserve"> title to collective ownership</w:t>
      </w:r>
      <w:r w:rsidRPr="004542B5">
        <w:rPr>
          <w:noProof w:val="0"/>
          <w:szCs w:val="20"/>
          <w:lang w:val="en-US"/>
        </w:rPr>
        <w:t xml:space="preserve"> of two parcels of land measuring</w:t>
      </w:r>
      <w:r w:rsidR="00BA584C" w:rsidRPr="004542B5">
        <w:rPr>
          <w:noProof w:val="0"/>
          <w:szCs w:val="20"/>
          <w:lang w:val="en-US"/>
        </w:rPr>
        <w:t xml:space="preserve"> 265 </w:t>
      </w:r>
      <w:r w:rsidRPr="004542B5">
        <w:rPr>
          <w:noProof w:val="0"/>
          <w:szCs w:val="20"/>
          <w:lang w:val="en-US"/>
        </w:rPr>
        <w:t>hectares</w:t>
      </w:r>
      <w:r w:rsidR="00CD2B90" w:rsidRPr="004542B5">
        <w:rPr>
          <w:noProof w:val="0"/>
          <w:szCs w:val="20"/>
          <w:lang w:val="en-US"/>
        </w:rPr>
        <w:t xml:space="preserve"> and </w:t>
      </w:r>
      <w:r w:rsidR="00BA584C" w:rsidRPr="004542B5">
        <w:rPr>
          <w:noProof w:val="0"/>
          <w:szCs w:val="20"/>
          <w:lang w:val="en-US"/>
        </w:rPr>
        <w:t>3</w:t>
      </w:r>
      <w:r w:rsidRPr="004542B5">
        <w:rPr>
          <w:noProof w:val="0"/>
          <w:szCs w:val="20"/>
          <w:lang w:val="en-US"/>
        </w:rPr>
        <w:t>,</w:t>
      </w:r>
      <w:r w:rsidR="00BA584C" w:rsidRPr="004542B5">
        <w:rPr>
          <w:noProof w:val="0"/>
          <w:szCs w:val="20"/>
          <w:lang w:val="en-US"/>
        </w:rPr>
        <w:t>840</w:t>
      </w:r>
      <w:r w:rsidRPr="004542B5">
        <w:rPr>
          <w:noProof w:val="0"/>
          <w:szCs w:val="20"/>
          <w:lang w:val="en-US"/>
        </w:rPr>
        <w:t>.</w:t>
      </w:r>
      <w:r w:rsidR="00BA584C" w:rsidRPr="004542B5">
        <w:rPr>
          <w:noProof w:val="0"/>
          <w:szCs w:val="20"/>
          <w:lang w:val="en-US"/>
        </w:rPr>
        <w:t>95</w:t>
      </w:r>
      <w:r w:rsidR="00E01664" w:rsidRPr="004542B5">
        <w:rPr>
          <w:noProof w:val="0"/>
          <w:szCs w:val="20"/>
          <w:lang w:val="en-US"/>
        </w:rPr>
        <w:t xml:space="preserve"> </w:t>
      </w:r>
      <w:r w:rsidR="00BA584C" w:rsidRPr="004542B5">
        <w:rPr>
          <w:noProof w:val="0"/>
          <w:szCs w:val="20"/>
          <w:lang w:val="en-US"/>
        </w:rPr>
        <w:t>m</w:t>
      </w:r>
      <w:r w:rsidR="00BA584C" w:rsidRPr="004542B5">
        <w:rPr>
          <w:noProof w:val="0"/>
          <w:szCs w:val="20"/>
          <w:vertAlign w:val="superscript"/>
          <w:lang w:val="en-US"/>
        </w:rPr>
        <w:t>2</w:t>
      </w:r>
      <w:r w:rsidR="00BA584C" w:rsidRPr="004542B5">
        <w:rPr>
          <w:noProof w:val="0"/>
          <w:szCs w:val="20"/>
          <w:lang w:val="en-US"/>
        </w:rPr>
        <w:t xml:space="preserve">, </w:t>
      </w:r>
      <w:r w:rsidRPr="004542B5">
        <w:rPr>
          <w:noProof w:val="0"/>
          <w:szCs w:val="20"/>
          <w:lang w:val="en-US"/>
        </w:rPr>
        <w:t>and</w:t>
      </w:r>
      <w:r w:rsidR="00BA584C" w:rsidRPr="004542B5">
        <w:rPr>
          <w:noProof w:val="0"/>
          <w:szCs w:val="20"/>
          <w:lang w:val="en-US"/>
        </w:rPr>
        <w:t xml:space="preserve"> 3,678 </w:t>
      </w:r>
      <w:r w:rsidRPr="004542B5">
        <w:rPr>
          <w:noProof w:val="0"/>
          <w:szCs w:val="20"/>
          <w:lang w:val="en-US"/>
        </w:rPr>
        <w:t>hectares</w:t>
      </w:r>
      <w:r w:rsidR="00CD2B90" w:rsidRPr="004542B5">
        <w:rPr>
          <w:noProof w:val="0"/>
          <w:szCs w:val="20"/>
          <w:lang w:val="en-US"/>
        </w:rPr>
        <w:t xml:space="preserve"> and </w:t>
      </w:r>
      <w:r w:rsidR="00BA584C" w:rsidRPr="004542B5">
        <w:rPr>
          <w:noProof w:val="0"/>
          <w:szCs w:val="20"/>
          <w:lang w:val="en-US"/>
        </w:rPr>
        <w:t>4</w:t>
      </w:r>
      <w:r w:rsidRPr="004542B5">
        <w:rPr>
          <w:noProof w:val="0"/>
          <w:szCs w:val="20"/>
          <w:lang w:val="en-US"/>
        </w:rPr>
        <w:t>,</w:t>
      </w:r>
      <w:r w:rsidR="00BA584C" w:rsidRPr="004542B5">
        <w:rPr>
          <w:noProof w:val="0"/>
          <w:szCs w:val="20"/>
          <w:lang w:val="en-US"/>
        </w:rPr>
        <w:t>190.65</w:t>
      </w:r>
      <w:r w:rsidR="00E01664" w:rsidRPr="004542B5">
        <w:rPr>
          <w:noProof w:val="0"/>
          <w:szCs w:val="20"/>
          <w:lang w:val="en-US"/>
        </w:rPr>
        <w:t xml:space="preserve"> </w:t>
      </w:r>
      <w:r w:rsidR="00BA584C" w:rsidRPr="004542B5">
        <w:rPr>
          <w:noProof w:val="0"/>
          <w:szCs w:val="20"/>
          <w:lang w:val="en-US"/>
        </w:rPr>
        <w:t>m</w:t>
      </w:r>
      <w:r w:rsidR="00BA584C" w:rsidRPr="004542B5">
        <w:rPr>
          <w:noProof w:val="0"/>
          <w:szCs w:val="20"/>
          <w:vertAlign w:val="superscript"/>
          <w:lang w:val="en-US"/>
        </w:rPr>
        <w:t>2</w:t>
      </w:r>
      <w:r w:rsidR="00BA584C" w:rsidRPr="004542B5">
        <w:rPr>
          <w:noProof w:val="0"/>
          <w:szCs w:val="20"/>
          <w:lang w:val="en-US"/>
        </w:rPr>
        <w:t>, respectiv</w:t>
      </w:r>
      <w:r w:rsidRPr="004542B5">
        <w:rPr>
          <w:noProof w:val="0"/>
          <w:szCs w:val="20"/>
          <w:lang w:val="en-US"/>
        </w:rPr>
        <w:t>ely</w:t>
      </w:r>
      <w:r w:rsidR="00BA584C" w:rsidRPr="004542B5">
        <w:rPr>
          <w:noProof w:val="0"/>
          <w:szCs w:val="20"/>
          <w:lang w:val="en-US"/>
        </w:rPr>
        <w:t xml:space="preserve">, </w:t>
      </w:r>
      <w:r w:rsidRPr="004542B5">
        <w:rPr>
          <w:noProof w:val="0"/>
          <w:szCs w:val="20"/>
          <w:lang w:val="en-US"/>
        </w:rPr>
        <w:t>located in the</w:t>
      </w:r>
      <w:r w:rsidR="00BA584C" w:rsidRPr="004542B5">
        <w:rPr>
          <w:noProof w:val="0"/>
          <w:szCs w:val="20"/>
          <w:lang w:val="en-US"/>
        </w:rPr>
        <w:t xml:space="preserve"> </w:t>
      </w:r>
      <w:r w:rsidR="00BA584C" w:rsidRPr="004542B5">
        <w:rPr>
          <w:i/>
          <w:iCs/>
          <w:noProof w:val="0"/>
          <w:szCs w:val="20"/>
          <w:lang w:val="en-US"/>
        </w:rPr>
        <w:t>corregimiento</w:t>
      </w:r>
      <w:r w:rsidR="00BA584C" w:rsidRPr="004542B5">
        <w:rPr>
          <w:noProof w:val="0"/>
          <w:szCs w:val="20"/>
          <w:lang w:val="en-US"/>
        </w:rPr>
        <w:t xml:space="preserve"> </w:t>
      </w:r>
      <w:r w:rsidRPr="004542B5">
        <w:rPr>
          <w:noProof w:val="0"/>
          <w:szCs w:val="20"/>
          <w:lang w:val="en-US"/>
        </w:rPr>
        <w:t>of</w:t>
      </w:r>
      <w:r w:rsidR="00BA584C" w:rsidRPr="004542B5">
        <w:rPr>
          <w:noProof w:val="0"/>
          <w:szCs w:val="20"/>
          <w:lang w:val="en-US"/>
        </w:rPr>
        <w:t xml:space="preserve"> Tortí, </w:t>
      </w:r>
      <w:r w:rsidRPr="004542B5">
        <w:rPr>
          <w:noProof w:val="0"/>
          <w:szCs w:val="20"/>
          <w:lang w:val="en-US"/>
        </w:rPr>
        <w:t>Chepo district.</w:t>
      </w:r>
      <w:r w:rsidR="00BA584C" w:rsidRPr="004542B5">
        <w:rPr>
          <w:rStyle w:val="FootnoteReference"/>
          <w:noProof w:val="0"/>
          <w:lang w:val="en-US"/>
        </w:rPr>
        <w:footnoteReference w:id="140"/>
      </w:r>
      <w:r w:rsidRPr="004542B5">
        <w:rPr>
          <w:noProof w:val="0"/>
          <w:szCs w:val="20"/>
          <w:lang w:val="en-US"/>
        </w:rPr>
        <w:t xml:space="preserve"> In this regard,</w:t>
      </w:r>
      <w:r w:rsidR="00BA584C" w:rsidRPr="004542B5">
        <w:rPr>
          <w:noProof w:val="0"/>
          <w:szCs w:val="20"/>
          <w:lang w:val="en-US"/>
        </w:rPr>
        <w:t xml:space="preserve"> </w:t>
      </w:r>
      <w:r w:rsidR="00562CBB" w:rsidRPr="004542B5">
        <w:rPr>
          <w:noProof w:val="0"/>
          <w:szCs w:val="20"/>
          <w:lang w:val="en-US"/>
        </w:rPr>
        <w:t>the representatives</w:t>
      </w:r>
      <w:r w:rsidR="00BA584C" w:rsidRPr="004542B5">
        <w:rPr>
          <w:noProof w:val="0"/>
          <w:szCs w:val="20"/>
          <w:lang w:val="en-US"/>
        </w:rPr>
        <w:t xml:space="preserve"> al</w:t>
      </w:r>
      <w:r w:rsidRPr="004542B5">
        <w:rPr>
          <w:noProof w:val="0"/>
          <w:szCs w:val="20"/>
          <w:lang w:val="en-US"/>
        </w:rPr>
        <w:t>leged that the State had grante</w:t>
      </w:r>
      <w:r w:rsidR="00D47151" w:rsidRPr="004542B5">
        <w:rPr>
          <w:noProof w:val="0"/>
          <w:szCs w:val="20"/>
          <w:lang w:val="en-US"/>
        </w:rPr>
        <w:t>d C.C.M.</w:t>
      </w:r>
      <w:r w:rsidRPr="004542B5">
        <w:rPr>
          <w:noProof w:val="0"/>
          <w:szCs w:val="20"/>
          <w:lang w:val="en-US"/>
        </w:rPr>
        <w:t xml:space="preserve"> title to at least</w:t>
      </w:r>
      <w:r w:rsidR="00D47151" w:rsidRPr="004542B5">
        <w:rPr>
          <w:noProof w:val="0"/>
          <w:szCs w:val="20"/>
          <w:lang w:val="en-US"/>
        </w:rPr>
        <w:t xml:space="preserve"> part </w:t>
      </w:r>
      <w:r w:rsidRPr="004542B5">
        <w:rPr>
          <w:noProof w:val="0"/>
          <w:szCs w:val="20"/>
          <w:lang w:val="en-US"/>
        </w:rPr>
        <w:t xml:space="preserve">of these lands in 2012 </w:t>
      </w:r>
      <w:r w:rsidR="00BA584C" w:rsidRPr="004542B5">
        <w:rPr>
          <w:noProof w:val="0"/>
          <w:szCs w:val="20"/>
          <w:lang w:val="en-US"/>
        </w:rPr>
        <w:t>(</w:t>
      </w:r>
      <w:r w:rsidR="00BA584C" w:rsidRPr="004542B5">
        <w:rPr>
          <w:i/>
          <w:noProof w:val="0"/>
          <w:szCs w:val="20"/>
          <w:lang w:val="en-US"/>
        </w:rPr>
        <w:t>supra</w:t>
      </w:r>
      <w:r w:rsidR="00BA584C" w:rsidRPr="004542B5">
        <w:rPr>
          <w:noProof w:val="0"/>
          <w:szCs w:val="20"/>
          <w:lang w:val="en-US"/>
        </w:rPr>
        <w:t xml:space="preserve"> </w:t>
      </w:r>
      <w:r w:rsidR="00F66B76" w:rsidRPr="004542B5">
        <w:rPr>
          <w:noProof w:val="0"/>
          <w:szCs w:val="20"/>
          <w:lang w:val="en-US"/>
        </w:rPr>
        <w:t>para.</w:t>
      </w:r>
      <w:r w:rsidR="00BA584C" w:rsidRPr="004542B5">
        <w:rPr>
          <w:noProof w:val="0"/>
          <w:szCs w:val="20"/>
          <w:lang w:val="en-US"/>
        </w:rPr>
        <w:t xml:space="preserve"> 80). </w:t>
      </w:r>
      <w:r w:rsidRPr="004542B5">
        <w:rPr>
          <w:noProof w:val="0"/>
          <w:szCs w:val="20"/>
          <w:lang w:val="en-US"/>
        </w:rPr>
        <w:t>They also forwarded an agreement dated November 27,</w:t>
      </w:r>
      <w:r w:rsidR="00BA584C" w:rsidRPr="004542B5">
        <w:rPr>
          <w:noProof w:val="0"/>
          <w:szCs w:val="20"/>
          <w:lang w:val="en-US"/>
        </w:rPr>
        <w:t xml:space="preserve"> 2013, </w:t>
      </w:r>
      <w:r w:rsidRPr="004542B5">
        <w:rPr>
          <w:noProof w:val="0"/>
          <w:szCs w:val="20"/>
          <w:lang w:val="en-US"/>
        </w:rPr>
        <w:t>signed by indigenous</w:t>
      </w:r>
      <w:r w:rsidR="00BA584C" w:rsidRPr="004542B5">
        <w:rPr>
          <w:noProof w:val="0"/>
          <w:szCs w:val="20"/>
          <w:lang w:val="en-US"/>
        </w:rPr>
        <w:t xml:space="preserve"> </w:t>
      </w:r>
      <w:r w:rsidR="00FD22C3" w:rsidRPr="004542B5">
        <w:rPr>
          <w:noProof w:val="0"/>
          <w:szCs w:val="20"/>
          <w:lang w:val="en-US"/>
        </w:rPr>
        <w:t>representatives</w:t>
      </w:r>
      <w:r w:rsidR="00BA584C" w:rsidRPr="004542B5">
        <w:rPr>
          <w:noProof w:val="0"/>
          <w:szCs w:val="20"/>
          <w:lang w:val="en-US"/>
        </w:rPr>
        <w:t xml:space="preserve"> </w:t>
      </w:r>
      <w:r w:rsidR="00CD2B90" w:rsidRPr="004542B5">
        <w:rPr>
          <w:noProof w:val="0"/>
          <w:szCs w:val="20"/>
          <w:lang w:val="en-US"/>
        </w:rPr>
        <w:t xml:space="preserve">and </w:t>
      </w:r>
      <w:r w:rsidRPr="004542B5">
        <w:rPr>
          <w:noProof w:val="0"/>
          <w:szCs w:val="20"/>
          <w:lang w:val="en-US"/>
        </w:rPr>
        <w:t>a representative of</w:t>
      </w:r>
      <w:r w:rsidR="00BA584C" w:rsidRPr="004542B5">
        <w:rPr>
          <w:noProof w:val="0"/>
          <w:szCs w:val="20"/>
          <w:lang w:val="en-US"/>
        </w:rPr>
        <w:t xml:space="preserve"> ANATI, </w:t>
      </w:r>
      <w:r w:rsidRPr="004542B5">
        <w:rPr>
          <w:noProof w:val="0"/>
          <w:szCs w:val="20"/>
          <w:lang w:val="en-US"/>
        </w:rPr>
        <w:t xml:space="preserve">which indicates that the latter undertook “[t]o annul the administrative act adjudicating lands to </w:t>
      </w:r>
      <w:r w:rsidR="001407F4" w:rsidRPr="004542B5">
        <w:rPr>
          <w:noProof w:val="0"/>
          <w:szCs w:val="20"/>
          <w:lang w:val="en-US"/>
        </w:rPr>
        <w:t>[</w:t>
      </w:r>
      <w:r w:rsidR="001407F4" w:rsidRPr="004542B5">
        <w:rPr>
          <w:noProof w:val="0"/>
          <w:szCs w:val="16"/>
          <w:lang w:val="en-US"/>
        </w:rPr>
        <w:t>C.C.M.]</w:t>
      </w:r>
      <w:r w:rsidRPr="004542B5">
        <w:rPr>
          <w:noProof w:val="0"/>
          <w:szCs w:val="16"/>
          <w:lang w:val="en-US"/>
        </w:rPr>
        <w:t>.</w:t>
      </w:r>
      <w:r w:rsidR="00BA584C" w:rsidRPr="004542B5">
        <w:rPr>
          <w:noProof w:val="0"/>
          <w:szCs w:val="20"/>
          <w:lang w:val="en-US"/>
        </w:rPr>
        <w:t>”</w:t>
      </w:r>
      <w:r w:rsidR="00BA584C" w:rsidRPr="004542B5">
        <w:rPr>
          <w:rStyle w:val="FootnoteReference"/>
          <w:noProof w:val="0"/>
          <w:lang w:val="en-US"/>
        </w:rPr>
        <w:footnoteReference w:id="141"/>
      </w:r>
      <w:r w:rsidR="00BA584C" w:rsidRPr="004542B5">
        <w:rPr>
          <w:noProof w:val="0"/>
          <w:szCs w:val="20"/>
          <w:lang w:val="en-US"/>
        </w:rPr>
        <w:t xml:space="preserve"> </w:t>
      </w:r>
      <w:r w:rsidR="00EB726F" w:rsidRPr="004542B5">
        <w:rPr>
          <w:noProof w:val="0"/>
          <w:szCs w:val="20"/>
          <w:lang w:val="en-US"/>
        </w:rPr>
        <w:t>However, no evidence was provided to prove that the said title had been annulled.</w:t>
      </w:r>
      <w:r w:rsidR="00BA584C" w:rsidRPr="004542B5">
        <w:rPr>
          <w:rStyle w:val="FootnoteReference"/>
          <w:noProof w:val="0"/>
          <w:lang w:val="en-US"/>
        </w:rPr>
        <w:footnoteReference w:id="142"/>
      </w:r>
    </w:p>
    <w:p w14:paraId="5162074F" w14:textId="0241C40B" w:rsidR="00DC5DDA" w:rsidRPr="004542B5" w:rsidRDefault="00EB726F" w:rsidP="00EB726F">
      <w:pPr>
        <w:pStyle w:val="ListParagraph"/>
        <w:numPr>
          <w:ilvl w:val="0"/>
          <w:numId w:val="2"/>
        </w:numPr>
        <w:tabs>
          <w:tab w:val="left" w:pos="720"/>
        </w:tabs>
        <w:spacing w:before="120"/>
        <w:contextualSpacing w:val="0"/>
        <w:rPr>
          <w:noProof w:val="0"/>
          <w:szCs w:val="20"/>
          <w:lang w:val="en-US"/>
        </w:rPr>
      </w:pPr>
      <w:r w:rsidRPr="004542B5">
        <w:rPr>
          <w:noProof w:val="0"/>
          <w:szCs w:val="20"/>
          <w:lang w:val="en-US"/>
        </w:rPr>
        <w:t xml:space="preserve">Finally, regarding the Kuna people, on </w:t>
      </w:r>
      <w:r w:rsidR="0089703A" w:rsidRPr="004542B5">
        <w:rPr>
          <w:noProof w:val="0"/>
          <w:szCs w:val="20"/>
          <w:lang w:val="en-US"/>
        </w:rPr>
        <w:t>February 23,</w:t>
      </w:r>
      <w:r w:rsidR="00BA584C" w:rsidRPr="004542B5">
        <w:rPr>
          <w:noProof w:val="0"/>
          <w:szCs w:val="20"/>
          <w:lang w:val="en-US"/>
        </w:rPr>
        <w:t xml:space="preserve"> 2014</w:t>
      </w:r>
      <w:r w:rsidRPr="004542B5">
        <w:rPr>
          <w:noProof w:val="0"/>
          <w:szCs w:val="20"/>
          <w:lang w:val="en-US"/>
        </w:rPr>
        <w:t xml:space="preserve">, the Minister of the Interior signed an “Undertaking” with the </w:t>
      </w:r>
      <w:r w:rsidR="00BA584C" w:rsidRPr="004542B5">
        <w:rPr>
          <w:noProof w:val="0"/>
          <w:szCs w:val="20"/>
          <w:lang w:val="en-US"/>
        </w:rPr>
        <w:t>Cacique</w:t>
      </w:r>
      <w:r w:rsidR="004D0B27" w:rsidRPr="004542B5">
        <w:rPr>
          <w:noProof w:val="0"/>
          <w:szCs w:val="20"/>
          <w:lang w:val="en-US"/>
        </w:rPr>
        <w:t xml:space="preserve"> of the </w:t>
      </w:r>
      <w:r w:rsidR="008C4E08" w:rsidRPr="004542B5">
        <w:rPr>
          <w:noProof w:val="0"/>
          <w:szCs w:val="20"/>
          <w:lang w:val="en-US"/>
        </w:rPr>
        <w:t xml:space="preserve">Kuna </w:t>
      </w:r>
      <w:r w:rsidR="004D0B27" w:rsidRPr="004542B5">
        <w:rPr>
          <w:noProof w:val="0"/>
          <w:szCs w:val="20"/>
          <w:lang w:val="en-US"/>
        </w:rPr>
        <w:t>Comarca</w:t>
      </w:r>
      <w:r w:rsidR="00BA584C" w:rsidRPr="004542B5">
        <w:rPr>
          <w:noProof w:val="0"/>
          <w:szCs w:val="20"/>
          <w:lang w:val="en-US"/>
        </w:rPr>
        <w:t xml:space="preserve"> </w:t>
      </w:r>
      <w:r w:rsidRPr="004542B5">
        <w:rPr>
          <w:noProof w:val="0"/>
          <w:szCs w:val="20"/>
          <w:lang w:val="en-US"/>
        </w:rPr>
        <w:t>which included a commitment “to take up the case of displacement as soon as possible” and that “the case would be dealt with by March 10,</w:t>
      </w:r>
      <w:r w:rsidR="00BA584C" w:rsidRPr="004542B5">
        <w:rPr>
          <w:noProof w:val="0"/>
          <w:szCs w:val="20"/>
          <w:lang w:val="en-US"/>
        </w:rPr>
        <w:t xml:space="preserve"> [2014]</w:t>
      </w:r>
      <w:r w:rsidRPr="004542B5">
        <w:rPr>
          <w:noProof w:val="0"/>
          <w:szCs w:val="20"/>
          <w:lang w:val="en-US"/>
        </w:rPr>
        <w:t>.</w:t>
      </w:r>
      <w:r w:rsidR="00BA584C" w:rsidRPr="004542B5">
        <w:rPr>
          <w:noProof w:val="0"/>
          <w:szCs w:val="20"/>
          <w:lang w:val="en-US"/>
        </w:rPr>
        <w:t>”</w:t>
      </w:r>
      <w:r w:rsidR="00BA584C" w:rsidRPr="004542B5">
        <w:rPr>
          <w:rStyle w:val="FootnoteReference"/>
          <w:noProof w:val="0"/>
          <w:lang w:val="en-US"/>
        </w:rPr>
        <w:footnoteReference w:id="143"/>
      </w:r>
      <w:bookmarkStart w:id="223" w:name="_Toc383161756"/>
      <w:bookmarkStart w:id="224" w:name="_Toc383188385"/>
    </w:p>
    <w:p w14:paraId="38BF4774" w14:textId="2AA4F59B" w:rsidR="00DC5DDA" w:rsidRPr="004542B5" w:rsidRDefault="00B201CC" w:rsidP="00E01664">
      <w:pPr>
        <w:pStyle w:val="Heading2"/>
        <w:rPr>
          <w:rFonts w:cs="Tahoma"/>
          <w:b w:val="0"/>
          <w:noProof w:val="0"/>
          <w:lang w:val="en-US"/>
        </w:rPr>
      </w:pPr>
      <w:bookmarkStart w:id="225" w:name="_Toc393988482"/>
      <w:bookmarkStart w:id="226" w:name="_Toc394003986"/>
      <w:bookmarkStart w:id="227" w:name="_Toc45200879"/>
      <w:bookmarkEnd w:id="225"/>
      <w:bookmarkEnd w:id="226"/>
      <w:r w:rsidRPr="004542B5">
        <w:rPr>
          <w:rFonts w:cs="Tahoma"/>
          <w:noProof w:val="0"/>
          <w:lang w:val="en-US"/>
        </w:rPr>
        <w:t>Administrative and judicial actions file by</w:t>
      </w:r>
      <w:r w:rsidR="007B47B1" w:rsidRPr="004542B5">
        <w:rPr>
          <w:rFonts w:cs="Tahoma"/>
          <w:noProof w:val="0"/>
          <w:lang w:val="en-US"/>
        </w:rPr>
        <w:t xml:space="preserve"> </w:t>
      </w:r>
      <w:r w:rsidRPr="004542B5">
        <w:rPr>
          <w:rFonts w:cs="Tahoma"/>
          <w:noProof w:val="0"/>
          <w:lang w:val="en-US"/>
        </w:rPr>
        <w:t>the Kuna and Emberá peoples to protect their lands</w:t>
      </w:r>
      <w:bookmarkEnd w:id="227"/>
      <w:r w:rsidR="007B47B1" w:rsidRPr="004542B5">
        <w:rPr>
          <w:rFonts w:cs="Tahoma"/>
          <w:noProof w:val="0"/>
          <w:lang w:val="en-US"/>
        </w:rPr>
        <w:t xml:space="preserve"> </w:t>
      </w:r>
      <w:bookmarkStart w:id="228" w:name="_Toc383161757"/>
      <w:bookmarkStart w:id="229" w:name="_Toc383188386"/>
      <w:bookmarkEnd w:id="223"/>
      <w:bookmarkEnd w:id="224"/>
    </w:p>
    <w:p w14:paraId="1D24FA3F" w14:textId="3F1D26F0" w:rsidR="00DC5DDA" w:rsidRPr="004542B5" w:rsidRDefault="007B47B1" w:rsidP="00E01664">
      <w:pPr>
        <w:pStyle w:val="Heading3"/>
        <w:rPr>
          <w:rFonts w:cs="Tahoma"/>
          <w:noProof w:val="0"/>
          <w:lang w:val="en-US"/>
        </w:rPr>
      </w:pPr>
      <w:bookmarkStart w:id="230" w:name="_Toc45200880"/>
      <w:r w:rsidRPr="004542B5">
        <w:rPr>
          <w:rFonts w:cs="Tahoma"/>
          <w:noProof w:val="0"/>
          <w:lang w:val="en-US"/>
        </w:rPr>
        <w:t xml:space="preserve">H.1. </w:t>
      </w:r>
      <w:r w:rsidR="00B201CC" w:rsidRPr="004542B5">
        <w:rPr>
          <w:rFonts w:cs="Tahoma"/>
          <w:noProof w:val="0"/>
          <w:lang w:val="en-US"/>
        </w:rPr>
        <w:t>Communications and actions before local, provincial and national authorities</w:t>
      </w:r>
      <w:bookmarkEnd w:id="228"/>
      <w:bookmarkEnd w:id="229"/>
      <w:bookmarkEnd w:id="230"/>
    </w:p>
    <w:p w14:paraId="2EA0F2D8" w14:textId="668419A5" w:rsidR="00DC5DDA" w:rsidRPr="004542B5" w:rsidRDefault="00EB726F" w:rsidP="00E01664">
      <w:pPr>
        <w:pStyle w:val="ListParagraph"/>
        <w:numPr>
          <w:ilvl w:val="0"/>
          <w:numId w:val="2"/>
        </w:numPr>
        <w:spacing w:before="120"/>
        <w:contextualSpacing w:val="0"/>
        <w:rPr>
          <w:rFonts w:cs="Tahoma"/>
          <w:b/>
          <w:noProof w:val="0"/>
          <w:szCs w:val="20"/>
          <w:lang w:val="en-US"/>
        </w:rPr>
      </w:pPr>
      <w:r w:rsidRPr="004542B5">
        <w:rPr>
          <w:rFonts w:cs="Tahoma"/>
          <w:noProof w:val="0"/>
          <w:szCs w:val="20"/>
          <w:lang w:val="en-US"/>
        </w:rPr>
        <w:t>Since at least</w:t>
      </w:r>
      <w:r w:rsidR="00BA584C" w:rsidRPr="004542B5">
        <w:rPr>
          <w:rFonts w:cs="Tahoma"/>
          <w:noProof w:val="0"/>
          <w:szCs w:val="20"/>
          <w:lang w:val="en-US"/>
        </w:rPr>
        <w:t xml:space="preserve"> 1990, </w:t>
      </w:r>
      <w:r w:rsidR="00F3300A" w:rsidRPr="004542B5">
        <w:rPr>
          <w:rFonts w:cs="Tahoma"/>
          <w:noProof w:val="0"/>
          <w:szCs w:val="20"/>
          <w:lang w:val="en-US"/>
        </w:rPr>
        <w:t>the presumed victims</w:t>
      </w:r>
      <w:r w:rsidR="00BA584C" w:rsidRPr="004542B5">
        <w:rPr>
          <w:rFonts w:cs="Tahoma"/>
          <w:noProof w:val="0"/>
          <w:szCs w:val="20"/>
          <w:lang w:val="en-US"/>
        </w:rPr>
        <w:t xml:space="preserve"> ha</w:t>
      </w:r>
      <w:r w:rsidRPr="004542B5">
        <w:rPr>
          <w:rFonts w:cs="Tahoma"/>
          <w:noProof w:val="0"/>
          <w:szCs w:val="20"/>
          <w:lang w:val="en-US"/>
        </w:rPr>
        <w:t>ve taken different measures before authorities of the local, provincial and national governments, including the President of the Republic</w:t>
      </w:r>
      <w:r w:rsidR="00BF6519" w:rsidRPr="004542B5">
        <w:rPr>
          <w:rFonts w:cs="Tahoma"/>
          <w:noProof w:val="0"/>
          <w:szCs w:val="20"/>
          <w:lang w:val="en-US"/>
        </w:rPr>
        <w:t xml:space="preserve">, </w:t>
      </w:r>
      <w:r w:rsidRPr="004542B5">
        <w:rPr>
          <w:rFonts w:cs="Tahoma"/>
          <w:noProof w:val="0"/>
          <w:szCs w:val="20"/>
          <w:lang w:val="en-US"/>
        </w:rPr>
        <w:t>to call attention to their situation,</w:t>
      </w:r>
      <w:r w:rsidR="00BA584C" w:rsidRPr="004542B5">
        <w:rPr>
          <w:rStyle w:val="FootnoteReference"/>
          <w:noProof w:val="0"/>
          <w:lang w:val="en-US"/>
        </w:rPr>
        <w:footnoteReference w:id="144"/>
      </w:r>
      <w:r w:rsidRPr="004542B5">
        <w:rPr>
          <w:rFonts w:cs="Tahoma"/>
          <w:noProof w:val="0"/>
          <w:szCs w:val="20"/>
          <w:lang w:val="en-US"/>
        </w:rPr>
        <w:t xml:space="preserve"> and to demand compliance with the above-</w:t>
      </w:r>
      <w:r w:rsidRPr="004542B5">
        <w:rPr>
          <w:rFonts w:cs="Tahoma"/>
          <w:noProof w:val="0"/>
          <w:szCs w:val="20"/>
          <w:lang w:val="en-US"/>
        </w:rPr>
        <w:lastRenderedPageBreak/>
        <w:t>mentioned agreements and resolutions,</w:t>
      </w:r>
      <w:r w:rsidR="00BA584C" w:rsidRPr="004542B5">
        <w:rPr>
          <w:rStyle w:val="FootnoteReference"/>
          <w:noProof w:val="0"/>
          <w:lang w:val="en-US"/>
        </w:rPr>
        <w:footnoteReference w:id="145"/>
      </w:r>
      <w:r w:rsidR="00BA584C" w:rsidRPr="004542B5">
        <w:rPr>
          <w:rFonts w:cs="Tahoma"/>
          <w:noProof w:val="0"/>
          <w:szCs w:val="20"/>
          <w:lang w:val="en-US"/>
        </w:rPr>
        <w:t xml:space="preserve"> </w:t>
      </w:r>
      <w:r w:rsidRPr="004542B5">
        <w:rPr>
          <w:rFonts w:cs="Tahoma"/>
          <w:noProof w:val="0"/>
          <w:szCs w:val="20"/>
          <w:lang w:val="en-US"/>
        </w:rPr>
        <w:t>legal recognition of their lands,</w:t>
      </w:r>
      <w:r w:rsidR="00BA584C" w:rsidRPr="004542B5">
        <w:rPr>
          <w:rStyle w:val="FootnoteReference"/>
          <w:noProof w:val="0"/>
          <w:lang w:val="en-US"/>
        </w:rPr>
        <w:footnoteReference w:id="146"/>
      </w:r>
      <w:r w:rsidR="00CD2B90" w:rsidRPr="004542B5">
        <w:rPr>
          <w:rFonts w:cs="Tahoma"/>
          <w:noProof w:val="0"/>
          <w:szCs w:val="20"/>
          <w:lang w:val="en-US"/>
        </w:rPr>
        <w:t xml:space="preserve"> and </w:t>
      </w:r>
      <w:r w:rsidRPr="004542B5">
        <w:rPr>
          <w:rFonts w:cs="Tahoma"/>
          <w:noProof w:val="0"/>
          <w:szCs w:val="20"/>
          <w:lang w:val="en-US"/>
        </w:rPr>
        <w:t>the protection of th</w:t>
      </w:r>
      <w:r w:rsidR="00BF6519" w:rsidRPr="004542B5">
        <w:rPr>
          <w:rFonts w:cs="Tahoma"/>
          <w:noProof w:val="0"/>
          <w:szCs w:val="20"/>
          <w:lang w:val="en-US"/>
        </w:rPr>
        <w:t>o</w:t>
      </w:r>
      <w:r w:rsidRPr="004542B5">
        <w:rPr>
          <w:rFonts w:cs="Tahoma"/>
          <w:noProof w:val="0"/>
          <w:szCs w:val="20"/>
          <w:lang w:val="en-US"/>
        </w:rPr>
        <w:t>se lands from incursions by non-indigenous persons.</w:t>
      </w:r>
      <w:r w:rsidR="00BA584C" w:rsidRPr="004542B5">
        <w:rPr>
          <w:rStyle w:val="FootnoteReference"/>
          <w:noProof w:val="0"/>
          <w:lang w:val="en-US"/>
        </w:rPr>
        <w:footnoteReference w:id="147"/>
      </w:r>
      <w:r w:rsidR="007B47B1" w:rsidRPr="004542B5">
        <w:rPr>
          <w:rFonts w:cs="Tahoma"/>
          <w:noProof w:val="0"/>
          <w:szCs w:val="20"/>
          <w:lang w:val="en-US"/>
        </w:rPr>
        <w:t xml:space="preserve"> </w:t>
      </w:r>
    </w:p>
    <w:p w14:paraId="6F910588" w14:textId="58BE1A94" w:rsidR="00DC5DDA" w:rsidRPr="004542B5" w:rsidRDefault="007B47B1" w:rsidP="00E01664">
      <w:pPr>
        <w:pStyle w:val="Heading3"/>
        <w:rPr>
          <w:rFonts w:cs="Tahoma"/>
          <w:i w:val="0"/>
          <w:noProof w:val="0"/>
          <w:lang w:val="en-US"/>
        </w:rPr>
      </w:pPr>
      <w:bookmarkStart w:id="231" w:name="_Toc383161758"/>
      <w:bookmarkStart w:id="232" w:name="_Toc383188387"/>
      <w:bookmarkStart w:id="233" w:name="_Toc45200881"/>
      <w:r w:rsidRPr="004542B5">
        <w:rPr>
          <w:rFonts w:cs="Tahoma"/>
          <w:noProof w:val="0"/>
          <w:lang w:val="en-US"/>
        </w:rPr>
        <w:t xml:space="preserve">H.2. </w:t>
      </w:r>
      <w:r w:rsidR="00B201CC" w:rsidRPr="004542B5">
        <w:rPr>
          <w:rFonts w:cs="Tahoma"/>
          <w:noProof w:val="0"/>
          <w:lang w:val="en-US"/>
        </w:rPr>
        <w:t>Administrative and criminal proceedings filed by</w:t>
      </w:r>
      <w:r w:rsidRPr="004542B5">
        <w:rPr>
          <w:rFonts w:cs="Tahoma"/>
          <w:noProof w:val="0"/>
          <w:lang w:val="en-US"/>
        </w:rPr>
        <w:t xml:space="preserve"> </w:t>
      </w:r>
      <w:r w:rsidR="00F3300A" w:rsidRPr="004542B5">
        <w:rPr>
          <w:rFonts w:cs="Tahoma"/>
          <w:noProof w:val="0"/>
          <w:lang w:val="en-US"/>
        </w:rPr>
        <w:t>the presumed victims</w:t>
      </w:r>
      <w:bookmarkEnd w:id="231"/>
      <w:bookmarkEnd w:id="232"/>
      <w:bookmarkEnd w:id="233"/>
    </w:p>
    <w:p w14:paraId="298E3409" w14:textId="77FA4921" w:rsidR="003B7977" w:rsidRPr="004542B5" w:rsidRDefault="007B47B1" w:rsidP="00E01664">
      <w:pPr>
        <w:pStyle w:val="ListParagraph"/>
        <w:spacing w:before="240" w:after="240"/>
        <w:ind w:left="1434"/>
        <w:contextualSpacing w:val="0"/>
        <w:rPr>
          <w:rFonts w:cs="Tahoma"/>
          <w:i/>
          <w:noProof w:val="0"/>
          <w:szCs w:val="20"/>
          <w:lang w:val="en-US"/>
        </w:rPr>
      </w:pPr>
      <w:r w:rsidRPr="004542B5">
        <w:rPr>
          <w:rFonts w:cs="Tahoma"/>
          <w:i/>
          <w:noProof w:val="0"/>
          <w:szCs w:val="20"/>
          <w:lang w:val="en-US"/>
        </w:rPr>
        <w:t xml:space="preserve">H.2.1. </w:t>
      </w:r>
      <w:r w:rsidR="00EB726F" w:rsidRPr="004542B5">
        <w:rPr>
          <w:rFonts w:cs="Tahoma"/>
          <w:i/>
          <w:noProof w:val="0"/>
          <w:szCs w:val="20"/>
          <w:lang w:val="en-US"/>
        </w:rPr>
        <w:t>Administrative eviction procedures</w:t>
      </w:r>
    </w:p>
    <w:p w14:paraId="4F6EFA09" w14:textId="66FEA422" w:rsidR="00DC5DDA" w:rsidRPr="004542B5" w:rsidRDefault="00EB726F" w:rsidP="00EB726F">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April 5,</w:t>
      </w:r>
      <w:r w:rsidR="00BA584C" w:rsidRPr="004542B5">
        <w:rPr>
          <w:rFonts w:cs="Tahoma"/>
          <w:noProof w:val="0"/>
          <w:szCs w:val="20"/>
          <w:lang w:val="en-US"/>
        </w:rPr>
        <w:t xml:space="preserve"> 2002</w:t>
      </w:r>
      <w:r w:rsidRPr="004542B5">
        <w:rPr>
          <w:rFonts w:cs="Tahoma"/>
          <w:noProof w:val="0"/>
          <w:szCs w:val="20"/>
          <w:lang w:val="en-US"/>
        </w:rPr>
        <w:t>,</w:t>
      </w:r>
      <w:r w:rsidR="00BA584C" w:rsidRPr="004542B5">
        <w:rPr>
          <w:rFonts w:cs="Tahoma"/>
          <w:noProof w:val="0"/>
          <w:szCs w:val="20"/>
          <w:lang w:val="en-US"/>
        </w:rPr>
        <w:t xml:space="preserve"> </w:t>
      </w:r>
      <w:r w:rsidRPr="004542B5">
        <w:rPr>
          <w:rFonts w:cs="Tahoma"/>
          <w:noProof w:val="0"/>
          <w:szCs w:val="20"/>
          <w:lang w:val="en-US"/>
        </w:rPr>
        <w:t>the traditional authorities</w:t>
      </w:r>
      <w:r w:rsidR="004D0B27" w:rsidRPr="004542B5">
        <w:rPr>
          <w:rFonts w:cs="Tahoma"/>
          <w:noProof w:val="0"/>
          <w:szCs w:val="20"/>
          <w:lang w:val="en-US"/>
        </w:rPr>
        <w:t xml:space="preserve"> of the </w:t>
      </w:r>
      <w:r w:rsidR="008C4E08" w:rsidRPr="004542B5">
        <w:rPr>
          <w:rFonts w:cs="Tahoma"/>
          <w:noProof w:val="0"/>
          <w:szCs w:val="20"/>
          <w:lang w:val="en-US"/>
        </w:rPr>
        <w:t xml:space="preserve">Kuna </w:t>
      </w:r>
      <w:r w:rsidR="004D0B27" w:rsidRPr="004542B5">
        <w:rPr>
          <w:rFonts w:cs="Tahoma"/>
          <w:noProof w:val="0"/>
          <w:szCs w:val="20"/>
          <w:lang w:val="en-US"/>
        </w:rPr>
        <w:t>Comarca</w:t>
      </w:r>
      <w:r w:rsidRPr="004542B5">
        <w:rPr>
          <w:rFonts w:cs="Tahoma"/>
          <w:noProof w:val="0"/>
          <w:szCs w:val="20"/>
          <w:lang w:val="en-US"/>
        </w:rPr>
        <w:t xml:space="preserve"> filed an </w:t>
      </w:r>
      <w:r w:rsidR="000377AA" w:rsidRPr="004542B5">
        <w:rPr>
          <w:rFonts w:cs="Tahoma"/>
          <w:noProof w:val="0"/>
          <w:szCs w:val="20"/>
          <w:lang w:val="en-US"/>
        </w:rPr>
        <w:t>administrative procedure</w:t>
      </w:r>
      <w:r w:rsidRPr="004542B5">
        <w:rPr>
          <w:rFonts w:cs="Tahoma"/>
          <w:noProof w:val="0"/>
          <w:szCs w:val="20"/>
          <w:lang w:val="en-US"/>
        </w:rPr>
        <w:t xml:space="preserve"> before the mayor of the Chepo district against all non-indigenous occupants of the lands included within the borders of the Kuna Comarca and especially the Catriganti, Loma Bonita, Curtí and Wacuco communities</w:t>
      </w:r>
      <w:r w:rsidR="00930201" w:rsidRPr="004542B5">
        <w:rPr>
          <w:rFonts w:cs="Tahoma"/>
          <w:noProof w:val="0"/>
          <w:szCs w:val="20"/>
          <w:lang w:val="en-US"/>
        </w:rPr>
        <w:t>, requesting the eviction of the intruders</w:t>
      </w:r>
      <w:r w:rsidRPr="004542B5">
        <w:rPr>
          <w:rFonts w:cs="Tahoma"/>
          <w:noProof w:val="0"/>
          <w:szCs w:val="20"/>
          <w:lang w:val="en-US"/>
        </w:rPr>
        <w:t>.</w:t>
      </w:r>
      <w:r w:rsidR="00BA584C" w:rsidRPr="004542B5">
        <w:rPr>
          <w:rStyle w:val="FootnoteReference"/>
          <w:noProof w:val="0"/>
          <w:lang w:val="en-US"/>
        </w:rPr>
        <w:footnoteReference w:id="148"/>
      </w:r>
      <w:r w:rsidRPr="004542B5">
        <w:rPr>
          <w:rFonts w:cs="Tahoma"/>
          <w:noProof w:val="0"/>
          <w:szCs w:val="20"/>
          <w:lang w:val="en-US"/>
        </w:rPr>
        <w:t xml:space="preserve"> Given the lack of response for almost a year, on February 16, 2003, they submitted a request for the eviction of the settlers to the Governor of the </w:t>
      </w:r>
      <w:r w:rsidR="00C437DD" w:rsidRPr="004542B5">
        <w:rPr>
          <w:rFonts w:cs="Tahoma"/>
          <w:noProof w:val="0"/>
          <w:szCs w:val="20"/>
          <w:lang w:val="en-US"/>
        </w:rPr>
        <w:t>province</w:t>
      </w:r>
      <w:r w:rsidRPr="004542B5">
        <w:rPr>
          <w:rFonts w:cs="Tahoma"/>
          <w:noProof w:val="0"/>
          <w:szCs w:val="20"/>
          <w:lang w:val="en-US"/>
        </w:rPr>
        <w:t xml:space="preserve"> of Panama</w:t>
      </w:r>
      <w:r w:rsidR="00BA584C" w:rsidRPr="004542B5">
        <w:rPr>
          <w:rStyle w:val="FootnoteReference"/>
          <w:noProof w:val="0"/>
          <w:lang w:val="en-US"/>
        </w:rPr>
        <w:footnoteReference w:id="149"/>
      </w:r>
      <w:r w:rsidR="00CD2B90" w:rsidRPr="004542B5">
        <w:rPr>
          <w:rFonts w:cs="Tahoma"/>
          <w:noProof w:val="0"/>
          <w:szCs w:val="20"/>
          <w:lang w:val="en-US"/>
        </w:rPr>
        <w:t xml:space="preserve"> and</w:t>
      </w:r>
      <w:r w:rsidRPr="004542B5">
        <w:rPr>
          <w:rFonts w:cs="Tahoma"/>
          <w:noProof w:val="0"/>
          <w:szCs w:val="20"/>
          <w:lang w:val="en-US"/>
        </w:rPr>
        <w:t>, on March 7 that year, they filed a formal eviction request before th</w:t>
      </w:r>
      <w:r w:rsidR="00713770" w:rsidRPr="004542B5">
        <w:rPr>
          <w:rFonts w:cs="Tahoma"/>
          <w:noProof w:val="0"/>
          <w:szCs w:val="20"/>
          <w:lang w:val="en-US"/>
        </w:rPr>
        <w:t>e said</w:t>
      </w:r>
      <w:r w:rsidRPr="004542B5">
        <w:rPr>
          <w:rFonts w:cs="Tahoma"/>
          <w:noProof w:val="0"/>
          <w:szCs w:val="20"/>
          <w:lang w:val="en-US"/>
        </w:rPr>
        <w:t xml:space="preserve"> authority.</w:t>
      </w:r>
      <w:r w:rsidR="00BA584C" w:rsidRPr="004542B5">
        <w:rPr>
          <w:rStyle w:val="FootnoteReference"/>
          <w:noProof w:val="0"/>
          <w:lang w:val="en-US"/>
        </w:rPr>
        <w:footnoteReference w:id="150"/>
      </w:r>
      <w:r w:rsidR="007B47B1" w:rsidRPr="004542B5">
        <w:rPr>
          <w:rFonts w:cs="Tahoma"/>
          <w:noProof w:val="0"/>
          <w:szCs w:val="20"/>
          <w:lang w:val="en-US"/>
        </w:rPr>
        <w:t xml:space="preserve"> </w:t>
      </w:r>
    </w:p>
    <w:p w14:paraId="6F7B1105" w14:textId="7980CCDE" w:rsidR="00DC5DDA" w:rsidRPr="004542B5" w:rsidRDefault="00EB726F" w:rsidP="00EB726F">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March 10,</w:t>
      </w:r>
      <w:r w:rsidR="00BA584C" w:rsidRPr="004542B5">
        <w:rPr>
          <w:rFonts w:cs="Tahoma"/>
          <w:noProof w:val="0"/>
          <w:szCs w:val="20"/>
          <w:lang w:val="en-US"/>
        </w:rPr>
        <w:t xml:space="preserve"> 2004</w:t>
      </w:r>
      <w:r w:rsidRPr="004542B5">
        <w:rPr>
          <w:rFonts w:cs="Tahoma"/>
          <w:noProof w:val="0"/>
          <w:szCs w:val="20"/>
          <w:lang w:val="en-US"/>
        </w:rPr>
        <w:t>, one year after the eviction request, the Governor of the province of Panama sent note No 033-04 to the Attorney General asking his opinion as to which authorities should examine th</w:t>
      </w:r>
      <w:r w:rsidR="00713770" w:rsidRPr="004542B5">
        <w:rPr>
          <w:rFonts w:cs="Tahoma"/>
          <w:noProof w:val="0"/>
          <w:szCs w:val="20"/>
          <w:lang w:val="en-US"/>
        </w:rPr>
        <w:t>is</w:t>
      </w:r>
      <w:r w:rsidRPr="004542B5">
        <w:rPr>
          <w:rFonts w:cs="Tahoma"/>
          <w:noProof w:val="0"/>
          <w:szCs w:val="20"/>
          <w:lang w:val="en-US"/>
        </w:rPr>
        <w:t xml:space="preserve"> request. In note </w:t>
      </w:r>
      <w:r w:rsidR="00E15EC0" w:rsidRPr="004542B5">
        <w:rPr>
          <w:rFonts w:cs="Tahoma"/>
          <w:noProof w:val="0"/>
          <w:szCs w:val="20"/>
          <w:lang w:val="en-US"/>
        </w:rPr>
        <w:t>C-</w:t>
      </w:r>
      <w:r w:rsidRPr="004542B5">
        <w:rPr>
          <w:rFonts w:cs="Tahoma"/>
          <w:noProof w:val="0"/>
          <w:szCs w:val="20"/>
          <w:lang w:val="en-US"/>
        </w:rPr>
        <w:t>No. 73 of March 31, 2004, the Attorney General responded that “the Governor of Panama could not examine the eviction request” and that it should be examined by “an official appointed especially by the President of the Republic, together with the Minister of the Interior and Justice.</w:t>
      </w:r>
      <w:r w:rsidR="00BA584C" w:rsidRPr="004542B5">
        <w:rPr>
          <w:rFonts w:cs="Tahoma"/>
          <w:noProof w:val="0"/>
          <w:szCs w:val="20"/>
          <w:lang w:val="en-US"/>
        </w:rPr>
        <w:t>”</w:t>
      </w:r>
      <w:r w:rsidR="00BA584C" w:rsidRPr="004542B5">
        <w:rPr>
          <w:rStyle w:val="FootnoteReference"/>
          <w:noProof w:val="0"/>
          <w:lang w:val="en-US"/>
        </w:rPr>
        <w:footnoteReference w:id="151"/>
      </w:r>
      <w:r w:rsidR="00BA584C" w:rsidRPr="004542B5">
        <w:rPr>
          <w:rFonts w:cs="Tahoma"/>
          <w:noProof w:val="0"/>
          <w:szCs w:val="20"/>
          <w:lang w:val="en-US"/>
        </w:rPr>
        <w:t xml:space="preserve"> </w:t>
      </w:r>
      <w:r w:rsidRPr="004542B5">
        <w:rPr>
          <w:rFonts w:cs="Tahoma"/>
          <w:noProof w:val="0"/>
          <w:szCs w:val="20"/>
          <w:lang w:val="en-US"/>
        </w:rPr>
        <w:t>In August</w:t>
      </w:r>
      <w:r w:rsidR="00BA584C" w:rsidRPr="004542B5">
        <w:rPr>
          <w:rFonts w:cs="Tahoma"/>
          <w:noProof w:val="0"/>
          <w:szCs w:val="20"/>
          <w:lang w:val="en-US"/>
        </w:rPr>
        <w:t xml:space="preserve"> 2004</w:t>
      </w:r>
      <w:r w:rsidRPr="004542B5">
        <w:rPr>
          <w:rFonts w:cs="Tahoma"/>
          <w:noProof w:val="0"/>
          <w:szCs w:val="20"/>
          <w:lang w:val="en-US"/>
        </w:rPr>
        <w:t>, the Governor declared that he did not have the necessary competence.</w:t>
      </w:r>
      <w:r w:rsidR="00BA584C" w:rsidRPr="004542B5">
        <w:rPr>
          <w:rStyle w:val="FootnoteReference"/>
          <w:noProof w:val="0"/>
          <w:lang w:val="en-US"/>
        </w:rPr>
        <w:footnoteReference w:id="152"/>
      </w:r>
      <w:r w:rsidR="007B47B1" w:rsidRPr="004542B5">
        <w:rPr>
          <w:rFonts w:cs="Tahoma"/>
          <w:noProof w:val="0"/>
          <w:szCs w:val="20"/>
          <w:lang w:val="en-US"/>
        </w:rPr>
        <w:t xml:space="preserve"> </w:t>
      </w:r>
    </w:p>
    <w:p w14:paraId="5F48E048" w14:textId="51EBAC8E" w:rsidR="00DC5DDA" w:rsidRPr="004542B5" w:rsidRDefault="00EB726F" w:rsidP="00E15EC0">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January 24,</w:t>
      </w:r>
      <w:r w:rsidR="00BA584C" w:rsidRPr="004542B5">
        <w:rPr>
          <w:rFonts w:cs="Tahoma"/>
          <w:noProof w:val="0"/>
          <w:szCs w:val="20"/>
          <w:lang w:val="en-US"/>
        </w:rPr>
        <w:t xml:space="preserve"> 2005</w:t>
      </w:r>
      <w:r w:rsidRPr="004542B5">
        <w:rPr>
          <w:rFonts w:cs="Tahoma"/>
          <w:noProof w:val="0"/>
          <w:szCs w:val="20"/>
          <w:lang w:val="en-US"/>
        </w:rPr>
        <w:t>,</w:t>
      </w:r>
      <w:r w:rsidR="00BA584C" w:rsidRPr="004542B5">
        <w:rPr>
          <w:rFonts w:cs="Tahoma"/>
          <w:noProof w:val="0"/>
          <w:szCs w:val="20"/>
          <w:lang w:val="en-US"/>
        </w:rPr>
        <w:t xml:space="preserve"> </w:t>
      </w:r>
      <w:r w:rsidRPr="004542B5">
        <w:rPr>
          <w:rFonts w:cs="Tahoma"/>
          <w:noProof w:val="0"/>
          <w:szCs w:val="20"/>
          <w:lang w:val="en-US"/>
        </w:rPr>
        <w:t>the representative</w:t>
      </w:r>
      <w:r w:rsidR="00BA584C" w:rsidRPr="004542B5">
        <w:rPr>
          <w:rFonts w:cs="Tahoma"/>
          <w:noProof w:val="0"/>
          <w:szCs w:val="20"/>
          <w:lang w:val="en-US"/>
        </w:rPr>
        <w:t xml:space="preserve"> </w:t>
      </w:r>
      <w:r w:rsidRPr="004542B5">
        <w:rPr>
          <w:rFonts w:cs="Tahoma"/>
          <w:noProof w:val="0"/>
          <w:szCs w:val="20"/>
          <w:lang w:val="en-US"/>
        </w:rPr>
        <w:t>of the authorities</w:t>
      </w:r>
      <w:r w:rsidR="004D0B27" w:rsidRPr="004542B5">
        <w:rPr>
          <w:rFonts w:cs="Tahoma"/>
          <w:noProof w:val="0"/>
          <w:szCs w:val="20"/>
          <w:lang w:val="en-US"/>
        </w:rPr>
        <w:t xml:space="preserve"> of the </w:t>
      </w:r>
      <w:r w:rsidR="008C4E08" w:rsidRPr="004542B5">
        <w:rPr>
          <w:rFonts w:cs="Tahoma"/>
          <w:noProof w:val="0"/>
          <w:szCs w:val="20"/>
          <w:lang w:val="en-US"/>
        </w:rPr>
        <w:t xml:space="preserve">Kuna </w:t>
      </w:r>
      <w:r w:rsidR="004D0B27" w:rsidRPr="004542B5">
        <w:rPr>
          <w:rFonts w:cs="Tahoma"/>
          <w:noProof w:val="0"/>
          <w:szCs w:val="20"/>
          <w:lang w:val="en-US"/>
        </w:rPr>
        <w:t>Comarca</w:t>
      </w:r>
      <w:r w:rsidR="00BA584C" w:rsidRPr="004542B5">
        <w:rPr>
          <w:rFonts w:cs="Tahoma"/>
          <w:noProof w:val="0"/>
          <w:szCs w:val="20"/>
          <w:lang w:val="en-US"/>
        </w:rPr>
        <w:t xml:space="preserve"> </w:t>
      </w:r>
      <w:r w:rsidRPr="004542B5">
        <w:rPr>
          <w:rFonts w:cs="Tahoma"/>
          <w:noProof w:val="0"/>
          <w:szCs w:val="20"/>
          <w:lang w:val="en-US"/>
        </w:rPr>
        <w:t>filed a formal complaint requiring the eviction of intruders before the President</w:t>
      </w:r>
      <w:r w:rsidR="00BA584C" w:rsidRPr="004542B5">
        <w:rPr>
          <w:rFonts w:cs="Tahoma"/>
          <w:noProof w:val="0"/>
          <w:szCs w:val="20"/>
          <w:lang w:val="en-US"/>
        </w:rPr>
        <w:t xml:space="preserve"> </w:t>
      </w:r>
      <w:r w:rsidRPr="004542B5">
        <w:rPr>
          <w:rFonts w:cs="Tahoma"/>
          <w:noProof w:val="0"/>
          <w:szCs w:val="20"/>
          <w:lang w:val="en-US"/>
        </w:rPr>
        <w:t>of the Republic.</w:t>
      </w:r>
      <w:r w:rsidR="00BA584C" w:rsidRPr="004542B5">
        <w:rPr>
          <w:rStyle w:val="FootnoteReference"/>
          <w:noProof w:val="0"/>
          <w:lang w:val="en-US"/>
        </w:rPr>
        <w:footnoteReference w:id="153"/>
      </w:r>
      <w:r w:rsidR="00E15EC0" w:rsidRPr="004542B5">
        <w:rPr>
          <w:rFonts w:cs="Tahoma"/>
          <w:noProof w:val="0"/>
          <w:szCs w:val="20"/>
          <w:lang w:val="en-US"/>
        </w:rPr>
        <w:t xml:space="preserve"> On February 15, </w:t>
      </w:r>
      <w:r w:rsidR="00BA584C" w:rsidRPr="004542B5">
        <w:rPr>
          <w:rFonts w:cs="Tahoma"/>
          <w:noProof w:val="0"/>
          <w:szCs w:val="20"/>
          <w:lang w:val="en-US"/>
        </w:rPr>
        <w:t>2005</w:t>
      </w:r>
      <w:r w:rsidR="00E15EC0" w:rsidRPr="004542B5">
        <w:rPr>
          <w:rFonts w:cs="Tahoma"/>
          <w:noProof w:val="0"/>
          <w:szCs w:val="20"/>
          <w:lang w:val="en-US"/>
        </w:rPr>
        <w:t>,</w:t>
      </w:r>
      <w:r w:rsidR="00BA584C" w:rsidRPr="004542B5">
        <w:rPr>
          <w:rFonts w:cs="Tahoma"/>
          <w:noProof w:val="0"/>
          <w:szCs w:val="20"/>
          <w:lang w:val="en-US"/>
        </w:rPr>
        <w:t xml:space="preserve"> </w:t>
      </w:r>
      <w:r w:rsidR="00E15EC0" w:rsidRPr="004542B5">
        <w:rPr>
          <w:rFonts w:cs="Tahoma"/>
          <w:noProof w:val="0"/>
          <w:szCs w:val="20"/>
          <w:lang w:val="en-US"/>
        </w:rPr>
        <w:t>the authorities</w:t>
      </w:r>
      <w:r w:rsidR="004D0B27" w:rsidRPr="004542B5">
        <w:rPr>
          <w:rFonts w:cs="Tahoma"/>
          <w:noProof w:val="0"/>
          <w:szCs w:val="20"/>
          <w:lang w:val="en-US"/>
        </w:rPr>
        <w:t xml:space="preserve"> of the </w:t>
      </w:r>
      <w:r w:rsidR="008C4E08" w:rsidRPr="004542B5">
        <w:rPr>
          <w:rFonts w:cs="Tahoma"/>
          <w:noProof w:val="0"/>
          <w:szCs w:val="20"/>
          <w:lang w:val="en-US"/>
        </w:rPr>
        <w:t xml:space="preserve">Kuna </w:t>
      </w:r>
      <w:r w:rsidR="004D0B27" w:rsidRPr="004542B5">
        <w:rPr>
          <w:rFonts w:cs="Tahoma"/>
          <w:noProof w:val="0"/>
          <w:szCs w:val="20"/>
          <w:lang w:val="en-US"/>
        </w:rPr>
        <w:t>Comarca</w:t>
      </w:r>
      <w:r w:rsidR="00BA584C" w:rsidRPr="004542B5">
        <w:rPr>
          <w:rFonts w:cs="Tahoma"/>
          <w:noProof w:val="0"/>
          <w:szCs w:val="20"/>
          <w:lang w:val="en-US"/>
        </w:rPr>
        <w:t xml:space="preserve"> </w:t>
      </w:r>
      <w:r w:rsidR="00E15EC0" w:rsidRPr="004542B5">
        <w:rPr>
          <w:rFonts w:cs="Tahoma"/>
          <w:noProof w:val="0"/>
          <w:szCs w:val="20"/>
          <w:lang w:val="en-US"/>
        </w:rPr>
        <w:t>sent a letter to the</w:t>
      </w:r>
      <w:r w:rsidR="00BA584C" w:rsidRPr="004542B5">
        <w:rPr>
          <w:rFonts w:cs="Tahoma"/>
          <w:noProof w:val="0"/>
          <w:szCs w:val="20"/>
          <w:lang w:val="en-US"/>
        </w:rPr>
        <w:t xml:space="preserve"> </w:t>
      </w:r>
      <w:r w:rsidR="00562CBB" w:rsidRPr="004542B5">
        <w:rPr>
          <w:rFonts w:cs="Tahoma"/>
          <w:noProof w:val="0"/>
          <w:szCs w:val="20"/>
          <w:lang w:val="en-US"/>
        </w:rPr>
        <w:t>President</w:t>
      </w:r>
      <w:r w:rsidR="00BA584C" w:rsidRPr="004542B5">
        <w:rPr>
          <w:rFonts w:cs="Tahoma"/>
          <w:noProof w:val="0"/>
          <w:szCs w:val="20"/>
          <w:lang w:val="en-US"/>
        </w:rPr>
        <w:t xml:space="preserve"> </w:t>
      </w:r>
      <w:r w:rsidRPr="004542B5">
        <w:rPr>
          <w:rFonts w:cs="Tahoma"/>
          <w:noProof w:val="0"/>
          <w:szCs w:val="20"/>
          <w:lang w:val="en-US"/>
        </w:rPr>
        <w:t>of the Republic</w:t>
      </w:r>
      <w:r w:rsidR="00BA584C" w:rsidRPr="004542B5">
        <w:rPr>
          <w:rFonts w:cs="Tahoma"/>
          <w:noProof w:val="0"/>
          <w:szCs w:val="20"/>
          <w:lang w:val="en-US"/>
        </w:rPr>
        <w:t xml:space="preserve"> </w:t>
      </w:r>
      <w:r w:rsidR="00E15EC0" w:rsidRPr="004542B5">
        <w:rPr>
          <w:rFonts w:cs="Tahoma"/>
          <w:noProof w:val="0"/>
          <w:szCs w:val="20"/>
          <w:lang w:val="en-US"/>
        </w:rPr>
        <w:t xml:space="preserve">in which they indicated that the legal adviser of the Ministry of the Presidency had forwarded their complaint to the </w:t>
      </w:r>
      <w:r w:rsidR="00816749" w:rsidRPr="004542B5">
        <w:rPr>
          <w:rFonts w:cs="Tahoma"/>
          <w:noProof w:val="0"/>
          <w:szCs w:val="20"/>
          <w:lang w:val="en-US"/>
        </w:rPr>
        <w:t>Ministry of the Interior and Justice</w:t>
      </w:r>
      <w:r w:rsidR="00BA584C" w:rsidRPr="004542B5">
        <w:rPr>
          <w:rFonts w:cs="Tahoma"/>
          <w:noProof w:val="0"/>
          <w:szCs w:val="20"/>
          <w:lang w:val="en-US"/>
        </w:rPr>
        <w:t xml:space="preserve"> </w:t>
      </w:r>
      <w:r w:rsidR="00E15EC0" w:rsidRPr="004542B5">
        <w:rPr>
          <w:rFonts w:cs="Tahoma"/>
          <w:noProof w:val="0"/>
          <w:szCs w:val="20"/>
          <w:lang w:val="en-US"/>
        </w:rPr>
        <w:t xml:space="preserve">indicating that it should be </w:t>
      </w:r>
      <w:r w:rsidR="00E15EC0" w:rsidRPr="004542B5">
        <w:rPr>
          <w:rFonts w:cs="Tahoma"/>
          <w:noProof w:val="0"/>
          <w:szCs w:val="20"/>
          <w:lang w:val="en-US"/>
        </w:rPr>
        <w:lastRenderedPageBreak/>
        <w:t>sent to the National Indigenous Policy Directorate</w:t>
      </w:r>
      <w:r w:rsidR="00BA584C" w:rsidRPr="004542B5">
        <w:rPr>
          <w:rFonts w:cs="Tahoma"/>
          <w:noProof w:val="0"/>
          <w:szCs w:val="20"/>
          <w:lang w:val="en-US"/>
        </w:rPr>
        <w:t xml:space="preserve"> “</w:t>
      </w:r>
      <w:r w:rsidR="00B02592" w:rsidRPr="004542B5">
        <w:rPr>
          <w:rFonts w:cs="Tahoma"/>
          <w:noProof w:val="0"/>
          <w:szCs w:val="20"/>
          <w:lang w:val="en-US"/>
        </w:rPr>
        <w:t>even though</w:t>
      </w:r>
      <w:r w:rsidR="00E15EC0" w:rsidRPr="004542B5">
        <w:rPr>
          <w:rFonts w:cs="Tahoma"/>
          <w:noProof w:val="0"/>
          <w:szCs w:val="20"/>
          <w:lang w:val="en-US"/>
        </w:rPr>
        <w:t xml:space="preserve"> those two entities in the two Governments before [the current one] ha[d] been incapable</w:t>
      </w:r>
      <w:r w:rsidR="00B02592" w:rsidRPr="004542B5">
        <w:rPr>
          <w:rFonts w:cs="Tahoma"/>
          <w:noProof w:val="0"/>
          <w:szCs w:val="20"/>
          <w:lang w:val="en-US"/>
        </w:rPr>
        <w:t xml:space="preserve"> of resolving the problem</w:t>
      </w:r>
      <w:r w:rsidR="00E15EC0" w:rsidRPr="004542B5">
        <w:rPr>
          <w:rFonts w:cs="Tahoma"/>
          <w:noProof w:val="0"/>
          <w:szCs w:val="20"/>
          <w:lang w:val="en-US"/>
        </w:rPr>
        <w:t xml:space="preserve"> and did not have competence to </w:t>
      </w:r>
      <w:r w:rsidR="00B02592" w:rsidRPr="004542B5">
        <w:rPr>
          <w:rFonts w:cs="Tahoma"/>
          <w:noProof w:val="0"/>
          <w:szCs w:val="20"/>
          <w:lang w:val="en-US"/>
        </w:rPr>
        <w:t>do so</w:t>
      </w:r>
      <w:r w:rsidR="00E15EC0" w:rsidRPr="004542B5">
        <w:rPr>
          <w:rFonts w:cs="Tahoma"/>
          <w:noProof w:val="0"/>
          <w:szCs w:val="20"/>
          <w:lang w:val="en-US"/>
        </w:rPr>
        <w:t>.</w:t>
      </w:r>
      <w:r w:rsidR="00BA584C" w:rsidRPr="004542B5">
        <w:rPr>
          <w:rFonts w:cs="Tahoma"/>
          <w:noProof w:val="0"/>
          <w:szCs w:val="20"/>
          <w:lang w:val="en-US"/>
        </w:rPr>
        <w:t>”</w:t>
      </w:r>
      <w:r w:rsidR="00BA584C" w:rsidRPr="004542B5">
        <w:rPr>
          <w:rStyle w:val="FootnoteReference"/>
          <w:noProof w:val="0"/>
          <w:lang w:val="en-US"/>
        </w:rPr>
        <w:footnoteReference w:id="154"/>
      </w:r>
      <w:r w:rsidR="007B47B1" w:rsidRPr="004542B5">
        <w:rPr>
          <w:rFonts w:cs="Tahoma"/>
          <w:noProof w:val="0"/>
          <w:szCs w:val="20"/>
          <w:lang w:val="en-US"/>
        </w:rPr>
        <w:t xml:space="preserve"> </w:t>
      </w:r>
    </w:p>
    <w:p w14:paraId="09D1008D" w14:textId="5255C4E7" w:rsidR="00DC5DDA" w:rsidRPr="004542B5" w:rsidRDefault="00E15EC0" w:rsidP="008B7C72">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In a communication of October 26,</w:t>
      </w:r>
      <w:r w:rsidR="00BA584C" w:rsidRPr="004542B5">
        <w:rPr>
          <w:rFonts w:cs="Tahoma"/>
          <w:noProof w:val="0"/>
          <w:szCs w:val="20"/>
          <w:lang w:val="en-US"/>
        </w:rPr>
        <w:t xml:space="preserve"> 2006, present</w:t>
      </w:r>
      <w:r w:rsidRPr="004542B5">
        <w:rPr>
          <w:rFonts w:cs="Tahoma"/>
          <w:noProof w:val="0"/>
          <w:szCs w:val="20"/>
          <w:lang w:val="en-US"/>
        </w:rPr>
        <w:t xml:space="preserve">ed on October 31 that year, </w:t>
      </w:r>
      <w:r w:rsidR="00EB726F" w:rsidRPr="004542B5">
        <w:rPr>
          <w:rFonts w:cs="Tahoma"/>
          <w:noProof w:val="0"/>
          <w:szCs w:val="20"/>
          <w:lang w:val="en-US"/>
        </w:rPr>
        <w:t>the representative</w:t>
      </w:r>
      <w:r w:rsidRPr="004542B5">
        <w:rPr>
          <w:rFonts w:cs="Tahoma"/>
          <w:noProof w:val="0"/>
          <w:szCs w:val="20"/>
          <w:lang w:val="en-US"/>
        </w:rPr>
        <w:t xml:space="preserve"> of the</w:t>
      </w:r>
      <w:r w:rsidR="00B02592" w:rsidRPr="004542B5">
        <w:rPr>
          <w:rFonts w:cs="Tahoma"/>
          <w:noProof w:val="0"/>
          <w:szCs w:val="20"/>
          <w:lang w:val="en-US"/>
        </w:rPr>
        <w:t xml:space="preserve"> traditional</w:t>
      </w:r>
      <w:r w:rsidRPr="004542B5">
        <w:rPr>
          <w:rFonts w:cs="Tahoma"/>
          <w:noProof w:val="0"/>
          <w:szCs w:val="20"/>
          <w:lang w:val="en-US"/>
        </w:rPr>
        <w:t xml:space="preserve"> authorities</w:t>
      </w:r>
      <w:r w:rsidR="00BA584C" w:rsidRPr="004542B5">
        <w:rPr>
          <w:rFonts w:cs="Tahoma"/>
          <w:noProof w:val="0"/>
          <w:szCs w:val="20"/>
          <w:lang w:val="en-US"/>
        </w:rPr>
        <w:t xml:space="preserve"> </w:t>
      </w:r>
      <w:r w:rsidRPr="004542B5">
        <w:rPr>
          <w:rFonts w:cs="Tahoma"/>
          <w:noProof w:val="0"/>
          <w:szCs w:val="20"/>
          <w:lang w:val="en-US"/>
        </w:rPr>
        <w:t xml:space="preserve">sent a request for information to </w:t>
      </w:r>
      <w:r w:rsidR="00EB726F" w:rsidRPr="004542B5">
        <w:rPr>
          <w:rFonts w:cs="Tahoma"/>
          <w:noProof w:val="0"/>
          <w:szCs w:val="20"/>
          <w:lang w:val="en-US"/>
        </w:rPr>
        <w:t>the President</w:t>
      </w:r>
      <w:r w:rsidR="00BA584C" w:rsidRPr="004542B5">
        <w:rPr>
          <w:rFonts w:cs="Tahoma"/>
          <w:noProof w:val="0"/>
          <w:szCs w:val="20"/>
          <w:lang w:val="en-US"/>
        </w:rPr>
        <w:t xml:space="preserve"> </w:t>
      </w:r>
      <w:r w:rsidRPr="004542B5">
        <w:rPr>
          <w:rFonts w:cs="Tahoma"/>
          <w:noProof w:val="0"/>
          <w:szCs w:val="20"/>
          <w:lang w:val="en-US"/>
        </w:rPr>
        <w:t>to obtain information of the status of the case.</w:t>
      </w:r>
      <w:r w:rsidR="00BA584C" w:rsidRPr="004542B5">
        <w:rPr>
          <w:rStyle w:val="FootnoteReference"/>
          <w:noProof w:val="0"/>
          <w:lang w:val="en-US"/>
        </w:rPr>
        <w:footnoteReference w:id="155"/>
      </w:r>
      <w:r w:rsidRPr="004542B5">
        <w:rPr>
          <w:rFonts w:cs="Tahoma"/>
          <w:noProof w:val="0"/>
          <w:szCs w:val="20"/>
          <w:lang w:val="en-US"/>
        </w:rPr>
        <w:t xml:space="preserve"> The case file does not include an answer to this request. On June 4,</w:t>
      </w:r>
      <w:r w:rsidR="00BA584C" w:rsidRPr="004542B5">
        <w:rPr>
          <w:rFonts w:cs="Tahoma"/>
          <w:noProof w:val="0"/>
          <w:szCs w:val="20"/>
          <w:lang w:val="en-US"/>
        </w:rPr>
        <w:t xml:space="preserve"> 2008</w:t>
      </w:r>
      <w:r w:rsidRPr="004542B5">
        <w:rPr>
          <w:rFonts w:cs="Tahoma"/>
          <w:noProof w:val="0"/>
          <w:szCs w:val="20"/>
          <w:lang w:val="en-US"/>
        </w:rPr>
        <w:t>,</w:t>
      </w:r>
      <w:r w:rsidR="00BA584C" w:rsidRPr="004542B5">
        <w:rPr>
          <w:rFonts w:cs="Tahoma"/>
          <w:noProof w:val="0"/>
          <w:szCs w:val="20"/>
          <w:lang w:val="en-US"/>
        </w:rPr>
        <w:t xml:space="preserve"> </w:t>
      </w:r>
      <w:r w:rsidR="005115A6" w:rsidRPr="004542B5">
        <w:rPr>
          <w:rFonts w:cs="Tahoma"/>
          <w:noProof w:val="0"/>
          <w:szCs w:val="20"/>
          <w:lang w:val="en-US"/>
        </w:rPr>
        <w:t>Executive Decree</w:t>
      </w:r>
      <w:r w:rsidR="00BA584C" w:rsidRPr="004542B5">
        <w:rPr>
          <w:rFonts w:cs="Tahoma"/>
          <w:noProof w:val="0"/>
          <w:szCs w:val="20"/>
          <w:lang w:val="en-US"/>
        </w:rPr>
        <w:t xml:space="preserve"> </w:t>
      </w:r>
      <w:r w:rsidR="00CD2B90" w:rsidRPr="004542B5">
        <w:rPr>
          <w:noProof w:val="0"/>
          <w:szCs w:val="20"/>
          <w:lang w:val="en-US"/>
        </w:rPr>
        <w:t>No.</w:t>
      </w:r>
      <w:r w:rsidR="00B7701D" w:rsidRPr="004542B5">
        <w:rPr>
          <w:noProof w:val="0"/>
          <w:szCs w:val="20"/>
          <w:lang w:val="en-US"/>
        </w:rPr>
        <w:t xml:space="preserve"> </w:t>
      </w:r>
      <w:r w:rsidR="00BA584C" w:rsidRPr="004542B5">
        <w:rPr>
          <w:rFonts w:cs="Tahoma"/>
          <w:noProof w:val="0"/>
          <w:szCs w:val="20"/>
          <w:lang w:val="en-US"/>
        </w:rPr>
        <w:t>247</w:t>
      </w:r>
      <w:r w:rsidRPr="004542B5">
        <w:rPr>
          <w:rFonts w:cs="Tahoma"/>
          <w:noProof w:val="0"/>
          <w:szCs w:val="20"/>
          <w:lang w:val="en-US"/>
        </w:rPr>
        <w:t xml:space="preserve"> was issued</w:t>
      </w:r>
      <w:r w:rsidR="00BA584C" w:rsidRPr="004542B5">
        <w:rPr>
          <w:rFonts w:cs="Tahoma"/>
          <w:noProof w:val="0"/>
          <w:szCs w:val="20"/>
          <w:lang w:val="en-US"/>
        </w:rPr>
        <w:t xml:space="preserve"> “[</w:t>
      </w:r>
      <w:r w:rsidRPr="004542B5">
        <w:rPr>
          <w:rFonts w:cs="Tahoma"/>
          <w:noProof w:val="0"/>
          <w:szCs w:val="20"/>
          <w:lang w:val="en-US"/>
        </w:rPr>
        <w:t>w</w:t>
      </w:r>
      <w:r w:rsidR="00BA584C" w:rsidRPr="004542B5">
        <w:rPr>
          <w:rFonts w:cs="Tahoma"/>
          <w:noProof w:val="0"/>
          <w:szCs w:val="20"/>
          <w:lang w:val="en-US"/>
        </w:rPr>
        <w:t>]</w:t>
      </w:r>
      <w:r w:rsidRPr="004542B5">
        <w:rPr>
          <w:rFonts w:cs="Tahoma"/>
          <w:noProof w:val="0"/>
          <w:szCs w:val="20"/>
          <w:lang w:val="en-US"/>
        </w:rPr>
        <w:t>hich added articles to</w:t>
      </w:r>
      <w:r w:rsidR="00BA584C" w:rsidRPr="004542B5">
        <w:rPr>
          <w:rFonts w:cs="Tahoma"/>
          <w:noProof w:val="0"/>
          <w:szCs w:val="20"/>
          <w:lang w:val="en-US"/>
        </w:rPr>
        <w:t xml:space="preserve"> </w:t>
      </w:r>
      <w:r w:rsidR="005115A6" w:rsidRPr="004542B5">
        <w:rPr>
          <w:rFonts w:cs="Tahoma"/>
          <w:noProof w:val="0"/>
          <w:szCs w:val="20"/>
          <w:lang w:val="en-US"/>
        </w:rPr>
        <w:t>Executive Decree</w:t>
      </w:r>
      <w:r w:rsidR="00BA584C" w:rsidRPr="004542B5">
        <w:rPr>
          <w:rFonts w:cs="Tahoma"/>
          <w:noProof w:val="0"/>
          <w:szCs w:val="20"/>
          <w:lang w:val="en-US"/>
        </w:rPr>
        <w:t xml:space="preserve"> 228 </w:t>
      </w:r>
      <w:r w:rsidR="005115A6" w:rsidRPr="004542B5">
        <w:rPr>
          <w:rFonts w:cs="Tahoma"/>
          <w:noProof w:val="0"/>
          <w:szCs w:val="20"/>
          <w:lang w:val="en-US"/>
        </w:rPr>
        <w:t>of December 3,</w:t>
      </w:r>
      <w:r w:rsidR="00BA584C" w:rsidRPr="004542B5">
        <w:rPr>
          <w:rFonts w:cs="Tahoma"/>
          <w:noProof w:val="0"/>
          <w:szCs w:val="20"/>
          <w:lang w:val="en-US"/>
        </w:rPr>
        <w:t xml:space="preserve"> 1998</w:t>
      </w:r>
      <w:r w:rsidRPr="004542B5">
        <w:rPr>
          <w:rFonts w:cs="Tahoma"/>
          <w:noProof w:val="0"/>
          <w:szCs w:val="20"/>
          <w:lang w:val="en-US"/>
        </w:rPr>
        <w:t>,</w:t>
      </w:r>
      <w:r w:rsidR="00BA584C" w:rsidRPr="004542B5">
        <w:rPr>
          <w:rFonts w:cs="Tahoma"/>
          <w:noProof w:val="0"/>
          <w:szCs w:val="20"/>
          <w:lang w:val="en-US"/>
        </w:rPr>
        <w:t xml:space="preserve">” </w:t>
      </w:r>
      <w:r w:rsidRPr="004542B5">
        <w:rPr>
          <w:rFonts w:cs="Tahoma"/>
          <w:noProof w:val="0"/>
          <w:szCs w:val="20"/>
          <w:lang w:val="en-US"/>
        </w:rPr>
        <w:t>establishing that</w:t>
      </w:r>
      <w:r w:rsidR="00BA584C" w:rsidRPr="004542B5">
        <w:rPr>
          <w:rFonts w:cs="Tahoma"/>
          <w:noProof w:val="0"/>
          <w:szCs w:val="20"/>
          <w:lang w:val="en-US"/>
        </w:rPr>
        <w:t xml:space="preserve"> “[</w:t>
      </w:r>
      <w:r w:rsidR="008B7C72" w:rsidRPr="004542B5">
        <w:rPr>
          <w:rFonts w:cs="Tahoma"/>
          <w:noProof w:val="0"/>
          <w:szCs w:val="20"/>
          <w:lang w:val="en-US"/>
        </w:rPr>
        <w:t>t</w:t>
      </w:r>
      <w:r w:rsidR="00BA584C" w:rsidRPr="004542B5">
        <w:rPr>
          <w:rFonts w:cs="Tahoma"/>
          <w:noProof w:val="0"/>
          <w:szCs w:val="20"/>
          <w:lang w:val="en-US"/>
        </w:rPr>
        <w:t>]</w:t>
      </w:r>
      <w:r w:rsidR="008B7C72" w:rsidRPr="004542B5">
        <w:rPr>
          <w:rFonts w:cs="Tahoma"/>
          <w:noProof w:val="0"/>
          <w:szCs w:val="20"/>
          <w:lang w:val="en-US"/>
        </w:rPr>
        <w:t>he</w:t>
      </w:r>
      <w:r w:rsidR="00B02592" w:rsidRPr="004542B5">
        <w:rPr>
          <w:rFonts w:cs="Tahoma"/>
          <w:noProof w:val="0"/>
          <w:szCs w:val="20"/>
          <w:lang w:val="en-US"/>
        </w:rPr>
        <w:t xml:space="preserve"> administration of</w:t>
      </w:r>
      <w:r w:rsidR="008B7C72" w:rsidRPr="004542B5">
        <w:rPr>
          <w:rFonts w:cs="Tahoma"/>
          <w:noProof w:val="0"/>
          <w:szCs w:val="20"/>
          <w:lang w:val="en-US"/>
        </w:rPr>
        <w:t xml:space="preserve"> administrative justice, within the special political division of the Kuna Comarca of Madungandí, will be entrusted to a Police</w:t>
      </w:r>
      <w:r w:rsidR="008B7C72" w:rsidRPr="004542B5">
        <w:rPr>
          <w:rFonts w:cs="Tahoma"/>
          <w:i/>
          <w:iCs/>
          <w:noProof w:val="0"/>
          <w:szCs w:val="20"/>
          <w:lang w:val="en-US"/>
        </w:rPr>
        <w:t xml:space="preserve"> </w:t>
      </w:r>
      <w:r w:rsidR="00EC152F" w:rsidRPr="004542B5">
        <w:rPr>
          <w:rFonts w:cs="Tahoma"/>
          <w:i/>
          <w:iCs/>
          <w:noProof w:val="0"/>
          <w:szCs w:val="20"/>
          <w:lang w:val="en-US"/>
        </w:rPr>
        <w:t>Corregidor</w:t>
      </w:r>
      <w:r w:rsidR="00B02592" w:rsidRPr="004542B5">
        <w:rPr>
          <w:rFonts w:cs="Tahoma"/>
          <w:noProof w:val="0"/>
          <w:szCs w:val="20"/>
          <w:lang w:val="en-US"/>
        </w:rPr>
        <w:t xml:space="preserve"> [a police chief]</w:t>
      </w:r>
      <w:r w:rsidR="008B7C72" w:rsidRPr="004542B5">
        <w:rPr>
          <w:rFonts w:cs="Tahoma"/>
          <w:noProof w:val="0"/>
          <w:szCs w:val="20"/>
          <w:lang w:val="en-US"/>
        </w:rPr>
        <w:t>.</w:t>
      </w:r>
      <w:r w:rsidR="00BA584C" w:rsidRPr="004542B5">
        <w:rPr>
          <w:rFonts w:cs="Tahoma"/>
          <w:noProof w:val="0"/>
          <w:szCs w:val="20"/>
          <w:lang w:val="en-US"/>
        </w:rPr>
        <w:t>”</w:t>
      </w:r>
      <w:r w:rsidR="00BA584C" w:rsidRPr="004542B5">
        <w:rPr>
          <w:rStyle w:val="FootnoteReference"/>
          <w:noProof w:val="0"/>
          <w:lang w:val="en-US"/>
        </w:rPr>
        <w:footnoteReference w:id="156"/>
      </w:r>
      <w:r w:rsidR="00BA584C" w:rsidRPr="004542B5">
        <w:rPr>
          <w:rFonts w:cs="Tahoma"/>
          <w:noProof w:val="0"/>
          <w:szCs w:val="20"/>
          <w:lang w:val="en-US"/>
        </w:rPr>
        <w:t xml:space="preserve"> </w:t>
      </w:r>
      <w:r w:rsidR="008B7C72" w:rsidRPr="004542B5">
        <w:rPr>
          <w:rFonts w:cs="Tahoma"/>
          <w:noProof w:val="0"/>
          <w:szCs w:val="20"/>
          <w:lang w:val="en-US"/>
        </w:rPr>
        <w:t>A</w:t>
      </w:r>
      <w:r w:rsidR="00BA584C" w:rsidRPr="004542B5">
        <w:rPr>
          <w:rFonts w:cs="Tahoma"/>
          <w:noProof w:val="0"/>
          <w:szCs w:val="20"/>
          <w:lang w:val="en-US"/>
        </w:rPr>
        <w:t xml:space="preserve"> </w:t>
      </w:r>
      <w:r w:rsidR="00B02592" w:rsidRPr="004542B5">
        <w:rPr>
          <w:rFonts w:cs="Tahoma"/>
          <w:i/>
          <w:iCs/>
          <w:noProof w:val="0"/>
          <w:szCs w:val="20"/>
          <w:lang w:val="en-US"/>
        </w:rPr>
        <w:t>c</w:t>
      </w:r>
      <w:r w:rsidR="00BA584C" w:rsidRPr="004542B5">
        <w:rPr>
          <w:rFonts w:cs="Tahoma"/>
          <w:i/>
          <w:iCs/>
          <w:noProof w:val="0"/>
          <w:szCs w:val="20"/>
          <w:lang w:val="en-US"/>
        </w:rPr>
        <w:t>orregidor</w:t>
      </w:r>
      <w:r w:rsidR="008B7C72" w:rsidRPr="004542B5">
        <w:rPr>
          <w:rFonts w:cs="Tahoma"/>
          <w:i/>
          <w:iCs/>
          <w:noProof w:val="0"/>
          <w:szCs w:val="20"/>
          <w:lang w:val="en-US"/>
        </w:rPr>
        <w:t xml:space="preserve"> </w:t>
      </w:r>
      <w:r w:rsidR="008B7C72" w:rsidRPr="004542B5">
        <w:rPr>
          <w:rFonts w:cs="Tahoma"/>
          <w:noProof w:val="0"/>
          <w:szCs w:val="20"/>
          <w:lang w:val="en-US"/>
        </w:rPr>
        <w:t xml:space="preserve">was appointed for </w:t>
      </w:r>
      <w:r w:rsidR="004D0B27" w:rsidRPr="004542B5">
        <w:rPr>
          <w:rFonts w:cs="Tahoma"/>
          <w:noProof w:val="0"/>
          <w:szCs w:val="20"/>
          <w:lang w:val="en-US"/>
        </w:rPr>
        <w:t xml:space="preserve">the </w:t>
      </w:r>
      <w:r w:rsidR="008C4E08" w:rsidRPr="004542B5">
        <w:rPr>
          <w:rFonts w:cs="Tahoma"/>
          <w:noProof w:val="0"/>
          <w:szCs w:val="20"/>
          <w:lang w:val="en-US"/>
        </w:rPr>
        <w:t xml:space="preserve">Kuna </w:t>
      </w:r>
      <w:r w:rsidR="004D0B27" w:rsidRPr="004542B5">
        <w:rPr>
          <w:rFonts w:cs="Tahoma"/>
          <w:noProof w:val="0"/>
          <w:szCs w:val="20"/>
          <w:lang w:val="en-US"/>
        </w:rPr>
        <w:t>Comarca</w:t>
      </w:r>
      <w:r w:rsidR="00BA584C" w:rsidRPr="004542B5">
        <w:rPr>
          <w:rFonts w:cs="Tahoma"/>
          <w:noProof w:val="0"/>
          <w:szCs w:val="20"/>
          <w:lang w:val="en-US"/>
        </w:rPr>
        <w:t xml:space="preserve">, </w:t>
      </w:r>
      <w:r w:rsidR="008B7C72" w:rsidRPr="004542B5">
        <w:rPr>
          <w:rFonts w:cs="Tahoma"/>
          <w:noProof w:val="0"/>
          <w:szCs w:val="20"/>
          <w:lang w:val="en-US"/>
        </w:rPr>
        <w:t xml:space="preserve">and he exercised this function in </w:t>
      </w:r>
      <w:r w:rsidR="00BA584C" w:rsidRPr="004542B5">
        <w:rPr>
          <w:rFonts w:cs="Tahoma"/>
          <w:noProof w:val="0"/>
          <w:szCs w:val="20"/>
          <w:lang w:val="en-US"/>
        </w:rPr>
        <w:t>2008</w:t>
      </w:r>
      <w:r w:rsidR="00CD2B90" w:rsidRPr="004542B5">
        <w:rPr>
          <w:rFonts w:cs="Tahoma"/>
          <w:noProof w:val="0"/>
          <w:szCs w:val="20"/>
          <w:lang w:val="en-US"/>
        </w:rPr>
        <w:t xml:space="preserve"> and </w:t>
      </w:r>
      <w:r w:rsidR="00BA584C" w:rsidRPr="004542B5">
        <w:rPr>
          <w:rFonts w:cs="Tahoma"/>
          <w:noProof w:val="0"/>
          <w:szCs w:val="20"/>
          <w:lang w:val="en-US"/>
        </w:rPr>
        <w:t>2009</w:t>
      </w:r>
      <w:r w:rsidR="008B7C72" w:rsidRPr="004542B5">
        <w:rPr>
          <w:rFonts w:cs="Tahoma"/>
          <w:noProof w:val="0"/>
          <w:szCs w:val="20"/>
          <w:lang w:val="en-US"/>
        </w:rPr>
        <w:t>.</w:t>
      </w:r>
      <w:r w:rsidR="00BA584C" w:rsidRPr="004542B5">
        <w:rPr>
          <w:rStyle w:val="FootnoteReference"/>
          <w:noProof w:val="0"/>
          <w:lang w:val="en-US"/>
        </w:rPr>
        <w:footnoteReference w:id="157"/>
      </w:r>
      <w:r w:rsidR="007B47B1" w:rsidRPr="004542B5">
        <w:rPr>
          <w:rFonts w:cs="Tahoma"/>
          <w:noProof w:val="0"/>
          <w:szCs w:val="20"/>
          <w:lang w:val="en-US"/>
        </w:rPr>
        <w:t xml:space="preserve"> </w:t>
      </w:r>
    </w:p>
    <w:p w14:paraId="320EE542" w14:textId="07022F4C" w:rsidR="00DC5DDA" w:rsidRPr="004542B5" w:rsidRDefault="008B7C72" w:rsidP="00E01664">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As indicated by</w:t>
      </w:r>
      <w:r w:rsidR="00BA584C" w:rsidRPr="004542B5">
        <w:rPr>
          <w:rFonts w:cs="Tahoma"/>
          <w:noProof w:val="0"/>
          <w:szCs w:val="20"/>
          <w:lang w:val="en-US"/>
        </w:rPr>
        <w:t xml:space="preserve"> </w:t>
      </w:r>
      <w:r w:rsidR="00562CBB" w:rsidRPr="004542B5">
        <w:rPr>
          <w:rFonts w:cs="Tahoma"/>
          <w:noProof w:val="0"/>
          <w:szCs w:val="20"/>
          <w:lang w:val="en-US"/>
        </w:rPr>
        <w:t>the Commission</w:t>
      </w:r>
      <w:r w:rsidR="00CD2B90" w:rsidRPr="004542B5">
        <w:rPr>
          <w:rFonts w:cs="Tahoma"/>
          <w:noProof w:val="0"/>
          <w:szCs w:val="20"/>
          <w:lang w:val="en-US"/>
        </w:rPr>
        <w:t xml:space="preserve"> and </w:t>
      </w:r>
      <w:r w:rsidR="00562CBB" w:rsidRPr="004542B5">
        <w:rPr>
          <w:rFonts w:cs="Tahoma"/>
          <w:noProof w:val="0"/>
          <w:szCs w:val="20"/>
          <w:lang w:val="en-US"/>
        </w:rPr>
        <w:t>the representatives</w:t>
      </w:r>
      <w:r w:rsidR="00BA584C" w:rsidRPr="004542B5">
        <w:rPr>
          <w:rFonts w:cs="Tahoma"/>
          <w:noProof w:val="0"/>
          <w:szCs w:val="20"/>
          <w:lang w:val="en-US"/>
        </w:rPr>
        <w:t xml:space="preserve">, </w:t>
      </w:r>
      <w:r w:rsidRPr="004542B5">
        <w:rPr>
          <w:rFonts w:cs="Tahoma"/>
          <w:noProof w:val="0"/>
          <w:szCs w:val="20"/>
          <w:lang w:val="en-US"/>
        </w:rPr>
        <w:t>and undisputed by the State, this authority</w:t>
      </w:r>
      <w:r w:rsidR="00B02592" w:rsidRPr="004542B5">
        <w:rPr>
          <w:rFonts w:cs="Tahoma"/>
          <w:noProof w:val="0"/>
          <w:szCs w:val="20"/>
          <w:lang w:val="en-US"/>
        </w:rPr>
        <w:t xml:space="preserve"> carried out some evictions in 2008</w:t>
      </w:r>
      <w:r w:rsidR="00BA584C" w:rsidRPr="004542B5">
        <w:rPr>
          <w:rStyle w:val="FootnoteReference"/>
          <w:noProof w:val="0"/>
          <w:lang w:val="en-US"/>
        </w:rPr>
        <w:footnoteReference w:id="158"/>
      </w:r>
      <w:r w:rsidR="00CD2B90" w:rsidRPr="004542B5">
        <w:rPr>
          <w:rFonts w:cs="Tahoma"/>
          <w:noProof w:val="0"/>
          <w:szCs w:val="20"/>
          <w:lang w:val="en-US"/>
        </w:rPr>
        <w:t xml:space="preserve"> and</w:t>
      </w:r>
      <w:r w:rsidRPr="004542B5">
        <w:rPr>
          <w:rFonts w:cs="Tahoma"/>
          <w:noProof w:val="0"/>
          <w:szCs w:val="20"/>
          <w:lang w:val="en-US"/>
        </w:rPr>
        <w:t>, on</w:t>
      </w:r>
      <w:r w:rsidR="00BA584C" w:rsidRPr="004542B5">
        <w:rPr>
          <w:rFonts w:cs="Tahoma"/>
          <w:noProof w:val="0"/>
          <w:szCs w:val="20"/>
          <w:lang w:val="en-US"/>
        </w:rPr>
        <w:t xml:space="preserve"> </w:t>
      </w:r>
      <w:r w:rsidR="00816749" w:rsidRPr="004542B5">
        <w:rPr>
          <w:rFonts w:cs="Tahoma"/>
          <w:noProof w:val="0"/>
          <w:szCs w:val="20"/>
          <w:lang w:val="en-US"/>
        </w:rPr>
        <w:t>March 23,</w:t>
      </w:r>
      <w:r w:rsidR="00BA584C" w:rsidRPr="004542B5">
        <w:rPr>
          <w:rFonts w:cs="Tahoma"/>
          <w:noProof w:val="0"/>
          <w:szCs w:val="20"/>
          <w:lang w:val="en-US"/>
        </w:rPr>
        <w:t xml:space="preserve"> 2009</w:t>
      </w:r>
      <w:r w:rsidRPr="004542B5">
        <w:rPr>
          <w:rFonts w:cs="Tahoma"/>
          <w:noProof w:val="0"/>
          <w:szCs w:val="20"/>
          <w:lang w:val="en-US"/>
        </w:rPr>
        <w:t>,</w:t>
      </w:r>
      <w:r w:rsidR="00BA584C" w:rsidRPr="004542B5">
        <w:rPr>
          <w:rFonts w:cs="Tahoma"/>
          <w:noProof w:val="0"/>
          <w:szCs w:val="20"/>
          <w:lang w:val="en-US"/>
        </w:rPr>
        <w:t xml:space="preserve"> </w:t>
      </w:r>
      <w:r w:rsidR="00562CBB" w:rsidRPr="004542B5">
        <w:rPr>
          <w:rFonts w:cs="Tahoma"/>
          <w:noProof w:val="0"/>
          <w:szCs w:val="20"/>
          <w:lang w:val="en-US"/>
        </w:rPr>
        <w:t>the representatives</w:t>
      </w:r>
      <w:r w:rsidR="00BA584C" w:rsidRPr="004542B5">
        <w:rPr>
          <w:rFonts w:cs="Tahoma"/>
          <w:noProof w:val="0"/>
          <w:szCs w:val="20"/>
          <w:lang w:val="en-US"/>
        </w:rPr>
        <w:t xml:space="preserve"> </w:t>
      </w:r>
      <w:r w:rsidRPr="004542B5">
        <w:rPr>
          <w:rFonts w:cs="Tahoma"/>
          <w:noProof w:val="0"/>
          <w:szCs w:val="20"/>
          <w:lang w:val="en-US"/>
        </w:rPr>
        <w:t xml:space="preserve">of a traditional authority </w:t>
      </w:r>
      <w:r w:rsidR="004D0B27" w:rsidRPr="004542B5">
        <w:rPr>
          <w:rFonts w:cs="Tahoma"/>
          <w:noProof w:val="0"/>
          <w:szCs w:val="20"/>
          <w:lang w:val="en-US"/>
        </w:rPr>
        <w:t xml:space="preserve">of the </w:t>
      </w:r>
      <w:r w:rsidR="008C4E08" w:rsidRPr="004542B5">
        <w:rPr>
          <w:rFonts w:cs="Tahoma"/>
          <w:noProof w:val="0"/>
          <w:szCs w:val="20"/>
          <w:lang w:val="en-US"/>
        </w:rPr>
        <w:t xml:space="preserve">Kuna </w:t>
      </w:r>
      <w:r w:rsidR="004D0B27" w:rsidRPr="004542B5">
        <w:rPr>
          <w:rFonts w:cs="Tahoma"/>
          <w:noProof w:val="0"/>
          <w:szCs w:val="20"/>
          <w:lang w:val="en-US"/>
        </w:rPr>
        <w:t>Comarca</w:t>
      </w:r>
      <w:r w:rsidR="00BA584C" w:rsidRPr="004542B5">
        <w:rPr>
          <w:rFonts w:cs="Tahoma"/>
          <w:noProof w:val="0"/>
          <w:szCs w:val="20"/>
          <w:lang w:val="en-US"/>
        </w:rPr>
        <w:t xml:space="preserve"> </w:t>
      </w:r>
      <w:r w:rsidRPr="004542B5">
        <w:rPr>
          <w:rFonts w:cs="Tahoma"/>
          <w:noProof w:val="0"/>
          <w:szCs w:val="20"/>
          <w:lang w:val="en-US"/>
        </w:rPr>
        <w:t xml:space="preserve">filed a summary administrative action for the protection of the </w:t>
      </w:r>
      <w:r w:rsidR="00EC152F" w:rsidRPr="004542B5">
        <w:rPr>
          <w:rFonts w:cs="Tahoma"/>
          <w:noProof w:val="0"/>
          <w:szCs w:val="20"/>
          <w:lang w:val="en-US"/>
        </w:rPr>
        <w:t xml:space="preserve">Comarca’s </w:t>
      </w:r>
      <w:r w:rsidRPr="004542B5">
        <w:rPr>
          <w:rFonts w:cs="Tahoma"/>
          <w:noProof w:val="0"/>
          <w:szCs w:val="20"/>
          <w:lang w:val="en-US"/>
        </w:rPr>
        <w:t>lands before the</w:t>
      </w:r>
      <w:r w:rsidR="00BA584C" w:rsidRPr="004542B5">
        <w:rPr>
          <w:rFonts w:cs="Tahoma"/>
          <w:noProof w:val="0"/>
          <w:szCs w:val="20"/>
          <w:lang w:val="en-US"/>
        </w:rPr>
        <w:t xml:space="preserve"> </w:t>
      </w:r>
      <w:r w:rsidR="00EC152F" w:rsidRPr="004542B5">
        <w:rPr>
          <w:rFonts w:cs="Tahoma"/>
          <w:i/>
          <w:iCs/>
          <w:noProof w:val="0"/>
          <w:szCs w:val="20"/>
          <w:lang w:val="en-US"/>
        </w:rPr>
        <w:t>Corregidor</w:t>
      </w:r>
      <w:r w:rsidR="00BA584C" w:rsidRPr="004542B5">
        <w:rPr>
          <w:rFonts w:cs="Tahoma"/>
          <w:noProof w:val="0"/>
          <w:szCs w:val="20"/>
          <w:lang w:val="en-US"/>
        </w:rPr>
        <w:t xml:space="preserve"> </w:t>
      </w:r>
      <w:r w:rsidRPr="004542B5">
        <w:rPr>
          <w:rFonts w:cs="Tahoma"/>
          <w:noProof w:val="0"/>
          <w:szCs w:val="20"/>
          <w:lang w:val="en-US"/>
        </w:rPr>
        <w:t>of the special district of</w:t>
      </w:r>
      <w:r w:rsidR="00BA584C" w:rsidRPr="004542B5">
        <w:rPr>
          <w:rFonts w:cs="Tahoma"/>
          <w:noProof w:val="0"/>
          <w:szCs w:val="20"/>
          <w:lang w:val="en-US"/>
        </w:rPr>
        <w:t xml:space="preserve"> Madungandí</w:t>
      </w:r>
      <w:r w:rsidRPr="004542B5">
        <w:rPr>
          <w:rFonts w:cs="Tahoma"/>
          <w:noProof w:val="0"/>
          <w:szCs w:val="20"/>
          <w:lang w:val="en-US"/>
        </w:rPr>
        <w:t xml:space="preserve"> against individuals who </w:t>
      </w:r>
      <w:r w:rsidR="00EC152F" w:rsidRPr="004542B5">
        <w:rPr>
          <w:rFonts w:cs="Tahoma"/>
          <w:noProof w:val="0"/>
          <w:szCs w:val="20"/>
          <w:lang w:val="en-US"/>
        </w:rPr>
        <w:t xml:space="preserve">had </w:t>
      </w:r>
      <w:r w:rsidRPr="004542B5">
        <w:rPr>
          <w:rFonts w:cs="Tahoma"/>
          <w:noProof w:val="0"/>
          <w:szCs w:val="20"/>
          <w:lang w:val="en-US"/>
        </w:rPr>
        <w:t>supposedly invaded lands belon</w:t>
      </w:r>
      <w:r w:rsidR="00EC152F" w:rsidRPr="004542B5">
        <w:rPr>
          <w:rFonts w:cs="Tahoma"/>
          <w:noProof w:val="0"/>
          <w:szCs w:val="20"/>
          <w:lang w:val="en-US"/>
        </w:rPr>
        <w:t>g</w:t>
      </w:r>
      <w:r w:rsidRPr="004542B5">
        <w:rPr>
          <w:rFonts w:cs="Tahoma"/>
          <w:noProof w:val="0"/>
          <w:szCs w:val="20"/>
          <w:lang w:val="en-US"/>
        </w:rPr>
        <w:t xml:space="preserve">ing to the </w:t>
      </w:r>
      <w:r w:rsidR="00BA584C" w:rsidRPr="004542B5">
        <w:rPr>
          <w:rFonts w:cs="Tahoma"/>
          <w:noProof w:val="0"/>
          <w:szCs w:val="20"/>
          <w:lang w:val="en-US"/>
        </w:rPr>
        <w:t>Comarca</w:t>
      </w:r>
      <w:r w:rsidRPr="004542B5">
        <w:rPr>
          <w:rFonts w:cs="Tahoma"/>
          <w:noProof w:val="0"/>
          <w:szCs w:val="20"/>
          <w:lang w:val="en-US"/>
        </w:rPr>
        <w:t>.</w:t>
      </w:r>
      <w:r w:rsidR="00BA584C" w:rsidRPr="004542B5">
        <w:rPr>
          <w:rStyle w:val="FootnoteReference"/>
          <w:noProof w:val="0"/>
          <w:lang w:val="en-US"/>
        </w:rPr>
        <w:footnoteReference w:id="159"/>
      </w:r>
      <w:r w:rsidR="00BA584C" w:rsidRPr="004542B5">
        <w:rPr>
          <w:rFonts w:cs="Tahoma"/>
          <w:noProof w:val="0"/>
          <w:szCs w:val="20"/>
          <w:lang w:val="en-US"/>
        </w:rPr>
        <w:t xml:space="preserve"> </w:t>
      </w:r>
      <w:r w:rsidRPr="004542B5">
        <w:rPr>
          <w:rFonts w:cs="Tahoma"/>
          <w:noProof w:val="0"/>
          <w:szCs w:val="20"/>
          <w:lang w:val="en-US"/>
        </w:rPr>
        <w:t>In October</w:t>
      </w:r>
      <w:r w:rsidR="00BA584C" w:rsidRPr="004542B5">
        <w:rPr>
          <w:rFonts w:cs="Tahoma"/>
          <w:noProof w:val="0"/>
          <w:szCs w:val="20"/>
          <w:lang w:val="en-US"/>
        </w:rPr>
        <w:t xml:space="preserve"> 2011</w:t>
      </w:r>
      <w:r w:rsidRPr="004542B5">
        <w:rPr>
          <w:rFonts w:cs="Tahoma"/>
          <w:noProof w:val="0"/>
          <w:szCs w:val="20"/>
          <w:lang w:val="en-US"/>
        </w:rPr>
        <w:t>,</w:t>
      </w:r>
      <w:r w:rsidR="00BA584C" w:rsidRPr="004542B5">
        <w:rPr>
          <w:rFonts w:cs="Tahoma"/>
          <w:noProof w:val="0"/>
          <w:szCs w:val="20"/>
          <w:lang w:val="en-US"/>
        </w:rPr>
        <w:t xml:space="preserve"> </w:t>
      </w:r>
      <w:r w:rsidRPr="004542B5">
        <w:rPr>
          <w:rFonts w:cs="Tahoma"/>
          <w:noProof w:val="0"/>
          <w:szCs w:val="20"/>
          <w:lang w:val="en-US"/>
        </w:rPr>
        <w:t>a new</w:t>
      </w:r>
      <w:r w:rsidR="00BA584C" w:rsidRPr="004542B5">
        <w:rPr>
          <w:rFonts w:cs="Tahoma"/>
          <w:noProof w:val="0"/>
          <w:szCs w:val="20"/>
          <w:lang w:val="en-US"/>
        </w:rPr>
        <w:t xml:space="preserve"> </w:t>
      </w:r>
      <w:r w:rsidR="00EC152F" w:rsidRPr="004542B5">
        <w:rPr>
          <w:rFonts w:cs="Tahoma"/>
          <w:i/>
          <w:iCs/>
          <w:noProof w:val="0"/>
          <w:szCs w:val="20"/>
          <w:lang w:val="en-US"/>
        </w:rPr>
        <w:t>Corregidor</w:t>
      </w:r>
      <w:r w:rsidRPr="004542B5">
        <w:rPr>
          <w:rFonts w:cs="Tahoma"/>
          <w:noProof w:val="0"/>
          <w:szCs w:val="20"/>
          <w:lang w:val="en-US"/>
        </w:rPr>
        <w:t xml:space="preserve"> was appointed.</w:t>
      </w:r>
      <w:r w:rsidR="00BA584C" w:rsidRPr="004542B5">
        <w:rPr>
          <w:rStyle w:val="FootnoteReference"/>
          <w:noProof w:val="0"/>
          <w:lang w:val="en-US"/>
        </w:rPr>
        <w:footnoteReference w:id="160"/>
      </w:r>
      <w:r w:rsidR="007B47B1" w:rsidRPr="004542B5">
        <w:rPr>
          <w:rFonts w:cs="Tahoma"/>
          <w:noProof w:val="0"/>
          <w:szCs w:val="20"/>
          <w:lang w:val="en-US"/>
        </w:rPr>
        <w:t xml:space="preserve"> </w:t>
      </w:r>
    </w:p>
    <w:p w14:paraId="007DEC1F" w14:textId="1DAA74D0" w:rsidR="00DC5DDA" w:rsidRPr="004542B5" w:rsidRDefault="008B7C72" w:rsidP="00E01664">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w:t>
      </w:r>
      <w:r w:rsidR="00BA584C" w:rsidRPr="004542B5">
        <w:rPr>
          <w:rFonts w:cs="Tahoma"/>
          <w:noProof w:val="0"/>
          <w:szCs w:val="20"/>
          <w:lang w:val="en-US"/>
        </w:rPr>
        <w:t xml:space="preserve"> </w:t>
      </w:r>
      <w:r w:rsidR="00816749" w:rsidRPr="004542B5">
        <w:rPr>
          <w:rFonts w:cs="Tahoma"/>
          <w:noProof w:val="0"/>
          <w:szCs w:val="20"/>
          <w:lang w:val="en-US"/>
        </w:rPr>
        <w:t>December 13,</w:t>
      </w:r>
      <w:r w:rsidR="00BA584C" w:rsidRPr="004542B5">
        <w:rPr>
          <w:rFonts w:cs="Tahoma"/>
          <w:noProof w:val="0"/>
          <w:szCs w:val="20"/>
          <w:lang w:val="en-US"/>
        </w:rPr>
        <w:t xml:space="preserve"> 2011</w:t>
      </w:r>
      <w:r w:rsidRPr="004542B5">
        <w:rPr>
          <w:rFonts w:cs="Tahoma"/>
          <w:noProof w:val="0"/>
          <w:szCs w:val="20"/>
          <w:lang w:val="en-US"/>
        </w:rPr>
        <w:t>, an administrative hearing on the request to evict intruders was held before the new</w:t>
      </w:r>
      <w:r w:rsidR="00BA584C" w:rsidRPr="004542B5">
        <w:rPr>
          <w:rFonts w:cs="Tahoma"/>
          <w:noProof w:val="0"/>
          <w:szCs w:val="20"/>
          <w:lang w:val="en-US"/>
        </w:rPr>
        <w:t xml:space="preserve"> </w:t>
      </w:r>
      <w:r w:rsidR="00EC152F" w:rsidRPr="004542B5">
        <w:rPr>
          <w:rFonts w:cs="Tahoma"/>
          <w:i/>
          <w:iCs/>
          <w:noProof w:val="0"/>
          <w:szCs w:val="20"/>
          <w:lang w:val="en-US"/>
        </w:rPr>
        <w:t>Corregidor</w:t>
      </w:r>
      <w:r w:rsidR="00BA584C" w:rsidRPr="004542B5">
        <w:rPr>
          <w:rFonts w:cs="Tahoma"/>
          <w:noProof w:val="0"/>
          <w:szCs w:val="20"/>
          <w:lang w:val="en-US"/>
        </w:rPr>
        <w:t xml:space="preserve"> </w:t>
      </w:r>
      <w:r w:rsidRPr="004542B5">
        <w:rPr>
          <w:rFonts w:cs="Tahoma"/>
          <w:noProof w:val="0"/>
          <w:szCs w:val="20"/>
          <w:lang w:val="en-US"/>
        </w:rPr>
        <w:t xml:space="preserve">in the presence of </w:t>
      </w:r>
      <w:r w:rsidR="00FD22C3" w:rsidRPr="004542B5">
        <w:rPr>
          <w:rFonts w:cs="Tahoma"/>
          <w:noProof w:val="0"/>
          <w:szCs w:val="20"/>
          <w:lang w:val="en-US"/>
        </w:rPr>
        <w:t>representatives</w:t>
      </w:r>
      <w:r w:rsidR="004D0B27" w:rsidRPr="004542B5">
        <w:rPr>
          <w:rFonts w:cs="Tahoma"/>
          <w:noProof w:val="0"/>
          <w:szCs w:val="20"/>
          <w:lang w:val="en-US"/>
        </w:rPr>
        <w:t xml:space="preserve"> of the </w:t>
      </w:r>
      <w:r w:rsidR="008C4E08" w:rsidRPr="004542B5">
        <w:rPr>
          <w:rFonts w:cs="Tahoma"/>
          <w:noProof w:val="0"/>
          <w:szCs w:val="20"/>
          <w:lang w:val="en-US"/>
        </w:rPr>
        <w:t xml:space="preserve">Kuna </w:t>
      </w:r>
      <w:r w:rsidR="004D0B27" w:rsidRPr="004542B5">
        <w:rPr>
          <w:rFonts w:cs="Tahoma"/>
          <w:noProof w:val="0"/>
          <w:szCs w:val="20"/>
          <w:lang w:val="en-US"/>
        </w:rPr>
        <w:t>Comarca</w:t>
      </w:r>
      <w:r w:rsidR="00CD2B90" w:rsidRPr="004542B5">
        <w:rPr>
          <w:rFonts w:cs="Tahoma"/>
          <w:noProof w:val="0"/>
          <w:szCs w:val="20"/>
          <w:lang w:val="en-US"/>
        </w:rPr>
        <w:t xml:space="preserve"> and </w:t>
      </w:r>
      <w:r w:rsidR="00776FF0" w:rsidRPr="004542B5">
        <w:rPr>
          <w:rFonts w:cs="Tahoma"/>
          <w:noProof w:val="0"/>
          <w:szCs w:val="20"/>
          <w:lang w:val="en-US"/>
        </w:rPr>
        <w:t>settlers</w:t>
      </w:r>
      <w:r w:rsidR="00BA584C" w:rsidRPr="004542B5">
        <w:rPr>
          <w:rFonts w:cs="Tahoma"/>
          <w:noProof w:val="0"/>
          <w:szCs w:val="20"/>
          <w:lang w:val="en-US"/>
        </w:rPr>
        <w:t xml:space="preserve"> </w:t>
      </w:r>
      <w:r w:rsidR="00EC152F" w:rsidRPr="004542B5">
        <w:rPr>
          <w:rFonts w:cs="Tahoma"/>
          <w:noProof w:val="0"/>
          <w:szCs w:val="20"/>
          <w:lang w:val="en-US"/>
        </w:rPr>
        <w:t>during</w:t>
      </w:r>
      <w:r w:rsidRPr="004542B5">
        <w:rPr>
          <w:rFonts w:cs="Tahoma"/>
          <w:noProof w:val="0"/>
          <w:szCs w:val="20"/>
          <w:lang w:val="en-US"/>
        </w:rPr>
        <w:t xml:space="preserve"> which an order was issued to inspect the disputed area,</w:t>
      </w:r>
      <w:r w:rsidR="00BA584C" w:rsidRPr="004542B5">
        <w:rPr>
          <w:rStyle w:val="FootnoteReference"/>
          <w:noProof w:val="0"/>
          <w:lang w:val="en-US"/>
        </w:rPr>
        <w:footnoteReference w:id="161"/>
      </w:r>
      <w:r w:rsidRPr="004542B5">
        <w:rPr>
          <w:rFonts w:cs="Tahoma"/>
          <w:noProof w:val="0"/>
          <w:szCs w:val="20"/>
          <w:lang w:val="en-US"/>
        </w:rPr>
        <w:t xml:space="preserve"> and this took place in January 2012, in different sectors.</w:t>
      </w:r>
      <w:r w:rsidR="00BA584C" w:rsidRPr="004542B5">
        <w:rPr>
          <w:rStyle w:val="FootnoteReference"/>
          <w:noProof w:val="0"/>
          <w:lang w:val="en-US"/>
        </w:rPr>
        <w:footnoteReference w:id="162"/>
      </w:r>
      <w:r w:rsidR="00BA584C" w:rsidRPr="004542B5">
        <w:rPr>
          <w:rFonts w:cs="Tahoma"/>
          <w:noProof w:val="0"/>
          <w:szCs w:val="20"/>
          <w:lang w:val="en-US"/>
        </w:rPr>
        <w:t xml:space="preserve"> </w:t>
      </w:r>
      <w:r w:rsidRPr="004542B5">
        <w:rPr>
          <w:rFonts w:cs="Tahoma"/>
          <w:noProof w:val="0"/>
          <w:szCs w:val="20"/>
          <w:lang w:val="en-US"/>
        </w:rPr>
        <w:t xml:space="preserve">On January 31, that year, the </w:t>
      </w:r>
      <w:r w:rsidR="00EC152F" w:rsidRPr="004542B5">
        <w:rPr>
          <w:rFonts w:cs="Tahoma"/>
          <w:i/>
          <w:noProof w:val="0"/>
          <w:szCs w:val="20"/>
          <w:lang w:val="en-US"/>
        </w:rPr>
        <w:t>Corregidor</w:t>
      </w:r>
      <w:r w:rsidRPr="004542B5">
        <w:rPr>
          <w:rFonts w:cs="Tahoma"/>
          <w:noProof w:val="0"/>
          <w:szCs w:val="20"/>
          <w:lang w:val="en-US"/>
        </w:rPr>
        <w:t xml:space="preserve"> ordered the eviction of the settlers on the Río Piragua lands within</w:t>
      </w:r>
      <w:r w:rsidR="004D0B27" w:rsidRPr="004542B5">
        <w:rPr>
          <w:rFonts w:cs="Tahoma"/>
          <w:noProof w:val="0"/>
          <w:szCs w:val="20"/>
          <w:lang w:val="en-US"/>
        </w:rPr>
        <w:t xml:space="preserve"> the </w:t>
      </w:r>
      <w:r w:rsidR="008C4E08" w:rsidRPr="004542B5">
        <w:rPr>
          <w:rFonts w:cs="Tahoma"/>
          <w:noProof w:val="0"/>
          <w:szCs w:val="20"/>
          <w:lang w:val="en-US"/>
        </w:rPr>
        <w:t xml:space="preserve">Kuna </w:t>
      </w:r>
      <w:r w:rsidR="004D0B27" w:rsidRPr="004542B5">
        <w:rPr>
          <w:rFonts w:cs="Tahoma"/>
          <w:noProof w:val="0"/>
          <w:szCs w:val="20"/>
          <w:lang w:val="en-US"/>
        </w:rPr>
        <w:t>Comarca</w:t>
      </w:r>
      <w:r w:rsidR="00BA584C" w:rsidRPr="004542B5">
        <w:rPr>
          <w:rFonts w:cs="Tahoma"/>
          <w:noProof w:val="0"/>
          <w:szCs w:val="20"/>
          <w:lang w:val="en-US"/>
        </w:rPr>
        <w:t>, suspen</w:t>
      </w:r>
      <w:r w:rsidRPr="004542B5">
        <w:rPr>
          <w:rFonts w:cs="Tahoma"/>
          <w:noProof w:val="0"/>
          <w:szCs w:val="20"/>
          <w:lang w:val="en-US"/>
        </w:rPr>
        <w:t>ding th</w:t>
      </w:r>
      <w:r w:rsidR="00EC152F" w:rsidRPr="004542B5">
        <w:rPr>
          <w:rFonts w:cs="Tahoma"/>
          <w:noProof w:val="0"/>
          <w:szCs w:val="20"/>
          <w:lang w:val="en-US"/>
        </w:rPr>
        <w:t>is</w:t>
      </w:r>
      <w:r w:rsidRPr="004542B5">
        <w:rPr>
          <w:rFonts w:cs="Tahoma"/>
          <w:noProof w:val="0"/>
          <w:szCs w:val="20"/>
          <w:lang w:val="en-US"/>
        </w:rPr>
        <w:t xml:space="preserve"> until March 30, </w:t>
      </w:r>
      <w:r w:rsidR="00BA584C" w:rsidRPr="004542B5">
        <w:rPr>
          <w:rFonts w:cs="Tahoma"/>
          <w:noProof w:val="0"/>
          <w:szCs w:val="20"/>
          <w:lang w:val="en-US"/>
        </w:rPr>
        <w:t>2012</w:t>
      </w:r>
      <w:r w:rsidRPr="004542B5">
        <w:rPr>
          <w:rFonts w:cs="Tahoma"/>
          <w:noProof w:val="0"/>
          <w:szCs w:val="20"/>
          <w:lang w:val="en-US"/>
        </w:rPr>
        <w:t>, to give the settlers “the opportunity to remove their belongings</w:t>
      </w:r>
      <w:r w:rsidR="00BA584C" w:rsidRPr="004542B5">
        <w:rPr>
          <w:rFonts w:cs="Tahoma"/>
          <w:noProof w:val="0"/>
          <w:szCs w:val="20"/>
          <w:lang w:val="en-US"/>
        </w:rPr>
        <w:t>”</w:t>
      </w:r>
      <w:r w:rsidRPr="004542B5">
        <w:rPr>
          <w:rFonts w:cs="Tahoma"/>
          <w:noProof w:val="0"/>
          <w:szCs w:val="20"/>
          <w:lang w:val="en-US"/>
        </w:rPr>
        <w:t>;</w:t>
      </w:r>
      <w:r w:rsidR="00BA584C" w:rsidRPr="004542B5">
        <w:rPr>
          <w:rStyle w:val="FootnoteReference"/>
          <w:noProof w:val="0"/>
          <w:lang w:val="en-US"/>
        </w:rPr>
        <w:footnoteReference w:id="163"/>
      </w:r>
      <w:r w:rsidR="00CD2B90" w:rsidRPr="004542B5">
        <w:rPr>
          <w:rFonts w:cs="Tahoma"/>
          <w:noProof w:val="0"/>
          <w:szCs w:val="20"/>
          <w:lang w:val="en-US"/>
        </w:rPr>
        <w:t xml:space="preserve"> </w:t>
      </w:r>
      <w:r w:rsidRPr="004542B5">
        <w:rPr>
          <w:rFonts w:cs="Tahoma"/>
          <w:noProof w:val="0"/>
          <w:szCs w:val="20"/>
          <w:lang w:val="en-US"/>
        </w:rPr>
        <w:t xml:space="preserve">also, in </w:t>
      </w:r>
      <w:r w:rsidR="00CD2B90" w:rsidRPr="004542B5">
        <w:rPr>
          <w:rFonts w:cs="Tahoma"/>
          <w:noProof w:val="0"/>
          <w:szCs w:val="20"/>
          <w:lang w:val="en-US"/>
        </w:rPr>
        <w:t xml:space="preserve"> </w:t>
      </w:r>
      <w:r w:rsidR="008B3891" w:rsidRPr="004542B5">
        <w:rPr>
          <w:rFonts w:cs="Tahoma"/>
          <w:noProof w:val="0"/>
          <w:szCs w:val="20"/>
          <w:lang w:val="en-US"/>
        </w:rPr>
        <w:t>Resolution</w:t>
      </w:r>
      <w:r w:rsidR="00BA584C" w:rsidRPr="004542B5">
        <w:rPr>
          <w:rFonts w:cs="Tahoma"/>
          <w:noProof w:val="0"/>
          <w:szCs w:val="20"/>
          <w:lang w:val="en-US"/>
        </w:rPr>
        <w:t xml:space="preserve"> </w:t>
      </w:r>
      <w:r w:rsidR="00CD2B90" w:rsidRPr="004542B5">
        <w:rPr>
          <w:noProof w:val="0"/>
          <w:szCs w:val="20"/>
          <w:lang w:val="en-US"/>
        </w:rPr>
        <w:t>No.</w:t>
      </w:r>
      <w:r w:rsidR="00B7701D" w:rsidRPr="004542B5">
        <w:rPr>
          <w:noProof w:val="0"/>
          <w:szCs w:val="20"/>
          <w:lang w:val="en-US"/>
        </w:rPr>
        <w:t xml:space="preserve"> </w:t>
      </w:r>
      <w:r w:rsidR="00BA584C" w:rsidRPr="004542B5">
        <w:rPr>
          <w:rFonts w:cs="Tahoma"/>
          <w:noProof w:val="0"/>
          <w:szCs w:val="20"/>
          <w:lang w:val="en-US"/>
        </w:rPr>
        <w:t xml:space="preserve">5 </w:t>
      </w:r>
      <w:r w:rsidRPr="004542B5">
        <w:rPr>
          <w:rFonts w:cs="Tahoma"/>
          <w:noProof w:val="0"/>
          <w:szCs w:val="20"/>
          <w:lang w:val="en-US"/>
        </w:rPr>
        <w:t>of April 2,</w:t>
      </w:r>
      <w:r w:rsidR="00BA584C" w:rsidRPr="004542B5">
        <w:rPr>
          <w:rFonts w:cs="Tahoma"/>
          <w:noProof w:val="0"/>
          <w:szCs w:val="20"/>
          <w:lang w:val="en-US"/>
        </w:rPr>
        <w:t xml:space="preserve"> 2012, </w:t>
      </w:r>
      <w:r w:rsidRPr="004542B5">
        <w:rPr>
          <w:rFonts w:cs="Tahoma"/>
          <w:noProof w:val="0"/>
          <w:szCs w:val="20"/>
          <w:lang w:val="en-US"/>
        </w:rPr>
        <w:t>the</w:t>
      </w:r>
      <w:r w:rsidR="00BA584C" w:rsidRPr="004542B5">
        <w:rPr>
          <w:rFonts w:cs="Tahoma"/>
          <w:noProof w:val="0"/>
          <w:szCs w:val="20"/>
          <w:lang w:val="en-US"/>
        </w:rPr>
        <w:t xml:space="preserve"> </w:t>
      </w:r>
      <w:r w:rsidR="00EC152F" w:rsidRPr="004542B5">
        <w:rPr>
          <w:rFonts w:cs="Tahoma"/>
          <w:i/>
          <w:noProof w:val="0"/>
          <w:szCs w:val="20"/>
          <w:lang w:val="en-US"/>
        </w:rPr>
        <w:t>Corregidor</w:t>
      </w:r>
      <w:r w:rsidR="00BA584C" w:rsidRPr="004542B5">
        <w:rPr>
          <w:rFonts w:cs="Tahoma"/>
          <w:noProof w:val="0"/>
          <w:szCs w:val="20"/>
          <w:lang w:val="en-US"/>
        </w:rPr>
        <w:t xml:space="preserve"> </w:t>
      </w:r>
      <w:r w:rsidRPr="004542B5">
        <w:rPr>
          <w:rFonts w:cs="Tahoma"/>
          <w:noProof w:val="0"/>
          <w:szCs w:val="20"/>
          <w:lang w:val="en-US"/>
        </w:rPr>
        <w:t xml:space="preserve">required </w:t>
      </w:r>
      <w:r w:rsidR="00BA584C" w:rsidRPr="004542B5">
        <w:rPr>
          <w:rFonts w:cs="Tahoma"/>
          <w:noProof w:val="0"/>
          <w:szCs w:val="20"/>
          <w:lang w:val="en-US"/>
        </w:rPr>
        <w:t>“</w:t>
      </w:r>
      <w:r w:rsidRPr="004542B5">
        <w:rPr>
          <w:rFonts w:cs="Tahoma"/>
          <w:noProof w:val="0"/>
          <w:szCs w:val="20"/>
          <w:lang w:val="en-US"/>
        </w:rPr>
        <w:t>the eviction owing to in</w:t>
      </w:r>
      <w:r w:rsidR="00EC152F" w:rsidRPr="004542B5">
        <w:rPr>
          <w:rFonts w:cs="Tahoma"/>
          <w:noProof w:val="0"/>
          <w:szCs w:val="20"/>
          <w:lang w:val="en-US"/>
        </w:rPr>
        <w:t>trusion</w:t>
      </w:r>
      <w:r w:rsidRPr="004542B5">
        <w:rPr>
          <w:rFonts w:cs="Tahoma"/>
          <w:noProof w:val="0"/>
          <w:szCs w:val="20"/>
          <w:lang w:val="en-US"/>
        </w:rPr>
        <w:t xml:space="preserve"> of the persons who illegally occupy lands of the Comarca in the </w:t>
      </w:r>
      <w:r w:rsidR="00BA584C" w:rsidRPr="004542B5">
        <w:rPr>
          <w:rFonts w:cs="Tahoma"/>
          <w:noProof w:val="0"/>
          <w:szCs w:val="20"/>
          <w:lang w:val="en-US"/>
        </w:rPr>
        <w:t>Lago, Río Piragua, Río Bote, Wacuco</w:t>
      </w:r>
      <w:r w:rsidR="00CD2B90" w:rsidRPr="004542B5">
        <w:rPr>
          <w:rFonts w:cs="Tahoma"/>
          <w:noProof w:val="0"/>
          <w:szCs w:val="20"/>
          <w:lang w:val="en-US"/>
        </w:rPr>
        <w:t xml:space="preserve"> and </w:t>
      </w:r>
      <w:r w:rsidR="00BA584C" w:rsidRPr="004542B5">
        <w:rPr>
          <w:rFonts w:cs="Tahoma"/>
          <w:noProof w:val="0"/>
          <w:szCs w:val="20"/>
          <w:lang w:val="en-US"/>
        </w:rPr>
        <w:t>Tortí</w:t>
      </w:r>
      <w:r w:rsidR="00CD2B90" w:rsidRPr="004542B5">
        <w:rPr>
          <w:rFonts w:cs="Tahoma"/>
          <w:noProof w:val="0"/>
          <w:szCs w:val="20"/>
          <w:lang w:val="en-US"/>
        </w:rPr>
        <w:t xml:space="preserve"> </w:t>
      </w:r>
      <w:r w:rsidRPr="004542B5">
        <w:rPr>
          <w:rFonts w:cs="Tahoma"/>
          <w:noProof w:val="0"/>
          <w:szCs w:val="20"/>
          <w:lang w:val="en-US"/>
        </w:rPr>
        <w:t xml:space="preserve">sector </w:t>
      </w:r>
      <w:r w:rsidR="00CD2B90" w:rsidRPr="004542B5">
        <w:rPr>
          <w:rFonts w:cs="Tahoma"/>
          <w:noProof w:val="0"/>
          <w:szCs w:val="20"/>
          <w:lang w:val="en-US"/>
        </w:rPr>
        <w:t xml:space="preserve">and </w:t>
      </w:r>
      <w:r w:rsidRPr="004542B5">
        <w:rPr>
          <w:rFonts w:cs="Tahoma"/>
          <w:noProof w:val="0"/>
          <w:szCs w:val="20"/>
          <w:lang w:val="en-US"/>
        </w:rPr>
        <w:t xml:space="preserve">in any other place of the </w:t>
      </w:r>
      <w:r w:rsidR="00045DC1" w:rsidRPr="004542B5">
        <w:rPr>
          <w:rFonts w:cs="Tahoma"/>
          <w:noProof w:val="0"/>
          <w:szCs w:val="20"/>
          <w:lang w:val="en-US"/>
        </w:rPr>
        <w:t>Kuna Comarca of</w:t>
      </w:r>
      <w:r w:rsidR="00BA584C" w:rsidRPr="004542B5">
        <w:rPr>
          <w:rFonts w:cs="Tahoma"/>
          <w:noProof w:val="0"/>
          <w:szCs w:val="20"/>
          <w:lang w:val="en-US"/>
        </w:rPr>
        <w:t xml:space="preserve"> Madungandí</w:t>
      </w:r>
      <w:r w:rsidR="00EC152F" w:rsidRPr="004542B5">
        <w:rPr>
          <w:rFonts w:cs="Tahoma"/>
          <w:noProof w:val="0"/>
          <w:szCs w:val="20"/>
          <w:lang w:val="en-US"/>
        </w:rPr>
        <w:t>.</w:t>
      </w:r>
      <w:r w:rsidR="00BA584C" w:rsidRPr="004542B5">
        <w:rPr>
          <w:rFonts w:cs="Tahoma"/>
          <w:noProof w:val="0"/>
          <w:szCs w:val="20"/>
          <w:lang w:val="en-US"/>
        </w:rPr>
        <w:t>”</w:t>
      </w:r>
      <w:r w:rsidR="00BA584C" w:rsidRPr="004542B5">
        <w:rPr>
          <w:rStyle w:val="FootnoteReference"/>
          <w:noProof w:val="0"/>
          <w:lang w:val="en-US"/>
        </w:rPr>
        <w:footnoteReference w:id="164"/>
      </w:r>
      <w:r w:rsidR="008B4FEC" w:rsidRPr="004542B5">
        <w:rPr>
          <w:rFonts w:cs="Tahoma"/>
          <w:noProof w:val="0"/>
          <w:szCs w:val="20"/>
          <w:lang w:val="en-US"/>
        </w:rPr>
        <w:t xml:space="preserve"> </w:t>
      </w:r>
      <w:r w:rsidR="00EC152F" w:rsidRPr="004542B5">
        <w:rPr>
          <w:rFonts w:cs="Tahoma"/>
          <w:noProof w:val="0"/>
          <w:szCs w:val="20"/>
          <w:lang w:val="en-US"/>
        </w:rPr>
        <w:t>T</w:t>
      </w:r>
      <w:r w:rsidR="008B4FEC" w:rsidRPr="004542B5">
        <w:rPr>
          <w:rFonts w:cs="Tahoma"/>
          <w:noProof w:val="0"/>
          <w:szCs w:val="20"/>
          <w:lang w:val="en-US"/>
        </w:rPr>
        <w:t xml:space="preserve">he settlers </w:t>
      </w:r>
      <w:r w:rsidR="008B4FEC" w:rsidRPr="004542B5">
        <w:rPr>
          <w:rFonts w:cs="Tahoma"/>
          <w:noProof w:val="0"/>
          <w:szCs w:val="20"/>
          <w:lang w:val="en-US"/>
        </w:rPr>
        <w:lastRenderedPageBreak/>
        <w:t>filed a remedy of appeal</w:t>
      </w:r>
      <w:r w:rsidR="00EC152F" w:rsidRPr="004542B5">
        <w:rPr>
          <w:rFonts w:cs="Tahoma"/>
          <w:noProof w:val="0"/>
          <w:szCs w:val="20"/>
          <w:lang w:val="en-US"/>
        </w:rPr>
        <w:t xml:space="preserve"> against this</w:t>
      </w:r>
      <w:r w:rsidR="008B4FEC" w:rsidRPr="004542B5">
        <w:rPr>
          <w:rFonts w:cs="Tahoma"/>
          <w:noProof w:val="0"/>
          <w:szCs w:val="20"/>
          <w:lang w:val="en-US"/>
        </w:rPr>
        <w:t>,</w:t>
      </w:r>
      <w:r w:rsidR="00BA584C" w:rsidRPr="004542B5">
        <w:rPr>
          <w:rStyle w:val="FootnoteReference"/>
          <w:noProof w:val="0"/>
          <w:lang w:val="en-US"/>
        </w:rPr>
        <w:footnoteReference w:id="165"/>
      </w:r>
      <w:r w:rsidR="008B4FEC" w:rsidRPr="004542B5">
        <w:rPr>
          <w:rFonts w:cs="Tahoma"/>
          <w:noProof w:val="0"/>
          <w:szCs w:val="20"/>
          <w:lang w:val="en-US"/>
        </w:rPr>
        <w:t xml:space="preserve"> </w:t>
      </w:r>
      <w:r w:rsidR="00EC152F" w:rsidRPr="004542B5">
        <w:rPr>
          <w:rFonts w:cs="Tahoma"/>
          <w:noProof w:val="0"/>
          <w:szCs w:val="20"/>
          <w:lang w:val="en-US"/>
        </w:rPr>
        <w:t xml:space="preserve">which was </w:t>
      </w:r>
      <w:r w:rsidR="008B4FEC" w:rsidRPr="004542B5">
        <w:rPr>
          <w:rFonts w:cs="Tahoma"/>
          <w:noProof w:val="0"/>
          <w:szCs w:val="20"/>
          <w:lang w:val="en-US"/>
        </w:rPr>
        <w:t xml:space="preserve">decided by the Minister of the Interior in </w:t>
      </w:r>
      <w:r w:rsidR="008B3891" w:rsidRPr="004542B5">
        <w:rPr>
          <w:rFonts w:cs="Tahoma"/>
          <w:noProof w:val="0"/>
          <w:szCs w:val="20"/>
          <w:lang w:val="en-US"/>
        </w:rPr>
        <w:t>Resolution</w:t>
      </w:r>
      <w:r w:rsidR="00BA584C" w:rsidRPr="004542B5">
        <w:rPr>
          <w:rFonts w:cs="Tahoma"/>
          <w:noProof w:val="0"/>
          <w:szCs w:val="20"/>
          <w:lang w:val="en-US"/>
        </w:rPr>
        <w:t xml:space="preserve"> </w:t>
      </w:r>
      <w:r w:rsidR="00CD2B90" w:rsidRPr="004542B5">
        <w:rPr>
          <w:noProof w:val="0"/>
          <w:szCs w:val="20"/>
          <w:lang w:val="en-US"/>
        </w:rPr>
        <w:t>No.</w:t>
      </w:r>
      <w:r w:rsidR="00B7701D" w:rsidRPr="004542B5">
        <w:rPr>
          <w:noProof w:val="0"/>
          <w:szCs w:val="20"/>
          <w:lang w:val="en-US"/>
        </w:rPr>
        <w:t xml:space="preserve"> </w:t>
      </w:r>
      <w:r w:rsidR="00BA584C" w:rsidRPr="004542B5">
        <w:rPr>
          <w:rFonts w:cs="Tahoma"/>
          <w:noProof w:val="0"/>
          <w:szCs w:val="20"/>
          <w:lang w:val="en-US"/>
        </w:rPr>
        <w:t xml:space="preserve">197-R-63 </w:t>
      </w:r>
      <w:r w:rsidR="008B4FEC" w:rsidRPr="004542B5">
        <w:rPr>
          <w:rFonts w:cs="Tahoma"/>
          <w:noProof w:val="0"/>
          <w:szCs w:val="20"/>
          <w:lang w:val="en-US"/>
        </w:rPr>
        <w:t>of August 22,</w:t>
      </w:r>
      <w:r w:rsidR="00BA584C" w:rsidRPr="004542B5">
        <w:rPr>
          <w:rFonts w:cs="Tahoma"/>
          <w:noProof w:val="0"/>
          <w:szCs w:val="20"/>
          <w:lang w:val="en-US"/>
        </w:rPr>
        <w:t xml:space="preserve"> 2012, establ</w:t>
      </w:r>
      <w:r w:rsidR="008B4FEC" w:rsidRPr="004542B5">
        <w:rPr>
          <w:rFonts w:cs="Tahoma"/>
          <w:noProof w:val="0"/>
          <w:szCs w:val="20"/>
          <w:lang w:val="en-US"/>
        </w:rPr>
        <w:t>ishing that</w:t>
      </w:r>
      <w:r w:rsidR="00BA584C" w:rsidRPr="004542B5">
        <w:rPr>
          <w:rFonts w:cs="Tahoma"/>
          <w:noProof w:val="0"/>
          <w:szCs w:val="20"/>
          <w:lang w:val="en-US"/>
        </w:rPr>
        <w:t xml:space="preserve"> </w:t>
      </w:r>
      <w:r w:rsidR="008B4FEC" w:rsidRPr="004542B5">
        <w:rPr>
          <w:rFonts w:cs="Tahoma"/>
          <w:noProof w:val="0"/>
          <w:szCs w:val="20"/>
          <w:lang w:val="en-US"/>
        </w:rPr>
        <w:t>“</w:t>
      </w:r>
      <w:r w:rsidR="008B3891" w:rsidRPr="004542B5">
        <w:rPr>
          <w:rFonts w:cs="Tahoma"/>
          <w:noProof w:val="0"/>
          <w:szCs w:val="20"/>
          <w:lang w:val="en-US"/>
        </w:rPr>
        <w:t>Resolution</w:t>
      </w:r>
      <w:r w:rsidR="00BA584C" w:rsidRPr="004542B5">
        <w:rPr>
          <w:rFonts w:cs="Tahoma"/>
          <w:noProof w:val="0"/>
          <w:szCs w:val="20"/>
          <w:lang w:val="en-US"/>
        </w:rPr>
        <w:t xml:space="preserve"> </w:t>
      </w:r>
      <w:r w:rsidR="00CD2B90" w:rsidRPr="004542B5">
        <w:rPr>
          <w:noProof w:val="0"/>
          <w:szCs w:val="20"/>
          <w:lang w:val="en-US"/>
        </w:rPr>
        <w:t>No.</w:t>
      </w:r>
      <w:r w:rsidR="00B7701D" w:rsidRPr="004542B5">
        <w:rPr>
          <w:noProof w:val="0"/>
          <w:szCs w:val="20"/>
          <w:lang w:val="en-US"/>
        </w:rPr>
        <w:t xml:space="preserve"> </w:t>
      </w:r>
      <w:r w:rsidR="00BA584C" w:rsidRPr="004542B5">
        <w:rPr>
          <w:rFonts w:cs="Tahoma"/>
          <w:noProof w:val="0"/>
          <w:szCs w:val="20"/>
          <w:lang w:val="en-US"/>
        </w:rPr>
        <w:t xml:space="preserve">5 </w:t>
      </w:r>
      <w:r w:rsidR="008B4FEC" w:rsidRPr="004542B5">
        <w:rPr>
          <w:rFonts w:cs="Tahoma"/>
          <w:noProof w:val="0"/>
          <w:szCs w:val="20"/>
          <w:lang w:val="en-US"/>
        </w:rPr>
        <w:t>of April 2,</w:t>
      </w:r>
      <w:r w:rsidR="00BA584C" w:rsidRPr="004542B5">
        <w:rPr>
          <w:rFonts w:cs="Tahoma"/>
          <w:noProof w:val="0"/>
          <w:szCs w:val="20"/>
          <w:lang w:val="en-US"/>
        </w:rPr>
        <w:t xml:space="preserve"> 2012</w:t>
      </w:r>
      <w:r w:rsidR="008B4FEC" w:rsidRPr="004542B5">
        <w:rPr>
          <w:rFonts w:cs="Tahoma"/>
          <w:noProof w:val="0"/>
          <w:szCs w:val="20"/>
          <w:lang w:val="en-US"/>
        </w:rPr>
        <w:t>, in its entirety, was ratified.</w:t>
      </w:r>
      <w:r w:rsidR="00BA584C" w:rsidRPr="004542B5">
        <w:rPr>
          <w:rFonts w:cs="Tahoma"/>
          <w:noProof w:val="0"/>
          <w:szCs w:val="20"/>
          <w:lang w:val="en-US"/>
        </w:rPr>
        <w:t>”</w:t>
      </w:r>
      <w:r w:rsidR="00BA584C" w:rsidRPr="004542B5">
        <w:rPr>
          <w:rStyle w:val="FootnoteReference"/>
          <w:noProof w:val="0"/>
          <w:lang w:val="en-US"/>
        </w:rPr>
        <w:footnoteReference w:id="166"/>
      </w:r>
      <w:r w:rsidR="00BA584C" w:rsidRPr="004542B5">
        <w:rPr>
          <w:rFonts w:cs="Tahoma"/>
          <w:noProof w:val="0"/>
          <w:szCs w:val="20"/>
          <w:lang w:val="en-US"/>
        </w:rPr>
        <w:t xml:space="preserve"> </w:t>
      </w:r>
      <w:r w:rsidR="008B4FEC" w:rsidRPr="004542B5">
        <w:rPr>
          <w:rFonts w:cs="Tahoma"/>
          <w:noProof w:val="0"/>
          <w:szCs w:val="20"/>
          <w:lang w:val="en-US"/>
        </w:rPr>
        <w:t>Subsequently, on May 18,</w:t>
      </w:r>
      <w:r w:rsidR="00BA584C" w:rsidRPr="004542B5">
        <w:rPr>
          <w:rFonts w:cs="Tahoma"/>
          <w:noProof w:val="0"/>
          <w:szCs w:val="20"/>
          <w:lang w:val="en-US"/>
        </w:rPr>
        <w:t xml:space="preserve"> 2012, </w:t>
      </w:r>
      <w:r w:rsidR="008B4FEC" w:rsidRPr="004542B5">
        <w:rPr>
          <w:rFonts w:cs="Tahoma"/>
          <w:noProof w:val="0"/>
          <w:szCs w:val="20"/>
          <w:lang w:val="en-US"/>
        </w:rPr>
        <w:t xml:space="preserve">the </w:t>
      </w:r>
      <w:r w:rsidR="00EC152F" w:rsidRPr="004542B5">
        <w:rPr>
          <w:rFonts w:cs="Tahoma"/>
          <w:i/>
          <w:noProof w:val="0"/>
          <w:szCs w:val="20"/>
          <w:lang w:val="en-US"/>
        </w:rPr>
        <w:t>Corregidor</w:t>
      </w:r>
      <w:r w:rsidR="00BA584C" w:rsidRPr="004542B5">
        <w:rPr>
          <w:rFonts w:cs="Tahoma"/>
          <w:noProof w:val="0"/>
          <w:szCs w:val="20"/>
          <w:lang w:val="en-US"/>
        </w:rPr>
        <w:t xml:space="preserve"> </w:t>
      </w:r>
      <w:r w:rsidR="008B4FEC" w:rsidRPr="004542B5">
        <w:rPr>
          <w:rFonts w:cs="Tahoma"/>
          <w:noProof w:val="0"/>
          <w:szCs w:val="20"/>
          <w:lang w:val="en-US"/>
        </w:rPr>
        <w:t xml:space="preserve">again ordered </w:t>
      </w:r>
      <w:r w:rsidR="00CE1D9E" w:rsidRPr="004542B5">
        <w:rPr>
          <w:rFonts w:cs="Tahoma"/>
          <w:noProof w:val="0"/>
          <w:szCs w:val="20"/>
          <w:lang w:val="en-US"/>
        </w:rPr>
        <w:t>an</w:t>
      </w:r>
      <w:r w:rsidR="008B4FEC" w:rsidRPr="004542B5">
        <w:rPr>
          <w:rFonts w:cs="Tahoma"/>
          <w:noProof w:val="0"/>
          <w:szCs w:val="20"/>
          <w:lang w:val="en-US"/>
        </w:rPr>
        <w:t xml:space="preserve"> eviction owing to</w:t>
      </w:r>
      <w:r w:rsidR="00EC152F" w:rsidRPr="004542B5">
        <w:rPr>
          <w:rFonts w:cs="Tahoma"/>
          <w:noProof w:val="0"/>
          <w:szCs w:val="20"/>
          <w:lang w:val="en-US"/>
        </w:rPr>
        <w:t xml:space="preserve"> the</w:t>
      </w:r>
      <w:r w:rsidR="008B4FEC" w:rsidRPr="004542B5">
        <w:rPr>
          <w:rFonts w:cs="Tahoma"/>
          <w:noProof w:val="0"/>
          <w:szCs w:val="20"/>
          <w:lang w:val="en-US"/>
        </w:rPr>
        <w:t xml:space="preserve"> intrusion of persons “who illegally occupy lands of the Comarca.</w:t>
      </w:r>
      <w:r w:rsidR="00BA584C" w:rsidRPr="004542B5">
        <w:rPr>
          <w:rFonts w:cs="Tahoma"/>
          <w:noProof w:val="0"/>
          <w:szCs w:val="20"/>
          <w:lang w:val="en-US"/>
        </w:rPr>
        <w:t>”</w:t>
      </w:r>
      <w:r w:rsidR="00BA584C" w:rsidRPr="004542B5">
        <w:rPr>
          <w:rStyle w:val="FootnoteReference"/>
          <w:noProof w:val="0"/>
          <w:lang w:val="en-US"/>
        </w:rPr>
        <w:footnoteReference w:id="167"/>
      </w:r>
    </w:p>
    <w:p w14:paraId="79D81E40" w14:textId="3A1FD3B7" w:rsidR="003B7977" w:rsidRPr="004542B5" w:rsidRDefault="007B47B1" w:rsidP="00E01664">
      <w:pPr>
        <w:pStyle w:val="ListParagraph"/>
        <w:spacing w:before="240" w:after="240"/>
        <w:ind w:left="1434"/>
        <w:contextualSpacing w:val="0"/>
        <w:rPr>
          <w:rFonts w:cs="Tahoma"/>
          <w:i/>
          <w:noProof w:val="0"/>
          <w:szCs w:val="20"/>
          <w:lang w:val="en-US"/>
        </w:rPr>
      </w:pPr>
      <w:r w:rsidRPr="004542B5">
        <w:rPr>
          <w:rFonts w:cs="Tahoma"/>
          <w:i/>
          <w:noProof w:val="0"/>
          <w:szCs w:val="20"/>
          <w:lang w:val="en-US"/>
        </w:rPr>
        <w:t xml:space="preserve">H.2.2. </w:t>
      </w:r>
      <w:r w:rsidR="000377AA" w:rsidRPr="004542B5">
        <w:rPr>
          <w:rFonts w:cs="Tahoma"/>
          <w:i/>
          <w:noProof w:val="0"/>
          <w:szCs w:val="20"/>
          <w:lang w:val="en-US"/>
        </w:rPr>
        <w:t>Administrative procedure</w:t>
      </w:r>
      <w:r w:rsidR="008B4FEC" w:rsidRPr="004542B5">
        <w:rPr>
          <w:rFonts w:cs="Tahoma"/>
          <w:i/>
          <w:noProof w:val="0"/>
          <w:szCs w:val="20"/>
          <w:lang w:val="en-US"/>
        </w:rPr>
        <w:t>s before the National Environmental Authority</w:t>
      </w:r>
      <w:r w:rsidR="00CE1D9E" w:rsidRPr="004542B5">
        <w:rPr>
          <w:rFonts w:cs="Tahoma"/>
          <w:i/>
          <w:noProof w:val="0"/>
          <w:szCs w:val="20"/>
          <w:lang w:val="en-US"/>
        </w:rPr>
        <w:t xml:space="preserve"> based on environmental degradation</w:t>
      </w:r>
    </w:p>
    <w:p w14:paraId="730D77E8" w14:textId="3F5E0131" w:rsidR="00DC5DDA" w:rsidRPr="004542B5" w:rsidRDefault="008B4FEC" w:rsidP="003234E7">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 xml:space="preserve">In early January </w:t>
      </w:r>
      <w:r w:rsidR="00BA584C" w:rsidRPr="004542B5">
        <w:rPr>
          <w:rFonts w:cs="Tahoma"/>
          <w:noProof w:val="0"/>
          <w:szCs w:val="20"/>
          <w:lang w:val="en-US"/>
        </w:rPr>
        <w:t xml:space="preserve">2007, </w:t>
      </w:r>
      <w:r w:rsidR="003234E7" w:rsidRPr="004542B5">
        <w:rPr>
          <w:rFonts w:cs="Tahoma"/>
          <w:noProof w:val="0"/>
          <w:szCs w:val="20"/>
          <w:lang w:val="en-US"/>
        </w:rPr>
        <w:t>members</w:t>
      </w:r>
      <w:r w:rsidR="004D0B27" w:rsidRPr="004542B5">
        <w:rPr>
          <w:rFonts w:cs="Tahoma"/>
          <w:noProof w:val="0"/>
          <w:szCs w:val="20"/>
          <w:lang w:val="en-US"/>
        </w:rPr>
        <w:t xml:space="preserve"> of the </w:t>
      </w:r>
      <w:r w:rsidR="008C4E08" w:rsidRPr="004542B5">
        <w:rPr>
          <w:rFonts w:cs="Tahoma"/>
          <w:noProof w:val="0"/>
          <w:szCs w:val="20"/>
          <w:lang w:val="en-US"/>
        </w:rPr>
        <w:t xml:space="preserve">Kuna </w:t>
      </w:r>
      <w:r w:rsidR="004D0B27" w:rsidRPr="004542B5">
        <w:rPr>
          <w:rFonts w:cs="Tahoma"/>
          <w:noProof w:val="0"/>
          <w:szCs w:val="20"/>
          <w:lang w:val="en-US"/>
        </w:rPr>
        <w:t>Comarca</w:t>
      </w:r>
      <w:r w:rsidR="00BA584C" w:rsidRPr="004542B5">
        <w:rPr>
          <w:rFonts w:cs="Tahoma"/>
          <w:noProof w:val="0"/>
          <w:szCs w:val="20"/>
          <w:lang w:val="en-US"/>
        </w:rPr>
        <w:t xml:space="preserve"> </w:t>
      </w:r>
      <w:r w:rsidR="003234E7" w:rsidRPr="004542B5">
        <w:rPr>
          <w:rFonts w:cs="Tahoma"/>
          <w:noProof w:val="0"/>
          <w:szCs w:val="20"/>
          <w:lang w:val="en-US"/>
        </w:rPr>
        <w:t>filed a complaint with</w:t>
      </w:r>
      <w:r w:rsidR="00BA584C" w:rsidRPr="004542B5">
        <w:rPr>
          <w:rFonts w:cs="Tahoma"/>
          <w:noProof w:val="0"/>
          <w:szCs w:val="20"/>
          <w:lang w:val="en-US"/>
        </w:rPr>
        <w:t xml:space="preserve"> </w:t>
      </w:r>
      <w:r w:rsidRPr="004542B5">
        <w:rPr>
          <w:rFonts w:cs="Tahoma"/>
          <w:noProof w:val="0"/>
          <w:szCs w:val="20"/>
          <w:lang w:val="en-US"/>
        </w:rPr>
        <w:t>the National Environmental Authority</w:t>
      </w:r>
      <w:r w:rsidR="00BA584C" w:rsidRPr="004542B5">
        <w:rPr>
          <w:rFonts w:cs="Tahoma"/>
          <w:noProof w:val="0"/>
          <w:szCs w:val="20"/>
          <w:lang w:val="en-US"/>
        </w:rPr>
        <w:t xml:space="preserve"> (ANAM) </w:t>
      </w:r>
      <w:r w:rsidR="003234E7" w:rsidRPr="004542B5">
        <w:rPr>
          <w:rFonts w:cs="Tahoma"/>
          <w:noProof w:val="0"/>
          <w:szCs w:val="20"/>
          <w:lang w:val="en-US"/>
        </w:rPr>
        <w:t>based on presumed environmental d</w:t>
      </w:r>
      <w:r w:rsidR="00CE1D9E" w:rsidRPr="004542B5">
        <w:rPr>
          <w:rFonts w:cs="Tahoma"/>
          <w:noProof w:val="0"/>
          <w:szCs w:val="20"/>
          <w:lang w:val="en-US"/>
        </w:rPr>
        <w:t>egradation</w:t>
      </w:r>
      <w:r w:rsidR="003234E7" w:rsidRPr="004542B5">
        <w:rPr>
          <w:rFonts w:cs="Tahoma"/>
          <w:noProof w:val="0"/>
          <w:szCs w:val="20"/>
          <w:lang w:val="en-US"/>
        </w:rPr>
        <w:t xml:space="preserve"> in their territory</w:t>
      </w:r>
      <w:r w:rsidR="00F74AD5" w:rsidRPr="004542B5">
        <w:rPr>
          <w:rFonts w:cs="Tahoma"/>
          <w:noProof w:val="0"/>
          <w:szCs w:val="20"/>
          <w:lang w:val="en-US"/>
        </w:rPr>
        <w:t>.</w:t>
      </w:r>
      <w:r w:rsidR="003234E7" w:rsidRPr="004542B5">
        <w:rPr>
          <w:rFonts w:cs="Tahoma"/>
          <w:noProof w:val="0"/>
          <w:szCs w:val="20"/>
          <w:lang w:val="en-US"/>
        </w:rPr>
        <w:t xml:space="preserve"> </w:t>
      </w:r>
      <w:r w:rsidR="00F74AD5" w:rsidRPr="004542B5">
        <w:rPr>
          <w:rFonts w:cs="Tahoma"/>
          <w:noProof w:val="0"/>
          <w:szCs w:val="20"/>
          <w:lang w:val="en-US"/>
        </w:rPr>
        <w:t>T</w:t>
      </w:r>
      <w:r w:rsidR="003234E7" w:rsidRPr="004542B5">
        <w:rPr>
          <w:rFonts w:cs="Tahoma"/>
          <w:noProof w:val="0"/>
          <w:szCs w:val="20"/>
          <w:lang w:val="en-US"/>
        </w:rPr>
        <w:t>h</w:t>
      </w:r>
      <w:r w:rsidR="00F74AD5" w:rsidRPr="004542B5">
        <w:rPr>
          <w:rFonts w:cs="Tahoma"/>
          <w:noProof w:val="0"/>
          <w:szCs w:val="20"/>
          <w:lang w:val="en-US"/>
        </w:rPr>
        <w:t xml:space="preserve">e </w:t>
      </w:r>
      <w:r w:rsidR="003234E7" w:rsidRPr="004542B5">
        <w:rPr>
          <w:rFonts w:cs="Tahoma"/>
          <w:noProof w:val="0"/>
          <w:szCs w:val="20"/>
          <w:lang w:val="en-US"/>
        </w:rPr>
        <w:t>Regional Administrator of that body</w:t>
      </w:r>
      <w:r w:rsidR="00F74AD5" w:rsidRPr="004542B5">
        <w:rPr>
          <w:rFonts w:cs="Tahoma"/>
          <w:noProof w:val="0"/>
          <w:szCs w:val="20"/>
          <w:lang w:val="en-US"/>
        </w:rPr>
        <w:t xml:space="preserve"> admitted the complaint</w:t>
      </w:r>
      <w:r w:rsidR="003234E7" w:rsidRPr="004542B5">
        <w:rPr>
          <w:rFonts w:cs="Tahoma"/>
          <w:noProof w:val="0"/>
          <w:szCs w:val="20"/>
          <w:lang w:val="en-US"/>
        </w:rPr>
        <w:t xml:space="preserve"> on February 8, </w:t>
      </w:r>
      <w:r w:rsidR="00BA584C" w:rsidRPr="004542B5">
        <w:rPr>
          <w:rFonts w:cs="Tahoma"/>
          <w:noProof w:val="0"/>
          <w:szCs w:val="20"/>
          <w:lang w:val="en-US"/>
        </w:rPr>
        <w:t>2007</w:t>
      </w:r>
      <w:r w:rsidR="003234E7" w:rsidRPr="004542B5">
        <w:rPr>
          <w:rFonts w:cs="Tahoma"/>
          <w:noProof w:val="0"/>
          <w:szCs w:val="20"/>
          <w:lang w:val="en-US"/>
        </w:rPr>
        <w:t>,</w:t>
      </w:r>
      <w:r w:rsidR="00BA584C" w:rsidRPr="004542B5">
        <w:rPr>
          <w:rStyle w:val="FootnoteReference"/>
          <w:noProof w:val="0"/>
          <w:lang w:val="en-US"/>
        </w:rPr>
        <w:footnoteReference w:id="168"/>
      </w:r>
      <w:r w:rsidR="003234E7" w:rsidRPr="004542B5">
        <w:rPr>
          <w:rFonts w:cs="Tahoma"/>
          <w:noProof w:val="0"/>
          <w:szCs w:val="20"/>
          <w:lang w:val="en-US"/>
        </w:rPr>
        <w:t xml:space="preserve"> following an inspection visit on January 30, 2007, during which he recorded “</w:t>
      </w:r>
      <w:r w:rsidR="00F74AD5" w:rsidRPr="004542B5">
        <w:rPr>
          <w:rFonts w:cs="Tahoma"/>
          <w:noProof w:val="0"/>
          <w:szCs w:val="20"/>
          <w:lang w:val="en-US"/>
        </w:rPr>
        <w:t>the ‘</w:t>
      </w:r>
      <w:r w:rsidR="00F74AD5" w:rsidRPr="004542B5">
        <w:rPr>
          <w:rFonts w:cs="Tahoma"/>
          <w:i/>
          <w:iCs/>
          <w:noProof w:val="0"/>
          <w:szCs w:val="20"/>
          <w:lang w:val="en-US"/>
        </w:rPr>
        <w:t>socuela</w:t>
      </w:r>
      <w:r w:rsidR="00F74AD5" w:rsidRPr="004542B5">
        <w:rPr>
          <w:rFonts w:cs="Tahoma"/>
          <w:noProof w:val="0"/>
          <w:szCs w:val="20"/>
          <w:lang w:val="en-US"/>
        </w:rPr>
        <w:t>’ (</w:t>
      </w:r>
      <w:r w:rsidR="00CE1D9E" w:rsidRPr="004542B5">
        <w:rPr>
          <w:rFonts w:cs="Tahoma"/>
          <w:noProof w:val="0"/>
          <w:szCs w:val="20"/>
          <w:lang w:val="en-US"/>
        </w:rPr>
        <w:t>clearing</w:t>
      </w:r>
      <w:r w:rsidR="00F74AD5" w:rsidRPr="004542B5">
        <w:rPr>
          <w:rFonts w:cs="Tahoma"/>
          <w:noProof w:val="0"/>
          <w:szCs w:val="20"/>
          <w:lang w:val="en-US"/>
        </w:rPr>
        <w:t>)</w:t>
      </w:r>
      <w:r w:rsidR="003234E7" w:rsidRPr="004542B5">
        <w:rPr>
          <w:rFonts w:cs="Tahoma"/>
          <w:noProof w:val="0"/>
          <w:szCs w:val="20"/>
          <w:lang w:val="en-US"/>
        </w:rPr>
        <w:t xml:space="preserve"> of a forested area of approximately one (1) hectare” in that territory by four persons found </w:t>
      </w:r>
      <w:r w:rsidR="00BA584C" w:rsidRPr="004542B5">
        <w:rPr>
          <w:rFonts w:cs="Tahoma"/>
          <w:i/>
          <w:noProof w:val="0"/>
          <w:szCs w:val="20"/>
          <w:lang w:val="en-US"/>
        </w:rPr>
        <w:t>in f</w:t>
      </w:r>
      <w:r w:rsidR="00A710E9" w:rsidRPr="004542B5">
        <w:rPr>
          <w:rFonts w:cs="Tahoma"/>
          <w:i/>
          <w:noProof w:val="0"/>
          <w:szCs w:val="20"/>
          <w:lang w:val="en-US"/>
        </w:rPr>
        <w:t>l</w:t>
      </w:r>
      <w:r w:rsidR="00BA584C" w:rsidRPr="004542B5">
        <w:rPr>
          <w:rFonts w:cs="Tahoma"/>
          <w:i/>
          <w:noProof w:val="0"/>
          <w:szCs w:val="20"/>
          <w:lang w:val="en-US"/>
        </w:rPr>
        <w:t>ag</w:t>
      </w:r>
      <w:r w:rsidR="00A710E9" w:rsidRPr="004542B5">
        <w:rPr>
          <w:rFonts w:cs="Tahoma"/>
          <w:i/>
          <w:noProof w:val="0"/>
          <w:szCs w:val="20"/>
          <w:lang w:val="en-US"/>
        </w:rPr>
        <w:t>r</w:t>
      </w:r>
      <w:r w:rsidR="00BA584C" w:rsidRPr="004542B5">
        <w:rPr>
          <w:rFonts w:cs="Tahoma"/>
          <w:i/>
          <w:noProof w:val="0"/>
          <w:szCs w:val="20"/>
          <w:lang w:val="en-US"/>
        </w:rPr>
        <w:t>an</w:t>
      </w:r>
      <w:r w:rsidR="00C437DD" w:rsidRPr="004542B5">
        <w:rPr>
          <w:rFonts w:cs="Tahoma"/>
          <w:i/>
          <w:noProof w:val="0"/>
          <w:szCs w:val="20"/>
          <w:lang w:val="en-US"/>
        </w:rPr>
        <w:t>te</w:t>
      </w:r>
      <w:r w:rsidR="00CE1D9E" w:rsidRPr="004542B5">
        <w:rPr>
          <w:rFonts w:cs="Tahoma"/>
          <w:i/>
          <w:noProof w:val="0"/>
          <w:szCs w:val="20"/>
          <w:lang w:val="en-US"/>
        </w:rPr>
        <w:t>,</w:t>
      </w:r>
      <w:r w:rsidR="00CD2B90" w:rsidRPr="004542B5">
        <w:rPr>
          <w:rFonts w:cs="Tahoma"/>
          <w:noProof w:val="0"/>
          <w:szCs w:val="20"/>
          <w:lang w:val="en-US"/>
        </w:rPr>
        <w:t xml:space="preserve"> and </w:t>
      </w:r>
      <w:r w:rsidR="003234E7" w:rsidRPr="004542B5">
        <w:rPr>
          <w:rFonts w:cs="Tahoma"/>
          <w:noProof w:val="0"/>
          <w:szCs w:val="20"/>
          <w:lang w:val="en-US"/>
        </w:rPr>
        <w:t>concluded that the Forestry Law had been violated.</w:t>
      </w:r>
      <w:r w:rsidR="00BA584C" w:rsidRPr="004542B5">
        <w:rPr>
          <w:rStyle w:val="FootnoteReference"/>
          <w:noProof w:val="0"/>
          <w:lang w:val="en-US"/>
        </w:rPr>
        <w:footnoteReference w:id="169"/>
      </w:r>
      <w:r w:rsidR="003234E7" w:rsidRPr="004542B5">
        <w:rPr>
          <w:rFonts w:cs="Tahoma"/>
          <w:noProof w:val="0"/>
          <w:szCs w:val="20"/>
          <w:lang w:val="en-US"/>
        </w:rPr>
        <w:t xml:space="preserve"> In a resolution of May 21, 2007, ANAM condemned four persons to pay jointly B/.500.00 (five hundred balboas) owing to destruction of the forest without the corresponding permits.</w:t>
      </w:r>
      <w:r w:rsidR="003234E7" w:rsidRPr="004542B5">
        <w:rPr>
          <w:rStyle w:val="FootnoteReference"/>
          <w:noProof w:val="0"/>
          <w:lang w:val="en-US"/>
        </w:rPr>
        <w:footnoteReference w:id="170"/>
      </w:r>
      <w:r w:rsidR="003234E7" w:rsidRPr="004542B5">
        <w:rPr>
          <w:rFonts w:cs="Tahoma"/>
          <w:noProof w:val="0"/>
          <w:szCs w:val="20"/>
          <w:lang w:val="en-US"/>
        </w:rPr>
        <w:t xml:space="preserve"> Th</w:t>
      </w:r>
      <w:r w:rsidR="00CE1D9E" w:rsidRPr="004542B5">
        <w:rPr>
          <w:rFonts w:cs="Tahoma"/>
          <w:noProof w:val="0"/>
          <w:szCs w:val="20"/>
          <w:lang w:val="en-US"/>
        </w:rPr>
        <w:t xml:space="preserve">e </w:t>
      </w:r>
      <w:r w:rsidR="003234E7" w:rsidRPr="004542B5">
        <w:rPr>
          <w:rFonts w:cs="Tahoma"/>
          <w:noProof w:val="0"/>
          <w:szCs w:val="20"/>
          <w:lang w:val="en-US"/>
        </w:rPr>
        <w:t xml:space="preserve">case file </w:t>
      </w:r>
      <w:r w:rsidR="00CE1D9E" w:rsidRPr="004542B5">
        <w:rPr>
          <w:rFonts w:cs="Tahoma"/>
          <w:noProof w:val="0"/>
          <w:szCs w:val="20"/>
          <w:lang w:val="en-US"/>
        </w:rPr>
        <w:t>does not</w:t>
      </w:r>
      <w:r w:rsidR="003234E7" w:rsidRPr="004542B5">
        <w:rPr>
          <w:rFonts w:cs="Tahoma"/>
          <w:noProof w:val="0"/>
          <w:szCs w:val="20"/>
          <w:lang w:val="en-US"/>
        </w:rPr>
        <w:t xml:space="preserve"> show whether the fine was paid. Another inspection was made on March 14 and 15, 2007, following a complaint filed by </w:t>
      </w:r>
      <w:r w:rsidR="00CE1D9E" w:rsidRPr="004542B5">
        <w:rPr>
          <w:rFonts w:cs="Tahoma"/>
          <w:noProof w:val="0"/>
          <w:szCs w:val="20"/>
          <w:lang w:val="en-US"/>
        </w:rPr>
        <w:t>t</w:t>
      </w:r>
      <w:r w:rsidR="003234E7" w:rsidRPr="004542B5">
        <w:rPr>
          <w:rFonts w:cs="Tahoma"/>
          <w:noProof w:val="0"/>
          <w:szCs w:val="20"/>
          <w:lang w:val="en-US"/>
        </w:rPr>
        <w:t>he representatives of the Kuna Comarca, during which three areas</w:t>
      </w:r>
      <w:r w:rsidR="00CE1D9E" w:rsidRPr="004542B5">
        <w:rPr>
          <w:rFonts w:cs="Tahoma"/>
          <w:noProof w:val="0"/>
          <w:szCs w:val="20"/>
          <w:lang w:val="en-US"/>
        </w:rPr>
        <w:t xml:space="preserve"> were examined</w:t>
      </w:r>
      <w:r w:rsidR="003234E7" w:rsidRPr="004542B5">
        <w:rPr>
          <w:rFonts w:cs="Tahoma"/>
          <w:noProof w:val="0"/>
          <w:szCs w:val="20"/>
          <w:lang w:val="en-US"/>
        </w:rPr>
        <w:t xml:space="preserve"> in which logging had been carried out </w:t>
      </w:r>
      <w:r w:rsidR="00F74AD5" w:rsidRPr="004542B5">
        <w:rPr>
          <w:rFonts w:cs="Tahoma"/>
          <w:noProof w:val="0"/>
          <w:szCs w:val="20"/>
          <w:lang w:val="en-US"/>
        </w:rPr>
        <w:t>over approximately three (3) hectares, and it was again concluded that the Forestry Law had been violated.</w:t>
      </w:r>
      <w:r w:rsidR="00BA584C" w:rsidRPr="004542B5">
        <w:rPr>
          <w:rStyle w:val="FootnoteReference"/>
          <w:noProof w:val="0"/>
          <w:lang w:val="en-US"/>
        </w:rPr>
        <w:footnoteReference w:id="171"/>
      </w:r>
    </w:p>
    <w:p w14:paraId="66BDF1FF" w14:textId="2C7B25C1" w:rsidR="003B7977" w:rsidRPr="004542B5" w:rsidRDefault="007B47B1" w:rsidP="00E01664">
      <w:pPr>
        <w:pStyle w:val="ListParagraph"/>
        <w:spacing w:before="240" w:after="240"/>
        <w:ind w:left="1435"/>
        <w:contextualSpacing w:val="0"/>
        <w:rPr>
          <w:rFonts w:cs="Tahoma"/>
          <w:i/>
          <w:noProof w:val="0"/>
          <w:szCs w:val="20"/>
          <w:lang w:val="en-US"/>
        </w:rPr>
      </w:pPr>
      <w:r w:rsidRPr="004542B5">
        <w:rPr>
          <w:rFonts w:cs="Tahoma"/>
          <w:i/>
          <w:noProof w:val="0"/>
          <w:szCs w:val="20"/>
          <w:lang w:val="en-US"/>
        </w:rPr>
        <w:t xml:space="preserve">H.2.3. </w:t>
      </w:r>
      <w:r w:rsidR="00F74AD5" w:rsidRPr="004542B5">
        <w:rPr>
          <w:rFonts w:cs="Tahoma"/>
          <w:i/>
          <w:noProof w:val="0"/>
          <w:szCs w:val="20"/>
          <w:lang w:val="en-US"/>
        </w:rPr>
        <w:t>Administrative procedures for the adjudication of collective ownership</w:t>
      </w:r>
    </w:p>
    <w:p w14:paraId="1FF9A113" w14:textId="67D58996" w:rsidR="00DC5DDA" w:rsidRPr="004542B5" w:rsidRDefault="00F74AD5" w:rsidP="00E01664">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June 13,</w:t>
      </w:r>
      <w:r w:rsidR="00BA584C" w:rsidRPr="004542B5">
        <w:rPr>
          <w:rFonts w:cs="Tahoma"/>
          <w:noProof w:val="0"/>
          <w:szCs w:val="20"/>
          <w:lang w:val="en-US"/>
        </w:rPr>
        <w:t xml:space="preserve"> 1995</w:t>
      </w:r>
      <w:r w:rsidRPr="004542B5">
        <w:rPr>
          <w:rFonts w:cs="Tahoma"/>
          <w:noProof w:val="0"/>
          <w:szCs w:val="20"/>
          <w:lang w:val="en-US"/>
        </w:rPr>
        <w:t>,</w:t>
      </w:r>
      <w:r w:rsidR="00BA584C" w:rsidRPr="004542B5">
        <w:rPr>
          <w:rFonts w:cs="Tahoma"/>
          <w:noProof w:val="0"/>
          <w:szCs w:val="20"/>
          <w:lang w:val="en-US"/>
        </w:rPr>
        <w:t xml:space="preserve"> </w:t>
      </w:r>
      <w:r w:rsidR="00203069" w:rsidRPr="004542B5">
        <w:rPr>
          <w:rFonts w:cs="Tahoma"/>
          <w:noProof w:val="0"/>
          <w:szCs w:val="20"/>
          <w:lang w:val="en-US"/>
        </w:rPr>
        <w:t>the Emberá Community</w:t>
      </w:r>
      <w:r w:rsidR="00BA584C" w:rsidRPr="004542B5">
        <w:rPr>
          <w:rFonts w:cs="Tahoma"/>
          <w:noProof w:val="0"/>
          <w:szCs w:val="20"/>
          <w:lang w:val="en-US"/>
        </w:rPr>
        <w:t xml:space="preserve"> </w:t>
      </w:r>
      <w:r w:rsidRPr="004542B5">
        <w:rPr>
          <w:rFonts w:cs="Tahoma"/>
          <w:noProof w:val="0"/>
          <w:szCs w:val="20"/>
          <w:lang w:val="en-US"/>
        </w:rPr>
        <w:t>of</w:t>
      </w:r>
      <w:r w:rsidR="00BA584C" w:rsidRPr="004542B5">
        <w:rPr>
          <w:rFonts w:cs="Tahoma"/>
          <w:noProof w:val="0"/>
          <w:szCs w:val="20"/>
          <w:lang w:val="en-US"/>
        </w:rPr>
        <w:t xml:space="preserve"> Ipetí </w:t>
      </w:r>
      <w:r w:rsidRPr="004542B5">
        <w:rPr>
          <w:rFonts w:cs="Tahoma"/>
          <w:noProof w:val="0"/>
          <w:szCs w:val="20"/>
          <w:lang w:val="en-US"/>
        </w:rPr>
        <w:t xml:space="preserve">submitted a claim for the demarcation and adjudication of collective lands with the </w:t>
      </w:r>
      <w:r w:rsidR="00562CBB" w:rsidRPr="004542B5">
        <w:rPr>
          <w:rFonts w:cs="Tahoma"/>
          <w:noProof w:val="0"/>
          <w:szCs w:val="20"/>
          <w:lang w:val="en-US"/>
        </w:rPr>
        <w:t>President</w:t>
      </w:r>
      <w:r w:rsidR="00BA584C" w:rsidRPr="004542B5">
        <w:rPr>
          <w:rFonts w:cs="Tahoma"/>
          <w:noProof w:val="0"/>
          <w:szCs w:val="20"/>
          <w:lang w:val="en-US"/>
        </w:rPr>
        <w:t xml:space="preserve"> </w:t>
      </w:r>
      <w:r w:rsidR="00EB726F" w:rsidRPr="004542B5">
        <w:rPr>
          <w:rFonts w:cs="Tahoma"/>
          <w:noProof w:val="0"/>
          <w:szCs w:val="20"/>
          <w:lang w:val="en-US"/>
        </w:rPr>
        <w:t>of the Republic</w:t>
      </w:r>
      <w:r w:rsidR="00BA584C" w:rsidRPr="004542B5">
        <w:rPr>
          <w:rFonts w:cs="Tahoma"/>
          <w:noProof w:val="0"/>
          <w:szCs w:val="20"/>
          <w:lang w:val="en-US"/>
        </w:rPr>
        <w:t xml:space="preserve"> </w:t>
      </w:r>
      <w:r w:rsidRPr="004542B5">
        <w:rPr>
          <w:rFonts w:cs="Tahoma"/>
          <w:noProof w:val="0"/>
          <w:szCs w:val="20"/>
          <w:lang w:val="en-US"/>
        </w:rPr>
        <w:t xml:space="preserve">requesting the “approval of the adjudication of 3,198 </w:t>
      </w:r>
      <w:r w:rsidRPr="004542B5">
        <w:rPr>
          <w:noProof w:val="0"/>
          <w:szCs w:val="20"/>
          <w:lang w:val="en-US"/>
        </w:rPr>
        <w:t>hectares</w:t>
      </w:r>
      <w:r w:rsidRPr="004542B5">
        <w:rPr>
          <w:rFonts w:cs="Tahoma"/>
          <w:noProof w:val="0"/>
          <w:szCs w:val="20"/>
          <w:lang w:val="en-US"/>
        </w:rPr>
        <w:t>, free of charge, under a collective title, to the</w:t>
      </w:r>
      <w:r w:rsidR="00BA584C" w:rsidRPr="004542B5">
        <w:rPr>
          <w:rFonts w:cs="Tahoma"/>
          <w:noProof w:val="0"/>
          <w:szCs w:val="20"/>
          <w:lang w:val="en-US"/>
        </w:rPr>
        <w:t xml:space="preserve"> </w:t>
      </w:r>
      <w:r w:rsidR="00E74A3B" w:rsidRPr="004542B5">
        <w:rPr>
          <w:rFonts w:cs="Tahoma"/>
          <w:noProof w:val="0"/>
          <w:szCs w:val="20"/>
          <w:lang w:val="en-US"/>
        </w:rPr>
        <w:t>Ipetí Emberá</w:t>
      </w:r>
      <w:r w:rsidRPr="004542B5">
        <w:rPr>
          <w:rFonts w:cs="Tahoma"/>
          <w:noProof w:val="0"/>
          <w:szCs w:val="20"/>
          <w:lang w:val="en-US"/>
        </w:rPr>
        <w:t xml:space="preserve"> Community.</w:t>
      </w:r>
      <w:r w:rsidR="00BA584C" w:rsidRPr="004542B5">
        <w:rPr>
          <w:rStyle w:val="FootnoteReference"/>
          <w:noProof w:val="0"/>
          <w:lang w:val="en-US"/>
        </w:rPr>
        <w:footnoteReference w:id="172"/>
      </w:r>
      <w:r w:rsidR="00BA584C" w:rsidRPr="004542B5">
        <w:rPr>
          <w:rFonts w:cs="Tahoma"/>
          <w:noProof w:val="0"/>
          <w:szCs w:val="20"/>
          <w:lang w:val="en-US"/>
        </w:rPr>
        <w:t xml:space="preserve"> </w:t>
      </w:r>
      <w:r w:rsidRPr="004542B5">
        <w:rPr>
          <w:rFonts w:cs="Tahoma"/>
          <w:noProof w:val="0"/>
          <w:szCs w:val="20"/>
          <w:lang w:val="en-US"/>
        </w:rPr>
        <w:t xml:space="preserve">On September 8, </w:t>
      </w:r>
      <w:r w:rsidR="00BA584C" w:rsidRPr="004542B5">
        <w:rPr>
          <w:rFonts w:cs="Tahoma"/>
          <w:noProof w:val="0"/>
          <w:szCs w:val="20"/>
          <w:lang w:val="en-US"/>
        </w:rPr>
        <w:t>1995</w:t>
      </w:r>
      <w:r w:rsidRPr="004542B5">
        <w:rPr>
          <w:rFonts w:cs="Tahoma"/>
          <w:noProof w:val="0"/>
          <w:szCs w:val="20"/>
          <w:lang w:val="en-US"/>
        </w:rPr>
        <w:t>,</w:t>
      </w:r>
      <w:r w:rsidR="00BA584C" w:rsidRPr="004542B5">
        <w:rPr>
          <w:rFonts w:cs="Tahoma"/>
          <w:noProof w:val="0"/>
          <w:szCs w:val="20"/>
          <w:lang w:val="en-US"/>
        </w:rPr>
        <w:t xml:space="preserve"> </w:t>
      </w:r>
      <w:r w:rsidR="00562CBB" w:rsidRPr="004542B5">
        <w:rPr>
          <w:rFonts w:cs="Tahoma"/>
          <w:noProof w:val="0"/>
          <w:szCs w:val="20"/>
          <w:lang w:val="en-US"/>
        </w:rPr>
        <w:t>the representatives</w:t>
      </w:r>
      <w:r w:rsidR="00BA584C" w:rsidRPr="004542B5">
        <w:rPr>
          <w:rFonts w:cs="Tahoma"/>
          <w:noProof w:val="0"/>
          <w:szCs w:val="20"/>
          <w:lang w:val="en-US"/>
        </w:rPr>
        <w:t xml:space="preserve"> </w:t>
      </w:r>
      <w:r w:rsidRPr="004542B5">
        <w:rPr>
          <w:rFonts w:cs="Tahoma"/>
          <w:noProof w:val="0"/>
          <w:szCs w:val="20"/>
          <w:lang w:val="en-US"/>
        </w:rPr>
        <w:t xml:space="preserve">of the </w:t>
      </w:r>
      <w:r w:rsidR="00E74A3B" w:rsidRPr="004542B5">
        <w:rPr>
          <w:rFonts w:cs="Tahoma"/>
          <w:noProof w:val="0"/>
          <w:szCs w:val="20"/>
          <w:lang w:val="en-US"/>
        </w:rPr>
        <w:t>Ipetí Emberá</w:t>
      </w:r>
      <w:r w:rsidRPr="004542B5">
        <w:rPr>
          <w:rFonts w:cs="Tahoma"/>
          <w:noProof w:val="0"/>
          <w:szCs w:val="20"/>
          <w:lang w:val="en-US"/>
        </w:rPr>
        <w:t xml:space="preserve"> Community requested a meeting with the Director of Legal Ser</w:t>
      </w:r>
      <w:r w:rsidR="00CE1D9E" w:rsidRPr="004542B5">
        <w:rPr>
          <w:rFonts w:cs="Tahoma"/>
          <w:noProof w:val="0"/>
          <w:szCs w:val="20"/>
          <w:lang w:val="en-US"/>
        </w:rPr>
        <w:t>v</w:t>
      </w:r>
      <w:r w:rsidRPr="004542B5">
        <w:rPr>
          <w:rFonts w:cs="Tahoma"/>
          <w:noProof w:val="0"/>
          <w:szCs w:val="20"/>
          <w:lang w:val="en-US"/>
        </w:rPr>
        <w:t xml:space="preserve">ices </w:t>
      </w:r>
      <w:r w:rsidR="00E15EC0" w:rsidRPr="004542B5">
        <w:rPr>
          <w:rFonts w:cs="Tahoma"/>
          <w:noProof w:val="0"/>
          <w:szCs w:val="20"/>
          <w:lang w:val="en-US"/>
        </w:rPr>
        <w:t xml:space="preserve">of the </w:t>
      </w:r>
      <w:r w:rsidR="00EB726F" w:rsidRPr="004542B5">
        <w:rPr>
          <w:rFonts w:cs="Tahoma"/>
          <w:noProof w:val="0"/>
          <w:szCs w:val="20"/>
          <w:lang w:val="en-US"/>
        </w:rPr>
        <w:t>Presiden</w:t>
      </w:r>
      <w:r w:rsidRPr="004542B5">
        <w:rPr>
          <w:rFonts w:cs="Tahoma"/>
          <w:noProof w:val="0"/>
          <w:szCs w:val="20"/>
          <w:lang w:val="en-US"/>
        </w:rPr>
        <w:t>cy</w:t>
      </w:r>
      <w:r w:rsidR="008A56D7" w:rsidRPr="004542B5">
        <w:rPr>
          <w:rFonts w:cs="Tahoma"/>
          <w:noProof w:val="0"/>
          <w:szCs w:val="20"/>
          <w:lang w:val="en-US"/>
        </w:rPr>
        <w:t xml:space="preserve"> of the </w:t>
      </w:r>
      <w:r w:rsidR="00562CBB" w:rsidRPr="004542B5">
        <w:rPr>
          <w:rFonts w:cs="Tahoma"/>
          <w:noProof w:val="0"/>
          <w:szCs w:val="20"/>
          <w:lang w:val="en-US"/>
        </w:rPr>
        <w:t>Republic</w:t>
      </w:r>
      <w:r w:rsidRPr="004542B5">
        <w:rPr>
          <w:rFonts w:cs="Tahoma"/>
          <w:noProof w:val="0"/>
          <w:szCs w:val="20"/>
          <w:lang w:val="en-US"/>
        </w:rPr>
        <w:t xml:space="preserve">, </w:t>
      </w:r>
      <w:r w:rsidR="00CE1D9E" w:rsidRPr="004542B5">
        <w:rPr>
          <w:rFonts w:cs="Tahoma"/>
          <w:noProof w:val="0"/>
          <w:szCs w:val="20"/>
          <w:lang w:val="en-US"/>
        </w:rPr>
        <w:t xml:space="preserve">after receiving </w:t>
      </w:r>
      <w:r w:rsidRPr="004542B5">
        <w:rPr>
          <w:rFonts w:cs="Tahoma"/>
          <w:noProof w:val="0"/>
          <w:szCs w:val="20"/>
          <w:lang w:val="en-US"/>
        </w:rPr>
        <w:t>a</w:t>
      </w:r>
      <w:r w:rsidR="00CE1D9E" w:rsidRPr="004542B5">
        <w:rPr>
          <w:rFonts w:cs="Tahoma"/>
          <w:noProof w:val="0"/>
          <w:szCs w:val="20"/>
          <w:lang w:val="en-US"/>
        </w:rPr>
        <w:t xml:space="preserve"> </w:t>
      </w:r>
      <w:r w:rsidRPr="004542B5">
        <w:rPr>
          <w:rFonts w:cs="Tahoma"/>
          <w:noProof w:val="0"/>
          <w:szCs w:val="20"/>
          <w:lang w:val="en-US"/>
        </w:rPr>
        <w:t xml:space="preserve">note from the latter on August 2, </w:t>
      </w:r>
      <w:r w:rsidR="00BA584C" w:rsidRPr="004542B5">
        <w:rPr>
          <w:rFonts w:cs="Tahoma"/>
          <w:noProof w:val="0"/>
          <w:szCs w:val="20"/>
          <w:lang w:val="en-US"/>
        </w:rPr>
        <w:t>1995</w:t>
      </w:r>
      <w:r w:rsidRPr="004542B5">
        <w:rPr>
          <w:rFonts w:cs="Tahoma"/>
          <w:noProof w:val="0"/>
          <w:szCs w:val="20"/>
          <w:lang w:val="en-US"/>
        </w:rPr>
        <w:t xml:space="preserve">, </w:t>
      </w:r>
      <w:r w:rsidR="00CE1D9E" w:rsidRPr="004542B5">
        <w:rPr>
          <w:rFonts w:cs="Tahoma"/>
          <w:noProof w:val="0"/>
          <w:szCs w:val="20"/>
          <w:lang w:val="en-US"/>
        </w:rPr>
        <w:t xml:space="preserve">concerning </w:t>
      </w:r>
      <w:r w:rsidRPr="004542B5">
        <w:rPr>
          <w:rFonts w:cs="Tahoma"/>
          <w:noProof w:val="0"/>
          <w:szCs w:val="20"/>
          <w:lang w:val="en-US"/>
        </w:rPr>
        <w:t>the community’s claim.</w:t>
      </w:r>
      <w:r w:rsidR="00BA584C" w:rsidRPr="004542B5">
        <w:rPr>
          <w:rStyle w:val="FootnoteReference"/>
          <w:noProof w:val="0"/>
          <w:lang w:val="en-US"/>
        </w:rPr>
        <w:footnoteReference w:id="173"/>
      </w:r>
      <w:r w:rsidRPr="004542B5">
        <w:rPr>
          <w:rFonts w:cs="Tahoma"/>
          <w:noProof w:val="0"/>
          <w:szCs w:val="20"/>
          <w:lang w:val="en-US"/>
        </w:rPr>
        <w:t xml:space="preserve"> The case file does not show whether </w:t>
      </w:r>
      <w:r w:rsidR="008A56D7" w:rsidRPr="004542B5">
        <w:rPr>
          <w:rFonts w:cs="Tahoma"/>
          <w:noProof w:val="0"/>
          <w:szCs w:val="20"/>
          <w:lang w:val="en-US"/>
        </w:rPr>
        <w:t xml:space="preserve">the </w:t>
      </w:r>
      <w:r w:rsidR="00562CBB" w:rsidRPr="004542B5">
        <w:rPr>
          <w:rFonts w:cs="Tahoma"/>
          <w:noProof w:val="0"/>
          <w:szCs w:val="20"/>
          <w:lang w:val="en-US"/>
        </w:rPr>
        <w:t>representatives</w:t>
      </w:r>
      <w:r w:rsidR="00CE1D9E" w:rsidRPr="004542B5">
        <w:rPr>
          <w:rFonts w:cs="Tahoma"/>
          <w:noProof w:val="0"/>
          <w:szCs w:val="20"/>
          <w:lang w:val="en-US"/>
        </w:rPr>
        <w:t>’ request</w:t>
      </w:r>
      <w:r w:rsidR="00BA584C" w:rsidRPr="004542B5">
        <w:rPr>
          <w:rFonts w:cs="Tahoma"/>
          <w:noProof w:val="0"/>
          <w:szCs w:val="20"/>
          <w:lang w:val="en-US"/>
        </w:rPr>
        <w:t xml:space="preserve"> </w:t>
      </w:r>
      <w:r w:rsidR="00CE1D9E" w:rsidRPr="004542B5">
        <w:rPr>
          <w:rFonts w:cs="Tahoma"/>
          <w:noProof w:val="0"/>
          <w:szCs w:val="20"/>
          <w:lang w:val="en-US"/>
        </w:rPr>
        <w:t>was answered</w:t>
      </w:r>
      <w:r w:rsidRPr="004542B5">
        <w:rPr>
          <w:rFonts w:cs="Tahoma"/>
          <w:noProof w:val="0"/>
          <w:szCs w:val="20"/>
          <w:lang w:val="en-US"/>
        </w:rPr>
        <w:t>.</w:t>
      </w:r>
      <w:r w:rsidR="007B47B1" w:rsidRPr="004542B5">
        <w:rPr>
          <w:rFonts w:cs="Tahoma"/>
          <w:noProof w:val="0"/>
          <w:szCs w:val="20"/>
          <w:lang w:val="en-US"/>
        </w:rPr>
        <w:t xml:space="preserve"> </w:t>
      </w:r>
    </w:p>
    <w:p w14:paraId="46A51CC9" w14:textId="7DFD2730" w:rsidR="00DC5DDA" w:rsidRPr="004542B5" w:rsidRDefault="00F74AD5" w:rsidP="00E01664">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January 27,</w:t>
      </w:r>
      <w:r w:rsidR="00BA584C" w:rsidRPr="004542B5">
        <w:rPr>
          <w:rFonts w:cs="Tahoma"/>
          <w:noProof w:val="0"/>
          <w:szCs w:val="20"/>
          <w:lang w:val="en-US"/>
        </w:rPr>
        <w:t xml:space="preserve"> 1999</w:t>
      </w:r>
      <w:r w:rsidRPr="004542B5">
        <w:rPr>
          <w:rFonts w:cs="Tahoma"/>
          <w:noProof w:val="0"/>
          <w:szCs w:val="20"/>
          <w:lang w:val="en-US"/>
        </w:rPr>
        <w:t>,</w:t>
      </w:r>
      <w:r w:rsidR="00BA584C" w:rsidRPr="004542B5">
        <w:rPr>
          <w:rFonts w:cs="Tahoma"/>
          <w:noProof w:val="0"/>
          <w:szCs w:val="20"/>
          <w:lang w:val="en-US"/>
        </w:rPr>
        <w:t xml:space="preserve"> </w:t>
      </w:r>
      <w:r w:rsidRPr="004542B5">
        <w:rPr>
          <w:rFonts w:cs="Tahoma"/>
          <w:noProof w:val="0"/>
          <w:szCs w:val="20"/>
          <w:lang w:val="en-US"/>
        </w:rPr>
        <w:t>a request was submitted to the</w:t>
      </w:r>
      <w:r w:rsidR="00BA584C" w:rsidRPr="004542B5">
        <w:rPr>
          <w:rFonts w:cs="Tahoma"/>
          <w:noProof w:val="0"/>
          <w:szCs w:val="20"/>
          <w:lang w:val="en-US"/>
        </w:rPr>
        <w:t xml:space="preserve"> </w:t>
      </w:r>
      <w:r w:rsidR="00562CBB" w:rsidRPr="004542B5">
        <w:rPr>
          <w:rFonts w:cs="Tahoma"/>
          <w:noProof w:val="0"/>
          <w:szCs w:val="20"/>
          <w:lang w:val="en-US"/>
        </w:rPr>
        <w:t>President</w:t>
      </w:r>
      <w:r w:rsidR="00BA584C" w:rsidRPr="004542B5">
        <w:rPr>
          <w:rFonts w:cs="Tahoma"/>
          <w:noProof w:val="0"/>
          <w:szCs w:val="20"/>
          <w:lang w:val="en-US"/>
        </w:rPr>
        <w:t xml:space="preserve"> </w:t>
      </w:r>
      <w:r w:rsidR="00EB726F" w:rsidRPr="004542B5">
        <w:rPr>
          <w:rFonts w:cs="Tahoma"/>
          <w:noProof w:val="0"/>
          <w:szCs w:val="20"/>
          <w:lang w:val="en-US"/>
        </w:rPr>
        <w:t>of the Republic</w:t>
      </w:r>
      <w:r w:rsidRPr="004542B5">
        <w:rPr>
          <w:rFonts w:cs="Tahoma"/>
          <w:noProof w:val="0"/>
          <w:szCs w:val="20"/>
          <w:lang w:val="en-US"/>
        </w:rPr>
        <w:t xml:space="preserve"> for the Cabinet Council to grant, free of charge,</w:t>
      </w:r>
      <w:r w:rsidR="00BA584C" w:rsidRPr="004542B5">
        <w:rPr>
          <w:rFonts w:cs="Tahoma"/>
          <w:noProof w:val="0"/>
          <w:szCs w:val="20"/>
          <w:lang w:val="en-US"/>
        </w:rPr>
        <w:t xml:space="preserve"> </w:t>
      </w:r>
      <w:r w:rsidRPr="004542B5">
        <w:rPr>
          <w:rFonts w:cs="Tahoma"/>
          <w:noProof w:val="0"/>
          <w:szCs w:val="20"/>
          <w:lang w:val="en-US"/>
        </w:rPr>
        <w:t>a site with an area of</w:t>
      </w:r>
      <w:r w:rsidR="00BA584C" w:rsidRPr="004542B5">
        <w:rPr>
          <w:rFonts w:cs="Tahoma"/>
          <w:noProof w:val="0"/>
          <w:szCs w:val="20"/>
          <w:lang w:val="en-US"/>
        </w:rPr>
        <w:t xml:space="preserve"> 301 </w:t>
      </w:r>
      <w:r w:rsidR="001A3088" w:rsidRPr="004542B5">
        <w:rPr>
          <w:noProof w:val="0"/>
          <w:szCs w:val="20"/>
          <w:lang w:val="en-US"/>
        </w:rPr>
        <w:t>hectares</w:t>
      </w:r>
      <w:r w:rsidR="00E01664" w:rsidRPr="004542B5">
        <w:rPr>
          <w:noProof w:val="0"/>
          <w:szCs w:val="20"/>
          <w:lang w:val="en-US"/>
        </w:rPr>
        <w:t xml:space="preserve"> </w:t>
      </w:r>
      <w:r w:rsidR="00CE1D9E" w:rsidRPr="004542B5">
        <w:rPr>
          <w:noProof w:val="0"/>
          <w:szCs w:val="20"/>
          <w:lang w:val="en-US"/>
        </w:rPr>
        <w:t>and</w:t>
      </w:r>
      <w:r w:rsidR="00BA584C" w:rsidRPr="004542B5">
        <w:rPr>
          <w:rFonts w:cs="Tahoma"/>
          <w:noProof w:val="0"/>
          <w:szCs w:val="20"/>
          <w:lang w:val="en-US"/>
        </w:rPr>
        <w:t xml:space="preserve"> 9</w:t>
      </w:r>
      <w:r w:rsidRPr="004542B5">
        <w:rPr>
          <w:rFonts w:cs="Tahoma"/>
          <w:noProof w:val="0"/>
          <w:szCs w:val="20"/>
          <w:lang w:val="en-US"/>
        </w:rPr>
        <w:t>,</w:t>
      </w:r>
      <w:r w:rsidR="00BA584C" w:rsidRPr="004542B5">
        <w:rPr>
          <w:rFonts w:cs="Tahoma"/>
          <w:noProof w:val="0"/>
          <w:szCs w:val="20"/>
          <w:lang w:val="en-US"/>
        </w:rPr>
        <w:t>343</w:t>
      </w:r>
      <w:r w:rsidR="00E01664" w:rsidRPr="004542B5">
        <w:rPr>
          <w:rFonts w:cs="Tahoma"/>
          <w:noProof w:val="0"/>
          <w:szCs w:val="20"/>
          <w:lang w:val="en-US"/>
        </w:rPr>
        <w:t xml:space="preserve"> </w:t>
      </w:r>
      <w:r w:rsidR="00BA584C" w:rsidRPr="004542B5">
        <w:rPr>
          <w:rFonts w:cs="Tahoma"/>
          <w:noProof w:val="0"/>
          <w:szCs w:val="20"/>
          <w:lang w:val="en-US"/>
        </w:rPr>
        <w:t>m</w:t>
      </w:r>
      <w:r w:rsidR="00BA584C" w:rsidRPr="004542B5">
        <w:rPr>
          <w:rFonts w:cs="Tahoma"/>
          <w:noProof w:val="0"/>
          <w:szCs w:val="20"/>
          <w:vertAlign w:val="superscript"/>
          <w:lang w:val="en-US"/>
        </w:rPr>
        <w:t>2</w:t>
      </w:r>
      <w:r w:rsidR="00BA584C" w:rsidRPr="004542B5">
        <w:rPr>
          <w:rFonts w:cs="Tahoma"/>
          <w:noProof w:val="0"/>
          <w:szCs w:val="20"/>
          <w:lang w:val="en-US"/>
        </w:rPr>
        <w:t xml:space="preserve"> </w:t>
      </w:r>
      <w:r w:rsidRPr="004542B5">
        <w:rPr>
          <w:rFonts w:cs="Tahoma"/>
          <w:noProof w:val="0"/>
          <w:szCs w:val="20"/>
          <w:lang w:val="en-US"/>
        </w:rPr>
        <w:t xml:space="preserve">to the </w:t>
      </w:r>
      <w:r w:rsidRPr="004542B5">
        <w:rPr>
          <w:rFonts w:cs="Tahoma"/>
          <w:noProof w:val="0"/>
          <w:szCs w:val="20"/>
          <w:lang w:val="en-US"/>
        </w:rPr>
        <w:lastRenderedPageBreak/>
        <w:t xml:space="preserve">Association for the Development of the </w:t>
      </w:r>
      <w:r w:rsidR="00E74A3B" w:rsidRPr="004542B5">
        <w:rPr>
          <w:rFonts w:cs="Tahoma"/>
          <w:noProof w:val="0"/>
          <w:szCs w:val="20"/>
          <w:lang w:val="en-US"/>
        </w:rPr>
        <w:t>Piriatí Emberá</w:t>
      </w:r>
      <w:r w:rsidRPr="004542B5">
        <w:rPr>
          <w:rFonts w:cs="Tahoma"/>
          <w:noProof w:val="0"/>
          <w:szCs w:val="20"/>
          <w:lang w:val="en-US"/>
        </w:rPr>
        <w:t xml:space="preserve"> Community.</w:t>
      </w:r>
      <w:r w:rsidR="00BA584C" w:rsidRPr="004542B5">
        <w:rPr>
          <w:rStyle w:val="FootnoteReference"/>
          <w:noProof w:val="0"/>
          <w:lang w:val="en-US"/>
        </w:rPr>
        <w:footnoteReference w:id="174"/>
      </w:r>
      <w:r w:rsidR="00BA584C" w:rsidRPr="004542B5">
        <w:rPr>
          <w:rFonts w:cs="Tahoma"/>
          <w:noProof w:val="0"/>
          <w:szCs w:val="20"/>
          <w:lang w:val="en-US"/>
        </w:rPr>
        <w:t xml:space="preserve"> </w:t>
      </w:r>
      <w:r w:rsidRPr="004542B5">
        <w:rPr>
          <w:rFonts w:cs="Tahoma"/>
          <w:noProof w:val="0"/>
          <w:szCs w:val="20"/>
          <w:lang w:val="en-US"/>
        </w:rPr>
        <w:t>The case file does not show whether this request was answered</w:t>
      </w:r>
      <w:r w:rsidR="007B47B1" w:rsidRPr="004542B5">
        <w:rPr>
          <w:rFonts w:cs="Tahoma"/>
          <w:noProof w:val="0"/>
          <w:szCs w:val="20"/>
          <w:lang w:val="en-US"/>
        </w:rPr>
        <w:t xml:space="preserve">. </w:t>
      </w:r>
    </w:p>
    <w:p w14:paraId="474E1E6A" w14:textId="4B4FB027" w:rsidR="00DC5DDA" w:rsidRPr="004542B5" w:rsidRDefault="00F74AD5" w:rsidP="00F74AD5">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October 27,</w:t>
      </w:r>
      <w:r w:rsidR="00BA584C" w:rsidRPr="004542B5">
        <w:rPr>
          <w:rFonts w:cs="Tahoma"/>
          <w:noProof w:val="0"/>
          <w:szCs w:val="20"/>
          <w:lang w:val="en-US"/>
        </w:rPr>
        <w:t xml:space="preserve"> 2009</w:t>
      </w:r>
      <w:r w:rsidRPr="004542B5">
        <w:rPr>
          <w:rFonts w:cs="Tahoma"/>
          <w:noProof w:val="0"/>
          <w:szCs w:val="20"/>
          <w:lang w:val="en-US"/>
        </w:rPr>
        <w:t>,</w:t>
      </w:r>
      <w:r w:rsidR="00BA584C" w:rsidRPr="004542B5">
        <w:rPr>
          <w:rFonts w:cs="Tahoma"/>
          <w:noProof w:val="0"/>
          <w:szCs w:val="20"/>
          <w:lang w:val="en-US"/>
        </w:rPr>
        <w:t xml:space="preserve"> </w:t>
      </w:r>
      <w:r w:rsidRPr="004542B5">
        <w:rPr>
          <w:rFonts w:cs="Tahoma"/>
          <w:noProof w:val="0"/>
          <w:szCs w:val="20"/>
          <w:lang w:val="en-US"/>
        </w:rPr>
        <w:t>a request was submitted to the National Agrarian Reform Directorate for the adjudication, free of charge, of the collective ownership of lands granted in compensation to the Ipetí and Piriatí communities</w:t>
      </w:r>
      <w:r w:rsidR="00896DBD" w:rsidRPr="004542B5">
        <w:rPr>
          <w:rFonts w:cs="Tahoma"/>
          <w:noProof w:val="0"/>
          <w:szCs w:val="20"/>
          <w:lang w:val="en-US"/>
        </w:rPr>
        <w:t>. This</w:t>
      </w:r>
      <w:r w:rsidRPr="004542B5">
        <w:rPr>
          <w:rFonts w:cs="Tahoma"/>
          <w:noProof w:val="0"/>
          <w:szCs w:val="20"/>
          <w:lang w:val="en-US"/>
        </w:rPr>
        <w:t xml:space="preserve"> referred to a</w:t>
      </w:r>
      <w:r w:rsidR="00896DBD" w:rsidRPr="004542B5">
        <w:rPr>
          <w:rFonts w:cs="Tahoma"/>
          <w:noProof w:val="0"/>
          <w:szCs w:val="20"/>
          <w:lang w:val="en-US"/>
        </w:rPr>
        <w:t>n Ipetí community</w:t>
      </w:r>
      <w:r w:rsidRPr="004542B5">
        <w:rPr>
          <w:rFonts w:cs="Tahoma"/>
          <w:noProof w:val="0"/>
          <w:szCs w:val="20"/>
          <w:lang w:val="en-US"/>
        </w:rPr>
        <w:t xml:space="preserve"> p</w:t>
      </w:r>
      <w:r w:rsidR="00896DBD" w:rsidRPr="004542B5">
        <w:rPr>
          <w:rFonts w:cs="Tahoma"/>
          <w:noProof w:val="0"/>
          <w:szCs w:val="20"/>
          <w:lang w:val="en-US"/>
        </w:rPr>
        <w:t>arcel</w:t>
      </w:r>
      <w:r w:rsidRPr="004542B5">
        <w:rPr>
          <w:rFonts w:cs="Tahoma"/>
          <w:noProof w:val="0"/>
          <w:szCs w:val="20"/>
          <w:lang w:val="en-US"/>
        </w:rPr>
        <w:t xml:space="preserve"> of 3,191 hectares and a </w:t>
      </w:r>
      <w:r w:rsidR="00896DBD" w:rsidRPr="004542B5">
        <w:rPr>
          <w:rFonts w:cs="Tahoma"/>
          <w:noProof w:val="0"/>
          <w:szCs w:val="20"/>
          <w:lang w:val="en-US"/>
        </w:rPr>
        <w:t xml:space="preserve">Piriatí community </w:t>
      </w:r>
      <w:r w:rsidRPr="004542B5">
        <w:rPr>
          <w:rFonts w:cs="Tahoma"/>
          <w:noProof w:val="0"/>
          <w:szCs w:val="20"/>
          <w:lang w:val="en-US"/>
        </w:rPr>
        <w:t>p</w:t>
      </w:r>
      <w:r w:rsidR="00896DBD" w:rsidRPr="004542B5">
        <w:rPr>
          <w:rFonts w:cs="Tahoma"/>
          <w:noProof w:val="0"/>
          <w:szCs w:val="20"/>
          <w:lang w:val="en-US"/>
        </w:rPr>
        <w:t>arcel</w:t>
      </w:r>
      <w:r w:rsidRPr="004542B5">
        <w:rPr>
          <w:rFonts w:cs="Tahoma"/>
          <w:noProof w:val="0"/>
          <w:szCs w:val="20"/>
          <w:lang w:val="en-US"/>
        </w:rPr>
        <w:t xml:space="preserve"> of 3,754 hectares; the request also asked that any procedure involving</w:t>
      </w:r>
      <w:r w:rsidR="007E4B58" w:rsidRPr="004542B5">
        <w:rPr>
          <w:rFonts w:cs="Tahoma"/>
          <w:noProof w:val="0"/>
          <w:szCs w:val="20"/>
          <w:lang w:val="en-US"/>
        </w:rPr>
        <w:t xml:space="preserve"> third party</w:t>
      </w:r>
      <w:r w:rsidRPr="004542B5">
        <w:rPr>
          <w:rFonts w:cs="Tahoma"/>
          <w:noProof w:val="0"/>
          <w:szCs w:val="20"/>
          <w:lang w:val="en-US"/>
        </w:rPr>
        <w:t xml:space="preserve"> property titles or the certification of possessory rights</w:t>
      </w:r>
      <w:r w:rsidR="007E4B58" w:rsidRPr="004542B5">
        <w:rPr>
          <w:rFonts w:cs="Tahoma"/>
          <w:noProof w:val="0"/>
          <w:szCs w:val="20"/>
          <w:lang w:val="en-US"/>
        </w:rPr>
        <w:t xml:space="preserve"> </w:t>
      </w:r>
      <w:r w:rsidRPr="004542B5">
        <w:rPr>
          <w:rFonts w:cs="Tahoma"/>
          <w:noProof w:val="0"/>
          <w:szCs w:val="20"/>
          <w:lang w:val="en-US"/>
        </w:rPr>
        <w:t>in relation to these p</w:t>
      </w:r>
      <w:r w:rsidR="007E4B58" w:rsidRPr="004542B5">
        <w:rPr>
          <w:rFonts w:cs="Tahoma"/>
          <w:noProof w:val="0"/>
          <w:szCs w:val="20"/>
          <w:lang w:val="en-US"/>
        </w:rPr>
        <w:t>arcels</w:t>
      </w:r>
      <w:r w:rsidRPr="004542B5">
        <w:rPr>
          <w:rFonts w:cs="Tahoma"/>
          <w:noProof w:val="0"/>
          <w:szCs w:val="20"/>
          <w:lang w:val="en-US"/>
        </w:rPr>
        <w:t xml:space="preserve"> be suspended.</w:t>
      </w:r>
      <w:r w:rsidR="00BA584C" w:rsidRPr="004542B5">
        <w:rPr>
          <w:rStyle w:val="FootnoteReference"/>
          <w:noProof w:val="0"/>
          <w:lang w:val="en-US"/>
        </w:rPr>
        <w:footnoteReference w:id="175"/>
      </w:r>
      <w:r w:rsidRPr="004542B5">
        <w:rPr>
          <w:rFonts w:cs="Tahoma"/>
          <w:noProof w:val="0"/>
          <w:szCs w:val="20"/>
          <w:lang w:val="en-US"/>
        </w:rPr>
        <w:t xml:space="preserve"> This request was repeated in January 2011</w:t>
      </w:r>
      <w:r w:rsidR="00BA584C" w:rsidRPr="004542B5">
        <w:rPr>
          <w:rStyle w:val="FootnoteReference"/>
          <w:noProof w:val="0"/>
          <w:lang w:val="en-US"/>
        </w:rPr>
        <w:footnoteReference w:id="176"/>
      </w:r>
      <w:r w:rsidR="00CD2B90" w:rsidRPr="004542B5">
        <w:rPr>
          <w:rFonts w:cs="Tahoma"/>
          <w:noProof w:val="0"/>
          <w:szCs w:val="20"/>
          <w:lang w:val="en-US"/>
        </w:rPr>
        <w:t xml:space="preserve"> and</w:t>
      </w:r>
      <w:r w:rsidR="007E4B58" w:rsidRPr="004542B5">
        <w:rPr>
          <w:rFonts w:cs="Tahoma"/>
          <w:noProof w:val="0"/>
          <w:szCs w:val="20"/>
          <w:lang w:val="en-US"/>
        </w:rPr>
        <w:t>,</w:t>
      </w:r>
      <w:r w:rsidRPr="004542B5">
        <w:rPr>
          <w:rFonts w:cs="Tahoma"/>
          <w:noProof w:val="0"/>
          <w:szCs w:val="20"/>
          <w:lang w:val="en-US"/>
        </w:rPr>
        <w:t xml:space="preserve"> in August that year</w:t>
      </w:r>
      <w:r w:rsidR="007E4B58" w:rsidRPr="004542B5">
        <w:rPr>
          <w:rFonts w:cs="Tahoma"/>
          <w:noProof w:val="0"/>
          <w:szCs w:val="20"/>
          <w:lang w:val="en-US"/>
        </w:rPr>
        <w:t>,</w:t>
      </w:r>
      <w:r w:rsidRPr="004542B5">
        <w:rPr>
          <w:rFonts w:cs="Tahoma"/>
          <w:noProof w:val="0"/>
          <w:szCs w:val="20"/>
          <w:lang w:val="en-US"/>
        </w:rPr>
        <w:t xml:space="preserve"> a field trip was organized by</w:t>
      </w:r>
      <w:r w:rsidR="007E4B58" w:rsidRPr="004542B5">
        <w:rPr>
          <w:rFonts w:cs="Tahoma"/>
          <w:noProof w:val="0"/>
          <w:szCs w:val="20"/>
          <w:lang w:val="en-US"/>
        </w:rPr>
        <w:t xml:space="preserve"> </w:t>
      </w:r>
      <w:r w:rsidR="00D21F9E" w:rsidRPr="004542B5">
        <w:rPr>
          <w:rFonts w:cs="Tahoma"/>
          <w:noProof w:val="0"/>
          <w:szCs w:val="20"/>
          <w:lang w:val="en-US"/>
        </w:rPr>
        <w:t>the National Political-Administrative Boundaries Commission</w:t>
      </w:r>
      <w:r w:rsidR="007E4B58" w:rsidRPr="004542B5">
        <w:rPr>
          <w:rFonts w:cs="Tahoma"/>
          <w:noProof w:val="0"/>
          <w:szCs w:val="20"/>
          <w:lang w:val="en-US"/>
        </w:rPr>
        <w:t xml:space="preserve"> and other entities</w:t>
      </w:r>
      <w:r w:rsidR="00D21F9E" w:rsidRPr="004542B5">
        <w:rPr>
          <w:rFonts w:cs="Tahoma"/>
          <w:noProof w:val="0"/>
          <w:szCs w:val="20"/>
          <w:lang w:val="en-US"/>
        </w:rPr>
        <w:t xml:space="preserve"> to evaluate the collective lands requested by the </w:t>
      </w:r>
      <w:r w:rsidR="00BA584C" w:rsidRPr="004542B5">
        <w:rPr>
          <w:rFonts w:cs="Tahoma"/>
          <w:noProof w:val="0"/>
          <w:szCs w:val="20"/>
          <w:lang w:val="en-US"/>
        </w:rPr>
        <w:t xml:space="preserve">Piriatí </w:t>
      </w:r>
      <w:r w:rsidR="00D21F9E" w:rsidRPr="004542B5">
        <w:rPr>
          <w:rFonts w:cs="Tahoma"/>
          <w:noProof w:val="0"/>
          <w:szCs w:val="20"/>
          <w:lang w:val="en-US"/>
        </w:rPr>
        <w:t>and</w:t>
      </w:r>
      <w:r w:rsidR="00BA584C" w:rsidRPr="004542B5">
        <w:rPr>
          <w:rFonts w:cs="Tahoma"/>
          <w:noProof w:val="0"/>
          <w:szCs w:val="20"/>
          <w:lang w:val="en-US"/>
        </w:rPr>
        <w:t xml:space="preserve"> Ipetí</w:t>
      </w:r>
      <w:r w:rsidR="00D21F9E" w:rsidRPr="004542B5">
        <w:rPr>
          <w:rFonts w:cs="Tahoma"/>
          <w:noProof w:val="0"/>
          <w:szCs w:val="20"/>
          <w:lang w:val="en-US"/>
        </w:rPr>
        <w:t xml:space="preserve"> communities.</w:t>
      </w:r>
      <w:r w:rsidR="00BA584C" w:rsidRPr="004542B5">
        <w:rPr>
          <w:rStyle w:val="FootnoteReference"/>
          <w:noProof w:val="0"/>
          <w:lang w:val="en-US"/>
        </w:rPr>
        <w:footnoteReference w:id="177"/>
      </w:r>
      <w:r w:rsidR="007B47B1" w:rsidRPr="004542B5">
        <w:rPr>
          <w:rFonts w:cs="Tahoma"/>
          <w:noProof w:val="0"/>
          <w:szCs w:val="20"/>
          <w:lang w:val="en-US"/>
        </w:rPr>
        <w:t xml:space="preserve"> </w:t>
      </w:r>
    </w:p>
    <w:p w14:paraId="1AF1A8B8" w14:textId="0759C63F" w:rsidR="00DC5DDA" w:rsidRPr="004542B5" w:rsidRDefault="00D21F9E" w:rsidP="00E01664">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Finally</w:t>
      </w:r>
      <w:r w:rsidR="00BA584C" w:rsidRPr="004542B5">
        <w:rPr>
          <w:rFonts w:cs="Tahoma"/>
          <w:noProof w:val="0"/>
          <w:szCs w:val="20"/>
          <w:lang w:val="en-US"/>
        </w:rPr>
        <w:t xml:space="preserve">, </w:t>
      </w:r>
      <w:r w:rsidRPr="004542B5">
        <w:rPr>
          <w:rFonts w:cs="Tahoma"/>
          <w:noProof w:val="0"/>
          <w:szCs w:val="20"/>
          <w:lang w:val="en-US"/>
        </w:rPr>
        <w:t>between October and December</w:t>
      </w:r>
      <w:r w:rsidR="00BA584C" w:rsidRPr="004542B5">
        <w:rPr>
          <w:rFonts w:cs="Tahoma"/>
          <w:noProof w:val="0"/>
          <w:szCs w:val="20"/>
          <w:lang w:val="en-US"/>
        </w:rPr>
        <w:t xml:space="preserve"> 2013,</w:t>
      </w:r>
      <w:r w:rsidRPr="004542B5">
        <w:rPr>
          <w:rFonts w:cs="Tahoma"/>
          <w:noProof w:val="0"/>
          <w:szCs w:val="20"/>
          <w:lang w:val="en-US"/>
        </w:rPr>
        <w:t xml:space="preserve"> </w:t>
      </w:r>
      <w:r w:rsidR="007E4B58" w:rsidRPr="004542B5">
        <w:rPr>
          <w:rFonts w:cs="Tahoma"/>
          <w:noProof w:val="0"/>
          <w:szCs w:val="20"/>
          <w:lang w:val="en-US"/>
        </w:rPr>
        <w:t xml:space="preserve">verifications were conducted on </w:t>
      </w:r>
      <w:r w:rsidRPr="004542B5">
        <w:rPr>
          <w:rFonts w:cs="Tahoma"/>
          <w:noProof w:val="0"/>
          <w:szCs w:val="20"/>
          <w:lang w:val="en-US"/>
        </w:rPr>
        <w:t xml:space="preserve">these lands and a collective property title was granted to the </w:t>
      </w:r>
      <w:r w:rsidR="00E74A3B" w:rsidRPr="004542B5">
        <w:rPr>
          <w:rFonts w:cs="Tahoma"/>
          <w:noProof w:val="0"/>
          <w:szCs w:val="20"/>
          <w:lang w:val="en-US"/>
        </w:rPr>
        <w:t>Piriatí Emberá</w:t>
      </w:r>
      <w:r w:rsidR="00BA584C" w:rsidRPr="004542B5">
        <w:rPr>
          <w:rFonts w:cs="Tahoma"/>
          <w:noProof w:val="0"/>
          <w:szCs w:val="20"/>
          <w:lang w:val="en-US"/>
        </w:rPr>
        <w:t xml:space="preserve"> </w:t>
      </w:r>
      <w:r w:rsidRPr="004542B5">
        <w:rPr>
          <w:rFonts w:cs="Tahoma"/>
          <w:noProof w:val="0"/>
          <w:szCs w:val="20"/>
          <w:lang w:val="en-US"/>
        </w:rPr>
        <w:t xml:space="preserve">community in April </w:t>
      </w:r>
      <w:r w:rsidR="00BA584C" w:rsidRPr="004542B5">
        <w:rPr>
          <w:rFonts w:cs="Tahoma"/>
          <w:noProof w:val="0"/>
          <w:szCs w:val="20"/>
          <w:lang w:val="en-US"/>
        </w:rPr>
        <w:t>2014 (</w:t>
      </w:r>
      <w:r w:rsidR="00BA584C" w:rsidRPr="004542B5">
        <w:rPr>
          <w:rFonts w:cs="Tahoma"/>
          <w:i/>
          <w:noProof w:val="0"/>
          <w:szCs w:val="20"/>
          <w:lang w:val="en-US"/>
        </w:rPr>
        <w:t>supra</w:t>
      </w:r>
      <w:r w:rsidR="00BA584C" w:rsidRPr="004542B5">
        <w:rPr>
          <w:rFonts w:cs="Tahoma"/>
          <w:noProof w:val="0"/>
          <w:szCs w:val="20"/>
          <w:lang w:val="en-US"/>
        </w:rPr>
        <w:t xml:space="preserve"> </w:t>
      </w:r>
      <w:r w:rsidR="00F66B76" w:rsidRPr="004542B5">
        <w:rPr>
          <w:rFonts w:cs="Tahoma"/>
          <w:noProof w:val="0"/>
          <w:szCs w:val="20"/>
          <w:lang w:val="en-US"/>
        </w:rPr>
        <w:t>paras.</w:t>
      </w:r>
      <w:r w:rsidR="00BA584C" w:rsidRPr="004542B5">
        <w:rPr>
          <w:rFonts w:cs="Tahoma"/>
          <w:noProof w:val="0"/>
          <w:szCs w:val="20"/>
          <w:lang w:val="en-US"/>
        </w:rPr>
        <w:t xml:space="preserve"> 80</w:t>
      </w:r>
      <w:r w:rsidR="00CD2B90" w:rsidRPr="004542B5">
        <w:rPr>
          <w:rFonts w:cs="Tahoma"/>
          <w:noProof w:val="0"/>
          <w:szCs w:val="20"/>
          <w:lang w:val="en-US"/>
        </w:rPr>
        <w:t xml:space="preserve"> and </w:t>
      </w:r>
      <w:r w:rsidR="00BA584C" w:rsidRPr="004542B5">
        <w:rPr>
          <w:rFonts w:cs="Tahoma"/>
          <w:noProof w:val="0"/>
          <w:szCs w:val="20"/>
          <w:lang w:val="en-US"/>
        </w:rPr>
        <w:t>81)</w:t>
      </w:r>
      <w:r w:rsidR="007B47B1" w:rsidRPr="004542B5">
        <w:rPr>
          <w:rFonts w:cs="Tahoma"/>
          <w:noProof w:val="0"/>
          <w:szCs w:val="20"/>
          <w:lang w:val="en-US"/>
        </w:rPr>
        <w:t>.</w:t>
      </w:r>
    </w:p>
    <w:p w14:paraId="43E25703" w14:textId="6904A133" w:rsidR="003B7977" w:rsidRPr="004542B5" w:rsidRDefault="007B47B1" w:rsidP="00E01664">
      <w:pPr>
        <w:pStyle w:val="ListParagraph"/>
        <w:spacing w:before="240" w:after="240"/>
        <w:ind w:left="1435"/>
        <w:contextualSpacing w:val="0"/>
        <w:rPr>
          <w:rFonts w:cs="Tahoma"/>
          <w:i/>
          <w:noProof w:val="0"/>
          <w:szCs w:val="20"/>
          <w:lang w:val="en-US"/>
        </w:rPr>
      </w:pPr>
      <w:bookmarkStart w:id="234" w:name="_Toc383161759"/>
      <w:bookmarkStart w:id="235" w:name="_Toc383188388"/>
      <w:r w:rsidRPr="004542B5">
        <w:rPr>
          <w:rFonts w:cs="Tahoma"/>
          <w:i/>
          <w:noProof w:val="0"/>
          <w:szCs w:val="20"/>
          <w:lang w:val="en-US"/>
        </w:rPr>
        <w:t xml:space="preserve">H.2.4. </w:t>
      </w:r>
      <w:r w:rsidR="00497103" w:rsidRPr="004542B5">
        <w:rPr>
          <w:rFonts w:cs="Tahoma"/>
          <w:i/>
          <w:noProof w:val="0"/>
          <w:szCs w:val="20"/>
          <w:lang w:val="en-US"/>
        </w:rPr>
        <w:t>Criminal proceedings undertaken owing to the incursion of</w:t>
      </w:r>
      <w:r w:rsidRPr="004542B5">
        <w:rPr>
          <w:rFonts w:cs="Tahoma"/>
          <w:i/>
          <w:noProof w:val="0"/>
          <w:szCs w:val="20"/>
          <w:lang w:val="en-US"/>
        </w:rPr>
        <w:t xml:space="preserve"> “</w:t>
      </w:r>
      <w:r w:rsidR="00776FF0" w:rsidRPr="004542B5">
        <w:rPr>
          <w:rFonts w:cs="Tahoma"/>
          <w:i/>
          <w:noProof w:val="0"/>
          <w:szCs w:val="20"/>
          <w:lang w:val="en-US"/>
        </w:rPr>
        <w:t>settlers</w:t>
      </w:r>
      <w:r w:rsidRPr="004542B5">
        <w:rPr>
          <w:rFonts w:cs="Tahoma"/>
          <w:i/>
          <w:noProof w:val="0"/>
          <w:szCs w:val="20"/>
          <w:lang w:val="en-US"/>
        </w:rPr>
        <w:t>”</w:t>
      </w:r>
      <w:r w:rsidR="00CD2B90" w:rsidRPr="004542B5">
        <w:rPr>
          <w:rFonts w:cs="Tahoma"/>
          <w:i/>
          <w:noProof w:val="0"/>
          <w:szCs w:val="20"/>
          <w:lang w:val="en-US"/>
        </w:rPr>
        <w:t xml:space="preserve"> and </w:t>
      </w:r>
      <w:bookmarkEnd w:id="234"/>
      <w:bookmarkEnd w:id="235"/>
      <w:r w:rsidR="00497103" w:rsidRPr="004542B5">
        <w:rPr>
          <w:rFonts w:cs="Tahoma"/>
          <w:i/>
          <w:noProof w:val="0"/>
          <w:szCs w:val="20"/>
          <w:lang w:val="en-US"/>
        </w:rPr>
        <w:t xml:space="preserve">environmental </w:t>
      </w:r>
      <w:r w:rsidR="007E4B58" w:rsidRPr="004542B5">
        <w:rPr>
          <w:rFonts w:cs="Tahoma"/>
          <w:i/>
          <w:noProof w:val="0"/>
          <w:szCs w:val="20"/>
          <w:lang w:val="en-US"/>
        </w:rPr>
        <w:t>offenses</w:t>
      </w:r>
    </w:p>
    <w:p w14:paraId="5D30E275" w14:textId="6060E549" w:rsidR="00DC5DDA" w:rsidRPr="004542B5" w:rsidRDefault="007B47B1" w:rsidP="00E01664">
      <w:pPr>
        <w:pStyle w:val="ListParagraph"/>
        <w:spacing w:before="240" w:after="240"/>
        <w:ind w:left="1440"/>
        <w:contextualSpacing w:val="0"/>
        <w:rPr>
          <w:rFonts w:cs="Tahoma"/>
          <w:i/>
          <w:noProof w:val="0"/>
          <w:szCs w:val="20"/>
          <w:lang w:val="en-US"/>
        </w:rPr>
      </w:pPr>
      <w:r w:rsidRPr="004542B5">
        <w:rPr>
          <w:rFonts w:cs="Tahoma"/>
          <w:i/>
          <w:noProof w:val="0"/>
          <w:szCs w:val="20"/>
          <w:lang w:val="en-US"/>
        </w:rPr>
        <w:t xml:space="preserve">a. </w:t>
      </w:r>
      <w:r w:rsidR="00497103" w:rsidRPr="004542B5">
        <w:rPr>
          <w:rFonts w:cs="Tahoma"/>
          <w:i/>
          <w:noProof w:val="0"/>
          <w:szCs w:val="20"/>
          <w:lang w:val="en-US"/>
        </w:rPr>
        <w:t xml:space="preserve">Complaint based on the </w:t>
      </w:r>
      <w:r w:rsidR="00E4693E" w:rsidRPr="004542B5">
        <w:rPr>
          <w:rFonts w:cs="Tahoma"/>
          <w:i/>
          <w:noProof w:val="0"/>
          <w:szCs w:val="20"/>
          <w:lang w:val="en-US"/>
        </w:rPr>
        <w:t>offense</w:t>
      </w:r>
      <w:r w:rsidR="00497103" w:rsidRPr="004542B5">
        <w:rPr>
          <w:rFonts w:cs="Tahoma"/>
          <w:i/>
          <w:noProof w:val="0"/>
          <w:szCs w:val="20"/>
          <w:lang w:val="en-US"/>
        </w:rPr>
        <w:t xml:space="preserve"> of criminal association, usurpation, damage to property, illicit enrichment, </w:t>
      </w:r>
      <w:r w:rsidR="007E4B58" w:rsidRPr="004542B5">
        <w:rPr>
          <w:rFonts w:cs="Tahoma"/>
          <w:i/>
          <w:noProof w:val="0"/>
          <w:szCs w:val="20"/>
          <w:lang w:val="en-US"/>
        </w:rPr>
        <w:t xml:space="preserve">and </w:t>
      </w:r>
      <w:r w:rsidR="00497103" w:rsidRPr="004542B5">
        <w:rPr>
          <w:rFonts w:cs="Tahoma"/>
          <w:i/>
          <w:noProof w:val="0"/>
          <w:szCs w:val="20"/>
          <w:lang w:val="en-US"/>
        </w:rPr>
        <w:t>e</w:t>
      </w:r>
      <w:r w:rsidR="007E4B58" w:rsidRPr="004542B5">
        <w:rPr>
          <w:rFonts w:cs="Tahoma"/>
          <w:i/>
          <w:noProof w:val="0"/>
          <w:szCs w:val="20"/>
          <w:lang w:val="en-US"/>
        </w:rPr>
        <w:t>nvironment</w:t>
      </w:r>
      <w:r w:rsidR="00497103" w:rsidRPr="004542B5">
        <w:rPr>
          <w:rFonts w:cs="Tahoma"/>
          <w:i/>
          <w:noProof w:val="0"/>
          <w:szCs w:val="20"/>
          <w:lang w:val="en-US"/>
        </w:rPr>
        <w:t>al and other related offenses</w:t>
      </w:r>
    </w:p>
    <w:p w14:paraId="376C9093" w14:textId="18519379" w:rsidR="00DC5DDA" w:rsidRPr="004542B5" w:rsidRDefault="00497103" w:rsidP="00497103">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December 20,</w:t>
      </w:r>
      <w:r w:rsidR="00BA584C" w:rsidRPr="004542B5">
        <w:rPr>
          <w:rFonts w:cs="Tahoma"/>
          <w:noProof w:val="0"/>
          <w:szCs w:val="20"/>
          <w:lang w:val="en-US"/>
        </w:rPr>
        <w:t xml:space="preserve"> 2006</w:t>
      </w:r>
      <w:r w:rsidRPr="004542B5">
        <w:rPr>
          <w:rFonts w:cs="Tahoma"/>
          <w:noProof w:val="0"/>
          <w:szCs w:val="20"/>
          <w:lang w:val="en-US"/>
        </w:rPr>
        <w:t>,</w:t>
      </w:r>
      <w:r w:rsidR="00BA584C" w:rsidRPr="004542B5">
        <w:rPr>
          <w:rFonts w:cs="Tahoma"/>
          <w:noProof w:val="0"/>
          <w:szCs w:val="20"/>
          <w:lang w:val="en-US"/>
        </w:rPr>
        <w:t xml:space="preserve"> </w:t>
      </w:r>
      <w:r w:rsidR="00562CBB" w:rsidRPr="004542B5">
        <w:rPr>
          <w:rFonts w:cs="Tahoma"/>
          <w:noProof w:val="0"/>
          <w:szCs w:val="20"/>
          <w:lang w:val="en-US"/>
        </w:rPr>
        <w:t>the representatives</w:t>
      </w:r>
      <w:r w:rsidR="00E15EC0" w:rsidRPr="004542B5">
        <w:rPr>
          <w:rFonts w:cs="Tahoma"/>
          <w:noProof w:val="0"/>
          <w:szCs w:val="20"/>
          <w:lang w:val="en-US"/>
        </w:rPr>
        <w:t xml:space="preserve"> of the Caciques</w:t>
      </w:r>
      <w:r w:rsidR="004D0B27" w:rsidRPr="004542B5">
        <w:rPr>
          <w:rFonts w:cs="Tahoma"/>
          <w:noProof w:val="0"/>
          <w:szCs w:val="20"/>
          <w:lang w:val="en-US"/>
        </w:rPr>
        <w:t xml:space="preserve"> of the </w:t>
      </w:r>
      <w:r w:rsidR="008C4E08" w:rsidRPr="004542B5">
        <w:rPr>
          <w:rFonts w:cs="Tahoma"/>
          <w:noProof w:val="0"/>
          <w:szCs w:val="20"/>
          <w:lang w:val="en-US"/>
        </w:rPr>
        <w:t xml:space="preserve">Kuna </w:t>
      </w:r>
      <w:r w:rsidR="004D0B27" w:rsidRPr="004542B5">
        <w:rPr>
          <w:rFonts w:cs="Tahoma"/>
          <w:noProof w:val="0"/>
          <w:szCs w:val="20"/>
          <w:lang w:val="en-US"/>
        </w:rPr>
        <w:t>Comarca</w:t>
      </w:r>
      <w:r w:rsidR="00BA584C" w:rsidRPr="004542B5">
        <w:rPr>
          <w:rFonts w:cs="Tahoma"/>
          <w:noProof w:val="0"/>
          <w:szCs w:val="20"/>
          <w:lang w:val="en-US"/>
        </w:rPr>
        <w:t xml:space="preserve"> </w:t>
      </w:r>
      <w:r w:rsidRPr="004542B5">
        <w:rPr>
          <w:rFonts w:cs="Tahoma"/>
          <w:noProof w:val="0"/>
          <w:szCs w:val="20"/>
          <w:lang w:val="en-US"/>
        </w:rPr>
        <w:t>filed a complaint with the Attorney General</w:t>
      </w:r>
      <w:r w:rsidR="00BA584C" w:rsidRPr="004542B5">
        <w:rPr>
          <w:rFonts w:cs="Tahoma"/>
          <w:noProof w:val="0"/>
          <w:szCs w:val="20"/>
          <w:lang w:val="en-US"/>
        </w:rPr>
        <w:t xml:space="preserve"> </w:t>
      </w:r>
      <w:r w:rsidRPr="004542B5">
        <w:rPr>
          <w:rFonts w:cs="Tahoma"/>
          <w:noProof w:val="0"/>
          <w:szCs w:val="20"/>
          <w:lang w:val="en-US"/>
        </w:rPr>
        <w:t>against</w:t>
      </w:r>
      <w:r w:rsidR="00BA584C" w:rsidRPr="004542B5">
        <w:rPr>
          <w:rFonts w:cs="Tahoma"/>
          <w:noProof w:val="0"/>
          <w:szCs w:val="20"/>
          <w:lang w:val="en-US"/>
        </w:rPr>
        <w:t xml:space="preserve"> 127 persons. </w:t>
      </w:r>
      <w:r w:rsidRPr="004542B5">
        <w:rPr>
          <w:rFonts w:cs="Tahoma"/>
          <w:noProof w:val="0"/>
          <w:szCs w:val="20"/>
          <w:lang w:val="en-US"/>
        </w:rPr>
        <w:t xml:space="preserve">The complaint also accused the </w:t>
      </w:r>
      <w:r w:rsidR="00EC152F" w:rsidRPr="004542B5">
        <w:rPr>
          <w:rFonts w:cs="Tahoma"/>
          <w:i/>
          <w:noProof w:val="0"/>
          <w:szCs w:val="20"/>
          <w:lang w:val="en-US"/>
        </w:rPr>
        <w:t>Corregidor</w:t>
      </w:r>
      <w:r w:rsidRPr="004542B5">
        <w:rPr>
          <w:rFonts w:cs="Tahoma"/>
          <w:noProof w:val="0"/>
          <w:szCs w:val="20"/>
          <w:lang w:val="en-US"/>
        </w:rPr>
        <w:t xml:space="preserve">es of two </w:t>
      </w:r>
      <w:r w:rsidRPr="004542B5">
        <w:rPr>
          <w:rFonts w:cs="Tahoma"/>
          <w:i/>
          <w:iCs/>
          <w:noProof w:val="0"/>
          <w:szCs w:val="20"/>
          <w:lang w:val="en-US"/>
        </w:rPr>
        <w:t>corregimientos</w:t>
      </w:r>
      <w:r w:rsidRPr="004542B5">
        <w:rPr>
          <w:rFonts w:cs="Tahoma"/>
          <w:noProof w:val="0"/>
          <w:szCs w:val="20"/>
          <w:lang w:val="en-US"/>
        </w:rPr>
        <w:t xml:space="preserve">, the mayor of Chepo, the Governor of the province of Panama, and the </w:t>
      </w:r>
      <w:r w:rsidR="00562CBB" w:rsidRPr="004542B5">
        <w:rPr>
          <w:noProof w:val="0"/>
          <w:szCs w:val="20"/>
          <w:lang w:val="en-US"/>
        </w:rPr>
        <w:t>President</w:t>
      </w:r>
      <w:r w:rsidR="00BA584C" w:rsidRPr="004542B5">
        <w:rPr>
          <w:noProof w:val="0"/>
          <w:szCs w:val="20"/>
          <w:lang w:val="en-US"/>
        </w:rPr>
        <w:t xml:space="preserve"> </w:t>
      </w:r>
      <w:r w:rsidR="00EB726F" w:rsidRPr="004542B5">
        <w:rPr>
          <w:noProof w:val="0"/>
          <w:szCs w:val="20"/>
          <w:lang w:val="en-US"/>
        </w:rPr>
        <w:t>of the Republic</w:t>
      </w:r>
      <w:r w:rsidR="00CD2B90" w:rsidRPr="004542B5">
        <w:rPr>
          <w:noProof w:val="0"/>
          <w:szCs w:val="20"/>
          <w:lang w:val="en-US"/>
        </w:rPr>
        <w:t xml:space="preserve"> and </w:t>
      </w:r>
      <w:r w:rsidR="00BA584C" w:rsidRPr="004542B5">
        <w:rPr>
          <w:noProof w:val="0"/>
          <w:szCs w:val="20"/>
          <w:lang w:val="en-US"/>
        </w:rPr>
        <w:t>“</w:t>
      </w:r>
      <w:r w:rsidRPr="004542B5">
        <w:rPr>
          <w:noProof w:val="0"/>
          <w:szCs w:val="20"/>
          <w:lang w:val="en-US"/>
        </w:rPr>
        <w:t xml:space="preserve">other public officials who had failed to perform their public duty to avoid </w:t>
      </w:r>
      <w:r w:rsidR="007E4B58" w:rsidRPr="004542B5">
        <w:rPr>
          <w:noProof w:val="0"/>
          <w:szCs w:val="20"/>
          <w:lang w:val="en-US"/>
        </w:rPr>
        <w:t>or</w:t>
      </w:r>
      <w:r w:rsidRPr="004542B5">
        <w:rPr>
          <w:noProof w:val="0"/>
          <w:szCs w:val="20"/>
          <w:lang w:val="en-US"/>
        </w:rPr>
        <w:t xml:space="preserve"> resolve the unlawful invasions of the lands of the </w:t>
      </w:r>
      <w:r w:rsidR="008C4E08" w:rsidRPr="004542B5">
        <w:rPr>
          <w:noProof w:val="0"/>
          <w:szCs w:val="20"/>
          <w:lang w:val="en-US"/>
        </w:rPr>
        <w:t xml:space="preserve">Kuna </w:t>
      </w:r>
      <w:r w:rsidR="004D0B27" w:rsidRPr="004542B5">
        <w:rPr>
          <w:noProof w:val="0"/>
          <w:szCs w:val="20"/>
          <w:lang w:val="en-US"/>
        </w:rPr>
        <w:t>Comarca</w:t>
      </w:r>
      <w:r w:rsidR="00BA584C" w:rsidRPr="004542B5">
        <w:rPr>
          <w:noProof w:val="0"/>
          <w:szCs w:val="20"/>
          <w:lang w:val="en-US"/>
        </w:rPr>
        <w:t xml:space="preserve">” </w:t>
      </w:r>
      <w:r w:rsidRPr="004542B5">
        <w:rPr>
          <w:noProof w:val="0"/>
          <w:szCs w:val="20"/>
          <w:lang w:val="en-US"/>
        </w:rPr>
        <w:t xml:space="preserve">of the offense of abuse of authority and </w:t>
      </w:r>
      <w:r w:rsidR="007E4B58" w:rsidRPr="004542B5">
        <w:rPr>
          <w:noProof w:val="0"/>
          <w:szCs w:val="20"/>
          <w:lang w:val="en-US"/>
        </w:rPr>
        <w:t>breach of the duties</w:t>
      </w:r>
      <w:r w:rsidRPr="004542B5">
        <w:rPr>
          <w:noProof w:val="0"/>
          <w:szCs w:val="20"/>
          <w:lang w:val="en-US"/>
        </w:rPr>
        <w:t xml:space="preserve"> of public servants.</w:t>
      </w:r>
      <w:r w:rsidR="00BA584C" w:rsidRPr="004542B5">
        <w:rPr>
          <w:rStyle w:val="FootnoteReference"/>
          <w:noProof w:val="0"/>
          <w:lang w:val="en-US"/>
        </w:rPr>
        <w:footnoteReference w:id="178"/>
      </w:r>
      <w:r w:rsidR="007B47B1" w:rsidRPr="004542B5">
        <w:rPr>
          <w:noProof w:val="0"/>
          <w:szCs w:val="20"/>
          <w:lang w:val="en-US"/>
        </w:rPr>
        <w:t xml:space="preserve"> </w:t>
      </w:r>
    </w:p>
    <w:p w14:paraId="5AF32AB9" w14:textId="0AEB4994" w:rsidR="00DC5DDA" w:rsidRPr="004542B5" w:rsidRDefault="00FE0BF3" w:rsidP="00D40B1E">
      <w:pPr>
        <w:pStyle w:val="ListParagraph"/>
        <w:numPr>
          <w:ilvl w:val="0"/>
          <w:numId w:val="2"/>
        </w:numPr>
        <w:spacing w:before="120"/>
        <w:contextualSpacing w:val="0"/>
        <w:rPr>
          <w:rFonts w:cs="Tahoma"/>
          <w:noProof w:val="0"/>
          <w:szCs w:val="20"/>
          <w:lang w:val="en-US"/>
        </w:rPr>
      </w:pPr>
      <w:r w:rsidRPr="004542B5">
        <w:rPr>
          <w:noProof w:val="0"/>
          <w:szCs w:val="20"/>
          <w:lang w:val="en-US"/>
        </w:rPr>
        <w:t>In a</w:t>
      </w:r>
      <w:r w:rsidR="00BA584C" w:rsidRPr="004542B5">
        <w:rPr>
          <w:noProof w:val="0"/>
          <w:szCs w:val="20"/>
          <w:lang w:val="en-US"/>
        </w:rPr>
        <w:t xml:space="preserve"> </w:t>
      </w:r>
      <w:r w:rsidRPr="004542B5">
        <w:rPr>
          <w:noProof w:val="0"/>
          <w:szCs w:val="20"/>
          <w:lang w:val="en-US"/>
        </w:rPr>
        <w:t>r</w:t>
      </w:r>
      <w:r w:rsidR="008B3891" w:rsidRPr="004542B5">
        <w:rPr>
          <w:noProof w:val="0"/>
          <w:szCs w:val="20"/>
          <w:lang w:val="en-US"/>
        </w:rPr>
        <w:t>esolution</w:t>
      </w:r>
      <w:r w:rsidR="00BA584C" w:rsidRPr="004542B5">
        <w:rPr>
          <w:noProof w:val="0"/>
          <w:szCs w:val="20"/>
          <w:lang w:val="en-US"/>
        </w:rPr>
        <w:t xml:space="preserve"> </w:t>
      </w:r>
      <w:r w:rsidRPr="004542B5">
        <w:rPr>
          <w:noProof w:val="0"/>
          <w:szCs w:val="20"/>
          <w:lang w:val="en-US"/>
        </w:rPr>
        <w:t>of January 29,</w:t>
      </w:r>
      <w:r w:rsidR="00BA584C" w:rsidRPr="004542B5">
        <w:rPr>
          <w:noProof w:val="0"/>
          <w:szCs w:val="20"/>
          <w:lang w:val="en-US"/>
        </w:rPr>
        <w:t xml:space="preserve"> 2007</w:t>
      </w:r>
      <w:r w:rsidRPr="004542B5">
        <w:rPr>
          <w:noProof w:val="0"/>
          <w:szCs w:val="20"/>
          <w:lang w:val="en-US"/>
        </w:rPr>
        <w:t>,</w:t>
      </w:r>
      <w:r w:rsidR="00BA584C" w:rsidRPr="004542B5">
        <w:rPr>
          <w:noProof w:val="0"/>
          <w:szCs w:val="20"/>
          <w:lang w:val="en-US"/>
        </w:rPr>
        <w:t xml:space="preserve"> </w:t>
      </w:r>
      <w:r w:rsidRPr="004542B5">
        <w:rPr>
          <w:noProof w:val="0"/>
          <w:szCs w:val="20"/>
          <w:lang w:val="en-US"/>
        </w:rPr>
        <w:t>the Attorney General</w:t>
      </w:r>
      <w:r w:rsidR="00BA584C" w:rsidRPr="004542B5">
        <w:rPr>
          <w:noProof w:val="0"/>
          <w:szCs w:val="20"/>
          <w:lang w:val="en-US"/>
        </w:rPr>
        <w:t xml:space="preserve"> d</w:t>
      </w:r>
      <w:r w:rsidRPr="004542B5">
        <w:rPr>
          <w:noProof w:val="0"/>
          <w:szCs w:val="20"/>
          <w:lang w:val="en-US"/>
        </w:rPr>
        <w:t>ecided to forward the investigation to the Circuit Prosecutor</w:t>
      </w:r>
      <w:r w:rsidR="00E75FF1" w:rsidRPr="004542B5">
        <w:rPr>
          <w:noProof w:val="0"/>
          <w:szCs w:val="20"/>
          <w:lang w:val="en-US"/>
        </w:rPr>
        <w:t xml:space="preserve"> of the First Judicial Circuit</w:t>
      </w:r>
      <w:r w:rsidR="00BA584C" w:rsidRPr="004542B5">
        <w:rPr>
          <w:noProof w:val="0"/>
          <w:szCs w:val="20"/>
          <w:lang w:val="en-US"/>
        </w:rPr>
        <w:t xml:space="preserve"> </w:t>
      </w:r>
      <w:r w:rsidRPr="004542B5">
        <w:rPr>
          <w:noProof w:val="0"/>
          <w:szCs w:val="20"/>
          <w:lang w:val="en-US"/>
        </w:rPr>
        <w:t>of</w:t>
      </w:r>
      <w:r w:rsidR="00BA584C" w:rsidRPr="004542B5">
        <w:rPr>
          <w:noProof w:val="0"/>
          <w:szCs w:val="20"/>
          <w:lang w:val="en-US"/>
        </w:rPr>
        <w:t xml:space="preserve"> </w:t>
      </w:r>
      <w:r w:rsidR="00562CBB" w:rsidRPr="004542B5">
        <w:rPr>
          <w:noProof w:val="0"/>
          <w:szCs w:val="20"/>
          <w:lang w:val="en-US"/>
        </w:rPr>
        <w:t>Panama</w:t>
      </w:r>
      <w:r w:rsidR="00BA584C" w:rsidRPr="004542B5">
        <w:rPr>
          <w:noProof w:val="0"/>
          <w:szCs w:val="20"/>
          <w:lang w:val="en-US"/>
        </w:rPr>
        <w:t xml:space="preserve">. </w:t>
      </w:r>
      <w:r w:rsidRPr="004542B5">
        <w:rPr>
          <w:noProof w:val="0"/>
          <w:szCs w:val="20"/>
          <w:lang w:val="en-US"/>
        </w:rPr>
        <w:t>In a r</w:t>
      </w:r>
      <w:r w:rsidR="008B3891" w:rsidRPr="004542B5">
        <w:rPr>
          <w:noProof w:val="0"/>
          <w:szCs w:val="20"/>
          <w:lang w:val="en-US"/>
        </w:rPr>
        <w:t>esolution</w:t>
      </w:r>
      <w:r w:rsidR="00BA584C" w:rsidRPr="004542B5">
        <w:rPr>
          <w:noProof w:val="0"/>
          <w:szCs w:val="20"/>
          <w:lang w:val="en-US"/>
        </w:rPr>
        <w:t xml:space="preserve"> </w:t>
      </w:r>
      <w:r w:rsidRPr="004542B5">
        <w:rPr>
          <w:noProof w:val="0"/>
          <w:szCs w:val="20"/>
          <w:lang w:val="en-US"/>
        </w:rPr>
        <w:t xml:space="preserve">of </w:t>
      </w:r>
      <w:r w:rsidR="00E4693E" w:rsidRPr="004542B5">
        <w:rPr>
          <w:noProof w:val="0"/>
          <w:szCs w:val="20"/>
          <w:lang w:val="en-US"/>
        </w:rPr>
        <w:t>February</w:t>
      </w:r>
      <w:r w:rsidRPr="004542B5">
        <w:rPr>
          <w:noProof w:val="0"/>
          <w:szCs w:val="20"/>
          <w:lang w:val="en-US"/>
        </w:rPr>
        <w:t xml:space="preserve"> 13, </w:t>
      </w:r>
      <w:r w:rsidR="00BA584C" w:rsidRPr="004542B5">
        <w:rPr>
          <w:noProof w:val="0"/>
          <w:szCs w:val="20"/>
          <w:lang w:val="en-US"/>
        </w:rPr>
        <w:t xml:space="preserve">2007, </w:t>
      </w:r>
      <w:r w:rsidRPr="004542B5">
        <w:rPr>
          <w:noProof w:val="0"/>
          <w:szCs w:val="20"/>
          <w:lang w:val="en-US"/>
        </w:rPr>
        <w:t xml:space="preserve">the XV Prosecutor </w:t>
      </w:r>
      <w:r w:rsidR="00E75FF1" w:rsidRPr="004542B5">
        <w:rPr>
          <w:noProof w:val="0"/>
          <w:szCs w:val="20"/>
          <w:lang w:val="en-US"/>
        </w:rPr>
        <w:t>of the First Judicial Circuit</w:t>
      </w:r>
      <w:r w:rsidR="00BA584C" w:rsidRPr="004542B5">
        <w:rPr>
          <w:noProof w:val="0"/>
          <w:szCs w:val="20"/>
          <w:lang w:val="en-US"/>
        </w:rPr>
        <w:t xml:space="preserve"> </w:t>
      </w:r>
      <w:r w:rsidRPr="004542B5">
        <w:rPr>
          <w:noProof w:val="0"/>
          <w:szCs w:val="20"/>
          <w:lang w:val="en-US"/>
        </w:rPr>
        <w:t>of Panama</w:t>
      </w:r>
      <w:r w:rsidR="00BA584C" w:rsidRPr="004542B5">
        <w:rPr>
          <w:noProof w:val="0"/>
          <w:szCs w:val="20"/>
          <w:lang w:val="en-US"/>
        </w:rPr>
        <w:t xml:space="preserve"> </w:t>
      </w:r>
      <w:r w:rsidRPr="004542B5">
        <w:rPr>
          <w:noProof w:val="0"/>
          <w:szCs w:val="20"/>
          <w:lang w:val="en-US"/>
        </w:rPr>
        <w:t>a</w:t>
      </w:r>
      <w:r w:rsidR="00AA4887" w:rsidRPr="004542B5">
        <w:rPr>
          <w:noProof w:val="0"/>
          <w:szCs w:val="20"/>
          <w:lang w:val="en-US"/>
        </w:rPr>
        <w:t>greed</w:t>
      </w:r>
      <w:r w:rsidRPr="004542B5">
        <w:rPr>
          <w:noProof w:val="0"/>
          <w:szCs w:val="20"/>
          <w:lang w:val="en-US"/>
        </w:rPr>
        <w:t xml:space="preserve"> to conduct the preliminary investigation and declared it open. On February 28, 2007, the same Prosecutor forwarded the case to the Prosecutor of the Special Environmental Circuit and, on March 14, 2007, the V Prosecutor</w:t>
      </w:r>
      <w:r w:rsidR="00D40B1E" w:rsidRPr="004542B5">
        <w:rPr>
          <w:noProof w:val="0"/>
          <w:szCs w:val="20"/>
          <w:lang w:val="en-US"/>
        </w:rPr>
        <w:t xml:space="preserve"> of the Special Circuit for Offenses related to the Theft and Robbery of Automobiles and Accessories a</w:t>
      </w:r>
      <w:r w:rsidR="00AA4887" w:rsidRPr="004542B5">
        <w:rPr>
          <w:noProof w:val="0"/>
          <w:szCs w:val="20"/>
          <w:lang w:val="en-US"/>
        </w:rPr>
        <w:t>greed</w:t>
      </w:r>
      <w:r w:rsidR="00D40B1E" w:rsidRPr="004542B5">
        <w:rPr>
          <w:noProof w:val="0"/>
          <w:szCs w:val="20"/>
          <w:lang w:val="en-US"/>
        </w:rPr>
        <w:t xml:space="preserve"> </w:t>
      </w:r>
      <w:r w:rsidRPr="004542B5">
        <w:rPr>
          <w:noProof w:val="0"/>
          <w:szCs w:val="20"/>
          <w:lang w:val="en-US"/>
        </w:rPr>
        <w:t>to conduct the preliminary investigation.</w:t>
      </w:r>
      <w:r w:rsidR="00BA584C" w:rsidRPr="004542B5">
        <w:rPr>
          <w:rStyle w:val="FootnoteReference"/>
          <w:noProof w:val="0"/>
          <w:lang w:val="en-US"/>
        </w:rPr>
        <w:footnoteReference w:id="179"/>
      </w:r>
      <w:r w:rsidR="00BA584C" w:rsidRPr="004542B5">
        <w:rPr>
          <w:rFonts w:cs="Arial"/>
          <w:noProof w:val="0"/>
          <w:szCs w:val="16"/>
          <w:lang w:val="en-US"/>
        </w:rPr>
        <w:t xml:space="preserve"> </w:t>
      </w:r>
      <w:r w:rsidRPr="004542B5">
        <w:rPr>
          <w:noProof w:val="0"/>
          <w:szCs w:val="20"/>
          <w:lang w:val="en-US"/>
        </w:rPr>
        <w:t xml:space="preserve">During the processing of the case before </w:t>
      </w:r>
      <w:r w:rsidR="00562CBB" w:rsidRPr="004542B5">
        <w:rPr>
          <w:noProof w:val="0"/>
          <w:szCs w:val="20"/>
          <w:lang w:val="en-US"/>
        </w:rPr>
        <w:t>the Commission</w:t>
      </w:r>
      <w:r w:rsidRPr="004542B5">
        <w:rPr>
          <w:noProof w:val="0"/>
          <w:szCs w:val="20"/>
          <w:lang w:val="en-US"/>
        </w:rPr>
        <w:t>, the State reported that</w:t>
      </w:r>
      <w:r w:rsidR="00BA584C" w:rsidRPr="004542B5">
        <w:rPr>
          <w:noProof w:val="0"/>
          <w:szCs w:val="20"/>
          <w:lang w:val="en-US"/>
        </w:rPr>
        <w:t xml:space="preserve"> “</w:t>
      </w:r>
      <w:r w:rsidRPr="004542B5">
        <w:rPr>
          <w:noProof w:val="0"/>
          <w:szCs w:val="20"/>
          <w:lang w:val="en-US"/>
        </w:rPr>
        <w:t>the Attorney General</w:t>
      </w:r>
      <w:r w:rsidR="00BA584C" w:rsidRPr="004542B5">
        <w:rPr>
          <w:noProof w:val="0"/>
          <w:szCs w:val="20"/>
          <w:lang w:val="en-US"/>
        </w:rPr>
        <w:t xml:space="preserve"> </w:t>
      </w:r>
      <w:r w:rsidRPr="004542B5">
        <w:rPr>
          <w:noProof w:val="0"/>
          <w:szCs w:val="20"/>
          <w:lang w:val="en-US"/>
        </w:rPr>
        <w:lastRenderedPageBreak/>
        <w:t xml:space="preserve">had advised that </w:t>
      </w:r>
      <w:r w:rsidR="00AA4887" w:rsidRPr="004542B5">
        <w:rPr>
          <w:noProof w:val="0"/>
          <w:szCs w:val="20"/>
          <w:lang w:val="en-US"/>
        </w:rPr>
        <w:t>it</w:t>
      </w:r>
      <w:r w:rsidRPr="004542B5">
        <w:rPr>
          <w:noProof w:val="0"/>
          <w:szCs w:val="20"/>
          <w:lang w:val="en-US"/>
        </w:rPr>
        <w:t xml:space="preserve"> had been unable to locate [this] criminal action.</w:t>
      </w:r>
      <w:r w:rsidR="00BA584C" w:rsidRPr="004542B5">
        <w:rPr>
          <w:noProof w:val="0"/>
          <w:szCs w:val="20"/>
          <w:lang w:val="en-US"/>
        </w:rPr>
        <w:t>”</w:t>
      </w:r>
      <w:r w:rsidR="00BA584C" w:rsidRPr="004542B5">
        <w:rPr>
          <w:rStyle w:val="FootnoteReference"/>
          <w:noProof w:val="0"/>
          <w:lang w:val="en-US"/>
        </w:rPr>
        <w:footnoteReference w:id="180"/>
      </w:r>
      <w:r w:rsidR="00BA584C" w:rsidRPr="004542B5">
        <w:rPr>
          <w:noProof w:val="0"/>
          <w:szCs w:val="20"/>
          <w:lang w:val="en-US"/>
        </w:rPr>
        <w:t xml:space="preserve"> </w:t>
      </w:r>
      <w:r w:rsidRPr="004542B5">
        <w:rPr>
          <w:noProof w:val="0"/>
          <w:szCs w:val="20"/>
          <w:lang w:val="en-US"/>
        </w:rPr>
        <w:t>The Court notes that no additional evidentiary documentation was presented in this regard.</w:t>
      </w:r>
    </w:p>
    <w:p w14:paraId="3DBAD472" w14:textId="31960150" w:rsidR="00DC5DDA" w:rsidRPr="004542B5" w:rsidRDefault="007B47B1" w:rsidP="00E01664">
      <w:pPr>
        <w:pStyle w:val="ListParagraph"/>
        <w:spacing w:before="240" w:after="240"/>
        <w:ind w:left="1440"/>
        <w:contextualSpacing w:val="0"/>
        <w:rPr>
          <w:rFonts w:cs="Tahoma"/>
          <w:i/>
          <w:noProof w:val="0"/>
          <w:szCs w:val="20"/>
          <w:lang w:val="en-US"/>
        </w:rPr>
      </w:pPr>
      <w:r w:rsidRPr="004542B5">
        <w:rPr>
          <w:rFonts w:cs="Tahoma"/>
          <w:i/>
          <w:noProof w:val="0"/>
          <w:szCs w:val="20"/>
          <w:lang w:val="en-US"/>
        </w:rPr>
        <w:t xml:space="preserve">b. </w:t>
      </w:r>
      <w:r w:rsidR="00D31197" w:rsidRPr="004542B5">
        <w:rPr>
          <w:rFonts w:cs="Tahoma"/>
          <w:i/>
          <w:noProof w:val="0"/>
          <w:szCs w:val="20"/>
          <w:lang w:val="en-US"/>
        </w:rPr>
        <w:t>Criminal proceedings for</w:t>
      </w:r>
      <w:r w:rsidR="00AA4887" w:rsidRPr="004542B5">
        <w:rPr>
          <w:rFonts w:cs="Tahoma"/>
          <w:i/>
          <w:noProof w:val="0"/>
          <w:szCs w:val="20"/>
          <w:lang w:val="en-US"/>
        </w:rPr>
        <w:t xml:space="preserve"> environmental</w:t>
      </w:r>
      <w:r w:rsidR="00D31197" w:rsidRPr="004542B5">
        <w:rPr>
          <w:rFonts w:cs="Tahoma"/>
          <w:i/>
          <w:noProof w:val="0"/>
          <w:szCs w:val="20"/>
          <w:lang w:val="en-US"/>
        </w:rPr>
        <w:t xml:space="preserve"> offenses before the XI Prosecutor </w:t>
      </w:r>
      <w:r w:rsidR="00E75FF1" w:rsidRPr="004542B5">
        <w:rPr>
          <w:rFonts w:cs="Tahoma"/>
          <w:i/>
          <w:noProof w:val="0"/>
          <w:szCs w:val="20"/>
          <w:lang w:val="en-US"/>
        </w:rPr>
        <w:t>of the First Judicial Circuit</w:t>
      </w:r>
    </w:p>
    <w:p w14:paraId="43750011" w14:textId="53F4D801" w:rsidR="00DC5DDA" w:rsidRPr="004542B5" w:rsidRDefault="002663FF" w:rsidP="00E01664">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January 16,</w:t>
      </w:r>
      <w:r w:rsidR="00BA584C" w:rsidRPr="004542B5">
        <w:rPr>
          <w:rFonts w:cs="Tahoma"/>
          <w:noProof w:val="0"/>
          <w:szCs w:val="20"/>
          <w:lang w:val="en-US"/>
        </w:rPr>
        <w:t xml:space="preserve"> 2007</w:t>
      </w:r>
      <w:r w:rsidRPr="004542B5">
        <w:rPr>
          <w:rFonts w:cs="Tahoma"/>
          <w:noProof w:val="0"/>
          <w:szCs w:val="20"/>
          <w:lang w:val="en-US"/>
        </w:rPr>
        <w:t>,</w:t>
      </w:r>
      <w:r w:rsidR="00BA584C" w:rsidRPr="004542B5">
        <w:rPr>
          <w:rFonts w:cs="Tahoma"/>
          <w:noProof w:val="0"/>
          <w:szCs w:val="20"/>
          <w:lang w:val="en-US"/>
        </w:rPr>
        <w:t xml:space="preserve"> </w:t>
      </w:r>
      <w:r w:rsidR="00E15EC0" w:rsidRPr="004542B5">
        <w:rPr>
          <w:rFonts w:cs="Tahoma"/>
          <w:noProof w:val="0"/>
          <w:szCs w:val="20"/>
          <w:lang w:val="en-US"/>
        </w:rPr>
        <w:t>the Caciques</w:t>
      </w:r>
      <w:r w:rsidR="004D0B27" w:rsidRPr="004542B5">
        <w:rPr>
          <w:rFonts w:cs="Tahoma"/>
          <w:noProof w:val="0"/>
          <w:szCs w:val="20"/>
          <w:lang w:val="en-US"/>
        </w:rPr>
        <w:t xml:space="preserve"> of the </w:t>
      </w:r>
      <w:r w:rsidR="008C4E08" w:rsidRPr="004542B5">
        <w:rPr>
          <w:rFonts w:cs="Tahoma"/>
          <w:noProof w:val="0"/>
          <w:szCs w:val="20"/>
          <w:lang w:val="en-US"/>
        </w:rPr>
        <w:t xml:space="preserve">Kuna </w:t>
      </w:r>
      <w:r w:rsidR="004D0B27" w:rsidRPr="004542B5">
        <w:rPr>
          <w:rFonts w:cs="Tahoma"/>
          <w:noProof w:val="0"/>
          <w:szCs w:val="20"/>
          <w:lang w:val="en-US"/>
        </w:rPr>
        <w:t>Comarca</w:t>
      </w:r>
      <w:r w:rsidR="00BA584C" w:rsidRPr="004542B5">
        <w:rPr>
          <w:rFonts w:cs="Tahoma"/>
          <w:noProof w:val="0"/>
          <w:szCs w:val="20"/>
          <w:lang w:val="en-US"/>
        </w:rPr>
        <w:t xml:space="preserve"> </w:t>
      </w:r>
      <w:r w:rsidRPr="004542B5">
        <w:rPr>
          <w:rFonts w:cs="Tahoma"/>
          <w:noProof w:val="0"/>
          <w:szCs w:val="20"/>
          <w:lang w:val="en-US"/>
        </w:rPr>
        <w:t xml:space="preserve">filed a complaint </w:t>
      </w:r>
      <w:r w:rsidR="00FF2A40" w:rsidRPr="004542B5">
        <w:rPr>
          <w:rFonts w:cs="Tahoma"/>
          <w:noProof w:val="0"/>
          <w:szCs w:val="20"/>
          <w:lang w:val="en-US"/>
        </w:rPr>
        <w:t>concerning environmental</w:t>
      </w:r>
      <w:r w:rsidRPr="004542B5">
        <w:rPr>
          <w:rFonts w:cs="Tahoma"/>
          <w:noProof w:val="0"/>
          <w:szCs w:val="20"/>
          <w:lang w:val="en-US"/>
        </w:rPr>
        <w:t xml:space="preserve"> offenses with the corresponding S</w:t>
      </w:r>
      <w:r w:rsidR="00BA584C" w:rsidRPr="004542B5">
        <w:rPr>
          <w:rFonts w:cs="Tahoma"/>
          <w:noProof w:val="0"/>
          <w:szCs w:val="20"/>
          <w:lang w:val="en-US"/>
        </w:rPr>
        <w:t>p</w:t>
      </w:r>
      <w:r w:rsidRPr="004542B5">
        <w:rPr>
          <w:rFonts w:cs="Tahoma"/>
          <w:noProof w:val="0"/>
          <w:szCs w:val="20"/>
          <w:lang w:val="en-US"/>
        </w:rPr>
        <w:t xml:space="preserve">ecial Unit of the Judicial Technical Police based on </w:t>
      </w:r>
      <w:r w:rsidR="00FF2A40" w:rsidRPr="004542B5">
        <w:rPr>
          <w:rFonts w:cs="Tahoma"/>
          <w:noProof w:val="0"/>
          <w:szCs w:val="20"/>
          <w:lang w:val="en-US"/>
        </w:rPr>
        <w:t>environmental degradation</w:t>
      </w:r>
      <w:r w:rsidRPr="004542B5">
        <w:rPr>
          <w:rFonts w:cs="Tahoma"/>
          <w:noProof w:val="0"/>
          <w:szCs w:val="20"/>
          <w:lang w:val="en-US"/>
        </w:rPr>
        <w:t xml:space="preserve"> on the lands of the Comarca</w:t>
      </w:r>
      <w:r w:rsidR="00FF2A40" w:rsidRPr="004542B5">
        <w:rPr>
          <w:rFonts w:cs="Tahoma"/>
          <w:noProof w:val="0"/>
          <w:szCs w:val="20"/>
          <w:lang w:val="en-US"/>
        </w:rPr>
        <w:t>,</w:t>
      </w:r>
      <w:r w:rsidRPr="004542B5">
        <w:rPr>
          <w:rFonts w:cs="Tahoma"/>
          <w:noProof w:val="0"/>
          <w:szCs w:val="20"/>
          <w:lang w:val="en-US"/>
        </w:rPr>
        <w:t xml:space="preserve"> supposedly caused by intruders.</w:t>
      </w:r>
      <w:r w:rsidR="00BA584C" w:rsidRPr="004542B5">
        <w:rPr>
          <w:rStyle w:val="FootnoteReference"/>
          <w:noProof w:val="0"/>
          <w:lang w:val="en-US"/>
        </w:rPr>
        <w:footnoteReference w:id="181"/>
      </w:r>
      <w:r w:rsidR="00BA584C" w:rsidRPr="004542B5">
        <w:rPr>
          <w:rFonts w:cs="Tahoma"/>
          <w:noProof w:val="0"/>
          <w:szCs w:val="20"/>
          <w:lang w:val="en-US"/>
        </w:rPr>
        <w:t xml:space="preserve"> </w:t>
      </w:r>
      <w:r w:rsidRPr="004542B5">
        <w:rPr>
          <w:rFonts w:cs="Tahoma"/>
          <w:noProof w:val="0"/>
          <w:szCs w:val="20"/>
          <w:lang w:val="en-US"/>
        </w:rPr>
        <w:t>On January 23,</w:t>
      </w:r>
      <w:r w:rsidR="00BA584C" w:rsidRPr="004542B5">
        <w:rPr>
          <w:rFonts w:cs="Tahoma"/>
          <w:noProof w:val="0"/>
          <w:szCs w:val="20"/>
          <w:lang w:val="en-US"/>
        </w:rPr>
        <w:t xml:space="preserve"> 2007</w:t>
      </w:r>
      <w:r w:rsidRPr="004542B5">
        <w:rPr>
          <w:rFonts w:cs="Tahoma"/>
          <w:noProof w:val="0"/>
          <w:szCs w:val="20"/>
          <w:lang w:val="en-US"/>
        </w:rPr>
        <w:t>,</w:t>
      </w:r>
      <w:r w:rsidR="00BA584C" w:rsidRPr="004542B5">
        <w:rPr>
          <w:rFonts w:cs="Tahoma"/>
          <w:noProof w:val="0"/>
          <w:szCs w:val="20"/>
          <w:lang w:val="en-US"/>
        </w:rPr>
        <w:t xml:space="preserve"> </w:t>
      </w:r>
      <w:r w:rsidR="007B5139" w:rsidRPr="004542B5">
        <w:rPr>
          <w:rFonts w:cs="Tahoma"/>
          <w:noProof w:val="0"/>
          <w:szCs w:val="20"/>
          <w:lang w:val="en-US"/>
        </w:rPr>
        <w:t>the Environmental Offenses Unit</w:t>
      </w:r>
      <w:r w:rsidR="00BA584C" w:rsidRPr="004542B5">
        <w:rPr>
          <w:rFonts w:cs="Tahoma"/>
          <w:noProof w:val="0"/>
          <w:szCs w:val="20"/>
          <w:lang w:val="en-US"/>
        </w:rPr>
        <w:t xml:space="preserve"> </w:t>
      </w:r>
      <w:r w:rsidR="00735390" w:rsidRPr="004542B5">
        <w:rPr>
          <w:rFonts w:cs="Tahoma"/>
          <w:noProof w:val="0"/>
          <w:szCs w:val="20"/>
          <w:lang w:val="en-US"/>
        </w:rPr>
        <w:t>sent out several communications to determine the identity of two individuals presumed to be responsible, which were answered on January 25 that year.</w:t>
      </w:r>
      <w:r w:rsidR="00BA584C" w:rsidRPr="004542B5">
        <w:rPr>
          <w:rStyle w:val="FootnoteReference"/>
          <w:noProof w:val="0"/>
          <w:lang w:val="en-US"/>
        </w:rPr>
        <w:footnoteReference w:id="182"/>
      </w:r>
      <w:r w:rsidR="007B47B1" w:rsidRPr="004542B5">
        <w:rPr>
          <w:rFonts w:cs="Tahoma"/>
          <w:noProof w:val="0"/>
          <w:szCs w:val="20"/>
          <w:lang w:val="en-US"/>
        </w:rPr>
        <w:t xml:space="preserve"> </w:t>
      </w:r>
    </w:p>
    <w:p w14:paraId="7A90602B" w14:textId="11710618" w:rsidR="00DC5DDA" w:rsidRPr="004542B5" w:rsidRDefault="002663FF" w:rsidP="00E01664">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By a resolution</w:t>
      </w:r>
      <w:r w:rsidR="00BA584C" w:rsidRPr="004542B5">
        <w:rPr>
          <w:rFonts w:cs="Tahoma"/>
          <w:noProof w:val="0"/>
          <w:szCs w:val="20"/>
          <w:lang w:val="en-US"/>
        </w:rPr>
        <w:t xml:space="preserve"> </w:t>
      </w:r>
      <w:r w:rsidRPr="004542B5">
        <w:rPr>
          <w:rFonts w:cs="Tahoma"/>
          <w:noProof w:val="0"/>
          <w:szCs w:val="20"/>
          <w:lang w:val="en-US"/>
        </w:rPr>
        <w:t>of January 25,</w:t>
      </w:r>
      <w:r w:rsidR="00BA584C" w:rsidRPr="004542B5">
        <w:rPr>
          <w:rFonts w:cs="Tahoma"/>
          <w:noProof w:val="0"/>
          <w:szCs w:val="20"/>
          <w:lang w:val="en-US"/>
        </w:rPr>
        <w:t xml:space="preserve"> 2007</w:t>
      </w:r>
      <w:r w:rsidRPr="004542B5">
        <w:rPr>
          <w:rFonts w:cs="Tahoma"/>
          <w:noProof w:val="0"/>
          <w:szCs w:val="20"/>
          <w:lang w:val="en-US"/>
        </w:rPr>
        <w:t xml:space="preserve">, the Assistant Prosecutor General ordered the opening of the </w:t>
      </w:r>
      <w:r w:rsidR="00FF2A40" w:rsidRPr="004542B5">
        <w:rPr>
          <w:rFonts w:cs="Tahoma"/>
          <w:noProof w:val="0"/>
          <w:szCs w:val="20"/>
          <w:lang w:val="en-US"/>
        </w:rPr>
        <w:t>preliminary investigation</w:t>
      </w:r>
      <w:r w:rsidRPr="004542B5">
        <w:rPr>
          <w:rFonts w:cs="Tahoma"/>
          <w:noProof w:val="0"/>
          <w:szCs w:val="20"/>
          <w:lang w:val="en-US"/>
        </w:rPr>
        <w:t>. On January 29,</w:t>
      </w:r>
      <w:r w:rsidR="00BA584C" w:rsidRPr="004542B5">
        <w:rPr>
          <w:rFonts w:cs="Tahoma"/>
          <w:noProof w:val="0"/>
          <w:szCs w:val="20"/>
          <w:lang w:val="en-US"/>
        </w:rPr>
        <w:t xml:space="preserve"> 2007</w:t>
      </w:r>
      <w:r w:rsidR="00F74D05" w:rsidRPr="004542B5">
        <w:rPr>
          <w:rFonts w:cs="Tahoma"/>
          <w:noProof w:val="0"/>
          <w:szCs w:val="20"/>
          <w:lang w:val="en-US"/>
        </w:rPr>
        <w:t>, the statement expanding the complaint was taken by the Assistant P</w:t>
      </w:r>
      <w:r w:rsidR="007001D1" w:rsidRPr="004542B5">
        <w:rPr>
          <w:rFonts w:cs="Tahoma"/>
          <w:noProof w:val="0"/>
          <w:szCs w:val="20"/>
          <w:lang w:val="en-US"/>
        </w:rPr>
        <w:t>r</w:t>
      </w:r>
      <w:r w:rsidR="00F74D05" w:rsidRPr="004542B5">
        <w:rPr>
          <w:rFonts w:cs="Tahoma"/>
          <w:noProof w:val="0"/>
          <w:szCs w:val="20"/>
          <w:lang w:val="en-US"/>
        </w:rPr>
        <w:t>osecutor</w:t>
      </w:r>
      <w:r w:rsidR="007001D1" w:rsidRPr="004542B5">
        <w:rPr>
          <w:rFonts w:cs="Tahoma"/>
          <w:noProof w:val="0"/>
          <w:szCs w:val="20"/>
          <w:lang w:val="en-US"/>
        </w:rPr>
        <w:t xml:space="preserve"> who, by a </w:t>
      </w:r>
      <w:r w:rsidR="00FF2A40" w:rsidRPr="004542B5">
        <w:rPr>
          <w:rFonts w:cs="Tahoma"/>
          <w:noProof w:val="0"/>
          <w:szCs w:val="20"/>
          <w:lang w:val="en-US"/>
        </w:rPr>
        <w:t>decision</w:t>
      </w:r>
      <w:r w:rsidR="007001D1" w:rsidRPr="004542B5">
        <w:rPr>
          <w:rFonts w:cs="Tahoma"/>
          <w:noProof w:val="0"/>
          <w:szCs w:val="20"/>
          <w:lang w:val="en-US"/>
        </w:rPr>
        <w:t xml:space="preserve"> </w:t>
      </w:r>
      <w:r w:rsidRPr="004542B5">
        <w:rPr>
          <w:rFonts w:cs="Tahoma"/>
          <w:noProof w:val="0"/>
          <w:szCs w:val="20"/>
          <w:lang w:val="en-US"/>
        </w:rPr>
        <w:t>of January 30,</w:t>
      </w:r>
      <w:r w:rsidR="00BA584C" w:rsidRPr="004542B5">
        <w:rPr>
          <w:rFonts w:cs="Tahoma"/>
          <w:noProof w:val="0"/>
          <w:szCs w:val="20"/>
          <w:lang w:val="en-US"/>
        </w:rPr>
        <w:t xml:space="preserve"> 2007</w:t>
      </w:r>
      <w:r w:rsidR="007001D1" w:rsidRPr="004542B5">
        <w:rPr>
          <w:rFonts w:cs="Tahoma"/>
          <w:noProof w:val="0"/>
          <w:szCs w:val="20"/>
          <w:lang w:val="en-US"/>
        </w:rPr>
        <w:t>, ord</w:t>
      </w:r>
      <w:r w:rsidR="00FF2A40" w:rsidRPr="004542B5">
        <w:rPr>
          <w:rFonts w:cs="Tahoma"/>
          <w:noProof w:val="0"/>
          <w:szCs w:val="20"/>
          <w:lang w:val="en-US"/>
        </w:rPr>
        <w:t>e</w:t>
      </w:r>
      <w:r w:rsidR="007001D1" w:rsidRPr="004542B5">
        <w:rPr>
          <w:rFonts w:cs="Tahoma"/>
          <w:noProof w:val="0"/>
          <w:szCs w:val="20"/>
          <w:lang w:val="en-US"/>
        </w:rPr>
        <w:t>red the file to be referred to the Special Prosecutor for Environmental Offenses to continue the preliminary investigation.</w:t>
      </w:r>
      <w:r w:rsidR="00BA584C" w:rsidRPr="004542B5">
        <w:rPr>
          <w:rStyle w:val="FootnoteReference"/>
          <w:noProof w:val="0"/>
          <w:lang w:val="en-US"/>
        </w:rPr>
        <w:footnoteReference w:id="183"/>
      </w:r>
    </w:p>
    <w:p w14:paraId="0FC64337" w14:textId="427213B8" w:rsidR="00DC5DDA" w:rsidRPr="004542B5" w:rsidRDefault="002663FF" w:rsidP="00E01664">
      <w:pPr>
        <w:pStyle w:val="ListParagraph"/>
        <w:numPr>
          <w:ilvl w:val="0"/>
          <w:numId w:val="2"/>
        </w:numPr>
        <w:spacing w:before="120"/>
        <w:contextualSpacing w:val="0"/>
        <w:rPr>
          <w:rFonts w:cs="Tahoma"/>
          <w:noProof w:val="0"/>
          <w:szCs w:val="20"/>
          <w:lang w:val="en-US"/>
        </w:rPr>
      </w:pPr>
      <w:r w:rsidRPr="004542B5">
        <w:rPr>
          <w:noProof w:val="0"/>
          <w:szCs w:val="20"/>
          <w:lang w:val="en-US"/>
        </w:rPr>
        <w:t>On February 1,</w:t>
      </w:r>
      <w:r w:rsidR="00BA584C" w:rsidRPr="004542B5">
        <w:rPr>
          <w:noProof w:val="0"/>
          <w:szCs w:val="20"/>
          <w:lang w:val="en-US"/>
        </w:rPr>
        <w:t xml:space="preserve"> 2007, </w:t>
      </w:r>
      <w:r w:rsidR="00562CBB" w:rsidRPr="004542B5">
        <w:rPr>
          <w:noProof w:val="0"/>
          <w:szCs w:val="20"/>
          <w:lang w:val="en-US"/>
        </w:rPr>
        <w:t>the representatives</w:t>
      </w:r>
      <w:r w:rsidR="00BA584C" w:rsidRPr="004542B5">
        <w:rPr>
          <w:noProof w:val="0"/>
          <w:szCs w:val="20"/>
          <w:lang w:val="en-US"/>
        </w:rPr>
        <w:t xml:space="preserve"> </w:t>
      </w:r>
      <w:r w:rsidR="00AA0930" w:rsidRPr="004542B5">
        <w:rPr>
          <w:noProof w:val="0"/>
          <w:szCs w:val="20"/>
          <w:lang w:val="en-US"/>
        </w:rPr>
        <w:t>of the General Congress</w:t>
      </w:r>
      <w:r w:rsidR="004D0B27" w:rsidRPr="004542B5">
        <w:rPr>
          <w:noProof w:val="0"/>
          <w:szCs w:val="20"/>
          <w:lang w:val="en-US"/>
        </w:rPr>
        <w:t xml:space="preserve"> of the </w:t>
      </w:r>
      <w:r w:rsidR="008C4E08" w:rsidRPr="004542B5">
        <w:rPr>
          <w:noProof w:val="0"/>
          <w:szCs w:val="20"/>
          <w:lang w:val="en-US"/>
        </w:rPr>
        <w:t xml:space="preserve">Kuna </w:t>
      </w:r>
      <w:r w:rsidR="004D0B27" w:rsidRPr="004542B5">
        <w:rPr>
          <w:noProof w:val="0"/>
          <w:szCs w:val="20"/>
          <w:lang w:val="en-US"/>
        </w:rPr>
        <w:t>Comarca</w:t>
      </w:r>
      <w:r w:rsidR="00BA584C" w:rsidRPr="004542B5">
        <w:rPr>
          <w:noProof w:val="0"/>
          <w:szCs w:val="20"/>
          <w:lang w:val="en-US"/>
        </w:rPr>
        <w:t xml:space="preserve"> </w:t>
      </w:r>
      <w:r w:rsidR="00735390" w:rsidRPr="004542B5">
        <w:rPr>
          <w:noProof w:val="0"/>
          <w:szCs w:val="20"/>
          <w:lang w:val="en-US"/>
        </w:rPr>
        <w:t xml:space="preserve">filed a criminal complaint based on an environmental offense against three individuals with the XI Circuit Prosecutor </w:t>
      </w:r>
      <w:r w:rsidR="00FE0BF3" w:rsidRPr="004542B5">
        <w:rPr>
          <w:noProof w:val="0"/>
          <w:szCs w:val="20"/>
          <w:lang w:val="en-US"/>
        </w:rPr>
        <w:t>of Panama</w:t>
      </w:r>
      <w:r w:rsidR="00735390" w:rsidRPr="004542B5">
        <w:rPr>
          <w:noProof w:val="0"/>
          <w:szCs w:val="20"/>
          <w:lang w:val="en-US"/>
        </w:rPr>
        <w:t>.</w:t>
      </w:r>
      <w:r w:rsidR="00BA584C" w:rsidRPr="004542B5">
        <w:rPr>
          <w:rStyle w:val="FootnoteReference"/>
          <w:noProof w:val="0"/>
          <w:lang w:val="en-US"/>
        </w:rPr>
        <w:footnoteReference w:id="184"/>
      </w:r>
      <w:r w:rsidR="00BA584C" w:rsidRPr="004542B5">
        <w:rPr>
          <w:noProof w:val="0"/>
          <w:szCs w:val="20"/>
          <w:lang w:val="en-US"/>
        </w:rPr>
        <w:t xml:space="preserve"> </w:t>
      </w:r>
      <w:r w:rsidRPr="004542B5">
        <w:rPr>
          <w:noProof w:val="0"/>
          <w:szCs w:val="20"/>
          <w:lang w:val="en-US"/>
        </w:rPr>
        <w:t>On February 2,</w:t>
      </w:r>
      <w:r w:rsidR="00BA584C" w:rsidRPr="004542B5">
        <w:rPr>
          <w:noProof w:val="0"/>
          <w:szCs w:val="20"/>
          <w:lang w:val="en-US"/>
        </w:rPr>
        <w:t xml:space="preserve"> 2007</w:t>
      </w:r>
      <w:r w:rsidRPr="004542B5">
        <w:rPr>
          <w:noProof w:val="0"/>
          <w:szCs w:val="20"/>
          <w:lang w:val="en-US"/>
        </w:rPr>
        <w:t>,</w:t>
      </w:r>
      <w:r w:rsidR="00BA584C" w:rsidRPr="004542B5">
        <w:rPr>
          <w:noProof w:val="0"/>
          <w:szCs w:val="20"/>
          <w:lang w:val="en-US"/>
        </w:rPr>
        <w:t xml:space="preserve"> </w:t>
      </w:r>
      <w:r w:rsidRPr="004542B5">
        <w:rPr>
          <w:noProof w:val="0"/>
          <w:szCs w:val="20"/>
          <w:lang w:val="en-US"/>
        </w:rPr>
        <w:t>the XI Prosecutor</w:t>
      </w:r>
      <w:r w:rsidR="00E75FF1" w:rsidRPr="004542B5">
        <w:rPr>
          <w:noProof w:val="0"/>
          <w:szCs w:val="20"/>
          <w:lang w:val="en-US"/>
        </w:rPr>
        <w:t xml:space="preserve"> of the First Judicial Circuit</w:t>
      </w:r>
      <w:r w:rsidR="00BA584C" w:rsidRPr="004542B5">
        <w:rPr>
          <w:noProof w:val="0"/>
          <w:szCs w:val="20"/>
          <w:lang w:val="en-US"/>
        </w:rPr>
        <w:t xml:space="preserve"> </w:t>
      </w:r>
      <w:r w:rsidR="00AA0930" w:rsidRPr="004542B5">
        <w:rPr>
          <w:noProof w:val="0"/>
          <w:szCs w:val="20"/>
          <w:lang w:val="en-US"/>
        </w:rPr>
        <w:t>assumed the pre</w:t>
      </w:r>
      <w:r w:rsidR="00FF2A40" w:rsidRPr="004542B5">
        <w:rPr>
          <w:noProof w:val="0"/>
          <w:szCs w:val="20"/>
          <w:lang w:val="en-US"/>
        </w:rPr>
        <w:t>liminary</w:t>
      </w:r>
      <w:r w:rsidR="00AA0930" w:rsidRPr="004542B5">
        <w:rPr>
          <w:noProof w:val="0"/>
          <w:szCs w:val="20"/>
          <w:lang w:val="en-US"/>
        </w:rPr>
        <w:t xml:space="preserve"> investigation. </w:t>
      </w:r>
      <w:r w:rsidRPr="004542B5">
        <w:rPr>
          <w:noProof w:val="0"/>
          <w:szCs w:val="20"/>
          <w:lang w:val="en-US"/>
        </w:rPr>
        <w:t>On February 28,</w:t>
      </w:r>
      <w:r w:rsidR="00BA584C" w:rsidRPr="004542B5">
        <w:rPr>
          <w:noProof w:val="0"/>
          <w:szCs w:val="20"/>
          <w:lang w:val="en-US"/>
        </w:rPr>
        <w:t xml:space="preserve"> 2007, </w:t>
      </w:r>
      <w:r w:rsidR="00AA0930" w:rsidRPr="004542B5">
        <w:rPr>
          <w:noProof w:val="0"/>
          <w:szCs w:val="20"/>
          <w:lang w:val="en-US"/>
        </w:rPr>
        <w:t xml:space="preserve">he admitted the </w:t>
      </w:r>
      <w:r w:rsidR="00BA584C" w:rsidRPr="004542B5">
        <w:rPr>
          <w:noProof w:val="0"/>
          <w:szCs w:val="20"/>
          <w:lang w:val="en-US"/>
        </w:rPr>
        <w:t>Cacique General</w:t>
      </w:r>
      <w:r w:rsidR="004D0B27" w:rsidRPr="004542B5">
        <w:rPr>
          <w:noProof w:val="0"/>
          <w:szCs w:val="20"/>
          <w:lang w:val="en-US"/>
        </w:rPr>
        <w:t xml:space="preserve"> of the </w:t>
      </w:r>
      <w:r w:rsidR="008C4E08" w:rsidRPr="004542B5">
        <w:rPr>
          <w:noProof w:val="0"/>
          <w:szCs w:val="20"/>
          <w:lang w:val="en-US"/>
        </w:rPr>
        <w:t xml:space="preserve">Kuna </w:t>
      </w:r>
      <w:r w:rsidR="004D0B27" w:rsidRPr="004542B5">
        <w:rPr>
          <w:noProof w:val="0"/>
          <w:szCs w:val="20"/>
          <w:lang w:val="en-US"/>
        </w:rPr>
        <w:t>Comarca</w:t>
      </w:r>
      <w:r w:rsidR="00CD2B90" w:rsidRPr="004542B5">
        <w:rPr>
          <w:noProof w:val="0"/>
          <w:szCs w:val="20"/>
          <w:lang w:val="en-US"/>
        </w:rPr>
        <w:t xml:space="preserve"> </w:t>
      </w:r>
      <w:r w:rsidR="00AA0930" w:rsidRPr="004542B5">
        <w:rPr>
          <w:noProof w:val="0"/>
          <w:szCs w:val="20"/>
          <w:lang w:val="en-US"/>
        </w:rPr>
        <w:t xml:space="preserve">as plaintiff </w:t>
      </w:r>
      <w:r w:rsidR="00CD2B90" w:rsidRPr="004542B5">
        <w:rPr>
          <w:noProof w:val="0"/>
          <w:szCs w:val="20"/>
          <w:lang w:val="en-US"/>
        </w:rPr>
        <w:t>and</w:t>
      </w:r>
      <w:r w:rsidR="00AA0930" w:rsidRPr="004542B5">
        <w:rPr>
          <w:noProof w:val="0"/>
          <w:szCs w:val="20"/>
          <w:lang w:val="en-US"/>
        </w:rPr>
        <w:t>,</w:t>
      </w:r>
      <w:r w:rsidR="00CD2B90" w:rsidRPr="004542B5">
        <w:rPr>
          <w:noProof w:val="0"/>
          <w:szCs w:val="20"/>
          <w:lang w:val="en-US"/>
        </w:rPr>
        <w:t xml:space="preserve"> </w:t>
      </w:r>
      <w:r w:rsidRPr="004542B5">
        <w:rPr>
          <w:noProof w:val="0"/>
          <w:szCs w:val="20"/>
          <w:lang w:val="en-US"/>
        </w:rPr>
        <w:t>on April 24,</w:t>
      </w:r>
      <w:r w:rsidR="00BA584C" w:rsidRPr="004542B5">
        <w:rPr>
          <w:noProof w:val="0"/>
          <w:szCs w:val="20"/>
          <w:lang w:val="en-US"/>
        </w:rPr>
        <w:t xml:space="preserve"> 2007</w:t>
      </w:r>
      <w:r w:rsidRPr="004542B5">
        <w:rPr>
          <w:noProof w:val="0"/>
          <w:szCs w:val="20"/>
          <w:lang w:val="en-US"/>
        </w:rPr>
        <w:t>,</w:t>
      </w:r>
      <w:r w:rsidR="00AA0930" w:rsidRPr="004542B5">
        <w:rPr>
          <w:noProof w:val="0"/>
          <w:szCs w:val="20"/>
          <w:lang w:val="en-US"/>
        </w:rPr>
        <w:t xml:space="preserve"> </w:t>
      </w:r>
      <w:r w:rsidR="00BA584C" w:rsidRPr="004542B5">
        <w:rPr>
          <w:noProof w:val="0"/>
          <w:szCs w:val="20"/>
          <w:lang w:val="en-US"/>
        </w:rPr>
        <w:t>incorpor</w:t>
      </w:r>
      <w:r w:rsidR="00AA0930" w:rsidRPr="004542B5">
        <w:rPr>
          <w:noProof w:val="0"/>
          <w:szCs w:val="20"/>
          <w:lang w:val="en-US"/>
        </w:rPr>
        <w:t>ated</w:t>
      </w:r>
      <w:r w:rsidR="00FF2A40" w:rsidRPr="004542B5">
        <w:rPr>
          <w:noProof w:val="0"/>
          <w:szCs w:val="20"/>
          <w:lang w:val="en-US"/>
        </w:rPr>
        <w:t xml:space="preserve"> into the case</w:t>
      </w:r>
      <w:r w:rsidR="00AA0930" w:rsidRPr="004542B5">
        <w:rPr>
          <w:noProof w:val="0"/>
          <w:szCs w:val="20"/>
          <w:lang w:val="en-US"/>
        </w:rPr>
        <w:t xml:space="preserve"> the three individuals presumed to be responsible as defendants.</w:t>
      </w:r>
      <w:r w:rsidR="00BA584C" w:rsidRPr="004542B5">
        <w:rPr>
          <w:rStyle w:val="FootnoteReference"/>
          <w:noProof w:val="0"/>
          <w:lang w:val="en-US"/>
        </w:rPr>
        <w:footnoteReference w:id="185"/>
      </w:r>
      <w:r w:rsidR="00BA584C" w:rsidRPr="004542B5">
        <w:rPr>
          <w:noProof w:val="0"/>
          <w:szCs w:val="20"/>
          <w:lang w:val="en-US"/>
        </w:rPr>
        <w:t xml:space="preserve"> </w:t>
      </w:r>
      <w:r w:rsidRPr="004542B5">
        <w:rPr>
          <w:noProof w:val="0"/>
          <w:szCs w:val="20"/>
          <w:lang w:val="en-US"/>
        </w:rPr>
        <w:t>On August 22</w:t>
      </w:r>
      <w:r w:rsidR="00CD2B90" w:rsidRPr="004542B5">
        <w:rPr>
          <w:noProof w:val="0"/>
          <w:szCs w:val="20"/>
          <w:lang w:val="en-US"/>
        </w:rPr>
        <w:t xml:space="preserve"> and </w:t>
      </w:r>
      <w:r w:rsidRPr="004542B5">
        <w:rPr>
          <w:noProof w:val="0"/>
          <w:szCs w:val="20"/>
          <w:lang w:val="en-US"/>
        </w:rPr>
        <w:t>September 14,</w:t>
      </w:r>
      <w:r w:rsidR="00BA584C" w:rsidRPr="004542B5">
        <w:rPr>
          <w:noProof w:val="0"/>
          <w:szCs w:val="20"/>
          <w:lang w:val="en-US"/>
        </w:rPr>
        <w:t xml:space="preserve"> 2007</w:t>
      </w:r>
      <w:r w:rsidR="00AA0930" w:rsidRPr="004542B5">
        <w:rPr>
          <w:noProof w:val="0"/>
          <w:szCs w:val="20"/>
          <w:lang w:val="en-US"/>
        </w:rPr>
        <w:t>, the Prosecutor conducted an on-site visit.</w:t>
      </w:r>
      <w:r w:rsidR="00BA584C" w:rsidRPr="004542B5">
        <w:rPr>
          <w:rStyle w:val="FootnoteReference"/>
          <w:noProof w:val="0"/>
          <w:lang w:val="en-US"/>
        </w:rPr>
        <w:footnoteReference w:id="186"/>
      </w:r>
      <w:r w:rsidR="00AA0930" w:rsidRPr="004542B5">
        <w:rPr>
          <w:noProof w:val="0"/>
          <w:szCs w:val="20"/>
          <w:lang w:val="en-US"/>
        </w:rPr>
        <w:t xml:space="preserve"> </w:t>
      </w:r>
      <w:r w:rsidRPr="004542B5">
        <w:rPr>
          <w:noProof w:val="0"/>
          <w:szCs w:val="20"/>
          <w:lang w:val="en-US"/>
        </w:rPr>
        <w:t xml:space="preserve">On May 29, </w:t>
      </w:r>
      <w:r w:rsidR="00BA584C" w:rsidRPr="004542B5">
        <w:rPr>
          <w:noProof w:val="0"/>
          <w:szCs w:val="20"/>
          <w:lang w:val="en-US"/>
        </w:rPr>
        <w:t xml:space="preserve">2008, </w:t>
      </w:r>
      <w:r w:rsidR="00AA0930" w:rsidRPr="004542B5">
        <w:rPr>
          <w:noProof w:val="0"/>
          <w:szCs w:val="20"/>
          <w:lang w:val="en-US"/>
        </w:rPr>
        <w:t>he issued</w:t>
      </w:r>
      <w:r w:rsidR="00BA584C" w:rsidRPr="004542B5">
        <w:rPr>
          <w:noProof w:val="0"/>
          <w:szCs w:val="20"/>
          <w:lang w:val="en-US"/>
        </w:rPr>
        <w:t xml:space="preserve"> </w:t>
      </w:r>
      <w:r w:rsidR="00C56C98" w:rsidRPr="004542B5">
        <w:rPr>
          <w:noProof w:val="0"/>
          <w:szCs w:val="20"/>
          <w:lang w:val="en-US"/>
        </w:rPr>
        <w:t xml:space="preserve">Recommendation </w:t>
      </w:r>
      <w:r w:rsidR="00CD2B90" w:rsidRPr="004542B5">
        <w:rPr>
          <w:noProof w:val="0"/>
          <w:szCs w:val="20"/>
          <w:lang w:val="en-US"/>
        </w:rPr>
        <w:t>No.</w:t>
      </w:r>
      <w:r w:rsidR="00B7701D" w:rsidRPr="004542B5">
        <w:rPr>
          <w:noProof w:val="0"/>
          <w:szCs w:val="20"/>
          <w:lang w:val="en-US"/>
        </w:rPr>
        <w:t xml:space="preserve"> </w:t>
      </w:r>
      <w:r w:rsidR="00BA584C" w:rsidRPr="004542B5">
        <w:rPr>
          <w:noProof w:val="0"/>
          <w:szCs w:val="20"/>
          <w:lang w:val="en-US"/>
        </w:rPr>
        <w:t xml:space="preserve">151 </w:t>
      </w:r>
      <w:r w:rsidR="00AA0930" w:rsidRPr="004542B5">
        <w:rPr>
          <w:noProof w:val="0"/>
          <w:szCs w:val="20"/>
          <w:lang w:val="en-US"/>
        </w:rPr>
        <w:t>in which he concluded, among other matters, that “there [was] no evidence whatsoever to determine the responsibility of the defendants” and requested the provisional dismissal of the investigation.</w:t>
      </w:r>
      <w:r w:rsidR="00BA584C" w:rsidRPr="004542B5">
        <w:rPr>
          <w:rStyle w:val="FootnoteReference"/>
          <w:noProof w:val="0"/>
          <w:lang w:val="en-US"/>
        </w:rPr>
        <w:footnoteReference w:id="187"/>
      </w:r>
      <w:r w:rsidR="00AA0930" w:rsidRPr="004542B5">
        <w:rPr>
          <w:noProof w:val="0"/>
          <w:szCs w:val="20"/>
          <w:lang w:val="en-US"/>
        </w:rPr>
        <w:t xml:space="preserve"> The Court has no further information on this proceeding.</w:t>
      </w:r>
      <w:r w:rsidR="00BA584C" w:rsidRPr="004542B5">
        <w:rPr>
          <w:rStyle w:val="FootnoteReference"/>
          <w:noProof w:val="0"/>
          <w:lang w:val="en-US"/>
        </w:rPr>
        <w:footnoteReference w:id="188"/>
      </w:r>
    </w:p>
    <w:p w14:paraId="440D568B" w14:textId="71F62C0D" w:rsidR="00DC5DDA" w:rsidRPr="004542B5" w:rsidRDefault="007B47B1" w:rsidP="00E01664">
      <w:pPr>
        <w:pStyle w:val="ListParagraph"/>
        <w:spacing w:before="240" w:after="240"/>
        <w:ind w:left="1440"/>
        <w:contextualSpacing w:val="0"/>
        <w:rPr>
          <w:rFonts w:cs="Tahoma"/>
          <w:i/>
          <w:noProof w:val="0"/>
          <w:szCs w:val="20"/>
          <w:lang w:val="en-US"/>
        </w:rPr>
      </w:pPr>
      <w:r w:rsidRPr="004542B5">
        <w:rPr>
          <w:rFonts w:cs="Tahoma"/>
          <w:i/>
          <w:noProof w:val="0"/>
          <w:szCs w:val="20"/>
          <w:lang w:val="en-US"/>
        </w:rPr>
        <w:t xml:space="preserve">c. </w:t>
      </w:r>
      <w:r w:rsidR="00F14C44" w:rsidRPr="004542B5">
        <w:rPr>
          <w:rFonts w:cs="Tahoma"/>
          <w:i/>
          <w:noProof w:val="0"/>
          <w:szCs w:val="20"/>
          <w:lang w:val="en-US"/>
        </w:rPr>
        <w:t>Criminal proceeding before the V Special Prosecutor of the First Circuit</w:t>
      </w:r>
      <w:r w:rsidRPr="004542B5">
        <w:rPr>
          <w:rFonts w:cs="Tahoma"/>
          <w:i/>
          <w:noProof w:val="0"/>
          <w:szCs w:val="20"/>
          <w:lang w:val="en-US"/>
        </w:rPr>
        <w:t xml:space="preserve"> </w:t>
      </w:r>
      <w:r w:rsidR="00FE0BF3" w:rsidRPr="004542B5">
        <w:rPr>
          <w:rFonts w:cs="Tahoma"/>
          <w:i/>
          <w:noProof w:val="0"/>
          <w:szCs w:val="20"/>
          <w:lang w:val="en-US"/>
        </w:rPr>
        <w:t>of Panama</w:t>
      </w:r>
    </w:p>
    <w:p w14:paraId="4EBDE9DD" w14:textId="405DC1D6" w:rsidR="00DC5DDA" w:rsidRPr="004542B5" w:rsidRDefault="00F14C44" w:rsidP="00D40B1E">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January 30,</w:t>
      </w:r>
      <w:r w:rsidR="00BA584C" w:rsidRPr="004542B5">
        <w:rPr>
          <w:rFonts w:cs="Tahoma"/>
          <w:noProof w:val="0"/>
          <w:szCs w:val="20"/>
          <w:lang w:val="en-US"/>
        </w:rPr>
        <w:t xml:space="preserve"> 2007</w:t>
      </w:r>
      <w:r w:rsidRPr="004542B5">
        <w:rPr>
          <w:rFonts w:cs="Tahoma"/>
          <w:noProof w:val="0"/>
          <w:szCs w:val="20"/>
          <w:lang w:val="en-US"/>
        </w:rPr>
        <w:t>,</w:t>
      </w:r>
      <w:r w:rsidR="00BA584C" w:rsidRPr="004542B5">
        <w:rPr>
          <w:rFonts w:cs="Tahoma"/>
          <w:noProof w:val="0"/>
          <w:szCs w:val="20"/>
          <w:lang w:val="en-US"/>
        </w:rPr>
        <w:t xml:space="preserve"> </w:t>
      </w:r>
      <w:r w:rsidRPr="004542B5">
        <w:rPr>
          <w:rFonts w:cs="Tahoma"/>
          <w:noProof w:val="0"/>
          <w:szCs w:val="20"/>
          <w:lang w:val="en-US"/>
        </w:rPr>
        <w:t>a private individual</w:t>
      </w:r>
      <w:r w:rsidR="00037E8A" w:rsidRPr="004542B5">
        <w:rPr>
          <w:rFonts w:cs="Tahoma"/>
          <w:noProof w:val="0"/>
          <w:szCs w:val="20"/>
          <w:lang w:val="en-US"/>
        </w:rPr>
        <w:t xml:space="preserve">, </w:t>
      </w:r>
      <w:r w:rsidRPr="004542B5">
        <w:rPr>
          <w:rFonts w:cs="Tahoma"/>
          <w:noProof w:val="0"/>
          <w:szCs w:val="20"/>
          <w:lang w:val="en-US"/>
        </w:rPr>
        <w:t>Mr.</w:t>
      </w:r>
      <w:r w:rsidR="00037E8A" w:rsidRPr="004542B5">
        <w:rPr>
          <w:rFonts w:cs="Tahoma"/>
          <w:noProof w:val="0"/>
          <w:szCs w:val="20"/>
          <w:lang w:val="en-US"/>
        </w:rPr>
        <w:t xml:space="preserve"> Huertas </w:t>
      </w:r>
      <w:r w:rsidR="00BA584C" w:rsidRPr="004542B5">
        <w:rPr>
          <w:rFonts w:cs="Tahoma"/>
          <w:noProof w:val="0"/>
          <w:szCs w:val="20"/>
          <w:lang w:val="en-US"/>
        </w:rPr>
        <w:t>(</w:t>
      </w:r>
      <w:r w:rsidRPr="004542B5">
        <w:rPr>
          <w:rFonts w:cs="Tahoma"/>
          <w:noProof w:val="0"/>
          <w:szCs w:val="20"/>
          <w:lang w:val="en-US"/>
        </w:rPr>
        <w:t>who also represent</w:t>
      </w:r>
      <w:r w:rsidR="00C56C98" w:rsidRPr="004542B5">
        <w:rPr>
          <w:rFonts w:cs="Tahoma"/>
          <w:noProof w:val="0"/>
          <w:szCs w:val="20"/>
          <w:lang w:val="en-US"/>
        </w:rPr>
        <w:t>s</w:t>
      </w:r>
      <w:r w:rsidR="00FC1C56" w:rsidRPr="004542B5">
        <w:rPr>
          <w:rFonts w:cs="Tahoma"/>
          <w:noProof w:val="0"/>
          <w:szCs w:val="20"/>
          <w:lang w:val="en-US"/>
        </w:rPr>
        <w:t xml:space="preserve"> the </w:t>
      </w:r>
      <w:r w:rsidR="00F3300A" w:rsidRPr="004542B5">
        <w:rPr>
          <w:rFonts w:cs="Tahoma"/>
          <w:noProof w:val="0"/>
          <w:szCs w:val="20"/>
          <w:lang w:val="en-US"/>
        </w:rPr>
        <w:t>presumed victims</w:t>
      </w:r>
      <w:r w:rsidR="00B53D78" w:rsidRPr="004542B5">
        <w:rPr>
          <w:rFonts w:cs="Tahoma"/>
          <w:noProof w:val="0"/>
          <w:szCs w:val="20"/>
          <w:lang w:val="en-US"/>
        </w:rPr>
        <w:t xml:space="preserve"> </w:t>
      </w:r>
      <w:r w:rsidRPr="004542B5">
        <w:rPr>
          <w:rFonts w:cs="Tahoma"/>
          <w:noProof w:val="0"/>
          <w:szCs w:val="20"/>
          <w:lang w:val="en-US"/>
        </w:rPr>
        <w:t xml:space="preserve">before the inter-American system) </w:t>
      </w:r>
      <w:r w:rsidR="00B41981" w:rsidRPr="004542B5">
        <w:rPr>
          <w:rFonts w:cs="Tahoma"/>
          <w:noProof w:val="0"/>
          <w:szCs w:val="20"/>
          <w:lang w:val="en-US"/>
        </w:rPr>
        <w:t xml:space="preserve">filed a complaint with the Judicial Technical Police of Chepo district against three individuals based on an environmental offense and any </w:t>
      </w:r>
      <w:r w:rsidR="00B41981" w:rsidRPr="004542B5">
        <w:rPr>
          <w:rFonts w:cs="Tahoma"/>
          <w:noProof w:val="0"/>
          <w:szCs w:val="20"/>
          <w:lang w:val="en-US"/>
        </w:rPr>
        <w:lastRenderedPageBreak/>
        <w:t xml:space="preserve">other offense that was found following an investigation, because he had </w:t>
      </w:r>
      <w:r w:rsidR="00C56C98" w:rsidRPr="004542B5">
        <w:rPr>
          <w:rFonts w:cs="Tahoma"/>
          <w:noProof w:val="0"/>
          <w:szCs w:val="20"/>
          <w:lang w:val="en-US"/>
        </w:rPr>
        <w:t>discovered</w:t>
      </w:r>
      <w:r w:rsidR="00B41981" w:rsidRPr="004542B5">
        <w:rPr>
          <w:rFonts w:cs="Tahoma"/>
          <w:noProof w:val="0"/>
          <w:szCs w:val="20"/>
          <w:lang w:val="en-US"/>
        </w:rPr>
        <w:t xml:space="preserve"> them </w:t>
      </w:r>
      <w:r w:rsidR="00B41981" w:rsidRPr="004542B5">
        <w:rPr>
          <w:rFonts w:cs="Tahoma"/>
          <w:i/>
          <w:noProof w:val="0"/>
          <w:szCs w:val="20"/>
          <w:lang w:val="en-US"/>
        </w:rPr>
        <w:t>in f</w:t>
      </w:r>
      <w:r w:rsidR="00A710E9" w:rsidRPr="004542B5">
        <w:rPr>
          <w:rFonts w:cs="Tahoma"/>
          <w:i/>
          <w:noProof w:val="0"/>
          <w:szCs w:val="20"/>
          <w:lang w:val="en-US"/>
        </w:rPr>
        <w:t>l</w:t>
      </w:r>
      <w:r w:rsidR="00B41981" w:rsidRPr="004542B5">
        <w:rPr>
          <w:rFonts w:cs="Tahoma"/>
          <w:i/>
          <w:noProof w:val="0"/>
          <w:szCs w:val="20"/>
          <w:lang w:val="en-US"/>
        </w:rPr>
        <w:t>ag</w:t>
      </w:r>
      <w:r w:rsidR="00A710E9" w:rsidRPr="004542B5">
        <w:rPr>
          <w:rFonts w:cs="Tahoma"/>
          <w:i/>
          <w:noProof w:val="0"/>
          <w:szCs w:val="20"/>
          <w:lang w:val="en-US"/>
        </w:rPr>
        <w:t>r</w:t>
      </w:r>
      <w:r w:rsidR="00B41981" w:rsidRPr="004542B5">
        <w:rPr>
          <w:rFonts w:cs="Tahoma"/>
          <w:i/>
          <w:noProof w:val="0"/>
          <w:szCs w:val="20"/>
          <w:lang w:val="en-US"/>
        </w:rPr>
        <w:t>ant</w:t>
      </w:r>
      <w:r w:rsidR="00E4693E" w:rsidRPr="004542B5">
        <w:rPr>
          <w:rFonts w:cs="Tahoma"/>
          <w:i/>
          <w:noProof w:val="0"/>
          <w:szCs w:val="20"/>
          <w:lang w:val="en-US"/>
        </w:rPr>
        <w:t>e</w:t>
      </w:r>
      <w:r w:rsidR="00B41981" w:rsidRPr="004542B5">
        <w:rPr>
          <w:rFonts w:cs="Tahoma"/>
          <w:iCs/>
          <w:noProof w:val="0"/>
          <w:szCs w:val="20"/>
          <w:lang w:val="en-US"/>
        </w:rPr>
        <w:t xml:space="preserve"> indiscriminately felling trees within</w:t>
      </w:r>
      <w:r w:rsidR="00B41981" w:rsidRPr="004542B5">
        <w:rPr>
          <w:rFonts w:cs="Tahoma"/>
          <w:noProof w:val="0"/>
          <w:szCs w:val="20"/>
          <w:lang w:val="en-US"/>
        </w:rPr>
        <w:t xml:space="preserve"> the Kuna Comarca during a procedure he was conducting with several state authorities.</w:t>
      </w:r>
      <w:r w:rsidR="00BA584C" w:rsidRPr="004542B5">
        <w:rPr>
          <w:rStyle w:val="FootnoteReference"/>
          <w:noProof w:val="0"/>
          <w:lang w:val="en-US"/>
        </w:rPr>
        <w:footnoteReference w:id="189"/>
      </w:r>
      <w:r w:rsidR="00B41981" w:rsidRPr="004542B5">
        <w:rPr>
          <w:rFonts w:cs="Tahoma"/>
          <w:noProof w:val="0"/>
          <w:szCs w:val="20"/>
          <w:lang w:val="en-US"/>
        </w:rPr>
        <w:t xml:space="preserve"> The same day, the Chepo Judicial Technical Police decided to admit the case and begin the preliminary investigation</w:t>
      </w:r>
      <w:r w:rsidR="00C56C98" w:rsidRPr="004542B5">
        <w:rPr>
          <w:rFonts w:cs="Tahoma"/>
          <w:noProof w:val="0"/>
          <w:szCs w:val="20"/>
          <w:lang w:val="en-US"/>
        </w:rPr>
        <w:t>;</w:t>
      </w:r>
      <w:r w:rsidR="00B41981" w:rsidRPr="004542B5">
        <w:rPr>
          <w:rFonts w:cs="Tahoma"/>
          <w:noProof w:val="0"/>
          <w:szCs w:val="20"/>
          <w:lang w:val="en-US"/>
        </w:rPr>
        <w:t xml:space="preserve"> four individuals were detained by the local Police </w:t>
      </w:r>
      <w:r w:rsidR="00C56C98" w:rsidRPr="004542B5">
        <w:rPr>
          <w:rFonts w:cs="Tahoma"/>
          <w:noProof w:val="0"/>
          <w:szCs w:val="20"/>
          <w:lang w:val="en-US"/>
        </w:rPr>
        <w:t xml:space="preserve">as a preventive measure </w:t>
      </w:r>
      <w:r w:rsidR="00B41981" w:rsidRPr="004542B5">
        <w:rPr>
          <w:rFonts w:cs="Tahoma"/>
          <w:noProof w:val="0"/>
          <w:szCs w:val="20"/>
          <w:lang w:val="en-US"/>
        </w:rPr>
        <w:t>and brought before the Judicial Technical Police</w:t>
      </w:r>
      <w:r w:rsidR="00C56C98" w:rsidRPr="004542B5">
        <w:rPr>
          <w:rFonts w:cs="Tahoma"/>
          <w:noProof w:val="0"/>
          <w:szCs w:val="20"/>
          <w:lang w:val="en-US"/>
        </w:rPr>
        <w:t xml:space="preserve"> the following day</w:t>
      </w:r>
      <w:r w:rsidR="00B41981" w:rsidRPr="004542B5">
        <w:rPr>
          <w:rFonts w:cs="Tahoma"/>
          <w:noProof w:val="0"/>
          <w:szCs w:val="20"/>
          <w:lang w:val="en-US"/>
        </w:rPr>
        <w:t>.</w:t>
      </w:r>
      <w:r w:rsidR="00BA584C" w:rsidRPr="004542B5">
        <w:rPr>
          <w:rStyle w:val="FootnoteReference"/>
          <w:noProof w:val="0"/>
          <w:lang w:val="en-US"/>
        </w:rPr>
        <w:footnoteReference w:id="190"/>
      </w:r>
      <w:r w:rsidR="00BA584C" w:rsidRPr="004542B5">
        <w:rPr>
          <w:rFonts w:cs="Tahoma"/>
          <w:noProof w:val="0"/>
          <w:szCs w:val="20"/>
          <w:lang w:val="en-US"/>
        </w:rPr>
        <w:t xml:space="preserve"> </w:t>
      </w:r>
      <w:r w:rsidR="00B41981" w:rsidRPr="004542B5">
        <w:rPr>
          <w:rFonts w:cs="Tahoma"/>
          <w:noProof w:val="0"/>
          <w:szCs w:val="20"/>
          <w:lang w:val="en-US"/>
        </w:rPr>
        <w:t>On January 31,</w:t>
      </w:r>
      <w:r w:rsidR="00BA584C" w:rsidRPr="004542B5">
        <w:rPr>
          <w:rFonts w:cs="Tahoma"/>
          <w:noProof w:val="0"/>
          <w:szCs w:val="20"/>
          <w:lang w:val="en-US"/>
        </w:rPr>
        <w:t xml:space="preserve"> 2007</w:t>
      </w:r>
      <w:r w:rsidR="00B41981" w:rsidRPr="004542B5">
        <w:rPr>
          <w:rFonts w:cs="Tahoma"/>
          <w:noProof w:val="0"/>
          <w:szCs w:val="20"/>
          <w:lang w:val="en-US"/>
        </w:rPr>
        <w:t>, the complainant expanded the complaint filed with the</w:t>
      </w:r>
      <w:r w:rsidR="00BA584C" w:rsidRPr="004542B5">
        <w:rPr>
          <w:rFonts w:cs="Tahoma"/>
          <w:noProof w:val="0"/>
          <w:szCs w:val="20"/>
          <w:lang w:val="en-US"/>
        </w:rPr>
        <w:t xml:space="preserve"> </w:t>
      </w:r>
      <w:r w:rsidR="00B41981" w:rsidRPr="004542B5">
        <w:rPr>
          <w:rFonts w:cs="Tahoma"/>
          <w:noProof w:val="0"/>
          <w:szCs w:val="20"/>
          <w:lang w:val="en-US"/>
        </w:rPr>
        <w:t>Judicial Technical Police</w:t>
      </w:r>
      <w:r w:rsidR="00C56C98" w:rsidRPr="004542B5">
        <w:rPr>
          <w:rFonts w:cs="Tahoma"/>
          <w:noProof w:val="0"/>
          <w:szCs w:val="20"/>
          <w:lang w:val="en-US"/>
        </w:rPr>
        <w:t>,</w:t>
      </w:r>
      <w:r w:rsidR="00B41981" w:rsidRPr="004542B5">
        <w:rPr>
          <w:rFonts w:cs="Tahoma"/>
          <w:noProof w:val="0"/>
          <w:szCs w:val="20"/>
          <w:lang w:val="en-US"/>
        </w:rPr>
        <w:t xml:space="preserve"> an on-site visit was conducted</w:t>
      </w:r>
      <w:r w:rsidR="00BA584C" w:rsidRPr="004542B5">
        <w:rPr>
          <w:rStyle w:val="FootnoteReference"/>
          <w:noProof w:val="0"/>
          <w:lang w:val="en-US"/>
        </w:rPr>
        <w:footnoteReference w:id="191"/>
      </w:r>
      <w:r w:rsidR="00CD2B90" w:rsidRPr="004542B5">
        <w:rPr>
          <w:rFonts w:cs="Tahoma"/>
          <w:noProof w:val="0"/>
          <w:szCs w:val="20"/>
          <w:lang w:val="en-US"/>
        </w:rPr>
        <w:t xml:space="preserve"> and </w:t>
      </w:r>
      <w:r w:rsidR="00B41981" w:rsidRPr="004542B5">
        <w:rPr>
          <w:rFonts w:cs="Tahoma"/>
          <w:noProof w:val="0"/>
          <w:szCs w:val="20"/>
          <w:lang w:val="en-US"/>
        </w:rPr>
        <w:t>the</w:t>
      </w:r>
      <w:r w:rsidR="00BA584C" w:rsidRPr="004542B5">
        <w:rPr>
          <w:rFonts w:cs="Tahoma"/>
          <w:noProof w:val="0"/>
          <w:szCs w:val="20"/>
          <w:lang w:val="en-US"/>
        </w:rPr>
        <w:t xml:space="preserve"> </w:t>
      </w:r>
      <w:r w:rsidR="00B41981" w:rsidRPr="004542B5">
        <w:rPr>
          <w:rFonts w:cs="Tahoma"/>
          <w:noProof w:val="0"/>
          <w:szCs w:val="20"/>
          <w:lang w:val="en-US"/>
        </w:rPr>
        <w:t>Judicial Technical Police forwarded the case file to the Chepo municipal attorney. On February 1, 2007, the said attorney agreed to take on the investigation, opened the pre</w:t>
      </w:r>
      <w:r w:rsidR="00C56C98" w:rsidRPr="004542B5">
        <w:rPr>
          <w:rFonts w:cs="Tahoma"/>
          <w:noProof w:val="0"/>
          <w:szCs w:val="20"/>
          <w:lang w:val="en-US"/>
        </w:rPr>
        <w:t>liminary</w:t>
      </w:r>
      <w:r w:rsidR="00B41981" w:rsidRPr="004542B5">
        <w:rPr>
          <w:rFonts w:cs="Tahoma"/>
          <w:noProof w:val="0"/>
          <w:szCs w:val="20"/>
          <w:lang w:val="en-US"/>
        </w:rPr>
        <w:t xml:space="preserve"> investigation and took statements from the said individuals</w:t>
      </w:r>
      <w:r w:rsidR="00BA584C" w:rsidRPr="004542B5">
        <w:rPr>
          <w:rStyle w:val="FootnoteReference"/>
          <w:noProof w:val="0"/>
          <w:lang w:val="en-US"/>
        </w:rPr>
        <w:footnoteReference w:id="192"/>
      </w:r>
      <w:r w:rsidR="00CD2B90" w:rsidRPr="004542B5">
        <w:rPr>
          <w:rFonts w:cs="Tahoma"/>
          <w:noProof w:val="0"/>
          <w:szCs w:val="20"/>
          <w:lang w:val="en-US"/>
        </w:rPr>
        <w:t xml:space="preserve"> and</w:t>
      </w:r>
      <w:r w:rsidR="00B41981" w:rsidRPr="004542B5">
        <w:rPr>
          <w:rFonts w:cs="Tahoma"/>
          <w:noProof w:val="0"/>
          <w:szCs w:val="20"/>
          <w:lang w:val="en-US"/>
        </w:rPr>
        <w:t xml:space="preserve"> on February 12 that year, the Chepo municipal attorney forwarded the case file to the</w:t>
      </w:r>
      <w:r w:rsidR="00D40B1E" w:rsidRPr="004542B5">
        <w:rPr>
          <w:rFonts w:cs="Tahoma"/>
          <w:noProof w:val="0"/>
          <w:szCs w:val="20"/>
          <w:lang w:val="en-US"/>
        </w:rPr>
        <w:t xml:space="preserve"> </w:t>
      </w:r>
      <w:r w:rsidR="00B41981" w:rsidRPr="004542B5">
        <w:rPr>
          <w:rFonts w:cs="Tahoma"/>
          <w:noProof w:val="0"/>
          <w:szCs w:val="20"/>
          <w:lang w:val="en-US"/>
        </w:rPr>
        <w:t xml:space="preserve">Circuit Prosecutor </w:t>
      </w:r>
      <w:r w:rsidR="00E75FF1" w:rsidRPr="004542B5">
        <w:rPr>
          <w:rFonts w:cs="Tahoma"/>
          <w:noProof w:val="0"/>
          <w:szCs w:val="20"/>
          <w:lang w:val="en-US"/>
        </w:rPr>
        <w:t>of the First Judicial Circuit</w:t>
      </w:r>
      <w:r w:rsidR="00BA584C" w:rsidRPr="004542B5">
        <w:rPr>
          <w:rFonts w:cs="Tahoma"/>
          <w:noProof w:val="0"/>
          <w:szCs w:val="20"/>
          <w:lang w:val="en-US"/>
        </w:rPr>
        <w:t xml:space="preserve">; </w:t>
      </w:r>
      <w:r w:rsidR="00B41981" w:rsidRPr="004542B5">
        <w:rPr>
          <w:rFonts w:cs="Tahoma"/>
          <w:noProof w:val="0"/>
          <w:szCs w:val="20"/>
          <w:lang w:val="en-US"/>
        </w:rPr>
        <w:t>on</w:t>
      </w:r>
      <w:r w:rsidR="00BA584C" w:rsidRPr="004542B5">
        <w:rPr>
          <w:rFonts w:cs="Tahoma"/>
          <w:noProof w:val="0"/>
          <w:szCs w:val="20"/>
          <w:lang w:val="en-US"/>
        </w:rPr>
        <w:t xml:space="preserve"> </w:t>
      </w:r>
      <w:r w:rsidR="0089703A" w:rsidRPr="004542B5">
        <w:rPr>
          <w:rFonts w:cs="Tahoma"/>
          <w:noProof w:val="0"/>
          <w:szCs w:val="20"/>
          <w:lang w:val="en-US"/>
        </w:rPr>
        <w:t>February 23,</w:t>
      </w:r>
      <w:r w:rsidR="00BA584C" w:rsidRPr="004542B5">
        <w:rPr>
          <w:rFonts w:cs="Tahoma"/>
          <w:noProof w:val="0"/>
          <w:szCs w:val="20"/>
          <w:lang w:val="en-US"/>
        </w:rPr>
        <w:t xml:space="preserve"> 2007</w:t>
      </w:r>
      <w:r w:rsidR="00B41981" w:rsidRPr="004542B5">
        <w:rPr>
          <w:rFonts w:cs="Tahoma"/>
          <w:noProof w:val="0"/>
          <w:szCs w:val="20"/>
          <w:lang w:val="en-US"/>
        </w:rPr>
        <w:t>, the V Special Prosecutor</w:t>
      </w:r>
      <w:r w:rsidR="00D40B1E" w:rsidRPr="004542B5">
        <w:rPr>
          <w:noProof w:val="0"/>
          <w:szCs w:val="20"/>
          <w:lang w:val="en-US"/>
        </w:rPr>
        <w:t xml:space="preserve"> for Offenses related to the Theft and Robbery of Automobiles and Accessories assumed responsibility for the preliminary investigation and conducted various procedures in March and April 2007.</w:t>
      </w:r>
      <w:r w:rsidR="00BA584C" w:rsidRPr="004542B5">
        <w:rPr>
          <w:rStyle w:val="FootnoteReference"/>
          <w:noProof w:val="0"/>
          <w:lang w:val="en-US"/>
        </w:rPr>
        <w:footnoteReference w:id="193"/>
      </w:r>
      <w:r w:rsidR="007B47B1" w:rsidRPr="004542B5">
        <w:rPr>
          <w:rFonts w:cs="Tahoma"/>
          <w:noProof w:val="0"/>
          <w:szCs w:val="20"/>
          <w:lang w:val="en-US"/>
        </w:rPr>
        <w:t xml:space="preserve"> </w:t>
      </w:r>
    </w:p>
    <w:p w14:paraId="66C1952E" w14:textId="16FE9C77" w:rsidR="00DC5DDA" w:rsidRPr="004542B5" w:rsidRDefault="00D40B1E" w:rsidP="00D40B1E">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w:t>
      </w:r>
      <w:r w:rsidR="00BA584C" w:rsidRPr="004542B5">
        <w:rPr>
          <w:rFonts w:cs="Tahoma"/>
          <w:noProof w:val="0"/>
          <w:szCs w:val="20"/>
          <w:lang w:val="en-US"/>
        </w:rPr>
        <w:t xml:space="preserve"> </w:t>
      </w:r>
      <w:r w:rsidR="00517C7D" w:rsidRPr="004542B5">
        <w:rPr>
          <w:rFonts w:cs="Tahoma"/>
          <w:noProof w:val="0"/>
          <w:szCs w:val="20"/>
          <w:lang w:val="en-US"/>
        </w:rPr>
        <w:t>July 29,</w:t>
      </w:r>
      <w:r w:rsidR="00BA584C" w:rsidRPr="004542B5">
        <w:rPr>
          <w:rFonts w:cs="Tahoma"/>
          <w:noProof w:val="0"/>
          <w:szCs w:val="20"/>
          <w:lang w:val="en-US"/>
        </w:rPr>
        <w:t xml:space="preserve"> 2007</w:t>
      </w:r>
      <w:r w:rsidRPr="004542B5">
        <w:rPr>
          <w:rFonts w:cs="Tahoma"/>
          <w:noProof w:val="0"/>
          <w:szCs w:val="20"/>
          <w:lang w:val="en-US"/>
        </w:rPr>
        <w:t>,</w:t>
      </w:r>
      <w:r w:rsidR="00BA584C" w:rsidRPr="004542B5">
        <w:rPr>
          <w:rFonts w:cs="Tahoma"/>
          <w:noProof w:val="0"/>
          <w:szCs w:val="20"/>
          <w:lang w:val="en-US"/>
        </w:rPr>
        <w:t xml:space="preserve"> </w:t>
      </w:r>
      <w:r w:rsidRPr="004542B5">
        <w:rPr>
          <w:rFonts w:cs="Tahoma"/>
          <w:noProof w:val="0"/>
          <w:szCs w:val="20"/>
          <w:lang w:val="en-US"/>
        </w:rPr>
        <w:t>the Prosecutor recommended to the judge that he issue an order to provisionally dismiss the case and, on December 27,</w:t>
      </w:r>
      <w:r w:rsidR="00BA584C" w:rsidRPr="004542B5">
        <w:rPr>
          <w:rFonts w:cs="Tahoma"/>
          <w:noProof w:val="0"/>
          <w:szCs w:val="20"/>
          <w:lang w:val="en-US"/>
        </w:rPr>
        <w:t xml:space="preserve"> 2007</w:t>
      </w:r>
      <w:r w:rsidRPr="004542B5">
        <w:rPr>
          <w:rFonts w:cs="Tahoma"/>
          <w:noProof w:val="0"/>
          <w:szCs w:val="20"/>
          <w:lang w:val="en-US"/>
        </w:rPr>
        <w:t xml:space="preserve">, the X Criminal Circuit Court </w:t>
      </w:r>
      <w:r w:rsidR="00E75FF1" w:rsidRPr="004542B5">
        <w:rPr>
          <w:rFonts w:cs="Tahoma"/>
          <w:noProof w:val="0"/>
          <w:szCs w:val="20"/>
          <w:lang w:val="en-US"/>
        </w:rPr>
        <w:t>of the First Judicial Circuit</w:t>
      </w:r>
      <w:r w:rsidR="00BA584C" w:rsidRPr="004542B5">
        <w:rPr>
          <w:rFonts w:cs="Tahoma"/>
          <w:noProof w:val="0"/>
          <w:szCs w:val="20"/>
          <w:lang w:val="en-US"/>
        </w:rPr>
        <w:t xml:space="preserve"> </w:t>
      </w:r>
      <w:r w:rsidRPr="004542B5">
        <w:rPr>
          <w:rFonts w:cs="Tahoma"/>
          <w:noProof w:val="0"/>
          <w:szCs w:val="20"/>
          <w:lang w:val="en-US"/>
        </w:rPr>
        <w:t>of the province</w:t>
      </w:r>
      <w:r w:rsidR="00BA584C" w:rsidRPr="004542B5">
        <w:rPr>
          <w:rFonts w:cs="Tahoma"/>
          <w:noProof w:val="0"/>
          <w:szCs w:val="20"/>
          <w:lang w:val="en-US"/>
        </w:rPr>
        <w:t xml:space="preserve"> </w:t>
      </w:r>
      <w:r w:rsidR="00FE0BF3" w:rsidRPr="004542B5">
        <w:rPr>
          <w:rFonts w:cs="Tahoma"/>
          <w:noProof w:val="0"/>
          <w:szCs w:val="20"/>
          <w:lang w:val="en-US"/>
        </w:rPr>
        <w:t>of Panama</w:t>
      </w:r>
      <w:r w:rsidR="00C56C98" w:rsidRPr="004542B5">
        <w:rPr>
          <w:rFonts w:cs="Tahoma"/>
          <w:noProof w:val="0"/>
          <w:szCs w:val="20"/>
          <w:lang w:val="en-US"/>
        </w:rPr>
        <w:t xml:space="preserve"> issued this</w:t>
      </w:r>
      <w:r w:rsidR="00BA584C" w:rsidRPr="004542B5">
        <w:rPr>
          <w:rFonts w:cs="Tahoma"/>
          <w:noProof w:val="0"/>
          <w:szCs w:val="20"/>
          <w:lang w:val="en-US"/>
        </w:rPr>
        <w:t xml:space="preserve">, </w:t>
      </w:r>
      <w:r w:rsidRPr="004542B5">
        <w:rPr>
          <w:rFonts w:cs="Tahoma"/>
          <w:noProof w:val="0"/>
          <w:szCs w:val="20"/>
          <w:lang w:val="en-US"/>
        </w:rPr>
        <w:t>noting that “the damage has not had a significant impact on the environment, [and] the place where ] those presumably responsible were found] […] was not a protected area.</w:t>
      </w:r>
      <w:r w:rsidR="00BA584C" w:rsidRPr="004542B5">
        <w:rPr>
          <w:rFonts w:cs="Tahoma"/>
          <w:noProof w:val="0"/>
          <w:szCs w:val="20"/>
          <w:lang w:val="en-US"/>
        </w:rPr>
        <w:t>”</w:t>
      </w:r>
      <w:r w:rsidR="00BA584C" w:rsidRPr="004542B5">
        <w:rPr>
          <w:rStyle w:val="FootnoteReference"/>
          <w:noProof w:val="0"/>
          <w:lang w:val="en-US"/>
        </w:rPr>
        <w:footnoteReference w:id="194"/>
      </w:r>
    </w:p>
    <w:p w14:paraId="2B84F402" w14:textId="01D6665A" w:rsidR="00DC5DDA" w:rsidRPr="004542B5" w:rsidRDefault="007B47B1" w:rsidP="00E01664">
      <w:pPr>
        <w:pStyle w:val="ListParagraph"/>
        <w:spacing w:before="240" w:after="240"/>
        <w:ind w:left="1440"/>
        <w:contextualSpacing w:val="0"/>
        <w:rPr>
          <w:rFonts w:cs="Tahoma"/>
          <w:i/>
          <w:noProof w:val="0"/>
          <w:szCs w:val="20"/>
          <w:lang w:val="en-US"/>
        </w:rPr>
      </w:pPr>
      <w:r w:rsidRPr="004542B5">
        <w:rPr>
          <w:rFonts w:cs="Tahoma"/>
          <w:i/>
          <w:noProof w:val="0"/>
          <w:szCs w:val="20"/>
          <w:lang w:val="en-US"/>
        </w:rPr>
        <w:t xml:space="preserve">d. </w:t>
      </w:r>
      <w:r w:rsidR="00D40B1E" w:rsidRPr="004542B5">
        <w:rPr>
          <w:rFonts w:cs="Tahoma"/>
          <w:i/>
          <w:noProof w:val="0"/>
          <w:szCs w:val="20"/>
          <w:lang w:val="en-US"/>
        </w:rPr>
        <w:t>Criminal proceeding before</w:t>
      </w:r>
      <w:r w:rsidR="00C56C98" w:rsidRPr="004542B5">
        <w:rPr>
          <w:rFonts w:cs="Tahoma"/>
          <w:i/>
          <w:noProof w:val="0"/>
          <w:szCs w:val="20"/>
          <w:lang w:val="en-US"/>
        </w:rPr>
        <w:t xml:space="preserve"> Chepo </w:t>
      </w:r>
      <w:r w:rsidR="00D40B1E" w:rsidRPr="004542B5">
        <w:rPr>
          <w:rFonts w:cs="Tahoma"/>
          <w:i/>
          <w:noProof w:val="0"/>
          <w:szCs w:val="20"/>
          <w:lang w:val="en-US"/>
        </w:rPr>
        <w:t>Judicial Inquiry Subdirectorate</w:t>
      </w:r>
    </w:p>
    <w:p w14:paraId="2691B297" w14:textId="770DAEDC" w:rsidR="009F3492" w:rsidRPr="004542B5" w:rsidRDefault="00D40B1E" w:rsidP="00E01664">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On August 16,</w:t>
      </w:r>
      <w:r w:rsidR="00BA584C" w:rsidRPr="004542B5">
        <w:rPr>
          <w:rFonts w:cs="Tahoma"/>
          <w:noProof w:val="0"/>
          <w:szCs w:val="20"/>
          <w:lang w:val="en-US"/>
        </w:rPr>
        <w:t xml:space="preserve"> 2011</w:t>
      </w:r>
      <w:r w:rsidRPr="004542B5">
        <w:rPr>
          <w:rFonts w:cs="Tahoma"/>
          <w:noProof w:val="0"/>
          <w:szCs w:val="20"/>
          <w:lang w:val="en-US"/>
        </w:rPr>
        <w:t>, a</w:t>
      </w:r>
      <w:r w:rsidR="00BA584C" w:rsidRPr="004542B5">
        <w:rPr>
          <w:rFonts w:cs="Tahoma"/>
          <w:noProof w:val="0"/>
          <w:szCs w:val="20"/>
          <w:lang w:val="en-US"/>
        </w:rPr>
        <w:t xml:space="preserve"> </w:t>
      </w:r>
      <w:r w:rsidR="00BA584C" w:rsidRPr="004542B5">
        <w:rPr>
          <w:rFonts w:cs="Tahoma"/>
          <w:i/>
          <w:noProof w:val="0"/>
          <w:szCs w:val="20"/>
          <w:lang w:val="en-US"/>
        </w:rPr>
        <w:t>sahila</w:t>
      </w:r>
      <w:r w:rsidR="00BA584C" w:rsidRPr="004542B5">
        <w:rPr>
          <w:rFonts w:cs="Tahoma"/>
          <w:noProof w:val="0"/>
          <w:szCs w:val="20"/>
          <w:lang w:val="en-US"/>
        </w:rPr>
        <w:t xml:space="preserve"> </w:t>
      </w:r>
      <w:r w:rsidRPr="004542B5">
        <w:rPr>
          <w:rFonts w:cs="Tahoma"/>
          <w:noProof w:val="0"/>
          <w:szCs w:val="20"/>
          <w:lang w:val="en-US"/>
        </w:rPr>
        <w:t>of a community</w:t>
      </w:r>
      <w:r w:rsidR="004D0B27" w:rsidRPr="004542B5">
        <w:rPr>
          <w:rFonts w:cs="Tahoma"/>
          <w:noProof w:val="0"/>
          <w:szCs w:val="20"/>
          <w:lang w:val="en-US"/>
        </w:rPr>
        <w:t xml:space="preserve"> of the </w:t>
      </w:r>
      <w:r w:rsidR="008C4E08" w:rsidRPr="004542B5">
        <w:rPr>
          <w:rFonts w:cs="Tahoma"/>
          <w:noProof w:val="0"/>
          <w:szCs w:val="20"/>
          <w:lang w:val="en-US"/>
        </w:rPr>
        <w:t xml:space="preserve">Kuna </w:t>
      </w:r>
      <w:r w:rsidR="004D0B27" w:rsidRPr="004542B5">
        <w:rPr>
          <w:rFonts w:cs="Tahoma"/>
          <w:noProof w:val="0"/>
          <w:szCs w:val="20"/>
          <w:lang w:val="en-US"/>
        </w:rPr>
        <w:t>Comarca</w:t>
      </w:r>
      <w:r w:rsidR="00BA584C" w:rsidRPr="004542B5">
        <w:rPr>
          <w:rFonts w:cs="Tahoma"/>
          <w:noProof w:val="0"/>
          <w:szCs w:val="20"/>
          <w:lang w:val="en-US"/>
        </w:rPr>
        <w:t xml:space="preserve"> </w:t>
      </w:r>
      <w:r w:rsidRPr="004542B5">
        <w:rPr>
          <w:rFonts w:cs="Tahoma"/>
          <w:noProof w:val="0"/>
          <w:szCs w:val="20"/>
          <w:lang w:val="en-US"/>
        </w:rPr>
        <w:t>filed a complaint with the Assistant Prosecutor of the Chepo Judicial Inquiry Subdirectorate</w:t>
      </w:r>
      <w:r w:rsidR="009A0C8D" w:rsidRPr="004542B5">
        <w:rPr>
          <w:rFonts w:cs="Tahoma"/>
          <w:noProof w:val="0"/>
          <w:szCs w:val="20"/>
          <w:lang w:val="en-US"/>
        </w:rPr>
        <w:t xml:space="preserve"> based on an offense against the </w:t>
      </w:r>
      <w:r w:rsidR="00BA584C" w:rsidRPr="004542B5">
        <w:rPr>
          <w:rFonts w:cs="Tahoma"/>
          <w:noProof w:val="0"/>
          <w:szCs w:val="20"/>
          <w:lang w:val="en-US"/>
        </w:rPr>
        <w:t>Comarca, re</w:t>
      </w:r>
      <w:r w:rsidR="009A0C8D" w:rsidRPr="004542B5">
        <w:rPr>
          <w:rFonts w:cs="Tahoma"/>
          <w:noProof w:val="0"/>
          <w:szCs w:val="20"/>
          <w:lang w:val="en-US"/>
        </w:rPr>
        <w:t xml:space="preserve">lating to land invasion and logging over approximately 400 hectares in three sectors of the </w:t>
      </w:r>
      <w:r w:rsidR="00BA584C" w:rsidRPr="004542B5">
        <w:rPr>
          <w:rFonts w:cs="Tahoma"/>
          <w:noProof w:val="0"/>
          <w:szCs w:val="20"/>
          <w:lang w:val="en-US"/>
        </w:rPr>
        <w:t>Comarca</w:t>
      </w:r>
      <w:r w:rsidR="009A0C8D" w:rsidRPr="004542B5">
        <w:rPr>
          <w:rFonts w:cs="Tahoma"/>
          <w:noProof w:val="0"/>
          <w:szCs w:val="20"/>
          <w:lang w:val="en-US"/>
        </w:rPr>
        <w:t>.</w:t>
      </w:r>
      <w:r w:rsidR="00BA584C" w:rsidRPr="004542B5">
        <w:rPr>
          <w:rStyle w:val="FootnoteReference"/>
          <w:noProof w:val="0"/>
          <w:lang w:val="en-US"/>
        </w:rPr>
        <w:footnoteReference w:id="195"/>
      </w:r>
      <w:r w:rsidR="007B47B1" w:rsidRPr="004542B5">
        <w:rPr>
          <w:rFonts w:cs="Tahoma"/>
          <w:noProof w:val="0"/>
          <w:szCs w:val="20"/>
          <w:lang w:val="en-US"/>
        </w:rPr>
        <w:t xml:space="preserve"> </w:t>
      </w:r>
    </w:p>
    <w:p w14:paraId="3E7D17BB" w14:textId="36B08E5D" w:rsidR="00DC5DDA" w:rsidRPr="004542B5" w:rsidRDefault="0001199A" w:rsidP="0001199A">
      <w:pPr>
        <w:pStyle w:val="ListParagraph"/>
        <w:numPr>
          <w:ilvl w:val="0"/>
          <w:numId w:val="2"/>
        </w:numPr>
        <w:spacing w:before="120"/>
        <w:contextualSpacing w:val="0"/>
        <w:rPr>
          <w:rFonts w:cs="Tahoma"/>
          <w:noProof w:val="0"/>
          <w:szCs w:val="20"/>
          <w:lang w:val="en-US"/>
        </w:rPr>
      </w:pPr>
      <w:r w:rsidRPr="004542B5">
        <w:rPr>
          <w:rFonts w:cs="Tahoma"/>
          <w:noProof w:val="0"/>
          <w:szCs w:val="20"/>
          <w:lang w:val="en-US"/>
        </w:rPr>
        <w:t>That same day</w:t>
      </w:r>
      <w:r w:rsidR="00C56C98" w:rsidRPr="004542B5">
        <w:rPr>
          <w:rFonts w:cs="Tahoma"/>
          <w:noProof w:val="0"/>
          <w:szCs w:val="20"/>
          <w:lang w:val="en-US"/>
        </w:rPr>
        <w:t>,</w:t>
      </w:r>
      <w:r w:rsidRPr="004542B5">
        <w:rPr>
          <w:rFonts w:cs="Tahoma"/>
          <w:noProof w:val="0"/>
          <w:szCs w:val="20"/>
          <w:lang w:val="en-US"/>
        </w:rPr>
        <w:t xml:space="preserve"> the Assistant Prosecutor</w:t>
      </w:r>
      <w:r w:rsidR="00C56C98" w:rsidRPr="004542B5">
        <w:rPr>
          <w:rFonts w:cs="Tahoma"/>
          <w:noProof w:val="0"/>
          <w:szCs w:val="20"/>
          <w:lang w:val="en-US"/>
        </w:rPr>
        <w:t xml:space="preserve"> of the Chepo Judicial Inquiry Subdirectorate</w:t>
      </w:r>
      <w:r w:rsidRPr="004542B5">
        <w:rPr>
          <w:rFonts w:cs="Tahoma"/>
          <w:noProof w:val="0"/>
          <w:szCs w:val="20"/>
          <w:lang w:val="en-US"/>
        </w:rPr>
        <w:t xml:space="preserve"> decl</w:t>
      </w:r>
      <w:r w:rsidR="00C56C98" w:rsidRPr="004542B5">
        <w:rPr>
          <w:rFonts w:cs="Tahoma"/>
          <w:noProof w:val="0"/>
          <w:szCs w:val="20"/>
          <w:lang w:val="en-US"/>
        </w:rPr>
        <w:t>a</w:t>
      </w:r>
      <w:r w:rsidRPr="004542B5">
        <w:rPr>
          <w:rFonts w:cs="Tahoma"/>
          <w:noProof w:val="0"/>
          <w:szCs w:val="20"/>
          <w:lang w:val="en-US"/>
        </w:rPr>
        <w:t>red the investigation open and</w:t>
      </w:r>
      <w:r w:rsidR="00C56C98" w:rsidRPr="004542B5">
        <w:rPr>
          <w:rFonts w:cs="Tahoma"/>
          <w:noProof w:val="0"/>
          <w:szCs w:val="20"/>
          <w:lang w:val="en-US"/>
        </w:rPr>
        <w:t xml:space="preserve"> took</w:t>
      </w:r>
      <w:r w:rsidRPr="004542B5">
        <w:rPr>
          <w:rFonts w:cs="Tahoma"/>
          <w:noProof w:val="0"/>
          <w:szCs w:val="20"/>
          <w:lang w:val="en-US"/>
        </w:rPr>
        <w:t xml:space="preserve"> the complainant</w:t>
      </w:r>
      <w:r w:rsidR="00C56C98" w:rsidRPr="004542B5">
        <w:rPr>
          <w:rFonts w:cs="Tahoma"/>
          <w:noProof w:val="0"/>
          <w:szCs w:val="20"/>
          <w:lang w:val="en-US"/>
        </w:rPr>
        <w:t xml:space="preserve">’s </w:t>
      </w:r>
      <w:r w:rsidRPr="004542B5">
        <w:rPr>
          <w:rFonts w:cs="Tahoma"/>
          <w:noProof w:val="0"/>
          <w:szCs w:val="20"/>
          <w:lang w:val="en-US"/>
        </w:rPr>
        <w:t>statement</w:t>
      </w:r>
      <w:r w:rsidR="00BA584C" w:rsidRPr="004542B5">
        <w:rPr>
          <w:rFonts w:cs="Tahoma"/>
          <w:noProof w:val="0"/>
          <w:szCs w:val="20"/>
          <w:lang w:val="en-US"/>
        </w:rPr>
        <w:t xml:space="preserve">. </w:t>
      </w:r>
      <w:r w:rsidRPr="004542B5">
        <w:rPr>
          <w:rFonts w:cs="Tahoma"/>
          <w:noProof w:val="0"/>
          <w:szCs w:val="20"/>
          <w:lang w:val="en-US"/>
        </w:rPr>
        <w:t>On August 24 and September 22,</w:t>
      </w:r>
      <w:r w:rsidR="00BA584C" w:rsidRPr="004542B5">
        <w:rPr>
          <w:rFonts w:cs="Tahoma"/>
          <w:noProof w:val="0"/>
          <w:szCs w:val="20"/>
          <w:lang w:val="en-US"/>
        </w:rPr>
        <w:t xml:space="preserve"> 2011</w:t>
      </w:r>
      <w:r w:rsidRPr="004542B5">
        <w:rPr>
          <w:rFonts w:cs="Tahoma"/>
          <w:noProof w:val="0"/>
          <w:szCs w:val="20"/>
          <w:lang w:val="en-US"/>
        </w:rPr>
        <w:t xml:space="preserve">, on-site inspections were conducted. On September 12, </w:t>
      </w:r>
      <w:r w:rsidR="00BA584C" w:rsidRPr="004542B5">
        <w:rPr>
          <w:rFonts w:cs="Tahoma"/>
          <w:noProof w:val="0"/>
          <w:szCs w:val="20"/>
          <w:lang w:val="en-US"/>
        </w:rPr>
        <w:t>2011</w:t>
      </w:r>
      <w:r w:rsidRPr="004542B5">
        <w:rPr>
          <w:rFonts w:cs="Tahoma"/>
          <w:noProof w:val="0"/>
          <w:szCs w:val="20"/>
          <w:lang w:val="en-US"/>
        </w:rPr>
        <w:t xml:space="preserve">, the complainant filed an expansion of the complaint </w:t>
      </w:r>
      <w:r w:rsidR="00C56C98" w:rsidRPr="004542B5">
        <w:rPr>
          <w:rFonts w:cs="Tahoma"/>
          <w:noProof w:val="0"/>
          <w:szCs w:val="20"/>
          <w:lang w:val="en-US"/>
        </w:rPr>
        <w:t>based on</w:t>
      </w:r>
      <w:r w:rsidRPr="004542B5">
        <w:rPr>
          <w:rFonts w:cs="Tahoma"/>
          <w:noProof w:val="0"/>
          <w:szCs w:val="20"/>
          <w:lang w:val="en-US"/>
        </w:rPr>
        <w:t xml:space="preserve"> new incursions. On September 26, </w:t>
      </w:r>
      <w:r w:rsidR="00BA584C" w:rsidRPr="004542B5">
        <w:rPr>
          <w:rFonts w:cs="Tahoma"/>
          <w:noProof w:val="0"/>
          <w:szCs w:val="20"/>
          <w:lang w:val="en-US"/>
        </w:rPr>
        <w:t>2011</w:t>
      </w:r>
      <w:r w:rsidRPr="004542B5">
        <w:rPr>
          <w:rFonts w:cs="Tahoma"/>
          <w:noProof w:val="0"/>
          <w:szCs w:val="20"/>
          <w:lang w:val="en-US"/>
        </w:rPr>
        <w:t xml:space="preserve">, the file was forwarded to the municipal attorney and, on October 17, </w:t>
      </w:r>
      <w:r w:rsidR="00BA584C" w:rsidRPr="004542B5">
        <w:rPr>
          <w:rFonts w:cs="Tahoma"/>
          <w:noProof w:val="0"/>
          <w:szCs w:val="20"/>
          <w:lang w:val="en-US"/>
        </w:rPr>
        <w:t>2011</w:t>
      </w:r>
      <w:r w:rsidRPr="004542B5">
        <w:rPr>
          <w:rFonts w:cs="Tahoma"/>
          <w:noProof w:val="0"/>
          <w:szCs w:val="20"/>
          <w:lang w:val="en-US"/>
        </w:rPr>
        <w:t xml:space="preserve">, the </w:t>
      </w:r>
      <w:r w:rsidR="00E4693E" w:rsidRPr="004542B5">
        <w:rPr>
          <w:rFonts w:cs="Tahoma"/>
          <w:noProof w:val="0"/>
          <w:szCs w:val="20"/>
          <w:lang w:val="en-US"/>
        </w:rPr>
        <w:t>complainant</w:t>
      </w:r>
      <w:r w:rsidRPr="004542B5">
        <w:rPr>
          <w:rFonts w:cs="Tahoma"/>
          <w:noProof w:val="0"/>
          <w:szCs w:val="20"/>
          <w:lang w:val="en-US"/>
        </w:rPr>
        <w:t xml:space="preserve"> filed a further expansion of the complaint.</w:t>
      </w:r>
      <w:r w:rsidR="00BA584C" w:rsidRPr="004542B5">
        <w:rPr>
          <w:rStyle w:val="FootnoteReference"/>
          <w:noProof w:val="0"/>
          <w:lang w:val="en-US"/>
        </w:rPr>
        <w:footnoteReference w:id="196"/>
      </w:r>
      <w:r w:rsidRPr="004542B5">
        <w:rPr>
          <w:rFonts w:cs="Tahoma"/>
          <w:noProof w:val="0"/>
          <w:szCs w:val="20"/>
          <w:lang w:val="en-US"/>
        </w:rPr>
        <w:t xml:space="preserve"> The case file contains no additional information in this regard.</w:t>
      </w:r>
    </w:p>
    <w:p w14:paraId="600448B5" w14:textId="76D8C123" w:rsidR="00DE5805" w:rsidRPr="004542B5" w:rsidRDefault="007B47B1" w:rsidP="00E01664">
      <w:pPr>
        <w:pStyle w:val="Heading1"/>
        <w:rPr>
          <w:noProof w:val="0"/>
          <w:lang w:val="en-US"/>
        </w:rPr>
      </w:pPr>
      <w:bookmarkStart w:id="236" w:name="_Toc45200882"/>
      <w:r w:rsidRPr="004542B5">
        <w:rPr>
          <w:caps w:val="0"/>
          <w:noProof w:val="0"/>
          <w:lang w:val="en-US"/>
        </w:rPr>
        <w:lastRenderedPageBreak/>
        <w:t>VII</w:t>
      </w:r>
      <w:r w:rsidRPr="004542B5">
        <w:rPr>
          <w:caps w:val="0"/>
          <w:noProof w:val="0"/>
          <w:color w:val="FFFFFF" w:themeColor="background1"/>
          <w:lang w:val="en-US"/>
        </w:rPr>
        <w:t>.</w:t>
      </w:r>
      <w:r w:rsidRPr="004542B5">
        <w:rPr>
          <w:caps w:val="0"/>
          <w:noProof w:val="0"/>
          <w:lang w:val="en-US"/>
        </w:rPr>
        <w:br/>
      </w:r>
      <w:r w:rsidR="00B902E7" w:rsidRPr="004542B5">
        <w:rPr>
          <w:noProof w:val="0"/>
          <w:lang w:val="en-US"/>
        </w:rPr>
        <w:t>MERITS</w:t>
      </w:r>
      <w:bookmarkEnd w:id="236"/>
    </w:p>
    <w:p w14:paraId="1F66378D" w14:textId="5089C0FE" w:rsidR="009F4168" w:rsidRPr="004542B5" w:rsidRDefault="00E922D3" w:rsidP="00E01664">
      <w:pPr>
        <w:pStyle w:val="ListParagraph"/>
        <w:numPr>
          <w:ilvl w:val="0"/>
          <w:numId w:val="2"/>
        </w:numPr>
        <w:spacing w:before="120" w:after="120"/>
        <w:rPr>
          <w:noProof w:val="0"/>
          <w:sz w:val="18"/>
          <w:szCs w:val="18"/>
          <w:lang w:val="en-US"/>
        </w:rPr>
      </w:pPr>
      <w:r w:rsidRPr="004542B5">
        <w:rPr>
          <w:noProof w:val="0"/>
          <w:szCs w:val="20"/>
          <w:lang w:val="en-US"/>
        </w:rPr>
        <w:t>Having decided the</w:t>
      </w:r>
      <w:r w:rsidR="00BA584C" w:rsidRPr="004542B5">
        <w:rPr>
          <w:noProof w:val="0"/>
          <w:szCs w:val="20"/>
          <w:lang w:val="en-US"/>
        </w:rPr>
        <w:t xml:space="preserve"> </w:t>
      </w:r>
      <w:r w:rsidR="00DE6766" w:rsidRPr="004542B5">
        <w:rPr>
          <w:noProof w:val="0"/>
          <w:szCs w:val="20"/>
          <w:lang w:val="en-US"/>
        </w:rPr>
        <w:t>preliminary objections</w:t>
      </w:r>
      <w:r w:rsidR="00BA584C" w:rsidRPr="004542B5">
        <w:rPr>
          <w:noProof w:val="0"/>
          <w:szCs w:val="20"/>
          <w:lang w:val="en-US"/>
        </w:rPr>
        <w:t xml:space="preserve"> (</w:t>
      </w:r>
      <w:r w:rsidR="00BA584C" w:rsidRPr="004542B5">
        <w:rPr>
          <w:i/>
          <w:noProof w:val="0"/>
          <w:szCs w:val="20"/>
          <w:lang w:val="en-US"/>
        </w:rPr>
        <w:t xml:space="preserve">supra </w:t>
      </w:r>
      <w:r w:rsidR="0093764D" w:rsidRPr="004542B5">
        <w:rPr>
          <w:noProof w:val="0"/>
          <w:szCs w:val="20"/>
          <w:lang w:val="en-US"/>
        </w:rPr>
        <w:t>Chapter</w:t>
      </w:r>
      <w:r w:rsidR="00BA584C" w:rsidRPr="004542B5">
        <w:rPr>
          <w:noProof w:val="0"/>
          <w:szCs w:val="20"/>
          <w:lang w:val="en-US"/>
        </w:rPr>
        <w:t xml:space="preserve"> IV), </w:t>
      </w:r>
      <w:r w:rsidR="00562CBB" w:rsidRPr="004542B5">
        <w:rPr>
          <w:noProof w:val="0"/>
          <w:szCs w:val="20"/>
          <w:lang w:val="en-US"/>
        </w:rPr>
        <w:t>the Court</w:t>
      </w:r>
      <w:r w:rsidR="00BA584C" w:rsidRPr="004542B5">
        <w:rPr>
          <w:noProof w:val="0"/>
          <w:szCs w:val="20"/>
          <w:lang w:val="en-US"/>
        </w:rPr>
        <w:t xml:space="preserve"> </w:t>
      </w:r>
      <w:r w:rsidRPr="004542B5">
        <w:rPr>
          <w:noProof w:val="0"/>
          <w:szCs w:val="20"/>
          <w:lang w:val="en-US"/>
        </w:rPr>
        <w:t xml:space="preserve">will now consider and decide the merits of the dispute. In order to determine the scope of the State’s responsibility </w:t>
      </w:r>
      <w:r w:rsidR="00342385" w:rsidRPr="004542B5">
        <w:rPr>
          <w:noProof w:val="0"/>
          <w:lang w:val="en-US"/>
        </w:rPr>
        <w:t>in relation to</w:t>
      </w:r>
      <w:r w:rsidR="00BA584C" w:rsidRPr="004542B5">
        <w:rPr>
          <w:noProof w:val="0"/>
          <w:lang w:val="en-US"/>
        </w:rPr>
        <w:t xml:space="preserve"> </w:t>
      </w:r>
      <w:r w:rsidRPr="004542B5">
        <w:rPr>
          <w:noProof w:val="0"/>
          <w:lang w:val="en-US"/>
        </w:rPr>
        <w:t>the preceding facts</w:t>
      </w:r>
      <w:r w:rsidR="00BA584C" w:rsidRPr="004542B5">
        <w:rPr>
          <w:noProof w:val="0"/>
          <w:lang w:val="en-US"/>
        </w:rPr>
        <w:t xml:space="preserve"> (</w:t>
      </w:r>
      <w:r w:rsidR="00BA584C" w:rsidRPr="004542B5">
        <w:rPr>
          <w:i/>
          <w:noProof w:val="0"/>
          <w:lang w:val="en-US"/>
        </w:rPr>
        <w:t xml:space="preserve">supra </w:t>
      </w:r>
      <w:r w:rsidR="0093764D" w:rsidRPr="004542B5">
        <w:rPr>
          <w:noProof w:val="0"/>
          <w:lang w:val="en-US"/>
        </w:rPr>
        <w:t>Chapter</w:t>
      </w:r>
      <w:r w:rsidR="00BA584C" w:rsidRPr="004542B5">
        <w:rPr>
          <w:noProof w:val="0"/>
          <w:lang w:val="en-US"/>
        </w:rPr>
        <w:t xml:space="preserve"> VI), </w:t>
      </w:r>
      <w:r w:rsidR="00562CBB" w:rsidRPr="004542B5">
        <w:rPr>
          <w:noProof w:val="0"/>
          <w:lang w:val="en-US"/>
        </w:rPr>
        <w:t>the Court</w:t>
      </w:r>
      <w:r w:rsidR="00BA584C" w:rsidRPr="004542B5">
        <w:rPr>
          <w:noProof w:val="0"/>
          <w:lang w:val="en-US"/>
        </w:rPr>
        <w:t xml:space="preserve"> </w:t>
      </w:r>
      <w:r w:rsidRPr="004542B5">
        <w:rPr>
          <w:noProof w:val="0"/>
          <w:lang w:val="en-US"/>
        </w:rPr>
        <w:t>will analyze the following</w:t>
      </w:r>
      <w:r w:rsidR="00BA584C" w:rsidRPr="004542B5">
        <w:rPr>
          <w:noProof w:val="0"/>
          <w:lang w:val="en-US"/>
        </w:rPr>
        <w:t xml:space="preserve">: 1. </w:t>
      </w:r>
      <w:r w:rsidRPr="004542B5">
        <w:rPr>
          <w:noProof w:val="0"/>
          <w:lang w:val="en-US"/>
        </w:rPr>
        <w:t xml:space="preserve">The right to property and the obligation to adapt domestic law </w:t>
      </w:r>
      <w:r w:rsidR="00BA584C" w:rsidRPr="004542B5">
        <w:rPr>
          <w:noProof w:val="0"/>
          <w:lang w:val="en-US"/>
        </w:rPr>
        <w:t>(</w:t>
      </w:r>
      <w:r w:rsidR="00562CBB" w:rsidRPr="004542B5">
        <w:rPr>
          <w:noProof w:val="0"/>
          <w:lang w:val="en-US"/>
        </w:rPr>
        <w:t>Article</w:t>
      </w:r>
      <w:r w:rsidR="00BA584C" w:rsidRPr="004542B5">
        <w:rPr>
          <w:noProof w:val="0"/>
          <w:lang w:val="en-US"/>
        </w:rPr>
        <w:t>s 21</w:t>
      </w:r>
      <w:r w:rsidR="00CD2B90" w:rsidRPr="004542B5">
        <w:rPr>
          <w:noProof w:val="0"/>
          <w:lang w:val="en-US"/>
        </w:rPr>
        <w:t xml:space="preserve"> and </w:t>
      </w:r>
      <w:r w:rsidR="00BA584C" w:rsidRPr="004542B5">
        <w:rPr>
          <w:noProof w:val="0"/>
          <w:lang w:val="en-US"/>
        </w:rPr>
        <w:t xml:space="preserve">2, </w:t>
      </w:r>
      <w:r w:rsidR="00342385" w:rsidRPr="004542B5">
        <w:rPr>
          <w:noProof w:val="0"/>
          <w:lang w:val="en-US"/>
        </w:rPr>
        <w:t>in relation to</w:t>
      </w:r>
      <w:r w:rsidR="00BA584C" w:rsidRPr="004542B5">
        <w:rPr>
          <w:noProof w:val="0"/>
          <w:lang w:val="en-US"/>
        </w:rPr>
        <w:t xml:space="preserve"> </w:t>
      </w:r>
      <w:r w:rsidRPr="004542B5">
        <w:rPr>
          <w:noProof w:val="0"/>
          <w:lang w:val="en-US"/>
        </w:rPr>
        <w:t xml:space="preserve">Article </w:t>
      </w:r>
      <w:r w:rsidR="00BA584C" w:rsidRPr="004542B5">
        <w:rPr>
          <w:noProof w:val="0"/>
          <w:lang w:val="en-US"/>
        </w:rPr>
        <w:t>1</w:t>
      </w:r>
      <w:r w:rsidRPr="004542B5">
        <w:rPr>
          <w:noProof w:val="0"/>
          <w:lang w:val="en-US"/>
        </w:rPr>
        <w:t>(1)</w:t>
      </w:r>
      <w:r w:rsidR="00BA584C" w:rsidRPr="004542B5">
        <w:rPr>
          <w:noProof w:val="0"/>
          <w:lang w:val="en-US"/>
        </w:rPr>
        <w:t xml:space="preserve"> </w:t>
      </w:r>
      <w:r w:rsidRPr="004542B5">
        <w:rPr>
          <w:noProof w:val="0"/>
          <w:szCs w:val="20"/>
          <w:lang w:val="en-US"/>
        </w:rPr>
        <w:t>of the Convention</w:t>
      </w:r>
      <w:r w:rsidR="00BA584C" w:rsidRPr="004542B5">
        <w:rPr>
          <w:noProof w:val="0"/>
          <w:lang w:val="en-US"/>
        </w:rPr>
        <w:t xml:space="preserve">); 2. </w:t>
      </w:r>
      <w:r w:rsidRPr="004542B5">
        <w:rPr>
          <w:noProof w:val="0"/>
          <w:szCs w:val="20"/>
          <w:lang w:val="en-US"/>
        </w:rPr>
        <w:t>The right to judicial guarantees and an adequate and effective remedy and the obligation to adapt domestic law</w:t>
      </w:r>
      <w:r w:rsidR="00BA584C" w:rsidRPr="004542B5">
        <w:rPr>
          <w:noProof w:val="0"/>
          <w:szCs w:val="20"/>
          <w:lang w:val="en-US"/>
        </w:rPr>
        <w:t xml:space="preserve"> (</w:t>
      </w:r>
      <w:r w:rsidR="00562CBB" w:rsidRPr="004542B5">
        <w:rPr>
          <w:noProof w:val="0"/>
          <w:szCs w:val="20"/>
          <w:lang w:val="en-US"/>
        </w:rPr>
        <w:t>Article</w:t>
      </w:r>
      <w:r w:rsidR="00BA584C" w:rsidRPr="004542B5">
        <w:rPr>
          <w:noProof w:val="0"/>
          <w:szCs w:val="20"/>
          <w:lang w:val="en-US"/>
        </w:rPr>
        <w:t xml:space="preserve">s </w:t>
      </w:r>
      <w:r w:rsidR="00DE6766" w:rsidRPr="004542B5">
        <w:rPr>
          <w:noProof w:val="0"/>
          <w:szCs w:val="20"/>
          <w:lang w:val="en-US"/>
        </w:rPr>
        <w:t>8(1)</w:t>
      </w:r>
      <w:r w:rsidR="00BA584C" w:rsidRPr="004542B5">
        <w:rPr>
          <w:noProof w:val="0"/>
          <w:szCs w:val="20"/>
          <w:lang w:val="en-US"/>
        </w:rPr>
        <w:t>, 25</w:t>
      </w:r>
      <w:r w:rsidR="00CD2B90" w:rsidRPr="004542B5">
        <w:rPr>
          <w:noProof w:val="0"/>
          <w:szCs w:val="20"/>
          <w:lang w:val="en-US"/>
        </w:rPr>
        <w:t xml:space="preserve"> and </w:t>
      </w:r>
      <w:r w:rsidR="00BA584C" w:rsidRPr="004542B5">
        <w:rPr>
          <w:noProof w:val="0"/>
          <w:szCs w:val="20"/>
          <w:lang w:val="en-US"/>
        </w:rPr>
        <w:t xml:space="preserve">2, </w:t>
      </w:r>
      <w:r w:rsidR="00B902E7" w:rsidRPr="004542B5">
        <w:rPr>
          <w:noProof w:val="0"/>
          <w:szCs w:val="20"/>
          <w:lang w:val="en-US"/>
        </w:rPr>
        <w:t>in relation to Article 1(1) of the Convention</w:t>
      </w:r>
      <w:r w:rsidR="00BA584C" w:rsidRPr="004542B5">
        <w:rPr>
          <w:noProof w:val="0"/>
          <w:szCs w:val="20"/>
          <w:lang w:val="en-US"/>
        </w:rPr>
        <w:t xml:space="preserve">); 3. </w:t>
      </w:r>
      <w:r w:rsidRPr="004542B5">
        <w:rPr>
          <w:noProof w:val="0"/>
          <w:szCs w:val="20"/>
          <w:lang w:val="en-US"/>
        </w:rPr>
        <w:t>The obligation to respect and ensure rights without discrimination and equality before the law</w:t>
      </w:r>
      <w:r w:rsidR="00BA584C" w:rsidRPr="004542B5">
        <w:rPr>
          <w:noProof w:val="0"/>
          <w:szCs w:val="20"/>
          <w:lang w:val="en-US"/>
        </w:rPr>
        <w:t xml:space="preserve"> (</w:t>
      </w:r>
      <w:r w:rsidR="00562CBB" w:rsidRPr="004542B5">
        <w:rPr>
          <w:noProof w:val="0"/>
          <w:szCs w:val="20"/>
          <w:lang w:val="en-US"/>
        </w:rPr>
        <w:t>Article</w:t>
      </w:r>
      <w:r w:rsidR="00BA584C" w:rsidRPr="004542B5">
        <w:rPr>
          <w:noProof w:val="0"/>
          <w:szCs w:val="20"/>
          <w:lang w:val="en-US"/>
        </w:rPr>
        <w:t xml:space="preserve"> 24, </w:t>
      </w:r>
      <w:r w:rsidR="00B902E7" w:rsidRPr="004542B5">
        <w:rPr>
          <w:noProof w:val="0"/>
          <w:szCs w:val="20"/>
          <w:lang w:val="en-US"/>
        </w:rPr>
        <w:t>in relation to Article 1(1) of the Convention</w:t>
      </w:r>
      <w:r w:rsidR="00BA584C" w:rsidRPr="004542B5">
        <w:rPr>
          <w:noProof w:val="0"/>
          <w:szCs w:val="20"/>
          <w:lang w:val="en-US"/>
        </w:rPr>
        <w:t>)</w:t>
      </w:r>
      <w:r w:rsidR="007B47B1" w:rsidRPr="004542B5">
        <w:rPr>
          <w:noProof w:val="0"/>
          <w:szCs w:val="20"/>
          <w:lang w:val="en-US"/>
        </w:rPr>
        <w:t xml:space="preserve">. </w:t>
      </w:r>
    </w:p>
    <w:p w14:paraId="2F6DD000" w14:textId="6EE1FB0B" w:rsidR="002E6C8B" w:rsidRPr="004542B5" w:rsidRDefault="007B47B1" w:rsidP="00E01664">
      <w:pPr>
        <w:pStyle w:val="ListParagraph"/>
        <w:spacing w:before="360" w:after="360"/>
        <w:ind w:left="0"/>
        <w:contextualSpacing w:val="0"/>
        <w:jc w:val="center"/>
        <w:outlineLvl w:val="0"/>
        <w:rPr>
          <w:rFonts w:eastAsia="Times New Roman" w:cs="Verdana"/>
          <w:b/>
          <w:bCs/>
          <w:noProof w:val="0"/>
          <w:snapToGrid w:val="0"/>
          <w:szCs w:val="20"/>
          <w:lang w:val="en-US" w:eastAsia="es-ES"/>
        </w:rPr>
      </w:pPr>
      <w:bookmarkStart w:id="237" w:name="_Toc45200883"/>
      <w:r w:rsidRPr="004542B5">
        <w:rPr>
          <w:b/>
          <w:smallCaps/>
          <w:noProof w:val="0"/>
          <w:szCs w:val="20"/>
          <w:lang w:val="en-US"/>
        </w:rPr>
        <w:t>VII.1</w:t>
      </w:r>
      <w:r w:rsidRPr="004542B5">
        <w:rPr>
          <w:b/>
          <w:smallCaps/>
          <w:noProof w:val="0"/>
          <w:color w:val="FFFFFF" w:themeColor="background1"/>
          <w:szCs w:val="20"/>
          <w:lang w:val="en-US"/>
        </w:rPr>
        <w:t>.</w:t>
      </w:r>
      <w:r w:rsidRPr="004542B5">
        <w:rPr>
          <w:b/>
          <w:smallCaps/>
          <w:noProof w:val="0"/>
          <w:szCs w:val="20"/>
          <w:lang w:val="en-US"/>
        </w:rPr>
        <w:br/>
      </w:r>
      <w:r w:rsidR="00B902E7" w:rsidRPr="004542B5">
        <w:rPr>
          <w:rFonts w:eastAsia="Times New Roman" w:cs="Verdana"/>
          <w:b/>
          <w:bCs/>
          <w:noProof w:val="0"/>
          <w:snapToGrid w:val="0"/>
          <w:szCs w:val="20"/>
          <w:lang w:val="en-US" w:eastAsia="es-ES"/>
        </w:rPr>
        <w:t>THE RIGHT TO PROPERTY AND THE OBLIGATION TO ADAPT DOMESTIC LAW</w:t>
      </w:r>
      <w:r w:rsidRPr="004542B5">
        <w:rPr>
          <w:rFonts w:eastAsia="Times New Roman" w:cs="Verdana"/>
          <w:b/>
          <w:bCs/>
          <w:noProof w:val="0"/>
          <w:snapToGrid w:val="0"/>
          <w:szCs w:val="20"/>
          <w:lang w:val="en-US" w:eastAsia="es-ES"/>
        </w:rPr>
        <w:br/>
        <w:t>(</w:t>
      </w:r>
      <w:r w:rsidR="00562CBB" w:rsidRPr="004542B5">
        <w:rPr>
          <w:rFonts w:eastAsia="Times New Roman" w:cs="Verdana"/>
          <w:b/>
          <w:bCs/>
          <w:noProof w:val="0"/>
          <w:snapToGrid w:val="0"/>
          <w:szCs w:val="20"/>
          <w:lang w:val="en-US" w:eastAsia="es-ES"/>
        </w:rPr>
        <w:t>Article</w:t>
      </w:r>
      <w:r w:rsidRPr="004542B5">
        <w:rPr>
          <w:rFonts w:eastAsia="Times New Roman" w:cs="Verdana"/>
          <w:b/>
          <w:bCs/>
          <w:noProof w:val="0"/>
          <w:snapToGrid w:val="0"/>
          <w:szCs w:val="20"/>
          <w:lang w:val="en-US" w:eastAsia="es-ES"/>
        </w:rPr>
        <w:t>s 21</w:t>
      </w:r>
      <w:r w:rsidR="00CD2B90" w:rsidRPr="004542B5">
        <w:rPr>
          <w:rFonts w:eastAsia="Times New Roman" w:cs="Verdana"/>
          <w:b/>
          <w:bCs/>
          <w:noProof w:val="0"/>
          <w:snapToGrid w:val="0"/>
          <w:szCs w:val="20"/>
          <w:lang w:val="en-US" w:eastAsia="es-ES"/>
        </w:rPr>
        <w:t xml:space="preserve"> and </w:t>
      </w:r>
      <w:r w:rsidRPr="004542B5">
        <w:rPr>
          <w:rFonts w:eastAsia="Times New Roman" w:cs="Verdana"/>
          <w:b/>
          <w:bCs/>
          <w:noProof w:val="0"/>
          <w:snapToGrid w:val="0"/>
          <w:szCs w:val="20"/>
          <w:lang w:val="en-US" w:eastAsia="es-ES"/>
        </w:rPr>
        <w:t xml:space="preserve">2 </w:t>
      </w:r>
      <w:r w:rsidR="00B902E7" w:rsidRPr="004542B5">
        <w:rPr>
          <w:rFonts w:eastAsia="Times New Roman" w:cs="Verdana"/>
          <w:b/>
          <w:bCs/>
          <w:noProof w:val="0"/>
          <w:snapToGrid w:val="0"/>
          <w:szCs w:val="20"/>
          <w:lang w:val="en-US" w:eastAsia="es-ES"/>
        </w:rPr>
        <w:t>in relation to Article 1(1) of the Convention</w:t>
      </w:r>
      <w:r w:rsidRPr="004542B5">
        <w:rPr>
          <w:rFonts w:eastAsia="Times New Roman" w:cs="Verdana"/>
          <w:b/>
          <w:bCs/>
          <w:noProof w:val="0"/>
          <w:snapToGrid w:val="0"/>
          <w:szCs w:val="20"/>
          <w:lang w:val="en-US" w:eastAsia="es-ES"/>
        </w:rPr>
        <w:t>)</w:t>
      </w:r>
      <w:bookmarkEnd w:id="237"/>
    </w:p>
    <w:p w14:paraId="22D1572F" w14:textId="140F16F7" w:rsidR="003B7977" w:rsidRPr="004542B5" w:rsidRDefault="00AD34D8" w:rsidP="00E01664">
      <w:pPr>
        <w:pStyle w:val="Heading2"/>
        <w:numPr>
          <w:ilvl w:val="0"/>
          <w:numId w:val="43"/>
        </w:numPr>
        <w:rPr>
          <w:noProof w:val="0"/>
          <w:lang w:val="en-US"/>
        </w:rPr>
      </w:pPr>
      <w:bookmarkStart w:id="238" w:name="_Toc45200884"/>
      <w:r w:rsidRPr="004542B5">
        <w:rPr>
          <w:noProof w:val="0"/>
          <w:lang w:val="en-US"/>
        </w:rPr>
        <w:t xml:space="preserve">The alleged failure to delimit, </w:t>
      </w:r>
      <w:r w:rsidR="00EC434E" w:rsidRPr="004542B5">
        <w:rPr>
          <w:noProof w:val="0"/>
          <w:lang w:val="en-US"/>
        </w:rPr>
        <w:t>demarcate</w:t>
      </w:r>
      <w:r w:rsidRPr="004542B5">
        <w:rPr>
          <w:noProof w:val="0"/>
          <w:lang w:val="en-US"/>
        </w:rPr>
        <w:t xml:space="preserve"> and title the lands of the Kuna indigenous people of Madungandí and the Emberá indigenous people of Bayano</w:t>
      </w:r>
      <w:r w:rsidR="007B47B1" w:rsidRPr="004542B5">
        <w:rPr>
          <w:noProof w:val="0"/>
          <w:lang w:val="en-US"/>
        </w:rPr>
        <w:t xml:space="preserve"> (</w:t>
      </w:r>
      <w:r w:rsidR="00562CBB" w:rsidRPr="004542B5">
        <w:rPr>
          <w:noProof w:val="0"/>
          <w:lang w:val="en-US"/>
        </w:rPr>
        <w:t>Article</w:t>
      </w:r>
      <w:r w:rsidR="007B47B1" w:rsidRPr="004542B5">
        <w:rPr>
          <w:noProof w:val="0"/>
          <w:lang w:val="en-US"/>
        </w:rPr>
        <w:t xml:space="preserve"> 21 </w:t>
      </w:r>
      <w:r w:rsidR="00B902E7" w:rsidRPr="004542B5">
        <w:rPr>
          <w:noProof w:val="0"/>
          <w:lang w:val="en-US"/>
        </w:rPr>
        <w:t>in relation to Article 1(1) of the Convention</w:t>
      </w:r>
      <w:r w:rsidR="007B47B1" w:rsidRPr="004542B5">
        <w:rPr>
          <w:noProof w:val="0"/>
          <w:lang w:val="en-US"/>
        </w:rPr>
        <w:t>)</w:t>
      </w:r>
      <w:bookmarkEnd w:id="238"/>
    </w:p>
    <w:p w14:paraId="540A6EFB" w14:textId="016C7FD8" w:rsidR="003B7977" w:rsidRPr="004542B5" w:rsidRDefault="007B47B1" w:rsidP="00E01664">
      <w:pPr>
        <w:pStyle w:val="Heading3"/>
        <w:rPr>
          <w:noProof w:val="0"/>
          <w:lang w:val="en-US"/>
        </w:rPr>
      </w:pPr>
      <w:bookmarkStart w:id="239" w:name="_Toc45200885"/>
      <w:r w:rsidRPr="004542B5">
        <w:rPr>
          <w:noProof w:val="0"/>
          <w:lang w:val="en-US"/>
        </w:rPr>
        <w:t xml:space="preserve">A.1. </w:t>
      </w:r>
      <w:r w:rsidR="00EC434E" w:rsidRPr="004542B5">
        <w:rPr>
          <w:noProof w:val="0"/>
          <w:lang w:val="en-US"/>
        </w:rPr>
        <w:t>Arguments</w:t>
      </w:r>
      <w:r w:rsidR="008A56D7" w:rsidRPr="004542B5">
        <w:rPr>
          <w:noProof w:val="0"/>
          <w:lang w:val="en-US"/>
        </w:rPr>
        <w:t xml:space="preserve"> of the </w:t>
      </w:r>
      <w:r w:rsidR="00562CBB" w:rsidRPr="004542B5">
        <w:rPr>
          <w:noProof w:val="0"/>
          <w:lang w:val="en-US"/>
        </w:rPr>
        <w:t>Commission</w:t>
      </w:r>
      <w:r w:rsidR="00CD2B90" w:rsidRPr="004542B5">
        <w:rPr>
          <w:noProof w:val="0"/>
          <w:lang w:val="en-US"/>
        </w:rPr>
        <w:t xml:space="preserve"> and </w:t>
      </w:r>
      <w:r w:rsidR="00B902E7" w:rsidRPr="004542B5">
        <w:rPr>
          <w:noProof w:val="0"/>
          <w:lang w:val="en-US"/>
        </w:rPr>
        <w:t>of the parties</w:t>
      </w:r>
      <w:bookmarkEnd w:id="239"/>
      <w:r w:rsidRPr="004542B5">
        <w:rPr>
          <w:noProof w:val="0"/>
          <w:lang w:val="en-US"/>
        </w:rPr>
        <w:t xml:space="preserve"> </w:t>
      </w:r>
    </w:p>
    <w:p w14:paraId="2F5062E9" w14:textId="26E0D420" w:rsidR="002E6C8B" w:rsidRPr="004542B5" w:rsidRDefault="00562CBB" w:rsidP="00376406">
      <w:pPr>
        <w:pStyle w:val="ListParagraph"/>
        <w:numPr>
          <w:ilvl w:val="0"/>
          <w:numId w:val="2"/>
        </w:numPr>
        <w:spacing w:before="120" w:after="120"/>
        <w:contextualSpacing w:val="0"/>
        <w:rPr>
          <w:noProof w:val="0"/>
          <w:szCs w:val="20"/>
          <w:lang w:val="en-US"/>
        </w:rPr>
      </w:pPr>
      <w:r w:rsidRPr="004542B5">
        <w:rPr>
          <w:rFonts w:cs="Tahoma"/>
          <w:noProof w:val="0"/>
          <w:szCs w:val="20"/>
          <w:lang w:val="en-US"/>
        </w:rPr>
        <w:t>The Commission</w:t>
      </w:r>
      <w:r w:rsidR="007B47B1" w:rsidRPr="004542B5">
        <w:rPr>
          <w:rFonts w:cs="Tahoma"/>
          <w:noProof w:val="0"/>
          <w:szCs w:val="20"/>
          <w:lang w:val="en-US"/>
        </w:rPr>
        <w:t xml:space="preserve"> </w:t>
      </w:r>
      <w:r w:rsidR="00376406" w:rsidRPr="004542B5">
        <w:rPr>
          <w:rFonts w:cs="Tahoma"/>
          <w:noProof w:val="0"/>
          <w:szCs w:val="20"/>
          <w:lang w:val="en-US"/>
        </w:rPr>
        <w:t xml:space="preserve">indicated that </w:t>
      </w:r>
      <w:r w:rsidRPr="004542B5">
        <w:rPr>
          <w:rFonts w:cs="Tahoma"/>
          <w:noProof w:val="0"/>
          <w:szCs w:val="20"/>
          <w:lang w:val="en-US"/>
        </w:rPr>
        <w:t>the State</w:t>
      </w:r>
      <w:r w:rsidR="007B47B1" w:rsidRPr="004542B5">
        <w:rPr>
          <w:rFonts w:cs="Tahoma"/>
          <w:noProof w:val="0"/>
          <w:szCs w:val="20"/>
          <w:lang w:val="en-US"/>
        </w:rPr>
        <w:t xml:space="preserve"> </w:t>
      </w:r>
      <w:r w:rsidR="00376406" w:rsidRPr="004542B5">
        <w:rPr>
          <w:rFonts w:cs="Tahoma"/>
          <w:noProof w:val="0"/>
          <w:szCs w:val="20"/>
          <w:lang w:val="en-US"/>
        </w:rPr>
        <w:t xml:space="preserve">acknowledges the right to collective property </w:t>
      </w:r>
      <w:r w:rsidR="004D0B27" w:rsidRPr="004542B5">
        <w:rPr>
          <w:rFonts w:cs="Tahoma"/>
          <w:noProof w:val="0"/>
          <w:szCs w:val="20"/>
          <w:lang w:val="en-US"/>
        </w:rPr>
        <w:t xml:space="preserve">of the </w:t>
      </w:r>
      <w:r w:rsidR="003C263F" w:rsidRPr="004542B5">
        <w:rPr>
          <w:rFonts w:cs="Tahoma"/>
          <w:noProof w:val="0"/>
          <w:szCs w:val="20"/>
          <w:lang w:val="en-US"/>
        </w:rPr>
        <w:t>Kuna and Emberá peoples</w:t>
      </w:r>
      <w:r w:rsidR="007B47B1" w:rsidRPr="004542B5">
        <w:rPr>
          <w:rFonts w:cs="Tahoma"/>
          <w:noProof w:val="0"/>
          <w:szCs w:val="20"/>
          <w:lang w:val="en-US"/>
        </w:rPr>
        <w:t>,</w:t>
      </w:r>
      <w:r w:rsidR="00376406" w:rsidRPr="004542B5">
        <w:rPr>
          <w:rFonts w:cs="Tahoma"/>
          <w:noProof w:val="0"/>
          <w:szCs w:val="20"/>
          <w:lang w:val="en-US"/>
        </w:rPr>
        <w:t xml:space="preserve"> so that the main dispute relates to the delimitation, demarcation and effective protection of the indigenous territory and, in the case of the communities of the Emberá people, also the delivery of a legal title. It added that, during the procedure before the Commission, the State held “contradictory positions” that ranged from recognizing the said territorial rights to “denying the existence of a ‘special regime for the purposes of tenure, conservation and use by the indigenous population,’” and that this “ambivalence [was] a reflection of its actions domestically” that had “been characterized by signing commitments and subsequently denying them.” </w:t>
      </w:r>
      <w:r w:rsidRPr="004542B5">
        <w:rPr>
          <w:noProof w:val="0"/>
          <w:szCs w:val="20"/>
          <w:lang w:val="en-US"/>
        </w:rPr>
        <w:t>The Commission</w:t>
      </w:r>
      <w:r w:rsidR="00DF6B5D" w:rsidRPr="004542B5">
        <w:rPr>
          <w:noProof w:val="0"/>
          <w:szCs w:val="20"/>
          <w:lang w:val="en-US"/>
        </w:rPr>
        <w:t xml:space="preserve"> </w:t>
      </w:r>
      <w:r w:rsidR="00376406" w:rsidRPr="004542B5">
        <w:rPr>
          <w:noProof w:val="0"/>
          <w:szCs w:val="20"/>
          <w:lang w:val="en-US"/>
        </w:rPr>
        <w:t>added that</w:t>
      </w:r>
      <w:r w:rsidR="00DF6B5D" w:rsidRPr="004542B5">
        <w:rPr>
          <w:noProof w:val="0"/>
          <w:szCs w:val="20"/>
          <w:lang w:val="en-US"/>
        </w:rPr>
        <w:t xml:space="preserve"> </w:t>
      </w:r>
      <w:r w:rsidRPr="004542B5">
        <w:rPr>
          <w:noProof w:val="0"/>
          <w:szCs w:val="20"/>
          <w:lang w:val="en-US"/>
        </w:rPr>
        <w:t>Panama</w:t>
      </w:r>
      <w:r w:rsidR="00DF6B5D" w:rsidRPr="004542B5">
        <w:rPr>
          <w:noProof w:val="0"/>
          <w:szCs w:val="20"/>
          <w:lang w:val="en-US"/>
        </w:rPr>
        <w:t xml:space="preserve"> </w:t>
      </w:r>
      <w:r w:rsidR="00442127" w:rsidRPr="004542B5">
        <w:rPr>
          <w:noProof w:val="0"/>
          <w:szCs w:val="20"/>
          <w:lang w:val="en-US"/>
        </w:rPr>
        <w:t xml:space="preserve">had not only deprived </w:t>
      </w:r>
      <w:r w:rsidR="003C263F" w:rsidRPr="004542B5">
        <w:rPr>
          <w:noProof w:val="0"/>
          <w:szCs w:val="20"/>
          <w:lang w:val="en-US"/>
        </w:rPr>
        <w:t>the Kuna and Emberá peoples</w:t>
      </w:r>
      <w:r w:rsidR="00DF6B5D" w:rsidRPr="004542B5">
        <w:rPr>
          <w:noProof w:val="0"/>
          <w:szCs w:val="20"/>
          <w:lang w:val="en-US"/>
        </w:rPr>
        <w:t xml:space="preserve"> </w:t>
      </w:r>
      <w:r w:rsidR="00442127" w:rsidRPr="004542B5">
        <w:rPr>
          <w:noProof w:val="0"/>
          <w:szCs w:val="20"/>
          <w:lang w:val="en-US"/>
        </w:rPr>
        <w:t>of</w:t>
      </w:r>
      <w:r w:rsidR="00DF6B5D" w:rsidRPr="004542B5">
        <w:rPr>
          <w:noProof w:val="0"/>
          <w:szCs w:val="20"/>
          <w:lang w:val="en-US"/>
        </w:rPr>
        <w:t xml:space="preserve"> “</w:t>
      </w:r>
      <w:r w:rsidR="00442127" w:rsidRPr="004542B5">
        <w:rPr>
          <w:noProof w:val="0"/>
          <w:szCs w:val="20"/>
          <w:lang w:val="en-US"/>
        </w:rPr>
        <w:t xml:space="preserve">the material </w:t>
      </w:r>
      <w:r w:rsidR="00E4693E" w:rsidRPr="004542B5">
        <w:rPr>
          <w:noProof w:val="0"/>
          <w:szCs w:val="20"/>
          <w:lang w:val="en-US"/>
        </w:rPr>
        <w:t>possession</w:t>
      </w:r>
      <w:r w:rsidR="00442127" w:rsidRPr="004542B5">
        <w:rPr>
          <w:noProof w:val="0"/>
          <w:szCs w:val="20"/>
          <w:lang w:val="en-US"/>
        </w:rPr>
        <w:t xml:space="preserve"> of their territory, but also of the fundamental basis for developing their culture, spiritual life, integrity and economic survival.</w:t>
      </w:r>
      <w:r w:rsidR="00DF6B5D" w:rsidRPr="004542B5">
        <w:rPr>
          <w:noProof w:val="0"/>
          <w:szCs w:val="20"/>
          <w:lang w:val="en-US"/>
        </w:rPr>
        <w:t>”</w:t>
      </w:r>
    </w:p>
    <w:p w14:paraId="60836449" w14:textId="42A56BD3" w:rsidR="00776712" w:rsidRPr="004542B5" w:rsidRDefault="00562CBB" w:rsidP="00776712">
      <w:pPr>
        <w:pStyle w:val="ListParagraph"/>
        <w:numPr>
          <w:ilvl w:val="0"/>
          <w:numId w:val="2"/>
        </w:numPr>
        <w:spacing w:before="120" w:after="120"/>
        <w:contextualSpacing w:val="0"/>
        <w:rPr>
          <w:noProof w:val="0"/>
          <w:szCs w:val="20"/>
          <w:lang w:val="en-US"/>
        </w:rPr>
      </w:pPr>
      <w:r w:rsidRPr="004542B5">
        <w:rPr>
          <w:rFonts w:eastAsia="Calibri"/>
          <w:noProof w:val="0"/>
          <w:szCs w:val="20"/>
          <w:lang w:val="en-US"/>
        </w:rPr>
        <w:t>The representatives</w:t>
      </w:r>
      <w:r w:rsidR="007B47B1" w:rsidRPr="004542B5">
        <w:rPr>
          <w:rFonts w:eastAsia="Calibri"/>
          <w:i/>
          <w:noProof w:val="0"/>
          <w:szCs w:val="20"/>
          <w:lang w:val="en-US"/>
        </w:rPr>
        <w:t xml:space="preserve"> </w:t>
      </w:r>
      <w:r w:rsidR="00442127" w:rsidRPr="004542B5">
        <w:rPr>
          <w:rFonts w:eastAsia="Calibri"/>
          <w:noProof w:val="0"/>
          <w:szCs w:val="20"/>
          <w:lang w:val="en-US"/>
        </w:rPr>
        <w:t>agreed with</w:t>
      </w:r>
      <w:r w:rsidR="007B47B1" w:rsidRPr="004542B5">
        <w:rPr>
          <w:rFonts w:eastAsia="Calibri"/>
          <w:noProof w:val="0"/>
          <w:szCs w:val="20"/>
          <w:lang w:val="en-US"/>
        </w:rPr>
        <w:t xml:space="preserve"> </w:t>
      </w:r>
      <w:r w:rsidRPr="004542B5">
        <w:rPr>
          <w:rFonts w:eastAsia="Calibri"/>
          <w:noProof w:val="0"/>
          <w:szCs w:val="20"/>
          <w:lang w:val="en-US"/>
        </w:rPr>
        <w:t>the Commission</w:t>
      </w:r>
      <w:r w:rsidR="00CD2B90" w:rsidRPr="004542B5">
        <w:rPr>
          <w:rFonts w:eastAsia="Calibri"/>
          <w:noProof w:val="0"/>
          <w:szCs w:val="20"/>
          <w:lang w:val="en-US"/>
        </w:rPr>
        <w:t xml:space="preserve"> and </w:t>
      </w:r>
      <w:r w:rsidR="00442127" w:rsidRPr="004542B5">
        <w:rPr>
          <w:rFonts w:eastAsia="Calibri"/>
          <w:noProof w:val="0"/>
          <w:szCs w:val="20"/>
          <w:lang w:val="en-US"/>
        </w:rPr>
        <w:t>indicated that the</w:t>
      </w:r>
      <w:r w:rsidR="00DF6B5D" w:rsidRPr="004542B5">
        <w:rPr>
          <w:rFonts w:eastAsia="Calibri"/>
          <w:noProof w:val="0"/>
          <w:szCs w:val="20"/>
          <w:lang w:val="en-US"/>
        </w:rPr>
        <w:t xml:space="preserve"> Emberá</w:t>
      </w:r>
      <w:r w:rsidR="00442127" w:rsidRPr="004542B5">
        <w:rPr>
          <w:rFonts w:eastAsia="Calibri"/>
          <w:noProof w:val="0"/>
          <w:szCs w:val="20"/>
          <w:lang w:val="en-US"/>
        </w:rPr>
        <w:t xml:space="preserve"> communities of</w:t>
      </w:r>
      <w:r w:rsidR="00DF6B5D" w:rsidRPr="004542B5">
        <w:rPr>
          <w:rFonts w:eastAsia="Calibri"/>
          <w:noProof w:val="0"/>
          <w:szCs w:val="20"/>
          <w:lang w:val="en-US"/>
        </w:rPr>
        <w:t xml:space="preserve"> Bayano </w:t>
      </w:r>
      <w:r w:rsidR="00442127" w:rsidRPr="004542B5">
        <w:rPr>
          <w:rFonts w:eastAsia="Calibri"/>
          <w:noProof w:val="0"/>
          <w:szCs w:val="20"/>
          <w:lang w:val="en-US"/>
        </w:rPr>
        <w:t>– Pi</w:t>
      </w:r>
      <w:r w:rsidR="00DF6B5D" w:rsidRPr="004542B5">
        <w:rPr>
          <w:rFonts w:eastAsia="Calibri"/>
          <w:noProof w:val="0"/>
          <w:szCs w:val="20"/>
          <w:lang w:val="en-US"/>
        </w:rPr>
        <w:t xml:space="preserve">riatí, </w:t>
      </w:r>
      <w:r w:rsidR="00E74A3B" w:rsidRPr="004542B5">
        <w:rPr>
          <w:rFonts w:eastAsia="Calibri"/>
          <w:noProof w:val="0"/>
          <w:szCs w:val="20"/>
          <w:lang w:val="en-US"/>
        </w:rPr>
        <w:t>Ipetí Emberá</w:t>
      </w:r>
      <w:r w:rsidR="00DF6B5D" w:rsidRPr="004542B5">
        <w:rPr>
          <w:rFonts w:eastAsia="Calibri"/>
          <w:noProof w:val="0"/>
          <w:szCs w:val="20"/>
          <w:lang w:val="en-US"/>
        </w:rPr>
        <w:t>, Maje Cordillera</w:t>
      </w:r>
      <w:r w:rsidR="00CD2B90" w:rsidRPr="004542B5">
        <w:rPr>
          <w:rFonts w:eastAsia="Calibri"/>
          <w:noProof w:val="0"/>
          <w:szCs w:val="20"/>
          <w:lang w:val="en-US"/>
        </w:rPr>
        <w:t xml:space="preserve"> and </w:t>
      </w:r>
      <w:r w:rsidR="00DF6B5D" w:rsidRPr="004542B5">
        <w:rPr>
          <w:rFonts w:eastAsia="Calibri"/>
          <w:noProof w:val="0"/>
          <w:szCs w:val="20"/>
          <w:lang w:val="en-US"/>
        </w:rPr>
        <w:t xml:space="preserve">Unión </w:t>
      </w:r>
      <w:r w:rsidR="00442127" w:rsidRPr="004542B5">
        <w:rPr>
          <w:rFonts w:eastAsia="Calibri"/>
          <w:noProof w:val="0"/>
          <w:szCs w:val="20"/>
          <w:lang w:val="en-US"/>
        </w:rPr>
        <w:t xml:space="preserve">– did not have collective property titles, “and no demarcation process had been carried out,” so that the lands were permanently unprotected, which caused great anguish to </w:t>
      </w:r>
      <w:r w:rsidR="003234E7" w:rsidRPr="004542B5">
        <w:rPr>
          <w:rFonts w:eastAsia="Calibri"/>
          <w:noProof w:val="0"/>
          <w:szCs w:val="20"/>
          <w:lang w:val="en-US"/>
        </w:rPr>
        <w:t>the members</w:t>
      </w:r>
      <w:r w:rsidR="00DF6B5D" w:rsidRPr="004542B5">
        <w:rPr>
          <w:rFonts w:eastAsia="Calibri"/>
          <w:noProof w:val="0"/>
          <w:szCs w:val="20"/>
          <w:lang w:val="en-US"/>
        </w:rPr>
        <w:t xml:space="preserve"> </w:t>
      </w:r>
      <w:r w:rsidR="00442127" w:rsidRPr="004542B5">
        <w:rPr>
          <w:rFonts w:eastAsia="Calibri"/>
          <w:noProof w:val="0"/>
          <w:szCs w:val="20"/>
          <w:lang w:val="en-US"/>
        </w:rPr>
        <w:t xml:space="preserve">of these communities. They also indicated that </w:t>
      </w:r>
      <w:r w:rsidR="00E15EC0" w:rsidRPr="004542B5">
        <w:rPr>
          <w:rFonts w:eastAsia="Calibri"/>
          <w:noProof w:val="0"/>
          <w:szCs w:val="20"/>
          <w:lang w:val="en-US"/>
        </w:rPr>
        <w:t xml:space="preserve">the </w:t>
      </w:r>
      <w:r w:rsidR="00442127" w:rsidRPr="004542B5">
        <w:rPr>
          <w:rFonts w:eastAsia="Calibri"/>
          <w:noProof w:val="0"/>
          <w:szCs w:val="20"/>
          <w:lang w:val="en-US"/>
        </w:rPr>
        <w:t>state authorities</w:t>
      </w:r>
      <w:r w:rsidR="00DF6B5D" w:rsidRPr="004542B5">
        <w:rPr>
          <w:rFonts w:eastAsia="Calibri"/>
          <w:noProof w:val="0"/>
          <w:szCs w:val="20"/>
          <w:lang w:val="en-US"/>
        </w:rPr>
        <w:t xml:space="preserve"> ha</w:t>
      </w:r>
      <w:r w:rsidR="00442127" w:rsidRPr="004542B5">
        <w:rPr>
          <w:rFonts w:eastAsia="Calibri"/>
          <w:noProof w:val="0"/>
          <w:szCs w:val="20"/>
          <w:lang w:val="en-US"/>
        </w:rPr>
        <w:t xml:space="preserve">d adjudicated parcels to third parties in the territory claimed by the Emberá people, </w:t>
      </w:r>
      <w:r w:rsidR="00487DFF" w:rsidRPr="004542B5">
        <w:rPr>
          <w:rFonts w:eastAsia="Calibri"/>
          <w:noProof w:val="0"/>
          <w:szCs w:val="20"/>
          <w:lang w:val="en-US"/>
        </w:rPr>
        <w:t>g</w:t>
      </w:r>
      <w:r w:rsidR="00442127" w:rsidRPr="004542B5">
        <w:rPr>
          <w:rFonts w:eastAsia="Calibri"/>
          <w:noProof w:val="0"/>
          <w:szCs w:val="20"/>
          <w:lang w:val="en-US"/>
        </w:rPr>
        <w:t xml:space="preserve">ranting individual property titles and exacerbating the situation of legal uncertainty. </w:t>
      </w:r>
      <w:r w:rsidR="00776712" w:rsidRPr="004542B5">
        <w:rPr>
          <w:rFonts w:eastAsia="Calibri"/>
          <w:noProof w:val="0"/>
          <w:szCs w:val="20"/>
          <w:lang w:val="en-US"/>
        </w:rPr>
        <w:t>In their final written arguments, they indicated that on May 2, [2014</w:t>
      </w:r>
      <w:r w:rsidR="00487DFF" w:rsidRPr="004542B5">
        <w:rPr>
          <w:rFonts w:eastAsia="Calibri"/>
          <w:noProof w:val="0"/>
          <w:szCs w:val="20"/>
          <w:lang w:val="en-US"/>
        </w:rPr>
        <w:t>,</w:t>
      </w:r>
      <w:r w:rsidR="00776712" w:rsidRPr="004542B5">
        <w:rPr>
          <w:rFonts w:eastAsia="Calibri"/>
          <w:noProof w:val="0"/>
          <w:szCs w:val="20"/>
          <w:lang w:val="en-US"/>
        </w:rPr>
        <w:t xml:space="preserve">] the </w:t>
      </w:r>
      <w:r w:rsidR="00E74A3B" w:rsidRPr="004542B5">
        <w:rPr>
          <w:rFonts w:eastAsia="Calibri"/>
          <w:noProof w:val="0"/>
          <w:szCs w:val="20"/>
          <w:lang w:val="en-US"/>
        </w:rPr>
        <w:t>Piriatí Emberá</w:t>
      </w:r>
      <w:r w:rsidR="00776712" w:rsidRPr="004542B5">
        <w:rPr>
          <w:rFonts w:eastAsia="Calibri"/>
          <w:noProof w:val="0"/>
          <w:szCs w:val="20"/>
          <w:lang w:val="en-US"/>
        </w:rPr>
        <w:t xml:space="preserve"> community had received a collective property title, but “this title included more than 96 hectares </w:t>
      </w:r>
      <w:r w:rsidR="008B7859" w:rsidRPr="004542B5">
        <w:rPr>
          <w:rFonts w:eastAsia="Calibri"/>
          <w:noProof w:val="0"/>
          <w:szCs w:val="20"/>
          <w:lang w:val="en-US"/>
        </w:rPr>
        <w:t>of</w:t>
      </w:r>
      <w:r w:rsidR="00776712" w:rsidRPr="004542B5">
        <w:rPr>
          <w:rFonts w:eastAsia="Calibri"/>
          <w:noProof w:val="0"/>
          <w:szCs w:val="20"/>
          <w:lang w:val="en-US"/>
        </w:rPr>
        <w:t xml:space="preserve"> land that – although it had been assigned to them in reparation –</w:t>
      </w:r>
      <w:r w:rsidR="008B7859" w:rsidRPr="004542B5">
        <w:rPr>
          <w:rFonts w:eastAsia="Calibri"/>
          <w:noProof w:val="0"/>
          <w:szCs w:val="20"/>
          <w:lang w:val="en-US"/>
        </w:rPr>
        <w:t xml:space="preserve"> </w:t>
      </w:r>
      <w:r w:rsidR="00776712" w:rsidRPr="004542B5">
        <w:rPr>
          <w:rFonts w:eastAsia="Calibri"/>
          <w:noProof w:val="0"/>
          <w:szCs w:val="20"/>
          <w:lang w:val="en-US"/>
        </w:rPr>
        <w:t>had been titled</w:t>
      </w:r>
      <w:r w:rsidR="00FC32F2" w:rsidRPr="004542B5">
        <w:rPr>
          <w:rFonts w:eastAsia="Calibri"/>
          <w:noProof w:val="0"/>
          <w:szCs w:val="20"/>
          <w:lang w:val="en-US"/>
        </w:rPr>
        <w:t xml:space="preserve"> by the State</w:t>
      </w:r>
      <w:r w:rsidR="00776712" w:rsidRPr="004542B5">
        <w:rPr>
          <w:rFonts w:eastAsia="Calibri"/>
          <w:noProof w:val="0"/>
          <w:szCs w:val="20"/>
          <w:lang w:val="en-US"/>
        </w:rPr>
        <w:t xml:space="preserve"> </w:t>
      </w:r>
      <w:r w:rsidR="00FC32F2" w:rsidRPr="004542B5">
        <w:rPr>
          <w:rFonts w:eastAsia="Calibri"/>
          <w:noProof w:val="0"/>
          <w:szCs w:val="20"/>
          <w:lang w:val="en-US"/>
        </w:rPr>
        <w:t>[to C.C.M.] a non-indigenous person</w:t>
      </w:r>
      <w:r w:rsidR="008B7859" w:rsidRPr="004542B5">
        <w:rPr>
          <w:rFonts w:eastAsia="Calibri"/>
          <w:noProof w:val="0"/>
          <w:szCs w:val="20"/>
          <w:lang w:val="en-US"/>
        </w:rPr>
        <w:t xml:space="preserve"> in 2012</w:t>
      </w:r>
      <w:r w:rsidR="00FC32F2" w:rsidRPr="004542B5">
        <w:rPr>
          <w:rFonts w:eastAsia="Calibri"/>
          <w:noProof w:val="0"/>
          <w:szCs w:val="20"/>
          <w:lang w:val="en-US"/>
        </w:rPr>
        <w:t>.” The representatives also indicated, with regard to the Kuna p</w:t>
      </w:r>
      <w:r w:rsidR="00487DFF" w:rsidRPr="004542B5">
        <w:rPr>
          <w:rFonts w:eastAsia="Calibri"/>
          <w:noProof w:val="0"/>
          <w:szCs w:val="20"/>
          <w:lang w:val="en-US"/>
        </w:rPr>
        <w:t>e</w:t>
      </w:r>
      <w:r w:rsidR="00FC32F2" w:rsidRPr="004542B5">
        <w:rPr>
          <w:rFonts w:eastAsia="Calibri"/>
          <w:noProof w:val="0"/>
          <w:szCs w:val="20"/>
          <w:lang w:val="en-US"/>
        </w:rPr>
        <w:t xml:space="preserve">ople of Madungandí, </w:t>
      </w:r>
      <w:r w:rsidR="00487DFF" w:rsidRPr="004542B5">
        <w:rPr>
          <w:rFonts w:eastAsia="Calibri"/>
          <w:noProof w:val="0"/>
          <w:szCs w:val="20"/>
          <w:lang w:val="en-US"/>
        </w:rPr>
        <w:t>that it had taken 30 years for</w:t>
      </w:r>
      <w:r w:rsidR="00FC32F2" w:rsidRPr="004542B5">
        <w:rPr>
          <w:rFonts w:eastAsia="Calibri"/>
          <w:noProof w:val="0"/>
          <w:szCs w:val="20"/>
          <w:lang w:val="en-US"/>
        </w:rPr>
        <w:t xml:space="preserve"> the agreemen</w:t>
      </w:r>
      <w:r w:rsidR="00487DFF" w:rsidRPr="004542B5">
        <w:rPr>
          <w:rFonts w:eastAsia="Calibri"/>
          <w:noProof w:val="0"/>
          <w:szCs w:val="20"/>
          <w:lang w:val="en-US"/>
        </w:rPr>
        <w:t>ts</w:t>
      </w:r>
      <w:r w:rsidR="00FC32F2" w:rsidRPr="004542B5">
        <w:rPr>
          <w:rFonts w:eastAsia="Calibri"/>
          <w:noProof w:val="0"/>
          <w:szCs w:val="20"/>
          <w:lang w:val="en-US"/>
        </w:rPr>
        <w:t xml:space="preserve"> granting titles and right</w:t>
      </w:r>
      <w:r w:rsidR="00487DFF" w:rsidRPr="004542B5">
        <w:rPr>
          <w:rFonts w:eastAsia="Calibri"/>
          <w:noProof w:val="0"/>
          <w:szCs w:val="20"/>
          <w:lang w:val="en-US"/>
        </w:rPr>
        <w:t>s</w:t>
      </w:r>
      <w:r w:rsidR="00FC32F2" w:rsidRPr="004542B5">
        <w:rPr>
          <w:rFonts w:eastAsia="Calibri"/>
          <w:noProof w:val="0"/>
          <w:szCs w:val="20"/>
          <w:lang w:val="en-US"/>
        </w:rPr>
        <w:t xml:space="preserve"> to this people</w:t>
      </w:r>
      <w:r w:rsidR="00487DFF" w:rsidRPr="004542B5">
        <w:rPr>
          <w:rFonts w:eastAsia="Calibri"/>
          <w:noProof w:val="0"/>
          <w:szCs w:val="20"/>
          <w:lang w:val="en-US"/>
        </w:rPr>
        <w:t xml:space="preserve"> to be recognized by</w:t>
      </w:r>
      <w:r w:rsidR="00FC32F2" w:rsidRPr="004542B5">
        <w:rPr>
          <w:rFonts w:eastAsia="Calibri"/>
          <w:noProof w:val="0"/>
          <w:szCs w:val="20"/>
          <w:lang w:val="en-US"/>
        </w:rPr>
        <w:t xml:space="preserve"> Law No. </w:t>
      </w:r>
      <w:r w:rsidR="006110CB" w:rsidRPr="004542B5">
        <w:rPr>
          <w:rFonts w:eastAsia="Calibri"/>
          <w:noProof w:val="0"/>
          <w:szCs w:val="20"/>
          <w:lang w:val="en-US"/>
        </w:rPr>
        <w:t>24 of</w:t>
      </w:r>
      <w:r w:rsidR="00FC32F2" w:rsidRPr="004542B5">
        <w:rPr>
          <w:rFonts w:cs="Tahoma"/>
          <w:noProof w:val="0"/>
          <w:szCs w:val="20"/>
          <w:lang w:val="en-US"/>
        </w:rPr>
        <w:t xml:space="preserve"> January 12, 1996. They added that, although the said law formally recognized the right to their collective property, the </w:t>
      </w:r>
      <w:r w:rsidR="00B40A67" w:rsidRPr="004542B5">
        <w:rPr>
          <w:rFonts w:cs="Tahoma"/>
          <w:noProof w:val="0"/>
          <w:szCs w:val="20"/>
          <w:lang w:val="en-US"/>
        </w:rPr>
        <w:t xml:space="preserve">boundaries </w:t>
      </w:r>
      <w:r w:rsidR="00FC32F2" w:rsidRPr="004542B5">
        <w:rPr>
          <w:rFonts w:cs="Tahoma"/>
          <w:noProof w:val="0"/>
          <w:szCs w:val="20"/>
          <w:lang w:val="en-US"/>
        </w:rPr>
        <w:t xml:space="preserve">of the Kuna Comarca had only been physically demarcated four years later, </w:t>
      </w:r>
      <w:r w:rsidR="00487DFF" w:rsidRPr="004542B5">
        <w:rPr>
          <w:rFonts w:cs="Tahoma"/>
          <w:noProof w:val="0"/>
          <w:szCs w:val="20"/>
          <w:lang w:val="en-US"/>
        </w:rPr>
        <w:t>and that</w:t>
      </w:r>
      <w:r w:rsidR="00FC32F2" w:rsidRPr="004542B5">
        <w:rPr>
          <w:rFonts w:cs="Tahoma"/>
          <w:noProof w:val="0"/>
          <w:szCs w:val="20"/>
          <w:lang w:val="en-US"/>
        </w:rPr>
        <w:t xml:space="preserve"> had resulted in a climate of permanent uncertainty.</w:t>
      </w:r>
    </w:p>
    <w:p w14:paraId="2ACFBD59" w14:textId="43E367C0" w:rsidR="002E6C8B" w:rsidRPr="004542B5" w:rsidRDefault="00562CBB" w:rsidP="00FC32F2">
      <w:pPr>
        <w:pStyle w:val="ListParagraph"/>
        <w:numPr>
          <w:ilvl w:val="0"/>
          <w:numId w:val="2"/>
        </w:numPr>
        <w:spacing w:before="120" w:after="120"/>
        <w:contextualSpacing w:val="0"/>
        <w:rPr>
          <w:noProof w:val="0"/>
          <w:szCs w:val="20"/>
          <w:lang w:val="en-US"/>
        </w:rPr>
      </w:pPr>
      <w:r w:rsidRPr="004542B5">
        <w:rPr>
          <w:noProof w:val="0"/>
          <w:szCs w:val="20"/>
          <w:lang w:val="en-US"/>
        </w:rPr>
        <w:t>The State</w:t>
      </w:r>
      <w:r w:rsidR="007B47B1" w:rsidRPr="004542B5">
        <w:rPr>
          <w:noProof w:val="0"/>
          <w:szCs w:val="20"/>
          <w:lang w:val="en-US"/>
        </w:rPr>
        <w:t xml:space="preserve"> </w:t>
      </w:r>
      <w:r w:rsidR="00FC32F2" w:rsidRPr="004542B5">
        <w:rPr>
          <w:noProof w:val="0"/>
          <w:szCs w:val="20"/>
          <w:lang w:val="en-US"/>
        </w:rPr>
        <w:t xml:space="preserve">referred, in general, to domestic law and to recognition of the collective property of the indigenous peoples in Panama. It added that, in 2004, under the </w:t>
      </w:r>
      <w:r w:rsidR="00563BFA" w:rsidRPr="004542B5">
        <w:rPr>
          <w:noProof w:val="0"/>
          <w:szCs w:val="20"/>
          <w:lang w:val="en-US"/>
        </w:rPr>
        <w:t>P</w:t>
      </w:r>
      <w:r w:rsidR="00FC32F2" w:rsidRPr="004542B5">
        <w:rPr>
          <w:noProof w:val="0"/>
          <w:szCs w:val="20"/>
          <w:lang w:val="en-US"/>
        </w:rPr>
        <w:t xml:space="preserve">roject for the </w:t>
      </w:r>
      <w:r w:rsidR="00FC32F2" w:rsidRPr="004542B5">
        <w:rPr>
          <w:noProof w:val="0"/>
          <w:szCs w:val="20"/>
          <w:lang w:val="en-US"/>
        </w:rPr>
        <w:lastRenderedPageBreak/>
        <w:t xml:space="preserve">Sustainable Development of the </w:t>
      </w:r>
      <w:r w:rsidR="00982EC9" w:rsidRPr="004542B5">
        <w:rPr>
          <w:noProof w:val="0"/>
          <w:szCs w:val="20"/>
          <w:lang w:val="en-US"/>
        </w:rPr>
        <w:t>Darien</w:t>
      </w:r>
      <w:r w:rsidR="00FC32F2" w:rsidRPr="004542B5">
        <w:rPr>
          <w:noProof w:val="0"/>
          <w:szCs w:val="20"/>
          <w:lang w:val="en-US"/>
        </w:rPr>
        <w:t xml:space="preserve">, the territories of the Kuna of Madungandí and the Emberá had been delimited, which revealed </w:t>
      </w:r>
      <w:r w:rsidR="00563BFA" w:rsidRPr="004542B5">
        <w:rPr>
          <w:noProof w:val="0"/>
          <w:szCs w:val="20"/>
          <w:lang w:val="en-US"/>
        </w:rPr>
        <w:t>that</w:t>
      </w:r>
      <w:r w:rsidR="00FC32F2" w:rsidRPr="004542B5">
        <w:rPr>
          <w:noProof w:val="0"/>
          <w:szCs w:val="20"/>
          <w:lang w:val="en-US"/>
        </w:rPr>
        <w:t xml:space="preserve"> the affirmation in the representatives’ petition that their territories had not been delimited and demarcated</w:t>
      </w:r>
      <w:r w:rsidR="00563BFA" w:rsidRPr="004542B5">
        <w:rPr>
          <w:noProof w:val="0"/>
          <w:szCs w:val="20"/>
          <w:lang w:val="en-US"/>
        </w:rPr>
        <w:t xml:space="preserve"> was unsubstantiated.</w:t>
      </w:r>
      <w:r w:rsidR="00FC32F2" w:rsidRPr="004542B5">
        <w:rPr>
          <w:noProof w:val="0"/>
          <w:szCs w:val="20"/>
          <w:lang w:val="en-US"/>
        </w:rPr>
        <w:t xml:space="preserve"> The State indicated that all the co</w:t>
      </w:r>
      <w:r w:rsidR="00B40A67" w:rsidRPr="004542B5">
        <w:rPr>
          <w:noProof w:val="0"/>
          <w:szCs w:val="20"/>
          <w:lang w:val="en-US"/>
        </w:rPr>
        <w:t>l</w:t>
      </w:r>
      <w:r w:rsidR="00FC32F2" w:rsidRPr="004542B5">
        <w:rPr>
          <w:noProof w:val="0"/>
          <w:szCs w:val="20"/>
          <w:lang w:val="en-US"/>
        </w:rPr>
        <w:t xml:space="preserve">lective property rights of the Kuna indigenous people had been fully recognized and their territories demarcated and protected because </w:t>
      </w:r>
      <w:r w:rsidR="0033788F" w:rsidRPr="004542B5">
        <w:rPr>
          <w:noProof w:val="0"/>
          <w:szCs w:val="20"/>
          <w:lang w:val="en-US"/>
        </w:rPr>
        <w:t>Law</w:t>
      </w:r>
      <w:r w:rsidR="00DF6B5D" w:rsidRPr="004542B5">
        <w:rPr>
          <w:noProof w:val="0"/>
          <w:szCs w:val="20"/>
          <w:lang w:val="en-US"/>
        </w:rPr>
        <w:t xml:space="preserve"> 24 </w:t>
      </w:r>
      <w:r w:rsidR="00C10E5C" w:rsidRPr="004542B5">
        <w:rPr>
          <w:noProof w:val="0"/>
          <w:szCs w:val="20"/>
          <w:lang w:val="en-US"/>
        </w:rPr>
        <w:t>of January 12, 1996</w:t>
      </w:r>
      <w:r w:rsidR="00FC32F2" w:rsidRPr="004542B5">
        <w:rPr>
          <w:noProof w:val="0"/>
          <w:szCs w:val="20"/>
          <w:lang w:val="en-US"/>
        </w:rPr>
        <w:t xml:space="preserve">, </w:t>
      </w:r>
      <w:r w:rsidR="00563BFA" w:rsidRPr="004542B5">
        <w:rPr>
          <w:noProof w:val="0"/>
          <w:szCs w:val="20"/>
          <w:lang w:val="en-US"/>
        </w:rPr>
        <w:t xml:space="preserve">had </w:t>
      </w:r>
      <w:r w:rsidR="00FC32F2" w:rsidRPr="004542B5">
        <w:rPr>
          <w:noProof w:val="0"/>
          <w:szCs w:val="20"/>
          <w:lang w:val="en-US"/>
        </w:rPr>
        <w:t>created</w:t>
      </w:r>
      <w:r w:rsidR="00DF6B5D" w:rsidRPr="004542B5">
        <w:rPr>
          <w:noProof w:val="0"/>
          <w:szCs w:val="20"/>
          <w:lang w:val="en-US"/>
        </w:rPr>
        <w:t xml:space="preserve"> </w:t>
      </w:r>
      <w:r w:rsidR="004D0B27" w:rsidRPr="004542B5">
        <w:rPr>
          <w:noProof w:val="0"/>
          <w:szCs w:val="20"/>
          <w:lang w:val="en-US"/>
        </w:rPr>
        <w:t xml:space="preserve">the </w:t>
      </w:r>
      <w:r w:rsidR="008C4E08" w:rsidRPr="004542B5">
        <w:rPr>
          <w:noProof w:val="0"/>
          <w:szCs w:val="20"/>
          <w:lang w:val="en-US"/>
        </w:rPr>
        <w:t xml:space="preserve">Kuna </w:t>
      </w:r>
      <w:r w:rsidR="004D0B27" w:rsidRPr="004542B5">
        <w:rPr>
          <w:noProof w:val="0"/>
          <w:szCs w:val="20"/>
          <w:lang w:val="en-US"/>
        </w:rPr>
        <w:t>Comarca</w:t>
      </w:r>
      <w:r w:rsidR="00CD2B90" w:rsidRPr="004542B5">
        <w:rPr>
          <w:noProof w:val="0"/>
          <w:szCs w:val="20"/>
          <w:lang w:val="en-US"/>
        </w:rPr>
        <w:t xml:space="preserve"> and </w:t>
      </w:r>
      <w:r w:rsidR="00B40A67" w:rsidRPr="004542B5">
        <w:rPr>
          <w:noProof w:val="0"/>
          <w:szCs w:val="20"/>
          <w:lang w:val="en-US"/>
        </w:rPr>
        <w:t xml:space="preserve">established its boundaries. It added that, therefore, when the </w:t>
      </w:r>
      <w:r w:rsidR="00E4693E" w:rsidRPr="004542B5">
        <w:rPr>
          <w:noProof w:val="0"/>
          <w:szCs w:val="20"/>
          <w:lang w:val="en-US"/>
        </w:rPr>
        <w:t>petitioners</w:t>
      </w:r>
      <w:r w:rsidR="00B40A67" w:rsidRPr="004542B5">
        <w:rPr>
          <w:noProof w:val="0"/>
          <w:szCs w:val="20"/>
          <w:lang w:val="en-US"/>
        </w:rPr>
        <w:t xml:space="preserve"> lodged their petition before the Commission</w:t>
      </w:r>
      <w:r w:rsidR="00563BFA" w:rsidRPr="004542B5">
        <w:rPr>
          <w:noProof w:val="0"/>
          <w:szCs w:val="20"/>
          <w:lang w:val="en-US"/>
        </w:rPr>
        <w:t xml:space="preserve"> in 2000, </w:t>
      </w:r>
      <w:r w:rsidR="00B40A67" w:rsidRPr="004542B5">
        <w:rPr>
          <w:noProof w:val="0"/>
          <w:szCs w:val="20"/>
          <w:lang w:val="en-US"/>
        </w:rPr>
        <w:t>their territorial rights had been recognized.</w:t>
      </w:r>
    </w:p>
    <w:p w14:paraId="7E9FC157" w14:textId="78BC2F60" w:rsidR="002E6C8B" w:rsidRPr="004542B5" w:rsidRDefault="00B40A67" w:rsidP="00B40A67">
      <w:pPr>
        <w:pStyle w:val="ListParagraph"/>
        <w:numPr>
          <w:ilvl w:val="0"/>
          <w:numId w:val="2"/>
        </w:numPr>
        <w:spacing w:before="120" w:after="120"/>
        <w:contextualSpacing w:val="0"/>
        <w:rPr>
          <w:noProof w:val="0"/>
          <w:szCs w:val="20"/>
          <w:lang w:val="en-US"/>
        </w:rPr>
      </w:pPr>
      <w:r w:rsidRPr="004542B5">
        <w:rPr>
          <w:noProof w:val="0"/>
          <w:szCs w:val="20"/>
          <w:lang w:val="en-US"/>
        </w:rPr>
        <w:t>Regarding the</w:t>
      </w:r>
      <w:r w:rsidR="00DF6B5D" w:rsidRPr="004542B5">
        <w:rPr>
          <w:noProof w:val="0"/>
          <w:szCs w:val="20"/>
          <w:lang w:val="en-US"/>
        </w:rPr>
        <w:t xml:space="preserve"> Emberá </w:t>
      </w:r>
      <w:r w:rsidRPr="004542B5">
        <w:rPr>
          <w:noProof w:val="0"/>
          <w:szCs w:val="20"/>
          <w:lang w:val="en-US"/>
        </w:rPr>
        <w:t>communities of</w:t>
      </w:r>
      <w:r w:rsidR="00DF6B5D" w:rsidRPr="004542B5">
        <w:rPr>
          <w:noProof w:val="0"/>
          <w:szCs w:val="20"/>
          <w:lang w:val="en-US"/>
        </w:rPr>
        <w:t xml:space="preserve"> Bayano, </w:t>
      </w:r>
      <w:r w:rsidR="00562CBB" w:rsidRPr="004542B5">
        <w:rPr>
          <w:noProof w:val="0"/>
          <w:szCs w:val="20"/>
          <w:lang w:val="en-US"/>
        </w:rPr>
        <w:t>the State</w:t>
      </w:r>
      <w:r w:rsidR="00DF6B5D" w:rsidRPr="004542B5">
        <w:rPr>
          <w:noProof w:val="0"/>
          <w:szCs w:val="20"/>
          <w:lang w:val="en-US"/>
        </w:rPr>
        <w:t xml:space="preserve"> indic</w:t>
      </w:r>
      <w:r w:rsidRPr="004542B5">
        <w:rPr>
          <w:noProof w:val="0"/>
          <w:szCs w:val="20"/>
          <w:lang w:val="en-US"/>
        </w:rPr>
        <w:t xml:space="preserve">ated that the request for the adjudication of collective lands was being processed and a series of administrative requirements had to be </w:t>
      </w:r>
      <w:r w:rsidR="00563BFA" w:rsidRPr="004542B5">
        <w:rPr>
          <w:noProof w:val="0"/>
          <w:szCs w:val="20"/>
          <w:lang w:val="en-US"/>
        </w:rPr>
        <w:t>fulfilled in order t</w:t>
      </w:r>
      <w:r w:rsidRPr="004542B5">
        <w:rPr>
          <w:noProof w:val="0"/>
          <w:szCs w:val="20"/>
          <w:lang w:val="en-US"/>
        </w:rPr>
        <w:t>o comply with the laws in force. It also indicated that it had responded to the said communities by issuing Law No. 72 of December 23, 2008, which established a special procedure for recognition of the collective property of indigenous groups outside the Comarcas. In addition, the State referred to</w:t>
      </w:r>
      <w:r w:rsidR="00DF6B5D" w:rsidRPr="004542B5">
        <w:rPr>
          <w:noProof w:val="0"/>
          <w:szCs w:val="20"/>
          <w:lang w:val="en-US"/>
        </w:rPr>
        <w:t xml:space="preserve"> </w:t>
      </w:r>
      <w:r w:rsidR="00F74AD5" w:rsidRPr="004542B5">
        <w:rPr>
          <w:noProof w:val="0"/>
          <w:szCs w:val="20"/>
          <w:lang w:val="en-US"/>
        </w:rPr>
        <w:t>the National Agrarian Reform Directorate</w:t>
      </w:r>
      <w:r w:rsidR="00DF6B5D" w:rsidRPr="004542B5">
        <w:rPr>
          <w:noProof w:val="0"/>
          <w:szCs w:val="20"/>
          <w:lang w:val="en-US"/>
        </w:rPr>
        <w:t xml:space="preserve"> </w:t>
      </w:r>
      <w:r w:rsidRPr="004542B5">
        <w:rPr>
          <w:noProof w:val="0"/>
          <w:szCs w:val="20"/>
          <w:lang w:val="en-US"/>
        </w:rPr>
        <w:t xml:space="preserve">that, in a </w:t>
      </w:r>
      <w:r w:rsidR="008B3891" w:rsidRPr="004542B5">
        <w:rPr>
          <w:noProof w:val="0"/>
          <w:szCs w:val="20"/>
          <w:lang w:val="en-US"/>
        </w:rPr>
        <w:t>Resolution</w:t>
      </w:r>
      <w:r w:rsidR="00DF6B5D" w:rsidRPr="004542B5">
        <w:rPr>
          <w:noProof w:val="0"/>
          <w:szCs w:val="20"/>
          <w:lang w:val="en-US"/>
        </w:rPr>
        <w:t xml:space="preserve"> </w:t>
      </w:r>
      <w:r w:rsidRPr="004542B5">
        <w:rPr>
          <w:noProof w:val="0"/>
          <w:szCs w:val="20"/>
          <w:lang w:val="en-US"/>
        </w:rPr>
        <w:t>of March 18,</w:t>
      </w:r>
      <w:r w:rsidR="00DF6B5D" w:rsidRPr="004542B5">
        <w:rPr>
          <w:noProof w:val="0"/>
          <w:szCs w:val="20"/>
          <w:lang w:val="en-US"/>
        </w:rPr>
        <w:t xml:space="preserve"> 2003, </w:t>
      </w:r>
      <w:r w:rsidR="00563BFA" w:rsidRPr="004542B5">
        <w:rPr>
          <w:noProof w:val="0"/>
          <w:szCs w:val="20"/>
          <w:lang w:val="en-US"/>
        </w:rPr>
        <w:t xml:space="preserve">had </w:t>
      </w:r>
      <w:r w:rsidR="00DF6B5D" w:rsidRPr="004542B5">
        <w:rPr>
          <w:noProof w:val="0"/>
          <w:szCs w:val="20"/>
          <w:lang w:val="en-US"/>
        </w:rPr>
        <w:t>suspend</w:t>
      </w:r>
      <w:r w:rsidRPr="004542B5">
        <w:rPr>
          <w:noProof w:val="0"/>
          <w:szCs w:val="20"/>
          <w:lang w:val="en-US"/>
        </w:rPr>
        <w:t xml:space="preserve">ed all procedures and requests for </w:t>
      </w:r>
      <w:r w:rsidR="00E4693E" w:rsidRPr="004542B5">
        <w:rPr>
          <w:noProof w:val="0"/>
          <w:szCs w:val="20"/>
          <w:lang w:val="en-US"/>
        </w:rPr>
        <w:t>possessory</w:t>
      </w:r>
      <w:r w:rsidRPr="004542B5">
        <w:rPr>
          <w:noProof w:val="0"/>
          <w:szCs w:val="20"/>
          <w:lang w:val="en-US"/>
        </w:rPr>
        <w:t xml:space="preserve"> rights to lands located in the </w:t>
      </w:r>
      <w:r w:rsidR="00DF6B5D" w:rsidRPr="004542B5">
        <w:rPr>
          <w:noProof w:val="0"/>
          <w:szCs w:val="20"/>
          <w:lang w:val="en-US"/>
        </w:rPr>
        <w:t xml:space="preserve">Emberá </w:t>
      </w:r>
      <w:r w:rsidRPr="004542B5">
        <w:rPr>
          <w:noProof w:val="0"/>
          <w:szCs w:val="20"/>
          <w:lang w:val="en-US"/>
        </w:rPr>
        <w:t>communities of</w:t>
      </w:r>
      <w:r w:rsidR="00DF6B5D" w:rsidRPr="004542B5">
        <w:rPr>
          <w:noProof w:val="0"/>
          <w:szCs w:val="20"/>
          <w:lang w:val="en-US"/>
        </w:rPr>
        <w:t xml:space="preserve"> Ipetí</w:t>
      </w:r>
      <w:r w:rsidR="00CD2B90" w:rsidRPr="004542B5">
        <w:rPr>
          <w:noProof w:val="0"/>
          <w:szCs w:val="20"/>
          <w:lang w:val="en-US"/>
        </w:rPr>
        <w:t xml:space="preserve"> and </w:t>
      </w:r>
      <w:r w:rsidR="00DF6B5D" w:rsidRPr="004542B5">
        <w:rPr>
          <w:noProof w:val="0"/>
          <w:szCs w:val="20"/>
          <w:lang w:val="en-US"/>
        </w:rPr>
        <w:t>Piriatí</w:t>
      </w:r>
      <w:r w:rsidR="00CD2B90" w:rsidRPr="004542B5">
        <w:rPr>
          <w:noProof w:val="0"/>
          <w:szCs w:val="20"/>
          <w:lang w:val="en-US"/>
        </w:rPr>
        <w:t xml:space="preserve"> and </w:t>
      </w:r>
      <w:r w:rsidRPr="004542B5">
        <w:rPr>
          <w:noProof w:val="0"/>
          <w:szCs w:val="20"/>
          <w:lang w:val="en-US"/>
        </w:rPr>
        <w:t>that</w:t>
      </w:r>
      <w:r w:rsidR="00DF6B5D" w:rsidRPr="004542B5">
        <w:rPr>
          <w:noProof w:val="0"/>
          <w:szCs w:val="20"/>
          <w:lang w:val="en-US"/>
        </w:rPr>
        <w:t xml:space="preserve"> </w:t>
      </w:r>
      <w:r w:rsidR="00DE3305" w:rsidRPr="004542B5">
        <w:rPr>
          <w:noProof w:val="0"/>
          <w:szCs w:val="20"/>
          <w:lang w:val="en-US"/>
        </w:rPr>
        <w:t>the National Land Administration Authority</w:t>
      </w:r>
      <w:r w:rsidRPr="004542B5">
        <w:rPr>
          <w:noProof w:val="0"/>
          <w:szCs w:val="20"/>
          <w:lang w:val="en-US"/>
        </w:rPr>
        <w:t>,</w:t>
      </w:r>
      <w:r w:rsidR="00DF6B5D" w:rsidRPr="004542B5">
        <w:rPr>
          <w:noProof w:val="0"/>
          <w:szCs w:val="20"/>
          <w:lang w:val="en-US"/>
        </w:rPr>
        <w:t xml:space="preserve"> </w:t>
      </w:r>
      <w:r w:rsidRPr="004542B5">
        <w:rPr>
          <w:noProof w:val="0"/>
          <w:szCs w:val="20"/>
          <w:lang w:val="en-US"/>
        </w:rPr>
        <w:t>in</w:t>
      </w:r>
      <w:r w:rsidR="00DF6B5D" w:rsidRPr="004542B5">
        <w:rPr>
          <w:noProof w:val="0"/>
          <w:szCs w:val="20"/>
          <w:lang w:val="en-US"/>
        </w:rPr>
        <w:t xml:space="preserve"> </w:t>
      </w:r>
      <w:r w:rsidR="008B3891" w:rsidRPr="004542B5">
        <w:rPr>
          <w:noProof w:val="0"/>
          <w:szCs w:val="20"/>
          <w:lang w:val="en-US"/>
        </w:rPr>
        <w:t>Resolution</w:t>
      </w:r>
      <w:r w:rsidR="00DF6B5D" w:rsidRPr="004542B5">
        <w:rPr>
          <w:noProof w:val="0"/>
          <w:szCs w:val="20"/>
          <w:lang w:val="en-US"/>
        </w:rPr>
        <w:t xml:space="preserve"> No ADMG-058-2011</w:t>
      </w:r>
      <w:r w:rsidRPr="004542B5">
        <w:rPr>
          <w:noProof w:val="0"/>
          <w:szCs w:val="20"/>
          <w:lang w:val="en-US"/>
        </w:rPr>
        <w:t xml:space="preserve">, had ratified the suspension of private property titles in the </w:t>
      </w:r>
      <w:r w:rsidR="00DF6B5D" w:rsidRPr="004542B5">
        <w:rPr>
          <w:noProof w:val="0"/>
          <w:szCs w:val="20"/>
          <w:lang w:val="en-US"/>
        </w:rPr>
        <w:t>Alto Bayano</w:t>
      </w:r>
      <w:r w:rsidRPr="004542B5">
        <w:rPr>
          <w:noProof w:val="0"/>
          <w:szCs w:val="20"/>
          <w:lang w:val="en-US"/>
        </w:rPr>
        <w:t xml:space="preserve"> region</w:t>
      </w:r>
      <w:r w:rsidR="007B47B1" w:rsidRPr="004542B5">
        <w:rPr>
          <w:noProof w:val="0"/>
          <w:szCs w:val="20"/>
          <w:lang w:val="en-US"/>
        </w:rPr>
        <w:t xml:space="preserve">. </w:t>
      </w:r>
    </w:p>
    <w:p w14:paraId="51C927C8" w14:textId="408F2D1D" w:rsidR="003B7977" w:rsidRPr="004542B5" w:rsidRDefault="007B47B1" w:rsidP="00E01664">
      <w:pPr>
        <w:pStyle w:val="Heading3"/>
        <w:rPr>
          <w:noProof w:val="0"/>
          <w:lang w:val="en-US"/>
        </w:rPr>
      </w:pPr>
      <w:bookmarkStart w:id="240" w:name="_Toc45200886"/>
      <w:r w:rsidRPr="004542B5">
        <w:rPr>
          <w:noProof w:val="0"/>
          <w:lang w:val="en-US"/>
        </w:rPr>
        <w:t xml:space="preserve">A.2. </w:t>
      </w:r>
      <w:r w:rsidR="00B902E7" w:rsidRPr="004542B5">
        <w:rPr>
          <w:noProof w:val="0"/>
          <w:lang w:val="en-US"/>
        </w:rPr>
        <w:t>Considerations</w:t>
      </w:r>
      <w:r w:rsidR="008A56D7" w:rsidRPr="004542B5">
        <w:rPr>
          <w:noProof w:val="0"/>
          <w:lang w:val="en-US"/>
        </w:rPr>
        <w:t xml:space="preserve"> of the </w:t>
      </w:r>
      <w:r w:rsidR="00562CBB" w:rsidRPr="004542B5">
        <w:rPr>
          <w:noProof w:val="0"/>
          <w:lang w:val="en-US"/>
        </w:rPr>
        <w:t>Court</w:t>
      </w:r>
      <w:bookmarkEnd w:id="240"/>
    </w:p>
    <w:p w14:paraId="2D080331" w14:textId="319694D3" w:rsidR="00037EEA" w:rsidRPr="004542B5" w:rsidRDefault="00B40A67" w:rsidP="00955524">
      <w:pPr>
        <w:pStyle w:val="ListParagraph"/>
        <w:numPr>
          <w:ilvl w:val="0"/>
          <w:numId w:val="2"/>
        </w:numPr>
        <w:spacing w:before="120" w:after="120"/>
        <w:contextualSpacing w:val="0"/>
        <w:rPr>
          <w:noProof w:val="0"/>
          <w:lang w:val="en-US"/>
        </w:rPr>
      </w:pPr>
      <w:r w:rsidRPr="004542B5">
        <w:rPr>
          <w:noProof w:val="0"/>
          <w:lang w:val="en-US"/>
        </w:rPr>
        <w:t>As</w:t>
      </w:r>
      <w:r w:rsidR="007B47B1" w:rsidRPr="004542B5">
        <w:rPr>
          <w:noProof w:val="0"/>
          <w:lang w:val="en-US"/>
        </w:rPr>
        <w:t xml:space="preserve"> </w:t>
      </w:r>
      <w:r w:rsidR="00562CBB" w:rsidRPr="004542B5">
        <w:rPr>
          <w:noProof w:val="0"/>
          <w:lang w:val="en-US"/>
        </w:rPr>
        <w:t>the Court</w:t>
      </w:r>
      <w:r w:rsidR="007B47B1" w:rsidRPr="004542B5">
        <w:rPr>
          <w:noProof w:val="0"/>
          <w:lang w:val="en-US"/>
        </w:rPr>
        <w:t xml:space="preserve"> ha</w:t>
      </w:r>
      <w:r w:rsidRPr="004542B5">
        <w:rPr>
          <w:noProof w:val="0"/>
          <w:lang w:val="en-US"/>
        </w:rPr>
        <w:t xml:space="preserve">s indicated in its consistent case law, recently in the case of </w:t>
      </w:r>
      <w:r w:rsidR="007B47B1" w:rsidRPr="004542B5">
        <w:rPr>
          <w:noProof w:val="0"/>
          <w:lang w:val="en-US"/>
        </w:rPr>
        <w:t xml:space="preserve"> </w:t>
      </w:r>
      <w:r w:rsidRPr="004542B5">
        <w:rPr>
          <w:noProof w:val="0"/>
          <w:lang w:val="en-US"/>
        </w:rPr>
        <w:t xml:space="preserve">the </w:t>
      </w:r>
      <w:r w:rsidR="00A41A72" w:rsidRPr="004542B5">
        <w:rPr>
          <w:i/>
          <w:noProof w:val="0"/>
          <w:lang w:val="en-US"/>
        </w:rPr>
        <w:t xml:space="preserve">Kichwa </w:t>
      </w:r>
      <w:r w:rsidRPr="004542B5">
        <w:rPr>
          <w:i/>
          <w:noProof w:val="0"/>
          <w:lang w:val="en-US"/>
        </w:rPr>
        <w:t>Indigenous People of</w:t>
      </w:r>
      <w:r w:rsidR="00A41A72" w:rsidRPr="004542B5">
        <w:rPr>
          <w:i/>
          <w:noProof w:val="0"/>
          <w:lang w:val="en-US"/>
        </w:rPr>
        <w:t xml:space="preserve"> Sarayaku </w:t>
      </w:r>
      <w:r w:rsidR="00562CBB" w:rsidRPr="004542B5">
        <w:rPr>
          <w:i/>
          <w:noProof w:val="0"/>
          <w:lang w:val="en-US"/>
        </w:rPr>
        <w:t>v.</w:t>
      </w:r>
      <w:r w:rsidR="00A41A72" w:rsidRPr="004542B5">
        <w:rPr>
          <w:i/>
          <w:noProof w:val="0"/>
          <w:lang w:val="en-US"/>
        </w:rPr>
        <w:t xml:space="preserve"> Ecuador</w:t>
      </w:r>
      <w:r w:rsidR="0038227F" w:rsidRPr="004542B5">
        <w:rPr>
          <w:noProof w:val="0"/>
          <w:lang w:val="en-US"/>
        </w:rPr>
        <w:t xml:space="preserve">, </w:t>
      </w:r>
      <w:r w:rsidR="00562CBB" w:rsidRPr="004542B5">
        <w:rPr>
          <w:noProof w:val="0"/>
          <w:lang w:val="en-US"/>
        </w:rPr>
        <w:t>Article</w:t>
      </w:r>
      <w:r w:rsidR="007B47B1" w:rsidRPr="004542B5">
        <w:rPr>
          <w:noProof w:val="0"/>
          <w:lang w:val="en-US"/>
        </w:rPr>
        <w:t xml:space="preserve"> 21</w:t>
      </w:r>
      <w:r w:rsidR="008A56D7" w:rsidRPr="004542B5">
        <w:rPr>
          <w:noProof w:val="0"/>
          <w:lang w:val="en-US"/>
        </w:rPr>
        <w:t xml:space="preserve"> of the </w:t>
      </w:r>
      <w:r w:rsidR="00562CBB" w:rsidRPr="004542B5">
        <w:rPr>
          <w:noProof w:val="0"/>
          <w:lang w:val="en-US"/>
        </w:rPr>
        <w:t>American Convention</w:t>
      </w:r>
      <w:r w:rsidR="007B47B1" w:rsidRPr="004542B5">
        <w:rPr>
          <w:noProof w:val="0"/>
          <w:lang w:val="en-US"/>
        </w:rPr>
        <w:t xml:space="preserve"> prote</w:t>
      </w:r>
      <w:r w:rsidRPr="004542B5">
        <w:rPr>
          <w:noProof w:val="0"/>
          <w:lang w:val="en-US"/>
        </w:rPr>
        <w:t xml:space="preserve">cts the close relationship that the indigenous peoples have with their lands, </w:t>
      </w:r>
      <w:r w:rsidR="00955524" w:rsidRPr="004542B5">
        <w:rPr>
          <w:noProof w:val="0"/>
          <w:lang w:val="en-US"/>
        </w:rPr>
        <w:t>as well as</w:t>
      </w:r>
      <w:r w:rsidRPr="004542B5">
        <w:rPr>
          <w:noProof w:val="0"/>
          <w:lang w:val="en-US"/>
        </w:rPr>
        <w:t xml:space="preserve"> with the natural resources and the in</w:t>
      </w:r>
      <w:r w:rsidR="00955524" w:rsidRPr="004542B5">
        <w:rPr>
          <w:noProof w:val="0"/>
          <w:lang w:val="en-US"/>
        </w:rPr>
        <w:t>tangible</w:t>
      </w:r>
      <w:r w:rsidRPr="004542B5">
        <w:rPr>
          <w:noProof w:val="0"/>
          <w:lang w:val="en-US"/>
        </w:rPr>
        <w:t xml:space="preserve"> elements</w:t>
      </w:r>
      <w:r w:rsidR="00955524" w:rsidRPr="004542B5">
        <w:rPr>
          <w:noProof w:val="0"/>
          <w:lang w:val="en-US"/>
        </w:rPr>
        <w:t xml:space="preserve"> derived from them</w:t>
      </w:r>
      <w:r w:rsidR="007B47B1" w:rsidRPr="004542B5">
        <w:rPr>
          <w:noProof w:val="0"/>
          <w:lang w:val="en-US"/>
        </w:rPr>
        <w:t xml:space="preserve">. </w:t>
      </w:r>
      <w:r w:rsidR="00955524" w:rsidRPr="004542B5">
        <w:rPr>
          <w:noProof w:val="0"/>
          <w:lang w:val="en-US"/>
        </w:rPr>
        <w:t xml:space="preserve">The indigenous peoples have a </w:t>
      </w:r>
      <w:r w:rsidR="00955524" w:rsidRPr="004542B5">
        <w:rPr>
          <w:noProof w:val="0"/>
          <w:szCs w:val="20"/>
          <w:lang w:val="en-US"/>
        </w:rPr>
        <w:t>community-based tradition relating to a communal form of collective land ownership; thus, land is not owned by the individual but by the group and its community.</w:t>
      </w:r>
      <w:r w:rsidR="00DF6B5D" w:rsidRPr="004542B5">
        <w:rPr>
          <w:rStyle w:val="FootnoteReference"/>
          <w:noProof w:val="0"/>
          <w:lang w:val="en-US"/>
        </w:rPr>
        <w:footnoteReference w:id="197"/>
      </w:r>
      <w:r w:rsidR="007B47B1" w:rsidRPr="004542B5">
        <w:rPr>
          <w:i/>
          <w:noProof w:val="0"/>
          <w:szCs w:val="20"/>
          <w:lang w:val="en-US"/>
        </w:rPr>
        <w:t xml:space="preserve"> </w:t>
      </w:r>
      <w:r w:rsidR="00955524" w:rsidRPr="004542B5">
        <w:rPr>
          <w:noProof w:val="0"/>
          <w:szCs w:val="20"/>
          <w:lang w:val="en-US"/>
        </w:rPr>
        <w:t>T</w:t>
      </w:r>
      <w:r w:rsidR="00955524" w:rsidRPr="004542B5">
        <w:rPr>
          <w:rFonts w:cs="Arial"/>
          <w:noProof w:val="0"/>
          <w:szCs w:val="20"/>
          <w:lang w:val="en-US"/>
        </w:rPr>
        <w:t>hese notions of land ownership and possession do not necessarily conform to the classic concept of property, but the Court has established that they deserve equal protection</w:t>
      </w:r>
      <w:r w:rsidR="00955524" w:rsidRPr="004542B5">
        <w:rPr>
          <w:noProof w:val="0"/>
          <w:szCs w:val="20"/>
          <w:lang w:val="en-US"/>
        </w:rPr>
        <w:t xml:space="preserve"> under </w:t>
      </w:r>
      <w:r w:rsidR="00E04132" w:rsidRPr="004542B5">
        <w:rPr>
          <w:noProof w:val="0"/>
          <w:szCs w:val="20"/>
          <w:lang w:val="en-US"/>
        </w:rPr>
        <w:t>Article</w:t>
      </w:r>
      <w:r w:rsidR="007B47B1" w:rsidRPr="004542B5">
        <w:rPr>
          <w:noProof w:val="0"/>
          <w:szCs w:val="20"/>
          <w:lang w:val="en-US"/>
        </w:rPr>
        <w:t xml:space="preserve"> 21</w:t>
      </w:r>
      <w:r w:rsidR="008A56D7" w:rsidRPr="004542B5">
        <w:rPr>
          <w:noProof w:val="0"/>
          <w:szCs w:val="20"/>
          <w:lang w:val="en-US"/>
        </w:rPr>
        <w:t xml:space="preserve"> of the </w:t>
      </w:r>
      <w:r w:rsidR="00562CBB" w:rsidRPr="004542B5">
        <w:rPr>
          <w:noProof w:val="0"/>
          <w:szCs w:val="20"/>
          <w:lang w:val="en-US"/>
        </w:rPr>
        <w:t>American Convention</w:t>
      </w:r>
      <w:r w:rsidR="007B47B1" w:rsidRPr="004542B5">
        <w:rPr>
          <w:noProof w:val="0"/>
          <w:szCs w:val="20"/>
          <w:lang w:val="en-US"/>
        </w:rPr>
        <w:t>.</w:t>
      </w:r>
      <w:r w:rsidR="007B47B1" w:rsidRPr="004542B5">
        <w:rPr>
          <w:i/>
          <w:noProof w:val="0"/>
          <w:szCs w:val="20"/>
          <w:lang w:val="en-US"/>
        </w:rPr>
        <w:t xml:space="preserve"> </w:t>
      </w:r>
      <w:r w:rsidR="00955524" w:rsidRPr="004542B5">
        <w:rPr>
          <w:rFonts w:cs="Arial"/>
          <w:noProof w:val="0"/>
          <w:szCs w:val="20"/>
          <w:lang w:val="en-US"/>
        </w:rPr>
        <w:t xml:space="preserve">Ignoring the specific forms of the right to the use and enjoyment of property based on the culture, practices, customs and beliefs of each people, would be tantamount to maintaining that there is only one way to use and dispose of property, which, in turn, would render protection under </w:t>
      </w:r>
      <w:r w:rsidR="00390962" w:rsidRPr="004542B5">
        <w:rPr>
          <w:rFonts w:cs="Arial"/>
          <w:noProof w:val="0"/>
          <w:szCs w:val="20"/>
          <w:lang w:val="en-US"/>
        </w:rPr>
        <w:t>this provision</w:t>
      </w:r>
      <w:r w:rsidR="00955524" w:rsidRPr="004542B5">
        <w:rPr>
          <w:rFonts w:cs="Arial"/>
          <w:noProof w:val="0"/>
          <w:szCs w:val="20"/>
          <w:lang w:val="en-US"/>
        </w:rPr>
        <w:t xml:space="preserve"> illusory for millions of people</w:t>
      </w:r>
      <w:r w:rsidR="00390962" w:rsidRPr="004542B5">
        <w:rPr>
          <w:noProof w:val="0"/>
          <w:szCs w:val="20"/>
          <w:lang w:val="en-US"/>
        </w:rPr>
        <w:t>.</w:t>
      </w:r>
      <w:r w:rsidR="007B47B1" w:rsidRPr="004542B5">
        <w:rPr>
          <w:rStyle w:val="FootnoteReference"/>
          <w:noProof w:val="0"/>
          <w:lang w:val="en-US"/>
        </w:rPr>
        <w:footnoteReference w:id="198"/>
      </w:r>
      <w:r w:rsidR="007B47B1" w:rsidRPr="004542B5">
        <w:rPr>
          <w:noProof w:val="0"/>
          <w:lang w:val="en-US"/>
        </w:rPr>
        <w:t xml:space="preserve"> </w:t>
      </w:r>
    </w:p>
    <w:p w14:paraId="276F38FB" w14:textId="79A81D7D" w:rsidR="00CD0193" w:rsidRPr="004542B5" w:rsidRDefault="00390962" w:rsidP="00E01664">
      <w:pPr>
        <w:pStyle w:val="ListParagraph"/>
        <w:numPr>
          <w:ilvl w:val="0"/>
          <w:numId w:val="2"/>
        </w:numPr>
        <w:spacing w:before="120" w:after="120"/>
        <w:contextualSpacing w:val="0"/>
        <w:rPr>
          <w:noProof w:val="0"/>
          <w:lang w:val="en-US"/>
        </w:rPr>
      </w:pPr>
      <w:r w:rsidRPr="004542B5">
        <w:rPr>
          <w:rFonts w:cs="Arial"/>
          <w:noProof w:val="0"/>
          <w:szCs w:val="20"/>
          <w:lang w:val="en-US"/>
        </w:rPr>
        <w:t>Given this intrinsic connection that indigenous and tribal peoples have with their territory, the protection of property rights and the use and enjoyment thereof is necessary to ensure their</w:t>
      </w:r>
      <w:r w:rsidRPr="004542B5">
        <w:rPr>
          <w:noProof w:val="0"/>
          <w:lang w:val="en-US"/>
        </w:rPr>
        <w:t xml:space="preserve"> </w:t>
      </w:r>
      <w:r w:rsidRPr="004542B5">
        <w:rPr>
          <w:rFonts w:cs="Arial"/>
          <w:noProof w:val="0"/>
          <w:szCs w:val="20"/>
          <w:lang w:val="en-US"/>
        </w:rPr>
        <w:t>survival. This connection between the territory and the natural resources that indigenous and tribal peoples have traditionally used and that are necessary for their physical and cultural survival and the development and continuation of their worldview must be protected under Artic</w:t>
      </w:r>
      <w:r w:rsidR="00563BFA" w:rsidRPr="004542B5">
        <w:rPr>
          <w:rFonts w:cs="Arial"/>
          <w:noProof w:val="0"/>
          <w:szCs w:val="20"/>
          <w:lang w:val="en-US"/>
        </w:rPr>
        <w:t>l</w:t>
      </w:r>
      <w:r w:rsidRPr="004542B5">
        <w:rPr>
          <w:rFonts w:cs="Arial"/>
          <w:noProof w:val="0"/>
          <w:szCs w:val="20"/>
          <w:lang w:val="en-US"/>
        </w:rPr>
        <w:t>e 21 of the Convention to ensure that they can continue their traditional way of living, and that their distinctive cultural identity, social structure, economic system, customs, beliefs and traditions are respected, guaranteed and protected by the States.</w:t>
      </w:r>
      <w:r w:rsidR="00CD0193" w:rsidRPr="004542B5">
        <w:rPr>
          <w:rStyle w:val="FootnoteReference"/>
          <w:noProof w:val="0"/>
          <w:lang w:val="en-US"/>
        </w:rPr>
        <w:footnoteReference w:id="199"/>
      </w:r>
    </w:p>
    <w:p w14:paraId="70E9C847" w14:textId="0763EB30" w:rsidR="00FB68DE" w:rsidRPr="004542B5" w:rsidRDefault="00390962" w:rsidP="00390962">
      <w:pPr>
        <w:pStyle w:val="ListParagraph"/>
        <w:numPr>
          <w:ilvl w:val="0"/>
          <w:numId w:val="2"/>
        </w:numPr>
        <w:spacing w:before="120" w:after="120"/>
        <w:contextualSpacing w:val="0"/>
        <w:rPr>
          <w:noProof w:val="0"/>
          <w:szCs w:val="20"/>
          <w:lang w:val="en-US"/>
        </w:rPr>
      </w:pPr>
      <w:r w:rsidRPr="004542B5">
        <w:rPr>
          <w:rFonts w:cs="Arial"/>
          <w:noProof w:val="0"/>
          <w:szCs w:val="20"/>
          <w:lang w:val="en-US"/>
        </w:rPr>
        <w:lastRenderedPageBreak/>
        <w:t>The Court has interpreted Article 21 of the Convention in conjunction with other rights recognized by the State in its domestic laws or in other relevant international laws, in light of Article 29(b) of the Convention.</w:t>
      </w:r>
      <w:r w:rsidR="000D7731" w:rsidRPr="004542B5">
        <w:rPr>
          <w:rFonts w:cs="Arial"/>
          <w:noProof w:val="0"/>
          <w:szCs w:val="20"/>
          <w:lang w:val="en-US"/>
        </w:rPr>
        <w:t xml:space="preserve"> Therefore, when examining the meaning and scope of </w:t>
      </w:r>
      <w:r w:rsidR="000D7731" w:rsidRPr="004542B5">
        <w:rPr>
          <w:noProof w:val="0"/>
          <w:lang w:val="en-US"/>
        </w:rPr>
        <w:t>Article 21 of the Convention in this case, the Court will take into account, in light of the said general rules of interpretation established in Article 29 of this instrument and as it has done previously,</w:t>
      </w:r>
      <w:r w:rsidR="00DF6B5D" w:rsidRPr="004542B5">
        <w:rPr>
          <w:rStyle w:val="FootnoteReference"/>
          <w:noProof w:val="0"/>
          <w:lang w:val="en-US"/>
        </w:rPr>
        <w:footnoteReference w:id="200"/>
      </w:r>
      <w:r w:rsidR="000D7731" w:rsidRPr="004542B5">
        <w:rPr>
          <w:noProof w:val="0"/>
          <w:lang w:val="en-US"/>
        </w:rPr>
        <w:t xml:space="preserve"> the aforementioned special </w:t>
      </w:r>
      <w:r w:rsidR="00E4693E" w:rsidRPr="004542B5">
        <w:rPr>
          <w:noProof w:val="0"/>
          <w:lang w:val="en-US"/>
        </w:rPr>
        <w:t>significance</w:t>
      </w:r>
      <w:r w:rsidR="000D7731" w:rsidRPr="004542B5">
        <w:rPr>
          <w:noProof w:val="0"/>
          <w:lang w:val="en-US"/>
        </w:rPr>
        <w:t xml:space="preserve"> of the communal ownership of the land for the indigenous peoples, as well as the measures taken by the State to ensure that the said right is fully effective.</w:t>
      </w:r>
    </w:p>
    <w:p w14:paraId="53B5367D" w14:textId="5A7FC025" w:rsidR="007D5BC8" w:rsidRPr="004542B5" w:rsidRDefault="006F20B6" w:rsidP="006F20B6">
      <w:pPr>
        <w:pStyle w:val="ListParagraph"/>
        <w:numPr>
          <w:ilvl w:val="0"/>
          <w:numId w:val="2"/>
        </w:numPr>
        <w:spacing w:before="120" w:after="120"/>
        <w:contextualSpacing w:val="0"/>
        <w:rPr>
          <w:noProof w:val="0"/>
          <w:lang w:val="en-US"/>
        </w:rPr>
      </w:pPr>
      <w:r w:rsidRPr="004542B5">
        <w:rPr>
          <w:noProof w:val="0"/>
          <w:szCs w:val="32"/>
          <w:lang w:val="en-US"/>
        </w:rPr>
        <w:t>Moreover, regarding the obligations that arise from the provisions of Panama</w:t>
      </w:r>
      <w:r w:rsidR="00563BFA" w:rsidRPr="004542B5">
        <w:rPr>
          <w:noProof w:val="0"/>
          <w:szCs w:val="32"/>
          <w:lang w:val="en-US"/>
        </w:rPr>
        <w:t>’s</w:t>
      </w:r>
      <w:r w:rsidRPr="004542B5">
        <w:rPr>
          <w:noProof w:val="0"/>
          <w:szCs w:val="32"/>
          <w:lang w:val="en-US"/>
        </w:rPr>
        <w:t xml:space="preserve"> domestic law, the Court notes that the Constitution recognizes the right to collective property of the indigenous peoples and, on this basis, the Court will define the scope of </w:t>
      </w:r>
      <w:r w:rsidR="00E04132" w:rsidRPr="004542B5">
        <w:rPr>
          <w:noProof w:val="0"/>
          <w:szCs w:val="32"/>
          <w:lang w:val="en-US"/>
        </w:rPr>
        <w:t>Article</w:t>
      </w:r>
      <w:r w:rsidR="007B47B1" w:rsidRPr="004542B5">
        <w:rPr>
          <w:noProof w:val="0"/>
          <w:szCs w:val="32"/>
          <w:lang w:val="en-US"/>
        </w:rPr>
        <w:t xml:space="preserve"> 21</w:t>
      </w:r>
      <w:r w:rsidR="008A56D7" w:rsidRPr="004542B5">
        <w:rPr>
          <w:noProof w:val="0"/>
          <w:szCs w:val="32"/>
          <w:lang w:val="en-US"/>
        </w:rPr>
        <w:t xml:space="preserve"> of the </w:t>
      </w:r>
      <w:r w:rsidR="00562CBB" w:rsidRPr="004542B5">
        <w:rPr>
          <w:noProof w:val="0"/>
          <w:szCs w:val="32"/>
          <w:lang w:val="en-US"/>
        </w:rPr>
        <w:t>Convention</w:t>
      </w:r>
      <w:r w:rsidR="007B47B1" w:rsidRPr="004542B5">
        <w:rPr>
          <w:noProof w:val="0"/>
          <w:szCs w:val="32"/>
          <w:lang w:val="en-US"/>
        </w:rPr>
        <w:t xml:space="preserve">. </w:t>
      </w:r>
      <w:r w:rsidRPr="004542B5">
        <w:rPr>
          <w:noProof w:val="0"/>
          <w:szCs w:val="32"/>
          <w:lang w:val="en-US"/>
        </w:rPr>
        <w:t xml:space="preserve">Article 127 of the current Constitution </w:t>
      </w:r>
      <w:r w:rsidR="00DF6B5D" w:rsidRPr="004542B5">
        <w:rPr>
          <w:noProof w:val="0"/>
          <w:szCs w:val="32"/>
          <w:lang w:val="en-US"/>
        </w:rPr>
        <w:t>(</w:t>
      </w:r>
      <w:r w:rsidR="00562CBB" w:rsidRPr="004542B5">
        <w:rPr>
          <w:noProof w:val="0"/>
          <w:szCs w:val="32"/>
          <w:lang w:val="en-US"/>
        </w:rPr>
        <w:t>Article</w:t>
      </w:r>
      <w:r w:rsidR="00DF6B5D" w:rsidRPr="004542B5">
        <w:rPr>
          <w:noProof w:val="0"/>
          <w:szCs w:val="32"/>
          <w:lang w:val="en-US"/>
        </w:rPr>
        <w:t xml:space="preserve"> 116 </w:t>
      </w:r>
      <w:r w:rsidRPr="004542B5">
        <w:rPr>
          <w:noProof w:val="0"/>
          <w:szCs w:val="32"/>
          <w:lang w:val="en-US"/>
        </w:rPr>
        <w:t>of the</w:t>
      </w:r>
      <w:r w:rsidR="00DF6B5D" w:rsidRPr="004542B5">
        <w:rPr>
          <w:noProof w:val="0"/>
          <w:szCs w:val="32"/>
          <w:lang w:val="en-US"/>
        </w:rPr>
        <w:t xml:space="preserve"> 1972 </w:t>
      </w:r>
      <w:r w:rsidRPr="004542B5">
        <w:rPr>
          <w:noProof w:val="0"/>
          <w:szCs w:val="32"/>
          <w:lang w:val="en-US"/>
        </w:rPr>
        <w:t>Constitution in force at the time of the facts) stipulate</w:t>
      </w:r>
      <w:r w:rsidR="00563BFA" w:rsidRPr="004542B5">
        <w:rPr>
          <w:noProof w:val="0"/>
          <w:szCs w:val="32"/>
          <w:lang w:val="en-US"/>
        </w:rPr>
        <w:t>s</w:t>
      </w:r>
      <w:r w:rsidRPr="004542B5">
        <w:rPr>
          <w:noProof w:val="0"/>
          <w:szCs w:val="32"/>
          <w:lang w:val="en-US"/>
        </w:rPr>
        <w:t xml:space="preserve">: </w:t>
      </w:r>
      <w:r w:rsidR="007B47B1" w:rsidRPr="004542B5">
        <w:rPr>
          <w:noProof w:val="0"/>
          <w:szCs w:val="32"/>
          <w:lang w:val="en-US"/>
        </w:rPr>
        <w:t>“</w:t>
      </w:r>
      <w:r w:rsidR="00562CBB" w:rsidRPr="004542B5">
        <w:rPr>
          <w:noProof w:val="0"/>
          <w:szCs w:val="32"/>
          <w:lang w:val="en-US"/>
        </w:rPr>
        <w:t>The State</w:t>
      </w:r>
      <w:r w:rsidR="007B47B1" w:rsidRPr="004542B5">
        <w:rPr>
          <w:noProof w:val="0"/>
          <w:szCs w:val="32"/>
          <w:lang w:val="en-US"/>
        </w:rPr>
        <w:t xml:space="preserve"> g</w:t>
      </w:r>
      <w:r w:rsidRPr="004542B5">
        <w:rPr>
          <w:noProof w:val="0"/>
          <w:szCs w:val="32"/>
          <w:lang w:val="en-US"/>
        </w:rPr>
        <w:t>uarantees to the indigenous communities the reserve of the necessary lands and the collective ownership</w:t>
      </w:r>
      <w:r w:rsidR="00563BFA" w:rsidRPr="004542B5">
        <w:rPr>
          <w:noProof w:val="0"/>
          <w:szCs w:val="32"/>
          <w:lang w:val="en-US"/>
        </w:rPr>
        <w:t xml:space="preserve"> of these</w:t>
      </w:r>
      <w:r w:rsidRPr="004542B5">
        <w:rPr>
          <w:noProof w:val="0"/>
          <w:szCs w:val="32"/>
          <w:lang w:val="en-US"/>
        </w:rPr>
        <w:t xml:space="preserve"> to ensure their economi</w:t>
      </w:r>
      <w:r w:rsidR="00563BFA" w:rsidRPr="004542B5">
        <w:rPr>
          <w:noProof w:val="0"/>
          <w:szCs w:val="32"/>
          <w:lang w:val="en-US"/>
        </w:rPr>
        <w:t>c</w:t>
      </w:r>
      <w:r w:rsidRPr="004542B5">
        <w:rPr>
          <w:noProof w:val="0"/>
          <w:szCs w:val="32"/>
          <w:lang w:val="en-US"/>
        </w:rPr>
        <w:t xml:space="preserve"> and social well-being. The law shall regulate the procedures to be followed to achieve this </w:t>
      </w:r>
      <w:r w:rsidR="00563BFA" w:rsidRPr="004542B5">
        <w:rPr>
          <w:noProof w:val="0"/>
          <w:szCs w:val="32"/>
          <w:lang w:val="en-US"/>
        </w:rPr>
        <w:t>goal</w:t>
      </w:r>
      <w:r w:rsidRPr="004542B5">
        <w:rPr>
          <w:noProof w:val="0"/>
          <w:szCs w:val="32"/>
          <w:lang w:val="en-US"/>
        </w:rPr>
        <w:t xml:space="preserve"> and the corresponding boundaries within which the private appropriation o</w:t>
      </w:r>
      <w:r w:rsidR="00563BFA" w:rsidRPr="004542B5">
        <w:rPr>
          <w:noProof w:val="0"/>
          <w:szCs w:val="32"/>
          <w:lang w:val="en-US"/>
        </w:rPr>
        <w:t>f</w:t>
      </w:r>
      <w:r w:rsidRPr="004542B5">
        <w:rPr>
          <w:noProof w:val="0"/>
          <w:szCs w:val="32"/>
          <w:lang w:val="en-US"/>
        </w:rPr>
        <w:t xml:space="preserve"> lands is prohibited.” In addition, that pro</w:t>
      </w:r>
      <w:r w:rsidR="00563BFA" w:rsidRPr="004542B5">
        <w:rPr>
          <w:noProof w:val="0"/>
          <w:szCs w:val="32"/>
          <w:lang w:val="en-US"/>
        </w:rPr>
        <w:t>v</w:t>
      </w:r>
      <w:r w:rsidRPr="004542B5">
        <w:rPr>
          <w:noProof w:val="0"/>
          <w:szCs w:val="32"/>
          <w:lang w:val="en-US"/>
        </w:rPr>
        <w:t>ision is not restricted to the ownership of ancestral lands, but refers to the “reserve of the necessary lands […] to ensure their economi</w:t>
      </w:r>
      <w:r w:rsidR="00563BFA" w:rsidRPr="004542B5">
        <w:rPr>
          <w:noProof w:val="0"/>
          <w:szCs w:val="32"/>
          <w:lang w:val="en-US"/>
        </w:rPr>
        <w:t>c</w:t>
      </w:r>
      <w:r w:rsidRPr="004542B5">
        <w:rPr>
          <w:noProof w:val="0"/>
          <w:szCs w:val="32"/>
          <w:lang w:val="en-US"/>
        </w:rPr>
        <w:t xml:space="preserve"> and social well-being.” Therefore, since 1946, the Panamanian Constitution has recognized the right of the indigenous peoples to the ownership of the land</w:t>
      </w:r>
      <w:r w:rsidR="00DF6B5D" w:rsidRPr="004542B5">
        <w:rPr>
          <w:noProof w:val="0"/>
          <w:szCs w:val="20"/>
          <w:lang w:val="en-US"/>
        </w:rPr>
        <w:t xml:space="preserve"> </w:t>
      </w:r>
      <w:r w:rsidR="00DF6B5D" w:rsidRPr="004542B5">
        <w:rPr>
          <w:noProof w:val="0"/>
          <w:szCs w:val="32"/>
          <w:lang w:val="en-US"/>
        </w:rPr>
        <w:t>(</w:t>
      </w:r>
      <w:r w:rsidR="00DF6B5D" w:rsidRPr="004542B5">
        <w:rPr>
          <w:i/>
          <w:noProof w:val="0"/>
          <w:szCs w:val="32"/>
          <w:lang w:val="en-US"/>
        </w:rPr>
        <w:t>supra</w:t>
      </w:r>
      <w:r w:rsidR="00DF6B5D" w:rsidRPr="004542B5">
        <w:rPr>
          <w:noProof w:val="0"/>
          <w:szCs w:val="32"/>
          <w:lang w:val="en-US"/>
        </w:rPr>
        <w:t xml:space="preserve"> </w:t>
      </w:r>
      <w:r w:rsidR="00F66B76" w:rsidRPr="004542B5">
        <w:rPr>
          <w:noProof w:val="0"/>
          <w:szCs w:val="32"/>
          <w:lang w:val="en-US"/>
        </w:rPr>
        <w:t>para.</w:t>
      </w:r>
      <w:r w:rsidR="00DF6B5D" w:rsidRPr="004542B5">
        <w:rPr>
          <w:noProof w:val="0"/>
          <w:szCs w:val="32"/>
          <w:lang w:val="en-US"/>
        </w:rPr>
        <w:t xml:space="preserve"> 59) </w:t>
      </w:r>
      <w:r w:rsidRPr="004542B5">
        <w:rPr>
          <w:noProof w:val="0"/>
          <w:szCs w:val="32"/>
          <w:lang w:val="en-US"/>
        </w:rPr>
        <w:t>and, with the entry into force of the 1972 Constitution in October that year, the State had the obligation to recognize th</w:t>
      </w:r>
      <w:r w:rsidR="00990D93" w:rsidRPr="004542B5">
        <w:rPr>
          <w:noProof w:val="0"/>
          <w:szCs w:val="32"/>
          <w:lang w:val="en-US"/>
        </w:rPr>
        <w:t>o</w:t>
      </w:r>
      <w:r w:rsidRPr="004542B5">
        <w:rPr>
          <w:noProof w:val="0"/>
          <w:szCs w:val="32"/>
          <w:lang w:val="en-US"/>
        </w:rPr>
        <w:t>se rights legally.</w:t>
      </w:r>
    </w:p>
    <w:p w14:paraId="69F84C6C" w14:textId="504984FF" w:rsidR="003565AA" w:rsidRPr="004542B5" w:rsidRDefault="006F20B6" w:rsidP="00E01664">
      <w:pPr>
        <w:pStyle w:val="ListParagraph"/>
        <w:numPr>
          <w:ilvl w:val="0"/>
          <w:numId w:val="2"/>
        </w:numPr>
        <w:spacing w:before="120" w:after="120"/>
        <w:contextualSpacing w:val="0"/>
        <w:rPr>
          <w:noProof w:val="0"/>
          <w:lang w:val="en-US"/>
        </w:rPr>
      </w:pPr>
      <w:r w:rsidRPr="004542B5">
        <w:rPr>
          <w:noProof w:val="0"/>
          <w:szCs w:val="32"/>
          <w:lang w:val="en-US"/>
        </w:rPr>
        <w:t>In addition</w:t>
      </w:r>
      <w:r w:rsidR="00DF6B5D" w:rsidRPr="004542B5">
        <w:rPr>
          <w:noProof w:val="0"/>
          <w:szCs w:val="32"/>
          <w:lang w:val="en-US"/>
        </w:rPr>
        <w:t xml:space="preserve">, </w:t>
      </w:r>
      <w:r w:rsidRPr="004542B5">
        <w:rPr>
          <w:noProof w:val="0"/>
          <w:szCs w:val="20"/>
          <w:lang w:val="en-US"/>
        </w:rPr>
        <w:t>on May 8,</w:t>
      </w:r>
      <w:r w:rsidR="00DF6B5D" w:rsidRPr="004542B5">
        <w:rPr>
          <w:noProof w:val="0"/>
          <w:szCs w:val="20"/>
          <w:lang w:val="en-US"/>
        </w:rPr>
        <w:t xml:space="preserve"> 1969</w:t>
      </w:r>
      <w:r w:rsidRPr="004542B5">
        <w:rPr>
          <w:noProof w:val="0"/>
          <w:szCs w:val="20"/>
          <w:lang w:val="en-US"/>
        </w:rPr>
        <w:t>,</w:t>
      </w:r>
      <w:r w:rsidR="00DF6B5D" w:rsidRPr="004542B5">
        <w:rPr>
          <w:noProof w:val="0"/>
          <w:szCs w:val="20"/>
          <w:lang w:val="en-US"/>
        </w:rPr>
        <w:t xml:space="preserve"> </w:t>
      </w:r>
      <w:r w:rsidR="00C06694" w:rsidRPr="004542B5">
        <w:rPr>
          <w:noProof w:val="0"/>
          <w:szCs w:val="20"/>
          <w:lang w:val="en-US"/>
        </w:rPr>
        <w:t>Executive Decree</w:t>
      </w:r>
      <w:r w:rsidR="00DF6B5D" w:rsidRPr="004542B5">
        <w:rPr>
          <w:noProof w:val="0"/>
          <w:szCs w:val="20"/>
          <w:lang w:val="en-US"/>
        </w:rPr>
        <w:t xml:space="preserve"> </w:t>
      </w:r>
      <w:r w:rsidR="00CD2B90" w:rsidRPr="004542B5">
        <w:rPr>
          <w:noProof w:val="0"/>
          <w:szCs w:val="20"/>
          <w:lang w:val="en-US"/>
        </w:rPr>
        <w:t>No.</w:t>
      </w:r>
      <w:r w:rsidR="00DF6B5D" w:rsidRPr="004542B5">
        <w:rPr>
          <w:noProof w:val="0"/>
          <w:szCs w:val="20"/>
          <w:lang w:val="en-US"/>
        </w:rPr>
        <w:t xml:space="preserve"> 123 (</w:t>
      </w:r>
      <w:r w:rsidR="00DF6B5D" w:rsidRPr="004542B5">
        <w:rPr>
          <w:i/>
          <w:noProof w:val="0"/>
          <w:szCs w:val="20"/>
          <w:lang w:val="en-US"/>
        </w:rPr>
        <w:t>supra</w:t>
      </w:r>
      <w:r w:rsidR="00DF6B5D" w:rsidRPr="004542B5">
        <w:rPr>
          <w:noProof w:val="0"/>
          <w:szCs w:val="20"/>
          <w:lang w:val="en-US"/>
        </w:rPr>
        <w:t xml:space="preserve"> </w:t>
      </w:r>
      <w:r w:rsidR="00F66B76" w:rsidRPr="004542B5">
        <w:rPr>
          <w:noProof w:val="0"/>
          <w:szCs w:val="20"/>
          <w:lang w:val="en-US"/>
        </w:rPr>
        <w:t>para.</w:t>
      </w:r>
      <w:r w:rsidR="00DF6B5D" w:rsidRPr="004542B5">
        <w:rPr>
          <w:noProof w:val="0"/>
          <w:szCs w:val="20"/>
          <w:lang w:val="en-US"/>
        </w:rPr>
        <w:t xml:space="preserve"> 63) </w:t>
      </w:r>
      <w:r w:rsidRPr="004542B5">
        <w:rPr>
          <w:noProof w:val="0"/>
          <w:szCs w:val="20"/>
          <w:lang w:val="en-US"/>
        </w:rPr>
        <w:t>had been issued which declared the alternative lands “non-adjudicable,” establishing that “[t]he purpose of the non-adjudicable nature of these lands is to compensate the area of the actual Indigenous Reserve that will be flooded by the reservoir of the Bayano Hydroelectric Project.</w:t>
      </w:r>
      <w:r w:rsidR="00DF6B5D" w:rsidRPr="004542B5">
        <w:rPr>
          <w:noProof w:val="0"/>
          <w:szCs w:val="20"/>
          <w:lang w:val="en-US"/>
        </w:rPr>
        <w:t>”</w:t>
      </w:r>
      <w:r w:rsidR="00DF6B5D" w:rsidRPr="004542B5">
        <w:rPr>
          <w:rStyle w:val="FootnoteReference"/>
          <w:noProof w:val="0"/>
          <w:lang w:val="en-US"/>
        </w:rPr>
        <w:footnoteReference w:id="201"/>
      </w:r>
      <w:r w:rsidRPr="004542B5">
        <w:rPr>
          <w:noProof w:val="0"/>
          <w:szCs w:val="20"/>
          <w:lang w:val="en-US"/>
        </w:rPr>
        <w:t xml:space="preserve"> Similarly, on July 8, 1971, </w:t>
      </w:r>
      <w:r w:rsidR="00C06694" w:rsidRPr="004542B5">
        <w:rPr>
          <w:noProof w:val="0"/>
          <w:szCs w:val="20"/>
          <w:lang w:val="en-US"/>
        </w:rPr>
        <w:t>Executive Decree</w:t>
      </w:r>
      <w:r w:rsidR="00DF6B5D" w:rsidRPr="004542B5">
        <w:rPr>
          <w:noProof w:val="0"/>
          <w:szCs w:val="20"/>
          <w:lang w:val="en-US"/>
        </w:rPr>
        <w:t xml:space="preserve"> </w:t>
      </w:r>
      <w:r w:rsidR="00CD2B90" w:rsidRPr="004542B5">
        <w:rPr>
          <w:noProof w:val="0"/>
          <w:szCs w:val="20"/>
          <w:lang w:val="en-US"/>
        </w:rPr>
        <w:t>No.</w:t>
      </w:r>
      <w:r w:rsidR="00DF6B5D" w:rsidRPr="004542B5">
        <w:rPr>
          <w:noProof w:val="0"/>
          <w:szCs w:val="20"/>
          <w:lang w:val="en-US"/>
        </w:rPr>
        <w:t xml:space="preserve"> 156 </w:t>
      </w:r>
      <w:r w:rsidRPr="004542B5">
        <w:rPr>
          <w:noProof w:val="0"/>
          <w:szCs w:val="20"/>
          <w:lang w:val="en-US"/>
        </w:rPr>
        <w:t>was issued which indicated that “[t]he indigenous groups that inhabit the actual Bayano Indigenous Reserve</w:t>
      </w:r>
      <w:r w:rsidR="00DF6B5D" w:rsidRPr="004542B5">
        <w:rPr>
          <w:noProof w:val="0"/>
          <w:szCs w:val="20"/>
          <w:lang w:val="en-US"/>
        </w:rPr>
        <w:t xml:space="preserve">] </w:t>
      </w:r>
      <w:r w:rsidRPr="004542B5">
        <w:rPr>
          <w:noProof w:val="0"/>
          <w:szCs w:val="20"/>
          <w:lang w:val="en-US"/>
        </w:rPr>
        <w:t>will have to relocate to areas that have been established as non-adjudicable by</w:t>
      </w:r>
      <w:r w:rsidR="00DF6B5D" w:rsidRPr="004542B5">
        <w:rPr>
          <w:noProof w:val="0"/>
          <w:szCs w:val="20"/>
          <w:lang w:val="en-US"/>
        </w:rPr>
        <w:t xml:space="preserve"> </w:t>
      </w:r>
      <w:r w:rsidR="00C06694" w:rsidRPr="004542B5">
        <w:rPr>
          <w:noProof w:val="0"/>
          <w:szCs w:val="20"/>
          <w:lang w:val="en-US"/>
        </w:rPr>
        <w:t>Executive Decree</w:t>
      </w:r>
      <w:r w:rsidR="00DF6B5D" w:rsidRPr="004542B5">
        <w:rPr>
          <w:noProof w:val="0"/>
          <w:szCs w:val="20"/>
          <w:lang w:val="en-US"/>
        </w:rPr>
        <w:t xml:space="preserve"> </w:t>
      </w:r>
      <w:r w:rsidR="00CD2B90" w:rsidRPr="004542B5">
        <w:rPr>
          <w:noProof w:val="0"/>
          <w:szCs w:val="20"/>
          <w:lang w:val="en-US"/>
        </w:rPr>
        <w:t>No.</w:t>
      </w:r>
      <w:r w:rsidR="00DF6B5D" w:rsidRPr="004542B5">
        <w:rPr>
          <w:noProof w:val="0"/>
          <w:szCs w:val="20"/>
          <w:lang w:val="en-US"/>
        </w:rPr>
        <w:t xml:space="preserve"> 123 </w:t>
      </w:r>
      <w:r w:rsidRPr="004542B5">
        <w:rPr>
          <w:noProof w:val="0"/>
          <w:szCs w:val="20"/>
          <w:lang w:val="en-US"/>
        </w:rPr>
        <w:t>of May 8,</w:t>
      </w:r>
      <w:r w:rsidR="00DF6B5D" w:rsidRPr="004542B5">
        <w:rPr>
          <w:noProof w:val="0"/>
          <w:szCs w:val="20"/>
          <w:lang w:val="en-US"/>
        </w:rPr>
        <w:t xml:space="preserve"> 1969</w:t>
      </w:r>
      <w:r w:rsidRPr="004542B5">
        <w:rPr>
          <w:noProof w:val="0"/>
          <w:szCs w:val="20"/>
          <w:lang w:val="en-US"/>
        </w:rPr>
        <w:t>,</w:t>
      </w:r>
      <w:r w:rsidR="00DF6B5D" w:rsidRPr="004542B5">
        <w:rPr>
          <w:noProof w:val="0"/>
          <w:szCs w:val="20"/>
          <w:lang w:val="en-US"/>
        </w:rPr>
        <w:t xml:space="preserve"> </w:t>
      </w:r>
      <w:r w:rsidRPr="004542B5">
        <w:rPr>
          <w:noProof w:val="0"/>
          <w:szCs w:val="20"/>
          <w:lang w:val="en-US"/>
        </w:rPr>
        <w:t>i</w:t>
      </w:r>
      <w:r w:rsidR="00DF6B5D" w:rsidRPr="004542B5">
        <w:rPr>
          <w:noProof w:val="0"/>
          <w:szCs w:val="20"/>
          <w:lang w:val="en-US"/>
        </w:rPr>
        <w:t>n compensa</w:t>
      </w:r>
      <w:r w:rsidRPr="004542B5">
        <w:rPr>
          <w:noProof w:val="0"/>
          <w:szCs w:val="20"/>
          <w:lang w:val="en-US"/>
        </w:rPr>
        <w:t>tion for the area of the actual indigenous reserve that will be flooded.</w:t>
      </w:r>
      <w:r w:rsidR="00DF6B5D" w:rsidRPr="004542B5">
        <w:rPr>
          <w:noProof w:val="0"/>
          <w:szCs w:val="20"/>
          <w:lang w:val="en-US"/>
        </w:rPr>
        <w:t>”</w:t>
      </w:r>
      <w:r w:rsidR="00DF6B5D" w:rsidRPr="004542B5">
        <w:rPr>
          <w:rStyle w:val="FootnoteReference"/>
          <w:noProof w:val="0"/>
          <w:lang w:val="en-US"/>
        </w:rPr>
        <w:footnoteReference w:id="202"/>
      </w:r>
      <w:r w:rsidRPr="004542B5">
        <w:rPr>
          <w:noProof w:val="0"/>
          <w:szCs w:val="20"/>
          <w:lang w:val="en-US"/>
        </w:rPr>
        <w:t xml:space="preserve"> Consequently, the Court considers that </w:t>
      </w:r>
      <w:r w:rsidR="00990D93" w:rsidRPr="004542B5">
        <w:rPr>
          <w:noProof w:val="0"/>
          <w:szCs w:val="20"/>
          <w:lang w:val="en-US"/>
        </w:rPr>
        <w:t>by issuing this</w:t>
      </w:r>
      <w:r w:rsidRPr="004542B5">
        <w:rPr>
          <w:noProof w:val="0"/>
          <w:szCs w:val="20"/>
          <w:lang w:val="en-US"/>
        </w:rPr>
        <w:t xml:space="preserve"> decree</w:t>
      </w:r>
      <w:r w:rsidR="00990D93" w:rsidRPr="004542B5">
        <w:rPr>
          <w:noProof w:val="0"/>
          <w:szCs w:val="20"/>
          <w:lang w:val="en-US"/>
        </w:rPr>
        <w:t xml:space="preserve">, the State assumed </w:t>
      </w:r>
      <w:r w:rsidRPr="004542B5">
        <w:rPr>
          <w:noProof w:val="0"/>
          <w:szCs w:val="20"/>
          <w:lang w:val="en-US"/>
        </w:rPr>
        <w:t xml:space="preserve">an obligation to respect and </w:t>
      </w:r>
      <w:r w:rsidR="00990D93" w:rsidRPr="004542B5">
        <w:rPr>
          <w:noProof w:val="0"/>
          <w:szCs w:val="20"/>
          <w:lang w:val="en-US"/>
        </w:rPr>
        <w:t xml:space="preserve">to </w:t>
      </w:r>
      <w:r w:rsidRPr="004542B5">
        <w:rPr>
          <w:noProof w:val="0"/>
          <w:szCs w:val="20"/>
          <w:lang w:val="en-US"/>
        </w:rPr>
        <w:t>ensure the effective enjoyment by the indigenous peoples of the right to ownership of the lands assigned to them</w:t>
      </w:r>
      <w:r w:rsidR="007B47B1" w:rsidRPr="004542B5">
        <w:rPr>
          <w:noProof w:val="0"/>
          <w:szCs w:val="20"/>
          <w:lang w:val="en-US"/>
        </w:rPr>
        <w:t>.</w:t>
      </w:r>
    </w:p>
    <w:p w14:paraId="35A31B8F" w14:textId="054F8E98" w:rsidR="00DD49C6" w:rsidRPr="004542B5" w:rsidRDefault="00DD49C6" w:rsidP="00DD49C6">
      <w:pPr>
        <w:pStyle w:val="ListParagraph"/>
        <w:numPr>
          <w:ilvl w:val="0"/>
          <w:numId w:val="2"/>
        </w:numPr>
        <w:spacing w:before="120" w:after="120"/>
        <w:contextualSpacing w:val="0"/>
        <w:rPr>
          <w:noProof w:val="0"/>
          <w:szCs w:val="20"/>
          <w:lang w:val="en-US"/>
        </w:rPr>
      </w:pPr>
      <w:r w:rsidRPr="004542B5">
        <w:rPr>
          <w:noProof w:val="0"/>
          <w:lang w:val="en-US"/>
        </w:rPr>
        <w:t>Regarding international obligations, the Court notes that article 11 of ILO Convention No. 107, ratified by Panama on June 4, 1971, establishes that: “[t]he right of ownership, collective or individual, of the members of the populations concerned [indigenous, tribal and semi-tribal] over the lands which these populations traditionally occupy shall be recognised.”</w:t>
      </w:r>
    </w:p>
    <w:p w14:paraId="00B60564" w14:textId="7D12B7EF" w:rsidR="002E6C8B" w:rsidRPr="004542B5" w:rsidRDefault="00DD49C6" w:rsidP="00E01664">
      <w:pPr>
        <w:pStyle w:val="ListParagraph"/>
        <w:numPr>
          <w:ilvl w:val="0"/>
          <w:numId w:val="2"/>
        </w:numPr>
        <w:spacing w:before="120" w:after="120"/>
        <w:contextualSpacing w:val="0"/>
        <w:rPr>
          <w:noProof w:val="0"/>
          <w:szCs w:val="20"/>
          <w:lang w:val="en-US"/>
        </w:rPr>
      </w:pPr>
      <w:r w:rsidRPr="004542B5">
        <w:rPr>
          <w:noProof w:val="0"/>
          <w:szCs w:val="20"/>
          <w:lang w:val="en-US"/>
        </w:rPr>
        <w:t xml:space="preserve">The Court also recalls its case law concerning the communal ownership of indigenous lands according to which it has indicated, </w:t>
      </w:r>
      <w:r w:rsidR="00DF6B5D" w:rsidRPr="004542B5">
        <w:rPr>
          <w:i/>
          <w:noProof w:val="0"/>
          <w:szCs w:val="20"/>
          <w:lang w:val="en-US"/>
        </w:rPr>
        <w:t>inter alia</w:t>
      </w:r>
      <w:r w:rsidRPr="004542B5">
        <w:rPr>
          <w:i/>
          <w:noProof w:val="0"/>
          <w:szCs w:val="20"/>
          <w:lang w:val="en-US"/>
        </w:rPr>
        <w:t>,</w:t>
      </w:r>
      <w:r w:rsidR="00DF6B5D" w:rsidRPr="004542B5">
        <w:rPr>
          <w:noProof w:val="0"/>
          <w:szCs w:val="20"/>
          <w:lang w:val="en-US"/>
        </w:rPr>
        <w:t xml:space="preserve"> </w:t>
      </w:r>
      <w:r w:rsidRPr="004542B5">
        <w:rPr>
          <w:noProof w:val="0"/>
          <w:szCs w:val="20"/>
          <w:lang w:val="en-US"/>
        </w:rPr>
        <w:t>that</w:t>
      </w:r>
      <w:r w:rsidR="00DF6B5D" w:rsidRPr="004542B5">
        <w:rPr>
          <w:noProof w:val="0"/>
          <w:szCs w:val="20"/>
          <w:lang w:val="en-US"/>
        </w:rPr>
        <w:t xml:space="preserve">: </w:t>
      </w:r>
      <w:r w:rsidRPr="004542B5">
        <w:rPr>
          <w:noProof w:val="0"/>
          <w:szCs w:val="20"/>
          <w:lang w:val="en-US"/>
        </w:rPr>
        <w:t>(</w:t>
      </w:r>
      <w:r w:rsidR="00DF6B5D" w:rsidRPr="004542B5">
        <w:rPr>
          <w:noProof w:val="0"/>
          <w:szCs w:val="20"/>
          <w:lang w:val="en-US"/>
        </w:rPr>
        <w:t xml:space="preserve">1) </w:t>
      </w:r>
      <w:r w:rsidRPr="004542B5">
        <w:rPr>
          <w:noProof w:val="0"/>
          <w:szCs w:val="20"/>
          <w:lang w:val="en-US"/>
        </w:rPr>
        <w:t xml:space="preserve">the effects of the traditional </w:t>
      </w:r>
      <w:r w:rsidR="006110CB" w:rsidRPr="004542B5">
        <w:rPr>
          <w:noProof w:val="0"/>
          <w:szCs w:val="20"/>
          <w:lang w:val="en-US"/>
        </w:rPr>
        <w:t>possession</w:t>
      </w:r>
      <w:r w:rsidRPr="004542B5">
        <w:rPr>
          <w:noProof w:val="0"/>
          <w:szCs w:val="20"/>
          <w:lang w:val="en-US"/>
        </w:rPr>
        <w:t xml:space="preserve"> of indigenous peoples of their lands are equivalent to the title of full ownership granted by the State</w:t>
      </w:r>
      <w:r w:rsidR="00DF6B5D" w:rsidRPr="004542B5">
        <w:rPr>
          <w:noProof w:val="0"/>
          <w:szCs w:val="20"/>
          <w:lang w:val="en-US"/>
        </w:rPr>
        <w:t xml:space="preserve">; </w:t>
      </w:r>
      <w:r w:rsidRPr="004542B5">
        <w:rPr>
          <w:noProof w:val="0"/>
          <w:szCs w:val="20"/>
          <w:lang w:val="en-US"/>
        </w:rPr>
        <w:t>(</w:t>
      </w:r>
      <w:r w:rsidR="00DF6B5D" w:rsidRPr="004542B5">
        <w:rPr>
          <w:noProof w:val="0"/>
          <w:szCs w:val="20"/>
          <w:lang w:val="en-US"/>
        </w:rPr>
        <w:t xml:space="preserve">2) </w:t>
      </w:r>
      <w:r w:rsidRPr="004542B5">
        <w:rPr>
          <w:noProof w:val="0"/>
          <w:szCs w:val="20"/>
          <w:lang w:val="en-US"/>
        </w:rPr>
        <w:t>traditional posse</w:t>
      </w:r>
      <w:r w:rsidR="00990D93" w:rsidRPr="004542B5">
        <w:rPr>
          <w:noProof w:val="0"/>
          <w:szCs w:val="20"/>
          <w:lang w:val="en-US"/>
        </w:rPr>
        <w:t>s</w:t>
      </w:r>
      <w:r w:rsidRPr="004542B5">
        <w:rPr>
          <w:noProof w:val="0"/>
          <w:szCs w:val="20"/>
          <w:lang w:val="en-US"/>
        </w:rPr>
        <w:t xml:space="preserve">sion grants indigenous peoples the right to demand </w:t>
      </w:r>
      <w:r w:rsidRPr="004542B5">
        <w:rPr>
          <w:noProof w:val="0"/>
          <w:szCs w:val="20"/>
          <w:lang w:val="en-US"/>
        </w:rPr>
        <w:lastRenderedPageBreak/>
        <w:t>official recognition of ownership and its registration, and (3) t</w:t>
      </w:r>
      <w:r w:rsidR="00133200" w:rsidRPr="004542B5">
        <w:rPr>
          <w:noProof w:val="0"/>
          <w:szCs w:val="20"/>
          <w:lang w:val="en-US"/>
        </w:rPr>
        <w:t>he State shall</w:t>
      </w:r>
      <w:r w:rsidR="00DF6B5D" w:rsidRPr="004542B5">
        <w:rPr>
          <w:noProof w:val="0"/>
          <w:szCs w:val="20"/>
          <w:lang w:val="en-US"/>
        </w:rPr>
        <w:t xml:space="preserve"> delimit, demarc</w:t>
      </w:r>
      <w:r w:rsidRPr="004542B5">
        <w:rPr>
          <w:noProof w:val="0"/>
          <w:szCs w:val="20"/>
          <w:lang w:val="en-US"/>
        </w:rPr>
        <w:t>ate and grant collective title to the land to the me</w:t>
      </w:r>
      <w:r w:rsidR="00990D93" w:rsidRPr="004542B5">
        <w:rPr>
          <w:noProof w:val="0"/>
          <w:szCs w:val="20"/>
          <w:lang w:val="en-US"/>
        </w:rPr>
        <w:t>m</w:t>
      </w:r>
      <w:r w:rsidRPr="004542B5">
        <w:rPr>
          <w:noProof w:val="0"/>
          <w:szCs w:val="20"/>
          <w:lang w:val="en-US"/>
        </w:rPr>
        <w:t>bers of indigenous communities.</w:t>
      </w:r>
      <w:r w:rsidR="00DF6B5D" w:rsidRPr="004542B5">
        <w:rPr>
          <w:rStyle w:val="FootnoteReference"/>
          <w:noProof w:val="0"/>
          <w:lang w:val="en-US"/>
        </w:rPr>
        <w:footnoteReference w:id="203"/>
      </w:r>
      <w:r w:rsidR="007B47B1" w:rsidRPr="004542B5">
        <w:rPr>
          <w:noProof w:val="0"/>
          <w:szCs w:val="20"/>
          <w:lang w:val="en-US"/>
        </w:rPr>
        <w:t xml:space="preserve"> </w:t>
      </w:r>
    </w:p>
    <w:p w14:paraId="61F9800E" w14:textId="265F6A7C" w:rsidR="009850DF" w:rsidRPr="004542B5" w:rsidRDefault="003D1480" w:rsidP="003D1480">
      <w:pPr>
        <w:pStyle w:val="ListParagraph"/>
        <w:numPr>
          <w:ilvl w:val="0"/>
          <w:numId w:val="2"/>
        </w:numPr>
        <w:spacing w:before="120" w:after="120"/>
        <w:contextualSpacing w:val="0"/>
        <w:rPr>
          <w:noProof w:val="0"/>
          <w:szCs w:val="20"/>
          <w:lang w:val="en-US"/>
        </w:rPr>
      </w:pPr>
      <w:r w:rsidRPr="004542B5">
        <w:rPr>
          <w:noProof w:val="0"/>
          <w:szCs w:val="20"/>
          <w:lang w:val="en-US"/>
        </w:rPr>
        <w:t>In addition, it should be pointed out that various Member States of the Organization of American States (OAS) that have accepted the Court’s c</w:t>
      </w:r>
      <w:r w:rsidR="00990D93" w:rsidRPr="004542B5">
        <w:rPr>
          <w:noProof w:val="0"/>
          <w:szCs w:val="20"/>
          <w:lang w:val="en-US"/>
        </w:rPr>
        <w:t>ompulsory</w:t>
      </w:r>
      <w:r w:rsidRPr="004542B5">
        <w:rPr>
          <w:noProof w:val="0"/>
          <w:szCs w:val="20"/>
          <w:lang w:val="en-US"/>
        </w:rPr>
        <w:t xml:space="preserve"> jurisdiction – for example, </w:t>
      </w:r>
      <w:r w:rsidR="00DF6B5D" w:rsidRPr="004542B5">
        <w:rPr>
          <w:noProof w:val="0"/>
          <w:szCs w:val="20"/>
          <w:lang w:val="en-US"/>
        </w:rPr>
        <w:t>Argentina, Bolivia, Bra</w:t>
      </w:r>
      <w:r w:rsidRPr="004542B5">
        <w:rPr>
          <w:noProof w:val="0"/>
          <w:szCs w:val="20"/>
          <w:lang w:val="en-US"/>
        </w:rPr>
        <w:t>z</w:t>
      </w:r>
      <w:r w:rsidR="00DF6B5D" w:rsidRPr="004542B5">
        <w:rPr>
          <w:noProof w:val="0"/>
          <w:szCs w:val="20"/>
          <w:lang w:val="en-US"/>
        </w:rPr>
        <w:t>il, Colombia, Costa Rica, Ecuador, Honduras, Pa</w:t>
      </w:r>
      <w:r w:rsidR="007674BA" w:rsidRPr="004542B5">
        <w:rPr>
          <w:noProof w:val="0"/>
          <w:szCs w:val="20"/>
          <w:lang w:val="en-US"/>
        </w:rPr>
        <w:t xml:space="preserve">raguay, </w:t>
      </w:r>
      <w:r w:rsidRPr="004542B5">
        <w:rPr>
          <w:noProof w:val="0"/>
          <w:szCs w:val="20"/>
          <w:lang w:val="en-US"/>
        </w:rPr>
        <w:t>Peru</w:t>
      </w:r>
      <w:r w:rsidR="00CD2B90" w:rsidRPr="004542B5">
        <w:rPr>
          <w:noProof w:val="0"/>
          <w:szCs w:val="20"/>
          <w:lang w:val="en-US"/>
        </w:rPr>
        <w:t xml:space="preserve"> and </w:t>
      </w:r>
      <w:r w:rsidR="00DF6B5D" w:rsidRPr="004542B5">
        <w:rPr>
          <w:noProof w:val="0"/>
          <w:szCs w:val="20"/>
          <w:lang w:val="en-US"/>
        </w:rPr>
        <w:t xml:space="preserve">Venezuela </w:t>
      </w:r>
      <w:r w:rsidRPr="004542B5">
        <w:rPr>
          <w:noProof w:val="0"/>
          <w:szCs w:val="20"/>
          <w:lang w:val="en-US"/>
        </w:rPr>
        <w:t>– have</w:t>
      </w:r>
      <w:r w:rsidR="00990D93" w:rsidRPr="004542B5">
        <w:rPr>
          <w:noProof w:val="0"/>
          <w:szCs w:val="20"/>
          <w:lang w:val="en-US"/>
        </w:rPr>
        <w:t>,</w:t>
      </w:r>
      <w:r w:rsidRPr="004542B5">
        <w:rPr>
          <w:noProof w:val="0"/>
          <w:szCs w:val="20"/>
          <w:lang w:val="en-US"/>
        </w:rPr>
        <w:t xml:space="preserve"> in some way</w:t>
      </w:r>
      <w:r w:rsidR="00990D93" w:rsidRPr="004542B5">
        <w:rPr>
          <w:noProof w:val="0"/>
          <w:szCs w:val="20"/>
          <w:lang w:val="en-US"/>
        </w:rPr>
        <w:t>,</w:t>
      </w:r>
      <w:r w:rsidRPr="004542B5">
        <w:rPr>
          <w:noProof w:val="0"/>
          <w:szCs w:val="20"/>
          <w:lang w:val="en-US"/>
        </w:rPr>
        <w:t xml:space="preserve"> incorporated the obligations to delimit, demarcate and title indigenous lands in</w:t>
      </w:r>
      <w:r w:rsidR="00990D93" w:rsidRPr="004542B5">
        <w:rPr>
          <w:noProof w:val="0"/>
          <w:szCs w:val="20"/>
          <w:lang w:val="en-US"/>
        </w:rPr>
        <w:t>to</w:t>
      </w:r>
      <w:r w:rsidRPr="004542B5">
        <w:rPr>
          <w:noProof w:val="0"/>
          <w:szCs w:val="20"/>
          <w:lang w:val="en-US"/>
        </w:rPr>
        <w:t xml:space="preserve"> their domestic laws, at least in the 1970s,</w:t>
      </w:r>
      <w:r w:rsidR="00DF6B5D" w:rsidRPr="004542B5">
        <w:rPr>
          <w:rStyle w:val="FootnoteReference"/>
          <w:noProof w:val="0"/>
          <w:lang w:val="en-US"/>
        </w:rPr>
        <w:footnoteReference w:id="204"/>
      </w:r>
      <w:r w:rsidR="00DF6B5D" w:rsidRPr="004542B5">
        <w:rPr>
          <w:noProof w:val="0"/>
          <w:szCs w:val="20"/>
          <w:lang w:val="en-US"/>
        </w:rPr>
        <w:t xml:space="preserve"> </w:t>
      </w:r>
      <w:r w:rsidRPr="004542B5">
        <w:rPr>
          <w:noProof w:val="0"/>
          <w:szCs w:val="20"/>
          <w:lang w:val="en-US"/>
        </w:rPr>
        <w:t>19</w:t>
      </w:r>
      <w:r w:rsidR="00DF6B5D" w:rsidRPr="004542B5">
        <w:rPr>
          <w:noProof w:val="0"/>
          <w:szCs w:val="32"/>
          <w:lang w:val="en-US"/>
        </w:rPr>
        <w:t>80</w:t>
      </w:r>
      <w:r w:rsidRPr="004542B5">
        <w:rPr>
          <w:noProof w:val="0"/>
          <w:szCs w:val="32"/>
          <w:lang w:val="en-US"/>
        </w:rPr>
        <w:t>s,</w:t>
      </w:r>
      <w:r w:rsidR="00DF6B5D" w:rsidRPr="004542B5">
        <w:rPr>
          <w:rStyle w:val="FootnoteReference"/>
          <w:noProof w:val="0"/>
          <w:szCs w:val="32"/>
          <w:lang w:val="en-US"/>
        </w:rPr>
        <w:footnoteReference w:id="205"/>
      </w:r>
      <w:r w:rsidR="00DF6B5D" w:rsidRPr="004542B5">
        <w:rPr>
          <w:noProof w:val="0"/>
          <w:szCs w:val="32"/>
          <w:lang w:val="en-US"/>
        </w:rPr>
        <w:t xml:space="preserve"> </w:t>
      </w:r>
      <w:r w:rsidRPr="004542B5">
        <w:rPr>
          <w:noProof w:val="0"/>
          <w:szCs w:val="32"/>
          <w:lang w:val="en-US"/>
        </w:rPr>
        <w:t>19</w:t>
      </w:r>
      <w:r w:rsidR="00DF6B5D" w:rsidRPr="004542B5">
        <w:rPr>
          <w:noProof w:val="0"/>
          <w:szCs w:val="32"/>
          <w:lang w:val="en-US"/>
        </w:rPr>
        <w:t>90</w:t>
      </w:r>
      <w:r w:rsidRPr="004542B5">
        <w:rPr>
          <w:noProof w:val="0"/>
          <w:szCs w:val="32"/>
          <w:lang w:val="en-US"/>
        </w:rPr>
        <w:t>s</w:t>
      </w:r>
      <w:r w:rsidR="00DF6B5D" w:rsidRPr="004542B5">
        <w:rPr>
          <w:rStyle w:val="FootnoteReference"/>
          <w:noProof w:val="0"/>
          <w:szCs w:val="32"/>
          <w:lang w:val="en-US"/>
        </w:rPr>
        <w:footnoteReference w:id="206"/>
      </w:r>
      <w:r w:rsidR="00CD2B90" w:rsidRPr="004542B5">
        <w:rPr>
          <w:noProof w:val="0"/>
          <w:szCs w:val="32"/>
          <w:lang w:val="en-US"/>
        </w:rPr>
        <w:t xml:space="preserve"> and </w:t>
      </w:r>
      <w:r w:rsidR="00DF6B5D" w:rsidRPr="004542B5">
        <w:rPr>
          <w:noProof w:val="0"/>
          <w:szCs w:val="32"/>
          <w:lang w:val="en-US"/>
        </w:rPr>
        <w:t>2000</w:t>
      </w:r>
      <w:r w:rsidRPr="004542B5">
        <w:rPr>
          <w:noProof w:val="0"/>
          <w:szCs w:val="32"/>
          <w:lang w:val="en-US"/>
        </w:rPr>
        <w:t>s.</w:t>
      </w:r>
      <w:r w:rsidR="00DF6B5D" w:rsidRPr="004542B5">
        <w:rPr>
          <w:rStyle w:val="FootnoteReference"/>
          <w:noProof w:val="0"/>
          <w:szCs w:val="32"/>
          <w:lang w:val="en-US"/>
        </w:rPr>
        <w:footnoteReference w:id="207"/>
      </w:r>
      <w:r w:rsidRPr="004542B5">
        <w:rPr>
          <w:noProof w:val="0"/>
          <w:szCs w:val="32"/>
          <w:lang w:val="en-US"/>
        </w:rPr>
        <w:t xml:space="preserve"> Thus, nowadays, the States have clearly recognized their obligation to delimit, demarcate and grant title to the lands of the indigenous peoples. Furthermore, the 2007 United Nations Declaration on the Rights of Indigenous Peoples, signed by Panama, establishes that the States shall </w:t>
      </w:r>
      <w:r w:rsidR="00AF401F" w:rsidRPr="004542B5">
        <w:rPr>
          <w:noProof w:val="0"/>
          <w:szCs w:val="32"/>
          <w:lang w:val="en-US"/>
        </w:rPr>
        <w:t>give legal</w:t>
      </w:r>
      <w:r w:rsidRPr="004542B5">
        <w:rPr>
          <w:noProof w:val="0"/>
          <w:szCs w:val="32"/>
          <w:lang w:val="en-US"/>
        </w:rPr>
        <w:t xml:space="preserve"> recognition and protection </w:t>
      </w:r>
      <w:r w:rsidR="00AF401F" w:rsidRPr="004542B5">
        <w:rPr>
          <w:noProof w:val="0"/>
          <w:szCs w:val="32"/>
          <w:lang w:val="en-US"/>
        </w:rPr>
        <w:t>to</w:t>
      </w:r>
      <w:r w:rsidRPr="004542B5">
        <w:rPr>
          <w:noProof w:val="0"/>
          <w:szCs w:val="32"/>
          <w:lang w:val="en-US"/>
        </w:rPr>
        <w:t xml:space="preserve"> the lands, territories and resources of the indigenous peoples</w:t>
      </w:r>
      <w:r w:rsidR="00AF401F" w:rsidRPr="004542B5">
        <w:rPr>
          <w:noProof w:val="0"/>
          <w:szCs w:val="20"/>
          <w:lang w:val="en-US"/>
        </w:rPr>
        <w:t>.</w:t>
      </w:r>
      <w:r w:rsidR="00DF6B5D" w:rsidRPr="004542B5">
        <w:rPr>
          <w:rStyle w:val="FootnoteReference"/>
          <w:noProof w:val="0"/>
          <w:lang w:val="en-US"/>
        </w:rPr>
        <w:footnoteReference w:id="208"/>
      </w:r>
      <w:r w:rsidR="007B47B1" w:rsidRPr="004542B5">
        <w:rPr>
          <w:noProof w:val="0"/>
          <w:szCs w:val="20"/>
          <w:lang w:val="en-US"/>
        </w:rPr>
        <w:t xml:space="preserve"> </w:t>
      </w:r>
    </w:p>
    <w:p w14:paraId="3BB271CE" w14:textId="07CD7CBF" w:rsidR="00107793" w:rsidRPr="004542B5" w:rsidRDefault="00AF401F" w:rsidP="00AF401F">
      <w:pPr>
        <w:pStyle w:val="ListParagraph"/>
        <w:numPr>
          <w:ilvl w:val="0"/>
          <w:numId w:val="2"/>
        </w:numPr>
        <w:spacing w:before="120" w:after="120"/>
        <w:contextualSpacing w:val="0"/>
        <w:rPr>
          <w:noProof w:val="0"/>
          <w:szCs w:val="20"/>
          <w:lang w:val="en-US"/>
        </w:rPr>
      </w:pPr>
      <w:r w:rsidRPr="004542B5">
        <w:rPr>
          <w:rFonts w:cs="ArialNarrow"/>
          <w:noProof w:val="0"/>
          <w:lang w:val="en-US"/>
        </w:rPr>
        <w:lastRenderedPageBreak/>
        <w:t xml:space="preserve">In this regard, the Court has interpreted </w:t>
      </w:r>
      <w:r w:rsidR="00562CBB" w:rsidRPr="004542B5">
        <w:rPr>
          <w:rFonts w:cs="ArialNarrow"/>
          <w:noProof w:val="0"/>
          <w:lang w:val="en-US"/>
        </w:rPr>
        <w:t>Article</w:t>
      </w:r>
      <w:r w:rsidR="00DF6B5D" w:rsidRPr="004542B5">
        <w:rPr>
          <w:rFonts w:cs="ArialNarrow"/>
          <w:noProof w:val="0"/>
          <w:lang w:val="en-US"/>
        </w:rPr>
        <w:t xml:space="preserve"> 21</w:t>
      </w:r>
      <w:r w:rsidR="008A56D7" w:rsidRPr="004542B5">
        <w:rPr>
          <w:rFonts w:cs="ArialNarrow"/>
          <w:noProof w:val="0"/>
          <w:lang w:val="en-US"/>
        </w:rPr>
        <w:t xml:space="preserve"> of the </w:t>
      </w:r>
      <w:r w:rsidR="00562CBB" w:rsidRPr="004542B5">
        <w:rPr>
          <w:rFonts w:cs="ArialNarrow"/>
          <w:noProof w:val="0"/>
          <w:lang w:val="en-US"/>
        </w:rPr>
        <w:t>Convention</w:t>
      </w:r>
      <w:r w:rsidR="00DF6B5D" w:rsidRPr="004542B5">
        <w:rPr>
          <w:noProof w:val="0"/>
          <w:szCs w:val="20"/>
          <w:lang w:val="en-US"/>
        </w:rPr>
        <w:t xml:space="preserve"> </w:t>
      </w:r>
      <w:r w:rsidRPr="004542B5">
        <w:rPr>
          <w:noProof w:val="0"/>
          <w:szCs w:val="20"/>
          <w:lang w:val="en-US"/>
        </w:rPr>
        <w:t xml:space="preserve">to </w:t>
      </w:r>
      <w:r w:rsidR="00DF6B5D" w:rsidRPr="004542B5">
        <w:rPr>
          <w:noProof w:val="0"/>
          <w:szCs w:val="20"/>
          <w:lang w:val="en-US"/>
        </w:rPr>
        <w:t>establ</w:t>
      </w:r>
      <w:r w:rsidRPr="004542B5">
        <w:rPr>
          <w:noProof w:val="0"/>
          <w:szCs w:val="20"/>
          <w:lang w:val="en-US"/>
        </w:rPr>
        <w:t xml:space="preserve">ish that the obligation of States to take measures to ensure the right to property of the indigenous peoples necessarily entails, based on the principle of legal certainty, that </w:t>
      </w:r>
      <w:r w:rsidR="003E7725" w:rsidRPr="004542B5">
        <w:rPr>
          <w:noProof w:val="0"/>
          <w:szCs w:val="20"/>
          <w:lang w:val="en-US"/>
        </w:rPr>
        <w:t>they</w:t>
      </w:r>
      <w:r w:rsidR="00133200" w:rsidRPr="004542B5">
        <w:rPr>
          <w:noProof w:val="0"/>
          <w:szCs w:val="20"/>
          <w:lang w:val="en-US"/>
        </w:rPr>
        <w:t xml:space="preserve"> </w:t>
      </w:r>
      <w:r w:rsidRPr="004542B5">
        <w:rPr>
          <w:noProof w:val="0"/>
          <w:szCs w:val="20"/>
          <w:lang w:val="en-US"/>
        </w:rPr>
        <w:t>must demarcate, delimit and title the territories of indigenous and tribal communities.</w:t>
      </w:r>
      <w:r w:rsidR="00DF6B5D" w:rsidRPr="004542B5">
        <w:rPr>
          <w:rStyle w:val="FootnoteReference"/>
          <w:rFonts w:cs="ArialNarrow"/>
          <w:noProof w:val="0"/>
          <w:lang w:val="en-US"/>
        </w:rPr>
        <w:footnoteReference w:id="209"/>
      </w:r>
      <w:r w:rsidRPr="004542B5">
        <w:rPr>
          <w:rFonts w:cs="ArialNarrow"/>
          <w:noProof w:val="0"/>
          <w:lang w:val="en-US"/>
        </w:rPr>
        <w:t xml:space="preserve"> Therefore, failure to comply with these obligations is a violation of the use and enjoyment of the rights of </w:t>
      </w:r>
      <w:r w:rsidR="003234E7" w:rsidRPr="004542B5">
        <w:rPr>
          <w:rFonts w:cs="ArialNarrow"/>
          <w:noProof w:val="0"/>
          <w:lang w:val="en-US"/>
        </w:rPr>
        <w:t>the members</w:t>
      </w:r>
      <w:r w:rsidR="00DF6B5D" w:rsidRPr="004542B5">
        <w:rPr>
          <w:rFonts w:cs="ArialNarrow"/>
          <w:noProof w:val="0"/>
          <w:lang w:val="en-US"/>
        </w:rPr>
        <w:t xml:space="preserve"> </w:t>
      </w:r>
      <w:r w:rsidRPr="004542B5">
        <w:rPr>
          <w:rFonts w:cs="ArialNarrow"/>
          <w:noProof w:val="0"/>
          <w:lang w:val="en-US"/>
        </w:rPr>
        <w:t>of these communities.</w:t>
      </w:r>
      <w:r w:rsidR="007B47B1" w:rsidRPr="004542B5">
        <w:rPr>
          <w:noProof w:val="0"/>
          <w:szCs w:val="20"/>
          <w:lang w:val="en-US"/>
        </w:rPr>
        <w:t xml:space="preserve">  </w:t>
      </w:r>
    </w:p>
    <w:p w14:paraId="47C4AD2C" w14:textId="74BA9261" w:rsidR="002E6C8B" w:rsidRPr="004542B5" w:rsidRDefault="00AF401F" w:rsidP="00AF401F">
      <w:pPr>
        <w:pStyle w:val="ListParagraph"/>
        <w:numPr>
          <w:ilvl w:val="0"/>
          <w:numId w:val="2"/>
        </w:numPr>
        <w:spacing w:before="120" w:after="120"/>
        <w:contextualSpacing w:val="0"/>
        <w:rPr>
          <w:noProof w:val="0"/>
          <w:szCs w:val="26"/>
          <w:lang w:val="en-US"/>
        </w:rPr>
      </w:pPr>
      <w:r w:rsidRPr="004542B5">
        <w:rPr>
          <w:noProof w:val="0"/>
          <w:szCs w:val="32"/>
          <w:lang w:val="en-US"/>
        </w:rPr>
        <w:t>It should also be pointed out that the above-mentioned communal ownership of indigenous lands refer</w:t>
      </w:r>
      <w:r w:rsidR="003E7725" w:rsidRPr="004542B5">
        <w:rPr>
          <w:noProof w:val="0"/>
          <w:szCs w:val="32"/>
          <w:lang w:val="en-US"/>
        </w:rPr>
        <w:t>s</w:t>
      </w:r>
      <w:r w:rsidRPr="004542B5">
        <w:rPr>
          <w:noProof w:val="0"/>
          <w:szCs w:val="32"/>
          <w:lang w:val="en-US"/>
        </w:rPr>
        <w:t xml:space="preserve"> to the ancestral territories of the indigenous peoples, which </w:t>
      </w:r>
      <w:r w:rsidR="003E7725" w:rsidRPr="004542B5">
        <w:rPr>
          <w:noProof w:val="0"/>
          <w:szCs w:val="32"/>
          <w:lang w:val="en-US"/>
        </w:rPr>
        <w:t>signifies</w:t>
      </w:r>
      <w:r w:rsidRPr="004542B5">
        <w:rPr>
          <w:noProof w:val="0"/>
          <w:szCs w:val="32"/>
          <w:lang w:val="en-US"/>
        </w:rPr>
        <w:t xml:space="preserve"> th</w:t>
      </w:r>
      <w:r w:rsidR="003E7725" w:rsidRPr="004542B5">
        <w:rPr>
          <w:noProof w:val="0"/>
          <w:szCs w:val="32"/>
          <w:lang w:val="en-US"/>
        </w:rPr>
        <w:t>at such lands have been occupied</w:t>
      </w:r>
      <w:r w:rsidRPr="004542B5">
        <w:rPr>
          <w:noProof w:val="0"/>
          <w:szCs w:val="32"/>
          <w:lang w:val="en-US"/>
        </w:rPr>
        <w:t xml:space="preserve"> traditiona</w:t>
      </w:r>
      <w:r w:rsidR="003E7725" w:rsidRPr="004542B5">
        <w:rPr>
          <w:noProof w:val="0"/>
          <w:szCs w:val="32"/>
          <w:lang w:val="en-US"/>
        </w:rPr>
        <w:t>lly</w:t>
      </w:r>
      <w:r w:rsidRPr="004542B5">
        <w:rPr>
          <w:noProof w:val="0"/>
          <w:szCs w:val="32"/>
          <w:lang w:val="en-US"/>
        </w:rPr>
        <w:t xml:space="preserve">. It also refers, in the case of indigenous peoples who have left their territories or </w:t>
      </w:r>
      <w:r w:rsidR="003E7725" w:rsidRPr="004542B5">
        <w:rPr>
          <w:noProof w:val="0"/>
          <w:szCs w:val="32"/>
          <w:lang w:val="en-US"/>
        </w:rPr>
        <w:t>l</w:t>
      </w:r>
      <w:r w:rsidRPr="004542B5">
        <w:rPr>
          <w:noProof w:val="0"/>
          <w:szCs w:val="32"/>
          <w:lang w:val="en-US"/>
        </w:rPr>
        <w:t xml:space="preserve">ost the possession of their territories, to the right to recover them. In this case, the flooding of the lands of the communities of the </w:t>
      </w:r>
      <w:r w:rsidR="00DF6B5D" w:rsidRPr="004542B5">
        <w:rPr>
          <w:noProof w:val="0"/>
          <w:szCs w:val="32"/>
          <w:lang w:val="en-US"/>
        </w:rPr>
        <w:t xml:space="preserve">Kuna </w:t>
      </w:r>
      <w:r w:rsidRPr="004542B5">
        <w:rPr>
          <w:noProof w:val="0"/>
          <w:szCs w:val="32"/>
          <w:lang w:val="en-US"/>
        </w:rPr>
        <w:t>of</w:t>
      </w:r>
      <w:r w:rsidR="00DF6B5D" w:rsidRPr="004542B5">
        <w:rPr>
          <w:noProof w:val="0"/>
          <w:szCs w:val="32"/>
          <w:lang w:val="en-US"/>
        </w:rPr>
        <w:t xml:space="preserve"> Madungandí</w:t>
      </w:r>
      <w:r w:rsidR="00CD2B90" w:rsidRPr="004542B5">
        <w:rPr>
          <w:noProof w:val="0"/>
          <w:szCs w:val="32"/>
          <w:lang w:val="en-US"/>
        </w:rPr>
        <w:t xml:space="preserve"> and </w:t>
      </w:r>
      <w:r w:rsidRPr="004542B5">
        <w:rPr>
          <w:noProof w:val="0"/>
          <w:szCs w:val="32"/>
          <w:lang w:val="en-US"/>
        </w:rPr>
        <w:t xml:space="preserve">the </w:t>
      </w:r>
      <w:r w:rsidR="00DF6B5D" w:rsidRPr="004542B5">
        <w:rPr>
          <w:noProof w:val="0"/>
          <w:szCs w:val="32"/>
          <w:lang w:val="en-US"/>
        </w:rPr>
        <w:t xml:space="preserve">Emberá </w:t>
      </w:r>
      <w:r w:rsidRPr="004542B5">
        <w:rPr>
          <w:noProof w:val="0"/>
          <w:szCs w:val="32"/>
          <w:lang w:val="en-US"/>
        </w:rPr>
        <w:t>of</w:t>
      </w:r>
      <w:r w:rsidR="00DF6B5D" w:rsidRPr="004542B5">
        <w:rPr>
          <w:noProof w:val="0"/>
          <w:szCs w:val="32"/>
          <w:lang w:val="en-US"/>
        </w:rPr>
        <w:t xml:space="preserve"> Bayano signi</w:t>
      </w:r>
      <w:r w:rsidRPr="004542B5">
        <w:rPr>
          <w:noProof w:val="0"/>
          <w:szCs w:val="32"/>
          <w:lang w:val="en-US"/>
        </w:rPr>
        <w:t>fy that th</w:t>
      </w:r>
      <w:r w:rsidR="003E7725" w:rsidRPr="004542B5">
        <w:rPr>
          <w:noProof w:val="0"/>
          <w:szCs w:val="32"/>
          <w:lang w:val="en-US"/>
        </w:rPr>
        <w:t>eir</w:t>
      </w:r>
      <w:r w:rsidRPr="004542B5">
        <w:rPr>
          <w:noProof w:val="0"/>
          <w:szCs w:val="32"/>
          <w:lang w:val="en-US"/>
        </w:rPr>
        <w:t xml:space="preserve"> recovery by the indigenous peoples is impossible. Therefore, this case refers to the rights of these communities in relation to the alternative lands assigned to them by the State, which also means that they have not been traditionally occupied or possessed.</w:t>
      </w:r>
    </w:p>
    <w:p w14:paraId="5F3459CF" w14:textId="5124005D" w:rsidR="002E6C8B" w:rsidRPr="004542B5" w:rsidRDefault="00AF401F" w:rsidP="00AF401F">
      <w:pPr>
        <w:pStyle w:val="ListParagraph"/>
        <w:numPr>
          <w:ilvl w:val="0"/>
          <w:numId w:val="2"/>
        </w:numPr>
        <w:spacing w:before="120" w:after="120"/>
        <w:contextualSpacing w:val="0"/>
        <w:rPr>
          <w:noProof w:val="0"/>
          <w:lang w:val="en-US"/>
        </w:rPr>
      </w:pPr>
      <w:r w:rsidRPr="004542B5">
        <w:rPr>
          <w:noProof w:val="0"/>
          <w:szCs w:val="32"/>
          <w:lang w:val="en-US"/>
        </w:rPr>
        <w:t>As indicated previously</w:t>
      </w:r>
      <w:r w:rsidR="00DF6B5D" w:rsidRPr="004542B5">
        <w:rPr>
          <w:noProof w:val="0"/>
          <w:szCs w:val="32"/>
          <w:lang w:val="en-US"/>
        </w:rPr>
        <w:t xml:space="preserve"> (</w:t>
      </w:r>
      <w:r w:rsidR="00DF6B5D" w:rsidRPr="004542B5">
        <w:rPr>
          <w:i/>
          <w:noProof w:val="0"/>
          <w:szCs w:val="32"/>
          <w:lang w:val="en-US"/>
        </w:rPr>
        <w:t>supra</w:t>
      </w:r>
      <w:r w:rsidR="00DF6B5D" w:rsidRPr="004542B5">
        <w:rPr>
          <w:noProof w:val="0"/>
          <w:szCs w:val="32"/>
          <w:lang w:val="en-US"/>
        </w:rPr>
        <w:t xml:space="preserve"> </w:t>
      </w:r>
      <w:r w:rsidR="00F66B76" w:rsidRPr="004542B5">
        <w:rPr>
          <w:noProof w:val="0"/>
          <w:szCs w:val="32"/>
          <w:lang w:val="en-US"/>
        </w:rPr>
        <w:t>para.</w:t>
      </w:r>
      <w:r w:rsidR="00DF6B5D" w:rsidRPr="004542B5">
        <w:rPr>
          <w:noProof w:val="0"/>
          <w:szCs w:val="32"/>
          <w:lang w:val="en-US"/>
        </w:rPr>
        <w:t xml:space="preserve"> 113), </w:t>
      </w:r>
      <w:r w:rsidRPr="004542B5">
        <w:rPr>
          <w:noProof w:val="0"/>
          <w:szCs w:val="32"/>
          <w:lang w:val="en-US"/>
        </w:rPr>
        <w:t>with regard to the ancestral lands, it is precisely their prolonged ancestral possession or occupation that establishes the right to demand the official recognition of ownership and their registration; wh</w:t>
      </w:r>
      <w:r w:rsidR="004D788A" w:rsidRPr="004542B5">
        <w:rPr>
          <w:noProof w:val="0"/>
          <w:szCs w:val="32"/>
          <w:lang w:val="en-US"/>
        </w:rPr>
        <w:t>ereas</w:t>
      </w:r>
      <w:r w:rsidRPr="004542B5">
        <w:rPr>
          <w:noProof w:val="0"/>
          <w:szCs w:val="32"/>
          <w:lang w:val="en-US"/>
        </w:rPr>
        <w:t>, in the case of alternative lands</w:t>
      </w:r>
      <w:r w:rsidR="00EE4211" w:rsidRPr="004542B5">
        <w:rPr>
          <w:noProof w:val="0"/>
          <w:szCs w:val="32"/>
          <w:lang w:val="en-US"/>
        </w:rPr>
        <w:t xml:space="preserve">, in the absence of this ancestral occupation the recognition of the right to collective ownership </w:t>
      </w:r>
      <w:r w:rsidR="004D788A" w:rsidRPr="004542B5">
        <w:rPr>
          <w:noProof w:val="0"/>
          <w:szCs w:val="32"/>
          <w:lang w:val="en-US"/>
        </w:rPr>
        <w:t>occurs</w:t>
      </w:r>
      <w:r w:rsidR="00EE4211" w:rsidRPr="004542B5">
        <w:rPr>
          <w:noProof w:val="0"/>
          <w:szCs w:val="32"/>
          <w:lang w:val="en-US"/>
        </w:rPr>
        <w:t xml:space="preserve"> only when the State assigns the new lands. The Court also takes into account that the Kuna of Madungandí and the Emberá of Bayano in this case are not living on the alternative lands on a provisional basis. The flooding of their lands means that their occupation of the alternative lands is necessarily permanent. As indicated in the chapter on </w:t>
      </w:r>
      <w:r w:rsidR="004D788A" w:rsidRPr="004542B5">
        <w:rPr>
          <w:noProof w:val="0"/>
          <w:szCs w:val="32"/>
          <w:lang w:val="en-US"/>
        </w:rPr>
        <w:t>the f</w:t>
      </w:r>
      <w:r w:rsidR="00EE4211" w:rsidRPr="004542B5">
        <w:rPr>
          <w:noProof w:val="0"/>
          <w:szCs w:val="32"/>
          <w:lang w:val="en-US"/>
        </w:rPr>
        <w:t>acts</w:t>
      </w:r>
      <w:r w:rsidR="004D788A" w:rsidRPr="004542B5">
        <w:rPr>
          <w:noProof w:val="0"/>
          <w:szCs w:val="32"/>
          <w:lang w:val="en-US"/>
        </w:rPr>
        <w:t xml:space="preserve"> of the case</w:t>
      </w:r>
      <w:r w:rsidR="00EE4211" w:rsidRPr="004542B5">
        <w:rPr>
          <w:noProof w:val="0"/>
          <w:szCs w:val="32"/>
          <w:lang w:val="en-US"/>
        </w:rPr>
        <w:t>, the communities have been relocated on alternative lands by a decision of the State itself</w:t>
      </w:r>
      <w:r w:rsidR="00DF6B5D" w:rsidRPr="004542B5">
        <w:rPr>
          <w:noProof w:val="0"/>
          <w:szCs w:val="32"/>
          <w:lang w:val="en-US"/>
        </w:rPr>
        <w:t xml:space="preserve"> (</w:t>
      </w:r>
      <w:r w:rsidR="00DF6B5D" w:rsidRPr="004542B5">
        <w:rPr>
          <w:i/>
          <w:noProof w:val="0"/>
          <w:szCs w:val="32"/>
          <w:lang w:val="en-US"/>
        </w:rPr>
        <w:t>supra</w:t>
      </w:r>
      <w:r w:rsidR="00DF6B5D" w:rsidRPr="004542B5">
        <w:rPr>
          <w:noProof w:val="0"/>
          <w:szCs w:val="32"/>
          <w:lang w:val="en-US"/>
        </w:rPr>
        <w:t xml:space="preserve"> </w:t>
      </w:r>
      <w:r w:rsidR="00F66B76" w:rsidRPr="004542B5">
        <w:rPr>
          <w:noProof w:val="0"/>
          <w:szCs w:val="32"/>
          <w:lang w:val="en-US"/>
        </w:rPr>
        <w:t>para.</w:t>
      </w:r>
      <w:r w:rsidR="00DF6B5D" w:rsidRPr="004542B5">
        <w:rPr>
          <w:noProof w:val="0"/>
          <w:szCs w:val="32"/>
          <w:lang w:val="en-US"/>
        </w:rPr>
        <w:t xml:space="preserve"> 63)</w:t>
      </w:r>
      <w:r w:rsidR="007B47B1" w:rsidRPr="004542B5">
        <w:rPr>
          <w:noProof w:val="0"/>
          <w:szCs w:val="32"/>
          <w:lang w:val="en-US"/>
        </w:rPr>
        <w:t>.</w:t>
      </w:r>
    </w:p>
    <w:p w14:paraId="6A211288" w14:textId="53DBADE4" w:rsidR="00EE4211" w:rsidRPr="004542B5" w:rsidRDefault="00EE4211" w:rsidP="00E01664">
      <w:pPr>
        <w:pStyle w:val="ListParagraph"/>
        <w:numPr>
          <w:ilvl w:val="0"/>
          <w:numId w:val="2"/>
        </w:numPr>
        <w:spacing w:before="120" w:after="120"/>
        <w:contextualSpacing w:val="0"/>
        <w:rPr>
          <w:noProof w:val="0"/>
          <w:szCs w:val="32"/>
          <w:lang w:val="en-US"/>
        </w:rPr>
      </w:pPr>
      <w:r w:rsidRPr="004542B5">
        <w:rPr>
          <w:noProof w:val="0"/>
          <w:lang w:val="en-US"/>
        </w:rPr>
        <w:t>Consequently, regard</w:t>
      </w:r>
      <w:r w:rsidR="004D788A" w:rsidRPr="004542B5">
        <w:rPr>
          <w:noProof w:val="0"/>
          <w:lang w:val="en-US"/>
        </w:rPr>
        <w:t>ing</w:t>
      </w:r>
      <w:r w:rsidRPr="004542B5">
        <w:rPr>
          <w:noProof w:val="0"/>
          <w:lang w:val="en-US"/>
        </w:rPr>
        <w:t xml:space="preserve"> the</w:t>
      </w:r>
      <w:r w:rsidR="004D788A" w:rsidRPr="004542B5">
        <w:rPr>
          <w:noProof w:val="0"/>
          <w:lang w:val="en-US"/>
        </w:rPr>
        <w:t xml:space="preserve"> State’s</w:t>
      </w:r>
      <w:r w:rsidRPr="004542B5">
        <w:rPr>
          <w:noProof w:val="0"/>
          <w:lang w:val="en-US"/>
        </w:rPr>
        <w:t xml:space="preserve"> obligation to ensure the enjoyment of the right to property of the indigenous peoples </w:t>
      </w:r>
      <w:r w:rsidR="004D788A" w:rsidRPr="004542B5">
        <w:rPr>
          <w:noProof w:val="0"/>
          <w:lang w:val="en-US"/>
        </w:rPr>
        <w:t>in relation to</w:t>
      </w:r>
      <w:r w:rsidRPr="004542B5">
        <w:rPr>
          <w:noProof w:val="0"/>
          <w:lang w:val="en-US"/>
        </w:rPr>
        <w:t xml:space="preserve"> the alternative lands, the Court establishes that th</w:t>
      </w:r>
      <w:r w:rsidR="004D788A" w:rsidRPr="004542B5">
        <w:rPr>
          <w:noProof w:val="0"/>
          <w:lang w:val="en-US"/>
        </w:rPr>
        <w:t>is</w:t>
      </w:r>
      <w:r w:rsidRPr="004542B5">
        <w:rPr>
          <w:noProof w:val="0"/>
          <w:lang w:val="en-US"/>
        </w:rPr>
        <w:t xml:space="preserve"> obligation</w:t>
      </w:r>
      <w:r w:rsidR="004D788A" w:rsidRPr="004542B5">
        <w:rPr>
          <w:noProof w:val="0"/>
          <w:lang w:val="en-US"/>
        </w:rPr>
        <w:t xml:space="preserve"> must</w:t>
      </w:r>
      <w:r w:rsidRPr="004542B5">
        <w:rPr>
          <w:noProof w:val="0"/>
          <w:lang w:val="en-US"/>
        </w:rPr>
        <w:t xml:space="preserve"> necessaril</w:t>
      </w:r>
      <w:r w:rsidR="004D788A" w:rsidRPr="004542B5">
        <w:rPr>
          <w:noProof w:val="0"/>
          <w:lang w:val="en-US"/>
        </w:rPr>
        <w:t>y</w:t>
      </w:r>
      <w:r w:rsidRPr="004542B5">
        <w:rPr>
          <w:noProof w:val="0"/>
          <w:lang w:val="en-US"/>
        </w:rPr>
        <w:t xml:space="preserve"> be the same as in cases in which the recovery of the ancestral lands is possible. To the contrary, the right to collective property of </w:t>
      </w:r>
      <w:r w:rsidRPr="004542B5">
        <w:rPr>
          <w:noProof w:val="0"/>
          <w:szCs w:val="32"/>
          <w:lang w:val="en-US"/>
        </w:rPr>
        <w:t xml:space="preserve">the Kuna and Emberá peoples would be limited because they do not have an ancestral relationship with, or prolonged occupation of, the alternative lands, precisely </w:t>
      </w:r>
      <w:r w:rsidR="004D788A" w:rsidRPr="004542B5">
        <w:rPr>
          <w:noProof w:val="0"/>
          <w:szCs w:val="32"/>
          <w:lang w:val="en-US"/>
        </w:rPr>
        <w:t>as a</w:t>
      </w:r>
      <w:r w:rsidRPr="004542B5">
        <w:rPr>
          <w:noProof w:val="0"/>
          <w:szCs w:val="32"/>
          <w:lang w:val="en-US"/>
        </w:rPr>
        <w:t xml:space="preserve"> result of the relocation carried out by the State itself for reasons beyond the control of the indigenous peoples.</w:t>
      </w:r>
    </w:p>
    <w:p w14:paraId="4A90CDAD" w14:textId="0A811858" w:rsidR="000D65AC" w:rsidRPr="004542B5" w:rsidRDefault="00EE4211" w:rsidP="00E01664">
      <w:pPr>
        <w:pStyle w:val="ListParagraph"/>
        <w:numPr>
          <w:ilvl w:val="0"/>
          <w:numId w:val="2"/>
        </w:numPr>
        <w:spacing w:before="120" w:after="120"/>
        <w:contextualSpacing w:val="0"/>
        <w:rPr>
          <w:noProof w:val="0"/>
          <w:sz w:val="16"/>
          <w:szCs w:val="20"/>
          <w:lang w:val="en-US"/>
        </w:rPr>
      </w:pPr>
      <w:r w:rsidRPr="004542B5">
        <w:rPr>
          <w:noProof w:val="0"/>
          <w:szCs w:val="20"/>
          <w:lang w:val="en-US"/>
        </w:rPr>
        <w:t xml:space="preserve">Based on the above, in order to analyze the right to communal property of the Kuna </w:t>
      </w:r>
      <w:r w:rsidR="006110CB" w:rsidRPr="004542B5">
        <w:rPr>
          <w:noProof w:val="0"/>
          <w:szCs w:val="20"/>
          <w:lang w:val="en-US"/>
        </w:rPr>
        <w:t>peoples</w:t>
      </w:r>
      <w:r w:rsidRPr="004542B5">
        <w:rPr>
          <w:noProof w:val="0"/>
          <w:szCs w:val="20"/>
          <w:lang w:val="en-US"/>
        </w:rPr>
        <w:t xml:space="preserve"> of </w:t>
      </w:r>
      <w:r w:rsidR="00DF6B5D" w:rsidRPr="004542B5">
        <w:rPr>
          <w:noProof w:val="0"/>
          <w:szCs w:val="20"/>
          <w:lang w:val="en-US"/>
        </w:rPr>
        <w:t>Madungandí</w:t>
      </w:r>
      <w:r w:rsidR="00CD2B90" w:rsidRPr="004542B5">
        <w:rPr>
          <w:noProof w:val="0"/>
          <w:szCs w:val="20"/>
          <w:lang w:val="en-US"/>
        </w:rPr>
        <w:t xml:space="preserve"> and </w:t>
      </w:r>
      <w:r w:rsidRPr="004542B5">
        <w:rPr>
          <w:noProof w:val="0"/>
          <w:szCs w:val="20"/>
          <w:lang w:val="en-US"/>
        </w:rPr>
        <w:t xml:space="preserve">the </w:t>
      </w:r>
      <w:r w:rsidR="00DF6B5D" w:rsidRPr="004542B5">
        <w:rPr>
          <w:noProof w:val="0"/>
          <w:szCs w:val="20"/>
          <w:lang w:val="en-US"/>
        </w:rPr>
        <w:t xml:space="preserve">Emberá </w:t>
      </w:r>
      <w:r w:rsidRPr="004542B5">
        <w:rPr>
          <w:noProof w:val="0"/>
          <w:szCs w:val="20"/>
          <w:lang w:val="en-US"/>
        </w:rPr>
        <w:t>of</w:t>
      </w:r>
      <w:r w:rsidR="00DF6B5D" w:rsidRPr="004542B5">
        <w:rPr>
          <w:noProof w:val="0"/>
          <w:szCs w:val="20"/>
          <w:lang w:val="en-US"/>
        </w:rPr>
        <w:t xml:space="preserve"> Bayano </w:t>
      </w:r>
      <w:r w:rsidR="004D788A" w:rsidRPr="004542B5">
        <w:rPr>
          <w:noProof w:val="0"/>
          <w:szCs w:val="20"/>
          <w:lang w:val="en-US"/>
        </w:rPr>
        <w:t xml:space="preserve">in relation to </w:t>
      </w:r>
      <w:r w:rsidRPr="004542B5">
        <w:rPr>
          <w:noProof w:val="0"/>
          <w:szCs w:val="20"/>
          <w:lang w:val="en-US"/>
        </w:rPr>
        <w:t xml:space="preserve">the alternative lands assigned to them, the Court also notes that the State has not contested that there is an obligation to recognize the communal ownership of those lands, arguing that the lands of the Kuna people of </w:t>
      </w:r>
      <w:r w:rsidR="00DF6B5D" w:rsidRPr="004542B5">
        <w:rPr>
          <w:noProof w:val="0"/>
          <w:szCs w:val="20"/>
          <w:lang w:val="en-US"/>
        </w:rPr>
        <w:t>Madungandí ha</w:t>
      </w:r>
      <w:r w:rsidRPr="004542B5">
        <w:rPr>
          <w:noProof w:val="0"/>
          <w:szCs w:val="20"/>
          <w:lang w:val="en-US"/>
        </w:rPr>
        <w:t>ve been titled and th</w:t>
      </w:r>
      <w:r w:rsidR="004D788A" w:rsidRPr="004542B5">
        <w:rPr>
          <w:noProof w:val="0"/>
          <w:szCs w:val="20"/>
          <w:lang w:val="en-US"/>
        </w:rPr>
        <w:t>at</w:t>
      </w:r>
      <w:r w:rsidRPr="004542B5">
        <w:rPr>
          <w:noProof w:val="0"/>
          <w:szCs w:val="20"/>
          <w:lang w:val="en-US"/>
        </w:rPr>
        <w:t xml:space="preserve"> the titling of the Emberá lands is underway.</w:t>
      </w:r>
    </w:p>
    <w:p w14:paraId="302F325A" w14:textId="7C44D98F" w:rsidR="002E6C8B" w:rsidRPr="004542B5" w:rsidRDefault="007B47B1" w:rsidP="00EE4211">
      <w:pPr>
        <w:pStyle w:val="ListParagraph"/>
        <w:numPr>
          <w:ilvl w:val="0"/>
          <w:numId w:val="2"/>
        </w:numPr>
        <w:spacing w:before="120" w:after="120"/>
        <w:rPr>
          <w:noProof w:val="0"/>
          <w:szCs w:val="20"/>
          <w:lang w:val="en-US"/>
        </w:rPr>
      </w:pPr>
      <w:r w:rsidRPr="004542B5">
        <w:rPr>
          <w:noProof w:val="0"/>
          <w:szCs w:val="20"/>
          <w:lang w:val="en-US"/>
        </w:rPr>
        <w:t xml:space="preserve"> </w:t>
      </w:r>
      <w:r w:rsidR="004D788A" w:rsidRPr="004542B5">
        <w:rPr>
          <w:noProof w:val="0"/>
          <w:szCs w:val="20"/>
          <w:lang w:val="en-US"/>
        </w:rPr>
        <w:t>However, t</w:t>
      </w:r>
      <w:r w:rsidR="00EE4211" w:rsidRPr="004542B5">
        <w:rPr>
          <w:noProof w:val="0"/>
          <w:szCs w:val="20"/>
          <w:lang w:val="en-US"/>
        </w:rPr>
        <w:t>he</w:t>
      </w:r>
      <w:r w:rsidR="00562CBB" w:rsidRPr="004542B5">
        <w:rPr>
          <w:noProof w:val="0"/>
          <w:szCs w:val="20"/>
          <w:lang w:val="en-US"/>
        </w:rPr>
        <w:t xml:space="preserve"> Commission</w:t>
      </w:r>
      <w:r w:rsidR="00CD2B90" w:rsidRPr="004542B5">
        <w:rPr>
          <w:noProof w:val="0"/>
          <w:szCs w:val="20"/>
          <w:lang w:val="en-US"/>
        </w:rPr>
        <w:t xml:space="preserve"> and </w:t>
      </w:r>
      <w:r w:rsidR="00562CBB" w:rsidRPr="004542B5">
        <w:rPr>
          <w:noProof w:val="0"/>
          <w:szCs w:val="20"/>
          <w:lang w:val="en-US"/>
        </w:rPr>
        <w:t>the representatives</w:t>
      </w:r>
      <w:r w:rsidR="004D788A" w:rsidRPr="004542B5">
        <w:rPr>
          <w:noProof w:val="0"/>
          <w:szCs w:val="20"/>
          <w:lang w:val="en-US"/>
        </w:rPr>
        <w:t xml:space="preserve"> have</w:t>
      </w:r>
      <w:r w:rsidR="00DF6B5D" w:rsidRPr="004542B5">
        <w:rPr>
          <w:noProof w:val="0"/>
          <w:szCs w:val="20"/>
          <w:lang w:val="en-US"/>
        </w:rPr>
        <w:t xml:space="preserve"> indica</w:t>
      </w:r>
      <w:r w:rsidR="00EE4211" w:rsidRPr="004542B5">
        <w:rPr>
          <w:noProof w:val="0"/>
          <w:szCs w:val="20"/>
          <w:lang w:val="en-US"/>
        </w:rPr>
        <w:t xml:space="preserve">ted that another </w:t>
      </w:r>
      <w:r w:rsidR="004D788A" w:rsidRPr="004542B5">
        <w:rPr>
          <w:noProof w:val="0"/>
          <w:szCs w:val="20"/>
          <w:lang w:val="en-US"/>
        </w:rPr>
        <w:t>issue that needs to be considered is</w:t>
      </w:r>
      <w:r w:rsidR="00EE4211" w:rsidRPr="004542B5">
        <w:rPr>
          <w:noProof w:val="0"/>
          <w:szCs w:val="20"/>
          <w:lang w:val="en-US"/>
        </w:rPr>
        <w:t xml:space="preserve"> the failure to delimit, demarcate and title the lands of the Kuna indigenous people of Madungandí over a certain period of time, and the failure to delimit, demarcate and title the lands of the Emberá communities of Bayano. </w:t>
      </w:r>
      <w:r w:rsidR="006110CB" w:rsidRPr="004542B5">
        <w:rPr>
          <w:noProof w:val="0"/>
          <w:szCs w:val="20"/>
          <w:lang w:val="en-US"/>
        </w:rPr>
        <w:t>Therefore,</w:t>
      </w:r>
      <w:r w:rsidR="00EE4211" w:rsidRPr="004542B5">
        <w:rPr>
          <w:noProof w:val="0"/>
          <w:szCs w:val="20"/>
          <w:lang w:val="en-US"/>
        </w:rPr>
        <w:t xml:space="preserve"> the Court will, first, </w:t>
      </w:r>
      <w:r w:rsidR="002E4BA2" w:rsidRPr="004542B5">
        <w:rPr>
          <w:noProof w:val="0"/>
          <w:szCs w:val="20"/>
          <w:lang w:val="en-US"/>
        </w:rPr>
        <w:t>examine</w:t>
      </w:r>
      <w:r w:rsidR="00EE4211" w:rsidRPr="004542B5">
        <w:rPr>
          <w:noProof w:val="0"/>
          <w:szCs w:val="20"/>
          <w:lang w:val="en-US"/>
        </w:rPr>
        <w:t xml:space="preserve"> the facts </w:t>
      </w:r>
      <w:r w:rsidR="002E4BA2" w:rsidRPr="004542B5">
        <w:rPr>
          <w:noProof w:val="0"/>
          <w:szCs w:val="20"/>
          <w:lang w:val="en-US"/>
        </w:rPr>
        <w:t>relating to the Kuna lands and the</w:t>
      </w:r>
      <w:r w:rsidR="004D788A" w:rsidRPr="004542B5">
        <w:rPr>
          <w:noProof w:val="0"/>
          <w:szCs w:val="20"/>
          <w:lang w:val="en-US"/>
        </w:rPr>
        <w:t>n</w:t>
      </w:r>
      <w:r w:rsidR="002E4BA2" w:rsidRPr="004542B5">
        <w:rPr>
          <w:noProof w:val="0"/>
          <w:szCs w:val="20"/>
          <w:lang w:val="en-US"/>
        </w:rPr>
        <w:t xml:space="preserve"> those relating to the Emberá lands. Lastly, the Court will rule on the alleged violations </w:t>
      </w:r>
      <w:r w:rsidR="00E04132" w:rsidRPr="004542B5">
        <w:rPr>
          <w:noProof w:val="0"/>
          <w:szCs w:val="20"/>
          <w:lang w:val="en-US"/>
        </w:rPr>
        <w:t>of Article</w:t>
      </w:r>
      <w:r w:rsidR="00DF6B5D" w:rsidRPr="004542B5">
        <w:rPr>
          <w:noProof w:val="0"/>
          <w:szCs w:val="20"/>
          <w:lang w:val="en-US"/>
        </w:rPr>
        <w:t xml:space="preserve"> 2, </w:t>
      </w:r>
      <w:r w:rsidR="00B902E7" w:rsidRPr="004542B5">
        <w:rPr>
          <w:noProof w:val="0"/>
          <w:szCs w:val="20"/>
          <w:lang w:val="en-US"/>
        </w:rPr>
        <w:t>in relation to Article 1(1) of the Convention</w:t>
      </w:r>
      <w:r w:rsidRPr="004542B5">
        <w:rPr>
          <w:noProof w:val="0"/>
          <w:szCs w:val="20"/>
          <w:lang w:val="en-US"/>
        </w:rPr>
        <w:t xml:space="preserve">. </w:t>
      </w:r>
    </w:p>
    <w:p w14:paraId="1DAB6BA2" w14:textId="06AD295F" w:rsidR="003B7977" w:rsidRPr="004542B5" w:rsidRDefault="007B47B1" w:rsidP="006355A8">
      <w:pPr>
        <w:pStyle w:val="ListParagraph"/>
        <w:keepNext/>
        <w:spacing w:before="240" w:after="240"/>
        <w:ind w:left="1298"/>
        <w:contextualSpacing w:val="0"/>
        <w:rPr>
          <w:rFonts w:cs="Tahoma"/>
          <w:i/>
          <w:noProof w:val="0"/>
          <w:szCs w:val="20"/>
          <w:lang w:val="en-US"/>
        </w:rPr>
      </w:pPr>
      <w:r w:rsidRPr="004542B5">
        <w:rPr>
          <w:rFonts w:cs="Tahoma"/>
          <w:i/>
          <w:noProof w:val="0"/>
          <w:szCs w:val="20"/>
          <w:lang w:val="en-US"/>
        </w:rPr>
        <w:lastRenderedPageBreak/>
        <w:t xml:space="preserve">A.2.1. </w:t>
      </w:r>
      <w:r w:rsidR="00F13869" w:rsidRPr="004542B5">
        <w:rPr>
          <w:rFonts w:cs="Tahoma"/>
          <w:i/>
          <w:noProof w:val="0"/>
          <w:szCs w:val="20"/>
          <w:lang w:val="en-US"/>
        </w:rPr>
        <w:t xml:space="preserve">The facts related to the alleged failure to delimit, demarcate and title the lands </w:t>
      </w:r>
      <w:r w:rsidR="00F06E7B" w:rsidRPr="004542B5">
        <w:rPr>
          <w:rFonts w:cs="Tahoma"/>
          <w:i/>
          <w:noProof w:val="0"/>
          <w:szCs w:val="20"/>
          <w:lang w:val="en-US"/>
        </w:rPr>
        <w:t>of</w:t>
      </w:r>
      <w:r w:rsidR="00F13869" w:rsidRPr="004542B5">
        <w:rPr>
          <w:rFonts w:cs="Tahoma"/>
          <w:i/>
          <w:noProof w:val="0"/>
          <w:szCs w:val="20"/>
          <w:lang w:val="en-US"/>
        </w:rPr>
        <w:t xml:space="preserve"> the Kuna people of </w:t>
      </w:r>
      <w:r w:rsidRPr="004542B5">
        <w:rPr>
          <w:rFonts w:cs="Tahoma"/>
          <w:i/>
          <w:noProof w:val="0"/>
          <w:szCs w:val="20"/>
          <w:lang w:val="en-US"/>
        </w:rPr>
        <w:t>Madungandí</w:t>
      </w:r>
      <w:r w:rsidR="00CD2B90" w:rsidRPr="004542B5">
        <w:rPr>
          <w:rFonts w:cs="Tahoma"/>
          <w:i/>
          <w:noProof w:val="0"/>
          <w:szCs w:val="20"/>
          <w:lang w:val="en-US"/>
        </w:rPr>
        <w:t xml:space="preserve"> and </w:t>
      </w:r>
      <w:r w:rsidR="00F13869" w:rsidRPr="004542B5">
        <w:rPr>
          <w:i/>
          <w:noProof w:val="0"/>
          <w:lang w:val="en-US"/>
        </w:rPr>
        <w:t>the</w:t>
      </w:r>
      <w:r w:rsidRPr="004542B5">
        <w:rPr>
          <w:rFonts w:cs="Tahoma"/>
          <w:i/>
          <w:noProof w:val="0"/>
          <w:szCs w:val="20"/>
          <w:lang w:val="en-US"/>
        </w:rPr>
        <w:t xml:space="preserve"> Emberá </w:t>
      </w:r>
      <w:r w:rsidR="00F13869" w:rsidRPr="004542B5">
        <w:rPr>
          <w:rFonts w:cs="Tahoma"/>
          <w:i/>
          <w:noProof w:val="0"/>
          <w:szCs w:val="20"/>
          <w:lang w:val="en-US"/>
        </w:rPr>
        <w:t>communities</w:t>
      </w:r>
    </w:p>
    <w:p w14:paraId="544CDD86" w14:textId="163E7E5F" w:rsidR="00E51798" w:rsidRPr="004542B5" w:rsidRDefault="007B47B1" w:rsidP="006355A8">
      <w:pPr>
        <w:pStyle w:val="PrrafodeSentencia0"/>
        <w:keepNext/>
        <w:rPr>
          <w:rFonts w:cs="Verdana"/>
          <w:lang w:val="en-US"/>
        </w:rPr>
      </w:pPr>
      <w:r w:rsidRPr="004542B5">
        <w:rPr>
          <w:lang w:val="en-US"/>
        </w:rPr>
        <w:t xml:space="preserve">a. </w:t>
      </w:r>
      <w:r w:rsidR="00F13869" w:rsidRPr="004542B5">
        <w:rPr>
          <w:iCs/>
          <w:lang w:val="en-US"/>
        </w:rPr>
        <w:t xml:space="preserve">The alleged failure to delimit, demarcate and title the lands </w:t>
      </w:r>
      <w:r w:rsidR="00F06E7B" w:rsidRPr="004542B5">
        <w:rPr>
          <w:iCs/>
          <w:lang w:val="en-US"/>
        </w:rPr>
        <w:t>of</w:t>
      </w:r>
      <w:r w:rsidR="00F13869" w:rsidRPr="004542B5">
        <w:rPr>
          <w:iCs/>
          <w:lang w:val="en-US"/>
        </w:rPr>
        <w:t xml:space="preserve"> the Kuna people</w:t>
      </w:r>
    </w:p>
    <w:p w14:paraId="23DB35F2" w14:textId="4863E104" w:rsidR="002E6C8B" w:rsidRPr="004542B5" w:rsidRDefault="00895264" w:rsidP="00895264">
      <w:pPr>
        <w:pStyle w:val="ListParagraph"/>
        <w:keepNext/>
        <w:numPr>
          <w:ilvl w:val="0"/>
          <w:numId w:val="2"/>
        </w:numPr>
        <w:spacing w:before="120" w:after="120"/>
        <w:contextualSpacing w:val="0"/>
        <w:rPr>
          <w:rFonts w:cs="Verdana"/>
          <w:noProof w:val="0"/>
          <w:szCs w:val="20"/>
          <w:lang w:val="en-US"/>
        </w:rPr>
      </w:pPr>
      <w:r w:rsidRPr="004542B5">
        <w:rPr>
          <w:rFonts w:cs="Verdana"/>
          <w:noProof w:val="0"/>
          <w:szCs w:val="20"/>
          <w:lang w:val="en-US"/>
        </w:rPr>
        <w:t xml:space="preserve">In the </w:t>
      </w:r>
      <w:r w:rsidR="006110CB" w:rsidRPr="004542B5">
        <w:rPr>
          <w:rFonts w:cs="Verdana"/>
          <w:noProof w:val="0"/>
          <w:szCs w:val="20"/>
          <w:lang w:val="en-US"/>
        </w:rPr>
        <w:t>case of</w:t>
      </w:r>
      <w:r w:rsidRPr="004542B5">
        <w:rPr>
          <w:rFonts w:cs="Verdana"/>
          <w:noProof w:val="0"/>
          <w:szCs w:val="20"/>
          <w:lang w:val="en-US"/>
        </w:rPr>
        <w:t xml:space="preserve"> the Kuna people, </w:t>
      </w:r>
      <w:r w:rsidR="00F06E7B" w:rsidRPr="004542B5">
        <w:rPr>
          <w:rFonts w:cs="Verdana"/>
          <w:noProof w:val="0"/>
          <w:szCs w:val="20"/>
          <w:lang w:val="en-US"/>
        </w:rPr>
        <w:t>after</w:t>
      </w:r>
      <w:r w:rsidRPr="004542B5">
        <w:rPr>
          <w:rFonts w:cs="Verdana"/>
          <w:noProof w:val="0"/>
          <w:szCs w:val="20"/>
          <w:lang w:val="en-US"/>
        </w:rPr>
        <w:t xml:space="preserve"> several years during which the representatives of this people took steps to require the State to recognize their right to collective property, the said property title was granted </w:t>
      </w:r>
      <w:r w:rsidR="00F06E7B" w:rsidRPr="004542B5">
        <w:rPr>
          <w:rFonts w:cs="Verdana"/>
          <w:noProof w:val="0"/>
          <w:szCs w:val="20"/>
          <w:lang w:val="en-US"/>
        </w:rPr>
        <w:t>by Law 24 of January 12, 1996</w:t>
      </w:r>
      <w:r w:rsidRPr="004542B5">
        <w:rPr>
          <w:rFonts w:cs="Verdana"/>
          <w:noProof w:val="0"/>
          <w:szCs w:val="20"/>
          <w:lang w:val="en-US"/>
        </w:rPr>
        <w:t xml:space="preserve"> (</w:t>
      </w:r>
      <w:r w:rsidRPr="004542B5">
        <w:rPr>
          <w:rFonts w:cs="Verdana"/>
          <w:i/>
          <w:noProof w:val="0"/>
          <w:szCs w:val="20"/>
          <w:lang w:val="en-US"/>
        </w:rPr>
        <w:t>supra</w:t>
      </w:r>
      <w:r w:rsidRPr="004542B5">
        <w:rPr>
          <w:rFonts w:cs="Verdana"/>
          <w:noProof w:val="0"/>
          <w:szCs w:val="20"/>
          <w:lang w:val="en-US"/>
        </w:rPr>
        <w:t xml:space="preserve"> para. 71). The law included a description of the boundaries of the lands, but did not refer to their demarcation. The Court notes that the demarcation of the lands of the Kuna people took place between April and June 2000 (</w:t>
      </w:r>
      <w:r w:rsidRPr="004542B5">
        <w:rPr>
          <w:rFonts w:cs="Verdana"/>
          <w:i/>
          <w:noProof w:val="0"/>
          <w:szCs w:val="20"/>
          <w:lang w:val="en-US"/>
        </w:rPr>
        <w:t>supra</w:t>
      </w:r>
      <w:r w:rsidRPr="004542B5">
        <w:rPr>
          <w:rFonts w:cs="Verdana"/>
          <w:noProof w:val="0"/>
          <w:szCs w:val="20"/>
          <w:lang w:val="en-US"/>
        </w:rPr>
        <w:t xml:space="preserve"> para. 74)</w:t>
      </w:r>
      <w:r w:rsidR="00F06E7B" w:rsidRPr="004542B5">
        <w:rPr>
          <w:rFonts w:cs="Verdana"/>
          <w:noProof w:val="0"/>
          <w:szCs w:val="20"/>
          <w:lang w:val="en-US"/>
        </w:rPr>
        <w:t>; thus,</w:t>
      </w:r>
      <w:r w:rsidRPr="004542B5">
        <w:rPr>
          <w:rFonts w:cs="Verdana"/>
          <w:noProof w:val="0"/>
          <w:szCs w:val="20"/>
          <w:lang w:val="en-US"/>
        </w:rPr>
        <w:t xml:space="preserve"> there was a lapse of four years between the titling of the land and its demarcation. The State indicated in its final written arguments that “the delimitation was carried out following the </w:t>
      </w:r>
      <w:r w:rsidR="006110CB" w:rsidRPr="004542B5">
        <w:rPr>
          <w:rFonts w:cs="Verdana"/>
          <w:noProof w:val="0"/>
          <w:szCs w:val="20"/>
          <w:lang w:val="en-US"/>
        </w:rPr>
        <w:t>promulgation</w:t>
      </w:r>
      <w:r w:rsidRPr="004542B5">
        <w:rPr>
          <w:rFonts w:cs="Verdana"/>
          <w:noProof w:val="0"/>
          <w:szCs w:val="20"/>
          <w:lang w:val="en-US"/>
        </w:rPr>
        <w:t xml:space="preserve"> of a</w:t>
      </w:r>
      <w:r w:rsidR="00342385" w:rsidRPr="004542B5">
        <w:rPr>
          <w:rFonts w:cs="Verdana"/>
          <w:noProof w:val="0"/>
          <w:szCs w:val="20"/>
          <w:lang w:val="en-US"/>
        </w:rPr>
        <w:t>rticle</w:t>
      </w:r>
      <w:r w:rsidR="004B2CE9" w:rsidRPr="004542B5">
        <w:rPr>
          <w:rFonts w:cs="Verdana"/>
          <w:noProof w:val="0"/>
          <w:szCs w:val="20"/>
          <w:lang w:val="en-US"/>
        </w:rPr>
        <w:t xml:space="preserve"> 1 </w:t>
      </w:r>
      <w:r w:rsidRPr="004542B5">
        <w:rPr>
          <w:rFonts w:cs="Verdana"/>
          <w:noProof w:val="0"/>
          <w:szCs w:val="20"/>
          <w:lang w:val="en-US"/>
        </w:rPr>
        <w:t>of</w:t>
      </w:r>
      <w:r w:rsidR="004B2CE9" w:rsidRPr="004542B5">
        <w:rPr>
          <w:rFonts w:cs="Verdana"/>
          <w:noProof w:val="0"/>
          <w:szCs w:val="20"/>
          <w:lang w:val="en-US"/>
        </w:rPr>
        <w:t xml:space="preserve"> </w:t>
      </w:r>
      <w:r w:rsidR="0033788F" w:rsidRPr="004542B5">
        <w:rPr>
          <w:rFonts w:cs="Verdana"/>
          <w:noProof w:val="0"/>
          <w:szCs w:val="20"/>
          <w:lang w:val="en-US"/>
        </w:rPr>
        <w:t>Law</w:t>
      </w:r>
      <w:r w:rsidR="004B2CE9" w:rsidRPr="004542B5">
        <w:rPr>
          <w:rFonts w:cs="Verdana"/>
          <w:noProof w:val="0"/>
          <w:szCs w:val="20"/>
          <w:lang w:val="en-US"/>
        </w:rPr>
        <w:t xml:space="preserve"> 24 </w:t>
      </w:r>
      <w:r w:rsidR="00C10E5C" w:rsidRPr="004542B5">
        <w:rPr>
          <w:rFonts w:cs="Verdana"/>
          <w:noProof w:val="0"/>
          <w:szCs w:val="20"/>
          <w:lang w:val="en-US"/>
        </w:rPr>
        <w:t>of January 12, 1996</w:t>
      </w:r>
      <w:r w:rsidRPr="004542B5">
        <w:rPr>
          <w:rFonts w:cs="Verdana"/>
          <w:noProof w:val="0"/>
          <w:szCs w:val="20"/>
          <w:lang w:val="en-US"/>
        </w:rPr>
        <w:t xml:space="preserve">, </w:t>
      </w:r>
      <w:r w:rsidR="00CD2B90" w:rsidRPr="004542B5">
        <w:rPr>
          <w:rFonts w:cs="Verdana"/>
          <w:noProof w:val="0"/>
          <w:szCs w:val="20"/>
          <w:lang w:val="en-US"/>
        </w:rPr>
        <w:t xml:space="preserve">and </w:t>
      </w:r>
      <w:r w:rsidRPr="004542B5">
        <w:rPr>
          <w:rFonts w:cs="Verdana"/>
          <w:noProof w:val="0"/>
          <w:szCs w:val="20"/>
          <w:lang w:val="en-US"/>
        </w:rPr>
        <w:t xml:space="preserve">the demarcation was concluded in December </w:t>
      </w:r>
      <w:r w:rsidR="004B2CE9" w:rsidRPr="004542B5">
        <w:rPr>
          <w:rFonts w:cs="Verdana"/>
          <w:noProof w:val="0"/>
          <w:szCs w:val="20"/>
          <w:lang w:val="en-US"/>
        </w:rPr>
        <w:t>2000</w:t>
      </w:r>
      <w:r w:rsidRPr="004542B5">
        <w:rPr>
          <w:rFonts w:cs="Verdana"/>
          <w:noProof w:val="0"/>
          <w:szCs w:val="20"/>
          <w:lang w:val="en-US"/>
        </w:rPr>
        <w:t>.</w:t>
      </w:r>
      <w:r w:rsidR="004B2CE9" w:rsidRPr="004542B5">
        <w:rPr>
          <w:rFonts w:cs="Verdana"/>
          <w:noProof w:val="0"/>
          <w:szCs w:val="20"/>
          <w:lang w:val="en-US"/>
        </w:rPr>
        <w:t>”</w:t>
      </w:r>
      <w:r w:rsidR="007B47B1" w:rsidRPr="004542B5">
        <w:rPr>
          <w:rFonts w:cs="Verdana"/>
          <w:noProof w:val="0"/>
          <w:szCs w:val="20"/>
          <w:lang w:val="en-US"/>
        </w:rPr>
        <w:t xml:space="preserve"> </w:t>
      </w:r>
    </w:p>
    <w:p w14:paraId="2BB15DB5" w14:textId="04D736B6" w:rsidR="003B7977" w:rsidRPr="004542B5" w:rsidRDefault="007B47B1" w:rsidP="00E01664">
      <w:pPr>
        <w:pStyle w:val="PrrafodeSentencia0"/>
        <w:rPr>
          <w:lang w:val="en-US"/>
        </w:rPr>
      </w:pPr>
      <w:r w:rsidRPr="004542B5">
        <w:rPr>
          <w:lang w:val="en-US"/>
        </w:rPr>
        <w:t xml:space="preserve">b. </w:t>
      </w:r>
      <w:r w:rsidR="00895264" w:rsidRPr="004542B5">
        <w:rPr>
          <w:lang w:val="en-US"/>
        </w:rPr>
        <w:t>The alleged failure to delimit, demarcate and title the lands of the Emberá communities</w:t>
      </w:r>
      <w:r w:rsidRPr="004542B5">
        <w:rPr>
          <w:lang w:val="en-US"/>
        </w:rPr>
        <w:t xml:space="preserve"> </w:t>
      </w:r>
    </w:p>
    <w:p w14:paraId="4E64A598" w14:textId="5C2308E4" w:rsidR="002E6C8B" w:rsidRPr="004542B5" w:rsidRDefault="00895264" w:rsidP="00895264">
      <w:pPr>
        <w:pStyle w:val="ListParagraph"/>
        <w:numPr>
          <w:ilvl w:val="0"/>
          <w:numId w:val="2"/>
        </w:numPr>
        <w:spacing w:before="120" w:after="120"/>
        <w:contextualSpacing w:val="0"/>
        <w:rPr>
          <w:rFonts w:cs="Verdana"/>
          <w:noProof w:val="0"/>
          <w:szCs w:val="20"/>
          <w:lang w:val="en-US"/>
        </w:rPr>
      </w:pPr>
      <w:r w:rsidRPr="004542B5">
        <w:rPr>
          <w:rFonts w:cs="Verdana"/>
          <w:noProof w:val="0"/>
          <w:szCs w:val="20"/>
          <w:lang w:val="en-US"/>
        </w:rPr>
        <w:t xml:space="preserve">In the case of the Emberá people of </w:t>
      </w:r>
      <w:r w:rsidR="004B2CE9" w:rsidRPr="004542B5">
        <w:rPr>
          <w:rFonts w:cs="Verdana"/>
          <w:noProof w:val="0"/>
          <w:szCs w:val="20"/>
          <w:lang w:val="en-US"/>
        </w:rPr>
        <w:t>Bayano</w:t>
      </w:r>
      <w:r w:rsidRPr="004542B5">
        <w:rPr>
          <w:rFonts w:cs="Verdana"/>
          <w:noProof w:val="0"/>
          <w:szCs w:val="20"/>
          <w:lang w:val="en-US"/>
        </w:rPr>
        <w:t xml:space="preserve">, as previously indicated they </w:t>
      </w:r>
      <w:r w:rsidR="00E43A87" w:rsidRPr="004542B5">
        <w:rPr>
          <w:rFonts w:cs="Verdana"/>
          <w:noProof w:val="0"/>
          <w:szCs w:val="20"/>
          <w:lang w:val="en-US"/>
        </w:rPr>
        <w:t xml:space="preserve">consist </w:t>
      </w:r>
      <w:r w:rsidRPr="004542B5">
        <w:rPr>
          <w:rFonts w:cs="Verdana"/>
          <w:noProof w:val="0"/>
          <w:szCs w:val="20"/>
          <w:lang w:val="en-US"/>
        </w:rPr>
        <w:t xml:space="preserve">mainly of four communities: </w:t>
      </w:r>
      <w:r w:rsidR="004B2CE9" w:rsidRPr="004542B5">
        <w:rPr>
          <w:rFonts w:cs="Verdana"/>
          <w:noProof w:val="0"/>
          <w:szCs w:val="20"/>
          <w:lang w:val="en-US"/>
        </w:rPr>
        <w:t>Ipetí, Piriatí, Maje Cordillera</w:t>
      </w:r>
      <w:r w:rsidR="00CD2B90" w:rsidRPr="004542B5">
        <w:rPr>
          <w:rFonts w:cs="Verdana"/>
          <w:noProof w:val="0"/>
          <w:szCs w:val="20"/>
          <w:lang w:val="en-US"/>
        </w:rPr>
        <w:t xml:space="preserve"> and </w:t>
      </w:r>
      <w:r w:rsidR="004B2CE9" w:rsidRPr="004542B5">
        <w:rPr>
          <w:rFonts w:cs="Verdana"/>
          <w:noProof w:val="0"/>
          <w:szCs w:val="20"/>
          <w:lang w:val="en-US"/>
        </w:rPr>
        <w:t>Unión (</w:t>
      </w:r>
      <w:r w:rsidR="004B2CE9" w:rsidRPr="004542B5">
        <w:rPr>
          <w:rFonts w:cs="Verdana"/>
          <w:i/>
          <w:noProof w:val="0"/>
          <w:szCs w:val="20"/>
          <w:lang w:val="en-US"/>
        </w:rPr>
        <w:t xml:space="preserve">supra </w:t>
      </w:r>
      <w:r w:rsidR="00F66B76" w:rsidRPr="004542B5">
        <w:rPr>
          <w:rFonts w:cs="Verdana"/>
          <w:noProof w:val="0"/>
          <w:szCs w:val="20"/>
          <w:lang w:val="en-US"/>
        </w:rPr>
        <w:t>para.</w:t>
      </w:r>
      <w:r w:rsidR="004B2CE9" w:rsidRPr="004542B5">
        <w:rPr>
          <w:rFonts w:cs="Verdana"/>
          <w:noProof w:val="0"/>
          <w:szCs w:val="20"/>
          <w:lang w:val="en-US"/>
        </w:rPr>
        <w:t xml:space="preserve"> 61). </w:t>
      </w:r>
      <w:r w:rsidRPr="004542B5">
        <w:rPr>
          <w:rFonts w:cs="Verdana"/>
          <w:noProof w:val="0"/>
          <w:szCs w:val="20"/>
          <w:lang w:val="en-US"/>
        </w:rPr>
        <w:t xml:space="preserve">Even though the Court’s Secretariat had asked </w:t>
      </w:r>
      <w:r w:rsidR="00562CBB" w:rsidRPr="004542B5">
        <w:rPr>
          <w:rFonts w:cs="Verdana"/>
          <w:noProof w:val="0"/>
          <w:szCs w:val="20"/>
          <w:lang w:val="en-US"/>
        </w:rPr>
        <w:t>the representatives</w:t>
      </w:r>
      <w:r w:rsidR="004B2CE9" w:rsidRPr="004542B5">
        <w:rPr>
          <w:rFonts w:cs="Verdana"/>
          <w:noProof w:val="0"/>
          <w:szCs w:val="20"/>
          <w:lang w:val="en-US"/>
        </w:rPr>
        <w:t xml:space="preserve"> </w:t>
      </w:r>
      <w:r w:rsidRPr="004542B5">
        <w:rPr>
          <w:rFonts w:cs="Verdana"/>
          <w:noProof w:val="0"/>
          <w:szCs w:val="20"/>
          <w:lang w:val="en-US"/>
        </w:rPr>
        <w:t xml:space="preserve">to provide documentation that was missing from the pleadings and motions brief in relation to the alleged failure to grant collective property titles to these four communities, the evidence provided only reveals the current situation in relation to the Ipetí and Piriatí communities, and there is no recent information with regard to the Emberá communities of </w:t>
      </w:r>
      <w:r w:rsidR="004B2CE9" w:rsidRPr="004542B5">
        <w:rPr>
          <w:rFonts w:cs="Verdana"/>
          <w:noProof w:val="0"/>
          <w:szCs w:val="20"/>
          <w:lang w:val="en-US"/>
        </w:rPr>
        <w:t>Maje Cordillera</w:t>
      </w:r>
      <w:r w:rsidR="00CD2B90" w:rsidRPr="004542B5">
        <w:rPr>
          <w:rFonts w:cs="Verdana"/>
          <w:noProof w:val="0"/>
          <w:szCs w:val="20"/>
          <w:lang w:val="en-US"/>
        </w:rPr>
        <w:t xml:space="preserve"> and </w:t>
      </w:r>
      <w:r w:rsidR="004B2CE9" w:rsidRPr="004542B5">
        <w:rPr>
          <w:rFonts w:cs="Verdana"/>
          <w:noProof w:val="0"/>
          <w:szCs w:val="20"/>
          <w:lang w:val="en-US"/>
        </w:rPr>
        <w:t>Unión</w:t>
      </w:r>
      <w:r w:rsidRPr="004542B5">
        <w:rPr>
          <w:rFonts w:cs="Verdana"/>
          <w:noProof w:val="0"/>
          <w:szCs w:val="20"/>
          <w:lang w:val="en-US"/>
        </w:rPr>
        <w:t>.</w:t>
      </w:r>
      <w:r w:rsidR="004B2CE9" w:rsidRPr="004542B5">
        <w:rPr>
          <w:rStyle w:val="FootnoteReference"/>
          <w:noProof w:val="0"/>
          <w:lang w:val="en-US"/>
        </w:rPr>
        <w:footnoteReference w:id="210"/>
      </w:r>
      <w:r w:rsidR="007B47B1" w:rsidRPr="004542B5">
        <w:rPr>
          <w:rFonts w:cs="Verdana"/>
          <w:noProof w:val="0"/>
          <w:szCs w:val="20"/>
          <w:lang w:val="en-US"/>
        </w:rPr>
        <w:t xml:space="preserve"> </w:t>
      </w:r>
    </w:p>
    <w:p w14:paraId="78A1AB4A" w14:textId="3A832695" w:rsidR="00C51F67" w:rsidRPr="004542B5" w:rsidRDefault="00C51F67" w:rsidP="00E01664">
      <w:pPr>
        <w:pStyle w:val="ListParagraph"/>
        <w:numPr>
          <w:ilvl w:val="0"/>
          <w:numId w:val="2"/>
        </w:numPr>
        <w:spacing w:before="120" w:after="120"/>
        <w:contextualSpacing w:val="0"/>
        <w:rPr>
          <w:rFonts w:cs="Verdana"/>
          <w:noProof w:val="0"/>
          <w:szCs w:val="20"/>
          <w:lang w:val="en-US"/>
        </w:rPr>
      </w:pPr>
      <w:r w:rsidRPr="004542B5">
        <w:rPr>
          <w:rFonts w:cs="Verdana"/>
          <w:noProof w:val="0"/>
          <w:szCs w:val="20"/>
          <w:lang w:val="en-US"/>
        </w:rPr>
        <w:t xml:space="preserve">With regard to the lands of the Ipetí community, the evidence shows that these lands were delimited in November and December </w:t>
      </w:r>
      <w:r w:rsidR="004B2CE9" w:rsidRPr="004542B5">
        <w:rPr>
          <w:rFonts w:cs="Verdana"/>
          <w:noProof w:val="0"/>
          <w:szCs w:val="20"/>
          <w:lang w:val="en-US"/>
        </w:rPr>
        <w:t>2013 (</w:t>
      </w:r>
      <w:r w:rsidR="004B2CE9" w:rsidRPr="004542B5">
        <w:rPr>
          <w:rFonts w:cs="Verdana"/>
          <w:i/>
          <w:noProof w:val="0"/>
          <w:szCs w:val="20"/>
          <w:lang w:val="en-US"/>
        </w:rPr>
        <w:t xml:space="preserve">supra </w:t>
      </w:r>
      <w:r w:rsidR="00F66B76" w:rsidRPr="004542B5">
        <w:rPr>
          <w:rFonts w:cs="Verdana"/>
          <w:noProof w:val="0"/>
          <w:szCs w:val="20"/>
          <w:lang w:val="en-US"/>
        </w:rPr>
        <w:t>para.</w:t>
      </w:r>
      <w:r w:rsidR="004B2CE9" w:rsidRPr="004542B5">
        <w:rPr>
          <w:rFonts w:cs="Verdana"/>
          <w:noProof w:val="0"/>
          <w:szCs w:val="20"/>
          <w:lang w:val="en-US"/>
        </w:rPr>
        <w:t xml:space="preserve"> 80). </w:t>
      </w:r>
      <w:r w:rsidRPr="004542B5">
        <w:rPr>
          <w:rFonts w:cs="Verdana"/>
          <w:noProof w:val="0"/>
          <w:szCs w:val="20"/>
          <w:lang w:val="en-US"/>
        </w:rPr>
        <w:t>However, the documentation provided by the State, which includes an ANATI report of November 2013, does not mention</w:t>
      </w:r>
      <w:r w:rsidR="00E43A87" w:rsidRPr="004542B5">
        <w:rPr>
          <w:rFonts w:cs="Verdana"/>
          <w:noProof w:val="0"/>
          <w:szCs w:val="20"/>
          <w:lang w:val="en-US"/>
        </w:rPr>
        <w:t xml:space="preserve"> execution of</w:t>
      </w:r>
      <w:r w:rsidRPr="004542B5">
        <w:rPr>
          <w:rFonts w:cs="Verdana"/>
          <w:noProof w:val="0"/>
          <w:szCs w:val="20"/>
          <w:lang w:val="en-US"/>
        </w:rPr>
        <w:t xml:space="preserve"> the demarcation of the Ipetí lands. To the contrary, the said report refers to some monuments that had been “destroyed” and recommends “to the Emberá community that, to avoid future disputes with its neighbors, it prepare </w:t>
      </w:r>
      <w:r w:rsidR="00E43A87" w:rsidRPr="004542B5">
        <w:rPr>
          <w:rFonts w:cs="Verdana"/>
          <w:noProof w:val="0"/>
          <w:szCs w:val="20"/>
          <w:lang w:val="en-US"/>
        </w:rPr>
        <w:t>further</w:t>
      </w:r>
      <w:r w:rsidRPr="004542B5">
        <w:rPr>
          <w:rFonts w:cs="Verdana"/>
          <w:noProof w:val="0"/>
          <w:szCs w:val="20"/>
          <w:lang w:val="en-US"/>
        </w:rPr>
        <w:t xml:space="preserve"> documentation on the elements that have disappeared.” Therefore, the Court notes that the State has not demarcated the </w:t>
      </w:r>
      <w:r w:rsidR="00E74A3B" w:rsidRPr="004542B5">
        <w:rPr>
          <w:rFonts w:cs="Verdana"/>
          <w:noProof w:val="0"/>
          <w:szCs w:val="20"/>
          <w:lang w:val="en-US"/>
        </w:rPr>
        <w:t>Ipetí Emberá</w:t>
      </w:r>
      <w:r w:rsidRPr="004542B5">
        <w:rPr>
          <w:rFonts w:cs="Verdana"/>
          <w:noProof w:val="0"/>
          <w:szCs w:val="20"/>
          <w:lang w:val="en-US"/>
        </w:rPr>
        <w:t xml:space="preserve"> lands.</w:t>
      </w:r>
    </w:p>
    <w:p w14:paraId="39917A88" w14:textId="221A022C" w:rsidR="002E6C8B" w:rsidRPr="004542B5" w:rsidRDefault="00C51F67" w:rsidP="00E74A3B">
      <w:pPr>
        <w:pStyle w:val="ListParagraph"/>
        <w:numPr>
          <w:ilvl w:val="0"/>
          <w:numId w:val="2"/>
        </w:numPr>
        <w:spacing w:before="120" w:after="120"/>
        <w:contextualSpacing w:val="0"/>
        <w:rPr>
          <w:rFonts w:cs="Verdana"/>
          <w:noProof w:val="0"/>
          <w:szCs w:val="20"/>
          <w:lang w:val="en-US"/>
        </w:rPr>
      </w:pPr>
      <w:r w:rsidRPr="004542B5">
        <w:rPr>
          <w:rFonts w:cs="Verdana"/>
          <w:noProof w:val="0"/>
          <w:szCs w:val="20"/>
          <w:lang w:val="en-US"/>
        </w:rPr>
        <w:t xml:space="preserve">Regarding the titling of the Ipetí lands, an ANATI report of April 15, </w:t>
      </w:r>
      <w:r w:rsidR="004B2CE9" w:rsidRPr="004542B5">
        <w:rPr>
          <w:rFonts w:cs="Verdana"/>
          <w:noProof w:val="0"/>
          <w:szCs w:val="20"/>
          <w:lang w:val="en-US"/>
        </w:rPr>
        <w:t xml:space="preserve">2014, </w:t>
      </w:r>
      <w:r w:rsidRPr="004542B5">
        <w:rPr>
          <w:rFonts w:cs="Verdana"/>
          <w:noProof w:val="0"/>
          <w:szCs w:val="20"/>
          <w:lang w:val="en-US"/>
        </w:rPr>
        <w:t xml:space="preserve">provided by the State indicates that “the Ipetí community file will be sent tomorrow (April 16, 2014) to the ANATI Regional Office in </w:t>
      </w:r>
      <w:r w:rsidR="004B2CE9" w:rsidRPr="004542B5">
        <w:rPr>
          <w:rFonts w:cs="Verdana"/>
          <w:noProof w:val="0"/>
          <w:szCs w:val="20"/>
          <w:lang w:val="en-US"/>
        </w:rPr>
        <w:t>Santiago, Veraguas</w:t>
      </w:r>
      <w:r w:rsidRPr="004542B5">
        <w:rPr>
          <w:rFonts w:cs="Verdana"/>
          <w:noProof w:val="0"/>
          <w:szCs w:val="20"/>
          <w:lang w:val="en-US"/>
        </w:rPr>
        <w:t>, so that the plan or sketch can be verified and approved and thus continue the proce</w:t>
      </w:r>
      <w:r w:rsidR="00E43A87" w:rsidRPr="004542B5">
        <w:rPr>
          <w:rFonts w:cs="Verdana"/>
          <w:noProof w:val="0"/>
          <w:szCs w:val="20"/>
          <w:lang w:val="en-US"/>
        </w:rPr>
        <w:t>ss</w:t>
      </w:r>
      <w:r w:rsidRPr="004542B5">
        <w:rPr>
          <w:rFonts w:cs="Verdana"/>
          <w:noProof w:val="0"/>
          <w:szCs w:val="20"/>
          <w:lang w:val="en-US"/>
        </w:rPr>
        <w:t xml:space="preserve"> </w:t>
      </w:r>
      <w:r w:rsidR="00E74A3B" w:rsidRPr="004542B5">
        <w:rPr>
          <w:rFonts w:cs="Verdana"/>
          <w:noProof w:val="0"/>
          <w:szCs w:val="20"/>
          <w:lang w:val="en-US"/>
        </w:rPr>
        <w:t>for the issue of the title adjudicating collective land.”</w:t>
      </w:r>
      <w:r w:rsidR="004B2CE9" w:rsidRPr="004542B5">
        <w:rPr>
          <w:rStyle w:val="FootnoteReference"/>
          <w:noProof w:val="0"/>
          <w:lang w:val="en-US"/>
        </w:rPr>
        <w:footnoteReference w:id="211"/>
      </w:r>
      <w:r w:rsidR="00E74A3B" w:rsidRPr="004542B5">
        <w:rPr>
          <w:rFonts w:cs="Verdana"/>
          <w:noProof w:val="0"/>
          <w:szCs w:val="20"/>
          <w:lang w:val="en-US"/>
        </w:rPr>
        <w:t xml:space="preserve"> Based on the evidence provided, the Court notes that the titling procedure</w:t>
      </w:r>
      <w:r w:rsidR="00E43A87" w:rsidRPr="004542B5">
        <w:rPr>
          <w:rFonts w:cs="Verdana"/>
          <w:noProof w:val="0"/>
          <w:szCs w:val="20"/>
          <w:lang w:val="en-US"/>
        </w:rPr>
        <w:t>, as established in Law 72,</w:t>
      </w:r>
      <w:r w:rsidR="00E74A3B" w:rsidRPr="004542B5">
        <w:rPr>
          <w:rFonts w:cs="Verdana"/>
          <w:noProof w:val="0"/>
          <w:szCs w:val="20"/>
          <w:lang w:val="en-US"/>
        </w:rPr>
        <w:t xml:space="preserve"> appears to be at the stage</w:t>
      </w:r>
      <w:r w:rsidR="00E43A87" w:rsidRPr="004542B5">
        <w:rPr>
          <w:rFonts w:cs="Verdana"/>
          <w:noProof w:val="0"/>
          <w:szCs w:val="20"/>
          <w:lang w:val="en-US"/>
        </w:rPr>
        <w:t xml:space="preserve"> – pri</w:t>
      </w:r>
      <w:r w:rsidR="00E74A3B" w:rsidRPr="004542B5">
        <w:rPr>
          <w:rFonts w:cs="Verdana"/>
          <w:noProof w:val="0"/>
          <w:szCs w:val="20"/>
          <w:lang w:val="en-US"/>
        </w:rPr>
        <w:t>or to verification of the location of the land</w:t>
      </w:r>
      <w:r w:rsidR="00E43A87" w:rsidRPr="004542B5">
        <w:rPr>
          <w:rFonts w:cs="Verdana"/>
          <w:noProof w:val="0"/>
          <w:szCs w:val="20"/>
          <w:lang w:val="en-US"/>
        </w:rPr>
        <w:t xml:space="preserve"> – at</w:t>
      </w:r>
      <w:r w:rsidR="00E74A3B" w:rsidRPr="004542B5">
        <w:rPr>
          <w:rFonts w:cs="Verdana"/>
          <w:noProof w:val="0"/>
          <w:szCs w:val="20"/>
          <w:lang w:val="en-US"/>
        </w:rPr>
        <w:t xml:space="preserve"> the </w:t>
      </w:r>
      <w:r w:rsidR="00E43A87" w:rsidRPr="004542B5">
        <w:rPr>
          <w:rFonts w:cs="Verdana"/>
          <w:noProof w:val="0"/>
          <w:szCs w:val="20"/>
          <w:lang w:val="en-US"/>
        </w:rPr>
        <w:t>phase of</w:t>
      </w:r>
      <w:r w:rsidR="00E74A3B" w:rsidRPr="004542B5">
        <w:rPr>
          <w:rFonts w:cs="Verdana"/>
          <w:noProof w:val="0"/>
          <w:szCs w:val="20"/>
          <w:lang w:val="en-US"/>
        </w:rPr>
        <w:t xml:space="preserve"> lodging objections, </w:t>
      </w:r>
      <w:r w:rsidR="00E43A87" w:rsidRPr="004542B5">
        <w:rPr>
          <w:rFonts w:cs="Verdana"/>
          <w:noProof w:val="0"/>
          <w:szCs w:val="20"/>
          <w:lang w:val="en-US"/>
        </w:rPr>
        <w:t>and</w:t>
      </w:r>
      <w:r w:rsidR="00E74A3B" w:rsidRPr="004542B5">
        <w:rPr>
          <w:rFonts w:cs="Verdana"/>
          <w:noProof w:val="0"/>
          <w:szCs w:val="20"/>
          <w:lang w:val="en-US"/>
        </w:rPr>
        <w:t xml:space="preserve"> possible reconsideration and appeal.</w:t>
      </w:r>
      <w:r w:rsidR="004B2CE9" w:rsidRPr="004542B5">
        <w:rPr>
          <w:rStyle w:val="FootnoteReference"/>
          <w:noProof w:val="0"/>
          <w:lang w:val="en-US"/>
        </w:rPr>
        <w:footnoteReference w:id="212"/>
      </w:r>
      <w:r w:rsidR="00E74A3B" w:rsidRPr="004542B5">
        <w:rPr>
          <w:rFonts w:cs="Verdana"/>
          <w:noProof w:val="0"/>
          <w:szCs w:val="20"/>
          <w:lang w:val="en-US"/>
        </w:rPr>
        <w:t xml:space="preserve"> Therefore, this </w:t>
      </w:r>
      <w:r w:rsidR="00E74A3B" w:rsidRPr="004542B5">
        <w:rPr>
          <w:rFonts w:cs="Verdana"/>
          <w:noProof w:val="0"/>
          <w:szCs w:val="20"/>
          <w:lang w:val="en-US"/>
        </w:rPr>
        <w:lastRenderedPageBreak/>
        <w:t xml:space="preserve">documentation reveals that, </w:t>
      </w:r>
      <w:r w:rsidR="00E43A87" w:rsidRPr="004542B5">
        <w:rPr>
          <w:rFonts w:cs="Verdana"/>
          <w:noProof w:val="0"/>
          <w:szCs w:val="20"/>
          <w:lang w:val="en-US"/>
        </w:rPr>
        <w:t>at</w:t>
      </w:r>
      <w:r w:rsidR="00E74A3B" w:rsidRPr="004542B5">
        <w:rPr>
          <w:rFonts w:cs="Verdana"/>
          <w:noProof w:val="0"/>
          <w:szCs w:val="20"/>
          <w:lang w:val="en-US"/>
        </w:rPr>
        <w:t xml:space="preserve"> the date of this judgment, no collective property title has been granted for the lands of the Emberá community of </w:t>
      </w:r>
      <w:r w:rsidR="004B2CE9" w:rsidRPr="004542B5">
        <w:rPr>
          <w:rFonts w:cs="Verdana"/>
          <w:noProof w:val="0"/>
          <w:szCs w:val="20"/>
          <w:lang w:val="en-US"/>
        </w:rPr>
        <w:t>Ipetí</w:t>
      </w:r>
      <w:r w:rsidR="007B47B1" w:rsidRPr="004542B5">
        <w:rPr>
          <w:rFonts w:cs="Verdana"/>
          <w:noProof w:val="0"/>
          <w:szCs w:val="20"/>
          <w:lang w:val="en-US"/>
        </w:rPr>
        <w:t>.</w:t>
      </w:r>
    </w:p>
    <w:p w14:paraId="18FA6124" w14:textId="418A01C6" w:rsidR="004E2F42" w:rsidRPr="004542B5" w:rsidRDefault="00E74A3B" w:rsidP="004E2F42">
      <w:pPr>
        <w:pStyle w:val="ListParagraph"/>
        <w:numPr>
          <w:ilvl w:val="0"/>
          <w:numId w:val="2"/>
        </w:numPr>
        <w:spacing w:before="120" w:after="120"/>
        <w:contextualSpacing w:val="0"/>
        <w:rPr>
          <w:rFonts w:cs="Verdana"/>
          <w:noProof w:val="0"/>
          <w:szCs w:val="20"/>
          <w:lang w:val="en-US"/>
        </w:rPr>
      </w:pPr>
      <w:r w:rsidRPr="004542B5">
        <w:rPr>
          <w:rFonts w:cs="Verdana"/>
          <w:noProof w:val="0"/>
          <w:szCs w:val="20"/>
          <w:lang w:val="en-US"/>
        </w:rPr>
        <w:t xml:space="preserve">Regarding the lands </w:t>
      </w:r>
      <w:r w:rsidR="004D0B27" w:rsidRPr="004542B5">
        <w:rPr>
          <w:rFonts w:cs="Verdana"/>
          <w:noProof w:val="0"/>
          <w:szCs w:val="20"/>
          <w:lang w:val="en-US"/>
        </w:rPr>
        <w:t xml:space="preserve">of the </w:t>
      </w:r>
      <w:r w:rsidR="00203069" w:rsidRPr="004542B5">
        <w:rPr>
          <w:rFonts w:cs="Verdana"/>
          <w:noProof w:val="0"/>
          <w:szCs w:val="20"/>
          <w:lang w:val="en-US"/>
        </w:rPr>
        <w:t xml:space="preserve">Emberá </w:t>
      </w:r>
      <w:r w:rsidR="004E2F42" w:rsidRPr="004542B5">
        <w:rPr>
          <w:rFonts w:cs="Verdana"/>
          <w:noProof w:val="0"/>
          <w:szCs w:val="20"/>
          <w:lang w:val="en-US"/>
        </w:rPr>
        <w:t>c</w:t>
      </w:r>
      <w:r w:rsidR="00203069" w:rsidRPr="004542B5">
        <w:rPr>
          <w:rFonts w:cs="Verdana"/>
          <w:noProof w:val="0"/>
          <w:szCs w:val="20"/>
          <w:lang w:val="en-US"/>
        </w:rPr>
        <w:t>ommunity</w:t>
      </w:r>
      <w:r w:rsidR="004B2CE9" w:rsidRPr="004542B5">
        <w:rPr>
          <w:rFonts w:cs="Verdana"/>
          <w:noProof w:val="0"/>
          <w:szCs w:val="20"/>
          <w:lang w:val="en-US"/>
        </w:rPr>
        <w:t xml:space="preserve"> </w:t>
      </w:r>
      <w:r w:rsidR="004E2F42" w:rsidRPr="004542B5">
        <w:rPr>
          <w:rFonts w:cs="Verdana"/>
          <w:noProof w:val="0"/>
          <w:szCs w:val="20"/>
          <w:lang w:val="en-US"/>
        </w:rPr>
        <w:t>of</w:t>
      </w:r>
      <w:r w:rsidR="004B2CE9" w:rsidRPr="004542B5">
        <w:rPr>
          <w:rFonts w:cs="Verdana"/>
          <w:noProof w:val="0"/>
          <w:szCs w:val="20"/>
          <w:lang w:val="en-US"/>
        </w:rPr>
        <w:t xml:space="preserve"> Piriatí, </w:t>
      </w:r>
      <w:r w:rsidR="004E2F42" w:rsidRPr="004542B5">
        <w:rPr>
          <w:rFonts w:cs="Verdana"/>
          <w:noProof w:val="0"/>
          <w:szCs w:val="20"/>
          <w:lang w:val="en-US"/>
        </w:rPr>
        <w:t>according to an ANATI report of October 2013 forwarded by the State, the said lands were delimited that same month</w:t>
      </w:r>
      <w:r w:rsidR="004B2CE9" w:rsidRPr="004542B5">
        <w:rPr>
          <w:rFonts w:cs="Verdana"/>
          <w:noProof w:val="0"/>
          <w:szCs w:val="20"/>
          <w:lang w:val="en-US"/>
        </w:rPr>
        <w:t xml:space="preserve"> (</w:t>
      </w:r>
      <w:r w:rsidR="004B2CE9" w:rsidRPr="004542B5">
        <w:rPr>
          <w:rFonts w:cs="Verdana"/>
          <w:i/>
          <w:noProof w:val="0"/>
          <w:szCs w:val="20"/>
          <w:lang w:val="en-US"/>
        </w:rPr>
        <w:t>supra</w:t>
      </w:r>
      <w:r w:rsidR="004B2CE9" w:rsidRPr="004542B5">
        <w:rPr>
          <w:rFonts w:cs="Verdana"/>
          <w:noProof w:val="0"/>
          <w:szCs w:val="20"/>
          <w:lang w:val="en-US"/>
        </w:rPr>
        <w:t xml:space="preserve"> </w:t>
      </w:r>
      <w:r w:rsidR="00F66B76" w:rsidRPr="004542B5">
        <w:rPr>
          <w:rFonts w:cs="Verdana"/>
          <w:noProof w:val="0"/>
          <w:szCs w:val="20"/>
          <w:lang w:val="en-US"/>
        </w:rPr>
        <w:t>para.</w:t>
      </w:r>
      <w:r w:rsidR="004B2CE9" w:rsidRPr="004542B5">
        <w:rPr>
          <w:rFonts w:cs="Verdana"/>
          <w:noProof w:val="0"/>
          <w:szCs w:val="20"/>
          <w:lang w:val="en-US"/>
        </w:rPr>
        <w:t xml:space="preserve"> 80). </w:t>
      </w:r>
      <w:r w:rsidR="004E2F42" w:rsidRPr="004542B5">
        <w:rPr>
          <w:rFonts w:cs="Verdana"/>
          <w:noProof w:val="0"/>
          <w:szCs w:val="20"/>
          <w:lang w:val="en-US"/>
        </w:rPr>
        <w:t xml:space="preserve">However, </w:t>
      </w:r>
      <w:r w:rsidR="00E43A87" w:rsidRPr="004542B5">
        <w:rPr>
          <w:rFonts w:cs="Verdana"/>
          <w:noProof w:val="0"/>
          <w:szCs w:val="20"/>
          <w:lang w:val="en-US"/>
        </w:rPr>
        <w:t>in the case of</w:t>
      </w:r>
      <w:r w:rsidR="004E2F42" w:rsidRPr="004542B5">
        <w:rPr>
          <w:rFonts w:cs="Verdana"/>
          <w:noProof w:val="0"/>
          <w:szCs w:val="20"/>
          <w:lang w:val="en-US"/>
        </w:rPr>
        <w:t xml:space="preserve"> the demarcation of the territory, this report only mentions that “[t]he boundary of this land is well defined, because it is composed of natural elements on the one hand, and coordinates on the other.</w:t>
      </w:r>
      <w:r w:rsidR="004B2CE9" w:rsidRPr="004542B5">
        <w:rPr>
          <w:rFonts w:cs="Verdana"/>
          <w:noProof w:val="0"/>
          <w:szCs w:val="20"/>
          <w:lang w:val="en-US"/>
        </w:rPr>
        <w:t>”</w:t>
      </w:r>
      <w:r w:rsidR="004B2CE9" w:rsidRPr="004542B5">
        <w:rPr>
          <w:rStyle w:val="FootnoteReference"/>
          <w:noProof w:val="0"/>
          <w:lang w:val="en-US"/>
        </w:rPr>
        <w:footnoteReference w:id="213"/>
      </w:r>
      <w:r w:rsidR="004B2CE9" w:rsidRPr="004542B5">
        <w:rPr>
          <w:rFonts w:cs="Verdana"/>
          <w:noProof w:val="0"/>
          <w:szCs w:val="20"/>
          <w:lang w:val="en-US"/>
        </w:rPr>
        <w:t xml:space="preserve"> </w:t>
      </w:r>
      <w:r w:rsidR="00342385" w:rsidRPr="004542B5">
        <w:rPr>
          <w:rFonts w:cs="Verdana"/>
          <w:noProof w:val="0"/>
          <w:szCs w:val="20"/>
          <w:lang w:val="en-US"/>
        </w:rPr>
        <w:t>In</w:t>
      </w:r>
      <w:r w:rsidR="004E2F42" w:rsidRPr="004542B5">
        <w:rPr>
          <w:rFonts w:cs="Verdana"/>
          <w:noProof w:val="0"/>
          <w:szCs w:val="20"/>
          <w:lang w:val="en-US"/>
        </w:rPr>
        <w:t xml:space="preserve"> this regard, the Court notes that although it is true that some natural geographical boundaries could, depending on the specific circumstances, make physical demarcation unnecessary, it is also true that in the case of other boundaries, the mere reference to certain coordinates is insufficient. Therefore, the Court concludes that at least part of the necessary demarcation that the State should have carried out </w:t>
      </w:r>
      <w:r w:rsidR="00E43A87" w:rsidRPr="004542B5">
        <w:rPr>
          <w:rFonts w:cs="Verdana"/>
          <w:noProof w:val="0"/>
          <w:szCs w:val="20"/>
          <w:lang w:val="en-US"/>
        </w:rPr>
        <w:t>has not been</w:t>
      </w:r>
      <w:r w:rsidR="004E2F42" w:rsidRPr="004542B5">
        <w:rPr>
          <w:rFonts w:cs="Verdana"/>
          <w:noProof w:val="0"/>
          <w:szCs w:val="20"/>
          <w:lang w:val="en-US"/>
        </w:rPr>
        <w:t xml:space="preserve"> executed.</w:t>
      </w:r>
    </w:p>
    <w:p w14:paraId="04BCC0FF" w14:textId="6ABF01E2" w:rsidR="002E6C8B" w:rsidRPr="004542B5" w:rsidRDefault="00E43A87" w:rsidP="008B7859">
      <w:pPr>
        <w:pStyle w:val="ListParagraph"/>
        <w:numPr>
          <w:ilvl w:val="0"/>
          <w:numId w:val="2"/>
        </w:numPr>
        <w:spacing w:before="120" w:after="120"/>
        <w:contextualSpacing w:val="0"/>
        <w:rPr>
          <w:rFonts w:cs="Verdana Bold"/>
          <w:bCs/>
          <w:noProof w:val="0"/>
          <w:sz w:val="18"/>
          <w:szCs w:val="18"/>
          <w:lang w:val="en-US"/>
        </w:rPr>
      </w:pPr>
      <w:r w:rsidRPr="004542B5">
        <w:rPr>
          <w:rFonts w:cs="Verdana"/>
          <w:noProof w:val="0"/>
          <w:szCs w:val="20"/>
          <w:lang w:val="en-US"/>
        </w:rPr>
        <w:t>With regard to</w:t>
      </w:r>
      <w:r w:rsidR="004E2F42" w:rsidRPr="004542B5">
        <w:rPr>
          <w:rFonts w:cs="Verdana"/>
          <w:noProof w:val="0"/>
          <w:szCs w:val="20"/>
          <w:lang w:val="en-US"/>
        </w:rPr>
        <w:t xml:space="preserve"> the titling of the Piriatí lands, </w:t>
      </w:r>
      <w:r w:rsidR="00562CBB" w:rsidRPr="004542B5">
        <w:rPr>
          <w:rFonts w:cs="Verdana"/>
          <w:noProof w:val="0"/>
          <w:szCs w:val="20"/>
          <w:lang w:val="en-US"/>
        </w:rPr>
        <w:t>the representatives</w:t>
      </w:r>
      <w:r w:rsidR="004E2F42" w:rsidRPr="004542B5">
        <w:rPr>
          <w:rFonts w:cs="Verdana"/>
          <w:noProof w:val="0"/>
          <w:szCs w:val="20"/>
          <w:lang w:val="en-US"/>
        </w:rPr>
        <w:t xml:space="preserve"> reported in their final written arguments that “[a]lthough it is true that the Piriatí collective title was </w:t>
      </w:r>
      <w:r w:rsidRPr="004542B5">
        <w:rPr>
          <w:rFonts w:cs="Verdana"/>
          <w:noProof w:val="0"/>
          <w:szCs w:val="20"/>
          <w:lang w:val="en-US"/>
        </w:rPr>
        <w:t>grant</w:t>
      </w:r>
      <w:r w:rsidR="004E2F42" w:rsidRPr="004542B5">
        <w:rPr>
          <w:rFonts w:cs="Verdana"/>
          <w:noProof w:val="0"/>
          <w:szCs w:val="20"/>
          <w:lang w:val="en-US"/>
        </w:rPr>
        <w:t>ed</w:t>
      </w:r>
      <w:r w:rsidRPr="004542B5">
        <w:rPr>
          <w:rFonts w:cs="Verdana"/>
          <w:noProof w:val="0"/>
          <w:szCs w:val="20"/>
          <w:lang w:val="en-US"/>
        </w:rPr>
        <w:t xml:space="preserve"> on May 2, [2014]</w:t>
      </w:r>
      <w:r w:rsidR="004E2F42" w:rsidRPr="004542B5">
        <w:rPr>
          <w:rFonts w:cs="Verdana"/>
          <w:noProof w:val="0"/>
          <w:szCs w:val="20"/>
          <w:lang w:val="en-US"/>
        </w:rPr>
        <w:t xml:space="preserve">, </w:t>
      </w:r>
      <w:r w:rsidR="008B7859" w:rsidRPr="004542B5">
        <w:rPr>
          <w:rFonts w:eastAsia="Calibri"/>
          <w:noProof w:val="0"/>
          <w:szCs w:val="20"/>
          <w:lang w:val="en-US"/>
        </w:rPr>
        <w:t xml:space="preserve">this title included more than 96 hectares of land that – although it had been assigned to them in reparation – had been titled by the State [to C.C.M.] a non-indigenous person in 2012.” Subsequently, in response to a request by the Court for helpful evidence, the representatives forwarded a copy of the collective property title granted for the Piriatí lands. This title granted the collective ownership of two parcels of land, one of </w:t>
      </w:r>
      <w:r w:rsidR="004B2CE9" w:rsidRPr="004542B5">
        <w:rPr>
          <w:noProof w:val="0"/>
          <w:szCs w:val="20"/>
          <w:lang w:val="en-US"/>
        </w:rPr>
        <w:t xml:space="preserve">265 </w:t>
      </w:r>
      <w:r w:rsidR="001A3088" w:rsidRPr="004542B5">
        <w:rPr>
          <w:noProof w:val="0"/>
          <w:szCs w:val="20"/>
          <w:lang w:val="en-US"/>
        </w:rPr>
        <w:t>hectares</w:t>
      </w:r>
      <w:r w:rsidR="00CD2B90" w:rsidRPr="004542B5">
        <w:rPr>
          <w:noProof w:val="0"/>
          <w:szCs w:val="20"/>
          <w:lang w:val="en-US"/>
        </w:rPr>
        <w:t xml:space="preserve"> and </w:t>
      </w:r>
      <w:r w:rsidR="004B2CE9" w:rsidRPr="004542B5">
        <w:rPr>
          <w:noProof w:val="0"/>
          <w:szCs w:val="20"/>
          <w:lang w:val="en-US"/>
        </w:rPr>
        <w:t>3</w:t>
      </w:r>
      <w:r w:rsidR="008B7859" w:rsidRPr="004542B5">
        <w:rPr>
          <w:noProof w:val="0"/>
          <w:szCs w:val="20"/>
          <w:lang w:val="en-US"/>
        </w:rPr>
        <w:t>,</w:t>
      </w:r>
      <w:r w:rsidR="004B2CE9" w:rsidRPr="004542B5">
        <w:rPr>
          <w:noProof w:val="0"/>
          <w:szCs w:val="20"/>
          <w:lang w:val="en-US"/>
        </w:rPr>
        <w:t>840</w:t>
      </w:r>
      <w:r w:rsidR="008B7859" w:rsidRPr="004542B5">
        <w:rPr>
          <w:noProof w:val="0"/>
          <w:szCs w:val="20"/>
          <w:lang w:val="en-US"/>
        </w:rPr>
        <w:t>.</w:t>
      </w:r>
      <w:r w:rsidR="004B2CE9" w:rsidRPr="004542B5">
        <w:rPr>
          <w:noProof w:val="0"/>
          <w:szCs w:val="20"/>
          <w:lang w:val="en-US"/>
        </w:rPr>
        <w:t>95</w:t>
      </w:r>
      <w:r w:rsidR="00E01664" w:rsidRPr="004542B5">
        <w:rPr>
          <w:noProof w:val="0"/>
          <w:szCs w:val="20"/>
          <w:lang w:val="en-US"/>
        </w:rPr>
        <w:t xml:space="preserve"> </w:t>
      </w:r>
      <w:r w:rsidR="004B2CE9" w:rsidRPr="004542B5">
        <w:rPr>
          <w:noProof w:val="0"/>
          <w:szCs w:val="20"/>
          <w:lang w:val="en-US"/>
        </w:rPr>
        <w:t>m</w:t>
      </w:r>
      <w:r w:rsidR="004B2CE9" w:rsidRPr="004542B5">
        <w:rPr>
          <w:noProof w:val="0"/>
          <w:szCs w:val="20"/>
          <w:vertAlign w:val="superscript"/>
          <w:lang w:val="en-US"/>
        </w:rPr>
        <w:t>2</w:t>
      </w:r>
      <w:r w:rsidR="004B2CE9" w:rsidRPr="004542B5">
        <w:rPr>
          <w:noProof w:val="0"/>
          <w:szCs w:val="20"/>
          <w:lang w:val="en-US"/>
        </w:rPr>
        <w:t xml:space="preserve">, </w:t>
      </w:r>
      <w:r w:rsidR="008B7859" w:rsidRPr="004542B5">
        <w:rPr>
          <w:noProof w:val="0"/>
          <w:szCs w:val="20"/>
          <w:lang w:val="en-US"/>
        </w:rPr>
        <w:t>and the other of</w:t>
      </w:r>
      <w:r w:rsidR="004B2CE9" w:rsidRPr="004542B5">
        <w:rPr>
          <w:noProof w:val="0"/>
          <w:szCs w:val="20"/>
          <w:lang w:val="en-US"/>
        </w:rPr>
        <w:t xml:space="preserve"> 3,678 </w:t>
      </w:r>
      <w:r w:rsidR="001A3088" w:rsidRPr="004542B5">
        <w:rPr>
          <w:noProof w:val="0"/>
          <w:szCs w:val="20"/>
          <w:lang w:val="en-US"/>
        </w:rPr>
        <w:t>hectares</w:t>
      </w:r>
      <w:r w:rsidR="00CD2B90" w:rsidRPr="004542B5">
        <w:rPr>
          <w:noProof w:val="0"/>
          <w:szCs w:val="20"/>
          <w:lang w:val="en-US"/>
        </w:rPr>
        <w:t xml:space="preserve"> and </w:t>
      </w:r>
      <w:r w:rsidR="004B2CE9" w:rsidRPr="004542B5">
        <w:rPr>
          <w:noProof w:val="0"/>
          <w:szCs w:val="20"/>
          <w:lang w:val="en-US"/>
        </w:rPr>
        <w:t>4</w:t>
      </w:r>
      <w:r w:rsidR="008B7859" w:rsidRPr="004542B5">
        <w:rPr>
          <w:noProof w:val="0"/>
          <w:szCs w:val="20"/>
          <w:lang w:val="en-US"/>
        </w:rPr>
        <w:t>,</w:t>
      </w:r>
      <w:r w:rsidR="004B2CE9" w:rsidRPr="004542B5">
        <w:rPr>
          <w:noProof w:val="0"/>
          <w:szCs w:val="20"/>
          <w:lang w:val="en-US"/>
        </w:rPr>
        <w:t>190.65</w:t>
      </w:r>
      <w:r w:rsidR="00E01664" w:rsidRPr="004542B5">
        <w:rPr>
          <w:noProof w:val="0"/>
          <w:szCs w:val="20"/>
          <w:lang w:val="en-US"/>
        </w:rPr>
        <w:t xml:space="preserve"> </w:t>
      </w:r>
      <w:r w:rsidR="004B2CE9" w:rsidRPr="004542B5">
        <w:rPr>
          <w:noProof w:val="0"/>
          <w:szCs w:val="20"/>
          <w:lang w:val="en-US"/>
        </w:rPr>
        <w:t>m</w:t>
      </w:r>
      <w:r w:rsidR="004B2CE9" w:rsidRPr="004542B5">
        <w:rPr>
          <w:noProof w:val="0"/>
          <w:szCs w:val="20"/>
          <w:vertAlign w:val="superscript"/>
          <w:lang w:val="en-US"/>
        </w:rPr>
        <w:t>2</w:t>
      </w:r>
      <w:r w:rsidR="008B7859" w:rsidRPr="004542B5">
        <w:rPr>
          <w:noProof w:val="0"/>
          <w:szCs w:val="20"/>
          <w:lang w:val="en-US"/>
        </w:rPr>
        <w:t xml:space="preserve">, to the </w:t>
      </w:r>
      <w:r w:rsidR="00E74A3B" w:rsidRPr="004542B5">
        <w:rPr>
          <w:noProof w:val="0"/>
          <w:szCs w:val="20"/>
          <w:lang w:val="en-US"/>
        </w:rPr>
        <w:t>Piriatí Emberá</w:t>
      </w:r>
      <w:r w:rsidR="008B7859" w:rsidRPr="004542B5">
        <w:rPr>
          <w:noProof w:val="0"/>
          <w:szCs w:val="20"/>
          <w:lang w:val="en-US"/>
        </w:rPr>
        <w:t xml:space="preserve"> community, both parcels located in the </w:t>
      </w:r>
      <w:r w:rsidR="004B2CE9" w:rsidRPr="004542B5">
        <w:rPr>
          <w:i/>
          <w:iCs/>
          <w:noProof w:val="0"/>
          <w:szCs w:val="20"/>
          <w:lang w:val="en-US"/>
        </w:rPr>
        <w:t>corregimiento</w:t>
      </w:r>
      <w:r w:rsidR="004B2CE9" w:rsidRPr="004542B5">
        <w:rPr>
          <w:noProof w:val="0"/>
          <w:szCs w:val="20"/>
          <w:lang w:val="en-US"/>
        </w:rPr>
        <w:t xml:space="preserve"> </w:t>
      </w:r>
      <w:r w:rsidR="008B7859" w:rsidRPr="004542B5">
        <w:rPr>
          <w:noProof w:val="0"/>
          <w:szCs w:val="20"/>
          <w:lang w:val="en-US"/>
        </w:rPr>
        <w:t>of</w:t>
      </w:r>
      <w:r w:rsidR="004B2CE9" w:rsidRPr="004542B5">
        <w:rPr>
          <w:noProof w:val="0"/>
          <w:szCs w:val="20"/>
          <w:lang w:val="en-US"/>
        </w:rPr>
        <w:t xml:space="preserve"> Tortí, </w:t>
      </w:r>
      <w:r w:rsidR="001A3088" w:rsidRPr="004542B5">
        <w:rPr>
          <w:noProof w:val="0"/>
          <w:szCs w:val="20"/>
          <w:lang w:val="en-US"/>
        </w:rPr>
        <w:t>Chepo district</w:t>
      </w:r>
      <w:r w:rsidR="004B2CE9" w:rsidRPr="004542B5">
        <w:rPr>
          <w:noProof w:val="0"/>
          <w:szCs w:val="20"/>
          <w:lang w:val="en-US"/>
        </w:rPr>
        <w:t xml:space="preserve"> (</w:t>
      </w:r>
      <w:r w:rsidR="004B2CE9" w:rsidRPr="004542B5">
        <w:rPr>
          <w:i/>
          <w:noProof w:val="0"/>
          <w:szCs w:val="20"/>
          <w:lang w:val="en-US"/>
        </w:rPr>
        <w:t>supra</w:t>
      </w:r>
      <w:r w:rsidR="004B2CE9" w:rsidRPr="004542B5">
        <w:rPr>
          <w:noProof w:val="0"/>
          <w:szCs w:val="20"/>
          <w:lang w:val="en-US"/>
        </w:rPr>
        <w:t xml:space="preserve"> </w:t>
      </w:r>
      <w:r w:rsidR="00F66B76" w:rsidRPr="004542B5">
        <w:rPr>
          <w:noProof w:val="0"/>
          <w:szCs w:val="20"/>
          <w:lang w:val="en-US"/>
        </w:rPr>
        <w:t>para.</w:t>
      </w:r>
      <w:r w:rsidR="004B2CE9" w:rsidRPr="004542B5">
        <w:rPr>
          <w:noProof w:val="0"/>
          <w:szCs w:val="20"/>
          <w:lang w:val="en-US"/>
        </w:rPr>
        <w:t xml:space="preserve"> 81)</w:t>
      </w:r>
      <w:r w:rsidR="007B47B1" w:rsidRPr="004542B5">
        <w:rPr>
          <w:noProof w:val="0"/>
          <w:szCs w:val="20"/>
          <w:lang w:val="en-US"/>
        </w:rPr>
        <w:t>.</w:t>
      </w:r>
    </w:p>
    <w:p w14:paraId="584496EE" w14:textId="2B5F4702" w:rsidR="002E6C8B" w:rsidRPr="004542B5" w:rsidRDefault="008B7859" w:rsidP="008B7859">
      <w:pPr>
        <w:pStyle w:val="ListParagraph"/>
        <w:numPr>
          <w:ilvl w:val="0"/>
          <w:numId w:val="2"/>
        </w:numPr>
        <w:spacing w:before="120" w:after="120"/>
        <w:contextualSpacing w:val="0"/>
        <w:rPr>
          <w:rFonts w:cs="Verdana Bold"/>
          <w:bCs/>
          <w:noProof w:val="0"/>
          <w:sz w:val="18"/>
          <w:szCs w:val="18"/>
          <w:lang w:val="en-US"/>
        </w:rPr>
      </w:pPr>
      <w:r w:rsidRPr="004542B5">
        <w:rPr>
          <w:noProof w:val="0"/>
          <w:szCs w:val="20"/>
          <w:lang w:val="en-US"/>
        </w:rPr>
        <w:t xml:space="preserve">From the evidence provided </w:t>
      </w:r>
      <w:r w:rsidR="004B2CE9" w:rsidRPr="004542B5">
        <w:rPr>
          <w:noProof w:val="0"/>
          <w:szCs w:val="20"/>
          <w:lang w:val="en-US"/>
        </w:rPr>
        <w:t>(</w:t>
      </w:r>
      <w:r w:rsidR="004B2CE9" w:rsidRPr="004542B5">
        <w:rPr>
          <w:i/>
          <w:noProof w:val="0"/>
          <w:szCs w:val="20"/>
          <w:lang w:val="en-US"/>
        </w:rPr>
        <w:t>supra</w:t>
      </w:r>
      <w:r w:rsidR="004B2CE9" w:rsidRPr="004542B5">
        <w:rPr>
          <w:noProof w:val="0"/>
          <w:szCs w:val="20"/>
          <w:lang w:val="en-US"/>
        </w:rPr>
        <w:t xml:space="preserve"> </w:t>
      </w:r>
      <w:r w:rsidR="00F66B76" w:rsidRPr="004542B5">
        <w:rPr>
          <w:noProof w:val="0"/>
          <w:szCs w:val="20"/>
          <w:lang w:val="en-US"/>
        </w:rPr>
        <w:t>para.</w:t>
      </w:r>
      <w:r w:rsidR="004B2CE9" w:rsidRPr="004542B5">
        <w:rPr>
          <w:noProof w:val="0"/>
          <w:szCs w:val="20"/>
          <w:lang w:val="en-US"/>
        </w:rPr>
        <w:t xml:space="preserve"> 80), </w:t>
      </w:r>
      <w:r w:rsidR="00562CBB" w:rsidRPr="004542B5">
        <w:rPr>
          <w:noProof w:val="0"/>
          <w:szCs w:val="20"/>
          <w:lang w:val="en-US"/>
        </w:rPr>
        <w:t>the Court</w:t>
      </w:r>
      <w:r w:rsidR="004B2CE9" w:rsidRPr="004542B5">
        <w:rPr>
          <w:noProof w:val="0"/>
          <w:szCs w:val="20"/>
          <w:lang w:val="en-US"/>
        </w:rPr>
        <w:t xml:space="preserve"> conclu</w:t>
      </w:r>
      <w:r w:rsidRPr="004542B5">
        <w:rPr>
          <w:noProof w:val="0"/>
          <w:szCs w:val="20"/>
          <w:lang w:val="en-US"/>
        </w:rPr>
        <w:t xml:space="preserve">des that a property title was effectively granted to the said private individual that overlaps, at least partially, the lands granted in collective ownership to </w:t>
      </w:r>
      <w:r w:rsidR="00203069" w:rsidRPr="004542B5">
        <w:rPr>
          <w:noProof w:val="0"/>
          <w:szCs w:val="20"/>
          <w:lang w:val="en-US"/>
        </w:rPr>
        <w:t xml:space="preserve">the Emberá </w:t>
      </w:r>
      <w:r w:rsidRPr="004542B5">
        <w:rPr>
          <w:noProof w:val="0"/>
          <w:szCs w:val="20"/>
          <w:lang w:val="en-US"/>
        </w:rPr>
        <w:t>c</w:t>
      </w:r>
      <w:r w:rsidR="00203069" w:rsidRPr="004542B5">
        <w:rPr>
          <w:noProof w:val="0"/>
          <w:szCs w:val="20"/>
          <w:lang w:val="en-US"/>
        </w:rPr>
        <w:t>ommunity</w:t>
      </w:r>
      <w:r w:rsidR="004B2CE9" w:rsidRPr="004542B5">
        <w:rPr>
          <w:noProof w:val="0"/>
          <w:szCs w:val="20"/>
          <w:lang w:val="en-US"/>
        </w:rPr>
        <w:t xml:space="preserve"> </w:t>
      </w:r>
      <w:r w:rsidRPr="004542B5">
        <w:rPr>
          <w:noProof w:val="0"/>
          <w:szCs w:val="20"/>
          <w:lang w:val="en-US"/>
        </w:rPr>
        <w:t>of</w:t>
      </w:r>
      <w:r w:rsidR="004B2CE9" w:rsidRPr="004542B5">
        <w:rPr>
          <w:noProof w:val="0"/>
          <w:szCs w:val="20"/>
          <w:lang w:val="en-US"/>
        </w:rPr>
        <w:t xml:space="preserve"> Piriatí. </w:t>
      </w:r>
      <w:r w:rsidR="00BE102C" w:rsidRPr="004542B5">
        <w:rPr>
          <w:noProof w:val="0"/>
          <w:szCs w:val="20"/>
          <w:lang w:val="en-US"/>
        </w:rPr>
        <w:t xml:space="preserve">With their response to the request for helpful evidence, the </w:t>
      </w:r>
      <w:r w:rsidR="00562CBB" w:rsidRPr="004542B5">
        <w:rPr>
          <w:noProof w:val="0"/>
          <w:szCs w:val="20"/>
          <w:lang w:val="en-US"/>
        </w:rPr>
        <w:t>representatives</w:t>
      </w:r>
      <w:r w:rsidR="004B2CE9" w:rsidRPr="004542B5">
        <w:rPr>
          <w:noProof w:val="0"/>
          <w:szCs w:val="20"/>
          <w:lang w:val="en-US"/>
        </w:rPr>
        <w:t xml:space="preserve"> </w:t>
      </w:r>
      <w:r w:rsidRPr="004542B5">
        <w:rPr>
          <w:noProof w:val="0"/>
          <w:szCs w:val="20"/>
          <w:lang w:val="en-US"/>
        </w:rPr>
        <w:t>provided an agreement dated</w:t>
      </w:r>
      <w:r w:rsidR="004B2CE9" w:rsidRPr="004542B5">
        <w:rPr>
          <w:noProof w:val="0"/>
          <w:szCs w:val="20"/>
          <w:lang w:val="en-US"/>
        </w:rPr>
        <w:t xml:space="preserve"> </w:t>
      </w:r>
      <w:r w:rsidR="001A3088" w:rsidRPr="004542B5">
        <w:rPr>
          <w:noProof w:val="0"/>
          <w:szCs w:val="20"/>
          <w:lang w:val="en-US"/>
        </w:rPr>
        <w:t>November 27,</w:t>
      </w:r>
      <w:r w:rsidR="004B2CE9" w:rsidRPr="004542B5">
        <w:rPr>
          <w:noProof w:val="0"/>
          <w:szCs w:val="20"/>
          <w:lang w:val="en-US"/>
        </w:rPr>
        <w:t xml:space="preserve"> 2013,</w:t>
      </w:r>
      <w:r w:rsidRPr="004542B5">
        <w:rPr>
          <w:noProof w:val="0"/>
          <w:szCs w:val="20"/>
          <w:lang w:val="en-US"/>
        </w:rPr>
        <w:t xml:space="preserve"> signed by indigenous </w:t>
      </w:r>
      <w:r w:rsidR="00FD22C3" w:rsidRPr="004542B5">
        <w:rPr>
          <w:noProof w:val="0"/>
          <w:szCs w:val="20"/>
          <w:lang w:val="en-US"/>
        </w:rPr>
        <w:t>representatives</w:t>
      </w:r>
      <w:r w:rsidRPr="004542B5">
        <w:rPr>
          <w:noProof w:val="0"/>
          <w:szCs w:val="20"/>
          <w:lang w:val="en-US"/>
        </w:rPr>
        <w:t xml:space="preserve"> and a representative of ANATI, which records that the latter undertook “[t]o annul the administrative act that adjudicated lands to [C.C.M.]</w:t>
      </w:r>
      <w:r w:rsidR="004B2CE9" w:rsidRPr="004542B5">
        <w:rPr>
          <w:noProof w:val="0"/>
          <w:szCs w:val="20"/>
          <w:lang w:val="en-US"/>
        </w:rPr>
        <w:t xml:space="preserve"> (</w:t>
      </w:r>
      <w:r w:rsidR="004B2CE9" w:rsidRPr="004542B5">
        <w:rPr>
          <w:i/>
          <w:noProof w:val="0"/>
          <w:szCs w:val="20"/>
          <w:lang w:val="en-US"/>
        </w:rPr>
        <w:t xml:space="preserve">supra </w:t>
      </w:r>
      <w:r w:rsidR="00F66B76" w:rsidRPr="004542B5">
        <w:rPr>
          <w:noProof w:val="0"/>
          <w:szCs w:val="20"/>
          <w:lang w:val="en-US"/>
        </w:rPr>
        <w:t>para.</w:t>
      </w:r>
      <w:r w:rsidR="004B2CE9" w:rsidRPr="004542B5">
        <w:rPr>
          <w:noProof w:val="0"/>
          <w:szCs w:val="20"/>
          <w:lang w:val="en-US"/>
        </w:rPr>
        <w:t xml:space="preserve"> 81). </w:t>
      </w:r>
      <w:r w:rsidRPr="004542B5">
        <w:rPr>
          <w:noProof w:val="0"/>
          <w:szCs w:val="20"/>
          <w:lang w:val="en-US"/>
        </w:rPr>
        <w:t>However, no evidence has been provided that this title was annulled.</w:t>
      </w:r>
      <w:r w:rsidR="004B2CE9" w:rsidRPr="004542B5">
        <w:rPr>
          <w:rStyle w:val="FootnoteReference"/>
          <w:noProof w:val="0"/>
          <w:lang w:val="en-US"/>
        </w:rPr>
        <w:footnoteReference w:id="214"/>
      </w:r>
    </w:p>
    <w:p w14:paraId="5A5F0D50" w14:textId="6E9B9CAC" w:rsidR="002E6C8B" w:rsidRPr="004542B5" w:rsidRDefault="007B47B1" w:rsidP="00E01664">
      <w:pPr>
        <w:pStyle w:val="ListParagraph"/>
        <w:spacing w:before="240" w:after="240"/>
        <w:ind w:left="714"/>
        <w:contextualSpacing w:val="0"/>
        <w:rPr>
          <w:i/>
          <w:noProof w:val="0"/>
          <w:lang w:val="en-US"/>
        </w:rPr>
      </w:pPr>
      <w:r w:rsidRPr="004542B5">
        <w:rPr>
          <w:i/>
          <w:noProof w:val="0"/>
          <w:lang w:val="en-US"/>
        </w:rPr>
        <w:t>A.2.2. An</w:t>
      </w:r>
      <w:r w:rsidR="006B7486" w:rsidRPr="004542B5">
        <w:rPr>
          <w:i/>
          <w:noProof w:val="0"/>
          <w:lang w:val="en-US"/>
        </w:rPr>
        <w:t xml:space="preserve">alysis of the alleged violations of the State obligation to delimit, demarcate and title the </w:t>
      </w:r>
      <w:r w:rsidRPr="004542B5">
        <w:rPr>
          <w:i/>
          <w:noProof w:val="0"/>
          <w:lang w:val="en-US"/>
        </w:rPr>
        <w:t>Kuna</w:t>
      </w:r>
      <w:r w:rsidR="00CD2B90" w:rsidRPr="004542B5">
        <w:rPr>
          <w:i/>
          <w:noProof w:val="0"/>
          <w:lang w:val="en-US"/>
        </w:rPr>
        <w:t xml:space="preserve"> and </w:t>
      </w:r>
      <w:r w:rsidRPr="004542B5">
        <w:rPr>
          <w:i/>
          <w:noProof w:val="0"/>
          <w:lang w:val="en-US"/>
        </w:rPr>
        <w:t>Emberá</w:t>
      </w:r>
      <w:r w:rsidR="006B7486" w:rsidRPr="004542B5">
        <w:rPr>
          <w:i/>
          <w:noProof w:val="0"/>
          <w:lang w:val="en-US"/>
        </w:rPr>
        <w:t xml:space="preserve"> lands</w:t>
      </w:r>
    </w:p>
    <w:p w14:paraId="0B8EA2A3" w14:textId="7B9282C7" w:rsidR="00255418"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Court</w:t>
      </w:r>
      <w:r w:rsidR="004B2CE9" w:rsidRPr="004542B5">
        <w:rPr>
          <w:noProof w:val="0"/>
          <w:szCs w:val="20"/>
          <w:lang w:val="en-US"/>
        </w:rPr>
        <w:t xml:space="preserve"> </w:t>
      </w:r>
      <w:r w:rsidR="00523FA4" w:rsidRPr="004542B5">
        <w:rPr>
          <w:noProof w:val="0"/>
          <w:szCs w:val="20"/>
          <w:lang w:val="en-US"/>
        </w:rPr>
        <w:t xml:space="preserve">notes that the evidence provided reveals the following uncontested facts. On January 12, </w:t>
      </w:r>
      <w:r w:rsidR="004B2CE9" w:rsidRPr="004542B5">
        <w:rPr>
          <w:noProof w:val="0"/>
          <w:szCs w:val="20"/>
          <w:lang w:val="en-US"/>
        </w:rPr>
        <w:t xml:space="preserve">1996, </w:t>
      </w:r>
      <w:r w:rsidR="00523FA4" w:rsidRPr="004542B5">
        <w:rPr>
          <w:noProof w:val="0"/>
          <w:szCs w:val="20"/>
          <w:lang w:val="en-US"/>
        </w:rPr>
        <w:t>the collective property title to the lands of the</w:t>
      </w:r>
      <w:r w:rsidR="004B2CE9" w:rsidRPr="004542B5">
        <w:rPr>
          <w:noProof w:val="0"/>
          <w:szCs w:val="20"/>
          <w:lang w:val="en-US"/>
        </w:rPr>
        <w:t xml:space="preserve"> </w:t>
      </w:r>
      <w:r w:rsidR="00045DC1" w:rsidRPr="004542B5">
        <w:rPr>
          <w:noProof w:val="0"/>
          <w:szCs w:val="20"/>
          <w:lang w:val="en-US"/>
        </w:rPr>
        <w:t>Kuna Comarca of</w:t>
      </w:r>
      <w:r w:rsidR="004B2CE9" w:rsidRPr="004542B5">
        <w:rPr>
          <w:noProof w:val="0"/>
          <w:szCs w:val="20"/>
          <w:lang w:val="en-US"/>
        </w:rPr>
        <w:t xml:space="preserve"> Madungandí</w:t>
      </w:r>
      <w:r w:rsidR="00523FA4" w:rsidRPr="004542B5">
        <w:rPr>
          <w:noProof w:val="0"/>
          <w:szCs w:val="20"/>
          <w:lang w:val="en-US"/>
        </w:rPr>
        <w:t xml:space="preserve"> was granted by Law No. 24, which established the boundaries of this Comarca. Between April and June 2000, these lands were demarcated. The lands of the</w:t>
      </w:r>
      <w:r w:rsidR="004B2CE9" w:rsidRPr="004542B5">
        <w:rPr>
          <w:noProof w:val="0"/>
          <w:szCs w:val="20"/>
          <w:lang w:val="en-US"/>
        </w:rPr>
        <w:t xml:space="preserve"> Piriatí </w:t>
      </w:r>
      <w:r w:rsidR="00523FA4" w:rsidRPr="004542B5">
        <w:rPr>
          <w:noProof w:val="0"/>
          <w:szCs w:val="20"/>
          <w:lang w:val="en-US"/>
        </w:rPr>
        <w:t>and</w:t>
      </w:r>
      <w:r w:rsidR="004B2CE9" w:rsidRPr="004542B5">
        <w:rPr>
          <w:noProof w:val="0"/>
          <w:szCs w:val="20"/>
          <w:lang w:val="en-US"/>
        </w:rPr>
        <w:t xml:space="preserve"> </w:t>
      </w:r>
      <w:r w:rsidR="00E74A3B" w:rsidRPr="004542B5">
        <w:rPr>
          <w:noProof w:val="0"/>
          <w:szCs w:val="20"/>
          <w:lang w:val="en-US"/>
        </w:rPr>
        <w:t>Ipetí Emberá</w:t>
      </w:r>
      <w:r w:rsidR="004B2CE9" w:rsidRPr="004542B5">
        <w:rPr>
          <w:noProof w:val="0"/>
          <w:szCs w:val="20"/>
          <w:lang w:val="en-US"/>
        </w:rPr>
        <w:t xml:space="preserve"> </w:t>
      </w:r>
      <w:r w:rsidR="00523FA4" w:rsidRPr="004542B5">
        <w:rPr>
          <w:noProof w:val="0"/>
          <w:szCs w:val="20"/>
          <w:lang w:val="en-US"/>
        </w:rPr>
        <w:t xml:space="preserve">were delimited in October, November and December 2013, but the evidence shows that they were not demarcated, or at least only partially. A collective property title was awarded to the Piriatí lands on April 30, </w:t>
      </w:r>
      <w:r w:rsidR="004B2CE9" w:rsidRPr="004542B5">
        <w:rPr>
          <w:noProof w:val="0"/>
          <w:szCs w:val="20"/>
          <w:lang w:val="en-US"/>
        </w:rPr>
        <w:t>2014 (</w:t>
      </w:r>
      <w:r w:rsidR="004B2CE9" w:rsidRPr="004542B5">
        <w:rPr>
          <w:i/>
          <w:noProof w:val="0"/>
          <w:szCs w:val="20"/>
          <w:lang w:val="en-US"/>
        </w:rPr>
        <w:t>supra</w:t>
      </w:r>
      <w:r w:rsidR="004B2CE9" w:rsidRPr="004542B5">
        <w:rPr>
          <w:noProof w:val="0"/>
          <w:szCs w:val="20"/>
          <w:lang w:val="en-US"/>
        </w:rPr>
        <w:t xml:space="preserve"> </w:t>
      </w:r>
      <w:r w:rsidR="00F66B76" w:rsidRPr="004542B5">
        <w:rPr>
          <w:noProof w:val="0"/>
          <w:szCs w:val="20"/>
          <w:lang w:val="en-US"/>
        </w:rPr>
        <w:t>para.</w:t>
      </w:r>
      <w:r w:rsidR="004B2CE9" w:rsidRPr="004542B5">
        <w:rPr>
          <w:noProof w:val="0"/>
          <w:szCs w:val="20"/>
          <w:lang w:val="en-US"/>
        </w:rPr>
        <w:t xml:space="preserve"> 81). </w:t>
      </w:r>
      <w:r w:rsidR="00523FA4" w:rsidRPr="004542B5">
        <w:rPr>
          <w:noProof w:val="0"/>
          <w:szCs w:val="20"/>
          <w:lang w:val="en-US"/>
        </w:rPr>
        <w:t>The evidence provided does not show that a collective property title ha</w:t>
      </w:r>
      <w:r w:rsidR="00F05A92" w:rsidRPr="004542B5">
        <w:rPr>
          <w:noProof w:val="0"/>
          <w:szCs w:val="20"/>
          <w:lang w:val="en-US"/>
        </w:rPr>
        <w:t>d</w:t>
      </w:r>
      <w:r w:rsidR="00523FA4" w:rsidRPr="004542B5">
        <w:rPr>
          <w:noProof w:val="0"/>
          <w:szCs w:val="20"/>
          <w:lang w:val="en-US"/>
        </w:rPr>
        <w:t xml:space="preserve"> been granted to the </w:t>
      </w:r>
      <w:r w:rsidR="00E74A3B" w:rsidRPr="004542B5">
        <w:rPr>
          <w:noProof w:val="0"/>
          <w:szCs w:val="20"/>
          <w:lang w:val="en-US"/>
        </w:rPr>
        <w:t>Ipetí Emberá</w:t>
      </w:r>
      <w:r w:rsidR="00523FA4" w:rsidRPr="004542B5">
        <w:rPr>
          <w:noProof w:val="0"/>
          <w:szCs w:val="20"/>
          <w:lang w:val="en-US"/>
        </w:rPr>
        <w:t xml:space="preserve"> lands at the date of this judgment</w:t>
      </w:r>
      <w:r w:rsidR="007B47B1" w:rsidRPr="004542B5">
        <w:rPr>
          <w:noProof w:val="0"/>
          <w:szCs w:val="20"/>
          <w:lang w:val="en-US"/>
        </w:rPr>
        <w:t xml:space="preserve">. </w:t>
      </w:r>
    </w:p>
    <w:p w14:paraId="69ADC535" w14:textId="115618DE" w:rsidR="00523FA4" w:rsidRPr="004542B5" w:rsidRDefault="00523FA4" w:rsidP="00372741">
      <w:pPr>
        <w:pStyle w:val="ListParagraph"/>
        <w:numPr>
          <w:ilvl w:val="0"/>
          <w:numId w:val="2"/>
        </w:numPr>
        <w:spacing w:before="120" w:after="120"/>
        <w:contextualSpacing w:val="0"/>
        <w:rPr>
          <w:noProof w:val="0"/>
          <w:szCs w:val="20"/>
          <w:lang w:val="en-US"/>
        </w:rPr>
      </w:pPr>
      <w:r w:rsidRPr="004542B5">
        <w:rPr>
          <w:noProof w:val="0"/>
          <w:szCs w:val="20"/>
          <w:lang w:val="en-US"/>
        </w:rPr>
        <w:t xml:space="preserve">Bearing in mind that </w:t>
      </w:r>
      <w:r w:rsidR="00562CBB" w:rsidRPr="004542B5">
        <w:rPr>
          <w:noProof w:val="0"/>
          <w:szCs w:val="20"/>
          <w:lang w:val="en-US"/>
        </w:rPr>
        <w:t>the State</w:t>
      </w:r>
      <w:r w:rsidR="004B2CE9" w:rsidRPr="004542B5">
        <w:rPr>
          <w:noProof w:val="0"/>
          <w:szCs w:val="20"/>
          <w:lang w:val="en-US"/>
        </w:rPr>
        <w:t xml:space="preserve"> </w:t>
      </w:r>
      <w:r w:rsidR="00FE0BF3" w:rsidRPr="004542B5">
        <w:rPr>
          <w:noProof w:val="0"/>
          <w:szCs w:val="20"/>
          <w:lang w:val="en-US"/>
        </w:rPr>
        <w:t>of Panama</w:t>
      </w:r>
      <w:r w:rsidR="004B2CE9" w:rsidRPr="004542B5">
        <w:rPr>
          <w:noProof w:val="0"/>
          <w:szCs w:val="20"/>
          <w:lang w:val="en-US"/>
        </w:rPr>
        <w:t xml:space="preserve"> </w:t>
      </w:r>
      <w:r w:rsidRPr="004542B5">
        <w:rPr>
          <w:noProof w:val="0"/>
          <w:szCs w:val="20"/>
          <w:lang w:val="en-US"/>
        </w:rPr>
        <w:t xml:space="preserve">accepted the Court’s jurisdiction on May 9, 1990, the Court will examine the alleged violations </w:t>
      </w:r>
      <w:r w:rsidR="00E04132" w:rsidRPr="004542B5">
        <w:rPr>
          <w:noProof w:val="0"/>
          <w:szCs w:val="20"/>
          <w:lang w:val="en-US"/>
        </w:rPr>
        <w:t>of Article</w:t>
      </w:r>
      <w:r w:rsidR="004B2CE9" w:rsidRPr="004542B5">
        <w:rPr>
          <w:noProof w:val="0"/>
          <w:szCs w:val="20"/>
          <w:lang w:val="en-US"/>
        </w:rPr>
        <w:t xml:space="preserve"> 21, </w:t>
      </w:r>
      <w:r w:rsidR="00B902E7" w:rsidRPr="004542B5">
        <w:rPr>
          <w:noProof w:val="0"/>
          <w:szCs w:val="20"/>
          <w:lang w:val="en-US"/>
        </w:rPr>
        <w:t>in relation to Article 1(1) of the Convention</w:t>
      </w:r>
      <w:r w:rsidR="004B2CE9" w:rsidRPr="004542B5">
        <w:rPr>
          <w:noProof w:val="0"/>
          <w:szCs w:val="20"/>
          <w:lang w:val="en-US"/>
        </w:rPr>
        <w:t xml:space="preserve">, </w:t>
      </w:r>
      <w:r w:rsidRPr="004542B5">
        <w:rPr>
          <w:noProof w:val="0"/>
          <w:szCs w:val="20"/>
          <w:lang w:val="en-US"/>
        </w:rPr>
        <w:t xml:space="preserve">with regard to the following situations: (a) the </w:t>
      </w:r>
      <w:r w:rsidR="0097617A" w:rsidRPr="004542B5">
        <w:rPr>
          <w:noProof w:val="0"/>
          <w:szCs w:val="20"/>
          <w:lang w:val="en-US"/>
        </w:rPr>
        <w:t>territories</w:t>
      </w:r>
      <w:r w:rsidRPr="004542B5">
        <w:rPr>
          <w:noProof w:val="0"/>
          <w:szCs w:val="20"/>
          <w:lang w:val="en-US"/>
        </w:rPr>
        <w:t xml:space="preserve"> of the Kuna people of Madungandí were not delimited or titled for approximately six years (in 1996); (b) the </w:t>
      </w:r>
      <w:r w:rsidR="0097617A" w:rsidRPr="004542B5">
        <w:rPr>
          <w:noProof w:val="0"/>
          <w:szCs w:val="20"/>
          <w:lang w:val="en-US"/>
        </w:rPr>
        <w:t>territories</w:t>
      </w:r>
      <w:r w:rsidRPr="004542B5">
        <w:rPr>
          <w:noProof w:val="0"/>
          <w:szCs w:val="20"/>
          <w:lang w:val="en-US"/>
        </w:rPr>
        <w:t xml:space="preserve"> of the Kuna people of Madungandí were not demarcated for approximately 10 years (in </w:t>
      </w:r>
      <w:r w:rsidR="00F05A92" w:rsidRPr="004542B5">
        <w:rPr>
          <w:noProof w:val="0"/>
          <w:szCs w:val="20"/>
          <w:lang w:val="en-US"/>
        </w:rPr>
        <w:t>2000</w:t>
      </w:r>
      <w:r w:rsidRPr="004542B5">
        <w:rPr>
          <w:noProof w:val="0"/>
          <w:szCs w:val="20"/>
          <w:lang w:val="en-US"/>
        </w:rPr>
        <w:t xml:space="preserve">); </w:t>
      </w:r>
      <w:r w:rsidRPr="004542B5">
        <w:rPr>
          <w:noProof w:val="0"/>
          <w:szCs w:val="20"/>
          <w:lang w:val="en-US"/>
        </w:rPr>
        <w:lastRenderedPageBreak/>
        <w:t xml:space="preserve">(c) the territories of the Ipetí and Piriatí Emberá communities were not delimited for approximately 23 years (in 2013); (d) </w:t>
      </w:r>
      <w:r w:rsidR="0097617A" w:rsidRPr="004542B5">
        <w:rPr>
          <w:noProof w:val="0"/>
          <w:szCs w:val="20"/>
          <w:lang w:val="en-US"/>
        </w:rPr>
        <w:t>the territories of the Piriatí Emberá community were not titled for approximately 24 years (in 2014); (e) the territories of the Piriatí Emberá community were not completely demarcated at the date of this judgment, and (f) the territories of the Ipetí Emberá community were not demarcated or titled at the date of this judgment.</w:t>
      </w:r>
    </w:p>
    <w:p w14:paraId="3A1D7CE9" w14:textId="10FA756F" w:rsidR="003B7977" w:rsidRPr="004542B5" w:rsidRDefault="0097617A" w:rsidP="0097617A">
      <w:pPr>
        <w:pStyle w:val="ListParagraph"/>
        <w:numPr>
          <w:ilvl w:val="0"/>
          <w:numId w:val="2"/>
        </w:numPr>
        <w:spacing w:before="120" w:after="120"/>
        <w:contextualSpacing w:val="0"/>
        <w:rPr>
          <w:noProof w:val="0"/>
          <w:sz w:val="16"/>
          <w:szCs w:val="16"/>
          <w:lang w:val="en-US"/>
        </w:rPr>
      </w:pPr>
      <w:r w:rsidRPr="004542B5">
        <w:rPr>
          <w:noProof w:val="0"/>
          <w:szCs w:val="20"/>
          <w:lang w:val="en-US"/>
        </w:rPr>
        <w:t xml:space="preserve">In addition, as previously indicated </w:t>
      </w:r>
      <w:r w:rsidR="004B2CE9" w:rsidRPr="004542B5">
        <w:rPr>
          <w:noProof w:val="0"/>
          <w:szCs w:val="20"/>
          <w:lang w:val="en-US"/>
        </w:rPr>
        <w:t>(</w:t>
      </w:r>
      <w:r w:rsidR="004B2CE9" w:rsidRPr="004542B5">
        <w:rPr>
          <w:i/>
          <w:noProof w:val="0"/>
          <w:szCs w:val="20"/>
          <w:lang w:val="en-US"/>
        </w:rPr>
        <w:t>supra</w:t>
      </w:r>
      <w:r w:rsidR="004B2CE9" w:rsidRPr="004542B5">
        <w:rPr>
          <w:noProof w:val="0"/>
          <w:szCs w:val="20"/>
          <w:lang w:val="en-US"/>
        </w:rPr>
        <w:t xml:space="preserve"> </w:t>
      </w:r>
      <w:r w:rsidR="00F66B76" w:rsidRPr="004542B5">
        <w:rPr>
          <w:noProof w:val="0"/>
          <w:szCs w:val="20"/>
          <w:lang w:val="en-US"/>
        </w:rPr>
        <w:t>para.</w:t>
      </w:r>
      <w:r w:rsidR="004B2CE9" w:rsidRPr="004542B5">
        <w:rPr>
          <w:noProof w:val="0"/>
          <w:szCs w:val="20"/>
          <w:lang w:val="en-US"/>
        </w:rPr>
        <w:t xml:space="preserve"> 110)</w:t>
      </w:r>
      <w:r w:rsidRPr="004542B5">
        <w:rPr>
          <w:noProof w:val="0"/>
          <w:szCs w:val="20"/>
          <w:lang w:val="en-US"/>
        </w:rPr>
        <w:t xml:space="preserve">, from the moment the right to property of the indigenous peoples was established in the 1946 Constitution and subsequently in the 1972 Constitution, the State had the obligation to recognize this right legally and grant title to the new lands assigned to the indigenous peoples </w:t>
      </w:r>
      <w:r w:rsidR="00F05A92" w:rsidRPr="004542B5">
        <w:rPr>
          <w:noProof w:val="0"/>
          <w:szCs w:val="20"/>
          <w:lang w:val="en-US"/>
        </w:rPr>
        <w:t>who</w:t>
      </w:r>
      <w:r w:rsidRPr="004542B5">
        <w:rPr>
          <w:noProof w:val="0"/>
          <w:szCs w:val="20"/>
          <w:lang w:val="en-US"/>
        </w:rPr>
        <w:t xml:space="preserve"> had been relocated, within a reasonable time after th</w:t>
      </w:r>
      <w:r w:rsidR="00F05A92" w:rsidRPr="004542B5">
        <w:rPr>
          <w:noProof w:val="0"/>
          <w:szCs w:val="20"/>
          <w:lang w:val="en-US"/>
        </w:rPr>
        <w:t>e</w:t>
      </w:r>
      <w:r w:rsidRPr="004542B5">
        <w:rPr>
          <w:noProof w:val="0"/>
          <w:szCs w:val="20"/>
          <w:lang w:val="en-US"/>
        </w:rPr>
        <w:t xml:space="preserve"> </w:t>
      </w:r>
      <w:r w:rsidR="00F05A92" w:rsidRPr="004542B5">
        <w:rPr>
          <w:noProof w:val="0"/>
          <w:szCs w:val="20"/>
          <w:lang w:val="en-US"/>
        </w:rPr>
        <w:t>lands had been assigned</w:t>
      </w:r>
      <w:r w:rsidRPr="004542B5">
        <w:rPr>
          <w:noProof w:val="0"/>
          <w:szCs w:val="20"/>
          <w:lang w:val="en-US"/>
        </w:rPr>
        <w:t xml:space="preserve">. Therefore, recalling that the State accepted the Court’s contentious jurisdiction on May 9, 1990, there is no doubt that, at least from the date that the State ratified its acceptance, it had the obligation to delimit, demarcate and title the lands assigned to the </w:t>
      </w:r>
      <w:r w:rsidR="003C263F" w:rsidRPr="004542B5">
        <w:rPr>
          <w:noProof w:val="0"/>
          <w:lang w:val="en-US"/>
        </w:rPr>
        <w:t>Kuna and Emberá peoples</w:t>
      </w:r>
      <w:r w:rsidRPr="004542B5">
        <w:rPr>
          <w:noProof w:val="0"/>
          <w:lang w:val="en-US"/>
        </w:rPr>
        <w:t xml:space="preserve"> to ensure that they could effectively enjoy th</w:t>
      </w:r>
      <w:r w:rsidR="00F05A92" w:rsidRPr="004542B5">
        <w:rPr>
          <w:noProof w:val="0"/>
          <w:lang w:val="en-US"/>
        </w:rPr>
        <w:t>e said</w:t>
      </w:r>
      <w:r w:rsidRPr="004542B5">
        <w:rPr>
          <w:noProof w:val="0"/>
          <w:lang w:val="en-US"/>
        </w:rPr>
        <w:t xml:space="preserve"> right</w:t>
      </w:r>
      <w:r w:rsidR="00F05A92" w:rsidRPr="004542B5">
        <w:rPr>
          <w:noProof w:val="0"/>
          <w:lang w:val="en-US"/>
        </w:rPr>
        <w:t xml:space="preserve"> to property</w:t>
      </w:r>
      <w:r w:rsidRPr="004542B5">
        <w:rPr>
          <w:noProof w:val="0"/>
          <w:lang w:val="en-US"/>
        </w:rPr>
        <w:t>.</w:t>
      </w:r>
    </w:p>
    <w:p w14:paraId="184DD5E2" w14:textId="5A77C59D" w:rsidR="003B7977" w:rsidRPr="004542B5" w:rsidRDefault="00562CBB" w:rsidP="0097617A">
      <w:pPr>
        <w:pStyle w:val="ListParagraph"/>
        <w:numPr>
          <w:ilvl w:val="0"/>
          <w:numId w:val="2"/>
        </w:numPr>
        <w:spacing w:before="120" w:after="120"/>
        <w:contextualSpacing w:val="0"/>
        <w:rPr>
          <w:noProof w:val="0"/>
          <w:lang w:val="en-US"/>
        </w:rPr>
      </w:pPr>
      <w:r w:rsidRPr="004542B5">
        <w:rPr>
          <w:noProof w:val="0"/>
          <w:lang w:val="en-US"/>
        </w:rPr>
        <w:t>The Court</w:t>
      </w:r>
      <w:r w:rsidR="004B2CE9" w:rsidRPr="004542B5">
        <w:rPr>
          <w:noProof w:val="0"/>
          <w:lang w:val="en-US"/>
        </w:rPr>
        <w:t xml:space="preserve"> ha</w:t>
      </w:r>
      <w:r w:rsidR="0097617A" w:rsidRPr="004542B5">
        <w:rPr>
          <w:noProof w:val="0"/>
          <w:lang w:val="en-US"/>
        </w:rPr>
        <w:t xml:space="preserve">s </w:t>
      </w:r>
      <w:r w:rsidR="00E52353" w:rsidRPr="004542B5">
        <w:rPr>
          <w:noProof w:val="0"/>
          <w:lang w:val="en-US"/>
        </w:rPr>
        <w:t>previously held</w:t>
      </w:r>
      <w:r w:rsidR="0097617A" w:rsidRPr="004542B5">
        <w:rPr>
          <w:noProof w:val="0"/>
          <w:lang w:val="en-US"/>
        </w:rPr>
        <w:t xml:space="preserve"> that, what is </w:t>
      </w:r>
      <w:r w:rsidR="00E52353" w:rsidRPr="004542B5">
        <w:rPr>
          <w:noProof w:val="0"/>
          <w:lang w:val="en-US"/>
        </w:rPr>
        <w:t>at issue</w:t>
      </w:r>
      <w:r w:rsidR="0097617A" w:rsidRPr="004542B5">
        <w:rPr>
          <w:noProof w:val="0"/>
          <w:lang w:val="en-US"/>
        </w:rPr>
        <w:t xml:space="preserve"> is not a privilege to use the land, which can be taken away by the State or </w:t>
      </w:r>
      <w:r w:rsidR="00E52353" w:rsidRPr="004542B5">
        <w:rPr>
          <w:noProof w:val="0"/>
          <w:lang w:val="en-US"/>
        </w:rPr>
        <w:t>countered by third party property rights, but a right of the members of indigenous and tribal peoples to obtain title to their territory to ensure the permanent use and enjoyment of this land. In order to obtain this title, the territory must first be demarcated and delimited,</w:t>
      </w:r>
      <w:r w:rsidR="004B2CE9" w:rsidRPr="004542B5">
        <w:rPr>
          <w:rStyle w:val="FootnoteReference"/>
          <w:noProof w:val="0"/>
          <w:lang w:val="en-US"/>
        </w:rPr>
        <w:footnoteReference w:id="215"/>
      </w:r>
      <w:r w:rsidR="00E52353" w:rsidRPr="004542B5">
        <w:rPr>
          <w:noProof w:val="0"/>
          <w:lang w:val="en-US"/>
        </w:rPr>
        <w:t xml:space="preserve"> and the Court has declared that “</w:t>
      </w:r>
      <w:r w:rsidR="00F1018C" w:rsidRPr="004542B5">
        <w:rPr>
          <w:noProof w:val="0"/>
          <w:lang w:val="en-US"/>
        </w:rPr>
        <w:t>a strictly juridical or</w:t>
      </w:r>
      <w:r w:rsidR="00E52353" w:rsidRPr="004542B5">
        <w:rPr>
          <w:noProof w:val="0"/>
          <w:lang w:val="en-US"/>
        </w:rPr>
        <w:t xml:space="preserve"> abstract recognition of indigenous lands, territories or resources</w:t>
      </w:r>
      <w:r w:rsidR="00F1018C" w:rsidRPr="004542B5">
        <w:rPr>
          <w:noProof w:val="0"/>
          <w:lang w:val="en-US"/>
        </w:rPr>
        <w:t xml:space="preserve"> lacks true meaning whe</w:t>
      </w:r>
      <w:r w:rsidR="00F05A92" w:rsidRPr="004542B5">
        <w:rPr>
          <w:noProof w:val="0"/>
          <w:lang w:val="en-US"/>
        </w:rPr>
        <w:t>n</w:t>
      </w:r>
      <w:r w:rsidR="00F1018C" w:rsidRPr="004542B5">
        <w:rPr>
          <w:noProof w:val="0"/>
          <w:lang w:val="en-US"/>
        </w:rPr>
        <w:t xml:space="preserve"> the property has not been physically established and delimited.</w:t>
      </w:r>
      <w:r w:rsidR="004B2CE9" w:rsidRPr="004542B5">
        <w:rPr>
          <w:noProof w:val="0"/>
          <w:lang w:val="en-US"/>
        </w:rPr>
        <w:t>”</w:t>
      </w:r>
      <w:r w:rsidR="004B2CE9" w:rsidRPr="004542B5">
        <w:rPr>
          <w:rStyle w:val="FootnoteReference"/>
          <w:noProof w:val="0"/>
          <w:lang w:val="en-US"/>
        </w:rPr>
        <w:footnoteReference w:id="216"/>
      </w:r>
    </w:p>
    <w:p w14:paraId="7D12ED67" w14:textId="749ACEF1" w:rsidR="002E6C8B" w:rsidRPr="004542B5" w:rsidRDefault="00F1018C" w:rsidP="00F1018C">
      <w:pPr>
        <w:pStyle w:val="ListParagraph"/>
        <w:numPr>
          <w:ilvl w:val="0"/>
          <w:numId w:val="2"/>
        </w:numPr>
        <w:spacing w:before="120" w:after="120"/>
        <w:contextualSpacing w:val="0"/>
        <w:rPr>
          <w:noProof w:val="0"/>
          <w:lang w:val="en-US"/>
        </w:rPr>
      </w:pPr>
      <w:r w:rsidRPr="004542B5">
        <w:rPr>
          <w:noProof w:val="0"/>
          <w:lang w:val="en-US"/>
        </w:rPr>
        <w:t xml:space="preserve">The Court has also </w:t>
      </w:r>
      <w:r w:rsidR="00F05A92" w:rsidRPr="004542B5">
        <w:rPr>
          <w:noProof w:val="0"/>
          <w:lang w:val="en-US"/>
        </w:rPr>
        <w:t>held</w:t>
      </w:r>
      <w:r w:rsidRPr="004542B5">
        <w:rPr>
          <w:noProof w:val="0"/>
          <w:lang w:val="en-US"/>
        </w:rPr>
        <w:t xml:space="preserve"> that the State’s failure to delimit and demarcate the boundaries of the territory over which a right to collective property of an indigenous people exists may create and, in this case effectively did</w:t>
      </w:r>
      <w:r w:rsidR="00F05A92" w:rsidRPr="004542B5">
        <w:rPr>
          <w:noProof w:val="0"/>
          <w:lang w:val="en-US"/>
        </w:rPr>
        <w:t xml:space="preserve"> create</w:t>
      </w:r>
      <w:r w:rsidRPr="004542B5">
        <w:rPr>
          <w:noProof w:val="0"/>
          <w:lang w:val="en-US"/>
        </w:rPr>
        <w:t xml:space="preserve">, a permanent climate of uncertainty among the members of </w:t>
      </w:r>
      <w:r w:rsidR="00D45B58" w:rsidRPr="004542B5">
        <w:rPr>
          <w:noProof w:val="0"/>
          <w:lang w:val="en-US"/>
        </w:rPr>
        <w:t>the above-mentioned</w:t>
      </w:r>
      <w:r w:rsidRPr="004542B5">
        <w:rPr>
          <w:noProof w:val="0"/>
          <w:lang w:val="en-US"/>
        </w:rPr>
        <w:t xml:space="preserve"> peoples, because they ha</w:t>
      </w:r>
      <w:r w:rsidR="00D45B58" w:rsidRPr="004542B5">
        <w:rPr>
          <w:noProof w:val="0"/>
          <w:lang w:val="en-US"/>
        </w:rPr>
        <w:t>ve</w:t>
      </w:r>
      <w:r w:rsidRPr="004542B5">
        <w:rPr>
          <w:noProof w:val="0"/>
          <w:lang w:val="en-US"/>
        </w:rPr>
        <w:t xml:space="preserve"> no certainty as to where their right to communal property extend</w:t>
      </w:r>
      <w:r w:rsidR="00D45B58" w:rsidRPr="004542B5">
        <w:rPr>
          <w:noProof w:val="0"/>
          <w:lang w:val="en-US"/>
        </w:rPr>
        <w:t>s</w:t>
      </w:r>
      <w:r w:rsidRPr="004542B5">
        <w:rPr>
          <w:noProof w:val="0"/>
          <w:lang w:val="en-US"/>
        </w:rPr>
        <w:t xml:space="preserve"> geographically and, consequently, they do not know the area over which they may freely use and enjoy the respective rights.</w:t>
      </w:r>
      <w:r w:rsidR="004B2CE9" w:rsidRPr="004542B5">
        <w:rPr>
          <w:rStyle w:val="FootnoteReference"/>
          <w:noProof w:val="0"/>
          <w:lang w:val="en-US"/>
        </w:rPr>
        <w:footnoteReference w:id="217"/>
      </w:r>
    </w:p>
    <w:p w14:paraId="5A2A925C" w14:textId="123325C8" w:rsidR="00B412D5" w:rsidRPr="004542B5" w:rsidRDefault="00F1018C" w:rsidP="00E01664">
      <w:pPr>
        <w:pStyle w:val="ListParagraph"/>
        <w:numPr>
          <w:ilvl w:val="0"/>
          <w:numId w:val="2"/>
        </w:numPr>
        <w:spacing w:before="120" w:after="120"/>
        <w:contextualSpacing w:val="0"/>
        <w:rPr>
          <w:noProof w:val="0"/>
          <w:lang w:val="en-US"/>
        </w:rPr>
      </w:pPr>
      <w:r w:rsidRPr="004542B5">
        <w:rPr>
          <w:noProof w:val="0"/>
          <w:lang w:val="en-US"/>
        </w:rPr>
        <w:t xml:space="preserve">The Court concludes that the State has violated </w:t>
      </w:r>
      <w:r w:rsidR="00562CBB" w:rsidRPr="004542B5">
        <w:rPr>
          <w:noProof w:val="0"/>
          <w:lang w:val="en-US"/>
        </w:rPr>
        <w:t>Article</w:t>
      </w:r>
      <w:r w:rsidR="004B2CE9" w:rsidRPr="004542B5">
        <w:rPr>
          <w:noProof w:val="0"/>
          <w:lang w:val="en-US"/>
        </w:rPr>
        <w:t xml:space="preserve"> 21</w:t>
      </w:r>
      <w:r w:rsidR="008A56D7" w:rsidRPr="004542B5">
        <w:rPr>
          <w:noProof w:val="0"/>
          <w:lang w:val="en-US"/>
        </w:rPr>
        <w:t xml:space="preserve"> of the </w:t>
      </w:r>
      <w:r w:rsidR="00562CBB" w:rsidRPr="004542B5">
        <w:rPr>
          <w:noProof w:val="0"/>
          <w:lang w:val="en-US"/>
        </w:rPr>
        <w:t>Convention</w:t>
      </w:r>
      <w:r w:rsidR="004B2CE9" w:rsidRPr="004542B5">
        <w:rPr>
          <w:noProof w:val="0"/>
          <w:lang w:val="en-US"/>
        </w:rPr>
        <w:t xml:space="preserve"> </w:t>
      </w:r>
      <w:r w:rsidR="00342385" w:rsidRPr="004542B5">
        <w:rPr>
          <w:noProof w:val="0"/>
          <w:lang w:val="en-US"/>
        </w:rPr>
        <w:t>in relation to</w:t>
      </w:r>
      <w:r w:rsidR="004B2CE9" w:rsidRPr="004542B5">
        <w:rPr>
          <w:noProof w:val="0"/>
          <w:lang w:val="en-US"/>
        </w:rPr>
        <w:t xml:space="preserve"> </w:t>
      </w:r>
      <w:r w:rsidRPr="004542B5">
        <w:rPr>
          <w:noProof w:val="0"/>
          <w:lang w:val="en-US"/>
        </w:rPr>
        <w:t xml:space="preserve">Article </w:t>
      </w:r>
      <w:r w:rsidR="004B2CE9" w:rsidRPr="004542B5">
        <w:rPr>
          <w:noProof w:val="0"/>
          <w:lang w:val="en-US"/>
        </w:rPr>
        <w:t>1</w:t>
      </w:r>
      <w:r w:rsidRPr="004542B5">
        <w:rPr>
          <w:noProof w:val="0"/>
          <w:lang w:val="en-US"/>
        </w:rPr>
        <w:t>(</w:t>
      </w:r>
      <w:r w:rsidR="004B2CE9" w:rsidRPr="004542B5">
        <w:rPr>
          <w:noProof w:val="0"/>
          <w:lang w:val="en-US"/>
        </w:rPr>
        <w:t>1</w:t>
      </w:r>
      <w:r w:rsidRPr="004542B5">
        <w:rPr>
          <w:noProof w:val="0"/>
          <w:lang w:val="en-US"/>
        </w:rPr>
        <w:t>)</w:t>
      </w:r>
      <w:r w:rsidR="004B2CE9" w:rsidRPr="004542B5">
        <w:rPr>
          <w:noProof w:val="0"/>
          <w:lang w:val="en-US"/>
        </w:rPr>
        <w:t xml:space="preserve"> </w:t>
      </w:r>
      <w:r w:rsidR="00342385" w:rsidRPr="004542B5">
        <w:rPr>
          <w:noProof w:val="0"/>
          <w:lang w:val="en-US"/>
        </w:rPr>
        <w:t>of this instrument</w:t>
      </w:r>
      <w:r w:rsidR="00D45B58" w:rsidRPr="004542B5">
        <w:rPr>
          <w:noProof w:val="0"/>
          <w:lang w:val="en-US"/>
        </w:rPr>
        <w:t xml:space="preserve"> to the detriment of the Kuna indigenous people of Madungandí, </w:t>
      </w:r>
      <w:r w:rsidRPr="004542B5">
        <w:rPr>
          <w:noProof w:val="0"/>
          <w:lang w:val="en-US"/>
        </w:rPr>
        <w:t>owing to the delay in the delimitation, demarcation and titling of the</w:t>
      </w:r>
      <w:r w:rsidR="00D45B58" w:rsidRPr="004542B5">
        <w:rPr>
          <w:noProof w:val="0"/>
          <w:lang w:val="en-US"/>
        </w:rPr>
        <w:t>ir</w:t>
      </w:r>
      <w:r w:rsidRPr="004542B5">
        <w:rPr>
          <w:noProof w:val="0"/>
          <w:lang w:val="en-US"/>
        </w:rPr>
        <w:t xml:space="preserve"> collective property which was finally carried out in </w:t>
      </w:r>
      <w:r w:rsidR="004B2CE9" w:rsidRPr="004542B5">
        <w:rPr>
          <w:noProof w:val="0"/>
          <w:lang w:val="en-US"/>
        </w:rPr>
        <w:t>1996</w:t>
      </w:r>
      <w:r w:rsidR="00CD2B90" w:rsidRPr="004542B5">
        <w:rPr>
          <w:noProof w:val="0"/>
          <w:lang w:val="en-US"/>
        </w:rPr>
        <w:t xml:space="preserve"> and </w:t>
      </w:r>
      <w:r w:rsidR="004B2CE9" w:rsidRPr="004542B5">
        <w:rPr>
          <w:noProof w:val="0"/>
          <w:lang w:val="en-US"/>
        </w:rPr>
        <w:t xml:space="preserve">2000. </w:t>
      </w:r>
      <w:r w:rsidR="00D45B58" w:rsidRPr="004542B5">
        <w:rPr>
          <w:noProof w:val="0"/>
          <w:lang w:val="en-US"/>
        </w:rPr>
        <w:t>In addition</w:t>
      </w:r>
      <w:r w:rsidR="004B2CE9" w:rsidRPr="004542B5">
        <w:rPr>
          <w:noProof w:val="0"/>
          <w:lang w:val="en-US"/>
        </w:rPr>
        <w:t xml:space="preserve">, </w:t>
      </w:r>
      <w:r w:rsidR="00562CBB" w:rsidRPr="004542B5">
        <w:rPr>
          <w:noProof w:val="0"/>
          <w:lang w:val="en-US"/>
        </w:rPr>
        <w:t xml:space="preserve">the </w:t>
      </w:r>
      <w:r w:rsidR="00DE6766" w:rsidRPr="004542B5">
        <w:rPr>
          <w:noProof w:val="0"/>
          <w:lang w:val="en-US"/>
        </w:rPr>
        <w:t>State violated</w:t>
      </w:r>
      <w:r w:rsidR="004B2CE9" w:rsidRPr="004542B5">
        <w:rPr>
          <w:noProof w:val="0"/>
          <w:lang w:val="en-US"/>
        </w:rPr>
        <w:t xml:space="preserve"> </w:t>
      </w:r>
      <w:r w:rsidR="00562CBB" w:rsidRPr="004542B5">
        <w:rPr>
          <w:noProof w:val="0"/>
          <w:lang w:val="en-US"/>
        </w:rPr>
        <w:t>Article</w:t>
      </w:r>
      <w:r w:rsidR="004B2CE9" w:rsidRPr="004542B5">
        <w:rPr>
          <w:noProof w:val="0"/>
          <w:lang w:val="en-US"/>
        </w:rPr>
        <w:t xml:space="preserve"> 21</w:t>
      </w:r>
      <w:r w:rsidR="008A56D7" w:rsidRPr="004542B5">
        <w:rPr>
          <w:noProof w:val="0"/>
          <w:lang w:val="en-US"/>
        </w:rPr>
        <w:t xml:space="preserve"> of the </w:t>
      </w:r>
      <w:r w:rsidR="00562CBB" w:rsidRPr="004542B5">
        <w:rPr>
          <w:noProof w:val="0"/>
          <w:lang w:val="en-US"/>
        </w:rPr>
        <w:t>Convention</w:t>
      </w:r>
      <w:r w:rsidR="004B2CE9" w:rsidRPr="004542B5">
        <w:rPr>
          <w:noProof w:val="0"/>
          <w:lang w:val="en-US"/>
        </w:rPr>
        <w:t xml:space="preserve"> </w:t>
      </w:r>
      <w:r w:rsidR="00342385" w:rsidRPr="004542B5">
        <w:rPr>
          <w:noProof w:val="0"/>
          <w:lang w:val="en-US"/>
        </w:rPr>
        <w:t>in relation to</w:t>
      </w:r>
      <w:r w:rsidR="004B2CE9" w:rsidRPr="004542B5">
        <w:rPr>
          <w:noProof w:val="0"/>
          <w:lang w:val="en-US"/>
        </w:rPr>
        <w:t xml:space="preserve"> </w:t>
      </w:r>
      <w:r w:rsidRPr="004542B5">
        <w:rPr>
          <w:noProof w:val="0"/>
          <w:lang w:val="en-US"/>
        </w:rPr>
        <w:t>Article 1(1)</w:t>
      </w:r>
      <w:r w:rsidR="004B2CE9" w:rsidRPr="004542B5">
        <w:rPr>
          <w:noProof w:val="0"/>
          <w:lang w:val="en-US"/>
        </w:rPr>
        <w:t xml:space="preserve"> </w:t>
      </w:r>
      <w:r w:rsidR="00342385" w:rsidRPr="004542B5">
        <w:rPr>
          <w:noProof w:val="0"/>
          <w:lang w:val="en-US"/>
        </w:rPr>
        <w:t>of this instrument</w:t>
      </w:r>
      <w:r w:rsidR="00D45B58" w:rsidRPr="004542B5">
        <w:rPr>
          <w:noProof w:val="0"/>
          <w:lang w:val="en-US"/>
        </w:rPr>
        <w:t xml:space="preserve"> to the detriment of the Emberá communities of Piriatí and Ipetí</w:t>
      </w:r>
      <w:r w:rsidR="004B2CE9" w:rsidRPr="004542B5">
        <w:rPr>
          <w:noProof w:val="0"/>
          <w:lang w:val="en-US"/>
        </w:rPr>
        <w:t xml:space="preserve">, </w:t>
      </w:r>
      <w:r w:rsidR="00EB157D" w:rsidRPr="004542B5">
        <w:rPr>
          <w:noProof w:val="0"/>
          <w:lang w:val="en-US"/>
        </w:rPr>
        <w:t>owing to the failure to delimit, demarcate and title the</w:t>
      </w:r>
      <w:r w:rsidR="00D45B58" w:rsidRPr="004542B5">
        <w:rPr>
          <w:noProof w:val="0"/>
          <w:lang w:val="en-US"/>
        </w:rPr>
        <w:t>ir</w:t>
      </w:r>
      <w:r w:rsidR="00EB157D" w:rsidRPr="004542B5">
        <w:rPr>
          <w:noProof w:val="0"/>
          <w:lang w:val="en-US"/>
        </w:rPr>
        <w:t xml:space="preserve"> lands as described in </w:t>
      </w:r>
      <w:r w:rsidR="00517C7D" w:rsidRPr="004542B5">
        <w:rPr>
          <w:noProof w:val="0"/>
          <w:lang w:val="en-US"/>
        </w:rPr>
        <w:t>paragraph</w:t>
      </w:r>
      <w:r w:rsidR="004B2CE9" w:rsidRPr="004542B5">
        <w:rPr>
          <w:noProof w:val="0"/>
          <w:lang w:val="en-US"/>
        </w:rPr>
        <w:t xml:space="preserve"> 129 </w:t>
      </w:r>
      <w:r w:rsidR="00EB157D" w:rsidRPr="004542B5">
        <w:rPr>
          <w:noProof w:val="0"/>
          <w:lang w:val="en-US"/>
        </w:rPr>
        <w:t xml:space="preserve">of this judgment, </w:t>
      </w:r>
    </w:p>
    <w:p w14:paraId="2E3DBCB3" w14:textId="04768780" w:rsidR="003B7977" w:rsidRPr="004542B5" w:rsidRDefault="007B47B1" w:rsidP="00E01664">
      <w:pPr>
        <w:spacing w:before="240" w:after="240"/>
        <w:ind w:left="720"/>
        <w:rPr>
          <w:i/>
          <w:noProof w:val="0"/>
          <w:lang w:val="en-US"/>
        </w:rPr>
      </w:pPr>
      <w:r w:rsidRPr="004542B5">
        <w:rPr>
          <w:i/>
          <w:noProof w:val="0"/>
          <w:lang w:val="en-US"/>
        </w:rPr>
        <w:t xml:space="preserve">A.2.3. </w:t>
      </w:r>
      <w:r w:rsidR="008D226A" w:rsidRPr="004542B5">
        <w:rPr>
          <w:i/>
          <w:noProof w:val="0"/>
          <w:lang w:val="en-US"/>
        </w:rPr>
        <w:t xml:space="preserve">The private property title in the territory of the </w:t>
      </w:r>
      <w:r w:rsidRPr="004542B5">
        <w:rPr>
          <w:i/>
          <w:noProof w:val="0"/>
          <w:lang w:val="en-US"/>
        </w:rPr>
        <w:t>Piriatí</w:t>
      </w:r>
      <w:r w:rsidR="008D226A" w:rsidRPr="004542B5">
        <w:rPr>
          <w:i/>
          <w:noProof w:val="0"/>
          <w:lang w:val="en-US"/>
        </w:rPr>
        <w:t xml:space="preserve"> </w:t>
      </w:r>
      <w:r w:rsidRPr="004542B5">
        <w:rPr>
          <w:i/>
          <w:noProof w:val="0"/>
          <w:lang w:val="en-US"/>
        </w:rPr>
        <w:t>Emberá</w:t>
      </w:r>
      <w:r w:rsidR="008D226A" w:rsidRPr="004542B5">
        <w:rPr>
          <w:i/>
          <w:noProof w:val="0"/>
          <w:lang w:val="en-US"/>
        </w:rPr>
        <w:t xml:space="preserve"> community</w:t>
      </w:r>
    </w:p>
    <w:p w14:paraId="36CF2CC0" w14:textId="6E723D93" w:rsidR="00D45B58" w:rsidRPr="004542B5" w:rsidRDefault="008D226A" w:rsidP="00D45B58">
      <w:pPr>
        <w:pStyle w:val="ListParagraph"/>
        <w:numPr>
          <w:ilvl w:val="0"/>
          <w:numId w:val="2"/>
        </w:numPr>
        <w:spacing w:before="120" w:after="120"/>
        <w:contextualSpacing w:val="0"/>
        <w:rPr>
          <w:rFonts w:cs="Verdana Bold"/>
          <w:bCs/>
          <w:noProof w:val="0"/>
          <w:sz w:val="18"/>
          <w:szCs w:val="18"/>
          <w:lang w:val="en-US"/>
        </w:rPr>
      </w:pPr>
      <w:r w:rsidRPr="004542B5">
        <w:rPr>
          <w:noProof w:val="0"/>
          <w:szCs w:val="20"/>
          <w:lang w:val="en-US"/>
        </w:rPr>
        <w:t>Regarding the</w:t>
      </w:r>
      <w:r w:rsidR="004B2CE9" w:rsidRPr="004542B5">
        <w:rPr>
          <w:noProof w:val="0"/>
          <w:szCs w:val="20"/>
          <w:lang w:val="en-US"/>
        </w:rPr>
        <w:t xml:space="preserve"> </w:t>
      </w:r>
      <w:r w:rsidR="00E74A3B" w:rsidRPr="004542B5">
        <w:rPr>
          <w:noProof w:val="0"/>
          <w:szCs w:val="20"/>
          <w:lang w:val="en-US"/>
        </w:rPr>
        <w:t>Piriatí Emberá</w:t>
      </w:r>
      <w:r w:rsidR="00CD2B90" w:rsidRPr="004542B5">
        <w:rPr>
          <w:noProof w:val="0"/>
          <w:szCs w:val="20"/>
          <w:lang w:val="en-US"/>
        </w:rPr>
        <w:t xml:space="preserve"> </w:t>
      </w:r>
      <w:r w:rsidRPr="004542B5">
        <w:rPr>
          <w:noProof w:val="0"/>
          <w:szCs w:val="20"/>
          <w:lang w:val="en-US"/>
        </w:rPr>
        <w:t xml:space="preserve">territory </w:t>
      </w:r>
      <w:r w:rsidR="00CD2B90" w:rsidRPr="004542B5">
        <w:rPr>
          <w:noProof w:val="0"/>
          <w:szCs w:val="20"/>
          <w:lang w:val="en-US"/>
        </w:rPr>
        <w:t xml:space="preserve">and </w:t>
      </w:r>
      <w:r w:rsidRPr="004542B5">
        <w:rPr>
          <w:noProof w:val="0"/>
          <w:szCs w:val="20"/>
          <w:lang w:val="en-US"/>
        </w:rPr>
        <w:t xml:space="preserve">the private property title granted to C.C.M. in August </w:t>
      </w:r>
      <w:r w:rsidR="004B2CE9" w:rsidRPr="004542B5">
        <w:rPr>
          <w:noProof w:val="0"/>
          <w:szCs w:val="20"/>
          <w:lang w:val="en-US"/>
        </w:rPr>
        <w:t>2013 (</w:t>
      </w:r>
      <w:r w:rsidR="004B2CE9" w:rsidRPr="004542B5">
        <w:rPr>
          <w:i/>
          <w:noProof w:val="0"/>
          <w:szCs w:val="20"/>
          <w:lang w:val="en-US"/>
        </w:rPr>
        <w:t>supra</w:t>
      </w:r>
      <w:r w:rsidR="004B2CE9" w:rsidRPr="004542B5">
        <w:rPr>
          <w:noProof w:val="0"/>
          <w:szCs w:val="20"/>
          <w:lang w:val="en-US"/>
        </w:rPr>
        <w:t xml:space="preserve"> </w:t>
      </w:r>
      <w:r w:rsidR="00F66B76" w:rsidRPr="004542B5">
        <w:rPr>
          <w:noProof w:val="0"/>
          <w:szCs w:val="20"/>
          <w:lang w:val="en-US"/>
        </w:rPr>
        <w:t>para.</w:t>
      </w:r>
      <w:r w:rsidR="004B2CE9" w:rsidRPr="004542B5">
        <w:rPr>
          <w:noProof w:val="0"/>
          <w:szCs w:val="20"/>
          <w:lang w:val="en-US"/>
        </w:rPr>
        <w:t xml:space="preserve"> 80) </w:t>
      </w:r>
      <w:r w:rsidRPr="004542B5">
        <w:rPr>
          <w:noProof w:val="0"/>
          <w:szCs w:val="20"/>
          <w:lang w:val="en-US"/>
        </w:rPr>
        <w:t>over lands that form part of this territory, the Court establishes that the relevant domestic law in force establishes the following:</w:t>
      </w:r>
    </w:p>
    <w:p w14:paraId="2FB127EA" w14:textId="3A550B0F" w:rsidR="00D45B58" w:rsidRPr="004542B5" w:rsidRDefault="00D45B58" w:rsidP="00D45B58">
      <w:pPr>
        <w:pStyle w:val="ListParagraph"/>
        <w:spacing w:before="120" w:after="120"/>
        <w:ind w:left="0"/>
        <w:contextualSpacing w:val="0"/>
        <w:rPr>
          <w:rFonts w:cs="Verdana Bold"/>
          <w:bCs/>
          <w:noProof w:val="0"/>
          <w:sz w:val="18"/>
          <w:szCs w:val="18"/>
          <w:lang w:val="en-US"/>
        </w:rPr>
      </w:pPr>
    </w:p>
    <w:p w14:paraId="6B960A20" w14:textId="77777777" w:rsidR="00D45B58" w:rsidRPr="004542B5" w:rsidRDefault="00D45B58" w:rsidP="00D45B58">
      <w:pPr>
        <w:pStyle w:val="ListParagraph"/>
        <w:spacing w:before="120" w:after="120"/>
        <w:ind w:left="0"/>
        <w:contextualSpacing w:val="0"/>
        <w:rPr>
          <w:rFonts w:cs="Verdana Bold"/>
          <w:bCs/>
          <w:noProof w:val="0"/>
          <w:sz w:val="18"/>
          <w:szCs w:val="18"/>
          <w:lang w:val="en-US"/>
        </w:rPr>
      </w:pPr>
    </w:p>
    <w:p w14:paraId="7DD242F4" w14:textId="20FED9B7" w:rsidR="002E6C8B" w:rsidRPr="004542B5" w:rsidRDefault="008D226A" w:rsidP="00E01664">
      <w:pPr>
        <w:spacing w:before="120" w:after="120"/>
        <w:ind w:left="708"/>
        <w:rPr>
          <w:noProof w:val="0"/>
          <w:sz w:val="16"/>
          <w:szCs w:val="16"/>
          <w:u w:val="single"/>
          <w:lang w:val="en-US"/>
        </w:rPr>
      </w:pPr>
      <w:r w:rsidRPr="004542B5">
        <w:rPr>
          <w:noProof w:val="0"/>
          <w:sz w:val="16"/>
          <w:szCs w:val="16"/>
          <w:u w:val="single"/>
          <w:lang w:val="en-US"/>
        </w:rPr>
        <w:lastRenderedPageBreak/>
        <w:t>1972 Constitution</w:t>
      </w:r>
      <w:r w:rsidR="004B2CE9" w:rsidRPr="004542B5">
        <w:rPr>
          <w:noProof w:val="0"/>
          <w:sz w:val="16"/>
          <w:szCs w:val="16"/>
          <w:u w:val="single"/>
          <w:lang w:val="en-US"/>
        </w:rPr>
        <w:t xml:space="preserve"> </w:t>
      </w:r>
      <w:r w:rsidR="00FE0BF3" w:rsidRPr="004542B5">
        <w:rPr>
          <w:noProof w:val="0"/>
          <w:sz w:val="16"/>
          <w:szCs w:val="16"/>
          <w:u w:val="single"/>
          <w:lang w:val="en-US"/>
        </w:rPr>
        <w:t>of Panama</w:t>
      </w:r>
    </w:p>
    <w:p w14:paraId="065F7FAF" w14:textId="6C488251" w:rsidR="002E6C8B" w:rsidRPr="004542B5" w:rsidRDefault="00562CBB" w:rsidP="00E01664">
      <w:pPr>
        <w:spacing w:before="120" w:after="120"/>
        <w:ind w:left="708"/>
        <w:rPr>
          <w:noProof w:val="0"/>
          <w:sz w:val="16"/>
          <w:szCs w:val="16"/>
          <w:lang w:val="en-US"/>
        </w:rPr>
      </w:pPr>
      <w:r w:rsidRPr="004542B5">
        <w:rPr>
          <w:noProof w:val="0"/>
          <w:sz w:val="16"/>
          <w:szCs w:val="16"/>
          <w:lang w:val="en-US"/>
        </w:rPr>
        <w:t>Article</w:t>
      </w:r>
      <w:r w:rsidR="007B47B1" w:rsidRPr="004542B5">
        <w:rPr>
          <w:noProof w:val="0"/>
          <w:sz w:val="16"/>
          <w:szCs w:val="16"/>
          <w:lang w:val="en-US"/>
        </w:rPr>
        <w:t xml:space="preserve"> 127: […]</w:t>
      </w:r>
      <w:r w:rsidR="008D226A" w:rsidRPr="004542B5">
        <w:rPr>
          <w:noProof w:val="0"/>
          <w:sz w:val="16"/>
          <w:szCs w:val="16"/>
          <w:lang w:val="en-US"/>
        </w:rPr>
        <w:t xml:space="preserve"> The law shall regulate the procedures to be followed to achieve this purpose [the collective ownership of lands] and the corresponding boundaries within which private appropriation of land is prohibited.</w:t>
      </w:r>
    </w:p>
    <w:p w14:paraId="18B20590" w14:textId="6C4DC3F1" w:rsidR="002E6C8B" w:rsidRPr="004542B5" w:rsidRDefault="0033788F" w:rsidP="00E01664">
      <w:pPr>
        <w:spacing w:before="120" w:after="120"/>
        <w:ind w:left="708"/>
        <w:rPr>
          <w:noProof w:val="0"/>
          <w:sz w:val="16"/>
          <w:szCs w:val="16"/>
          <w:u w:val="single"/>
          <w:lang w:val="en-US"/>
        </w:rPr>
      </w:pPr>
      <w:r w:rsidRPr="004542B5">
        <w:rPr>
          <w:noProof w:val="0"/>
          <w:sz w:val="16"/>
          <w:szCs w:val="16"/>
          <w:u w:val="single"/>
          <w:lang w:val="en-US"/>
        </w:rPr>
        <w:t>Law</w:t>
      </w:r>
      <w:r w:rsidR="007B47B1" w:rsidRPr="004542B5">
        <w:rPr>
          <w:noProof w:val="0"/>
          <w:sz w:val="16"/>
          <w:szCs w:val="16"/>
          <w:u w:val="single"/>
          <w:lang w:val="en-US"/>
        </w:rPr>
        <w:t xml:space="preserve"> </w:t>
      </w:r>
      <w:r w:rsidR="00CD2B90" w:rsidRPr="004542B5">
        <w:rPr>
          <w:noProof w:val="0"/>
          <w:sz w:val="16"/>
          <w:szCs w:val="16"/>
          <w:u w:val="single"/>
          <w:lang w:val="en-US"/>
        </w:rPr>
        <w:t>No.</w:t>
      </w:r>
      <w:r w:rsidR="004B2CE9" w:rsidRPr="004542B5">
        <w:rPr>
          <w:noProof w:val="0"/>
          <w:sz w:val="16"/>
          <w:szCs w:val="16"/>
          <w:u w:val="single"/>
          <w:lang w:val="en-US"/>
        </w:rPr>
        <w:t xml:space="preserve"> </w:t>
      </w:r>
      <w:r w:rsidR="007B47B1" w:rsidRPr="004542B5">
        <w:rPr>
          <w:noProof w:val="0"/>
          <w:sz w:val="16"/>
          <w:szCs w:val="16"/>
          <w:u w:val="single"/>
          <w:lang w:val="en-US"/>
        </w:rPr>
        <w:t>72 (</w:t>
      </w:r>
      <w:r w:rsidR="008D226A" w:rsidRPr="004542B5">
        <w:rPr>
          <w:noProof w:val="0"/>
          <w:sz w:val="16"/>
          <w:szCs w:val="16"/>
          <w:u w:val="single"/>
          <w:lang w:val="en-US"/>
        </w:rPr>
        <w:t>December 23,</w:t>
      </w:r>
      <w:r w:rsidR="007B47B1" w:rsidRPr="004542B5">
        <w:rPr>
          <w:noProof w:val="0"/>
          <w:sz w:val="16"/>
          <w:szCs w:val="16"/>
          <w:u w:val="single"/>
          <w:lang w:val="en-US"/>
        </w:rPr>
        <w:t xml:space="preserve"> 2008)</w:t>
      </w:r>
    </w:p>
    <w:p w14:paraId="008C2681" w14:textId="3925E192" w:rsidR="002E6C8B" w:rsidRPr="004542B5" w:rsidRDefault="00562CBB" w:rsidP="00E01664">
      <w:pPr>
        <w:autoSpaceDE w:val="0"/>
        <w:autoSpaceDN w:val="0"/>
        <w:adjustRightInd w:val="0"/>
        <w:spacing w:before="120" w:after="120"/>
        <w:ind w:left="708"/>
        <w:rPr>
          <w:noProof w:val="0"/>
          <w:sz w:val="16"/>
          <w:szCs w:val="16"/>
          <w:lang w:val="en-US"/>
        </w:rPr>
      </w:pPr>
      <w:r w:rsidRPr="004542B5">
        <w:rPr>
          <w:noProof w:val="0"/>
          <w:sz w:val="16"/>
          <w:szCs w:val="16"/>
          <w:lang w:val="en-US"/>
        </w:rPr>
        <w:t>Article</w:t>
      </w:r>
      <w:r w:rsidR="004B2CE9" w:rsidRPr="004542B5">
        <w:rPr>
          <w:noProof w:val="0"/>
          <w:sz w:val="16"/>
          <w:szCs w:val="16"/>
          <w:lang w:val="en-US"/>
        </w:rPr>
        <w:t xml:space="preserve"> 9: </w:t>
      </w:r>
      <w:r w:rsidR="003F5BCE" w:rsidRPr="004542B5">
        <w:rPr>
          <w:noProof w:val="0"/>
          <w:sz w:val="16"/>
          <w:szCs w:val="16"/>
          <w:lang w:val="en-US"/>
        </w:rPr>
        <w:t>W</w:t>
      </w:r>
      <w:r w:rsidR="008D226A" w:rsidRPr="004542B5">
        <w:rPr>
          <w:noProof w:val="0"/>
          <w:sz w:val="16"/>
          <w:szCs w:val="16"/>
          <w:lang w:val="en-US"/>
        </w:rPr>
        <w:t xml:space="preserve">hen the corresponding procedures have been </w:t>
      </w:r>
      <w:r w:rsidR="003F5BCE" w:rsidRPr="004542B5">
        <w:rPr>
          <w:noProof w:val="0"/>
          <w:sz w:val="16"/>
          <w:szCs w:val="16"/>
          <w:lang w:val="en-US"/>
        </w:rPr>
        <w:t>complet</w:t>
      </w:r>
      <w:r w:rsidR="008D226A" w:rsidRPr="004542B5">
        <w:rPr>
          <w:noProof w:val="0"/>
          <w:sz w:val="16"/>
          <w:szCs w:val="16"/>
          <w:lang w:val="en-US"/>
        </w:rPr>
        <w:t>ed,</w:t>
      </w:r>
      <w:r w:rsidR="004B2CE9" w:rsidRPr="004542B5" w:rsidDel="00DC399C">
        <w:rPr>
          <w:noProof w:val="0"/>
          <w:sz w:val="16"/>
          <w:szCs w:val="16"/>
          <w:lang w:val="en-US"/>
        </w:rPr>
        <w:t xml:space="preserve"> </w:t>
      </w:r>
      <w:r w:rsidR="00F74AD5" w:rsidRPr="004542B5">
        <w:rPr>
          <w:noProof w:val="0"/>
          <w:sz w:val="16"/>
          <w:szCs w:val="16"/>
          <w:lang w:val="en-US"/>
        </w:rPr>
        <w:t>the National Agrarian Reform Directorate</w:t>
      </w:r>
      <w:r w:rsidR="004B2CE9" w:rsidRPr="004542B5">
        <w:rPr>
          <w:noProof w:val="0"/>
          <w:sz w:val="16"/>
          <w:szCs w:val="16"/>
          <w:lang w:val="en-US"/>
        </w:rPr>
        <w:t xml:space="preserve"> </w:t>
      </w:r>
      <w:r w:rsidR="008D226A" w:rsidRPr="004542B5">
        <w:rPr>
          <w:noProof w:val="0"/>
          <w:sz w:val="16"/>
          <w:szCs w:val="16"/>
          <w:lang w:val="en-US"/>
        </w:rPr>
        <w:t>shall issue the collective property title in favor of the indigenous community, which is</w:t>
      </w:r>
      <w:r w:rsidR="004B2CE9" w:rsidRPr="004542B5">
        <w:rPr>
          <w:noProof w:val="0"/>
          <w:sz w:val="16"/>
          <w:szCs w:val="16"/>
          <w:lang w:val="en-US"/>
        </w:rPr>
        <w:t xml:space="preserve"> imprescriptible, </w:t>
      </w:r>
      <w:r w:rsidR="008D226A" w:rsidRPr="004542B5">
        <w:rPr>
          <w:noProof w:val="0"/>
          <w:sz w:val="16"/>
          <w:szCs w:val="16"/>
          <w:lang w:val="en-US"/>
        </w:rPr>
        <w:t>non-transferable,</w:t>
      </w:r>
      <w:r w:rsidR="003F5BCE" w:rsidRPr="004542B5">
        <w:rPr>
          <w:noProof w:val="0"/>
          <w:sz w:val="16"/>
          <w:szCs w:val="16"/>
          <w:lang w:val="en-US"/>
        </w:rPr>
        <w:t xml:space="preserve"> and may not be embargoed or otherwise alienated.</w:t>
      </w:r>
    </w:p>
    <w:p w14:paraId="1BADD764" w14:textId="369D9B0D" w:rsidR="002E6C8B" w:rsidRPr="004542B5" w:rsidRDefault="00562CBB" w:rsidP="00C00009">
      <w:pPr>
        <w:autoSpaceDE w:val="0"/>
        <w:autoSpaceDN w:val="0"/>
        <w:adjustRightInd w:val="0"/>
        <w:spacing w:before="120" w:after="200"/>
        <w:ind w:left="708"/>
        <w:rPr>
          <w:noProof w:val="0"/>
          <w:sz w:val="16"/>
          <w:szCs w:val="16"/>
          <w:lang w:val="en-US"/>
        </w:rPr>
      </w:pPr>
      <w:r w:rsidRPr="004542B5">
        <w:rPr>
          <w:noProof w:val="0"/>
          <w:sz w:val="16"/>
          <w:szCs w:val="16"/>
          <w:lang w:val="en-US"/>
        </w:rPr>
        <w:t>Article</w:t>
      </w:r>
      <w:r w:rsidR="004B2CE9" w:rsidRPr="004542B5">
        <w:rPr>
          <w:noProof w:val="0"/>
          <w:sz w:val="16"/>
          <w:szCs w:val="16"/>
          <w:lang w:val="en-US"/>
        </w:rPr>
        <w:t xml:space="preserve"> 10: </w:t>
      </w:r>
      <w:r w:rsidR="003F5BCE" w:rsidRPr="004542B5">
        <w:rPr>
          <w:noProof w:val="0"/>
          <w:sz w:val="16"/>
          <w:szCs w:val="16"/>
          <w:lang w:val="en-US"/>
        </w:rPr>
        <w:t xml:space="preserve">Adjudications made under this law shall not prejudice the existing property titles and the possessory rights certified by </w:t>
      </w:r>
      <w:r w:rsidR="00F74AD5" w:rsidRPr="004542B5">
        <w:rPr>
          <w:noProof w:val="0"/>
          <w:sz w:val="16"/>
          <w:szCs w:val="16"/>
          <w:lang w:val="en-US"/>
        </w:rPr>
        <w:t>the National Agrarian Reform Directorate</w:t>
      </w:r>
      <w:r w:rsidR="003F5BCE" w:rsidRPr="004542B5">
        <w:rPr>
          <w:noProof w:val="0"/>
          <w:sz w:val="16"/>
          <w:szCs w:val="16"/>
          <w:lang w:val="en-US"/>
        </w:rPr>
        <w:t>.</w:t>
      </w:r>
      <w:r w:rsidR="004B2CE9" w:rsidRPr="004542B5">
        <w:rPr>
          <w:rStyle w:val="FootnoteReference"/>
          <w:noProof w:val="0"/>
          <w:sz w:val="16"/>
          <w:lang w:val="en-US"/>
        </w:rPr>
        <w:footnoteReference w:id="218"/>
      </w:r>
      <w:r w:rsidR="007B47B1" w:rsidRPr="004542B5">
        <w:rPr>
          <w:noProof w:val="0"/>
          <w:sz w:val="16"/>
          <w:szCs w:val="16"/>
          <w:lang w:val="en-US"/>
        </w:rPr>
        <w:t xml:space="preserve"> </w:t>
      </w:r>
    </w:p>
    <w:p w14:paraId="772CD777" w14:textId="0E3815E6" w:rsidR="003B7977" w:rsidRPr="004542B5" w:rsidRDefault="00562CBB" w:rsidP="003F5BCE">
      <w:pPr>
        <w:pStyle w:val="ListParagraph"/>
        <w:numPr>
          <w:ilvl w:val="0"/>
          <w:numId w:val="2"/>
        </w:numPr>
        <w:spacing w:before="120" w:after="120"/>
        <w:contextualSpacing w:val="0"/>
        <w:rPr>
          <w:noProof w:val="0"/>
          <w:szCs w:val="20"/>
          <w:lang w:val="en-US"/>
        </w:rPr>
      </w:pPr>
      <w:r w:rsidRPr="004542B5">
        <w:rPr>
          <w:noProof w:val="0"/>
          <w:szCs w:val="20"/>
          <w:lang w:val="en-US"/>
        </w:rPr>
        <w:t>The Court</w:t>
      </w:r>
      <w:r w:rsidR="004B2CE9" w:rsidRPr="004542B5">
        <w:rPr>
          <w:noProof w:val="0"/>
          <w:szCs w:val="20"/>
          <w:lang w:val="en-US"/>
        </w:rPr>
        <w:t xml:space="preserve"> </w:t>
      </w:r>
      <w:r w:rsidR="003F5BCE" w:rsidRPr="004542B5">
        <w:rPr>
          <w:noProof w:val="0"/>
          <w:szCs w:val="20"/>
          <w:lang w:val="en-US"/>
        </w:rPr>
        <w:t xml:space="preserve">notes that </w:t>
      </w:r>
      <w:r w:rsidR="00C06694" w:rsidRPr="004542B5">
        <w:rPr>
          <w:noProof w:val="0"/>
          <w:szCs w:val="20"/>
          <w:lang w:val="en-US"/>
        </w:rPr>
        <w:t>Executive Decree</w:t>
      </w:r>
      <w:r w:rsidR="004B2CE9" w:rsidRPr="004542B5">
        <w:rPr>
          <w:noProof w:val="0"/>
          <w:szCs w:val="20"/>
          <w:lang w:val="en-US"/>
        </w:rPr>
        <w:t xml:space="preserve"> </w:t>
      </w:r>
      <w:r w:rsidR="00CD2B90" w:rsidRPr="004542B5">
        <w:rPr>
          <w:noProof w:val="0"/>
          <w:szCs w:val="20"/>
          <w:lang w:val="en-US"/>
        </w:rPr>
        <w:t>No.</w:t>
      </w:r>
      <w:r w:rsidR="004B2CE9" w:rsidRPr="004542B5">
        <w:rPr>
          <w:noProof w:val="0"/>
          <w:szCs w:val="20"/>
          <w:lang w:val="en-US"/>
        </w:rPr>
        <w:t xml:space="preserve"> 123 </w:t>
      </w:r>
      <w:r w:rsidR="003F5BCE" w:rsidRPr="004542B5">
        <w:rPr>
          <w:noProof w:val="0"/>
          <w:szCs w:val="20"/>
          <w:lang w:val="en-US"/>
        </w:rPr>
        <w:t>of</w:t>
      </w:r>
      <w:r w:rsidR="004B2CE9" w:rsidRPr="004542B5">
        <w:rPr>
          <w:noProof w:val="0"/>
          <w:szCs w:val="20"/>
          <w:lang w:val="en-US"/>
        </w:rPr>
        <w:t xml:space="preserve"> 1969 declar</w:t>
      </w:r>
      <w:r w:rsidR="003F5BCE" w:rsidRPr="004542B5">
        <w:rPr>
          <w:noProof w:val="0"/>
          <w:szCs w:val="20"/>
          <w:lang w:val="en-US"/>
        </w:rPr>
        <w:t>ed</w:t>
      </w:r>
      <w:r w:rsidR="004B2CE9" w:rsidRPr="004542B5">
        <w:rPr>
          <w:noProof w:val="0"/>
          <w:szCs w:val="20"/>
          <w:lang w:val="en-US"/>
        </w:rPr>
        <w:t xml:space="preserve"> </w:t>
      </w:r>
      <w:r w:rsidR="003F5BCE" w:rsidRPr="004542B5">
        <w:rPr>
          <w:noProof w:val="0"/>
          <w:szCs w:val="20"/>
          <w:lang w:val="en-US"/>
        </w:rPr>
        <w:t xml:space="preserve">that the alternative lands assigned to the indigenous peoples as compensation for the flooding of their lands were </w:t>
      </w:r>
      <w:r w:rsidR="004B2CE9" w:rsidRPr="004542B5">
        <w:rPr>
          <w:noProof w:val="0"/>
          <w:szCs w:val="20"/>
          <w:lang w:val="en-US"/>
        </w:rPr>
        <w:t>“</w:t>
      </w:r>
      <w:r w:rsidR="003F5BCE" w:rsidRPr="004542B5">
        <w:rPr>
          <w:noProof w:val="0"/>
          <w:szCs w:val="20"/>
          <w:lang w:val="en-US"/>
        </w:rPr>
        <w:t>non-adjudicable</w:t>
      </w:r>
      <w:r w:rsidR="004B2CE9" w:rsidRPr="004542B5">
        <w:rPr>
          <w:noProof w:val="0"/>
          <w:szCs w:val="20"/>
          <w:lang w:val="en-US"/>
        </w:rPr>
        <w:t>” (</w:t>
      </w:r>
      <w:r w:rsidR="004B2CE9" w:rsidRPr="004542B5">
        <w:rPr>
          <w:i/>
          <w:noProof w:val="0"/>
          <w:szCs w:val="20"/>
          <w:lang w:val="en-US"/>
        </w:rPr>
        <w:t>supra</w:t>
      </w:r>
      <w:r w:rsidR="004B2CE9" w:rsidRPr="004542B5">
        <w:rPr>
          <w:noProof w:val="0"/>
          <w:szCs w:val="20"/>
          <w:lang w:val="en-US"/>
        </w:rPr>
        <w:t xml:space="preserve"> </w:t>
      </w:r>
      <w:r w:rsidR="00F66B76" w:rsidRPr="004542B5">
        <w:rPr>
          <w:noProof w:val="0"/>
          <w:szCs w:val="20"/>
          <w:lang w:val="en-US"/>
        </w:rPr>
        <w:t>para.</w:t>
      </w:r>
      <w:r w:rsidR="004B2CE9" w:rsidRPr="004542B5">
        <w:rPr>
          <w:noProof w:val="0"/>
          <w:szCs w:val="20"/>
          <w:lang w:val="en-US"/>
        </w:rPr>
        <w:t xml:space="preserve"> 111). A</w:t>
      </w:r>
      <w:r w:rsidR="003F5BCE" w:rsidRPr="004542B5">
        <w:rPr>
          <w:noProof w:val="0"/>
          <w:szCs w:val="20"/>
          <w:lang w:val="en-US"/>
        </w:rPr>
        <w:t xml:space="preserve">lso, article 5 of the said decree recognized the property rights </w:t>
      </w:r>
      <w:r w:rsidR="00C00009" w:rsidRPr="004542B5">
        <w:rPr>
          <w:noProof w:val="0"/>
          <w:szCs w:val="20"/>
          <w:lang w:val="en-US"/>
        </w:rPr>
        <w:t>over</w:t>
      </w:r>
      <w:r w:rsidR="003F5BCE" w:rsidRPr="004542B5">
        <w:rPr>
          <w:noProof w:val="0"/>
          <w:szCs w:val="20"/>
          <w:lang w:val="en-US"/>
        </w:rPr>
        <w:t xml:space="preserve"> parcels within those lands</w:t>
      </w:r>
      <w:r w:rsidR="00C00009" w:rsidRPr="004542B5">
        <w:rPr>
          <w:noProof w:val="0"/>
          <w:szCs w:val="20"/>
          <w:lang w:val="en-US"/>
        </w:rPr>
        <w:t xml:space="preserve"> that had been registered</w:t>
      </w:r>
      <w:r w:rsidR="003F5BCE" w:rsidRPr="004542B5">
        <w:rPr>
          <w:noProof w:val="0"/>
          <w:szCs w:val="20"/>
          <w:lang w:val="en-US"/>
        </w:rPr>
        <w:t>.</w:t>
      </w:r>
      <w:r w:rsidR="004B2CE9" w:rsidRPr="004542B5">
        <w:rPr>
          <w:rStyle w:val="FootnoteReference"/>
          <w:noProof w:val="0"/>
          <w:lang w:val="en-US"/>
        </w:rPr>
        <w:footnoteReference w:id="219"/>
      </w:r>
      <w:r w:rsidR="004B2CE9" w:rsidRPr="004542B5">
        <w:rPr>
          <w:noProof w:val="0"/>
          <w:szCs w:val="20"/>
          <w:lang w:val="en-US"/>
        </w:rPr>
        <w:t xml:space="preserve"> </w:t>
      </w:r>
      <w:r w:rsidR="003F5BCE" w:rsidRPr="004542B5">
        <w:rPr>
          <w:noProof w:val="0"/>
          <w:szCs w:val="20"/>
          <w:lang w:val="en-US"/>
        </w:rPr>
        <w:t xml:space="preserve">Similarly, according to the State, on March 18, 2003, </w:t>
      </w:r>
      <w:r w:rsidR="00F74AD5" w:rsidRPr="004542B5">
        <w:rPr>
          <w:noProof w:val="0"/>
          <w:szCs w:val="20"/>
          <w:lang w:val="en-US"/>
        </w:rPr>
        <w:t>the National Agrarian Reform Directorate</w:t>
      </w:r>
      <w:r w:rsidR="004B2CE9" w:rsidRPr="004542B5">
        <w:rPr>
          <w:noProof w:val="0"/>
          <w:szCs w:val="20"/>
          <w:lang w:val="en-US"/>
        </w:rPr>
        <w:t xml:space="preserve"> </w:t>
      </w:r>
      <w:r w:rsidR="003F5BCE" w:rsidRPr="004542B5">
        <w:rPr>
          <w:noProof w:val="0"/>
          <w:szCs w:val="20"/>
          <w:lang w:val="en-US"/>
        </w:rPr>
        <w:t>of the</w:t>
      </w:r>
      <w:r w:rsidR="004B2CE9" w:rsidRPr="004542B5">
        <w:rPr>
          <w:noProof w:val="0"/>
          <w:szCs w:val="20"/>
          <w:lang w:val="en-US"/>
        </w:rPr>
        <w:t xml:space="preserve"> </w:t>
      </w:r>
      <w:r w:rsidR="00E75FF1" w:rsidRPr="004542B5">
        <w:rPr>
          <w:noProof w:val="0"/>
          <w:szCs w:val="20"/>
          <w:lang w:val="en-US"/>
        </w:rPr>
        <w:t>Ministry of Agricultural Development</w:t>
      </w:r>
      <w:r w:rsidR="004B2CE9" w:rsidRPr="004542B5">
        <w:rPr>
          <w:noProof w:val="0"/>
          <w:szCs w:val="20"/>
          <w:lang w:val="en-US"/>
        </w:rPr>
        <w:t xml:space="preserve">, </w:t>
      </w:r>
      <w:r w:rsidR="003F5BCE" w:rsidRPr="004542B5">
        <w:rPr>
          <w:noProof w:val="0"/>
          <w:szCs w:val="20"/>
          <w:lang w:val="en-US"/>
        </w:rPr>
        <w:t>in</w:t>
      </w:r>
      <w:r w:rsidR="004B2CE9" w:rsidRPr="004542B5">
        <w:rPr>
          <w:noProof w:val="0"/>
          <w:szCs w:val="20"/>
          <w:lang w:val="en-US"/>
        </w:rPr>
        <w:t xml:space="preserve"> </w:t>
      </w:r>
      <w:r w:rsidR="008B3891" w:rsidRPr="004542B5">
        <w:rPr>
          <w:noProof w:val="0"/>
          <w:szCs w:val="20"/>
          <w:lang w:val="en-US"/>
        </w:rPr>
        <w:t>Resolution</w:t>
      </w:r>
      <w:r w:rsidR="004B2CE9" w:rsidRPr="004542B5">
        <w:rPr>
          <w:noProof w:val="0"/>
          <w:szCs w:val="20"/>
          <w:lang w:val="en-US"/>
        </w:rPr>
        <w:t xml:space="preserve"> </w:t>
      </w:r>
      <w:r w:rsidR="00CD2B90" w:rsidRPr="004542B5">
        <w:rPr>
          <w:noProof w:val="0"/>
          <w:szCs w:val="20"/>
          <w:lang w:val="en-US"/>
        </w:rPr>
        <w:t>No.</w:t>
      </w:r>
      <w:r w:rsidR="004B2CE9" w:rsidRPr="004542B5">
        <w:rPr>
          <w:noProof w:val="0"/>
          <w:szCs w:val="20"/>
          <w:lang w:val="en-US"/>
        </w:rPr>
        <w:t xml:space="preserve"> D.N. 132-2003, indic</w:t>
      </w:r>
      <w:r w:rsidR="003F5BCE" w:rsidRPr="004542B5">
        <w:rPr>
          <w:noProof w:val="0"/>
          <w:szCs w:val="20"/>
          <w:lang w:val="en-US"/>
        </w:rPr>
        <w:t xml:space="preserve">ated that “all the requests begin processed for the adjudication, or transfer of </w:t>
      </w:r>
      <w:r w:rsidR="006110CB" w:rsidRPr="004542B5">
        <w:rPr>
          <w:noProof w:val="0"/>
          <w:szCs w:val="20"/>
          <w:lang w:val="en-US"/>
        </w:rPr>
        <w:t>possessory</w:t>
      </w:r>
      <w:r w:rsidR="003F5BCE" w:rsidRPr="004542B5">
        <w:rPr>
          <w:noProof w:val="0"/>
          <w:szCs w:val="20"/>
          <w:lang w:val="en-US"/>
        </w:rPr>
        <w:t xml:space="preserve"> rights, of parcels located within the area occupied by the Emberá populations of Ipetí and Piriatí, in the Chepo district, provinc</w:t>
      </w:r>
      <w:r w:rsidR="00C00009" w:rsidRPr="004542B5">
        <w:rPr>
          <w:noProof w:val="0"/>
          <w:szCs w:val="20"/>
          <w:lang w:val="en-US"/>
        </w:rPr>
        <w:t>e</w:t>
      </w:r>
      <w:r w:rsidR="003F5BCE" w:rsidRPr="004542B5">
        <w:rPr>
          <w:noProof w:val="0"/>
          <w:szCs w:val="20"/>
          <w:lang w:val="en-US"/>
        </w:rPr>
        <w:t xml:space="preserve"> of Panama” were suspended.</w:t>
      </w:r>
      <w:r w:rsidR="004B2CE9" w:rsidRPr="004542B5">
        <w:rPr>
          <w:noProof w:val="0"/>
          <w:szCs w:val="20"/>
          <w:lang w:val="en-US"/>
        </w:rPr>
        <w:t>”</w:t>
      </w:r>
      <w:r w:rsidR="004B2CE9" w:rsidRPr="004542B5">
        <w:rPr>
          <w:rStyle w:val="FootnoteReference"/>
          <w:noProof w:val="0"/>
          <w:lang w:val="en-US"/>
        </w:rPr>
        <w:footnoteReference w:id="220"/>
      </w:r>
    </w:p>
    <w:p w14:paraId="0E52E828" w14:textId="06CB8E65" w:rsidR="006E16F8" w:rsidRPr="004542B5" w:rsidRDefault="00F10CAE" w:rsidP="003F5BCE">
      <w:pPr>
        <w:pStyle w:val="ListParagraph"/>
        <w:numPr>
          <w:ilvl w:val="0"/>
          <w:numId w:val="2"/>
        </w:numPr>
        <w:autoSpaceDE w:val="0"/>
        <w:autoSpaceDN w:val="0"/>
        <w:adjustRightInd w:val="0"/>
        <w:spacing w:before="120" w:after="120"/>
        <w:contextualSpacing w:val="0"/>
        <w:rPr>
          <w:noProof w:val="0"/>
          <w:szCs w:val="20"/>
          <w:lang w:val="en-US"/>
        </w:rPr>
      </w:pPr>
      <w:r w:rsidRPr="004542B5">
        <w:rPr>
          <w:noProof w:val="0"/>
          <w:szCs w:val="20"/>
          <w:lang w:val="en-US"/>
        </w:rPr>
        <w:t>M</w:t>
      </w:r>
      <w:r w:rsidR="003F5BCE" w:rsidRPr="004542B5">
        <w:rPr>
          <w:noProof w:val="0"/>
          <w:szCs w:val="20"/>
          <w:lang w:val="en-US"/>
        </w:rPr>
        <w:t xml:space="preserve">ore recently, an ANATI certification of March 12, 2012, indicated </w:t>
      </w:r>
      <w:r w:rsidR="002E32FB" w:rsidRPr="004542B5">
        <w:rPr>
          <w:noProof w:val="0"/>
          <w:szCs w:val="20"/>
          <w:lang w:val="en-US"/>
        </w:rPr>
        <w:t>the suspension of</w:t>
      </w:r>
      <w:r w:rsidR="003F5BCE" w:rsidRPr="004542B5">
        <w:rPr>
          <w:noProof w:val="0"/>
          <w:szCs w:val="20"/>
          <w:lang w:val="en-US"/>
        </w:rPr>
        <w:t xml:space="preserve"> “all requests for po</w:t>
      </w:r>
      <w:r w:rsidR="00C00009" w:rsidRPr="004542B5">
        <w:rPr>
          <w:noProof w:val="0"/>
          <w:szCs w:val="20"/>
          <w:lang w:val="en-US"/>
        </w:rPr>
        <w:t>s</w:t>
      </w:r>
      <w:r w:rsidR="003F5BCE" w:rsidRPr="004542B5">
        <w:rPr>
          <w:noProof w:val="0"/>
          <w:szCs w:val="20"/>
          <w:lang w:val="en-US"/>
        </w:rPr>
        <w:t xml:space="preserve">sessory rights and adjudication of private land titles presented to the National Titling </w:t>
      </w:r>
      <w:r w:rsidR="002E32FB" w:rsidRPr="004542B5">
        <w:rPr>
          <w:noProof w:val="0"/>
          <w:szCs w:val="20"/>
          <w:lang w:val="en-US"/>
        </w:rPr>
        <w:t xml:space="preserve">and Regularization Directorate over lands </w:t>
      </w:r>
      <w:r w:rsidR="00C00009" w:rsidRPr="004542B5">
        <w:rPr>
          <w:noProof w:val="0"/>
          <w:szCs w:val="20"/>
          <w:lang w:val="en-US"/>
        </w:rPr>
        <w:t>for which the</w:t>
      </w:r>
      <w:r w:rsidR="002E32FB" w:rsidRPr="004542B5">
        <w:rPr>
          <w:noProof w:val="0"/>
          <w:szCs w:val="20"/>
          <w:lang w:val="en-US"/>
        </w:rPr>
        <w:t xml:space="preserve"> adjudication of a collective title</w:t>
      </w:r>
      <w:r w:rsidR="00C00009" w:rsidRPr="004542B5">
        <w:rPr>
          <w:noProof w:val="0"/>
          <w:szCs w:val="20"/>
          <w:lang w:val="en-US"/>
        </w:rPr>
        <w:t xml:space="preserve"> is being processed</w:t>
      </w:r>
      <w:r w:rsidR="002E32FB" w:rsidRPr="004542B5">
        <w:rPr>
          <w:noProof w:val="0"/>
          <w:szCs w:val="20"/>
          <w:lang w:val="en-US"/>
        </w:rPr>
        <w:t>, until the conditions under which this will be adjudicated</w:t>
      </w:r>
      <w:r w:rsidR="00C00009" w:rsidRPr="004542B5">
        <w:rPr>
          <w:noProof w:val="0"/>
          <w:szCs w:val="20"/>
          <w:lang w:val="en-US"/>
        </w:rPr>
        <w:t xml:space="preserve"> have been defined</w:t>
      </w:r>
      <w:r w:rsidR="002E32FB" w:rsidRPr="004542B5">
        <w:rPr>
          <w:noProof w:val="0"/>
          <w:szCs w:val="20"/>
          <w:lang w:val="en-US"/>
        </w:rPr>
        <w:t xml:space="preserve"> based on Law 72 of December 23, 2008, and Executive Decree No. 223 of June 29, 2010; this suspension encompasses the following areas: (</w:t>
      </w:r>
      <w:r w:rsidRPr="004542B5">
        <w:rPr>
          <w:noProof w:val="0"/>
          <w:szCs w:val="20"/>
          <w:lang w:val="en-US"/>
        </w:rPr>
        <w:t xml:space="preserve">a) Alto Bayano: </w:t>
      </w:r>
      <w:r w:rsidR="00E74A3B" w:rsidRPr="004542B5">
        <w:rPr>
          <w:noProof w:val="0"/>
          <w:szCs w:val="20"/>
          <w:lang w:val="en-US"/>
        </w:rPr>
        <w:t>Piriatí Emberá</w:t>
      </w:r>
      <w:r w:rsidRPr="004542B5">
        <w:rPr>
          <w:noProof w:val="0"/>
          <w:szCs w:val="20"/>
          <w:lang w:val="en-US"/>
        </w:rPr>
        <w:t xml:space="preserve">, </w:t>
      </w:r>
      <w:r w:rsidR="00E74A3B" w:rsidRPr="004542B5">
        <w:rPr>
          <w:noProof w:val="0"/>
          <w:szCs w:val="20"/>
          <w:lang w:val="en-US"/>
        </w:rPr>
        <w:t>Ipetí Emberá</w:t>
      </w:r>
      <w:r w:rsidRPr="004542B5">
        <w:rPr>
          <w:noProof w:val="0"/>
          <w:szCs w:val="20"/>
          <w:lang w:val="en-US"/>
        </w:rPr>
        <w:t>, Majé Emberá Drúa (Majé Cordillera</w:t>
      </w:r>
      <w:r w:rsidR="00CD2B90" w:rsidRPr="004542B5">
        <w:rPr>
          <w:noProof w:val="0"/>
          <w:szCs w:val="20"/>
          <w:lang w:val="en-US"/>
        </w:rPr>
        <w:t xml:space="preserve"> and </w:t>
      </w:r>
      <w:r w:rsidRPr="004542B5">
        <w:rPr>
          <w:noProof w:val="0"/>
          <w:szCs w:val="20"/>
          <w:lang w:val="en-US"/>
        </w:rPr>
        <w:t>Unión Emberá)</w:t>
      </w:r>
      <w:r w:rsidR="002E32FB" w:rsidRPr="004542B5">
        <w:rPr>
          <w:noProof w:val="0"/>
          <w:szCs w:val="20"/>
          <w:lang w:val="en-US"/>
        </w:rPr>
        <w:t>.</w:t>
      </w:r>
      <w:r w:rsidRPr="004542B5">
        <w:rPr>
          <w:noProof w:val="0"/>
          <w:szCs w:val="20"/>
          <w:lang w:val="en-US"/>
        </w:rPr>
        <w:t>”</w:t>
      </w:r>
      <w:r w:rsidRPr="004542B5">
        <w:rPr>
          <w:noProof w:val="0"/>
          <w:szCs w:val="20"/>
          <w:vertAlign w:val="superscript"/>
          <w:lang w:val="en-US"/>
        </w:rPr>
        <w:footnoteReference w:id="221"/>
      </w:r>
    </w:p>
    <w:p w14:paraId="1DA10267" w14:textId="6FD27BF1" w:rsidR="006E16F8" w:rsidRPr="004542B5" w:rsidRDefault="002E32FB" w:rsidP="00E01664">
      <w:pPr>
        <w:pStyle w:val="ListParagraph"/>
        <w:numPr>
          <w:ilvl w:val="0"/>
          <w:numId w:val="2"/>
        </w:numPr>
        <w:spacing w:before="120" w:after="120"/>
        <w:contextualSpacing w:val="0"/>
        <w:rPr>
          <w:noProof w:val="0"/>
          <w:szCs w:val="20"/>
          <w:lang w:val="en-US"/>
        </w:rPr>
      </w:pPr>
      <w:r w:rsidRPr="004542B5">
        <w:rPr>
          <w:noProof w:val="0"/>
          <w:szCs w:val="20"/>
          <w:lang w:val="en-US"/>
        </w:rPr>
        <w:t xml:space="preserve">The foregoing reveals that, since 1969, the Emberá alternative lands had been declared “non-adjudicable” and that different state entities – namely, ANATI </w:t>
      </w:r>
      <w:r w:rsidR="00CD2B90" w:rsidRPr="004542B5">
        <w:rPr>
          <w:noProof w:val="0"/>
          <w:szCs w:val="20"/>
          <w:lang w:val="en-US"/>
        </w:rPr>
        <w:t xml:space="preserve">and </w:t>
      </w:r>
      <w:r w:rsidR="00F74AD5" w:rsidRPr="004542B5">
        <w:rPr>
          <w:noProof w:val="0"/>
          <w:szCs w:val="20"/>
          <w:lang w:val="en-US"/>
        </w:rPr>
        <w:t>the National Agrarian Reform Directorate</w:t>
      </w:r>
      <w:r w:rsidRPr="004542B5">
        <w:rPr>
          <w:noProof w:val="0"/>
          <w:szCs w:val="20"/>
          <w:lang w:val="en-US"/>
        </w:rPr>
        <w:t xml:space="preserve"> – had indicated that the processing of requests for the “adju</w:t>
      </w:r>
      <w:r w:rsidR="00DE5819" w:rsidRPr="004542B5">
        <w:rPr>
          <w:noProof w:val="0"/>
          <w:szCs w:val="20"/>
          <w:lang w:val="en-US"/>
        </w:rPr>
        <w:t>di</w:t>
      </w:r>
      <w:r w:rsidRPr="004542B5">
        <w:rPr>
          <w:noProof w:val="0"/>
          <w:szCs w:val="20"/>
          <w:lang w:val="en-US"/>
        </w:rPr>
        <w:t>cation” of private property titles should be suspended</w:t>
      </w:r>
      <w:r w:rsidR="00F10CAE" w:rsidRPr="004542B5">
        <w:rPr>
          <w:noProof w:val="0"/>
          <w:szCs w:val="20"/>
          <w:lang w:val="en-US"/>
        </w:rPr>
        <w:t xml:space="preserve"> </w:t>
      </w:r>
      <w:r w:rsidRPr="004542B5">
        <w:rPr>
          <w:noProof w:val="0"/>
          <w:szCs w:val="20"/>
          <w:lang w:val="en-US"/>
        </w:rPr>
        <w:t xml:space="preserve">in relation, </w:t>
      </w:r>
      <w:r w:rsidR="00C00009" w:rsidRPr="004542B5">
        <w:rPr>
          <w:i/>
          <w:iCs/>
          <w:noProof w:val="0"/>
          <w:szCs w:val="20"/>
          <w:lang w:val="en-US"/>
        </w:rPr>
        <w:t>inter alia</w:t>
      </w:r>
      <w:r w:rsidRPr="004542B5">
        <w:rPr>
          <w:noProof w:val="0"/>
          <w:szCs w:val="20"/>
          <w:lang w:val="en-US"/>
        </w:rPr>
        <w:t>, to Piriatí lands, while</w:t>
      </w:r>
      <w:r w:rsidR="00C00009" w:rsidRPr="004542B5">
        <w:rPr>
          <w:noProof w:val="0"/>
          <w:szCs w:val="20"/>
          <w:lang w:val="en-US"/>
        </w:rPr>
        <w:t xml:space="preserve"> </w:t>
      </w:r>
      <w:r w:rsidRPr="004542B5">
        <w:rPr>
          <w:noProof w:val="0"/>
          <w:szCs w:val="20"/>
          <w:lang w:val="en-US"/>
        </w:rPr>
        <w:t>the adjudication of the said lands under a collective title</w:t>
      </w:r>
      <w:r w:rsidR="00C00009" w:rsidRPr="004542B5">
        <w:rPr>
          <w:noProof w:val="0"/>
          <w:szCs w:val="20"/>
          <w:lang w:val="en-US"/>
        </w:rPr>
        <w:t xml:space="preserve"> was </w:t>
      </w:r>
      <w:r w:rsidR="002C4847" w:rsidRPr="004542B5">
        <w:rPr>
          <w:noProof w:val="0"/>
          <w:szCs w:val="20"/>
          <w:lang w:val="en-US"/>
        </w:rPr>
        <w:t>settled</w:t>
      </w:r>
      <w:r w:rsidRPr="004542B5">
        <w:rPr>
          <w:noProof w:val="0"/>
          <w:szCs w:val="20"/>
          <w:lang w:val="en-US"/>
        </w:rPr>
        <w:t xml:space="preserve">. Consequently, the Court concludes that, based on its domestic laws and regulations, </w:t>
      </w:r>
      <w:r w:rsidR="00124218" w:rsidRPr="004542B5">
        <w:rPr>
          <w:noProof w:val="0"/>
          <w:szCs w:val="20"/>
          <w:lang w:val="en-US"/>
        </w:rPr>
        <w:t xml:space="preserve">the State </w:t>
      </w:r>
      <w:r w:rsidR="00372741" w:rsidRPr="004542B5">
        <w:rPr>
          <w:noProof w:val="0"/>
          <w:szCs w:val="20"/>
          <w:lang w:val="en-US"/>
        </w:rPr>
        <w:t>could not</w:t>
      </w:r>
      <w:r w:rsidR="00124218" w:rsidRPr="004542B5">
        <w:rPr>
          <w:noProof w:val="0"/>
          <w:szCs w:val="20"/>
          <w:lang w:val="en-US"/>
        </w:rPr>
        <w:t xml:space="preserve"> </w:t>
      </w:r>
      <w:r w:rsidRPr="004542B5">
        <w:rPr>
          <w:noProof w:val="0"/>
          <w:szCs w:val="20"/>
          <w:lang w:val="en-US"/>
        </w:rPr>
        <w:t xml:space="preserve">adjudicate private property titles over the territories that had been assigned to the Piriatí </w:t>
      </w:r>
      <w:r w:rsidR="00F10CAE" w:rsidRPr="004542B5">
        <w:rPr>
          <w:noProof w:val="0"/>
          <w:szCs w:val="20"/>
          <w:lang w:val="en-US"/>
        </w:rPr>
        <w:t>Emberá</w:t>
      </w:r>
      <w:r w:rsidR="007B47B1" w:rsidRPr="004542B5">
        <w:rPr>
          <w:noProof w:val="0"/>
          <w:szCs w:val="20"/>
          <w:lang w:val="en-US"/>
        </w:rPr>
        <w:t xml:space="preserve">.   </w:t>
      </w:r>
    </w:p>
    <w:p w14:paraId="44E5E1EA" w14:textId="56BC1C03" w:rsidR="002E6C8B" w:rsidRPr="004542B5" w:rsidRDefault="007B47B1" w:rsidP="00137843">
      <w:pPr>
        <w:pStyle w:val="ListParagraph"/>
        <w:numPr>
          <w:ilvl w:val="0"/>
          <w:numId w:val="2"/>
        </w:numPr>
        <w:spacing w:before="120" w:after="120"/>
        <w:contextualSpacing w:val="0"/>
        <w:rPr>
          <w:noProof w:val="0"/>
          <w:szCs w:val="20"/>
          <w:lang w:val="en-US"/>
        </w:rPr>
      </w:pPr>
      <w:r w:rsidRPr="004542B5">
        <w:rPr>
          <w:noProof w:val="0"/>
          <w:szCs w:val="20"/>
          <w:lang w:val="en-US"/>
        </w:rPr>
        <w:t xml:space="preserve"> </w:t>
      </w:r>
      <w:r w:rsidR="00562CBB" w:rsidRPr="004542B5">
        <w:rPr>
          <w:noProof w:val="0"/>
          <w:szCs w:val="20"/>
          <w:lang w:val="en-US"/>
        </w:rPr>
        <w:t>The Court</w:t>
      </w:r>
      <w:r w:rsidR="00F10CAE" w:rsidRPr="004542B5">
        <w:rPr>
          <w:noProof w:val="0"/>
          <w:szCs w:val="20"/>
          <w:lang w:val="en-US"/>
        </w:rPr>
        <w:t xml:space="preserve"> </w:t>
      </w:r>
      <w:r w:rsidR="00372741" w:rsidRPr="004542B5">
        <w:rPr>
          <w:noProof w:val="0"/>
          <w:szCs w:val="20"/>
          <w:lang w:val="en-US"/>
        </w:rPr>
        <w:t xml:space="preserve">notes that the </w:t>
      </w:r>
      <w:r w:rsidR="00E74A3B" w:rsidRPr="004542B5">
        <w:rPr>
          <w:noProof w:val="0"/>
          <w:szCs w:val="20"/>
          <w:lang w:val="en-US"/>
        </w:rPr>
        <w:t>Piriatí Emberá</w:t>
      </w:r>
      <w:r w:rsidR="00F10CAE" w:rsidRPr="004542B5">
        <w:rPr>
          <w:noProof w:val="0"/>
          <w:szCs w:val="20"/>
          <w:lang w:val="en-US"/>
        </w:rPr>
        <w:t xml:space="preserve"> </w:t>
      </w:r>
      <w:r w:rsidR="00137843" w:rsidRPr="004542B5">
        <w:rPr>
          <w:noProof w:val="0"/>
          <w:szCs w:val="20"/>
          <w:lang w:val="en-US"/>
        </w:rPr>
        <w:t xml:space="preserve">lands had not been titled when the title was granted to C.C.M. </w:t>
      </w:r>
      <w:r w:rsidR="00F10CAE" w:rsidRPr="004542B5">
        <w:rPr>
          <w:noProof w:val="0"/>
          <w:szCs w:val="20"/>
          <w:lang w:val="en-US"/>
        </w:rPr>
        <w:t>(</w:t>
      </w:r>
      <w:r w:rsidR="00F10CAE" w:rsidRPr="004542B5">
        <w:rPr>
          <w:i/>
          <w:noProof w:val="0"/>
          <w:szCs w:val="20"/>
          <w:lang w:val="en-US"/>
        </w:rPr>
        <w:t>supra</w:t>
      </w:r>
      <w:r w:rsidR="00F10CAE" w:rsidRPr="004542B5">
        <w:rPr>
          <w:noProof w:val="0"/>
          <w:szCs w:val="20"/>
          <w:lang w:val="en-US"/>
        </w:rPr>
        <w:t xml:space="preserve"> </w:t>
      </w:r>
      <w:r w:rsidR="00F66B76" w:rsidRPr="004542B5">
        <w:rPr>
          <w:noProof w:val="0"/>
          <w:szCs w:val="20"/>
          <w:lang w:val="en-US"/>
        </w:rPr>
        <w:t>paras.</w:t>
      </w:r>
      <w:r w:rsidR="00F10CAE" w:rsidRPr="004542B5">
        <w:rPr>
          <w:noProof w:val="0"/>
          <w:szCs w:val="20"/>
          <w:lang w:val="en-US"/>
        </w:rPr>
        <w:t xml:space="preserve"> 80</w:t>
      </w:r>
      <w:r w:rsidR="00CD2B90" w:rsidRPr="004542B5">
        <w:rPr>
          <w:noProof w:val="0"/>
          <w:szCs w:val="20"/>
          <w:lang w:val="en-US"/>
        </w:rPr>
        <w:t xml:space="preserve"> and </w:t>
      </w:r>
      <w:r w:rsidR="00F10CAE" w:rsidRPr="004542B5">
        <w:rPr>
          <w:noProof w:val="0"/>
          <w:szCs w:val="20"/>
          <w:lang w:val="en-US"/>
        </w:rPr>
        <w:t>81)</w:t>
      </w:r>
      <w:r w:rsidR="00CD2B90" w:rsidRPr="004542B5">
        <w:rPr>
          <w:noProof w:val="0"/>
          <w:szCs w:val="20"/>
          <w:lang w:val="en-US"/>
        </w:rPr>
        <w:t xml:space="preserve"> and </w:t>
      </w:r>
      <w:r w:rsidR="00137843" w:rsidRPr="004542B5">
        <w:rPr>
          <w:noProof w:val="0"/>
          <w:szCs w:val="20"/>
          <w:lang w:val="en-US"/>
        </w:rPr>
        <w:t xml:space="preserve">that domestic law established that the titling of indigenous lands shall not prejudice existing property titles </w:t>
      </w:r>
      <w:r w:rsidR="00F10CAE" w:rsidRPr="004542B5">
        <w:rPr>
          <w:noProof w:val="0"/>
          <w:szCs w:val="20"/>
          <w:lang w:val="en-US"/>
        </w:rPr>
        <w:t>(</w:t>
      </w:r>
      <w:r w:rsidR="00F10CAE" w:rsidRPr="004542B5">
        <w:rPr>
          <w:i/>
          <w:noProof w:val="0"/>
          <w:szCs w:val="20"/>
          <w:lang w:val="en-US"/>
        </w:rPr>
        <w:t>supra</w:t>
      </w:r>
      <w:r w:rsidR="00F10CAE" w:rsidRPr="004542B5">
        <w:rPr>
          <w:noProof w:val="0"/>
          <w:szCs w:val="20"/>
          <w:lang w:val="en-US"/>
        </w:rPr>
        <w:t xml:space="preserve"> </w:t>
      </w:r>
      <w:r w:rsidR="00F66B76" w:rsidRPr="004542B5">
        <w:rPr>
          <w:noProof w:val="0"/>
          <w:szCs w:val="20"/>
          <w:lang w:val="en-US"/>
        </w:rPr>
        <w:t>para.</w:t>
      </w:r>
      <w:r w:rsidR="00F10CAE" w:rsidRPr="004542B5">
        <w:rPr>
          <w:noProof w:val="0"/>
          <w:szCs w:val="20"/>
          <w:lang w:val="en-US"/>
        </w:rPr>
        <w:t xml:space="preserve"> 135). </w:t>
      </w:r>
      <w:r w:rsidR="00137843" w:rsidRPr="004542B5">
        <w:rPr>
          <w:noProof w:val="0"/>
          <w:szCs w:val="20"/>
          <w:lang w:val="en-US"/>
        </w:rPr>
        <w:t xml:space="preserve">However, when the said alternative lands were awarded to the indigenous peoples, the State acquired the obligation to ensure the effective enjoyment of the right to property. That obligation cannot be ignored and the enjoyment cannot be obviated because a private property title has been granted in those lands, and a third party cannot acquire such a title in good faith. </w:t>
      </w:r>
      <w:r w:rsidR="00DE5819" w:rsidRPr="004542B5">
        <w:rPr>
          <w:noProof w:val="0"/>
          <w:szCs w:val="20"/>
          <w:lang w:val="en-US"/>
        </w:rPr>
        <w:t>It</w:t>
      </w:r>
      <w:r w:rsidR="00137843" w:rsidRPr="004542B5">
        <w:rPr>
          <w:noProof w:val="0"/>
          <w:szCs w:val="20"/>
          <w:lang w:val="en-US"/>
        </w:rPr>
        <w:t xml:space="preserve"> is </w:t>
      </w:r>
      <w:r w:rsidR="00137843" w:rsidRPr="004542B5">
        <w:rPr>
          <w:noProof w:val="0"/>
          <w:szCs w:val="20"/>
          <w:lang w:val="en-US"/>
        </w:rPr>
        <w:lastRenderedPageBreak/>
        <w:t>understood</w:t>
      </w:r>
      <w:r w:rsidR="00DE5819" w:rsidRPr="004542B5">
        <w:rPr>
          <w:noProof w:val="0"/>
          <w:szCs w:val="20"/>
          <w:lang w:val="en-US"/>
        </w:rPr>
        <w:t xml:space="preserve"> that this does</w:t>
      </w:r>
      <w:r w:rsidR="00137843" w:rsidRPr="004542B5">
        <w:rPr>
          <w:noProof w:val="0"/>
          <w:szCs w:val="20"/>
          <w:lang w:val="en-US"/>
        </w:rPr>
        <w:t xml:space="preserve"> not prejudice those private individuals who already had a private property title over part of the lands prior to their occupation by the indigenous peoples. Furthermore, the Court notes that the laws of several countries of the region – for example, </w:t>
      </w:r>
      <w:r w:rsidR="00F10CAE" w:rsidRPr="004542B5">
        <w:rPr>
          <w:noProof w:val="0"/>
          <w:szCs w:val="20"/>
          <w:lang w:val="en-US"/>
        </w:rPr>
        <w:t>Argentina, Bolivia, Bra</w:t>
      </w:r>
      <w:r w:rsidR="00137843" w:rsidRPr="004542B5">
        <w:rPr>
          <w:noProof w:val="0"/>
          <w:szCs w:val="20"/>
          <w:lang w:val="en-US"/>
        </w:rPr>
        <w:t>z</w:t>
      </w:r>
      <w:r w:rsidR="00F10CAE" w:rsidRPr="004542B5">
        <w:rPr>
          <w:noProof w:val="0"/>
          <w:szCs w:val="20"/>
          <w:lang w:val="en-US"/>
        </w:rPr>
        <w:t xml:space="preserve">il, Chile, Colombia, Costa Rica, Ecuador, </w:t>
      </w:r>
      <w:r w:rsidR="006F61DD" w:rsidRPr="004542B5">
        <w:rPr>
          <w:noProof w:val="0"/>
          <w:szCs w:val="20"/>
          <w:lang w:val="en-US"/>
        </w:rPr>
        <w:t xml:space="preserve">Honduras, </w:t>
      </w:r>
      <w:r w:rsidR="00F10CAE" w:rsidRPr="004542B5">
        <w:rPr>
          <w:noProof w:val="0"/>
          <w:szCs w:val="20"/>
          <w:lang w:val="en-US"/>
        </w:rPr>
        <w:t xml:space="preserve">Paraguay, </w:t>
      </w:r>
      <w:r w:rsidR="003D1480" w:rsidRPr="004542B5">
        <w:rPr>
          <w:noProof w:val="0"/>
          <w:szCs w:val="20"/>
          <w:lang w:val="en-US"/>
        </w:rPr>
        <w:t>Peru</w:t>
      </w:r>
      <w:r w:rsidR="00CD2B90" w:rsidRPr="004542B5">
        <w:rPr>
          <w:noProof w:val="0"/>
          <w:szCs w:val="20"/>
          <w:lang w:val="en-US"/>
        </w:rPr>
        <w:t xml:space="preserve"> and </w:t>
      </w:r>
      <w:r w:rsidR="00F10CAE" w:rsidRPr="004542B5">
        <w:rPr>
          <w:noProof w:val="0"/>
          <w:szCs w:val="20"/>
          <w:lang w:val="en-US"/>
        </w:rPr>
        <w:t>Venezuela</w:t>
      </w:r>
      <w:r w:rsidR="00137843" w:rsidRPr="004542B5">
        <w:rPr>
          <w:noProof w:val="0"/>
          <w:szCs w:val="20"/>
          <w:lang w:val="en-US"/>
        </w:rPr>
        <w:t xml:space="preserve"> – include some form of reference to the fact that indigenous territories are,</w:t>
      </w:r>
      <w:r w:rsidR="00DE5819" w:rsidRPr="004542B5">
        <w:rPr>
          <w:noProof w:val="0"/>
          <w:szCs w:val="20"/>
          <w:lang w:val="en-US"/>
        </w:rPr>
        <w:t xml:space="preserve"> </w:t>
      </w:r>
      <w:r w:rsidR="00DE5819" w:rsidRPr="004542B5">
        <w:rPr>
          <w:i/>
          <w:iCs/>
          <w:noProof w:val="0"/>
          <w:szCs w:val="20"/>
          <w:lang w:val="en-US"/>
        </w:rPr>
        <w:t>inter alia</w:t>
      </w:r>
      <w:r w:rsidR="00137843" w:rsidRPr="004542B5">
        <w:rPr>
          <w:noProof w:val="0"/>
          <w:szCs w:val="20"/>
          <w:lang w:val="en-US"/>
        </w:rPr>
        <w:t>, imprescriptible and non-alienable.</w:t>
      </w:r>
      <w:r w:rsidR="00F10CAE" w:rsidRPr="004542B5">
        <w:rPr>
          <w:rStyle w:val="FootnoteReference"/>
          <w:noProof w:val="0"/>
          <w:lang w:val="en-US"/>
        </w:rPr>
        <w:footnoteReference w:id="222"/>
      </w:r>
      <w:r w:rsidRPr="004542B5">
        <w:rPr>
          <w:noProof w:val="0"/>
          <w:szCs w:val="20"/>
          <w:lang w:val="en-US"/>
        </w:rPr>
        <w:t xml:space="preserve"> </w:t>
      </w:r>
    </w:p>
    <w:p w14:paraId="4218A633" w14:textId="43E0EE1C" w:rsidR="002E6C8B" w:rsidRPr="004542B5" w:rsidRDefault="00137843" w:rsidP="00137843">
      <w:pPr>
        <w:pStyle w:val="ListParagraph"/>
        <w:numPr>
          <w:ilvl w:val="0"/>
          <w:numId w:val="2"/>
        </w:numPr>
        <w:spacing w:before="120" w:after="120"/>
        <w:contextualSpacing w:val="0"/>
        <w:rPr>
          <w:noProof w:val="0"/>
          <w:szCs w:val="20"/>
          <w:lang w:val="en-US"/>
        </w:rPr>
      </w:pPr>
      <w:r w:rsidRPr="004542B5">
        <w:rPr>
          <w:noProof w:val="0"/>
          <w:szCs w:val="20"/>
          <w:lang w:val="en-US"/>
        </w:rPr>
        <w:t xml:space="preserve">The Court recalls its case law that </w:t>
      </w:r>
      <w:r w:rsidR="00A70457" w:rsidRPr="004542B5">
        <w:rPr>
          <w:noProof w:val="0"/>
          <w:szCs w:val="20"/>
          <w:lang w:val="en-US"/>
        </w:rPr>
        <w:t>“</w:t>
      </w:r>
      <w:r w:rsidRPr="004542B5">
        <w:rPr>
          <w:noProof w:val="0"/>
          <w:szCs w:val="20"/>
          <w:lang w:val="en-US"/>
        </w:rPr>
        <w:t xml:space="preserve">States must take into account that indigenous territorial rights encompass a broader </w:t>
      </w:r>
      <w:r w:rsidR="00A70457" w:rsidRPr="004542B5">
        <w:rPr>
          <w:noProof w:val="0"/>
          <w:szCs w:val="20"/>
          <w:lang w:val="en-US"/>
        </w:rPr>
        <w:t xml:space="preserve">and different </w:t>
      </w:r>
      <w:r w:rsidRPr="004542B5">
        <w:rPr>
          <w:noProof w:val="0"/>
          <w:szCs w:val="20"/>
          <w:lang w:val="en-US"/>
        </w:rPr>
        <w:t xml:space="preserve">concept that </w:t>
      </w:r>
      <w:r w:rsidR="00A70457" w:rsidRPr="004542B5">
        <w:rPr>
          <w:noProof w:val="0"/>
          <w:szCs w:val="20"/>
          <w:lang w:val="en-US"/>
        </w:rPr>
        <w:t>relates to the collective right to survival as an organized people, with control o</w:t>
      </w:r>
      <w:r w:rsidR="00DE5819" w:rsidRPr="004542B5">
        <w:rPr>
          <w:noProof w:val="0"/>
          <w:szCs w:val="20"/>
          <w:lang w:val="en-US"/>
        </w:rPr>
        <w:t>ver</w:t>
      </w:r>
      <w:r w:rsidR="00A70457" w:rsidRPr="004542B5">
        <w:rPr>
          <w:noProof w:val="0"/>
          <w:szCs w:val="20"/>
          <w:lang w:val="en-US"/>
        </w:rPr>
        <w:t xml:space="preserve"> their habitat as a necessary condition for reproduction of their culture, for their development, and to carry out their life projects.</w:t>
      </w:r>
      <w:r w:rsidR="00F10CAE" w:rsidRPr="004542B5">
        <w:rPr>
          <w:noProof w:val="0"/>
          <w:szCs w:val="20"/>
          <w:lang w:val="en-US"/>
        </w:rPr>
        <w:t>”</w:t>
      </w:r>
      <w:r w:rsidR="00F10CAE" w:rsidRPr="004542B5">
        <w:rPr>
          <w:rStyle w:val="FootnoteReference"/>
          <w:noProof w:val="0"/>
          <w:lang w:val="en-US"/>
        </w:rPr>
        <w:footnoteReference w:id="223"/>
      </w:r>
      <w:r w:rsidR="007B47B1" w:rsidRPr="004542B5">
        <w:rPr>
          <w:noProof w:val="0"/>
          <w:szCs w:val="20"/>
          <w:lang w:val="en-US"/>
        </w:rPr>
        <w:t xml:space="preserve"> </w:t>
      </w:r>
    </w:p>
    <w:p w14:paraId="46ACC459" w14:textId="596547C1" w:rsidR="002E6C8B" w:rsidRPr="004542B5" w:rsidRDefault="00A70457" w:rsidP="00A70457">
      <w:pPr>
        <w:pStyle w:val="ListParagraph"/>
        <w:numPr>
          <w:ilvl w:val="0"/>
          <w:numId w:val="2"/>
        </w:numPr>
        <w:spacing w:before="120" w:after="120"/>
        <w:contextualSpacing w:val="0"/>
        <w:rPr>
          <w:noProof w:val="0"/>
          <w:szCs w:val="20"/>
          <w:lang w:val="en-US"/>
        </w:rPr>
      </w:pPr>
      <w:r w:rsidRPr="004542B5">
        <w:rPr>
          <w:noProof w:val="0"/>
          <w:szCs w:val="20"/>
          <w:lang w:val="en-US"/>
        </w:rPr>
        <w:t xml:space="preserve">The Court also reiterates its case law that it is unable to decide whether the right to traditional property of the members of an indigenous community is more important than the right to private property of third parties or vice versa, because </w:t>
      </w:r>
      <w:r w:rsidR="00DE5819" w:rsidRPr="004542B5">
        <w:rPr>
          <w:noProof w:val="0"/>
          <w:szCs w:val="20"/>
          <w:lang w:val="en-US"/>
        </w:rPr>
        <w:t>it</w:t>
      </w:r>
      <w:r w:rsidRPr="004542B5">
        <w:rPr>
          <w:noProof w:val="0"/>
          <w:szCs w:val="20"/>
          <w:lang w:val="en-US"/>
        </w:rPr>
        <w:t xml:space="preserve"> is not a domestic tribunal that decides disputes between private individuals. That task corresponds exclusively to the State. </w:t>
      </w:r>
      <w:r w:rsidR="006110CB" w:rsidRPr="004542B5">
        <w:rPr>
          <w:noProof w:val="0"/>
          <w:szCs w:val="20"/>
          <w:lang w:val="en-US"/>
        </w:rPr>
        <w:t>Nevertheless</w:t>
      </w:r>
      <w:r w:rsidRPr="004542B5">
        <w:rPr>
          <w:noProof w:val="0"/>
          <w:szCs w:val="20"/>
          <w:lang w:val="en-US"/>
        </w:rPr>
        <w:t xml:space="preserve">, the Court has </w:t>
      </w:r>
      <w:r w:rsidR="00511F9F" w:rsidRPr="004542B5">
        <w:rPr>
          <w:noProof w:val="0"/>
          <w:szCs w:val="20"/>
          <w:lang w:val="en-US"/>
        </w:rPr>
        <w:t>jurisdiction</w:t>
      </w:r>
      <w:r w:rsidRPr="004542B5">
        <w:rPr>
          <w:noProof w:val="0"/>
          <w:szCs w:val="20"/>
          <w:lang w:val="en-US"/>
        </w:rPr>
        <w:t xml:space="preserve"> to analyze whether or not the State </w:t>
      </w:r>
      <w:r w:rsidR="00DE5819" w:rsidRPr="004542B5">
        <w:rPr>
          <w:noProof w:val="0"/>
          <w:szCs w:val="20"/>
          <w:lang w:val="en-US"/>
        </w:rPr>
        <w:t xml:space="preserve">has </w:t>
      </w:r>
      <w:r w:rsidRPr="004542B5">
        <w:rPr>
          <w:noProof w:val="0"/>
          <w:szCs w:val="20"/>
          <w:lang w:val="en-US"/>
        </w:rPr>
        <w:t>guaranteed the human rights of the indigenous community.</w:t>
      </w:r>
      <w:r w:rsidR="00F10CAE" w:rsidRPr="004542B5">
        <w:rPr>
          <w:rStyle w:val="FootnoteReference"/>
          <w:noProof w:val="0"/>
          <w:lang w:val="en-US"/>
        </w:rPr>
        <w:footnoteReference w:id="224"/>
      </w:r>
      <w:r w:rsidR="007B47B1" w:rsidRPr="004542B5">
        <w:rPr>
          <w:noProof w:val="0"/>
          <w:szCs w:val="20"/>
          <w:lang w:val="en-US"/>
        </w:rPr>
        <w:t xml:space="preserve"> </w:t>
      </w:r>
    </w:p>
    <w:p w14:paraId="1F162661" w14:textId="5B906C5F" w:rsidR="00D50381" w:rsidRPr="004542B5" w:rsidRDefault="00A70457" w:rsidP="00D50381">
      <w:pPr>
        <w:pStyle w:val="ListParagraph"/>
        <w:numPr>
          <w:ilvl w:val="0"/>
          <w:numId w:val="2"/>
        </w:numPr>
        <w:spacing w:before="120" w:after="120"/>
        <w:contextualSpacing w:val="0"/>
        <w:rPr>
          <w:noProof w:val="0"/>
          <w:szCs w:val="20"/>
          <w:lang w:val="en-US"/>
        </w:rPr>
      </w:pPr>
      <w:r w:rsidRPr="004542B5">
        <w:rPr>
          <w:noProof w:val="0"/>
          <w:szCs w:val="20"/>
          <w:lang w:val="en-US"/>
        </w:rPr>
        <w:t>Based on the above</w:t>
      </w:r>
      <w:r w:rsidR="007B47B1" w:rsidRPr="004542B5">
        <w:rPr>
          <w:noProof w:val="0"/>
          <w:szCs w:val="20"/>
          <w:lang w:val="en-US"/>
        </w:rPr>
        <w:t xml:space="preserve">, </w:t>
      </w:r>
      <w:r w:rsidR="00562CBB" w:rsidRPr="004542B5">
        <w:rPr>
          <w:noProof w:val="0"/>
          <w:szCs w:val="20"/>
          <w:lang w:val="en-US"/>
        </w:rPr>
        <w:t>the Court</w:t>
      </w:r>
      <w:r w:rsidR="007B47B1" w:rsidRPr="004542B5">
        <w:rPr>
          <w:noProof w:val="0"/>
          <w:szCs w:val="20"/>
          <w:lang w:val="en-US"/>
        </w:rPr>
        <w:t xml:space="preserve"> </w:t>
      </w:r>
      <w:r w:rsidRPr="004542B5">
        <w:rPr>
          <w:noProof w:val="0"/>
          <w:szCs w:val="20"/>
          <w:lang w:val="en-US"/>
        </w:rPr>
        <w:t xml:space="preserve">notes that, even though the State has granted a collective property title to the </w:t>
      </w:r>
      <w:r w:rsidR="00E74A3B" w:rsidRPr="004542B5">
        <w:rPr>
          <w:noProof w:val="0"/>
          <w:szCs w:val="20"/>
          <w:lang w:val="en-US"/>
        </w:rPr>
        <w:t>Piriatí Emberá</w:t>
      </w:r>
      <w:r w:rsidR="007B47B1" w:rsidRPr="004542B5">
        <w:rPr>
          <w:noProof w:val="0"/>
          <w:szCs w:val="20"/>
          <w:lang w:val="en-US"/>
        </w:rPr>
        <w:t xml:space="preserve"> </w:t>
      </w:r>
      <w:r w:rsidRPr="004542B5">
        <w:rPr>
          <w:noProof w:val="0"/>
          <w:szCs w:val="20"/>
          <w:lang w:val="en-US"/>
        </w:rPr>
        <w:t xml:space="preserve">community over their lands, </w:t>
      </w:r>
      <w:r w:rsidR="00C27302" w:rsidRPr="004542B5">
        <w:rPr>
          <w:noProof w:val="0"/>
          <w:szCs w:val="20"/>
          <w:lang w:val="en-US"/>
        </w:rPr>
        <w:t xml:space="preserve">it </w:t>
      </w:r>
      <w:r w:rsidR="0048610A" w:rsidRPr="004542B5">
        <w:rPr>
          <w:noProof w:val="0"/>
          <w:szCs w:val="20"/>
          <w:lang w:val="en-US"/>
        </w:rPr>
        <w:t xml:space="preserve">contravened </w:t>
      </w:r>
      <w:r w:rsidR="00C27302" w:rsidRPr="004542B5">
        <w:rPr>
          <w:noProof w:val="0"/>
          <w:szCs w:val="20"/>
          <w:lang w:val="en-US"/>
        </w:rPr>
        <w:t>its obligations under both domestic and international law by granting a private property title to C.C.M. over part of these lands, thus restricting the said community’s effective enjoyment of the right to the communal property it had been granted.</w:t>
      </w:r>
    </w:p>
    <w:p w14:paraId="2FCB23E4" w14:textId="54DBCF2A" w:rsidR="001F4F25" w:rsidRPr="004542B5" w:rsidRDefault="001F4F25" w:rsidP="00E67B14">
      <w:pPr>
        <w:keepNext/>
        <w:spacing w:before="240" w:after="240"/>
        <w:ind w:left="720"/>
        <w:rPr>
          <w:i/>
          <w:noProof w:val="0"/>
          <w:lang w:val="en-US"/>
        </w:rPr>
      </w:pPr>
      <w:r w:rsidRPr="004542B5">
        <w:rPr>
          <w:i/>
          <w:noProof w:val="0"/>
          <w:lang w:val="en-US"/>
        </w:rPr>
        <w:t xml:space="preserve">A.2.2. </w:t>
      </w:r>
      <w:r w:rsidR="00C27302" w:rsidRPr="004542B5">
        <w:rPr>
          <w:i/>
          <w:noProof w:val="0"/>
          <w:lang w:val="en-US"/>
        </w:rPr>
        <w:t>Conclusion</w:t>
      </w:r>
    </w:p>
    <w:p w14:paraId="28A1ED9E" w14:textId="7BE038C2" w:rsidR="00C27302" w:rsidRPr="004542B5" w:rsidRDefault="00C27302" w:rsidP="00C27302">
      <w:pPr>
        <w:pStyle w:val="ListParagraph"/>
        <w:keepNext/>
        <w:numPr>
          <w:ilvl w:val="0"/>
          <w:numId w:val="2"/>
        </w:numPr>
        <w:spacing w:before="120" w:after="120"/>
        <w:contextualSpacing w:val="0"/>
        <w:rPr>
          <w:b/>
          <w:i/>
          <w:noProof w:val="0"/>
          <w:lang w:val="en-US"/>
        </w:rPr>
      </w:pPr>
      <w:r w:rsidRPr="004542B5">
        <w:rPr>
          <w:noProof w:val="0"/>
          <w:lang w:val="en-US"/>
        </w:rPr>
        <w:t xml:space="preserve">Consequently, the Court declares that </w:t>
      </w:r>
      <w:r w:rsidR="00562CBB" w:rsidRPr="004542B5">
        <w:rPr>
          <w:noProof w:val="0"/>
          <w:lang w:val="en-US"/>
        </w:rPr>
        <w:t>the State</w:t>
      </w:r>
      <w:r w:rsidR="00F10CAE" w:rsidRPr="004542B5">
        <w:rPr>
          <w:noProof w:val="0"/>
          <w:lang w:val="en-US"/>
        </w:rPr>
        <w:t xml:space="preserve"> </w:t>
      </w:r>
      <w:r w:rsidRPr="004542B5">
        <w:rPr>
          <w:noProof w:val="0"/>
          <w:lang w:val="en-US"/>
        </w:rPr>
        <w:t>has violated</w:t>
      </w:r>
      <w:r w:rsidR="00F10CAE" w:rsidRPr="004542B5">
        <w:rPr>
          <w:noProof w:val="0"/>
          <w:lang w:val="en-US"/>
        </w:rPr>
        <w:t xml:space="preserve"> </w:t>
      </w:r>
      <w:r w:rsidR="00562CBB" w:rsidRPr="004542B5">
        <w:rPr>
          <w:noProof w:val="0"/>
          <w:lang w:val="en-US"/>
        </w:rPr>
        <w:t>Article</w:t>
      </w:r>
      <w:r w:rsidR="00F10CAE" w:rsidRPr="004542B5">
        <w:rPr>
          <w:noProof w:val="0"/>
          <w:lang w:val="en-US"/>
        </w:rPr>
        <w:t xml:space="preserve"> 21</w:t>
      </w:r>
      <w:r w:rsidR="008A56D7" w:rsidRPr="004542B5">
        <w:rPr>
          <w:noProof w:val="0"/>
          <w:lang w:val="en-US"/>
        </w:rPr>
        <w:t xml:space="preserve"> of the </w:t>
      </w:r>
      <w:r w:rsidR="00562CBB" w:rsidRPr="004542B5">
        <w:rPr>
          <w:noProof w:val="0"/>
          <w:lang w:val="en-US"/>
        </w:rPr>
        <w:t>Convention</w:t>
      </w:r>
      <w:r w:rsidR="00F10CAE" w:rsidRPr="004542B5">
        <w:rPr>
          <w:noProof w:val="0"/>
          <w:lang w:val="en-US"/>
        </w:rPr>
        <w:t xml:space="preserve">, </w:t>
      </w:r>
      <w:r w:rsidR="00342385" w:rsidRPr="004542B5">
        <w:rPr>
          <w:noProof w:val="0"/>
          <w:lang w:val="en-US"/>
        </w:rPr>
        <w:t>in relation to</w:t>
      </w:r>
      <w:r w:rsidR="00F10CAE" w:rsidRPr="004542B5">
        <w:rPr>
          <w:noProof w:val="0"/>
          <w:lang w:val="en-US"/>
        </w:rPr>
        <w:t xml:space="preserve"> </w:t>
      </w:r>
      <w:r w:rsidR="00E04132" w:rsidRPr="004542B5">
        <w:rPr>
          <w:noProof w:val="0"/>
          <w:lang w:val="en-US"/>
        </w:rPr>
        <w:t>Article 1(1)</w:t>
      </w:r>
      <w:r w:rsidR="00F10CAE" w:rsidRPr="004542B5">
        <w:rPr>
          <w:noProof w:val="0"/>
          <w:lang w:val="en-US"/>
        </w:rPr>
        <w:t xml:space="preserve"> </w:t>
      </w:r>
      <w:r w:rsidR="00342385" w:rsidRPr="004542B5">
        <w:rPr>
          <w:noProof w:val="0"/>
          <w:lang w:val="en-US"/>
        </w:rPr>
        <w:t>of this instrument</w:t>
      </w:r>
      <w:r w:rsidRPr="004542B5">
        <w:rPr>
          <w:noProof w:val="0"/>
          <w:lang w:val="en-US"/>
        </w:rPr>
        <w:t>; because it failed:</w:t>
      </w:r>
      <w:r w:rsidR="00F10CAE" w:rsidRPr="004542B5">
        <w:rPr>
          <w:noProof w:val="0"/>
          <w:lang w:val="en-US"/>
        </w:rPr>
        <w:t xml:space="preserve"> </w:t>
      </w:r>
      <w:r w:rsidRPr="004542B5">
        <w:rPr>
          <w:noProof w:val="0"/>
          <w:lang w:val="en-US"/>
        </w:rPr>
        <w:t>(</w:t>
      </w:r>
      <w:r w:rsidR="00F10CAE" w:rsidRPr="004542B5">
        <w:rPr>
          <w:noProof w:val="0"/>
          <w:szCs w:val="20"/>
          <w:lang w:val="en-US"/>
        </w:rPr>
        <w:t>a)</w:t>
      </w:r>
      <w:r w:rsidRPr="004542B5">
        <w:rPr>
          <w:noProof w:val="0"/>
          <w:szCs w:val="20"/>
          <w:lang w:val="en-US"/>
        </w:rPr>
        <w:t xml:space="preserve"> to delimit or title the territori</w:t>
      </w:r>
      <w:r w:rsidR="0048610A" w:rsidRPr="004542B5">
        <w:rPr>
          <w:noProof w:val="0"/>
          <w:szCs w:val="20"/>
          <w:lang w:val="en-US"/>
        </w:rPr>
        <w:t>e</w:t>
      </w:r>
      <w:r w:rsidRPr="004542B5">
        <w:rPr>
          <w:noProof w:val="0"/>
          <w:szCs w:val="20"/>
          <w:lang w:val="en-US"/>
        </w:rPr>
        <w:t>s of the</w:t>
      </w:r>
      <w:r w:rsidR="00AD34D8" w:rsidRPr="004542B5">
        <w:rPr>
          <w:noProof w:val="0"/>
          <w:szCs w:val="20"/>
          <w:lang w:val="en-US"/>
        </w:rPr>
        <w:t xml:space="preserve"> Kuna indigenous people</w:t>
      </w:r>
      <w:r w:rsidR="00F10CAE" w:rsidRPr="004542B5">
        <w:rPr>
          <w:noProof w:val="0"/>
          <w:szCs w:val="20"/>
          <w:lang w:val="en-US"/>
        </w:rPr>
        <w:t xml:space="preserve"> </w:t>
      </w:r>
      <w:r w:rsidRPr="004542B5">
        <w:rPr>
          <w:noProof w:val="0"/>
          <w:szCs w:val="20"/>
          <w:lang w:val="en-US"/>
        </w:rPr>
        <w:t>of</w:t>
      </w:r>
      <w:r w:rsidR="00F10CAE" w:rsidRPr="004542B5">
        <w:rPr>
          <w:noProof w:val="0"/>
          <w:szCs w:val="20"/>
          <w:lang w:val="en-US"/>
        </w:rPr>
        <w:t xml:space="preserve"> Madungandí </w:t>
      </w:r>
      <w:r w:rsidRPr="004542B5">
        <w:rPr>
          <w:noProof w:val="0"/>
          <w:szCs w:val="20"/>
          <w:lang w:val="en-US"/>
        </w:rPr>
        <w:t xml:space="preserve">for approximately six years </w:t>
      </w:r>
      <w:r w:rsidR="00F10CAE" w:rsidRPr="004542B5">
        <w:rPr>
          <w:noProof w:val="0"/>
          <w:szCs w:val="20"/>
          <w:lang w:val="en-US"/>
        </w:rPr>
        <w:t>(</w:t>
      </w:r>
      <w:r w:rsidRPr="004542B5">
        <w:rPr>
          <w:noProof w:val="0"/>
          <w:szCs w:val="20"/>
          <w:lang w:val="en-US"/>
        </w:rPr>
        <w:t>from</w:t>
      </w:r>
      <w:r w:rsidR="00F10CAE" w:rsidRPr="004542B5">
        <w:rPr>
          <w:noProof w:val="0"/>
          <w:szCs w:val="20"/>
          <w:lang w:val="en-US"/>
        </w:rPr>
        <w:t xml:space="preserve"> 1990 </w:t>
      </w:r>
      <w:r w:rsidRPr="004542B5">
        <w:rPr>
          <w:noProof w:val="0"/>
          <w:szCs w:val="20"/>
          <w:lang w:val="en-US"/>
        </w:rPr>
        <w:t>to</w:t>
      </w:r>
      <w:r w:rsidR="00F10CAE" w:rsidRPr="004542B5">
        <w:rPr>
          <w:noProof w:val="0"/>
          <w:szCs w:val="20"/>
          <w:lang w:val="en-US"/>
        </w:rPr>
        <w:t xml:space="preserve"> 1996); </w:t>
      </w:r>
      <w:r w:rsidRPr="004542B5">
        <w:rPr>
          <w:noProof w:val="0"/>
          <w:szCs w:val="20"/>
          <w:lang w:val="en-US"/>
        </w:rPr>
        <w:t>(</w:t>
      </w:r>
      <w:r w:rsidR="00F10CAE" w:rsidRPr="004542B5">
        <w:rPr>
          <w:noProof w:val="0"/>
          <w:szCs w:val="20"/>
          <w:lang w:val="en-US"/>
        </w:rPr>
        <w:t xml:space="preserve">b) </w:t>
      </w:r>
      <w:r w:rsidRPr="004542B5">
        <w:rPr>
          <w:noProof w:val="0"/>
          <w:szCs w:val="20"/>
          <w:lang w:val="en-US"/>
        </w:rPr>
        <w:t xml:space="preserve">to demarcate the </w:t>
      </w:r>
      <w:r w:rsidR="0048610A" w:rsidRPr="004542B5">
        <w:rPr>
          <w:noProof w:val="0"/>
          <w:szCs w:val="20"/>
          <w:lang w:val="en-US"/>
        </w:rPr>
        <w:t>t</w:t>
      </w:r>
      <w:r w:rsidRPr="004542B5">
        <w:rPr>
          <w:noProof w:val="0"/>
          <w:szCs w:val="20"/>
          <w:lang w:val="en-US"/>
        </w:rPr>
        <w:t xml:space="preserve">erritories of the </w:t>
      </w:r>
      <w:r w:rsidR="00AD34D8" w:rsidRPr="004542B5">
        <w:rPr>
          <w:noProof w:val="0"/>
          <w:szCs w:val="20"/>
          <w:lang w:val="en-US"/>
        </w:rPr>
        <w:t>Kuna indigenous people</w:t>
      </w:r>
      <w:r w:rsidR="00F10CAE" w:rsidRPr="004542B5">
        <w:rPr>
          <w:noProof w:val="0"/>
          <w:szCs w:val="20"/>
          <w:lang w:val="en-US"/>
        </w:rPr>
        <w:t xml:space="preserve"> </w:t>
      </w:r>
      <w:r w:rsidRPr="004542B5">
        <w:rPr>
          <w:noProof w:val="0"/>
          <w:szCs w:val="20"/>
          <w:lang w:val="en-US"/>
        </w:rPr>
        <w:t>of</w:t>
      </w:r>
      <w:r w:rsidR="00F10CAE" w:rsidRPr="004542B5">
        <w:rPr>
          <w:noProof w:val="0"/>
          <w:szCs w:val="20"/>
          <w:lang w:val="en-US"/>
        </w:rPr>
        <w:t xml:space="preserve"> Madungandí </w:t>
      </w:r>
      <w:r w:rsidRPr="004542B5">
        <w:rPr>
          <w:noProof w:val="0"/>
          <w:szCs w:val="20"/>
          <w:lang w:val="en-US"/>
        </w:rPr>
        <w:t xml:space="preserve">for approximately 10 years </w:t>
      </w:r>
      <w:r w:rsidR="00F10CAE" w:rsidRPr="004542B5">
        <w:rPr>
          <w:noProof w:val="0"/>
          <w:szCs w:val="20"/>
          <w:lang w:val="en-US"/>
        </w:rPr>
        <w:t>(</w:t>
      </w:r>
      <w:r w:rsidRPr="004542B5">
        <w:rPr>
          <w:noProof w:val="0"/>
          <w:szCs w:val="20"/>
          <w:lang w:val="en-US"/>
        </w:rPr>
        <w:t>from</w:t>
      </w:r>
      <w:r w:rsidR="00F10CAE" w:rsidRPr="004542B5">
        <w:rPr>
          <w:noProof w:val="0"/>
          <w:szCs w:val="20"/>
          <w:lang w:val="en-US"/>
        </w:rPr>
        <w:t xml:space="preserve"> 1990 </w:t>
      </w:r>
      <w:r w:rsidRPr="004542B5">
        <w:rPr>
          <w:noProof w:val="0"/>
          <w:szCs w:val="20"/>
          <w:lang w:val="en-US"/>
        </w:rPr>
        <w:t>to</w:t>
      </w:r>
      <w:r w:rsidR="00F10CAE" w:rsidRPr="004542B5">
        <w:rPr>
          <w:noProof w:val="0"/>
          <w:szCs w:val="20"/>
          <w:lang w:val="en-US"/>
        </w:rPr>
        <w:t xml:space="preserve"> 2000); </w:t>
      </w:r>
      <w:r w:rsidRPr="004542B5">
        <w:rPr>
          <w:noProof w:val="0"/>
          <w:szCs w:val="20"/>
          <w:lang w:val="en-US"/>
        </w:rPr>
        <w:t>(</w:t>
      </w:r>
      <w:r w:rsidR="00F10CAE" w:rsidRPr="004542B5">
        <w:rPr>
          <w:noProof w:val="0"/>
          <w:szCs w:val="20"/>
          <w:lang w:val="en-US"/>
        </w:rPr>
        <w:t>c)</w:t>
      </w:r>
      <w:r w:rsidRPr="004542B5">
        <w:rPr>
          <w:noProof w:val="0"/>
          <w:szCs w:val="20"/>
          <w:lang w:val="en-US"/>
        </w:rPr>
        <w:t xml:space="preserve"> to delimit the territories of the </w:t>
      </w:r>
      <w:r w:rsidR="00F10CAE" w:rsidRPr="004542B5">
        <w:rPr>
          <w:noProof w:val="0"/>
          <w:szCs w:val="20"/>
          <w:lang w:val="en-US"/>
        </w:rPr>
        <w:t xml:space="preserve">Emberá </w:t>
      </w:r>
      <w:r w:rsidRPr="004542B5">
        <w:rPr>
          <w:noProof w:val="0"/>
          <w:szCs w:val="20"/>
          <w:lang w:val="en-US"/>
        </w:rPr>
        <w:t>communities of</w:t>
      </w:r>
      <w:r w:rsidR="00F10CAE" w:rsidRPr="004542B5">
        <w:rPr>
          <w:noProof w:val="0"/>
          <w:szCs w:val="20"/>
          <w:lang w:val="en-US"/>
        </w:rPr>
        <w:t xml:space="preserve"> Ipetí</w:t>
      </w:r>
      <w:r w:rsidR="00CD2B90" w:rsidRPr="004542B5">
        <w:rPr>
          <w:noProof w:val="0"/>
          <w:szCs w:val="20"/>
          <w:lang w:val="en-US"/>
        </w:rPr>
        <w:t xml:space="preserve"> and </w:t>
      </w:r>
      <w:r w:rsidR="00F10CAE" w:rsidRPr="004542B5">
        <w:rPr>
          <w:noProof w:val="0"/>
          <w:szCs w:val="20"/>
          <w:lang w:val="en-US"/>
        </w:rPr>
        <w:t xml:space="preserve">Piriatí </w:t>
      </w:r>
      <w:r w:rsidRPr="004542B5">
        <w:rPr>
          <w:noProof w:val="0"/>
          <w:szCs w:val="20"/>
          <w:lang w:val="en-US"/>
        </w:rPr>
        <w:t xml:space="preserve">for approximately 23 years (from </w:t>
      </w:r>
      <w:r w:rsidR="00F10CAE" w:rsidRPr="004542B5">
        <w:rPr>
          <w:noProof w:val="0"/>
          <w:szCs w:val="20"/>
          <w:lang w:val="en-US"/>
        </w:rPr>
        <w:t xml:space="preserve">1990 </w:t>
      </w:r>
      <w:r w:rsidRPr="004542B5">
        <w:rPr>
          <w:noProof w:val="0"/>
          <w:szCs w:val="20"/>
          <w:lang w:val="en-US"/>
        </w:rPr>
        <w:t>to</w:t>
      </w:r>
      <w:r w:rsidR="00F10CAE" w:rsidRPr="004542B5">
        <w:rPr>
          <w:noProof w:val="0"/>
          <w:szCs w:val="20"/>
          <w:lang w:val="en-US"/>
        </w:rPr>
        <w:t xml:space="preserve"> 2013)</w:t>
      </w:r>
      <w:r w:rsidRPr="004542B5">
        <w:rPr>
          <w:noProof w:val="0"/>
          <w:szCs w:val="20"/>
          <w:lang w:val="en-US"/>
        </w:rPr>
        <w:t>;</w:t>
      </w:r>
      <w:r w:rsidR="00F10CAE" w:rsidRPr="004542B5">
        <w:rPr>
          <w:noProof w:val="0"/>
          <w:szCs w:val="20"/>
          <w:lang w:val="en-US"/>
        </w:rPr>
        <w:t xml:space="preserve"> </w:t>
      </w:r>
      <w:r w:rsidRPr="004542B5">
        <w:rPr>
          <w:noProof w:val="0"/>
          <w:szCs w:val="20"/>
          <w:lang w:val="en-US"/>
        </w:rPr>
        <w:t>(</w:t>
      </w:r>
      <w:r w:rsidR="00F10CAE" w:rsidRPr="004542B5">
        <w:rPr>
          <w:noProof w:val="0"/>
          <w:szCs w:val="20"/>
          <w:lang w:val="en-US"/>
        </w:rPr>
        <w:t>d)</w:t>
      </w:r>
      <w:r w:rsidRPr="004542B5">
        <w:rPr>
          <w:noProof w:val="0"/>
          <w:szCs w:val="20"/>
          <w:lang w:val="en-US"/>
        </w:rPr>
        <w:t xml:space="preserve"> to title the territories of the </w:t>
      </w:r>
      <w:r w:rsidR="00E74A3B" w:rsidRPr="004542B5">
        <w:rPr>
          <w:noProof w:val="0"/>
          <w:szCs w:val="20"/>
          <w:lang w:val="en-US"/>
        </w:rPr>
        <w:t>Piriatí Emberá</w:t>
      </w:r>
      <w:r w:rsidR="00F10CAE" w:rsidRPr="004542B5">
        <w:rPr>
          <w:noProof w:val="0"/>
          <w:szCs w:val="20"/>
          <w:lang w:val="en-US"/>
        </w:rPr>
        <w:t xml:space="preserve"> </w:t>
      </w:r>
      <w:r w:rsidRPr="004542B5">
        <w:rPr>
          <w:noProof w:val="0"/>
          <w:szCs w:val="20"/>
          <w:lang w:val="en-US"/>
        </w:rPr>
        <w:t xml:space="preserve">community for approximately 24 years </w:t>
      </w:r>
      <w:r w:rsidR="00F10CAE" w:rsidRPr="004542B5">
        <w:rPr>
          <w:noProof w:val="0"/>
          <w:szCs w:val="20"/>
          <w:lang w:val="en-US"/>
        </w:rPr>
        <w:t>(</w:t>
      </w:r>
      <w:r w:rsidRPr="004542B5">
        <w:rPr>
          <w:noProof w:val="0"/>
          <w:szCs w:val="20"/>
          <w:lang w:val="en-US"/>
        </w:rPr>
        <w:t>from</w:t>
      </w:r>
      <w:r w:rsidR="00F10CAE" w:rsidRPr="004542B5">
        <w:rPr>
          <w:noProof w:val="0"/>
          <w:szCs w:val="20"/>
          <w:lang w:val="en-US"/>
        </w:rPr>
        <w:t xml:space="preserve"> 1990 </w:t>
      </w:r>
      <w:r w:rsidRPr="004542B5">
        <w:rPr>
          <w:noProof w:val="0"/>
          <w:szCs w:val="20"/>
          <w:lang w:val="en-US"/>
        </w:rPr>
        <w:t>to</w:t>
      </w:r>
      <w:r w:rsidR="00F10CAE" w:rsidRPr="004542B5">
        <w:rPr>
          <w:noProof w:val="0"/>
          <w:szCs w:val="20"/>
          <w:lang w:val="en-US"/>
        </w:rPr>
        <w:t xml:space="preserve"> 2014); </w:t>
      </w:r>
      <w:r w:rsidRPr="004542B5">
        <w:rPr>
          <w:noProof w:val="0"/>
          <w:szCs w:val="20"/>
          <w:lang w:val="en-US"/>
        </w:rPr>
        <w:t>(</w:t>
      </w:r>
      <w:r w:rsidR="00F10CAE" w:rsidRPr="004542B5">
        <w:rPr>
          <w:noProof w:val="0"/>
          <w:szCs w:val="20"/>
          <w:lang w:val="en-US"/>
        </w:rPr>
        <w:t xml:space="preserve">e) </w:t>
      </w:r>
      <w:r w:rsidRPr="004542B5">
        <w:rPr>
          <w:noProof w:val="0"/>
          <w:szCs w:val="20"/>
          <w:lang w:val="en-US"/>
        </w:rPr>
        <w:t xml:space="preserve">to demarcate the territories of the </w:t>
      </w:r>
      <w:r w:rsidR="00E74A3B" w:rsidRPr="004542B5">
        <w:rPr>
          <w:noProof w:val="0"/>
          <w:szCs w:val="20"/>
          <w:lang w:val="en-US"/>
        </w:rPr>
        <w:t>Piriatí Emberá</w:t>
      </w:r>
      <w:r w:rsidR="00F10CAE" w:rsidRPr="004542B5">
        <w:rPr>
          <w:noProof w:val="0"/>
          <w:szCs w:val="20"/>
          <w:lang w:val="en-US"/>
        </w:rPr>
        <w:t xml:space="preserve"> </w:t>
      </w:r>
      <w:r w:rsidRPr="004542B5">
        <w:rPr>
          <w:noProof w:val="0"/>
          <w:szCs w:val="20"/>
          <w:lang w:val="en-US"/>
        </w:rPr>
        <w:t xml:space="preserve">community for approximately 24 years (from 1990 to the date of this judgment); (f) to demarcate or title the territories of the Ipetí Emberá community for approximately 24 years (from 1990 to the date of this judgment), and (g) to guarantee the effective enjoyment of the collective property title of the </w:t>
      </w:r>
      <w:r w:rsidRPr="004542B5">
        <w:rPr>
          <w:noProof w:val="0"/>
          <w:lang w:val="en-US"/>
        </w:rPr>
        <w:t xml:space="preserve">Piriatí Emberá </w:t>
      </w:r>
      <w:r w:rsidRPr="004542B5">
        <w:rPr>
          <w:noProof w:val="0"/>
          <w:lang w:val="en-US"/>
        </w:rPr>
        <w:lastRenderedPageBreak/>
        <w:t>community because, at the date of this judgment, the private property title awarded to C.C.M. has not been annulled; all the foregoing to the detriment of the</w:t>
      </w:r>
      <w:r w:rsidRPr="004542B5">
        <w:rPr>
          <w:b/>
          <w:i/>
          <w:noProof w:val="0"/>
          <w:lang w:val="en-US"/>
        </w:rPr>
        <w:t xml:space="preserve"> </w:t>
      </w:r>
      <w:r w:rsidR="00AD34D8" w:rsidRPr="004542B5">
        <w:rPr>
          <w:noProof w:val="0"/>
          <w:lang w:val="en-US"/>
        </w:rPr>
        <w:t>Kuna indigenous people</w:t>
      </w:r>
      <w:r w:rsidR="00F10CAE" w:rsidRPr="004542B5">
        <w:rPr>
          <w:noProof w:val="0"/>
          <w:lang w:val="en-US"/>
        </w:rPr>
        <w:t xml:space="preserve"> </w:t>
      </w:r>
      <w:r w:rsidRPr="004542B5">
        <w:rPr>
          <w:noProof w:val="0"/>
          <w:lang w:val="en-US"/>
        </w:rPr>
        <w:t>of</w:t>
      </w:r>
      <w:r w:rsidR="00F10CAE" w:rsidRPr="004542B5">
        <w:rPr>
          <w:noProof w:val="0"/>
          <w:lang w:val="en-US"/>
        </w:rPr>
        <w:t xml:space="preserve"> Madungandí</w:t>
      </w:r>
      <w:r w:rsidR="00CD2B90" w:rsidRPr="004542B5">
        <w:rPr>
          <w:noProof w:val="0"/>
          <w:lang w:val="en-US"/>
        </w:rPr>
        <w:t xml:space="preserve"> and </w:t>
      </w:r>
      <w:r w:rsidRPr="004542B5">
        <w:rPr>
          <w:noProof w:val="0"/>
          <w:lang w:val="en-US"/>
        </w:rPr>
        <w:t>the</w:t>
      </w:r>
      <w:r w:rsidR="00F10CAE" w:rsidRPr="004542B5">
        <w:rPr>
          <w:noProof w:val="0"/>
          <w:lang w:val="en-US"/>
        </w:rPr>
        <w:t xml:space="preserve"> </w:t>
      </w:r>
      <w:r w:rsidRPr="004542B5">
        <w:rPr>
          <w:noProof w:val="0"/>
          <w:lang w:val="en-US"/>
        </w:rPr>
        <w:t xml:space="preserve">Piriatí and Ipetí </w:t>
      </w:r>
      <w:r w:rsidR="00F10CAE" w:rsidRPr="004542B5">
        <w:rPr>
          <w:noProof w:val="0"/>
          <w:lang w:val="en-US"/>
        </w:rPr>
        <w:t xml:space="preserve">Emberá </w:t>
      </w:r>
      <w:r w:rsidR="006110CB" w:rsidRPr="004542B5">
        <w:rPr>
          <w:noProof w:val="0"/>
          <w:lang w:val="en-US"/>
        </w:rPr>
        <w:t>communities</w:t>
      </w:r>
      <w:r w:rsidRPr="004542B5">
        <w:rPr>
          <w:noProof w:val="0"/>
          <w:lang w:val="en-US"/>
        </w:rPr>
        <w:t xml:space="preserve"> of</w:t>
      </w:r>
      <w:r w:rsidR="00F10CAE" w:rsidRPr="004542B5">
        <w:rPr>
          <w:noProof w:val="0"/>
          <w:lang w:val="en-US"/>
        </w:rPr>
        <w:t xml:space="preserve"> Bayano. </w:t>
      </w:r>
      <w:r w:rsidRPr="004542B5">
        <w:rPr>
          <w:noProof w:val="0"/>
          <w:lang w:val="en-US"/>
        </w:rPr>
        <w:t xml:space="preserve">Regarding the Emberá communities of </w:t>
      </w:r>
      <w:r w:rsidR="00F10CAE" w:rsidRPr="004542B5">
        <w:rPr>
          <w:noProof w:val="0"/>
          <w:szCs w:val="20"/>
          <w:lang w:val="en-US"/>
        </w:rPr>
        <w:t>Maje Cordillera</w:t>
      </w:r>
      <w:r w:rsidR="00CD2B90" w:rsidRPr="004542B5">
        <w:rPr>
          <w:noProof w:val="0"/>
          <w:szCs w:val="20"/>
          <w:lang w:val="en-US"/>
        </w:rPr>
        <w:t xml:space="preserve"> and </w:t>
      </w:r>
      <w:r w:rsidR="00F10CAE" w:rsidRPr="004542B5">
        <w:rPr>
          <w:noProof w:val="0"/>
          <w:szCs w:val="20"/>
          <w:lang w:val="en-US"/>
        </w:rPr>
        <w:t xml:space="preserve">Unión, </w:t>
      </w:r>
      <w:r w:rsidRPr="004542B5">
        <w:rPr>
          <w:noProof w:val="0"/>
          <w:szCs w:val="20"/>
          <w:lang w:val="en-US"/>
        </w:rPr>
        <w:t xml:space="preserve">the evidence does not </w:t>
      </w:r>
      <w:r w:rsidR="0048610A" w:rsidRPr="004542B5">
        <w:rPr>
          <w:noProof w:val="0"/>
          <w:szCs w:val="20"/>
          <w:lang w:val="en-US"/>
        </w:rPr>
        <w:t>reveal</w:t>
      </w:r>
      <w:r w:rsidRPr="004542B5">
        <w:rPr>
          <w:noProof w:val="0"/>
          <w:szCs w:val="20"/>
          <w:lang w:val="en-US"/>
        </w:rPr>
        <w:t xml:space="preserve"> that the</w:t>
      </w:r>
      <w:r w:rsidR="0048610A" w:rsidRPr="004542B5">
        <w:rPr>
          <w:noProof w:val="0"/>
          <w:szCs w:val="20"/>
          <w:lang w:val="en-US"/>
        </w:rPr>
        <w:t>ir lands</w:t>
      </w:r>
      <w:r w:rsidRPr="004542B5">
        <w:rPr>
          <w:noProof w:val="0"/>
          <w:szCs w:val="20"/>
          <w:lang w:val="en-US"/>
        </w:rPr>
        <w:t xml:space="preserve"> have been delimited, demarcated and titled. </w:t>
      </w:r>
      <w:r w:rsidR="0048610A" w:rsidRPr="004542B5">
        <w:rPr>
          <w:noProof w:val="0"/>
          <w:szCs w:val="20"/>
          <w:lang w:val="en-US"/>
        </w:rPr>
        <w:t>It</w:t>
      </w:r>
      <w:r w:rsidRPr="004542B5">
        <w:rPr>
          <w:noProof w:val="0"/>
          <w:szCs w:val="20"/>
          <w:lang w:val="en-US"/>
        </w:rPr>
        <w:t xml:space="preserve"> merely shows that, at least in 2012, the titling process “was under review to continue with the appropriate procedure for collective adjudication</w:t>
      </w:r>
      <w:r w:rsidR="00F10CAE" w:rsidRPr="004542B5">
        <w:rPr>
          <w:noProof w:val="0"/>
          <w:szCs w:val="20"/>
          <w:lang w:val="en-US"/>
        </w:rPr>
        <w:t>” (</w:t>
      </w:r>
      <w:r w:rsidR="00F10CAE" w:rsidRPr="004542B5">
        <w:rPr>
          <w:i/>
          <w:noProof w:val="0"/>
          <w:szCs w:val="20"/>
          <w:lang w:val="en-US"/>
        </w:rPr>
        <w:t>supra</w:t>
      </w:r>
      <w:r w:rsidR="00F10CAE" w:rsidRPr="004542B5">
        <w:rPr>
          <w:noProof w:val="0"/>
          <w:szCs w:val="20"/>
          <w:lang w:val="en-US"/>
        </w:rPr>
        <w:t xml:space="preserve"> </w:t>
      </w:r>
      <w:r w:rsidR="00F66B76" w:rsidRPr="004542B5">
        <w:rPr>
          <w:noProof w:val="0"/>
          <w:szCs w:val="20"/>
          <w:lang w:val="en-US"/>
        </w:rPr>
        <w:t>para.</w:t>
      </w:r>
      <w:r w:rsidR="00F10CAE" w:rsidRPr="004542B5">
        <w:rPr>
          <w:noProof w:val="0"/>
          <w:szCs w:val="20"/>
          <w:lang w:val="en-US"/>
        </w:rPr>
        <w:t xml:space="preserve"> 79)</w:t>
      </w:r>
      <w:r w:rsidRPr="004542B5">
        <w:rPr>
          <w:noProof w:val="0"/>
          <w:szCs w:val="20"/>
          <w:lang w:val="en-US"/>
        </w:rPr>
        <w:t>; thus, the Court does not have any elements to analyze and rule on an alleged violation of the right to property with regard to th</w:t>
      </w:r>
      <w:r w:rsidR="0048610A" w:rsidRPr="004542B5">
        <w:rPr>
          <w:noProof w:val="0"/>
          <w:szCs w:val="20"/>
          <w:lang w:val="en-US"/>
        </w:rPr>
        <w:t>ose two communities</w:t>
      </w:r>
      <w:r w:rsidRPr="004542B5">
        <w:rPr>
          <w:noProof w:val="0"/>
          <w:szCs w:val="20"/>
          <w:lang w:val="en-US"/>
        </w:rPr>
        <w:t>.</w:t>
      </w:r>
    </w:p>
    <w:p w14:paraId="111D0CD3" w14:textId="710B659A" w:rsidR="00C26F85" w:rsidRPr="004542B5" w:rsidRDefault="00B902E7" w:rsidP="00E01664">
      <w:pPr>
        <w:pStyle w:val="Heading2"/>
        <w:numPr>
          <w:ilvl w:val="0"/>
          <w:numId w:val="43"/>
        </w:numPr>
        <w:rPr>
          <w:noProof w:val="0"/>
          <w:lang w:val="en-US"/>
        </w:rPr>
      </w:pPr>
      <w:bookmarkStart w:id="241" w:name="_Toc45200887"/>
      <w:r w:rsidRPr="004542B5">
        <w:rPr>
          <w:noProof w:val="0"/>
          <w:lang w:val="en-US"/>
        </w:rPr>
        <w:t>The alleged lack of an adequate procedure for the delimitation, demarcation and titling of indigenous lands</w:t>
      </w:r>
      <w:r w:rsidR="007B47B1" w:rsidRPr="004542B5">
        <w:rPr>
          <w:noProof w:val="0"/>
          <w:lang w:val="en-US"/>
        </w:rPr>
        <w:t xml:space="preserve"> (</w:t>
      </w:r>
      <w:r w:rsidR="00562CBB" w:rsidRPr="004542B5">
        <w:rPr>
          <w:noProof w:val="0"/>
          <w:lang w:val="en-US"/>
        </w:rPr>
        <w:t>Article</w:t>
      </w:r>
      <w:r w:rsidR="007B47B1" w:rsidRPr="004542B5">
        <w:rPr>
          <w:noProof w:val="0"/>
          <w:lang w:val="en-US"/>
        </w:rPr>
        <w:t xml:space="preserve"> 2</w:t>
      </w:r>
      <w:r w:rsidR="008A56D7" w:rsidRPr="004542B5">
        <w:rPr>
          <w:noProof w:val="0"/>
          <w:lang w:val="en-US"/>
        </w:rPr>
        <w:t xml:space="preserve"> of the </w:t>
      </w:r>
      <w:r w:rsidR="00562CBB" w:rsidRPr="004542B5">
        <w:rPr>
          <w:noProof w:val="0"/>
          <w:lang w:val="en-US"/>
        </w:rPr>
        <w:t>Convention</w:t>
      </w:r>
      <w:r w:rsidR="007B47B1" w:rsidRPr="004542B5">
        <w:rPr>
          <w:noProof w:val="0"/>
          <w:lang w:val="en-US"/>
        </w:rPr>
        <w:t>)</w:t>
      </w:r>
      <w:bookmarkEnd w:id="241"/>
    </w:p>
    <w:p w14:paraId="2281AD4E" w14:textId="7F4FFBDA" w:rsidR="003B7977" w:rsidRPr="004542B5" w:rsidRDefault="007B47B1" w:rsidP="00E01664">
      <w:pPr>
        <w:pStyle w:val="Heading3"/>
        <w:rPr>
          <w:noProof w:val="0"/>
          <w:lang w:val="en-US"/>
        </w:rPr>
      </w:pPr>
      <w:bookmarkStart w:id="242" w:name="_Toc45200888"/>
      <w:r w:rsidRPr="004542B5">
        <w:rPr>
          <w:noProof w:val="0"/>
          <w:lang w:val="en-US"/>
        </w:rPr>
        <w:t xml:space="preserve">B.1. </w:t>
      </w:r>
      <w:r w:rsidR="00EC434E" w:rsidRPr="004542B5">
        <w:rPr>
          <w:noProof w:val="0"/>
          <w:lang w:val="en-US"/>
        </w:rPr>
        <w:t>Arguments</w:t>
      </w:r>
      <w:r w:rsidR="008A56D7" w:rsidRPr="004542B5">
        <w:rPr>
          <w:noProof w:val="0"/>
          <w:lang w:val="en-US"/>
        </w:rPr>
        <w:t xml:space="preserve"> of the </w:t>
      </w:r>
      <w:r w:rsidR="00562CBB" w:rsidRPr="004542B5">
        <w:rPr>
          <w:noProof w:val="0"/>
          <w:lang w:val="en-US"/>
        </w:rPr>
        <w:t>Commission</w:t>
      </w:r>
      <w:r w:rsidR="00CD2B90" w:rsidRPr="004542B5">
        <w:rPr>
          <w:noProof w:val="0"/>
          <w:lang w:val="en-US"/>
        </w:rPr>
        <w:t xml:space="preserve"> and </w:t>
      </w:r>
      <w:r w:rsidR="00B902E7" w:rsidRPr="004542B5">
        <w:rPr>
          <w:noProof w:val="0"/>
          <w:lang w:val="en-US"/>
        </w:rPr>
        <w:t>of the parties</w:t>
      </w:r>
      <w:bookmarkEnd w:id="242"/>
    </w:p>
    <w:p w14:paraId="7E720383" w14:textId="15C23804" w:rsidR="00D17811" w:rsidRPr="004542B5" w:rsidRDefault="00562CBB" w:rsidP="00E01664">
      <w:pPr>
        <w:pStyle w:val="ListParagraph"/>
        <w:numPr>
          <w:ilvl w:val="0"/>
          <w:numId w:val="2"/>
        </w:numPr>
        <w:spacing w:before="120" w:after="120"/>
        <w:contextualSpacing w:val="0"/>
        <w:rPr>
          <w:noProof w:val="0"/>
          <w:szCs w:val="20"/>
          <w:lang w:val="en-US"/>
        </w:rPr>
      </w:pPr>
      <w:r w:rsidRPr="004542B5">
        <w:rPr>
          <w:rFonts w:cs="Tahoma"/>
          <w:noProof w:val="0"/>
          <w:szCs w:val="20"/>
          <w:lang w:val="en-US"/>
        </w:rPr>
        <w:t>The Commission</w:t>
      </w:r>
      <w:r w:rsidR="007B47B1" w:rsidRPr="004542B5">
        <w:rPr>
          <w:rFonts w:cs="Tahoma"/>
          <w:noProof w:val="0"/>
          <w:szCs w:val="20"/>
          <w:lang w:val="en-US"/>
        </w:rPr>
        <w:t xml:space="preserve"> </w:t>
      </w:r>
      <w:r w:rsidR="00D17811" w:rsidRPr="004542B5">
        <w:rPr>
          <w:rFonts w:cs="Tahoma"/>
          <w:noProof w:val="0"/>
          <w:szCs w:val="20"/>
          <w:lang w:val="en-US"/>
        </w:rPr>
        <w:t xml:space="preserve">indicated that, </w:t>
      </w:r>
      <w:r w:rsidR="003655D2" w:rsidRPr="004542B5">
        <w:rPr>
          <w:rFonts w:cs="Tahoma"/>
          <w:noProof w:val="0"/>
          <w:szCs w:val="20"/>
          <w:lang w:val="en-US"/>
        </w:rPr>
        <w:t>until the adoption of</w:t>
      </w:r>
      <w:r w:rsidR="00D17811" w:rsidRPr="004542B5">
        <w:rPr>
          <w:rFonts w:cs="Tahoma"/>
          <w:noProof w:val="0"/>
          <w:szCs w:val="20"/>
          <w:lang w:val="en-US"/>
        </w:rPr>
        <w:t xml:space="preserve"> Law 72, there was no mechanism to obtain recognition of collective ownership and that the only available procedure was to obtain designation as a “comarca” under a law enacted by the Legislative Assembly, which entailed a lengthy process that was mainly political and inherently discretional and left out numerous indigenous communities. It added that the State </w:t>
      </w:r>
      <w:r w:rsidR="00C847AF" w:rsidRPr="004542B5">
        <w:rPr>
          <w:rFonts w:cs="Tahoma"/>
          <w:noProof w:val="0"/>
          <w:szCs w:val="20"/>
          <w:lang w:val="en-US"/>
        </w:rPr>
        <w:t xml:space="preserve">had </w:t>
      </w:r>
      <w:r w:rsidR="00D17811" w:rsidRPr="004542B5">
        <w:rPr>
          <w:rFonts w:cs="Tahoma"/>
          <w:noProof w:val="0"/>
          <w:szCs w:val="20"/>
          <w:lang w:val="en-US"/>
        </w:rPr>
        <w:t>made commitments in response to actions taken by the indigenous peoples</w:t>
      </w:r>
      <w:r w:rsidR="00C847AF" w:rsidRPr="004542B5">
        <w:rPr>
          <w:rFonts w:cs="Tahoma"/>
          <w:noProof w:val="0"/>
          <w:szCs w:val="20"/>
          <w:lang w:val="en-US"/>
        </w:rPr>
        <w:t>, but</w:t>
      </w:r>
      <w:r w:rsidR="00D17811" w:rsidRPr="004542B5">
        <w:rPr>
          <w:rFonts w:cs="Tahoma"/>
          <w:noProof w:val="0"/>
          <w:szCs w:val="20"/>
          <w:lang w:val="en-US"/>
        </w:rPr>
        <w:t xml:space="preserve"> th</w:t>
      </w:r>
      <w:r w:rsidR="00C847AF" w:rsidRPr="004542B5">
        <w:rPr>
          <w:rFonts w:cs="Tahoma"/>
          <w:noProof w:val="0"/>
          <w:szCs w:val="20"/>
          <w:lang w:val="en-US"/>
        </w:rPr>
        <w:t>ese</w:t>
      </w:r>
      <w:r w:rsidR="00D17811" w:rsidRPr="004542B5">
        <w:rPr>
          <w:rFonts w:cs="Tahoma"/>
          <w:noProof w:val="0"/>
          <w:szCs w:val="20"/>
          <w:lang w:val="en-US"/>
        </w:rPr>
        <w:t xml:space="preserve"> f</w:t>
      </w:r>
      <w:r w:rsidR="00C847AF" w:rsidRPr="004542B5">
        <w:rPr>
          <w:rFonts w:cs="Tahoma"/>
          <w:noProof w:val="0"/>
          <w:szCs w:val="20"/>
          <w:lang w:val="en-US"/>
        </w:rPr>
        <w:t>a</w:t>
      </w:r>
      <w:r w:rsidR="00D17811" w:rsidRPr="004542B5">
        <w:rPr>
          <w:rFonts w:cs="Tahoma"/>
          <w:noProof w:val="0"/>
          <w:szCs w:val="20"/>
          <w:lang w:val="en-US"/>
        </w:rPr>
        <w:t>iled to provide a comprehensive and sustainable answer to the basic claims or to create legal mechanisms for the</w:t>
      </w:r>
      <w:r w:rsidR="00F86431" w:rsidRPr="004542B5">
        <w:rPr>
          <w:rFonts w:cs="Tahoma"/>
          <w:noProof w:val="0"/>
          <w:szCs w:val="20"/>
          <w:lang w:val="en-US"/>
        </w:rPr>
        <w:t>se peoples</w:t>
      </w:r>
      <w:r w:rsidR="00D17811" w:rsidRPr="004542B5">
        <w:rPr>
          <w:rFonts w:cs="Tahoma"/>
          <w:noProof w:val="0"/>
          <w:szCs w:val="20"/>
          <w:lang w:val="en-US"/>
        </w:rPr>
        <w:t xml:space="preserve"> to claim their rights. </w:t>
      </w:r>
      <w:r w:rsidR="00C06694" w:rsidRPr="004542B5">
        <w:rPr>
          <w:rFonts w:cs="Tahoma"/>
          <w:noProof w:val="0"/>
          <w:szCs w:val="20"/>
          <w:lang w:val="en-US"/>
        </w:rPr>
        <w:t xml:space="preserve">The Commission also indicated that the procedure followed by the Emberá people was neither effective </w:t>
      </w:r>
      <w:r w:rsidR="00C847AF" w:rsidRPr="004542B5">
        <w:rPr>
          <w:rFonts w:cs="Tahoma"/>
          <w:noProof w:val="0"/>
          <w:szCs w:val="20"/>
          <w:lang w:val="en-US"/>
        </w:rPr>
        <w:t>n</w:t>
      </w:r>
      <w:r w:rsidR="00C06694" w:rsidRPr="004542B5">
        <w:rPr>
          <w:rFonts w:cs="Tahoma"/>
          <w:noProof w:val="0"/>
          <w:szCs w:val="20"/>
          <w:lang w:val="en-US"/>
        </w:rPr>
        <w:t xml:space="preserve">or appropriate because it did not taken into account the particular </w:t>
      </w:r>
      <w:r w:rsidR="006110CB" w:rsidRPr="004542B5">
        <w:rPr>
          <w:rFonts w:cs="Tahoma"/>
          <w:noProof w:val="0"/>
          <w:szCs w:val="20"/>
          <w:lang w:val="en-US"/>
        </w:rPr>
        <w:t>characteristics</w:t>
      </w:r>
      <w:r w:rsidR="00C06694" w:rsidRPr="004542B5">
        <w:rPr>
          <w:rFonts w:cs="Tahoma"/>
          <w:noProof w:val="0"/>
          <w:szCs w:val="20"/>
          <w:lang w:val="en-US"/>
        </w:rPr>
        <w:t xml:space="preserve"> of the indigenous people</w:t>
      </w:r>
      <w:r w:rsidR="00C847AF" w:rsidRPr="004542B5">
        <w:rPr>
          <w:rFonts w:cs="Tahoma"/>
          <w:noProof w:val="0"/>
          <w:szCs w:val="20"/>
          <w:lang w:val="en-US"/>
        </w:rPr>
        <w:t xml:space="preserve">; </w:t>
      </w:r>
      <w:r w:rsidR="00C06694" w:rsidRPr="004542B5">
        <w:rPr>
          <w:rFonts w:cs="Tahoma"/>
          <w:noProof w:val="0"/>
          <w:szCs w:val="20"/>
          <w:lang w:val="en-US"/>
        </w:rPr>
        <w:t xml:space="preserve">specifically, it was </w:t>
      </w:r>
      <w:r w:rsidR="00F86431" w:rsidRPr="004542B5">
        <w:rPr>
          <w:rFonts w:cs="Tahoma"/>
          <w:noProof w:val="0"/>
          <w:szCs w:val="20"/>
          <w:lang w:val="en-US"/>
        </w:rPr>
        <w:t xml:space="preserve">a </w:t>
      </w:r>
      <w:r w:rsidR="00C06694" w:rsidRPr="004542B5">
        <w:rPr>
          <w:rFonts w:cs="Tahoma"/>
          <w:noProof w:val="0"/>
          <w:szCs w:val="20"/>
          <w:lang w:val="en-US"/>
        </w:rPr>
        <w:t xml:space="preserve">general mechanism for titling individual property based on the productive use of the land. It added that Law 72 and its regulations merely established a “procedure </w:t>
      </w:r>
      <w:r w:rsidR="00C847AF" w:rsidRPr="004542B5">
        <w:rPr>
          <w:rFonts w:cs="Tahoma"/>
          <w:noProof w:val="0"/>
          <w:szCs w:val="20"/>
          <w:lang w:val="en-US"/>
        </w:rPr>
        <w:t>to</w:t>
      </w:r>
      <w:r w:rsidR="00C06694" w:rsidRPr="004542B5">
        <w:rPr>
          <w:rFonts w:cs="Tahoma"/>
          <w:noProof w:val="0"/>
          <w:szCs w:val="20"/>
          <w:lang w:val="en-US"/>
        </w:rPr>
        <w:t xml:space="preserve"> adjudicat</w:t>
      </w:r>
      <w:r w:rsidR="00C847AF" w:rsidRPr="004542B5">
        <w:rPr>
          <w:rFonts w:cs="Tahoma"/>
          <w:noProof w:val="0"/>
          <w:szCs w:val="20"/>
          <w:lang w:val="en-US"/>
        </w:rPr>
        <w:t>e</w:t>
      </w:r>
      <w:r w:rsidR="00C06694" w:rsidRPr="004542B5">
        <w:rPr>
          <w:rFonts w:cs="Tahoma"/>
          <w:noProof w:val="0"/>
          <w:szCs w:val="20"/>
          <w:lang w:val="en-US"/>
        </w:rPr>
        <w:t xml:space="preserve"> collective </w:t>
      </w:r>
      <w:r w:rsidR="00C847AF" w:rsidRPr="004542B5">
        <w:rPr>
          <w:rFonts w:cs="Tahoma"/>
          <w:noProof w:val="0"/>
          <w:szCs w:val="20"/>
          <w:lang w:val="en-US"/>
        </w:rPr>
        <w:t>ownership of the</w:t>
      </w:r>
      <w:r w:rsidR="00C06694" w:rsidRPr="004542B5">
        <w:rPr>
          <w:rFonts w:cs="Tahoma"/>
          <w:noProof w:val="0"/>
          <w:szCs w:val="20"/>
          <w:lang w:val="en-US"/>
        </w:rPr>
        <w:t xml:space="preserve"> lands of the indigenous peoples” without referring to </w:t>
      </w:r>
      <w:r w:rsidR="00C847AF" w:rsidRPr="004542B5">
        <w:rPr>
          <w:rFonts w:cs="Tahoma"/>
          <w:noProof w:val="0"/>
          <w:szCs w:val="20"/>
          <w:lang w:val="en-US"/>
        </w:rPr>
        <w:t xml:space="preserve">the </w:t>
      </w:r>
      <w:r w:rsidR="00C06694" w:rsidRPr="004542B5">
        <w:rPr>
          <w:rFonts w:cs="Tahoma"/>
          <w:noProof w:val="0"/>
          <w:szCs w:val="20"/>
          <w:lang w:val="en-US"/>
        </w:rPr>
        <w:t>obligation to physical</w:t>
      </w:r>
      <w:r w:rsidR="00C847AF" w:rsidRPr="004542B5">
        <w:rPr>
          <w:rFonts w:cs="Tahoma"/>
          <w:noProof w:val="0"/>
          <w:szCs w:val="20"/>
          <w:lang w:val="en-US"/>
        </w:rPr>
        <w:t>ly</w:t>
      </w:r>
      <w:r w:rsidR="00C06694" w:rsidRPr="004542B5">
        <w:rPr>
          <w:rFonts w:cs="Tahoma"/>
          <w:noProof w:val="0"/>
          <w:szCs w:val="20"/>
          <w:lang w:val="en-US"/>
        </w:rPr>
        <w:t xml:space="preserve"> demarcat</w:t>
      </w:r>
      <w:r w:rsidR="00C847AF" w:rsidRPr="004542B5">
        <w:rPr>
          <w:rFonts w:cs="Tahoma"/>
          <w:noProof w:val="0"/>
          <w:szCs w:val="20"/>
          <w:lang w:val="en-US"/>
        </w:rPr>
        <w:t>e</w:t>
      </w:r>
      <w:r w:rsidR="00C06694" w:rsidRPr="004542B5">
        <w:rPr>
          <w:rFonts w:cs="Tahoma"/>
          <w:noProof w:val="0"/>
          <w:szCs w:val="20"/>
          <w:lang w:val="en-US"/>
        </w:rPr>
        <w:t xml:space="preserve"> the </w:t>
      </w:r>
      <w:r w:rsidR="00C847AF" w:rsidRPr="004542B5">
        <w:rPr>
          <w:rFonts w:cs="Tahoma"/>
          <w:noProof w:val="0"/>
          <w:szCs w:val="20"/>
          <w:lang w:val="en-US"/>
        </w:rPr>
        <w:t>land</w:t>
      </w:r>
      <w:r w:rsidR="00C06694" w:rsidRPr="004542B5">
        <w:rPr>
          <w:rFonts w:cs="Tahoma"/>
          <w:noProof w:val="0"/>
          <w:szCs w:val="20"/>
          <w:lang w:val="en-US"/>
        </w:rPr>
        <w:t xml:space="preserve"> </w:t>
      </w:r>
      <w:r w:rsidR="00C847AF" w:rsidRPr="004542B5">
        <w:rPr>
          <w:rFonts w:cs="Tahoma"/>
          <w:noProof w:val="0"/>
          <w:szCs w:val="20"/>
          <w:lang w:val="en-US"/>
        </w:rPr>
        <w:t xml:space="preserve">once it </w:t>
      </w:r>
      <w:r w:rsidR="00C06694" w:rsidRPr="004542B5">
        <w:rPr>
          <w:rFonts w:cs="Tahoma"/>
          <w:noProof w:val="0"/>
          <w:szCs w:val="20"/>
          <w:lang w:val="en-US"/>
        </w:rPr>
        <w:t>had been adjudicated.</w:t>
      </w:r>
    </w:p>
    <w:p w14:paraId="05A09FD4" w14:textId="2AC0FD83" w:rsidR="009255B1" w:rsidRPr="004542B5" w:rsidRDefault="00F86431" w:rsidP="00740567">
      <w:pPr>
        <w:pStyle w:val="ListParagraph"/>
        <w:numPr>
          <w:ilvl w:val="0"/>
          <w:numId w:val="2"/>
        </w:numPr>
        <w:spacing w:before="120" w:after="120"/>
        <w:contextualSpacing w:val="0"/>
        <w:rPr>
          <w:noProof w:val="0"/>
          <w:szCs w:val="20"/>
          <w:lang w:val="en-US"/>
        </w:rPr>
      </w:pPr>
      <w:r w:rsidRPr="004542B5">
        <w:rPr>
          <w:rFonts w:eastAsia="Calibri"/>
          <w:noProof w:val="0"/>
          <w:szCs w:val="20"/>
          <w:lang w:val="en-US"/>
        </w:rPr>
        <w:t>Regarding</w:t>
      </w:r>
      <w:r w:rsidR="00C06694" w:rsidRPr="004542B5">
        <w:rPr>
          <w:rFonts w:eastAsia="Calibri"/>
          <w:noProof w:val="0"/>
          <w:szCs w:val="20"/>
          <w:lang w:val="en-US"/>
        </w:rPr>
        <w:t xml:space="preserve"> </w:t>
      </w:r>
      <w:r w:rsidR="0033788F" w:rsidRPr="004542B5">
        <w:rPr>
          <w:rFonts w:eastAsia="Calibri"/>
          <w:noProof w:val="0"/>
          <w:szCs w:val="20"/>
          <w:lang w:val="en-US"/>
        </w:rPr>
        <w:t>Law</w:t>
      </w:r>
      <w:r w:rsidR="007B47B1" w:rsidRPr="004542B5">
        <w:rPr>
          <w:rFonts w:eastAsia="Calibri"/>
          <w:noProof w:val="0"/>
          <w:szCs w:val="20"/>
          <w:lang w:val="en-US"/>
        </w:rPr>
        <w:t xml:space="preserve"> 72 </w:t>
      </w:r>
      <w:r w:rsidR="00C06694" w:rsidRPr="004542B5">
        <w:rPr>
          <w:rFonts w:eastAsia="Calibri"/>
          <w:noProof w:val="0"/>
          <w:szCs w:val="20"/>
          <w:lang w:val="en-US"/>
        </w:rPr>
        <w:t>of</w:t>
      </w:r>
      <w:r w:rsidR="007B47B1" w:rsidRPr="004542B5">
        <w:rPr>
          <w:rFonts w:eastAsia="Calibri"/>
          <w:noProof w:val="0"/>
          <w:szCs w:val="20"/>
          <w:lang w:val="en-US"/>
        </w:rPr>
        <w:t xml:space="preserve"> 2008</w:t>
      </w:r>
      <w:r w:rsidR="00CD2B90" w:rsidRPr="004542B5">
        <w:rPr>
          <w:rFonts w:eastAsia="Calibri"/>
          <w:noProof w:val="0"/>
          <w:szCs w:val="20"/>
          <w:lang w:val="en-US"/>
        </w:rPr>
        <w:t xml:space="preserve"> and </w:t>
      </w:r>
      <w:r w:rsidR="005115A6" w:rsidRPr="004542B5">
        <w:rPr>
          <w:rFonts w:eastAsia="Calibri"/>
          <w:noProof w:val="0"/>
          <w:szCs w:val="20"/>
          <w:lang w:val="en-US"/>
        </w:rPr>
        <w:t>Executive Decree</w:t>
      </w:r>
      <w:r w:rsidR="007B47B1" w:rsidRPr="004542B5">
        <w:rPr>
          <w:rFonts w:eastAsia="Calibri"/>
          <w:noProof w:val="0"/>
          <w:szCs w:val="20"/>
          <w:lang w:val="en-US"/>
        </w:rPr>
        <w:t xml:space="preserve"> 223 </w:t>
      </w:r>
      <w:r w:rsidR="00C06694" w:rsidRPr="004542B5">
        <w:rPr>
          <w:rFonts w:eastAsia="Calibri"/>
          <w:noProof w:val="0"/>
          <w:szCs w:val="20"/>
          <w:lang w:val="en-US"/>
        </w:rPr>
        <w:t>of</w:t>
      </w:r>
      <w:r w:rsidR="007B47B1" w:rsidRPr="004542B5">
        <w:rPr>
          <w:rFonts w:eastAsia="Calibri"/>
          <w:noProof w:val="0"/>
          <w:szCs w:val="20"/>
          <w:lang w:val="en-US"/>
        </w:rPr>
        <w:t xml:space="preserve"> 2010 </w:t>
      </w:r>
      <w:r w:rsidR="00C06694" w:rsidRPr="004542B5">
        <w:rPr>
          <w:rFonts w:eastAsia="Calibri"/>
          <w:noProof w:val="0"/>
          <w:szCs w:val="20"/>
          <w:lang w:val="en-US"/>
        </w:rPr>
        <w:t xml:space="preserve">on collective titles, </w:t>
      </w:r>
      <w:r w:rsidRPr="004542B5">
        <w:rPr>
          <w:rFonts w:eastAsia="Calibri"/>
          <w:noProof w:val="0"/>
          <w:szCs w:val="20"/>
          <w:lang w:val="en-US"/>
        </w:rPr>
        <w:t xml:space="preserve">the representatives added that </w:t>
      </w:r>
      <w:r w:rsidR="00C06694" w:rsidRPr="004542B5">
        <w:rPr>
          <w:rFonts w:eastAsia="Calibri"/>
          <w:noProof w:val="0"/>
          <w:szCs w:val="20"/>
          <w:lang w:val="en-US"/>
        </w:rPr>
        <w:t xml:space="preserve">the procedure appeared to be brief and effective but, in practice, it </w:t>
      </w:r>
      <w:r w:rsidRPr="004542B5">
        <w:rPr>
          <w:rFonts w:eastAsia="Calibri"/>
          <w:noProof w:val="0"/>
          <w:szCs w:val="20"/>
          <w:lang w:val="en-US"/>
        </w:rPr>
        <w:t>was</w:t>
      </w:r>
      <w:r w:rsidR="00C06694" w:rsidRPr="004542B5">
        <w:rPr>
          <w:rFonts w:eastAsia="Calibri"/>
          <w:noProof w:val="0"/>
          <w:szCs w:val="20"/>
          <w:lang w:val="en-US"/>
        </w:rPr>
        <w:t xml:space="preserve"> long and compl</w:t>
      </w:r>
      <w:r w:rsidRPr="004542B5">
        <w:rPr>
          <w:rFonts w:eastAsia="Calibri"/>
          <w:noProof w:val="0"/>
          <w:szCs w:val="20"/>
          <w:lang w:val="en-US"/>
        </w:rPr>
        <w:t>icated</w:t>
      </w:r>
      <w:r w:rsidR="00C06694" w:rsidRPr="004542B5">
        <w:rPr>
          <w:rFonts w:eastAsia="Calibri"/>
          <w:noProof w:val="0"/>
          <w:szCs w:val="20"/>
          <w:lang w:val="en-US"/>
        </w:rPr>
        <w:t xml:space="preserve">. </w:t>
      </w:r>
      <w:r w:rsidRPr="004542B5">
        <w:rPr>
          <w:rFonts w:eastAsia="Calibri"/>
          <w:noProof w:val="0"/>
          <w:szCs w:val="20"/>
          <w:lang w:val="en-US"/>
        </w:rPr>
        <w:t>Also</w:t>
      </w:r>
      <w:r w:rsidR="00C06694" w:rsidRPr="004542B5">
        <w:rPr>
          <w:rFonts w:eastAsia="Calibri"/>
          <w:noProof w:val="0"/>
          <w:szCs w:val="20"/>
          <w:lang w:val="en-US"/>
        </w:rPr>
        <w:t xml:space="preserve">, in the case of the Emberá people, more than four years after applications had </w:t>
      </w:r>
      <w:r w:rsidR="006110CB" w:rsidRPr="004542B5">
        <w:rPr>
          <w:rFonts w:eastAsia="Calibri"/>
          <w:noProof w:val="0"/>
          <w:szCs w:val="20"/>
          <w:lang w:val="en-US"/>
        </w:rPr>
        <w:t>been</w:t>
      </w:r>
      <w:r w:rsidR="00C06694" w:rsidRPr="004542B5">
        <w:rPr>
          <w:rFonts w:eastAsia="Calibri"/>
          <w:noProof w:val="0"/>
          <w:szCs w:val="20"/>
          <w:lang w:val="en-US"/>
        </w:rPr>
        <w:t xml:space="preserve"> </w:t>
      </w:r>
      <w:r w:rsidRPr="004542B5">
        <w:rPr>
          <w:rFonts w:eastAsia="Calibri"/>
          <w:noProof w:val="0"/>
          <w:szCs w:val="20"/>
          <w:lang w:val="en-US"/>
        </w:rPr>
        <w:t>submitted</w:t>
      </w:r>
      <w:r w:rsidR="00C06694" w:rsidRPr="004542B5">
        <w:rPr>
          <w:rFonts w:eastAsia="Calibri"/>
          <w:noProof w:val="0"/>
          <w:szCs w:val="20"/>
          <w:lang w:val="en-US"/>
        </w:rPr>
        <w:t>, no titles had been approved. They also indicated that Law 72 discriminated against collective titles in favor of individual titles</w:t>
      </w:r>
      <w:r w:rsidRPr="004542B5">
        <w:rPr>
          <w:rFonts w:eastAsia="Calibri"/>
          <w:noProof w:val="0"/>
          <w:szCs w:val="20"/>
          <w:lang w:val="en-US"/>
        </w:rPr>
        <w:t>,</w:t>
      </w:r>
      <w:r w:rsidR="00C06694" w:rsidRPr="004542B5">
        <w:rPr>
          <w:rFonts w:eastAsia="Calibri"/>
          <w:noProof w:val="0"/>
          <w:szCs w:val="20"/>
          <w:lang w:val="en-US"/>
        </w:rPr>
        <w:t xml:space="preserve"> and that article 10 of the law established that the titles granted could not </w:t>
      </w:r>
      <w:r w:rsidRPr="004542B5">
        <w:rPr>
          <w:rFonts w:eastAsia="Calibri"/>
          <w:noProof w:val="0"/>
          <w:szCs w:val="20"/>
          <w:lang w:val="en-US"/>
        </w:rPr>
        <w:t>contravene</w:t>
      </w:r>
      <w:r w:rsidR="00C06694" w:rsidRPr="004542B5">
        <w:rPr>
          <w:rFonts w:eastAsia="Calibri"/>
          <w:noProof w:val="0"/>
          <w:szCs w:val="20"/>
          <w:lang w:val="en-US"/>
        </w:rPr>
        <w:t xml:space="preserve"> recognized property titles or possessory rights</w:t>
      </w:r>
      <w:r w:rsidRPr="004542B5">
        <w:rPr>
          <w:rFonts w:eastAsia="Calibri"/>
          <w:noProof w:val="0"/>
          <w:szCs w:val="20"/>
          <w:lang w:val="en-US"/>
        </w:rPr>
        <w:t xml:space="preserve">, which </w:t>
      </w:r>
      <w:r w:rsidR="00C06694" w:rsidRPr="004542B5">
        <w:rPr>
          <w:rFonts w:eastAsia="Calibri"/>
          <w:noProof w:val="0"/>
          <w:szCs w:val="20"/>
          <w:lang w:val="en-US"/>
        </w:rPr>
        <w:t>made adequate recognition ineffective.</w:t>
      </w:r>
      <w:r w:rsidR="00BF2109" w:rsidRPr="004542B5">
        <w:rPr>
          <w:rStyle w:val="FootnoteReference"/>
          <w:rFonts w:eastAsia="Calibri"/>
          <w:noProof w:val="0"/>
          <w:lang w:val="en-US"/>
        </w:rPr>
        <w:footnoteReference w:id="225"/>
      </w:r>
      <w:r w:rsidR="00C06694" w:rsidRPr="004542B5">
        <w:rPr>
          <w:rFonts w:eastAsia="Calibri"/>
          <w:noProof w:val="0"/>
          <w:szCs w:val="20"/>
          <w:lang w:val="en-US"/>
        </w:rPr>
        <w:t xml:space="preserve"> They recalled that, pursuant to</w:t>
      </w:r>
      <w:r w:rsidR="007B47B1" w:rsidRPr="004542B5">
        <w:rPr>
          <w:noProof w:val="0"/>
          <w:szCs w:val="20"/>
          <w:lang w:val="en-US"/>
        </w:rPr>
        <w:t xml:space="preserve"> </w:t>
      </w:r>
      <w:r w:rsidR="00562CBB" w:rsidRPr="004542B5">
        <w:rPr>
          <w:rFonts w:eastAsia="Calibri"/>
          <w:noProof w:val="0"/>
          <w:szCs w:val="20"/>
          <w:lang w:val="en-US"/>
        </w:rPr>
        <w:t>Articles</w:t>
      </w:r>
      <w:r w:rsidR="007B47B1" w:rsidRPr="004542B5">
        <w:rPr>
          <w:rFonts w:eastAsia="Calibri"/>
          <w:noProof w:val="0"/>
          <w:szCs w:val="20"/>
          <w:lang w:val="en-US"/>
        </w:rPr>
        <w:t xml:space="preserve"> </w:t>
      </w:r>
      <w:r w:rsidR="00DE6766" w:rsidRPr="004542B5">
        <w:rPr>
          <w:rFonts w:eastAsia="Calibri"/>
          <w:noProof w:val="0"/>
          <w:szCs w:val="20"/>
          <w:lang w:val="en-US"/>
        </w:rPr>
        <w:t>8(1)</w:t>
      </w:r>
      <w:r w:rsidR="00CD2B90" w:rsidRPr="004542B5">
        <w:rPr>
          <w:rFonts w:eastAsia="Calibri"/>
          <w:noProof w:val="0"/>
          <w:szCs w:val="20"/>
          <w:lang w:val="en-US"/>
        </w:rPr>
        <w:t xml:space="preserve"> and </w:t>
      </w:r>
      <w:r w:rsidR="007B47B1" w:rsidRPr="004542B5">
        <w:rPr>
          <w:rFonts w:eastAsia="Calibri"/>
          <w:noProof w:val="0"/>
          <w:szCs w:val="20"/>
          <w:lang w:val="en-US"/>
        </w:rPr>
        <w:t>25</w:t>
      </w:r>
      <w:r w:rsidR="008A56D7" w:rsidRPr="004542B5">
        <w:rPr>
          <w:rFonts w:eastAsia="Calibri"/>
          <w:noProof w:val="0"/>
          <w:szCs w:val="20"/>
          <w:lang w:val="en-US"/>
        </w:rPr>
        <w:t xml:space="preserve"> of the </w:t>
      </w:r>
      <w:r w:rsidR="00562CBB" w:rsidRPr="004542B5">
        <w:rPr>
          <w:rFonts w:eastAsia="Calibri"/>
          <w:noProof w:val="0"/>
          <w:szCs w:val="20"/>
          <w:lang w:val="en-US"/>
        </w:rPr>
        <w:t>Convention</w:t>
      </w:r>
      <w:r w:rsidR="007B47B1" w:rsidRPr="004542B5">
        <w:rPr>
          <w:rFonts w:eastAsia="Calibri"/>
          <w:noProof w:val="0"/>
          <w:szCs w:val="20"/>
          <w:lang w:val="en-US"/>
        </w:rPr>
        <w:t xml:space="preserve">, </w:t>
      </w:r>
      <w:r w:rsidR="00562CBB" w:rsidRPr="004542B5">
        <w:rPr>
          <w:rFonts w:eastAsia="Calibri"/>
          <w:noProof w:val="0"/>
          <w:szCs w:val="20"/>
          <w:lang w:val="en-US"/>
        </w:rPr>
        <w:t>the State</w:t>
      </w:r>
      <w:r w:rsidR="007B47B1" w:rsidRPr="004542B5">
        <w:rPr>
          <w:rFonts w:eastAsia="Calibri"/>
          <w:noProof w:val="0"/>
          <w:szCs w:val="20"/>
          <w:lang w:val="en-US"/>
        </w:rPr>
        <w:t xml:space="preserve"> </w:t>
      </w:r>
      <w:r w:rsidR="00C06694" w:rsidRPr="004542B5">
        <w:rPr>
          <w:rFonts w:eastAsia="Calibri"/>
          <w:noProof w:val="0"/>
          <w:szCs w:val="20"/>
          <w:lang w:val="en-US"/>
        </w:rPr>
        <w:t xml:space="preserve">had the obligation to provide the Emberá </w:t>
      </w:r>
      <w:r w:rsidRPr="004542B5">
        <w:rPr>
          <w:rFonts w:eastAsia="Calibri"/>
          <w:noProof w:val="0"/>
          <w:szCs w:val="20"/>
          <w:lang w:val="en-US"/>
        </w:rPr>
        <w:t>communities</w:t>
      </w:r>
      <w:r w:rsidR="00C06694" w:rsidRPr="004542B5">
        <w:rPr>
          <w:rFonts w:eastAsia="Calibri"/>
          <w:noProof w:val="0"/>
          <w:szCs w:val="20"/>
          <w:lang w:val="en-US"/>
        </w:rPr>
        <w:t xml:space="preserve"> with an effective and efficient remedy to decide their territorial claim</w:t>
      </w:r>
      <w:r w:rsidRPr="004542B5">
        <w:rPr>
          <w:rFonts w:eastAsia="Calibri"/>
          <w:noProof w:val="0"/>
          <w:szCs w:val="20"/>
          <w:lang w:val="en-US"/>
        </w:rPr>
        <w:t>s, which involved</w:t>
      </w:r>
      <w:r w:rsidR="00C06694" w:rsidRPr="004542B5">
        <w:rPr>
          <w:rFonts w:eastAsia="Calibri"/>
          <w:noProof w:val="0"/>
          <w:szCs w:val="20"/>
          <w:lang w:val="en-US"/>
        </w:rPr>
        <w:t xml:space="preserve"> the duty to examine the claims of these communities with due guara</w:t>
      </w:r>
      <w:r w:rsidRPr="004542B5">
        <w:rPr>
          <w:rFonts w:eastAsia="Calibri"/>
          <w:noProof w:val="0"/>
          <w:szCs w:val="20"/>
          <w:lang w:val="en-US"/>
        </w:rPr>
        <w:t>n</w:t>
      </w:r>
      <w:r w:rsidR="00C06694" w:rsidRPr="004542B5">
        <w:rPr>
          <w:rFonts w:eastAsia="Calibri"/>
          <w:noProof w:val="0"/>
          <w:szCs w:val="20"/>
          <w:lang w:val="en-US"/>
        </w:rPr>
        <w:t xml:space="preserve">tees and to determine the respective rights and obligations within a reasonable time. They added that domestic law did not conform to international law and </w:t>
      </w:r>
      <w:r w:rsidR="00C06694" w:rsidRPr="004542B5">
        <w:rPr>
          <w:rFonts w:cs="Tahoma"/>
          <w:noProof w:val="0"/>
          <w:szCs w:val="20"/>
          <w:lang w:val="en-US"/>
        </w:rPr>
        <w:t>that a similar situation</w:t>
      </w:r>
      <w:r w:rsidR="009255B1" w:rsidRPr="004542B5">
        <w:rPr>
          <w:rFonts w:cs="Tahoma"/>
          <w:noProof w:val="0"/>
          <w:szCs w:val="20"/>
          <w:lang w:val="en-US"/>
        </w:rPr>
        <w:t xml:space="preserve"> was arising</w:t>
      </w:r>
      <w:r w:rsidR="00C06694" w:rsidRPr="004542B5">
        <w:rPr>
          <w:rFonts w:cs="Tahoma"/>
          <w:noProof w:val="0"/>
          <w:szCs w:val="20"/>
          <w:lang w:val="en-US"/>
        </w:rPr>
        <w:t xml:space="preserve"> in other indigenous communities. </w:t>
      </w:r>
    </w:p>
    <w:p w14:paraId="3DD70E18" w14:textId="296F7EDA" w:rsidR="009255B1" w:rsidRPr="004542B5" w:rsidRDefault="00562CBB" w:rsidP="009255B1">
      <w:pPr>
        <w:pStyle w:val="ListParagraph"/>
        <w:numPr>
          <w:ilvl w:val="0"/>
          <w:numId w:val="2"/>
        </w:numPr>
        <w:spacing w:before="120" w:after="120"/>
        <w:contextualSpacing w:val="0"/>
        <w:rPr>
          <w:noProof w:val="0"/>
          <w:szCs w:val="20"/>
          <w:lang w:val="en-US"/>
        </w:rPr>
      </w:pPr>
      <w:r w:rsidRPr="004542B5">
        <w:rPr>
          <w:noProof w:val="0"/>
          <w:szCs w:val="20"/>
          <w:lang w:val="en-US"/>
        </w:rPr>
        <w:t>The State</w:t>
      </w:r>
      <w:r w:rsidR="007B47B1" w:rsidRPr="004542B5">
        <w:rPr>
          <w:noProof w:val="0"/>
          <w:szCs w:val="20"/>
          <w:lang w:val="en-US"/>
        </w:rPr>
        <w:t xml:space="preserve"> indic</w:t>
      </w:r>
      <w:r w:rsidR="009255B1" w:rsidRPr="004542B5">
        <w:rPr>
          <w:noProof w:val="0"/>
          <w:szCs w:val="20"/>
          <w:lang w:val="en-US"/>
        </w:rPr>
        <w:t xml:space="preserve">ated that, according to the text of the Constitution, the indigenous territories had been recognized since the Republic was founded, and the comarcas and indigenous reserves had been guaranteed by law, as well as the protection of the indigenous peoples who had migrated from their original lands. It referred specifically to Law 72 of December 23, 2008, and Executive Decree 223 of June 29, 2010. The State indicated that the procedure established in the said law included several stages, including the appeal before the </w:t>
      </w:r>
      <w:r w:rsidR="00E75FF1" w:rsidRPr="004542B5">
        <w:rPr>
          <w:noProof w:val="0"/>
          <w:szCs w:val="20"/>
          <w:lang w:val="en-US"/>
        </w:rPr>
        <w:t>Ministry of Agricultural Development</w:t>
      </w:r>
      <w:r w:rsidR="007B47B1" w:rsidRPr="004542B5">
        <w:rPr>
          <w:noProof w:val="0"/>
          <w:szCs w:val="20"/>
          <w:lang w:val="en-US"/>
        </w:rPr>
        <w:t xml:space="preserve">. </w:t>
      </w:r>
      <w:r w:rsidR="009255B1" w:rsidRPr="004542B5">
        <w:rPr>
          <w:noProof w:val="0"/>
          <w:szCs w:val="20"/>
          <w:lang w:val="en-US"/>
        </w:rPr>
        <w:t xml:space="preserve">It added that the indigenous peoples have the same rights </w:t>
      </w:r>
      <w:r w:rsidR="009255B1" w:rsidRPr="004542B5">
        <w:rPr>
          <w:noProof w:val="0"/>
          <w:szCs w:val="20"/>
          <w:lang w:val="en-US"/>
        </w:rPr>
        <w:lastRenderedPageBreak/>
        <w:t>as the rest of the inhabitants of Panama, with the same guarantees</w:t>
      </w:r>
      <w:r w:rsidR="00F86431" w:rsidRPr="004542B5">
        <w:rPr>
          <w:noProof w:val="0"/>
          <w:szCs w:val="20"/>
          <w:lang w:val="en-US"/>
        </w:rPr>
        <w:t>,</w:t>
      </w:r>
      <w:r w:rsidR="009255B1" w:rsidRPr="004542B5">
        <w:rPr>
          <w:noProof w:val="0"/>
          <w:szCs w:val="20"/>
          <w:lang w:val="en-US"/>
        </w:rPr>
        <w:t xml:space="preserve"> and that judicial protection exists </w:t>
      </w:r>
      <w:r w:rsidR="00F86431" w:rsidRPr="004542B5">
        <w:rPr>
          <w:noProof w:val="0"/>
          <w:szCs w:val="20"/>
          <w:lang w:val="en-US"/>
        </w:rPr>
        <w:t>and</w:t>
      </w:r>
      <w:r w:rsidR="009255B1" w:rsidRPr="004542B5">
        <w:rPr>
          <w:noProof w:val="0"/>
          <w:szCs w:val="20"/>
          <w:lang w:val="en-US"/>
        </w:rPr>
        <w:t xml:space="preserve"> can be obtain</w:t>
      </w:r>
      <w:r w:rsidR="00F86431" w:rsidRPr="004542B5">
        <w:rPr>
          <w:noProof w:val="0"/>
          <w:szCs w:val="20"/>
          <w:lang w:val="en-US"/>
        </w:rPr>
        <w:t>ed</w:t>
      </w:r>
      <w:r w:rsidR="009255B1" w:rsidRPr="004542B5">
        <w:rPr>
          <w:noProof w:val="0"/>
          <w:szCs w:val="20"/>
          <w:lang w:val="en-US"/>
        </w:rPr>
        <w:t xml:space="preserve"> by recourse to remedies that are not subject to protocols or requirements other than accrediting juridical personality or the condition of citizen, resident, or migratory status. It also indicated that it had held congresses, meetings and consultations to provide access to justice to vulnerable groups and that, since 2009, it had signed an agreement that set up </w:t>
      </w:r>
      <w:r w:rsidR="00F86431" w:rsidRPr="004542B5">
        <w:rPr>
          <w:noProof w:val="0"/>
          <w:szCs w:val="20"/>
          <w:lang w:val="en-US"/>
        </w:rPr>
        <w:t>an</w:t>
      </w:r>
      <w:r w:rsidR="009255B1" w:rsidRPr="004542B5">
        <w:rPr>
          <w:noProof w:val="0"/>
          <w:szCs w:val="20"/>
          <w:lang w:val="en-US"/>
        </w:rPr>
        <w:t xml:space="preserve"> “</w:t>
      </w:r>
      <w:r w:rsidR="00E30186" w:rsidRPr="004542B5">
        <w:rPr>
          <w:noProof w:val="0"/>
          <w:szCs w:val="20"/>
          <w:lang w:val="en-US"/>
        </w:rPr>
        <w:t>Inter-institutional Commission to close the gap between traditional justice and ordinary justice</w:t>
      </w:r>
      <w:r w:rsidR="00F86431" w:rsidRPr="004542B5">
        <w:rPr>
          <w:noProof w:val="0"/>
          <w:szCs w:val="20"/>
          <w:lang w:val="en-US"/>
        </w:rPr>
        <w:t>,</w:t>
      </w:r>
      <w:r w:rsidR="00E30186" w:rsidRPr="004542B5">
        <w:rPr>
          <w:noProof w:val="0"/>
          <w:szCs w:val="20"/>
          <w:lang w:val="en-US"/>
        </w:rPr>
        <w:t>” which sought to facilitate access to the system of justice to all indigenous groups. It also argued that the Fourth Chamber of the Supreme Court of Justice of Panama had adopted Decision No. 424 of May 22, 2009, creating the Department of Access to Justice for Indigenous Groups, which established an interpretation service and alternative conflict settlement mechanisms for indigenous groups. Lastly, it indicated that the existence of legal remedies, the accessibility to justice, and equal treatment were a State responsibility and not just towards one social group in particular.</w:t>
      </w:r>
    </w:p>
    <w:p w14:paraId="1CF97DA8" w14:textId="1F065BF8" w:rsidR="003B7977" w:rsidRPr="004542B5" w:rsidRDefault="007B47B1" w:rsidP="00E01664">
      <w:pPr>
        <w:pStyle w:val="Heading3"/>
        <w:rPr>
          <w:i w:val="0"/>
          <w:noProof w:val="0"/>
          <w:lang w:val="en-US"/>
        </w:rPr>
      </w:pPr>
      <w:bookmarkStart w:id="243" w:name="_Toc45200889"/>
      <w:r w:rsidRPr="004542B5">
        <w:rPr>
          <w:noProof w:val="0"/>
          <w:lang w:val="en-US"/>
        </w:rPr>
        <w:t xml:space="preserve">B.2. </w:t>
      </w:r>
      <w:r w:rsidR="00B902E7" w:rsidRPr="004542B5">
        <w:rPr>
          <w:noProof w:val="0"/>
          <w:lang w:val="en-US"/>
        </w:rPr>
        <w:t>Considerations</w:t>
      </w:r>
      <w:r w:rsidR="008A56D7" w:rsidRPr="004542B5">
        <w:rPr>
          <w:noProof w:val="0"/>
          <w:lang w:val="en-US"/>
        </w:rPr>
        <w:t xml:space="preserve"> of the </w:t>
      </w:r>
      <w:r w:rsidR="00562CBB" w:rsidRPr="004542B5">
        <w:rPr>
          <w:noProof w:val="0"/>
          <w:lang w:val="en-US"/>
        </w:rPr>
        <w:t>Court</w:t>
      </w:r>
      <w:bookmarkEnd w:id="243"/>
      <w:r w:rsidRPr="004542B5">
        <w:rPr>
          <w:noProof w:val="0"/>
          <w:lang w:val="en-US"/>
        </w:rPr>
        <w:t xml:space="preserve"> </w:t>
      </w:r>
    </w:p>
    <w:p w14:paraId="2A566575" w14:textId="29154B3B" w:rsidR="00580CE1"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Court</w:t>
      </w:r>
      <w:r w:rsidR="00E30186" w:rsidRPr="004542B5">
        <w:rPr>
          <w:noProof w:val="0"/>
          <w:szCs w:val="20"/>
          <w:lang w:val="en-US"/>
        </w:rPr>
        <w:t xml:space="preserve"> will examine the alleged violations of </w:t>
      </w:r>
      <w:r w:rsidRPr="004542B5">
        <w:rPr>
          <w:noProof w:val="0"/>
          <w:szCs w:val="20"/>
          <w:lang w:val="en-US"/>
        </w:rPr>
        <w:t>Article</w:t>
      </w:r>
      <w:r w:rsidR="007B47B1" w:rsidRPr="004542B5">
        <w:rPr>
          <w:noProof w:val="0"/>
          <w:szCs w:val="20"/>
          <w:lang w:val="en-US"/>
        </w:rPr>
        <w:t xml:space="preserve"> 2</w:t>
      </w:r>
      <w:r w:rsidR="008A56D7" w:rsidRPr="004542B5">
        <w:rPr>
          <w:noProof w:val="0"/>
          <w:szCs w:val="20"/>
          <w:lang w:val="en-US"/>
        </w:rPr>
        <w:t xml:space="preserve"> of the </w:t>
      </w:r>
      <w:r w:rsidRPr="004542B5">
        <w:rPr>
          <w:noProof w:val="0"/>
          <w:szCs w:val="20"/>
          <w:lang w:val="en-US"/>
        </w:rPr>
        <w:t>Convention</w:t>
      </w:r>
      <w:r w:rsidR="007B47B1" w:rsidRPr="004542B5">
        <w:rPr>
          <w:noProof w:val="0"/>
          <w:szCs w:val="20"/>
          <w:lang w:val="en-US"/>
        </w:rPr>
        <w:t xml:space="preserve"> </w:t>
      </w:r>
      <w:r w:rsidR="00342385" w:rsidRPr="004542B5">
        <w:rPr>
          <w:noProof w:val="0"/>
          <w:szCs w:val="20"/>
          <w:lang w:val="en-US"/>
        </w:rPr>
        <w:t>in relation to</w:t>
      </w:r>
      <w:r w:rsidR="007B47B1" w:rsidRPr="004542B5">
        <w:rPr>
          <w:noProof w:val="0"/>
          <w:szCs w:val="20"/>
          <w:lang w:val="en-US"/>
        </w:rPr>
        <w:t xml:space="preserve"> </w:t>
      </w:r>
      <w:r w:rsidRPr="004542B5">
        <w:rPr>
          <w:noProof w:val="0"/>
          <w:szCs w:val="20"/>
          <w:lang w:val="en-US"/>
        </w:rPr>
        <w:t>Articles</w:t>
      </w:r>
      <w:r w:rsidR="00B07C65" w:rsidRPr="004542B5">
        <w:rPr>
          <w:noProof w:val="0"/>
          <w:szCs w:val="20"/>
          <w:lang w:val="en-US"/>
        </w:rPr>
        <w:t xml:space="preserve"> </w:t>
      </w:r>
      <w:r w:rsidR="007B47B1" w:rsidRPr="004542B5">
        <w:rPr>
          <w:noProof w:val="0"/>
          <w:szCs w:val="20"/>
          <w:lang w:val="en-US"/>
        </w:rPr>
        <w:t>21, 8</w:t>
      </w:r>
      <w:r w:rsidR="00CD2B90" w:rsidRPr="004542B5">
        <w:rPr>
          <w:noProof w:val="0"/>
          <w:szCs w:val="20"/>
          <w:lang w:val="en-US"/>
        </w:rPr>
        <w:t xml:space="preserve"> and </w:t>
      </w:r>
      <w:r w:rsidR="007B47B1" w:rsidRPr="004542B5">
        <w:rPr>
          <w:noProof w:val="0"/>
          <w:szCs w:val="20"/>
          <w:lang w:val="en-US"/>
        </w:rPr>
        <w:t xml:space="preserve">25 </w:t>
      </w:r>
      <w:r w:rsidR="00E30186" w:rsidRPr="004542B5">
        <w:rPr>
          <w:noProof w:val="0"/>
          <w:szCs w:val="20"/>
          <w:lang w:val="en-US"/>
        </w:rPr>
        <w:t>of this instrument taking into account domestic law during two specific periods of time: (1) domestic norms on titling, demarcation and delimi</w:t>
      </w:r>
      <w:r w:rsidR="00F36813" w:rsidRPr="004542B5">
        <w:rPr>
          <w:noProof w:val="0"/>
          <w:szCs w:val="20"/>
          <w:lang w:val="en-US"/>
        </w:rPr>
        <w:t>t</w:t>
      </w:r>
      <w:r w:rsidR="00E30186" w:rsidRPr="004542B5">
        <w:rPr>
          <w:noProof w:val="0"/>
          <w:szCs w:val="20"/>
          <w:lang w:val="en-US"/>
        </w:rPr>
        <w:t xml:space="preserve">ation before </w:t>
      </w:r>
      <w:r w:rsidR="0033788F" w:rsidRPr="004542B5">
        <w:rPr>
          <w:noProof w:val="0"/>
          <w:szCs w:val="20"/>
          <w:lang w:val="en-US"/>
        </w:rPr>
        <w:t>Law</w:t>
      </w:r>
      <w:r w:rsidR="007B47B1" w:rsidRPr="004542B5">
        <w:rPr>
          <w:noProof w:val="0"/>
          <w:szCs w:val="20"/>
          <w:lang w:val="en-US"/>
        </w:rPr>
        <w:t xml:space="preserve"> 72 </w:t>
      </w:r>
      <w:r w:rsidR="00E30186" w:rsidRPr="004542B5">
        <w:rPr>
          <w:noProof w:val="0"/>
          <w:szCs w:val="20"/>
          <w:lang w:val="en-US"/>
        </w:rPr>
        <w:t>of</w:t>
      </w:r>
      <w:r w:rsidR="007B47B1" w:rsidRPr="004542B5">
        <w:rPr>
          <w:noProof w:val="0"/>
          <w:szCs w:val="20"/>
          <w:lang w:val="en-US"/>
        </w:rPr>
        <w:t xml:space="preserve"> 2008,</w:t>
      </w:r>
      <w:r w:rsidR="00CD2B90" w:rsidRPr="004542B5">
        <w:rPr>
          <w:noProof w:val="0"/>
          <w:szCs w:val="20"/>
          <w:lang w:val="en-US"/>
        </w:rPr>
        <w:t xml:space="preserve"> and </w:t>
      </w:r>
      <w:r w:rsidR="00E30186" w:rsidRPr="004542B5">
        <w:rPr>
          <w:noProof w:val="0"/>
          <w:szCs w:val="20"/>
          <w:lang w:val="en-US"/>
        </w:rPr>
        <w:t>(</w:t>
      </w:r>
      <w:r w:rsidR="007B47B1" w:rsidRPr="004542B5">
        <w:rPr>
          <w:noProof w:val="0"/>
          <w:szCs w:val="20"/>
          <w:lang w:val="en-US"/>
        </w:rPr>
        <w:t xml:space="preserve">2) </w:t>
      </w:r>
      <w:r w:rsidR="00893304" w:rsidRPr="004542B5">
        <w:rPr>
          <w:noProof w:val="0"/>
          <w:szCs w:val="20"/>
          <w:lang w:val="en-US"/>
        </w:rPr>
        <w:t xml:space="preserve">domestic norms currently in force </w:t>
      </w:r>
      <w:r w:rsidR="007B47B1" w:rsidRPr="004542B5">
        <w:rPr>
          <w:noProof w:val="0"/>
          <w:szCs w:val="20"/>
          <w:lang w:val="en-US"/>
        </w:rPr>
        <w:t>(</w:t>
      </w:r>
      <w:r w:rsidR="0033788F" w:rsidRPr="004542B5">
        <w:rPr>
          <w:noProof w:val="0"/>
          <w:szCs w:val="20"/>
          <w:lang w:val="en-US"/>
        </w:rPr>
        <w:t>Law</w:t>
      </w:r>
      <w:r w:rsidR="007B47B1" w:rsidRPr="004542B5">
        <w:rPr>
          <w:noProof w:val="0"/>
          <w:szCs w:val="20"/>
          <w:lang w:val="en-US"/>
        </w:rPr>
        <w:t xml:space="preserve"> 72 </w:t>
      </w:r>
      <w:r w:rsidR="00893304" w:rsidRPr="004542B5">
        <w:rPr>
          <w:noProof w:val="0"/>
          <w:szCs w:val="20"/>
          <w:lang w:val="en-US"/>
        </w:rPr>
        <w:t>of</w:t>
      </w:r>
      <w:r w:rsidR="007B47B1" w:rsidRPr="004542B5">
        <w:rPr>
          <w:noProof w:val="0"/>
          <w:szCs w:val="20"/>
          <w:lang w:val="en-US"/>
        </w:rPr>
        <w:t xml:space="preserve"> 2008</w:t>
      </w:r>
      <w:r w:rsidR="00CD2B90" w:rsidRPr="004542B5">
        <w:rPr>
          <w:noProof w:val="0"/>
          <w:szCs w:val="20"/>
          <w:lang w:val="en-US"/>
        </w:rPr>
        <w:t xml:space="preserve"> and </w:t>
      </w:r>
      <w:r w:rsidR="005115A6" w:rsidRPr="004542B5">
        <w:rPr>
          <w:noProof w:val="0"/>
          <w:szCs w:val="20"/>
          <w:lang w:val="en-US"/>
        </w:rPr>
        <w:t>Executive Decree</w:t>
      </w:r>
      <w:r w:rsidR="007B47B1" w:rsidRPr="004542B5">
        <w:rPr>
          <w:noProof w:val="0"/>
          <w:szCs w:val="20"/>
          <w:lang w:val="en-US"/>
        </w:rPr>
        <w:t xml:space="preserve"> 223</w:t>
      </w:r>
      <w:r w:rsidR="00893304" w:rsidRPr="004542B5">
        <w:rPr>
          <w:noProof w:val="0"/>
          <w:szCs w:val="20"/>
          <w:lang w:val="en-US"/>
        </w:rPr>
        <w:t xml:space="preserve"> of 2010</w:t>
      </w:r>
      <w:r w:rsidR="007B47B1" w:rsidRPr="004542B5">
        <w:rPr>
          <w:noProof w:val="0"/>
          <w:szCs w:val="20"/>
          <w:lang w:val="en-US"/>
        </w:rPr>
        <w:t>).</w:t>
      </w:r>
    </w:p>
    <w:p w14:paraId="4F7F01A9" w14:textId="4B770ACD" w:rsidR="00580CE1" w:rsidRPr="004542B5" w:rsidRDefault="007B47B1" w:rsidP="00E01664">
      <w:pPr>
        <w:pStyle w:val="ListParagraph"/>
        <w:spacing w:before="240" w:after="240"/>
        <w:ind w:left="2154" w:firstLine="6"/>
        <w:contextualSpacing w:val="0"/>
        <w:rPr>
          <w:rFonts w:cs="Verdana Bold"/>
          <w:bCs/>
          <w:i/>
          <w:noProof w:val="0"/>
          <w:szCs w:val="20"/>
          <w:lang w:val="en-US"/>
        </w:rPr>
      </w:pPr>
      <w:r w:rsidRPr="004542B5">
        <w:rPr>
          <w:rFonts w:cs="Verdana Bold"/>
          <w:bCs/>
          <w:i/>
          <w:noProof w:val="0"/>
          <w:szCs w:val="20"/>
          <w:lang w:val="en-US"/>
        </w:rPr>
        <w:t>B.</w:t>
      </w:r>
      <w:r w:rsidR="00943DAC" w:rsidRPr="004542B5">
        <w:rPr>
          <w:rFonts w:cs="Verdana Bold"/>
          <w:bCs/>
          <w:i/>
          <w:noProof w:val="0"/>
          <w:szCs w:val="20"/>
          <w:lang w:val="en-US"/>
        </w:rPr>
        <w:t>2</w:t>
      </w:r>
      <w:r w:rsidRPr="004542B5">
        <w:rPr>
          <w:rFonts w:cs="Verdana Bold"/>
          <w:bCs/>
          <w:i/>
          <w:noProof w:val="0"/>
          <w:szCs w:val="20"/>
          <w:lang w:val="en-US"/>
        </w:rPr>
        <w:t xml:space="preserve">.1. </w:t>
      </w:r>
      <w:r w:rsidR="005A520F" w:rsidRPr="004542B5">
        <w:rPr>
          <w:rFonts w:cs="Verdana Bold"/>
          <w:bCs/>
          <w:i/>
          <w:noProof w:val="0"/>
          <w:szCs w:val="20"/>
          <w:lang w:val="en-US"/>
        </w:rPr>
        <w:t>Domestic norms in force before</w:t>
      </w:r>
      <w:r w:rsidRPr="004542B5">
        <w:rPr>
          <w:rFonts w:cs="Verdana Bold"/>
          <w:bCs/>
          <w:i/>
          <w:noProof w:val="0"/>
          <w:szCs w:val="20"/>
          <w:lang w:val="en-US"/>
        </w:rPr>
        <w:t xml:space="preserve"> </w:t>
      </w:r>
      <w:r w:rsidR="0033788F" w:rsidRPr="004542B5">
        <w:rPr>
          <w:rFonts w:cs="Verdana Bold"/>
          <w:bCs/>
          <w:i/>
          <w:noProof w:val="0"/>
          <w:szCs w:val="20"/>
          <w:lang w:val="en-US"/>
        </w:rPr>
        <w:t>Law</w:t>
      </w:r>
      <w:r w:rsidRPr="004542B5">
        <w:rPr>
          <w:rFonts w:cs="Verdana Bold"/>
          <w:bCs/>
          <w:i/>
          <w:noProof w:val="0"/>
          <w:szCs w:val="20"/>
          <w:lang w:val="en-US"/>
        </w:rPr>
        <w:t xml:space="preserve"> 72</w:t>
      </w:r>
      <w:r w:rsidR="00893304" w:rsidRPr="004542B5">
        <w:rPr>
          <w:rFonts w:cs="Verdana Bold"/>
          <w:bCs/>
          <w:i/>
          <w:noProof w:val="0"/>
          <w:szCs w:val="20"/>
          <w:lang w:val="en-US"/>
        </w:rPr>
        <w:t xml:space="preserve"> of 2008</w:t>
      </w:r>
    </w:p>
    <w:p w14:paraId="566F8729" w14:textId="14B88173" w:rsidR="00580CE1" w:rsidRPr="004542B5" w:rsidRDefault="00893304" w:rsidP="00E01664">
      <w:pPr>
        <w:pStyle w:val="ListParagraph"/>
        <w:numPr>
          <w:ilvl w:val="0"/>
          <w:numId w:val="2"/>
        </w:numPr>
        <w:spacing w:before="120" w:after="120"/>
        <w:contextualSpacing w:val="0"/>
        <w:rPr>
          <w:noProof w:val="0"/>
          <w:szCs w:val="20"/>
          <w:lang w:val="en-US"/>
        </w:rPr>
      </w:pPr>
      <w:r w:rsidRPr="004542B5">
        <w:rPr>
          <w:noProof w:val="0"/>
          <w:szCs w:val="20"/>
          <w:lang w:val="en-US"/>
        </w:rPr>
        <w:t xml:space="preserve">As indicated above, </w:t>
      </w:r>
      <w:r w:rsidR="00C06694" w:rsidRPr="004542B5">
        <w:rPr>
          <w:noProof w:val="0"/>
          <w:szCs w:val="20"/>
          <w:lang w:val="en-US"/>
        </w:rPr>
        <w:t>Executive Decree</w:t>
      </w:r>
      <w:r w:rsidR="007B47B1" w:rsidRPr="004542B5">
        <w:rPr>
          <w:noProof w:val="0"/>
          <w:szCs w:val="20"/>
          <w:lang w:val="en-US"/>
        </w:rPr>
        <w:t xml:space="preserve"> </w:t>
      </w:r>
      <w:r w:rsidR="00CD2B90" w:rsidRPr="004542B5">
        <w:rPr>
          <w:noProof w:val="0"/>
          <w:szCs w:val="20"/>
          <w:lang w:val="en-US"/>
        </w:rPr>
        <w:t>No.</w:t>
      </w:r>
      <w:r w:rsidR="007B47B1" w:rsidRPr="004542B5">
        <w:rPr>
          <w:noProof w:val="0"/>
          <w:szCs w:val="20"/>
          <w:lang w:val="en-US"/>
        </w:rPr>
        <w:t xml:space="preserve"> 123 </w:t>
      </w:r>
      <w:r w:rsidRPr="004542B5">
        <w:rPr>
          <w:noProof w:val="0"/>
          <w:szCs w:val="20"/>
          <w:lang w:val="en-US"/>
        </w:rPr>
        <w:t>of May 8,</w:t>
      </w:r>
      <w:r w:rsidR="007B47B1" w:rsidRPr="004542B5">
        <w:rPr>
          <w:noProof w:val="0"/>
          <w:szCs w:val="20"/>
          <w:lang w:val="en-US"/>
        </w:rPr>
        <w:t xml:space="preserve"> 1969, </w:t>
      </w:r>
      <w:r w:rsidRPr="004542B5">
        <w:rPr>
          <w:noProof w:val="0"/>
          <w:szCs w:val="20"/>
          <w:lang w:val="en-US"/>
        </w:rPr>
        <w:t>granted alternative territories in compensation for the area of the indigenous reserve that was subsequently flooded</w:t>
      </w:r>
      <w:r w:rsidR="007B47B1" w:rsidRPr="004542B5">
        <w:rPr>
          <w:noProof w:val="0"/>
          <w:szCs w:val="20"/>
          <w:lang w:val="en-US"/>
        </w:rPr>
        <w:t xml:space="preserve"> (</w:t>
      </w:r>
      <w:r w:rsidR="007B47B1" w:rsidRPr="004542B5">
        <w:rPr>
          <w:i/>
          <w:noProof w:val="0"/>
          <w:szCs w:val="20"/>
          <w:lang w:val="en-US"/>
        </w:rPr>
        <w:t>supra</w:t>
      </w:r>
      <w:r w:rsidR="007B47B1" w:rsidRPr="004542B5">
        <w:rPr>
          <w:noProof w:val="0"/>
          <w:szCs w:val="20"/>
          <w:lang w:val="en-US"/>
        </w:rPr>
        <w:t xml:space="preserve"> </w:t>
      </w:r>
      <w:r w:rsidR="00F66B76" w:rsidRPr="004542B5">
        <w:rPr>
          <w:noProof w:val="0"/>
          <w:szCs w:val="20"/>
          <w:lang w:val="en-US"/>
        </w:rPr>
        <w:t>para.</w:t>
      </w:r>
      <w:r w:rsidR="007B47B1" w:rsidRPr="004542B5">
        <w:rPr>
          <w:noProof w:val="0"/>
          <w:szCs w:val="20"/>
          <w:lang w:val="en-US"/>
        </w:rPr>
        <w:t xml:space="preserve"> </w:t>
      </w:r>
      <w:r w:rsidR="001E6D67" w:rsidRPr="004542B5">
        <w:rPr>
          <w:noProof w:val="0"/>
          <w:szCs w:val="20"/>
          <w:lang w:val="en-US"/>
        </w:rPr>
        <w:t>63</w:t>
      </w:r>
      <w:r w:rsidR="007B47B1" w:rsidRPr="004542B5">
        <w:rPr>
          <w:noProof w:val="0"/>
          <w:szCs w:val="20"/>
          <w:lang w:val="en-US"/>
        </w:rPr>
        <w:t xml:space="preserve">). </w:t>
      </w:r>
      <w:r w:rsidRPr="004542B5">
        <w:rPr>
          <w:noProof w:val="0"/>
          <w:szCs w:val="20"/>
          <w:lang w:val="en-US"/>
        </w:rPr>
        <w:t xml:space="preserve">Thus, since 1969, </w:t>
      </w:r>
      <w:r w:rsidR="00562CBB" w:rsidRPr="004542B5">
        <w:rPr>
          <w:noProof w:val="0"/>
          <w:szCs w:val="20"/>
          <w:lang w:val="en-US"/>
        </w:rPr>
        <w:t>the State</w:t>
      </w:r>
      <w:r w:rsidR="007B47B1" w:rsidRPr="004542B5">
        <w:rPr>
          <w:noProof w:val="0"/>
          <w:szCs w:val="20"/>
          <w:lang w:val="en-US"/>
        </w:rPr>
        <w:t xml:space="preserve"> </w:t>
      </w:r>
      <w:r w:rsidR="00FE0BF3" w:rsidRPr="004542B5">
        <w:rPr>
          <w:noProof w:val="0"/>
          <w:szCs w:val="20"/>
          <w:lang w:val="en-US"/>
        </w:rPr>
        <w:t>of Panama</w:t>
      </w:r>
      <w:r w:rsidR="007B47B1" w:rsidRPr="004542B5">
        <w:rPr>
          <w:noProof w:val="0"/>
          <w:szCs w:val="20"/>
          <w:lang w:val="en-US"/>
        </w:rPr>
        <w:t xml:space="preserve"> </w:t>
      </w:r>
      <w:r w:rsidRPr="004542B5">
        <w:rPr>
          <w:noProof w:val="0"/>
          <w:szCs w:val="20"/>
          <w:lang w:val="en-US"/>
        </w:rPr>
        <w:t xml:space="preserve">was bound to make enjoyment of the alternative lands it had granted </w:t>
      </w:r>
      <w:r w:rsidR="00F36813" w:rsidRPr="004542B5">
        <w:rPr>
          <w:noProof w:val="0"/>
          <w:szCs w:val="20"/>
          <w:lang w:val="en-US"/>
        </w:rPr>
        <w:t xml:space="preserve">effective </w:t>
      </w:r>
      <w:r w:rsidRPr="004542B5">
        <w:rPr>
          <w:noProof w:val="0"/>
          <w:szCs w:val="20"/>
          <w:lang w:val="en-US"/>
        </w:rPr>
        <w:t xml:space="preserve">and, as indicated, this </w:t>
      </w:r>
      <w:r w:rsidR="006110CB" w:rsidRPr="004542B5">
        <w:rPr>
          <w:noProof w:val="0"/>
          <w:szCs w:val="20"/>
          <w:lang w:val="en-US"/>
        </w:rPr>
        <w:t>necessarily</w:t>
      </w:r>
      <w:r w:rsidRPr="004542B5">
        <w:rPr>
          <w:noProof w:val="0"/>
          <w:szCs w:val="20"/>
          <w:lang w:val="en-US"/>
        </w:rPr>
        <w:t xml:space="preserve"> entailed the delimitation and demarcation of those lands </w:t>
      </w:r>
      <w:r w:rsidR="007B47B1" w:rsidRPr="004542B5">
        <w:rPr>
          <w:noProof w:val="0"/>
          <w:szCs w:val="20"/>
          <w:lang w:val="en-US"/>
        </w:rPr>
        <w:t>(</w:t>
      </w:r>
      <w:r w:rsidR="007B47B1" w:rsidRPr="004542B5">
        <w:rPr>
          <w:i/>
          <w:noProof w:val="0"/>
          <w:szCs w:val="20"/>
          <w:lang w:val="en-US"/>
        </w:rPr>
        <w:t>supra</w:t>
      </w:r>
      <w:r w:rsidR="007B47B1" w:rsidRPr="004542B5">
        <w:rPr>
          <w:noProof w:val="0"/>
          <w:szCs w:val="20"/>
          <w:lang w:val="en-US"/>
        </w:rPr>
        <w:t xml:space="preserve"> </w:t>
      </w:r>
      <w:r w:rsidR="00F66B76" w:rsidRPr="004542B5">
        <w:rPr>
          <w:noProof w:val="0"/>
          <w:szCs w:val="20"/>
          <w:lang w:val="en-US"/>
        </w:rPr>
        <w:t>para.</w:t>
      </w:r>
      <w:r w:rsidR="007B47B1" w:rsidRPr="004542B5">
        <w:rPr>
          <w:noProof w:val="0"/>
          <w:szCs w:val="20"/>
          <w:lang w:val="en-US"/>
        </w:rPr>
        <w:t xml:space="preserve"> </w:t>
      </w:r>
      <w:r w:rsidR="001E6D67" w:rsidRPr="004542B5">
        <w:rPr>
          <w:noProof w:val="0"/>
          <w:szCs w:val="20"/>
          <w:lang w:val="en-US"/>
        </w:rPr>
        <w:t>119</w:t>
      </w:r>
      <w:r w:rsidR="007B47B1" w:rsidRPr="004542B5">
        <w:rPr>
          <w:noProof w:val="0"/>
          <w:szCs w:val="20"/>
          <w:lang w:val="en-US"/>
        </w:rPr>
        <w:t xml:space="preserve">). </w:t>
      </w:r>
    </w:p>
    <w:p w14:paraId="0FA116C6" w14:textId="6D2F9B71" w:rsidR="00580CE1" w:rsidRPr="004542B5" w:rsidRDefault="00893304" w:rsidP="00893304">
      <w:pPr>
        <w:pStyle w:val="ListParagraph"/>
        <w:numPr>
          <w:ilvl w:val="0"/>
          <w:numId w:val="2"/>
        </w:numPr>
        <w:spacing w:before="120" w:after="120"/>
        <w:contextualSpacing w:val="0"/>
        <w:rPr>
          <w:noProof w:val="0"/>
          <w:szCs w:val="20"/>
          <w:lang w:val="en-US"/>
        </w:rPr>
      </w:pPr>
      <w:r w:rsidRPr="004542B5">
        <w:rPr>
          <w:noProof w:val="0"/>
          <w:szCs w:val="20"/>
          <w:lang w:val="en-US"/>
        </w:rPr>
        <w:t>Furthermore, regarding the obligation to provide title to the lands, the Court notes that, in 1972, the right to collective property of the indigenous peoples was established in the Panamanian Constitution; thus, since that date, an obligation has existed under domestic law to provide title to indigenous lands. Despite this, before 2008, no legal procedure had been established to grant collective property titles to the indigenous peoples. This right had been granted in each specific case by different laws that created the five indigenous comarcas</w:t>
      </w:r>
      <w:r w:rsidR="007B47B1" w:rsidRPr="004542B5">
        <w:rPr>
          <w:noProof w:val="0"/>
          <w:szCs w:val="20"/>
          <w:lang w:val="en-US"/>
        </w:rPr>
        <w:t xml:space="preserve"> (</w:t>
      </w:r>
      <w:r w:rsidR="007B47B1" w:rsidRPr="004542B5">
        <w:rPr>
          <w:i/>
          <w:noProof w:val="0"/>
          <w:szCs w:val="20"/>
          <w:lang w:val="en-US"/>
        </w:rPr>
        <w:t>supra</w:t>
      </w:r>
      <w:r w:rsidR="007B47B1" w:rsidRPr="004542B5">
        <w:rPr>
          <w:noProof w:val="0"/>
          <w:szCs w:val="20"/>
          <w:lang w:val="en-US"/>
        </w:rPr>
        <w:t xml:space="preserve"> </w:t>
      </w:r>
      <w:r w:rsidR="00F66B76" w:rsidRPr="004542B5">
        <w:rPr>
          <w:noProof w:val="0"/>
          <w:szCs w:val="20"/>
          <w:lang w:val="en-US"/>
        </w:rPr>
        <w:t>para.</w:t>
      </w:r>
      <w:r w:rsidR="007B47B1" w:rsidRPr="004542B5">
        <w:rPr>
          <w:noProof w:val="0"/>
          <w:szCs w:val="20"/>
          <w:lang w:val="en-US"/>
        </w:rPr>
        <w:t xml:space="preserve"> </w:t>
      </w:r>
      <w:r w:rsidR="001E6D67" w:rsidRPr="004542B5">
        <w:rPr>
          <w:noProof w:val="0"/>
          <w:szCs w:val="20"/>
          <w:lang w:val="en-US"/>
        </w:rPr>
        <w:t>59</w:t>
      </w:r>
      <w:r w:rsidR="007B47B1" w:rsidRPr="004542B5">
        <w:rPr>
          <w:noProof w:val="0"/>
          <w:szCs w:val="20"/>
          <w:lang w:val="en-US"/>
        </w:rPr>
        <w:t>).</w:t>
      </w:r>
    </w:p>
    <w:p w14:paraId="31F36C78" w14:textId="2C37A23F" w:rsidR="00580CE1" w:rsidRPr="004542B5" w:rsidRDefault="00893304" w:rsidP="00E01664">
      <w:pPr>
        <w:pStyle w:val="ListParagraph"/>
        <w:numPr>
          <w:ilvl w:val="0"/>
          <w:numId w:val="2"/>
        </w:numPr>
        <w:spacing w:before="120" w:after="120"/>
        <w:contextualSpacing w:val="0"/>
        <w:rPr>
          <w:noProof w:val="0"/>
          <w:szCs w:val="20"/>
          <w:lang w:val="en-US"/>
        </w:rPr>
      </w:pPr>
      <w:r w:rsidRPr="004542B5">
        <w:rPr>
          <w:noProof w:val="0"/>
          <w:szCs w:val="20"/>
          <w:lang w:val="en-US"/>
        </w:rPr>
        <w:t>In this regard, the Court notes that the</w:t>
      </w:r>
      <w:r w:rsidR="00F36813" w:rsidRPr="004542B5">
        <w:rPr>
          <w:noProof w:val="0"/>
          <w:szCs w:val="20"/>
          <w:lang w:val="en-US"/>
        </w:rPr>
        <w:t xml:space="preserve"> said</w:t>
      </w:r>
      <w:r w:rsidRPr="004542B5">
        <w:rPr>
          <w:noProof w:val="0"/>
          <w:szCs w:val="20"/>
          <w:lang w:val="en-US"/>
        </w:rPr>
        <w:t xml:space="preserve"> five laws contain different provisions in relation to the obligation to title, delimit and demarcate. The body of evidence reveals that neither Law 24 of 1996, which created the </w:t>
      </w:r>
      <w:r w:rsidR="00045DC1" w:rsidRPr="004542B5">
        <w:rPr>
          <w:noProof w:val="0"/>
          <w:szCs w:val="20"/>
          <w:lang w:val="en-US"/>
        </w:rPr>
        <w:t>Kuna Comarca of</w:t>
      </w:r>
      <w:r w:rsidR="007B47B1" w:rsidRPr="004542B5">
        <w:rPr>
          <w:noProof w:val="0"/>
          <w:szCs w:val="20"/>
          <w:lang w:val="en-US"/>
        </w:rPr>
        <w:t xml:space="preserve"> Madungandí, </w:t>
      </w:r>
      <w:r w:rsidRPr="004542B5">
        <w:rPr>
          <w:noProof w:val="0"/>
          <w:szCs w:val="20"/>
          <w:lang w:val="en-US"/>
        </w:rPr>
        <w:t xml:space="preserve">nor the laws establishing another three comarcas referred to the demarcation of the territories. However, article 3 of the law that created the </w:t>
      </w:r>
      <w:r w:rsidR="007B47B1" w:rsidRPr="004542B5">
        <w:rPr>
          <w:noProof w:val="0"/>
          <w:szCs w:val="20"/>
          <w:lang w:val="en-US"/>
        </w:rPr>
        <w:t xml:space="preserve">Ngobe-Buglé </w:t>
      </w:r>
      <w:r w:rsidRPr="004542B5">
        <w:rPr>
          <w:noProof w:val="0"/>
          <w:szCs w:val="20"/>
          <w:lang w:val="en-US"/>
        </w:rPr>
        <w:t>Comarca referred specifically to the demarcation of this comarca.</w:t>
      </w:r>
      <w:r w:rsidR="007B47B1" w:rsidRPr="004542B5">
        <w:rPr>
          <w:rStyle w:val="FootnoteReference"/>
          <w:noProof w:val="0"/>
          <w:lang w:val="en-US"/>
        </w:rPr>
        <w:footnoteReference w:id="226"/>
      </w:r>
    </w:p>
    <w:p w14:paraId="6294F675" w14:textId="2E7B6C40" w:rsidR="00580CE1" w:rsidRPr="004542B5" w:rsidRDefault="00327FA3" w:rsidP="007B3F7F">
      <w:pPr>
        <w:pStyle w:val="ListParagraph"/>
        <w:numPr>
          <w:ilvl w:val="0"/>
          <w:numId w:val="2"/>
        </w:numPr>
        <w:spacing w:before="120" w:after="120"/>
        <w:contextualSpacing w:val="0"/>
        <w:rPr>
          <w:noProof w:val="0"/>
          <w:szCs w:val="20"/>
          <w:lang w:val="en-US"/>
        </w:rPr>
      </w:pPr>
      <w:r w:rsidRPr="004542B5">
        <w:rPr>
          <w:noProof w:val="0"/>
          <w:szCs w:val="20"/>
          <w:lang w:val="en-US"/>
        </w:rPr>
        <w:lastRenderedPageBreak/>
        <w:t>The</w:t>
      </w:r>
      <w:r w:rsidR="00562CBB" w:rsidRPr="004542B5">
        <w:rPr>
          <w:noProof w:val="0"/>
          <w:szCs w:val="20"/>
          <w:lang w:val="en-US"/>
        </w:rPr>
        <w:t xml:space="preserve"> Court</w:t>
      </w:r>
      <w:r w:rsidR="007B47B1" w:rsidRPr="004542B5">
        <w:rPr>
          <w:noProof w:val="0"/>
          <w:szCs w:val="20"/>
          <w:lang w:val="en-US"/>
        </w:rPr>
        <w:t xml:space="preserve"> </w:t>
      </w:r>
      <w:r w:rsidR="007B3F7F" w:rsidRPr="004542B5">
        <w:rPr>
          <w:noProof w:val="0"/>
          <w:szCs w:val="20"/>
          <w:lang w:val="en-US"/>
        </w:rPr>
        <w:t>notes that</w:t>
      </w:r>
      <w:r w:rsidR="007B47B1" w:rsidRPr="004542B5">
        <w:rPr>
          <w:noProof w:val="0"/>
          <w:szCs w:val="20"/>
          <w:lang w:val="en-US"/>
        </w:rPr>
        <w:t xml:space="preserve"> </w:t>
      </w:r>
      <w:r w:rsidR="0033788F" w:rsidRPr="004542B5">
        <w:rPr>
          <w:noProof w:val="0"/>
          <w:szCs w:val="20"/>
          <w:lang w:val="en-US"/>
        </w:rPr>
        <w:t>Law</w:t>
      </w:r>
      <w:r w:rsidR="007B47B1" w:rsidRPr="004542B5">
        <w:rPr>
          <w:noProof w:val="0"/>
          <w:szCs w:val="20"/>
          <w:lang w:val="en-US"/>
        </w:rPr>
        <w:t xml:space="preserve"> 58 </w:t>
      </w:r>
      <w:r w:rsidR="007B3F7F" w:rsidRPr="004542B5">
        <w:rPr>
          <w:noProof w:val="0"/>
          <w:szCs w:val="20"/>
          <w:lang w:val="en-US"/>
        </w:rPr>
        <w:t>of</w:t>
      </w:r>
      <w:r w:rsidR="007B47B1" w:rsidRPr="004542B5">
        <w:rPr>
          <w:noProof w:val="0"/>
          <w:szCs w:val="20"/>
          <w:lang w:val="en-US"/>
        </w:rPr>
        <w:t xml:space="preserve"> </w:t>
      </w:r>
      <w:r w:rsidR="00517C7D" w:rsidRPr="004542B5">
        <w:rPr>
          <w:noProof w:val="0"/>
          <w:szCs w:val="20"/>
          <w:lang w:val="en-US"/>
        </w:rPr>
        <w:t>July 29,</w:t>
      </w:r>
      <w:r w:rsidR="007B47B1" w:rsidRPr="004542B5">
        <w:rPr>
          <w:noProof w:val="0"/>
          <w:szCs w:val="20"/>
          <w:lang w:val="en-US"/>
        </w:rPr>
        <w:t xml:space="preserve"> 1998</w:t>
      </w:r>
      <w:r w:rsidR="007B3F7F" w:rsidRPr="004542B5">
        <w:rPr>
          <w:noProof w:val="0"/>
          <w:szCs w:val="20"/>
          <w:lang w:val="en-US"/>
        </w:rPr>
        <w:t>,</w:t>
      </w:r>
      <w:r w:rsidR="007B47B1" w:rsidRPr="004542B5">
        <w:rPr>
          <w:rStyle w:val="FootnoteReference"/>
          <w:noProof w:val="0"/>
          <w:lang w:val="en-US"/>
        </w:rPr>
        <w:footnoteReference w:id="227"/>
      </w:r>
      <w:r w:rsidR="007B47B1" w:rsidRPr="004542B5">
        <w:rPr>
          <w:noProof w:val="0"/>
          <w:szCs w:val="20"/>
          <w:lang w:val="en-US"/>
        </w:rPr>
        <w:t xml:space="preserve"> </w:t>
      </w:r>
      <w:r w:rsidR="007B3F7F" w:rsidRPr="004542B5">
        <w:rPr>
          <w:noProof w:val="0"/>
          <w:szCs w:val="20"/>
          <w:lang w:val="en-US"/>
        </w:rPr>
        <w:t>created</w:t>
      </w:r>
      <w:r w:rsidR="007B47B1" w:rsidRPr="004542B5">
        <w:rPr>
          <w:noProof w:val="0"/>
          <w:szCs w:val="20"/>
          <w:lang w:val="en-US"/>
        </w:rPr>
        <w:t xml:space="preserve"> </w:t>
      </w:r>
      <w:r w:rsidR="00562CBB" w:rsidRPr="004542B5">
        <w:rPr>
          <w:noProof w:val="0"/>
          <w:lang w:val="en-US"/>
        </w:rPr>
        <w:t xml:space="preserve">the </w:t>
      </w:r>
      <w:r w:rsidR="007B3F7F" w:rsidRPr="004542B5">
        <w:rPr>
          <w:noProof w:val="0"/>
          <w:lang w:val="en-US"/>
        </w:rPr>
        <w:t>National Political</w:t>
      </w:r>
      <w:r w:rsidR="00F36813" w:rsidRPr="004542B5">
        <w:rPr>
          <w:noProof w:val="0"/>
          <w:lang w:val="en-US"/>
        </w:rPr>
        <w:t>-</w:t>
      </w:r>
      <w:r w:rsidR="007B3F7F" w:rsidRPr="004542B5">
        <w:rPr>
          <w:noProof w:val="0"/>
          <w:lang w:val="en-US"/>
        </w:rPr>
        <w:t>Administrative Boundaries</w:t>
      </w:r>
      <w:r w:rsidR="00F36813" w:rsidRPr="004542B5">
        <w:rPr>
          <w:noProof w:val="0"/>
          <w:lang w:val="en-US"/>
        </w:rPr>
        <w:t xml:space="preserve"> Commission</w:t>
      </w:r>
      <w:r w:rsidR="007B3F7F" w:rsidRPr="004542B5">
        <w:rPr>
          <w:noProof w:val="0"/>
          <w:lang w:val="en-US"/>
        </w:rPr>
        <w:t xml:space="preserve">, which established, among other matters, that “[i]n  the case of the demarcation of indigenous comarcas, it coordinate[d] with the Indigenous Policy Directorate </w:t>
      </w:r>
      <w:r w:rsidR="007B3F7F" w:rsidRPr="004542B5">
        <w:rPr>
          <w:noProof w:val="0"/>
          <w:szCs w:val="20"/>
          <w:lang w:val="en-US"/>
        </w:rPr>
        <w:t xml:space="preserve">of the Ministry of the Interior and Justice.” It also established that “[t]he political and administrative boundaries, whose reference points could lead to future conflicts, must be demarcated with border markers or another type of marker with the shape, form and dimensions in keeping with the appropriate technical specifications.” This commission carried out the physical demarcation of the </w:t>
      </w:r>
      <w:r w:rsidR="00045DC1" w:rsidRPr="004542B5">
        <w:rPr>
          <w:noProof w:val="0"/>
          <w:szCs w:val="20"/>
          <w:lang w:val="en-US"/>
        </w:rPr>
        <w:t>Kuna Comarca of</w:t>
      </w:r>
      <w:r w:rsidR="007B47B1" w:rsidRPr="004542B5">
        <w:rPr>
          <w:noProof w:val="0"/>
          <w:szCs w:val="20"/>
          <w:lang w:val="en-US"/>
        </w:rPr>
        <w:t xml:space="preserve"> Madungandí </w:t>
      </w:r>
      <w:r w:rsidR="007B3F7F" w:rsidRPr="004542B5">
        <w:rPr>
          <w:noProof w:val="0"/>
          <w:szCs w:val="20"/>
          <w:lang w:val="en-US"/>
        </w:rPr>
        <w:t>in</w:t>
      </w:r>
      <w:r w:rsidR="007B47B1" w:rsidRPr="004542B5">
        <w:rPr>
          <w:noProof w:val="0"/>
          <w:szCs w:val="20"/>
          <w:lang w:val="en-US"/>
        </w:rPr>
        <w:t xml:space="preserve"> 2000</w:t>
      </w:r>
      <w:r w:rsidR="007B3F7F" w:rsidRPr="004542B5">
        <w:rPr>
          <w:noProof w:val="0"/>
          <w:szCs w:val="20"/>
          <w:lang w:val="en-US"/>
        </w:rPr>
        <w:t>.</w:t>
      </w:r>
      <w:r w:rsidR="008479CE" w:rsidRPr="004542B5">
        <w:rPr>
          <w:rStyle w:val="FootnoteReference"/>
          <w:noProof w:val="0"/>
          <w:lang w:val="en-US"/>
        </w:rPr>
        <w:footnoteReference w:id="228"/>
      </w:r>
    </w:p>
    <w:p w14:paraId="07BFCF8F" w14:textId="3B0922F1" w:rsidR="001937A4" w:rsidRPr="004542B5" w:rsidRDefault="00F36813" w:rsidP="00E01664">
      <w:pPr>
        <w:pStyle w:val="ListParagraph"/>
        <w:numPr>
          <w:ilvl w:val="0"/>
          <w:numId w:val="2"/>
        </w:numPr>
        <w:spacing w:before="120" w:after="120"/>
        <w:contextualSpacing w:val="0"/>
        <w:rPr>
          <w:noProof w:val="0"/>
          <w:szCs w:val="20"/>
          <w:lang w:val="en-US"/>
        </w:rPr>
      </w:pPr>
      <w:r w:rsidRPr="004542B5">
        <w:rPr>
          <w:noProof w:val="0"/>
          <w:szCs w:val="20"/>
          <w:lang w:val="en-US"/>
        </w:rPr>
        <w:t>Furthermore, it</w:t>
      </w:r>
      <w:r w:rsidR="007B3F7F" w:rsidRPr="004542B5">
        <w:rPr>
          <w:noProof w:val="0"/>
          <w:szCs w:val="20"/>
          <w:lang w:val="en-US"/>
        </w:rPr>
        <w:t xml:space="preserve"> has been indicated that it was evident that, at least since the State accepted the Court’s contentious jurisdiction, it had an international obligation to delimit, demarcate and title the alternative lands in favor</w:t>
      </w:r>
      <w:r w:rsidR="004D0B27" w:rsidRPr="004542B5">
        <w:rPr>
          <w:noProof w:val="0"/>
          <w:lang w:val="en-US"/>
        </w:rPr>
        <w:t xml:space="preserve"> of the </w:t>
      </w:r>
      <w:r w:rsidR="003C263F" w:rsidRPr="004542B5">
        <w:rPr>
          <w:noProof w:val="0"/>
          <w:lang w:val="en-US"/>
        </w:rPr>
        <w:t>Kuna and Emberá peoples</w:t>
      </w:r>
      <w:r w:rsidR="007B47B1" w:rsidRPr="004542B5">
        <w:rPr>
          <w:noProof w:val="0"/>
          <w:lang w:val="en-US"/>
        </w:rPr>
        <w:t xml:space="preserve"> </w:t>
      </w:r>
      <w:r w:rsidR="007B3F7F" w:rsidRPr="004542B5">
        <w:rPr>
          <w:noProof w:val="0"/>
          <w:lang w:val="en-US"/>
        </w:rPr>
        <w:t xml:space="preserve">in order to guarantee their effective enjoyment of those lands </w:t>
      </w:r>
      <w:r w:rsidR="007B47B1" w:rsidRPr="004542B5">
        <w:rPr>
          <w:noProof w:val="0"/>
          <w:szCs w:val="20"/>
          <w:lang w:val="en-US"/>
        </w:rPr>
        <w:t>(</w:t>
      </w:r>
      <w:r w:rsidR="007B47B1" w:rsidRPr="004542B5">
        <w:rPr>
          <w:i/>
          <w:noProof w:val="0"/>
          <w:szCs w:val="20"/>
          <w:lang w:val="en-US"/>
        </w:rPr>
        <w:t>supra</w:t>
      </w:r>
      <w:r w:rsidR="007B47B1" w:rsidRPr="004542B5">
        <w:rPr>
          <w:noProof w:val="0"/>
          <w:szCs w:val="20"/>
          <w:lang w:val="en-US"/>
        </w:rPr>
        <w:t xml:space="preserve"> </w:t>
      </w:r>
      <w:r w:rsidR="00F66B76" w:rsidRPr="004542B5">
        <w:rPr>
          <w:noProof w:val="0"/>
          <w:szCs w:val="20"/>
          <w:lang w:val="en-US"/>
        </w:rPr>
        <w:t>para.</w:t>
      </w:r>
      <w:r w:rsidR="007B3F7F" w:rsidRPr="004542B5">
        <w:rPr>
          <w:noProof w:val="0"/>
          <w:szCs w:val="20"/>
          <w:lang w:val="en-US"/>
        </w:rPr>
        <w:t xml:space="preserve"> </w:t>
      </w:r>
      <w:r w:rsidR="00972791" w:rsidRPr="004542B5">
        <w:rPr>
          <w:noProof w:val="0"/>
          <w:szCs w:val="20"/>
          <w:lang w:val="en-US"/>
        </w:rPr>
        <w:t>117</w:t>
      </w:r>
      <w:r w:rsidR="007B47B1" w:rsidRPr="004542B5">
        <w:rPr>
          <w:noProof w:val="0"/>
          <w:szCs w:val="20"/>
          <w:lang w:val="en-US"/>
        </w:rPr>
        <w:t xml:space="preserve">). </w:t>
      </w:r>
    </w:p>
    <w:p w14:paraId="648A4763" w14:textId="3AFDA962" w:rsidR="004611C3" w:rsidRPr="004542B5" w:rsidRDefault="007B3F7F" w:rsidP="007B3F7F">
      <w:pPr>
        <w:pStyle w:val="ListParagraph"/>
        <w:numPr>
          <w:ilvl w:val="0"/>
          <w:numId w:val="2"/>
        </w:numPr>
        <w:spacing w:before="120" w:after="120"/>
        <w:contextualSpacing w:val="0"/>
        <w:rPr>
          <w:noProof w:val="0"/>
          <w:szCs w:val="20"/>
          <w:lang w:val="en-US"/>
        </w:rPr>
      </w:pPr>
      <w:r w:rsidRPr="004542B5">
        <w:rPr>
          <w:noProof w:val="0"/>
          <w:szCs w:val="20"/>
          <w:lang w:val="en-US"/>
        </w:rPr>
        <w:t xml:space="preserve">Regarding the problems </w:t>
      </w:r>
      <w:r w:rsidR="00BC21B1" w:rsidRPr="004542B5">
        <w:rPr>
          <w:noProof w:val="0"/>
          <w:szCs w:val="20"/>
          <w:lang w:val="en-US"/>
        </w:rPr>
        <w:t>in</w:t>
      </w:r>
      <w:r w:rsidRPr="004542B5">
        <w:rPr>
          <w:noProof w:val="0"/>
          <w:szCs w:val="20"/>
          <w:lang w:val="en-US"/>
        </w:rPr>
        <w:t xml:space="preserve"> the norms </w:t>
      </w:r>
      <w:r w:rsidR="00BC21B1" w:rsidRPr="004542B5">
        <w:rPr>
          <w:noProof w:val="0"/>
          <w:szCs w:val="20"/>
          <w:lang w:val="en-US"/>
        </w:rPr>
        <w:t>concerning</w:t>
      </w:r>
      <w:r w:rsidRPr="004542B5">
        <w:rPr>
          <w:noProof w:val="0"/>
          <w:szCs w:val="20"/>
          <w:lang w:val="en-US"/>
        </w:rPr>
        <w:t xml:space="preserve"> titling, the evidence reveals that, in Panama, the practice was </w:t>
      </w:r>
      <w:r w:rsidR="00BC21B1" w:rsidRPr="004542B5">
        <w:rPr>
          <w:noProof w:val="0"/>
          <w:szCs w:val="20"/>
          <w:lang w:val="en-US"/>
        </w:rPr>
        <w:t xml:space="preserve">to provide </w:t>
      </w:r>
      <w:r w:rsidRPr="004542B5">
        <w:rPr>
          <w:noProof w:val="0"/>
          <w:szCs w:val="20"/>
          <w:lang w:val="en-US"/>
        </w:rPr>
        <w:t>titl</w:t>
      </w:r>
      <w:r w:rsidR="00BC21B1" w:rsidRPr="004542B5">
        <w:rPr>
          <w:noProof w:val="0"/>
          <w:szCs w:val="20"/>
          <w:lang w:val="en-US"/>
        </w:rPr>
        <w:t>e</w:t>
      </w:r>
      <w:r w:rsidRPr="004542B5">
        <w:rPr>
          <w:noProof w:val="0"/>
          <w:szCs w:val="20"/>
          <w:lang w:val="en-US"/>
        </w:rPr>
        <w:t xml:space="preserve"> by </w:t>
      </w:r>
      <w:r w:rsidR="00BC21B1" w:rsidRPr="004542B5">
        <w:rPr>
          <w:noProof w:val="0"/>
          <w:szCs w:val="20"/>
          <w:lang w:val="en-US"/>
        </w:rPr>
        <w:t>creating</w:t>
      </w:r>
      <w:r w:rsidRPr="004542B5">
        <w:rPr>
          <w:noProof w:val="0"/>
          <w:szCs w:val="20"/>
          <w:lang w:val="en-US"/>
        </w:rPr>
        <w:t xml:space="preserve"> indigenous comarcas </w:t>
      </w:r>
      <w:r w:rsidR="00BC21B1" w:rsidRPr="004542B5">
        <w:rPr>
          <w:noProof w:val="0"/>
          <w:szCs w:val="20"/>
          <w:lang w:val="en-US"/>
        </w:rPr>
        <w:t>under a</w:t>
      </w:r>
      <w:r w:rsidRPr="004542B5">
        <w:rPr>
          <w:noProof w:val="0"/>
          <w:szCs w:val="20"/>
          <w:lang w:val="en-US"/>
        </w:rPr>
        <w:t xml:space="preserve"> specific law in each case, with</w:t>
      </w:r>
      <w:r w:rsidR="00BC21B1" w:rsidRPr="004542B5">
        <w:rPr>
          <w:noProof w:val="0"/>
          <w:szCs w:val="20"/>
          <w:lang w:val="en-US"/>
        </w:rPr>
        <w:t xml:space="preserve"> no</w:t>
      </w:r>
      <w:r w:rsidRPr="004542B5">
        <w:rPr>
          <w:noProof w:val="0"/>
          <w:szCs w:val="20"/>
          <w:lang w:val="en-US"/>
        </w:rPr>
        <w:t xml:space="preserve"> generic domestic law that established a procedure for the titling of indigenous lands as collective property. Consequently, </w:t>
      </w:r>
      <w:r w:rsidR="00BC21B1" w:rsidRPr="004542B5">
        <w:rPr>
          <w:noProof w:val="0"/>
          <w:szCs w:val="20"/>
          <w:lang w:val="en-US"/>
        </w:rPr>
        <w:t xml:space="preserve">following a request made by a community, </w:t>
      </w:r>
      <w:r w:rsidRPr="004542B5">
        <w:rPr>
          <w:noProof w:val="0"/>
          <w:szCs w:val="20"/>
          <w:lang w:val="en-US"/>
        </w:rPr>
        <w:t>titling did not depend on a decision</w:t>
      </w:r>
      <w:r w:rsidR="00BC21B1" w:rsidRPr="004542B5">
        <w:rPr>
          <w:noProof w:val="0"/>
          <w:szCs w:val="20"/>
          <w:lang w:val="en-US"/>
        </w:rPr>
        <w:t xml:space="preserve"> taken by</w:t>
      </w:r>
      <w:r w:rsidRPr="004542B5">
        <w:rPr>
          <w:noProof w:val="0"/>
          <w:szCs w:val="20"/>
          <w:lang w:val="en-US"/>
        </w:rPr>
        <w:t xml:space="preserve"> an administrative or judicial entity </w:t>
      </w:r>
      <w:r w:rsidR="00CC2619" w:rsidRPr="004542B5">
        <w:rPr>
          <w:noProof w:val="0"/>
          <w:szCs w:val="20"/>
          <w:lang w:val="en-US"/>
        </w:rPr>
        <w:t>b</w:t>
      </w:r>
      <w:r w:rsidR="00BC21B1" w:rsidRPr="004542B5">
        <w:rPr>
          <w:noProof w:val="0"/>
          <w:szCs w:val="20"/>
          <w:lang w:val="en-US"/>
        </w:rPr>
        <w:t>ased on</w:t>
      </w:r>
      <w:r w:rsidR="00CC2619" w:rsidRPr="004542B5">
        <w:rPr>
          <w:noProof w:val="0"/>
          <w:szCs w:val="20"/>
          <w:lang w:val="en-US"/>
        </w:rPr>
        <w:t xml:space="preserve"> a pre-established procedure. To the contrary, the only mechanism that existed at the time was the enactment of laws </w:t>
      </w:r>
      <w:r w:rsidR="00BC21B1" w:rsidRPr="004542B5">
        <w:rPr>
          <w:noProof w:val="0"/>
          <w:szCs w:val="20"/>
          <w:lang w:val="en-US"/>
        </w:rPr>
        <w:t>and</w:t>
      </w:r>
      <w:r w:rsidR="00CC2619" w:rsidRPr="004542B5">
        <w:rPr>
          <w:noProof w:val="0"/>
          <w:szCs w:val="20"/>
          <w:lang w:val="en-US"/>
        </w:rPr>
        <w:t xml:space="preserve">, in the practice, </w:t>
      </w:r>
      <w:r w:rsidR="00BC21B1" w:rsidRPr="004542B5">
        <w:rPr>
          <w:noProof w:val="0"/>
          <w:szCs w:val="20"/>
          <w:lang w:val="en-US"/>
        </w:rPr>
        <w:t xml:space="preserve">this </w:t>
      </w:r>
      <w:r w:rsidR="00CC2619" w:rsidRPr="004542B5">
        <w:rPr>
          <w:noProof w:val="0"/>
          <w:szCs w:val="20"/>
          <w:lang w:val="en-US"/>
        </w:rPr>
        <w:t xml:space="preserve">was not effective for the prompt titling of the lands possessed by the </w:t>
      </w:r>
      <w:r w:rsidR="007B47B1" w:rsidRPr="004542B5">
        <w:rPr>
          <w:noProof w:val="0"/>
          <w:szCs w:val="20"/>
          <w:lang w:val="en-US"/>
        </w:rPr>
        <w:t>Kuna</w:t>
      </w:r>
      <w:r w:rsidR="00CD2B90" w:rsidRPr="004542B5">
        <w:rPr>
          <w:noProof w:val="0"/>
          <w:szCs w:val="20"/>
          <w:lang w:val="en-US"/>
        </w:rPr>
        <w:t xml:space="preserve"> and </w:t>
      </w:r>
      <w:r w:rsidR="00CC2619" w:rsidRPr="004542B5">
        <w:rPr>
          <w:noProof w:val="0"/>
          <w:szCs w:val="20"/>
          <w:lang w:val="en-US"/>
        </w:rPr>
        <w:t>the</w:t>
      </w:r>
      <w:r w:rsidR="007B47B1" w:rsidRPr="004542B5">
        <w:rPr>
          <w:noProof w:val="0"/>
          <w:szCs w:val="20"/>
          <w:lang w:val="en-US"/>
        </w:rPr>
        <w:t xml:space="preserve"> Emberá.</w:t>
      </w:r>
    </w:p>
    <w:p w14:paraId="27E181C6" w14:textId="23471C72" w:rsidR="00580CE1" w:rsidRPr="004542B5" w:rsidRDefault="00CC2619" w:rsidP="00E01664">
      <w:pPr>
        <w:pStyle w:val="ListParagraph"/>
        <w:numPr>
          <w:ilvl w:val="0"/>
          <w:numId w:val="2"/>
        </w:numPr>
        <w:spacing w:before="120" w:after="120"/>
        <w:contextualSpacing w:val="0"/>
        <w:rPr>
          <w:noProof w:val="0"/>
          <w:szCs w:val="20"/>
          <w:lang w:val="en-US"/>
        </w:rPr>
      </w:pPr>
      <w:r w:rsidRPr="004542B5">
        <w:rPr>
          <w:noProof w:val="0"/>
          <w:szCs w:val="20"/>
          <w:lang w:val="en-US"/>
        </w:rPr>
        <w:t>Consequently</w:t>
      </w:r>
      <w:r w:rsidR="007B47B1" w:rsidRPr="004542B5">
        <w:rPr>
          <w:noProof w:val="0"/>
          <w:szCs w:val="20"/>
          <w:lang w:val="en-US"/>
        </w:rPr>
        <w:t xml:space="preserve">, </w:t>
      </w:r>
      <w:r w:rsidR="00562CBB" w:rsidRPr="004542B5">
        <w:rPr>
          <w:noProof w:val="0"/>
          <w:szCs w:val="20"/>
          <w:lang w:val="en-US"/>
        </w:rPr>
        <w:t>the State</w:t>
      </w:r>
      <w:r w:rsidR="007B47B1" w:rsidRPr="004542B5">
        <w:rPr>
          <w:noProof w:val="0"/>
          <w:szCs w:val="20"/>
          <w:lang w:val="en-US"/>
        </w:rPr>
        <w:t xml:space="preserve"> </w:t>
      </w:r>
      <w:r w:rsidRPr="004542B5">
        <w:rPr>
          <w:noProof w:val="0"/>
          <w:szCs w:val="20"/>
          <w:lang w:val="en-US"/>
        </w:rPr>
        <w:t>is</w:t>
      </w:r>
      <w:r w:rsidR="007B47B1" w:rsidRPr="004542B5">
        <w:rPr>
          <w:noProof w:val="0"/>
          <w:szCs w:val="20"/>
          <w:lang w:val="en-US"/>
        </w:rPr>
        <w:t xml:space="preserve"> respons</w:t>
      </w:r>
      <w:r w:rsidRPr="004542B5">
        <w:rPr>
          <w:noProof w:val="0"/>
          <w:szCs w:val="20"/>
          <w:lang w:val="en-US"/>
        </w:rPr>
        <w:t>i</w:t>
      </w:r>
      <w:r w:rsidR="007B47B1" w:rsidRPr="004542B5">
        <w:rPr>
          <w:noProof w:val="0"/>
          <w:szCs w:val="20"/>
          <w:lang w:val="en-US"/>
        </w:rPr>
        <w:t xml:space="preserve">ble </w:t>
      </w:r>
      <w:r w:rsidRPr="004542B5">
        <w:rPr>
          <w:noProof w:val="0"/>
          <w:szCs w:val="20"/>
          <w:lang w:val="en-US"/>
        </w:rPr>
        <w:t>for violating</w:t>
      </w:r>
      <w:r w:rsidR="007B47B1" w:rsidRPr="004542B5">
        <w:rPr>
          <w:noProof w:val="0"/>
          <w:szCs w:val="20"/>
          <w:lang w:val="en-US"/>
        </w:rPr>
        <w:t xml:space="preserve"> </w:t>
      </w:r>
      <w:r w:rsidR="00E04132" w:rsidRPr="004542B5">
        <w:rPr>
          <w:noProof w:val="0"/>
          <w:szCs w:val="20"/>
          <w:lang w:val="en-US"/>
        </w:rPr>
        <w:t>Article</w:t>
      </w:r>
      <w:r w:rsidR="007B47B1" w:rsidRPr="004542B5">
        <w:rPr>
          <w:noProof w:val="0"/>
          <w:szCs w:val="20"/>
          <w:lang w:val="en-US"/>
        </w:rPr>
        <w:t xml:space="preserve"> 2 </w:t>
      </w:r>
      <w:r w:rsidR="00342385" w:rsidRPr="004542B5">
        <w:rPr>
          <w:noProof w:val="0"/>
          <w:szCs w:val="20"/>
          <w:lang w:val="en-US"/>
        </w:rPr>
        <w:t>in relation to</w:t>
      </w:r>
      <w:r w:rsidR="007B47B1" w:rsidRPr="004542B5">
        <w:rPr>
          <w:noProof w:val="0"/>
          <w:szCs w:val="20"/>
          <w:lang w:val="en-US"/>
        </w:rPr>
        <w:t xml:space="preserve"> </w:t>
      </w:r>
      <w:r w:rsidRPr="004542B5">
        <w:rPr>
          <w:noProof w:val="0"/>
          <w:szCs w:val="20"/>
          <w:lang w:val="en-US"/>
        </w:rPr>
        <w:t xml:space="preserve">Articles </w:t>
      </w:r>
      <w:r w:rsidR="007B47B1" w:rsidRPr="004542B5">
        <w:rPr>
          <w:noProof w:val="0"/>
          <w:szCs w:val="20"/>
          <w:lang w:val="en-US"/>
        </w:rPr>
        <w:t>21, 8</w:t>
      </w:r>
      <w:r w:rsidR="00CD2B90" w:rsidRPr="004542B5">
        <w:rPr>
          <w:noProof w:val="0"/>
          <w:szCs w:val="20"/>
          <w:lang w:val="en-US"/>
        </w:rPr>
        <w:t xml:space="preserve"> and </w:t>
      </w:r>
      <w:r w:rsidR="007B47B1" w:rsidRPr="004542B5">
        <w:rPr>
          <w:noProof w:val="0"/>
          <w:szCs w:val="20"/>
          <w:lang w:val="en-US"/>
        </w:rPr>
        <w:t>25</w:t>
      </w:r>
      <w:r w:rsidR="008A56D7" w:rsidRPr="004542B5">
        <w:rPr>
          <w:noProof w:val="0"/>
          <w:szCs w:val="20"/>
          <w:lang w:val="en-US"/>
        </w:rPr>
        <w:t xml:space="preserve"> of the </w:t>
      </w:r>
      <w:r w:rsidR="00562CBB" w:rsidRPr="004542B5">
        <w:rPr>
          <w:noProof w:val="0"/>
          <w:szCs w:val="20"/>
          <w:lang w:val="en-US"/>
        </w:rPr>
        <w:t>American Convention</w:t>
      </w:r>
      <w:r w:rsidR="007B47B1" w:rsidRPr="004542B5">
        <w:rPr>
          <w:noProof w:val="0"/>
          <w:szCs w:val="20"/>
          <w:lang w:val="en-US"/>
        </w:rPr>
        <w:t xml:space="preserve"> </w:t>
      </w:r>
      <w:r w:rsidRPr="004542B5">
        <w:rPr>
          <w:noProof w:val="0"/>
          <w:szCs w:val="20"/>
          <w:lang w:val="en-US"/>
        </w:rPr>
        <w:t>because</w:t>
      </w:r>
      <w:r w:rsidR="00BC21B1" w:rsidRPr="004542B5">
        <w:rPr>
          <w:noProof w:val="0"/>
          <w:szCs w:val="20"/>
          <w:lang w:val="en-US"/>
        </w:rPr>
        <w:t>, prior to 2008,</w:t>
      </w:r>
      <w:r w:rsidRPr="004542B5">
        <w:rPr>
          <w:noProof w:val="0"/>
          <w:szCs w:val="20"/>
          <w:lang w:val="en-US"/>
        </w:rPr>
        <w:t xml:space="preserve"> it </w:t>
      </w:r>
      <w:r w:rsidR="00BC21B1" w:rsidRPr="004542B5">
        <w:rPr>
          <w:noProof w:val="0"/>
          <w:szCs w:val="20"/>
          <w:lang w:val="en-US"/>
        </w:rPr>
        <w:t>failed to</w:t>
      </w:r>
      <w:r w:rsidRPr="004542B5">
        <w:rPr>
          <w:noProof w:val="0"/>
          <w:szCs w:val="20"/>
          <w:lang w:val="en-US"/>
        </w:rPr>
        <w:t xml:space="preserve"> establish a domestic </w:t>
      </w:r>
      <w:r w:rsidR="00BC21B1" w:rsidRPr="004542B5">
        <w:rPr>
          <w:noProof w:val="0"/>
          <w:szCs w:val="20"/>
          <w:lang w:val="en-US"/>
        </w:rPr>
        <w:t>law</w:t>
      </w:r>
      <w:r w:rsidRPr="004542B5">
        <w:rPr>
          <w:noProof w:val="0"/>
          <w:szCs w:val="20"/>
          <w:lang w:val="en-US"/>
        </w:rPr>
        <w:t xml:space="preserve"> that permitted the delimitation, demarcation and titling of collective lands, </w:t>
      </w:r>
      <w:r w:rsidR="00342385" w:rsidRPr="004542B5">
        <w:rPr>
          <w:noProof w:val="0"/>
          <w:szCs w:val="20"/>
          <w:lang w:val="en-US"/>
        </w:rPr>
        <w:t>to the detriment of</w:t>
      </w:r>
      <w:r w:rsidR="007B47B1" w:rsidRPr="004542B5">
        <w:rPr>
          <w:noProof w:val="0"/>
          <w:szCs w:val="20"/>
          <w:lang w:val="en-US"/>
        </w:rPr>
        <w:t xml:space="preserve"> </w:t>
      </w:r>
      <w:r w:rsidRPr="004542B5">
        <w:rPr>
          <w:noProof w:val="0"/>
          <w:szCs w:val="20"/>
          <w:lang w:val="en-US"/>
        </w:rPr>
        <w:t>the</w:t>
      </w:r>
      <w:r w:rsidR="007B47B1" w:rsidRPr="004542B5">
        <w:rPr>
          <w:noProof w:val="0"/>
          <w:szCs w:val="20"/>
          <w:lang w:val="en-US"/>
        </w:rPr>
        <w:t xml:space="preserve"> Kuna </w:t>
      </w:r>
      <w:r w:rsidRPr="004542B5">
        <w:rPr>
          <w:noProof w:val="0"/>
          <w:szCs w:val="20"/>
          <w:lang w:val="en-US"/>
        </w:rPr>
        <w:t>of</w:t>
      </w:r>
      <w:r w:rsidR="007B47B1" w:rsidRPr="004542B5">
        <w:rPr>
          <w:noProof w:val="0"/>
          <w:szCs w:val="20"/>
          <w:lang w:val="en-US"/>
        </w:rPr>
        <w:t xml:space="preserve"> Madungandí</w:t>
      </w:r>
      <w:r w:rsidR="00CD2B90" w:rsidRPr="004542B5">
        <w:rPr>
          <w:noProof w:val="0"/>
          <w:szCs w:val="20"/>
          <w:lang w:val="en-US"/>
        </w:rPr>
        <w:t xml:space="preserve"> and </w:t>
      </w:r>
      <w:r w:rsidRPr="004542B5">
        <w:rPr>
          <w:noProof w:val="0"/>
          <w:szCs w:val="20"/>
          <w:lang w:val="en-US"/>
        </w:rPr>
        <w:t xml:space="preserve">the </w:t>
      </w:r>
      <w:r w:rsidR="007B47B1" w:rsidRPr="004542B5">
        <w:rPr>
          <w:noProof w:val="0"/>
          <w:szCs w:val="20"/>
          <w:lang w:val="en-US"/>
        </w:rPr>
        <w:t xml:space="preserve">Emberá </w:t>
      </w:r>
      <w:r w:rsidRPr="004542B5">
        <w:rPr>
          <w:noProof w:val="0"/>
          <w:szCs w:val="20"/>
          <w:lang w:val="en-US"/>
        </w:rPr>
        <w:t>of</w:t>
      </w:r>
      <w:r w:rsidR="007B47B1" w:rsidRPr="004542B5">
        <w:rPr>
          <w:noProof w:val="0"/>
          <w:szCs w:val="20"/>
          <w:lang w:val="en-US"/>
        </w:rPr>
        <w:t xml:space="preserve"> Baya</w:t>
      </w:r>
      <w:r w:rsidRPr="004542B5">
        <w:rPr>
          <w:noProof w:val="0"/>
          <w:szCs w:val="20"/>
          <w:lang w:val="en-US"/>
        </w:rPr>
        <w:t>no.</w:t>
      </w:r>
    </w:p>
    <w:p w14:paraId="113C567C" w14:textId="7AB5A13A" w:rsidR="00580CE1" w:rsidRPr="004542B5" w:rsidRDefault="007B47B1" w:rsidP="00E01664">
      <w:pPr>
        <w:pStyle w:val="ListParagraph"/>
        <w:spacing w:before="240" w:after="240"/>
        <w:ind w:left="714"/>
        <w:contextualSpacing w:val="0"/>
        <w:rPr>
          <w:rFonts w:cs="Verdana Bold"/>
          <w:bCs/>
          <w:i/>
          <w:noProof w:val="0"/>
          <w:szCs w:val="18"/>
          <w:lang w:val="en-US"/>
        </w:rPr>
      </w:pPr>
      <w:r w:rsidRPr="004542B5">
        <w:rPr>
          <w:rFonts w:cs="Verdana Bold"/>
          <w:bCs/>
          <w:i/>
          <w:noProof w:val="0"/>
          <w:szCs w:val="18"/>
          <w:lang w:val="en-US"/>
        </w:rPr>
        <w:t>B.</w:t>
      </w:r>
      <w:r w:rsidR="00943DAC" w:rsidRPr="004542B5">
        <w:rPr>
          <w:rFonts w:cs="Verdana Bold"/>
          <w:bCs/>
          <w:i/>
          <w:noProof w:val="0"/>
          <w:szCs w:val="18"/>
          <w:lang w:val="en-US"/>
        </w:rPr>
        <w:t>2</w:t>
      </w:r>
      <w:r w:rsidRPr="004542B5">
        <w:rPr>
          <w:rFonts w:cs="Verdana Bold"/>
          <w:bCs/>
          <w:i/>
          <w:noProof w:val="0"/>
          <w:szCs w:val="18"/>
          <w:lang w:val="en-US"/>
        </w:rPr>
        <w:t xml:space="preserve">.2. </w:t>
      </w:r>
      <w:r w:rsidR="00CC2619" w:rsidRPr="004542B5">
        <w:rPr>
          <w:rFonts w:cs="Verdana Bold"/>
          <w:bCs/>
          <w:i/>
          <w:noProof w:val="0"/>
          <w:szCs w:val="18"/>
          <w:lang w:val="en-US"/>
        </w:rPr>
        <w:t>The domestic law currently in force</w:t>
      </w:r>
    </w:p>
    <w:p w14:paraId="52CE8672" w14:textId="4C4A75CE" w:rsidR="00580CE1"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Court</w:t>
      </w:r>
      <w:r w:rsidR="007B47B1" w:rsidRPr="004542B5">
        <w:rPr>
          <w:noProof w:val="0"/>
          <w:szCs w:val="20"/>
          <w:lang w:val="en-US"/>
        </w:rPr>
        <w:t xml:space="preserve"> </w:t>
      </w:r>
      <w:r w:rsidR="00CC2619" w:rsidRPr="004542B5">
        <w:rPr>
          <w:noProof w:val="0"/>
          <w:szCs w:val="20"/>
          <w:lang w:val="en-US"/>
        </w:rPr>
        <w:t>notes that</w:t>
      </w:r>
      <w:r w:rsidR="007B47B1" w:rsidRPr="004542B5">
        <w:rPr>
          <w:noProof w:val="0"/>
          <w:szCs w:val="20"/>
          <w:lang w:val="en-US"/>
        </w:rPr>
        <w:t xml:space="preserve"> </w:t>
      </w:r>
      <w:r w:rsidR="0033788F" w:rsidRPr="004542B5">
        <w:rPr>
          <w:noProof w:val="0"/>
          <w:szCs w:val="20"/>
          <w:lang w:val="en-US"/>
        </w:rPr>
        <w:t>Law</w:t>
      </w:r>
      <w:r w:rsidR="007B47B1" w:rsidRPr="004542B5">
        <w:rPr>
          <w:noProof w:val="0"/>
          <w:szCs w:val="20"/>
          <w:lang w:val="en-US"/>
        </w:rPr>
        <w:t xml:space="preserve"> 72</w:t>
      </w:r>
      <w:r w:rsidR="00893304" w:rsidRPr="004542B5">
        <w:rPr>
          <w:noProof w:val="0"/>
          <w:szCs w:val="20"/>
          <w:lang w:val="en-US"/>
        </w:rPr>
        <w:t xml:space="preserve"> of 2008</w:t>
      </w:r>
      <w:r w:rsidR="007B47B1" w:rsidRPr="004542B5">
        <w:rPr>
          <w:noProof w:val="0"/>
          <w:szCs w:val="20"/>
          <w:lang w:val="en-US"/>
        </w:rPr>
        <w:t xml:space="preserve">, </w:t>
      </w:r>
      <w:r w:rsidR="00CC2619" w:rsidRPr="004542B5">
        <w:rPr>
          <w:noProof w:val="0"/>
          <w:szCs w:val="20"/>
          <w:lang w:val="en-US"/>
        </w:rPr>
        <w:t xml:space="preserve">currently in force, establishes a procedure for the titling of lands of indigenous peoples who are outside the five indigenous comarcas previously mentioned </w:t>
      </w:r>
      <w:r w:rsidR="007B47B1" w:rsidRPr="004542B5">
        <w:rPr>
          <w:noProof w:val="0"/>
          <w:szCs w:val="20"/>
          <w:lang w:val="en-US"/>
        </w:rPr>
        <w:t>(</w:t>
      </w:r>
      <w:r w:rsidR="007B47B1" w:rsidRPr="004542B5">
        <w:rPr>
          <w:i/>
          <w:noProof w:val="0"/>
          <w:szCs w:val="20"/>
          <w:lang w:val="en-US"/>
        </w:rPr>
        <w:t>supra</w:t>
      </w:r>
      <w:r w:rsidR="007B47B1" w:rsidRPr="004542B5">
        <w:rPr>
          <w:noProof w:val="0"/>
          <w:szCs w:val="20"/>
          <w:lang w:val="en-US"/>
        </w:rPr>
        <w:t xml:space="preserve"> </w:t>
      </w:r>
      <w:r w:rsidR="00F66B76" w:rsidRPr="004542B5">
        <w:rPr>
          <w:noProof w:val="0"/>
          <w:szCs w:val="20"/>
          <w:lang w:val="en-US"/>
        </w:rPr>
        <w:t>para.</w:t>
      </w:r>
      <w:r w:rsidR="00B7701D" w:rsidRPr="004542B5">
        <w:rPr>
          <w:noProof w:val="0"/>
          <w:szCs w:val="20"/>
          <w:lang w:val="en-US"/>
        </w:rPr>
        <w:t xml:space="preserve"> 59</w:t>
      </w:r>
      <w:r w:rsidR="007B47B1" w:rsidRPr="004542B5">
        <w:rPr>
          <w:noProof w:val="0"/>
          <w:szCs w:val="20"/>
          <w:lang w:val="en-US"/>
        </w:rPr>
        <w:t xml:space="preserve">). </w:t>
      </w:r>
      <w:r w:rsidR="00CC2619" w:rsidRPr="004542B5">
        <w:rPr>
          <w:noProof w:val="0"/>
          <w:szCs w:val="20"/>
          <w:lang w:val="en-US"/>
        </w:rPr>
        <w:t xml:space="preserve">This law is regulated by </w:t>
      </w:r>
      <w:r w:rsidR="005115A6" w:rsidRPr="004542B5">
        <w:rPr>
          <w:noProof w:val="0"/>
          <w:szCs w:val="20"/>
          <w:lang w:val="en-US"/>
        </w:rPr>
        <w:t>Executive Decree</w:t>
      </w:r>
      <w:r w:rsidR="007B47B1" w:rsidRPr="004542B5">
        <w:rPr>
          <w:noProof w:val="0"/>
          <w:szCs w:val="20"/>
          <w:lang w:val="en-US"/>
        </w:rPr>
        <w:t xml:space="preserve"> 223</w:t>
      </w:r>
      <w:r w:rsidR="00893304" w:rsidRPr="004542B5">
        <w:rPr>
          <w:noProof w:val="0"/>
          <w:szCs w:val="20"/>
          <w:lang w:val="en-US"/>
        </w:rPr>
        <w:t xml:space="preserve"> of 2010</w:t>
      </w:r>
      <w:r w:rsidR="007B47B1" w:rsidRPr="004542B5">
        <w:rPr>
          <w:noProof w:val="0"/>
          <w:szCs w:val="20"/>
          <w:lang w:val="en-US"/>
        </w:rPr>
        <w:t xml:space="preserve">. </w:t>
      </w:r>
      <w:r w:rsidR="00CC2619" w:rsidRPr="004542B5">
        <w:rPr>
          <w:noProof w:val="0"/>
          <w:szCs w:val="20"/>
          <w:lang w:val="en-US"/>
        </w:rPr>
        <w:t>Among other matters, these norms establish the following:</w:t>
      </w:r>
    </w:p>
    <w:p w14:paraId="5808B47B" w14:textId="34412DFF" w:rsidR="003B7977" w:rsidRPr="004542B5" w:rsidRDefault="0033788F" w:rsidP="00E01664">
      <w:pPr>
        <w:spacing w:before="120" w:after="120"/>
        <w:ind w:left="284" w:right="333" w:firstLine="436"/>
        <w:rPr>
          <w:b/>
          <w:noProof w:val="0"/>
          <w:sz w:val="16"/>
          <w:szCs w:val="16"/>
          <w:u w:val="single"/>
          <w:lang w:val="en-US"/>
        </w:rPr>
      </w:pPr>
      <w:r w:rsidRPr="004542B5">
        <w:rPr>
          <w:b/>
          <w:noProof w:val="0"/>
          <w:sz w:val="16"/>
          <w:szCs w:val="16"/>
          <w:u w:val="single"/>
          <w:lang w:val="en-US"/>
        </w:rPr>
        <w:t>Law</w:t>
      </w:r>
      <w:r w:rsidR="007B47B1" w:rsidRPr="004542B5">
        <w:rPr>
          <w:b/>
          <w:noProof w:val="0"/>
          <w:sz w:val="16"/>
          <w:szCs w:val="16"/>
          <w:u w:val="single"/>
          <w:lang w:val="en-US"/>
        </w:rPr>
        <w:t xml:space="preserve"> 72</w:t>
      </w:r>
      <w:r w:rsidR="00893304" w:rsidRPr="004542B5">
        <w:rPr>
          <w:b/>
          <w:noProof w:val="0"/>
          <w:sz w:val="16"/>
          <w:szCs w:val="16"/>
          <w:u w:val="single"/>
          <w:lang w:val="en-US"/>
        </w:rPr>
        <w:t xml:space="preserve"> of 2008</w:t>
      </w:r>
      <w:r w:rsidR="007B47B1" w:rsidRPr="004542B5">
        <w:rPr>
          <w:b/>
          <w:noProof w:val="0"/>
          <w:sz w:val="16"/>
          <w:szCs w:val="16"/>
          <w:u w:val="single"/>
          <w:lang w:val="en-US"/>
        </w:rPr>
        <w:t xml:space="preserve"> </w:t>
      </w:r>
    </w:p>
    <w:p w14:paraId="6100B031" w14:textId="41CD2A5C" w:rsidR="00580CE1" w:rsidRPr="004542B5" w:rsidRDefault="00562CBB" w:rsidP="00E01664">
      <w:pPr>
        <w:autoSpaceDE w:val="0"/>
        <w:autoSpaceDN w:val="0"/>
        <w:adjustRightInd w:val="0"/>
        <w:spacing w:before="120" w:after="120"/>
        <w:ind w:left="284" w:right="333" w:firstLine="1"/>
        <w:rPr>
          <w:noProof w:val="0"/>
          <w:sz w:val="16"/>
          <w:szCs w:val="16"/>
          <w:lang w:val="en-US"/>
        </w:rPr>
      </w:pPr>
      <w:r w:rsidRPr="004542B5">
        <w:rPr>
          <w:noProof w:val="0"/>
          <w:sz w:val="16"/>
          <w:szCs w:val="16"/>
          <w:lang w:val="en-US"/>
        </w:rPr>
        <w:t>Article</w:t>
      </w:r>
      <w:r w:rsidR="007B47B1" w:rsidRPr="004542B5">
        <w:rPr>
          <w:noProof w:val="0"/>
          <w:sz w:val="16"/>
          <w:szCs w:val="16"/>
          <w:lang w:val="en-US"/>
        </w:rPr>
        <w:t xml:space="preserve"> 6. </w:t>
      </w:r>
      <w:r w:rsidR="002304B1" w:rsidRPr="004542B5">
        <w:rPr>
          <w:noProof w:val="0"/>
          <w:sz w:val="16"/>
          <w:szCs w:val="16"/>
          <w:lang w:val="en-US"/>
        </w:rPr>
        <w:t xml:space="preserve">The application for the collective title </w:t>
      </w:r>
      <w:r w:rsidR="00A743D5" w:rsidRPr="004542B5">
        <w:rPr>
          <w:noProof w:val="0"/>
          <w:sz w:val="16"/>
          <w:szCs w:val="16"/>
          <w:lang w:val="en-US"/>
        </w:rPr>
        <w:t>shall be</w:t>
      </w:r>
      <w:r w:rsidR="002304B1" w:rsidRPr="004542B5">
        <w:rPr>
          <w:noProof w:val="0"/>
          <w:sz w:val="16"/>
          <w:szCs w:val="16"/>
          <w:lang w:val="en-US"/>
        </w:rPr>
        <w:t xml:space="preserve"> accompanied by the following documents: 1. The plan or sketch of the area covered by the application </w:t>
      </w:r>
      <w:r w:rsidR="007B47B1" w:rsidRPr="004542B5">
        <w:rPr>
          <w:noProof w:val="0"/>
          <w:sz w:val="16"/>
          <w:szCs w:val="16"/>
          <w:lang w:val="en-US"/>
        </w:rPr>
        <w:t>[…]</w:t>
      </w:r>
      <w:r w:rsidR="002304B1" w:rsidRPr="004542B5">
        <w:rPr>
          <w:noProof w:val="0"/>
          <w:sz w:val="16"/>
          <w:szCs w:val="16"/>
          <w:lang w:val="en-US"/>
        </w:rPr>
        <w:t>.</w:t>
      </w:r>
    </w:p>
    <w:p w14:paraId="72743C03" w14:textId="23EC0FDF" w:rsidR="00580CE1" w:rsidRPr="004542B5" w:rsidRDefault="00562CBB" w:rsidP="00E01664">
      <w:pPr>
        <w:autoSpaceDE w:val="0"/>
        <w:autoSpaceDN w:val="0"/>
        <w:adjustRightInd w:val="0"/>
        <w:spacing w:before="120" w:after="120"/>
        <w:ind w:left="284" w:right="333" w:firstLine="1"/>
        <w:rPr>
          <w:noProof w:val="0"/>
          <w:sz w:val="16"/>
          <w:szCs w:val="16"/>
          <w:lang w:val="en-US"/>
        </w:rPr>
      </w:pPr>
      <w:r w:rsidRPr="004542B5">
        <w:rPr>
          <w:noProof w:val="0"/>
          <w:sz w:val="16"/>
          <w:szCs w:val="16"/>
          <w:lang w:val="en-US"/>
        </w:rPr>
        <w:t>Article</w:t>
      </w:r>
      <w:r w:rsidR="007B47B1" w:rsidRPr="004542B5">
        <w:rPr>
          <w:noProof w:val="0"/>
          <w:sz w:val="16"/>
          <w:szCs w:val="16"/>
          <w:lang w:val="en-US"/>
        </w:rPr>
        <w:t xml:space="preserve"> 7. </w:t>
      </w:r>
      <w:r w:rsidR="00F74AD5" w:rsidRPr="004542B5">
        <w:rPr>
          <w:noProof w:val="0"/>
          <w:sz w:val="16"/>
          <w:szCs w:val="16"/>
          <w:lang w:val="en-US"/>
        </w:rPr>
        <w:t>The National Agrarian Reform Directorate</w:t>
      </w:r>
      <w:r w:rsidR="007B47B1" w:rsidRPr="004542B5">
        <w:rPr>
          <w:noProof w:val="0"/>
          <w:sz w:val="16"/>
          <w:szCs w:val="16"/>
          <w:lang w:val="en-US"/>
        </w:rPr>
        <w:t xml:space="preserve"> […] </w:t>
      </w:r>
      <w:r w:rsidR="002304B1" w:rsidRPr="004542B5">
        <w:rPr>
          <w:noProof w:val="0"/>
          <w:sz w:val="16"/>
          <w:szCs w:val="16"/>
          <w:lang w:val="en-US"/>
        </w:rPr>
        <w:t xml:space="preserve">shall order the inspection </w:t>
      </w:r>
      <w:r w:rsidR="00A743D5" w:rsidRPr="004542B5">
        <w:rPr>
          <w:i/>
          <w:noProof w:val="0"/>
          <w:sz w:val="16"/>
          <w:szCs w:val="16"/>
          <w:lang w:val="en-US"/>
        </w:rPr>
        <w:t>in</w:t>
      </w:r>
      <w:r w:rsidR="007B47B1" w:rsidRPr="004542B5">
        <w:rPr>
          <w:i/>
          <w:noProof w:val="0"/>
          <w:sz w:val="16"/>
          <w:szCs w:val="16"/>
          <w:lang w:val="en-US"/>
        </w:rPr>
        <w:t xml:space="preserve"> situ</w:t>
      </w:r>
      <w:r w:rsidR="007B47B1" w:rsidRPr="004542B5">
        <w:rPr>
          <w:noProof w:val="0"/>
          <w:sz w:val="16"/>
          <w:szCs w:val="16"/>
          <w:lang w:val="en-US"/>
        </w:rPr>
        <w:t xml:space="preserve"> </w:t>
      </w:r>
      <w:r w:rsidR="002304B1" w:rsidRPr="004542B5">
        <w:rPr>
          <w:noProof w:val="0"/>
          <w:sz w:val="16"/>
          <w:szCs w:val="16"/>
          <w:lang w:val="en-US"/>
        </w:rPr>
        <w:t xml:space="preserve">after </w:t>
      </w:r>
      <w:r w:rsidR="006110CB" w:rsidRPr="004542B5">
        <w:rPr>
          <w:noProof w:val="0"/>
          <w:sz w:val="16"/>
          <w:szCs w:val="16"/>
          <w:lang w:val="en-US"/>
        </w:rPr>
        <w:t>notifying</w:t>
      </w:r>
      <w:r w:rsidR="002304B1" w:rsidRPr="004542B5">
        <w:rPr>
          <w:noProof w:val="0"/>
          <w:sz w:val="16"/>
          <w:szCs w:val="16"/>
          <w:lang w:val="en-US"/>
        </w:rPr>
        <w:t xml:space="preserve"> the applicants and shall take the necessary steps for recogni</w:t>
      </w:r>
      <w:r w:rsidR="00A743D5" w:rsidRPr="004542B5">
        <w:rPr>
          <w:noProof w:val="0"/>
          <w:sz w:val="16"/>
          <w:szCs w:val="16"/>
          <w:lang w:val="en-US"/>
        </w:rPr>
        <w:t xml:space="preserve">tion of </w:t>
      </w:r>
      <w:r w:rsidR="002304B1" w:rsidRPr="004542B5">
        <w:rPr>
          <w:noProof w:val="0"/>
          <w:sz w:val="16"/>
          <w:szCs w:val="16"/>
          <w:lang w:val="en-US"/>
        </w:rPr>
        <w:t>collective property establish</w:t>
      </w:r>
      <w:r w:rsidR="00A743D5" w:rsidRPr="004542B5">
        <w:rPr>
          <w:noProof w:val="0"/>
          <w:sz w:val="16"/>
          <w:szCs w:val="16"/>
          <w:lang w:val="en-US"/>
        </w:rPr>
        <w:t>ed</w:t>
      </w:r>
      <w:r w:rsidR="002304B1" w:rsidRPr="004542B5">
        <w:rPr>
          <w:noProof w:val="0"/>
          <w:sz w:val="16"/>
          <w:szCs w:val="16"/>
          <w:lang w:val="en-US"/>
        </w:rPr>
        <w:t xml:space="preserve"> in this law.</w:t>
      </w:r>
    </w:p>
    <w:p w14:paraId="702F34BA" w14:textId="685307D0" w:rsidR="00580CE1" w:rsidRPr="004542B5" w:rsidRDefault="00562CBB" w:rsidP="00E01664">
      <w:pPr>
        <w:autoSpaceDE w:val="0"/>
        <w:autoSpaceDN w:val="0"/>
        <w:adjustRightInd w:val="0"/>
        <w:spacing w:before="120" w:after="120"/>
        <w:ind w:left="284" w:right="333"/>
        <w:rPr>
          <w:noProof w:val="0"/>
          <w:sz w:val="16"/>
          <w:szCs w:val="16"/>
          <w:lang w:val="en-US"/>
        </w:rPr>
      </w:pPr>
      <w:r w:rsidRPr="004542B5">
        <w:rPr>
          <w:noProof w:val="0"/>
          <w:sz w:val="16"/>
          <w:szCs w:val="16"/>
          <w:lang w:val="en-US"/>
        </w:rPr>
        <w:t>Article</w:t>
      </w:r>
      <w:r w:rsidR="007B47B1" w:rsidRPr="004542B5">
        <w:rPr>
          <w:noProof w:val="0"/>
          <w:sz w:val="16"/>
          <w:szCs w:val="16"/>
          <w:lang w:val="en-US"/>
        </w:rPr>
        <w:t xml:space="preserve"> 9. </w:t>
      </w:r>
      <w:r w:rsidR="002304B1" w:rsidRPr="004542B5">
        <w:rPr>
          <w:noProof w:val="0"/>
          <w:sz w:val="16"/>
          <w:szCs w:val="16"/>
          <w:lang w:val="en-US"/>
        </w:rPr>
        <w:t>When the corresponding procedure has been completed,</w:t>
      </w:r>
      <w:r w:rsidR="007C730C" w:rsidRPr="004542B5">
        <w:rPr>
          <w:noProof w:val="0"/>
          <w:sz w:val="16"/>
          <w:szCs w:val="16"/>
          <w:lang w:val="en-US"/>
        </w:rPr>
        <w:t xml:space="preserve"> </w:t>
      </w:r>
      <w:r w:rsidR="00F74AD5" w:rsidRPr="004542B5">
        <w:rPr>
          <w:noProof w:val="0"/>
          <w:sz w:val="16"/>
          <w:szCs w:val="16"/>
          <w:lang w:val="en-US"/>
        </w:rPr>
        <w:t>the National Agrarian Reform Directorate</w:t>
      </w:r>
      <w:r w:rsidR="007B47B1" w:rsidRPr="004542B5">
        <w:rPr>
          <w:noProof w:val="0"/>
          <w:sz w:val="16"/>
          <w:szCs w:val="16"/>
          <w:lang w:val="en-US"/>
        </w:rPr>
        <w:t xml:space="preserve"> </w:t>
      </w:r>
      <w:r w:rsidR="007C730C" w:rsidRPr="004542B5">
        <w:rPr>
          <w:noProof w:val="0"/>
          <w:sz w:val="16"/>
          <w:szCs w:val="16"/>
          <w:lang w:val="en-US"/>
        </w:rPr>
        <w:t xml:space="preserve">shall issue the collective property title for the lands in favor of the indigenous community, and this is </w:t>
      </w:r>
      <w:r w:rsidR="007B47B1" w:rsidRPr="004542B5">
        <w:rPr>
          <w:noProof w:val="0"/>
          <w:sz w:val="16"/>
          <w:szCs w:val="16"/>
          <w:lang w:val="en-US"/>
        </w:rPr>
        <w:t xml:space="preserve">imprescriptible, </w:t>
      </w:r>
      <w:r w:rsidR="007C730C" w:rsidRPr="004542B5">
        <w:rPr>
          <w:noProof w:val="0"/>
          <w:sz w:val="16"/>
          <w:szCs w:val="16"/>
          <w:lang w:val="en-US"/>
        </w:rPr>
        <w:t>non-</w:t>
      </w:r>
      <w:r w:rsidR="007B47B1" w:rsidRPr="004542B5">
        <w:rPr>
          <w:noProof w:val="0"/>
          <w:sz w:val="16"/>
          <w:szCs w:val="16"/>
          <w:lang w:val="en-US"/>
        </w:rPr>
        <w:t>transfer</w:t>
      </w:r>
      <w:r w:rsidR="007C730C" w:rsidRPr="004542B5">
        <w:rPr>
          <w:noProof w:val="0"/>
          <w:sz w:val="16"/>
          <w:szCs w:val="16"/>
          <w:lang w:val="en-US"/>
        </w:rPr>
        <w:t>a</w:t>
      </w:r>
      <w:r w:rsidR="007B47B1" w:rsidRPr="004542B5">
        <w:rPr>
          <w:noProof w:val="0"/>
          <w:sz w:val="16"/>
          <w:szCs w:val="16"/>
          <w:lang w:val="en-US"/>
        </w:rPr>
        <w:t xml:space="preserve">ble, </w:t>
      </w:r>
      <w:r w:rsidR="007C730C" w:rsidRPr="004542B5">
        <w:rPr>
          <w:noProof w:val="0"/>
          <w:sz w:val="16"/>
          <w:szCs w:val="16"/>
          <w:lang w:val="en-US"/>
        </w:rPr>
        <w:t>and cannot be embargoed or alienated.</w:t>
      </w:r>
    </w:p>
    <w:p w14:paraId="5E06A44D" w14:textId="1FC1CF63" w:rsidR="00580CE1" w:rsidRPr="004542B5" w:rsidRDefault="00562CBB" w:rsidP="00E01664">
      <w:pPr>
        <w:autoSpaceDE w:val="0"/>
        <w:autoSpaceDN w:val="0"/>
        <w:adjustRightInd w:val="0"/>
        <w:spacing w:before="120" w:after="120"/>
        <w:ind w:left="284" w:right="333"/>
        <w:rPr>
          <w:noProof w:val="0"/>
          <w:sz w:val="16"/>
          <w:szCs w:val="16"/>
          <w:lang w:val="en-US"/>
        </w:rPr>
      </w:pPr>
      <w:r w:rsidRPr="004542B5">
        <w:rPr>
          <w:noProof w:val="0"/>
          <w:sz w:val="16"/>
          <w:szCs w:val="16"/>
          <w:lang w:val="en-US"/>
        </w:rPr>
        <w:t>Article</w:t>
      </w:r>
      <w:r w:rsidR="007B47B1" w:rsidRPr="004542B5">
        <w:rPr>
          <w:noProof w:val="0"/>
          <w:sz w:val="16"/>
          <w:szCs w:val="16"/>
          <w:lang w:val="en-US"/>
        </w:rPr>
        <w:t xml:space="preserve"> 10. </w:t>
      </w:r>
      <w:r w:rsidR="007C730C" w:rsidRPr="004542B5">
        <w:rPr>
          <w:noProof w:val="0"/>
          <w:sz w:val="16"/>
          <w:szCs w:val="16"/>
          <w:lang w:val="en-US"/>
        </w:rPr>
        <w:t xml:space="preserve">The adjudications made pursuant to this law shall not prejudice existing property titles and possessory rights certified by </w:t>
      </w:r>
      <w:r w:rsidR="00F74AD5" w:rsidRPr="004542B5">
        <w:rPr>
          <w:noProof w:val="0"/>
          <w:sz w:val="16"/>
          <w:szCs w:val="16"/>
          <w:lang w:val="en-US"/>
        </w:rPr>
        <w:t>the National Agrarian Reform Directorate</w:t>
      </w:r>
      <w:r w:rsidR="007B47B1" w:rsidRPr="004542B5">
        <w:rPr>
          <w:noProof w:val="0"/>
          <w:sz w:val="16"/>
          <w:szCs w:val="16"/>
          <w:lang w:val="en-US"/>
        </w:rPr>
        <w:t>.</w:t>
      </w:r>
    </w:p>
    <w:p w14:paraId="3FDA0AFE" w14:textId="504CB143" w:rsidR="003B7977" w:rsidRPr="004542B5" w:rsidRDefault="005115A6" w:rsidP="00E01664">
      <w:pPr>
        <w:spacing w:before="120" w:after="120"/>
        <w:ind w:left="284" w:right="333" w:firstLine="436"/>
        <w:rPr>
          <w:b/>
          <w:noProof w:val="0"/>
          <w:sz w:val="16"/>
          <w:szCs w:val="16"/>
          <w:u w:val="single"/>
          <w:lang w:val="en-US"/>
        </w:rPr>
      </w:pPr>
      <w:r w:rsidRPr="004542B5">
        <w:rPr>
          <w:b/>
          <w:noProof w:val="0"/>
          <w:sz w:val="16"/>
          <w:szCs w:val="16"/>
          <w:u w:val="single"/>
          <w:lang w:val="en-US"/>
        </w:rPr>
        <w:lastRenderedPageBreak/>
        <w:t>Executive Decree</w:t>
      </w:r>
      <w:r w:rsidR="007B47B1" w:rsidRPr="004542B5">
        <w:rPr>
          <w:b/>
          <w:noProof w:val="0"/>
          <w:sz w:val="16"/>
          <w:szCs w:val="16"/>
          <w:u w:val="single"/>
          <w:lang w:val="en-US"/>
        </w:rPr>
        <w:t xml:space="preserve"> 223 (2010):</w:t>
      </w:r>
    </w:p>
    <w:p w14:paraId="2AE49721" w14:textId="7B46087A" w:rsidR="003B7977" w:rsidRPr="004542B5" w:rsidRDefault="00562CBB" w:rsidP="00E01664">
      <w:pPr>
        <w:autoSpaceDE w:val="0"/>
        <w:autoSpaceDN w:val="0"/>
        <w:adjustRightInd w:val="0"/>
        <w:spacing w:before="120" w:after="120"/>
        <w:ind w:left="284" w:right="333"/>
        <w:rPr>
          <w:noProof w:val="0"/>
          <w:sz w:val="16"/>
          <w:szCs w:val="16"/>
          <w:lang w:val="en-US"/>
        </w:rPr>
      </w:pPr>
      <w:r w:rsidRPr="004542B5">
        <w:rPr>
          <w:noProof w:val="0"/>
          <w:sz w:val="16"/>
          <w:szCs w:val="16"/>
          <w:lang w:val="en-US"/>
        </w:rPr>
        <w:t>Article</w:t>
      </w:r>
      <w:r w:rsidR="007B47B1" w:rsidRPr="004542B5">
        <w:rPr>
          <w:noProof w:val="0"/>
          <w:sz w:val="16"/>
          <w:szCs w:val="16"/>
          <w:lang w:val="en-US"/>
        </w:rPr>
        <w:t xml:space="preserve"> 2. </w:t>
      </w:r>
      <w:r w:rsidR="007C730C" w:rsidRPr="004542B5">
        <w:rPr>
          <w:noProof w:val="0"/>
          <w:sz w:val="16"/>
          <w:szCs w:val="16"/>
          <w:lang w:val="en-US"/>
        </w:rPr>
        <w:t>The application for collective title sh</w:t>
      </w:r>
      <w:r w:rsidR="00A743D5" w:rsidRPr="004542B5">
        <w:rPr>
          <w:noProof w:val="0"/>
          <w:sz w:val="16"/>
          <w:szCs w:val="16"/>
          <w:lang w:val="en-US"/>
        </w:rPr>
        <w:t>all</w:t>
      </w:r>
      <w:r w:rsidR="007C730C" w:rsidRPr="004542B5">
        <w:rPr>
          <w:noProof w:val="0"/>
          <w:sz w:val="16"/>
          <w:szCs w:val="16"/>
          <w:lang w:val="en-US"/>
        </w:rPr>
        <w:t xml:space="preserve"> be accompanied by the following documents and information: 1. The plan or sketch of the area to be titled </w:t>
      </w:r>
      <w:r w:rsidR="007B47B1" w:rsidRPr="004542B5">
        <w:rPr>
          <w:noProof w:val="0"/>
          <w:sz w:val="16"/>
          <w:szCs w:val="16"/>
          <w:lang w:val="en-US"/>
        </w:rPr>
        <w:t>[…]</w:t>
      </w:r>
      <w:r w:rsidR="007C730C" w:rsidRPr="004542B5">
        <w:rPr>
          <w:noProof w:val="0"/>
          <w:sz w:val="16"/>
          <w:szCs w:val="16"/>
          <w:lang w:val="en-US"/>
        </w:rPr>
        <w:t>.</w:t>
      </w:r>
    </w:p>
    <w:p w14:paraId="055491A2" w14:textId="1D53C65D" w:rsidR="007C730C" w:rsidRPr="004542B5" w:rsidRDefault="00562CBB" w:rsidP="00E01664">
      <w:pPr>
        <w:autoSpaceDE w:val="0"/>
        <w:autoSpaceDN w:val="0"/>
        <w:adjustRightInd w:val="0"/>
        <w:spacing w:before="120" w:after="120"/>
        <w:ind w:left="284" w:right="333"/>
        <w:rPr>
          <w:noProof w:val="0"/>
          <w:sz w:val="16"/>
          <w:szCs w:val="16"/>
          <w:lang w:val="en-US"/>
        </w:rPr>
      </w:pPr>
      <w:r w:rsidRPr="004542B5">
        <w:rPr>
          <w:noProof w:val="0"/>
          <w:sz w:val="16"/>
          <w:szCs w:val="16"/>
          <w:lang w:val="en-US"/>
        </w:rPr>
        <w:t>Article</w:t>
      </w:r>
      <w:r w:rsidR="007B47B1" w:rsidRPr="004542B5">
        <w:rPr>
          <w:noProof w:val="0"/>
          <w:sz w:val="16"/>
          <w:szCs w:val="16"/>
          <w:lang w:val="en-US"/>
        </w:rPr>
        <w:t xml:space="preserve"> 4. </w:t>
      </w:r>
      <w:r w:rsidR="007C730C" w:rsidRPr="004542B5">
        <w:rPr>
          <w:noProof w:val="0"/>
          <w:sz w:val="16"/>
          <w:szCs w:val="16"/>
          <w:lang w:val="en-US"/>
        </w:rPr>
        <w:t>When notice has been served and the</w:t>
      </w:r>
      <w:r w:rsidR="001F44E0" w:rsidRPr="004542B5">
        <w:rPr>
          <w:noProof w:val="0"/>
          <w:sz w:val="16"/>
          <w:szCs w:val="16"/>
          <w:lang w:val="en-US"/>
        </w:rPr>
        <w:t xml:space="preserve"> judicial procedure undertaken</w:t>
      </w:r>
      <w:r w:rsidR="007C730C" w:rsidRPr="004542B5">
        <w:rPr>
          <w:noProof w:val="0"/>
          <w:sz w:val="16"/>
          <w:szCs w:val="16"/>
          <w:lang w:val="en-US"/>
        </w:rPr>
        <w:t>, an on-site inspection shall be conducted in order to verify whether or not the requested lands can be adjudicated. A record of this inspection shall be made by the field inspector of the Regional Agrarian Reform Office, signed by those who have taken part in it.</w:t>
      </w:r>
    </w:p>
    <w:p w14:paraId="2BC9C693" w14:textId="741E9B35" w:rsidR="00580CE1" w:rsidRPr="004542B5" w:rsidRDefault="00562CBB" w:rsidP="007C730C">
      <w:pPr>
        <w:autoSpaceDE w:val="0"/>
        <w:autoSpaceDN w:val="0"/>
        <w:adjustRightInd w:val="0"/>
        <w:spacing w:before="120" w:after="120"/>
        <w:ind w:left="284" w:right="333" w:hanging="1"/>
        <w:rPr>
          <w:noProof w:val="0"/>
          <w:sz w:val="16"/>
          <w:szCs w:val="16"/>
          <w:lang w:val="en-US"/>
        </w:rPr>
      </w:pPr>
      <w:r w:rsidRPr="004542B5">
        <w:rPr>
          <w:noProof w:val="0"/>
          <w:sz w:val="16"/>
          <w:szCs w:val="16"/>
          <w:lang w:val="en-US"/>
        </w:rPr>
        <w:t>Article</w:t>
      </w:r>
      <w:r w:rsidR="007B47B1" w:rsidRPr="004542B5">
        <w:rPr>
          <w:noProof w:val="0"/>
          <w:sz w:val="16"/>
          <w:szCs w:val="16"/>
          <w:lang w:val="en-US"/>
        </w:rPr>
        <w:t xml:space="preserve"> 5. </w:t>
      </w:r>
      <w:r w:rsidR="007C730C" w:rsidRPr="004542B5">
        <w:rPr>
          <w:noProof w:val="0"/>
          <w:sz w:val="16"/>
          <w:szCs w:val="16"/>
          <w:lang w:val="en-US"/>
        </w:rPr>
        <w:t xml:space="preserve">A file shall be established of all the actions taken […] that shall be sent to the National </w:t>
      </w:r>
      <w:r w:rsidR="001F44E0" w:rsidRPr="004542B5">
        <w:rPr>
          <w:noProof w:val="0"/>
          <w:sz w:val="16"/>
          <w:szCs w:val="16"/>
          <w:lang w:val="en-US"/>
        </w:rPr>
        <w:t xml:space="preserve">Land </w:t>
      </w:r>
      <w:r w:rsidR="007C730C" w:rsidRPr="004542B5">
        <w:rPr>
          <w:noProof w:val="0"/>
          <w:sz w:val="16"/>
          <w:szCs w:val="16"/>
          <w:lang w:val="en-US"/>
        </w:rPr>
        <w:t xml:space="preserve">Survey and Demarcation </w:t>
      </w:r>
      <w:r w:rsidR="001F44E0" w:rsidRPr="004542B5">
        <w:rPr>
          <w:noProof w:val="0"/>
          <w:sz w:val="16"/>
          <w:szCs w:val="16"/>
          <w:lang w:val="en-US"/>
        </w:rPr>
        <w:t xml:space="preserve">Department </w:t>
      </w:r>
      <w:r w:rsidR="007C730C" w:rsidRPr="004542B5">
        <w:rPr>
          <w:noProof w:val="0"/>
          <w:sz w:val="16"/>
          <w:szCs w:val="16"/>
          <w:lang w:val="en-US"/>
        </w:rPr>
        <w:t>of the National Agrarian Reform Directorate, accompan</w:t>
      </w:r>
      <w:r w:rsidR="001F44E0" w:rsidRPr="004542B5">
        <w:rPr>
          <w:noProof w:val="0"/>
          <w:sz w:val="16"/>
          <w:szCs w:val="16"/>
          <w:lang w:val="en-US"/>
        </w:rPr>
        <w:t>i</w:t>
      </w:r>
      <w:r w:rsidR="007C730C" w:rsidRPr="004542B5">
        <w:rPr>
          <w:noProof w:val="0"/>
          <w:sz w:val="16"/>
          <w:szCs w:val="16"/>
          <w:lang w:val="en-US"/>
        </w:rPr>
        <w:t>ed by the plan or sketch of the land requested, in order to verify the calculation, outline and loc</w:t>
      </w:r>
      <w:r w:rsidR="008F1101" w:rsidRPr="004542B5">
        <w:rPr>
          <w:noProof w:val="0"/>
          <w:sz w:val="16"/>
          <w:szCs w:val="16"/>
          <w:lang w:val="en-US"/>
        </w:rPr>
        <w:t>a</w:t>
      </w:r>
      <w:r w:rsidR="007C730C" w:rsidRPr="004542B5">
        <w:rPr>
          <w:noProof w:val="0"/>
          <w:sz w:val="16"/>
          <w:szCs w:val="16"/>
          <w:lang w:val="en-US"/>
        </w:rPr>
        <w:t xml:space="preserve">tion, so that it may be approved by </w:t>
      </w:r>
      <w:r w:rsidR="00F74AD5" w:rsidRPr="004542B5">
        <w:rPr>
          <w:noProof w:val="0"/>
          <w:sz w:val="16"/>
          <w:szCs w:val="16"/>
          <w:lang w:val="en-US"/>
        </w:rPr>
        <w:t>the National Agrarian Reform Directorate</w:t>
      </w:r>
      <w:r w:rsidR="007B47B1" w:rsidRPr="004542B5">
        <w:rPr>
          <w:noProof w:val="0"/>
          <w:sz w:val="16"/>
          <w:szCs w:val="16"/>
          <w:lang w:val="en-US"/>
        </w:rPr>
        <w:t>. […]</w:t>
      </w:r>
    </w:p>
    <w:p w14:paraId="414C925C" w14:textId="6AB6F540" w:rsidR="008F1101" w:rsidRPr="004542B5" w:rsidRDefault="007C730C" w:rsidP="00E01664">
      <w:pPr>
        <w:pStyle w:val="ListParagraph"/>
        <w:numPr>
          <w:ilvl w:val="0"/>
          <w:numId w:val="2"/>
        </w:numPr>
        <w:spacing w:before="120" w:after="120"/>
        <w:contextualSpacing w:val="0"/>
        <w:rPr>
          <w:noProof w:val="0"/>
          <w:szCs w:val="20"/>
          <w:lang w:val="en-US"/>
        </w:rPr>
      </w:pPr>
      <w:r w:rsidRPr="004542B5">
        <w:rPr>
          <w:noProof w:val="0"/>
          <w:szCs w:val="20"/>
          <w:lang w:val="en-US"/>
        </w:rPr>
        <w:t xml:space="preserve">The Court notes that </w:t>
      </w:r>
      <w:r w:rsidR="0033788F" w:rsidRPr="004542B5">
        <w:rPr>
          <w:noProof w:val="0"/>
          <w:szCs w:val="20"/>
          <w:lang w:val="en-US"/>
        </w:rPr>
        <w:t>Law</w:t>
      </w:r>
      <w:r w:rsidR="007B47B1" w:rsidRPr="004542B5">
        <w:rPr>
          <w:noProof w:val="0"/>
          <w:szCs w:val="20"/>
          <w:lang w:val="en-US"/>
        </w:rPr>
        <w:t xml:space="preserve"> 72</w:t>
      </w:r>
      <w:r w:rsidR="00CD2B90" w:rsidRPr="004542B5">
        <w:rPr>
          <w:noProof w:val="0"/>
          <w:szCs w:val="20"/>
          <w:lang w:val="en-US"/>
        </w:rPr>
        <w:t xml:space="preserve"> and </w:t>
      </w:r>
      <w:r w:rsidR="005115A6" w:rsidRPr="004542B5">
        <w:rPr>
          <w:noProof w:val="0"/>
          <w:szCs w:val="20"/>
          <w:lang w:val="en-US"/>
        </w:rPr>
        <w:t>Executive Decree</w:t>
      </w:r>
      <w:r w:rsidR="007B47B1" w:rsidRPr="004542B5">
        <w:rPr>
          <w:noProof w:val="0"/>
          <w:szCs w:val="20"/>
          <w:lang w:val="en-US"/>
        </w:rPr>
        <w:t xml:space="preserve"> </w:t>
      </w:r>
      <w:r w:rsidR="00CD2B90" w:rsidRPr="004542B5">
        <w:rPr>
          <w:noProof w:val="0"/>
          <w:szCs w:val="20"/>
          <w:lang w:val="en-US"/>
        </w:rPr>
        <w:t>No.</w:t>
      </w:r>
      <w:r w:rsidR="007B47B1" w:rsidRPr="004542B5">
        <w:rPr>
          <w:noProof w:val="0"/>
          <w:szCs w:val="20"/>
          <w:lang w:val="en-US"/>
        </w:rPr>
        <w:t xml:space="preserve"> 223 establ</w:t>
      </w:r>
      <w:r w:rsidRPr="004542B5">
        <w:rPr>
          <w:noProof w:val="0"/>
          <w:szCs w:val="20"/>
          <w:lang w:val="en-US"/>
        </w:rPr>
        <w:t xml:space="preserve">ish a procedure for titling the collective ownership of lands of the indigenous peoples. </w:t>
      </w:r>
      <w:r w:rsidR="008F1101" w:rsidRPr="004542B5">
        <w:rPr>
          <w:noProof w:val="0"/>
          <w:szCs w:val="20"/>
          <w:lang w:val="en-US"/>
        </w:rPr>
        <w:t>Regarding delimitation, the law refers to a plan of the area that should accompany the application and mentions that “[t]he State shall provide the necessary funds for the delimitation of the collective lands that are granted in compliance with this law.” Meanwhile, Decree No. 223 indicates that the applicant must attach a plan of the area</w:t>
      </w:r>
      <w:r w:rsidR="006017EC" w:rsidRPr="004542B5">
        <w:rPr>
          <w:noProof w:val="0"/>
          <w:szCs w:val="20"/>
          <w:lang w:val="en-US"/>
        </w:rPr>
        <w:t xml:space="preserve"> to his application for title,</w:t>
      </w:r>
      <w:r w:rsidR="008F1101" w:rsidRPr="004542B5">
        <w:rPr>
          <w:noProof w:val="0"/>
          <w:szCs w:val="20"/>
          <w:lang w:val="en-US"/>
        </w:rPr>
        <w:t xml:space="preserve"> and that the “location” will be verified by the competent entity.</w:t>
      </w:r>
    </w:p>
    <w:p w14:paraId="15456340" w14:textId="25D97CEF" w:rsidR="00C26F85" w:rsidRPr="004542B5" w:rsidRDefault="008F1101" w:rsidP="00E01664">
      <w:pPr>
        <w:pStyle w:val="ListParagraph"/>
        <w:numPr>
          <w:ilvl w:val="0"/>
          <w:numId w:val="2"/>
        </w:numPr>
        <w:spacing w:before="120" w:after="120"/>
        <w:contextualSpacing w:val="0"/>
        <w:rPr>
          <w:b/>
          <w:noProof w:val="0"/>
          <w:szCs w:val="20"/>
          <w:lang w:val="en-US"/>
        </w:rPr>
      </w:pPr>
      <w:r w:rsidRPr="004542B5">
        <w:rPr>
          <w:noProof w:val="0"/>
          <w:szCs w:val="20"/>
          <w:lang w:val="en-US"/>
        </w:rPr>
        <w:t>Therefore, based on the above, the Court notes that, even though Law 72 specifically est</w:t>
      </w:r>
      <w:r w:rsidR="006017EC" w:rsidRPr="004542B5">
        <w:rPr>
          <w:noProof w:val="0"/>
          <w:szCs w:val="20"/>
          <w:lang w:val="en-US"/>
        </w:rPr>
        <w:t>ab</w:t>
      </w:r>
      <w:r w:rsidRPr="004542B5">
        <w:rPr>
          <w:noProof w:val="0"/>
          <w:szCs w:val="20"/>
          <w:lang w:val="en-US"/>
        </w:rPr>
        <w:t>lishes a procedure to obtain titl</w:t>
      </w:r>
      <w:r w:rsidR="006017EC" w:rsidRPr="004542B5">
        <w:rPr>
          <w:noProof w:val="0"/>
          <w:szCs w:val="20"/>
          <w:lang w:val="en-US"/>
        </w:rPr>
        <w:t>e to the</w:t>
      </w:r>
      <w:r w:rsidRPr="004542B5">
        <w:rPr>
          <w:noProof w:val="0"/>
          <w:szCs w:val="20"/>
          <w:lang w:val="en-US"/>
        </w:rPr>
        <w:t xml:space="preserve"> lands, it also refers to the delimitation and “the location” of the area. Consequently, the Court considers that the State is not responsible for the violation of</w:t>
      </w:r>
      <w:r w:rsidRPr="004542B5">
        <w:rPr>
          <w:b/>
          <w:noProof w:val="0"/>
          <w:szCs w:val="20"/>
          <w:lang w:val="en-US"/>
        </w:rPr>
        <w:t xml:space="preserve"> </w:t>
      </w:r>
      <w:r w:rsidR="00562CBB" w:rsidRPr="004542B5">
        <w:rPr>
          <w:noProof w:val="0"/>
          <w:szCs w:val="20"/>
          <w:lang w:val="en-US"/>
        </w:rPr>
        <w:t>Article</w:t>
      </w:r>
      <w:r w:rsidR="00A41A72" w:rsidRPr="004542B5">
        <w:rPr>
          <w:noProof w:val="0"/>
          <w:szCs w:val="20"/>
          <w:lang w:val="en-US"/>
        </w:rPr>
        <w:t xml:space="preserve"> 2, </w:t>
      </w:r>
      <w:r w:rsidR="00342385" w:rsidRPr="004542B5">
        <w:rPr>
          <w:noProof w:val="0"/>
          <w:szCs w:val="20"/>
          <w:lang w:val="en-US"/>
        </w:rPr>
        <w:t>in relation to</w:t>
      </w:r>
      <w:r w:rsidRPr="004542B5">
        <w:rPr>
          <w:noProof w:val="0"/>
          <w:szCs w:val="20"/>
          <w:lang w:val="en-US"/>
        </w:rPr>
        <w:t xml:space="preserve"> Articles</w:t>
      </w:r>
      <w:r w:rsidR="00A41A72" w:rsidRPr="004542B5">
        <w:rPr>
          <w:noProof w:val="0"/>
          <w:szCs w:val="20"/>
          <w:lang w:val="en-US"/>
        </w:rPr>
        <w:t xml:space="preserve"> 21, 8</w:t>
      </w:r>
      <w:r w:rsidR="00CD2B90" w:rsidRPr="004542B5">
        <w:rPr>
          <w:noProof w:val="0"/>
          <w:szCs w:val="20"/>
          <w:lang w:val="en-US"/>
        </w:rPr>
        <w:t xml:space="preserve"> and </w:t>
      </w:r>
      <w:r w:rsidR="00A41A72" w:rsidRPr="004542B5">
        <w:rPr>
          <w:noProof w:val="0"/>
          <w:szCs w:val="20"/>
          <w:lang w:val="en-US"/>
        </w:rPr>
        <w:t>25</w:t>
      </w:r>
      <w:r w:rsidR="008A56D7" w:rsidRPr="004542B5">
        <w:rPr>
          <w:noProof w:val="0"/>
          <w:szCs w:val="20"/>
          <w:lang w:val="en-US"/>
        </w:rPr>
        <w:t xml:space="preserve"> of the </w:t>
      </w:r>
      <w:r w:rsidR="00562CBB" w:rsidRPr="004542B5">
        <w:rPr>
          <w:noProof w:val="0"/>
          <w:szCs w:val="20"/>
          <w:lang w:val="en-US"/>
        </w:rPr>
        <w:t>Convention</w:t>
      </w:r>
      <w:r w:rsidR="00A41A72" w:rsidRPr="004542B5">
        <w:rPr>
          <w:noProof w:val="0"/>
          <w:szCs w:val="20"/>
          <w:lang w:val="en-US"/>
        </w:rPr>
        <w:t xml:space="preserve"> </w:t>
      </w:r>
      <w:r w:rsidR="00342385" w:rsidRPr="004542B5">
        <w:rPr>
          <w:noProof w:val="0"/>
          <w:szCs w:val="20"/>
          <w:lang w:val="en-US"/>
        </w:rPr>
        <w:t xml:space="preserve">to the detriment </w:t>
      </w:r>
      <w:r w:rsidRPr="004542B5">
        <w:rPr>
          <w:noProof w:val="0"/>
          <w:szCs w:val="20"/>
          <w:lang w:val="en-US"/>
        </w:rPr>
        <w:t>of the</w:t>
      </w:r>
      <w:r w:rsidR="00053C14" w:rsidRPr="004542B5">
        <w:rPr>
          <w:noProof w:val="0"/>
          <w:szCs w:val="20"/>
          <w:lang w:val="en-US"/>
        </w:rPr>
        <w:t xml:space="preserve"> Kuna </w:t>
      </w:r>
      <w:r w:rsidRPr="004542B5">
        <w:rPr>
          <w:noProof w:val="0"/>
          <w:szCs w:val="20"/>
          <w:lang w:val="en-US"/>
        </w:rPr>
        <w:t>people of</w:t>
      </w:r>
      <w:r w:rsidR="00053C14" w:rsidRPr="004542B5">
        <w:rPr>
          <w:noProof w:val="0"/>
          <w:szCs w:val="20"/>
          <w:lang w:val="en-US"/>
        </w:rPr>
        <w:t xml:space="preserve"> Ma</w:t>
      </w:r>
      <w:r w:rsidR="00A41A72" w:rsidRPr="004542B5">
        <w:rPr>
          <w:noProof w:val="0"/>
          <w:szCs w:val="20"/>
          <w:lang w:val="en-US"/>
        </w:rPr>
        <w:t>dungandí</w:t>
      </w:r>
      <w:r w:rsidR="00CD2B90" w:rsidRPr="004542B5">
        <w:rPr>
          <w:noProof w:val="0"/>
          <w:szCs w:val="20"/>
          <w:lang w:val="en-US"/>
        </w:rPr>
        <w:t xml:space="preserve"> and </w:t>
      </w:r>
      <w:r w:rsidRPr="004542B5">
        <w:rPr>
          <w:noProof w:val="0"/>
          <w:szCs w:val="20"/>
          <w:lang w:val="en-US"/>
        </w:rPr>
        <w:t>the</w:t>
      </w:r>
      <w:r w:rsidR="00A41A72" w:rsidRPr="004542B5">
        <w:rPr>
          <w:noProof w:val="0"/>
          <w:szCs w:val="20"/>
          <w:lang w:val="en-US"/>
        </w:rPr>
        <w:t xml:space="preserve"> </w:t>
      </w:r>
      <w:r w:rsidR="00E74A3B" w:rsidRPr="004542B5">
        <w:rPr>
          <w:noProof w:val="0"/>
          <w:szCs w:val="20"/>
          <w:lang w:val="en-US"/>
        </w:rPr>
        <w:t xml:space="preserve">Ipetí </w:t>
      </w:r>
      <w:r w:rsidRPr="004542B5">
        <w:rPr>
          <w:noProof w:val="0"/>
          <w:szCs w:val="20"/>
          <w:lang w:val="en-US"/>
        </w:rPr>
        <w:t xml:space="preserve">and Piriatí </w:t>
      </w:r>
      <w:r w:rsidR="00E74A3B" w:rsidRPr="004542B5">
        <w:rPr>
          <w:noProof w:val="0"/>
          <w:szCs w:val="20"/>
          <w:lang w:val="en-US"/>
        </w:rPr>
        <w:t>Emberá</w:t>
      </w:r>
      <w:r w:rsidR="00CD2B90" w:rsidRPr="004542B5">
        <w:rPr>
          <w:noProof w:val="0"/>
          <w:szCs w:val="20"/>
          <w:lang w:val="en-US"/>
        </w:rPr>
        <w:t xml:space="preserve"> </w:t>
      </w:r>
      <w:r w:rsidRPr="004542B5">
        <w:rPr>
          <w:noProof w:val="0"/>
          <w:szCs w:val="20"/>
          <w:lang w:val="en-US"/>
        </w:rPr>
        <w:t>communities of</w:t>
      </w:r>
      <w:r w:rsidR="00A41A72" w:rsidRPr="004542B5">
        <w:rPr>
          <w:noProof w:val="0"/>
          <w:szCs w:val="20"/>
          <w:lang w:val="en-US"/>
        </w:rPr>
        <w:t xml:space="preserve"> Bayano, </w:t>
      </w:r>
      <w:r w:rsidR="00342385" w:rsidRPr="004542B5">
        <w:rPr>
          <w:noProof w:val="0"/>
          <w:szCs w:val="20"/>
          <w:lang w:val="en-US"/>
        </w:rPr>
        <w:t>in relation to</w:t>
      </w:r>
      <w:r w:rsidR="00A41A72" w:rsidRPr="004542B5">
        <w:rPr>
          <w:noProof w:val="0"/>
          <w:szCs w:val="20"/>
          <w:lang w:val="en-US"/>
        </w:rPr>
        <w:t xml:space="preserve"> </w:t>
      </w:r>
      <w:r w:rsidRPr="004542B5">
        <w:rPr>
          <w:noProof w:val="0"/>
          <w:szCs w:val="20"/>
          <w:lang w:val="en-US"/>
        </w:rPr>
        <w:t>the laws that are currently in force to delimit, demarcate and title indigenous lands.</w:t>
      </w:r>
      <w:r w:rsidR="00A41A72" w:rsidRPr="004542B5">
        <w:rPr>
          <w:noProof w:val="0"/>
          <w:szCs w:val="20"/>
          <w:lang w:val="en-US"/>
        </w:rPr>
        <w:t xml:space="preserve"> </w:t>
      </w:r>
    </w:p>
    <w:p w14:paraId="21FD5D87" w14:textId="00F8816C" w:rsidR="0036225B" w:rsidRPr="004542B5" w:rsidRDefault="007B47B1" w:rsidP="00D50381">
      <w:pPr>
        <w:pStyle w:val="ListParagraph"/>
        <w:keepNext/>
        <w:spacing w:before="360" w:after="360"/>
        <w:ind w:left="0"/>
        <w:contextualSpacing w:val="0"/>
        <w:jc w:val="center"/>
        <w:outlineLvl w:val="0"/>
        <w:rPr>
          <w:rFonts w:eastAsia="Times New Roman" w:cs="Verdana"/>
          <w:b/>
          <w:bCs/>
          <w:noProof w:val="0"/>
          <w:snapToGrid w:val="0"/>
          <w:szCs w:val="20"/>
          <w:lang w:val="en-US" w:eastAsia="es-ES"/>
        </w:rPr>
      </w:pPr>
      <w:bookmarkStart w:id="244" w:name="_Toc45200890"/>
      <w:r w:rsidRPr="004542B5">
        <w:rPr>
          <w:b/>
          <w:smallCaps/>
          <w:noProof w:val="0"/>
          <w:szCs w:val="20"/>
          <w:lang w:val="en-US"/>
        </w:rPr>
        <w:t>VII-2</w:t>
      </w:r>
      <w:r w:rsidRPr="004542B5">
        <w:rPr>
          <w:b/>
          <w:smallCaps/>
          <w:noProof w:val="0"/>
          <w:color w:val="FFFFFF" w:themeColor="background1"/>
          <w:szCs w:val="20"/>
          <w:lang w:val="en-US"/>
        </w:rPr>
        <w:t>.</w:t>
      </w:r>
      <w:r w:rsidRPr="004542B5">
        <w:rPr>
          <w:b/>
          <w:smallCaps/>
          <w:noProof w:val="0"/>
          <w:color w:val="FFFFFF" w:themeColor="background1"/>
          <w:szCs w:val="20"/>
          <w:lang w:val="en-US"/>
        </w:rPr>
        <w:br/>
      </w:r>
      <w:r w:rsidR="00740567" w:rsidRPr="004542B5">
        <w:rPr>
          <w:rFonts w:eastAsia="Times New Roman" w:cs="Verdana"/>
          <w:b/>
          <w:bCs/>
          <w:noProof w:val="0"/>
          <w:snapToGrid w:val="0"/>
          <w:szCs w:val="20"/>
          <w:lang w:val="en-US" w:eastAsia="es-ES"/>
        </w:rPr>
        <w:t>PROCEDURES TO ACCEDE</w:t>
      </w:r>
      <w:r w:rsidR="00B902E7" w:rsidRPr="004542B5">
        <w:rPr>
          <w:rFonts w:eastAsia="Times New Roman" w:cs="Verdana"/>
          <w:b/>
          <w:bCs/>
          <w:noProof w:val="0"/>
          <w:snapToGrid w:val="0"/>
          <w:szCs w:val="20"/>
          <w:lang w:val="en-US" w:eastAsia="es-ES"/>
        </w:rPr>
        <w:t xml:space="preserve"> TO OWNERSHIP OF INDIGENOUS TERRITORY AND FOR ITS </w:t>
      </w:r>
      <w:r w:rsidR="00561841" w:rsidRPr="004542B5">
        <w:rPr>
          <w:rFonts w:eastAsia="Times New Roman" w:cs="Verdana"/>
          <w:b/>
          <w:bCs/>
          <w:noProof w:val="0"/>
          <w:snapToGrid w:val="0"/>
          <w:szCs w:val="20"/>
          <w:lang w:val="en-US" w:eastAsia="es-ES"/>
        </w:rPr>
        <w:t>PROTECTION AGAINST THIRD PARTIES</w:t>
      </w:r>
      <w:r w:rsidR="00B902E7" w:rsidRPr="004542B5">
        <w:rPr>
          <w:rFonts w:eastAsia="Times New Roman" w:cs="Verdana"/>
          <w:b/>
          <w:bCs/>
          <w:noProof w:val="0"/>
          <w:snapToGrid w:val="0"/>
          <w:szCs w:val="20"/>
          <w:lang w:val="en-US" w:eastAsia="es-ES"/>
        </w:rPr>
        <w:t xml:space="preserve"> AND THE OBLIGATION TO ADAPT DOMESTIC LAW</w:t>
      </w:r>
      <w:r w:rsidRPr="004542B5">
        <w:rPr>
          <w:rFonts w:eastAsia="Times New Roman" w:cs="Verdana"/>
          <w:b/>
          <w:bCs/>
          <w:noProof w:val="0"/>
          <w:snapToGrid w:val="0"/>
          <w:szCs w:val="20"/>
          <w:lang w:val="en-US" w:eastAsia="es-ES"/>
        </w:rPr>
        <w:br/>
        <w:t>(</w:t>
      </w:r>
      <w:r w:rsidR="00562CBB" w:rsidRPr="004542B5">
        <w:rPr>
          <w:rFonts w:eastAsia="Times New Roman" w:cs="Verdana"/>
          <w:b/>
          <w:bCs/>
          <w:noProof w:val="0"/>
          <w:snapToGrid w:val="0"/>
          <w:szCs w:val="20"/>
          <w:lang w:val="en-US" w:eastAsia="es-ES"/>
        </w:rPr>
        <w:t>Article</w:t>
      </w:r>
      <w:r w:rsidRPr="004542B5">
        <w:rPr>
          <w:rFonts w:eastAsia="Times New Roman" w:cs="Verdana"/>
          <w:b/>
          <w:bCs/>
          <w:noProof w:val="0"/>
          <w:snapToGrid w:val="0"/>
          <w:szCs w:val="20"/>
          <w:lang w:val="en-US" w:eastAsia="es-ES"/>
        </w:rPr>
        <w:t xml:space="preserve">s </w:t>
      </w:r>
      <w:r w:rsidR="00DE6766" w:rsidRPr="004542B5">
        <w:rPr>
          <w:rFonts w:eastAsia="Times New Roman" w:cs="Verdana"/>
          <w:b/>
          <w:bCs/>
          <w:noProof w:val="0"/>
          <w:snapToGrid w:val="0"/>
          <w:szCs w:val="20"/>
          <w:lang w:val="en-US" w:eastAsia="es-ES"/>
        </w:rPr>
        <w:t>8(1)</w:t>
      </w:r>
      <w:r w:rsidR="00B46E3B" w:rsidRPr="004542B5">
        <w:rPr>
          <w:rFonts w:eastAsia="Times New Roman" w:cs="Verdana"/>
          <w:b/>
          <w:bCs/>
          <w:noProof w:val="0"/>
          <w:snapToGrid w:val="0"/>
          <w:szCs w:val="20"/>
          <w:lang w:val="en-US" w:eastAsia="es-ES"/>
        </w:rPr>
        <w:t>, 25</w:t>
      </w:r>
      <w:r w:rsidR="00CD2B90" w:rsidRPr="004542B5">
        <w:rPr>
          <w:rFonts w:eastAsia="Times New Roman" w:cs="Verdana"/>
          <w:b/>
          <w:bCs/>
          <w:noProof w:val="0"/>
          <w:snapToGrid w:val="0"/>
          <w:szCs w:val="20"/>
          <w:lang w:val="en-US" w:eastAsia="es-ES"/>
        </w:rPr>
        <w:t xml:space="preserve"> and </w:t>
      </w:r>
      <w:r w:rsidRPr="004542B5">
        <w:rPr>
          <w:rFonts w:eastAsia="Times New Roman" w:cs="Verdana"/>
          <w:b/>
          <w:bCs/>
          <w:noProof w:val="0"/>
          <w:snapToGrid w:val="0"/>
          <w:szCs w:val="20"/>
          <w:lang w:val="en-US" w:eastAsia="es-ES"/>
        </w:rPr>
        <w:t xml:space="preserve">2 </w:t>
      </w:r>
      <w:r w:rsidR="00B902E7" w:rsidRPr="004542B5">
        <w:rPr>
          <w:rFonts w:eastAsia="Times New Roman" w:cs="Verdana"/>
          <w:b/>
          <w:bCs/>
          <w:noProof w:val="0"/>
          <w:snapToGrid w:val="0"/>
          <w:szCs w:val="20"/>
          <w:lang w:val="en-US" w:eastAsia="es-ES"/>
        </w:rPr>
        <w:t>in relation to Article 1(1) of the Convention</w:t>
      </w:r>
      <w:r w:rsidRPr="004542B5">
        <w:rPr>
          <w:rFonts w:eastAsia="Times New Roman" w:cs="Verdana"/>
          <w:b/>
          <w:bCs/>
          <w:noProof w:val="0"/>
          <w:snapToGrid w:val="0"/>
          <w:szCs w:val="20"/>
          <w:lang w:val="en-US" w:eastAsia="es-ES"/>
        </w:rPr>
        <w:t>)</w:t>
      </w:r>
      <w:bookmarkEnd w:id="244"/>
    </w:p>
    <w:p w14:paraId="0FF9BE44" w14:textId="254187DF" w:rsidR="003B7977" w:rsidRPr="004542B5" w:rsidRDefault="00B902E7" w:rsidP="00D50381">
      <w:pPr>
        <w:pStyle w:val="Heading2"/>
        <w:keepLines w:val="0"/>
        <w:numPr>
          <w:ilvl w:val="0"/>
          <w:numId w:val="49"/>
        </w:numPr>
        <w:rPr>
          <w:noProof w:val="0"/>
          <w:lang w:val="en-US"/>
        </w:rPr>
      </w:pPr>
      <w:bookmarkStart w:id="245" w:name="_Toc393988495"/>
      <w:bookmarkStart w:id="246" w:name="_Toc394003999"/>
      <w:bookmarkStart w:id="247" w:name="_Toc45200891"/>
      <w:bookmarkEnd w:id="245"/>
      <w:bookmarkEnd w:id="246"/>
      <w:r w:rsidRPr="004542B5">
        <w:rPr>
          <w:noProof w:val="0"/>
          <w:lang w:val="en-US"/>
        </w:rPr>
        <w:t xml:space="preserve">The alleged ineffectiveness of </w:t>
      </w:r>
      <w:r w:rsidR="00740567" w:rsidRPr="004542B5">
        <w:rPr>
          <w:noProof w:val="0"/>
          <w:lang w:val="en-US"/>
        </w:rPr>
        <w:t>the procedures to accede</w:t>
      </w:r>
      <w:r w:rsidRPr="004542B5">
        <w:rPr>
          <w:noProof w:val="0"/>
          <w:lang w:val="en-US"/>
        </w:rPr>
        <w:t xml:space="preserve"> to ownership of indigenous territory and for its </w:t>
      </w:r>
      <w:r w:rsidR="00561841" w:rsidRPr="004542B5">
        <w:rPr>
          <w:noProof w:val="0"/>
          <w:lang w:val="en-US"/>
        </w:rPr>
        <w:t>protection against third parties</w:t>
      </w:r>
      <w:r w:rsidR="007B47B1" w:rsidRPr="004542B5">
        <w:rPr>
          <w:noProof w:val="0"/>
          <w:lang w:val="en-US"/>
        </w:rPr>
        <w:t xml:space="preserve"> (</w:t>
      </w:r>
      <w:r w:rsidR="00562CBB" w:rsidRPr="004542B5">
        <w:rPr>
          <w:noProof w:val="0"/>
          <w:lang w:val="en-US"/>
        </w:rPr>
        <w:t>Article</w:t>
      </w:r>
      <w:r w:rsidR="007B47B1" w:rsidRPr="004542B5">
        <w:rPr>
          <w:noProof w:val="0"/>
          <w:lang w:val="en-US"/>
        </w:rPr>
        <w:t xml:space="preserve"> </w:t>
      </w:r>
      <w:r w:rsidR="00DE6766" w:rsidRPr="004542B5">
        <w:rPr>
          <w:noProof w:val="0"/>
          <w:lang w:val="en-US"/>
        </w:rPr>
        <w:t>8(1)</w:t>
      </w:r>
      <w:r w:rsidR="00CD2B90" w:rsidRPr="004542B5">
        <w:rPr>
          <w:noProof w:val="0"/>
          <w:lang w:val="en-US"/>
        </w:rPr>
        <w:t xml:space="preserve"> and </w:t>
      </w:r>
      <w:r w:rsidR="00AC2AFF" w:rsidRPr="004542B5">
        <w:rPr>
          <w:noProof w:val="0"/>
          <w:lang w:val="en-US"/>
        </w:rPr>
        <w:t>25</w:t>
      </w:r>
      <w:r w:rsidR="007B47B1" w:rsidRPr="004542B5">
        <w:rPr>
          <w:noProof w:val="0"/>
          <w:lang w:val="en-US"/>
        </w:rPr>
        <w:t xml:space="preserve"> </w:t>
      </w:r>
      <w:r w:rsidRPr="004542B5">
        <w:rPr>
          <w:noProof w:val="0"/>
          <w:lang w:val="en-US"/>
        </w:rPr>
        <w:t>in relation to Article 1(1) of the Convention</w:t>
      </w:r>
      <w:r w:rsidR="007B47B1" w:rsidRPr="004542B5">
        <w:rPr>
          <w:noProof w:val="0"/>
          <w:lang w:val="en-US"/>
        </w:rPr>
        <w:t>)</w:t>
      </w:r>
      <w:bookmarkEnd w:id="247"/>
    </w:p>
    <w:p w14:paraId="7B04EF58" w14:textId="2903C96A" w:rsidR="003B7977" w:rsidRPr="004542B5" w:rsidRDefault="007B47B1" w:rsidP="00E01664">
      <w:pPr>
        <w:pStyle w:val="Heading3"/>
        <w:rPr>
          <w:i w:val="0"/>
          <w:noProof w:val="0"/>
          <w:lang w:val="en-US"/>
        </w:rPr>
      </w:pPr>
      <w:bookmarkStart w:id="248" w:name="_Toc45200892"/>
      <w:r w:rsidRPr="004542B5">
        <w:rPr>
          <w:noProof w:val="0"/>
          <w:lang w:val="en-US"/>
        </w:rPr>
        <w:t xml:space="preserve">A.1. </w:t>
      </w:r>
      <w:r w:rsidR="00EC434E" w:rsidRPr="004542B5">
        <w:rPr>
          <w:noProof w:val="0"/>
          <w:lang w:val="en-US"/>
        </w:rPr>
        <w:t>Arguments</w:t>
      </w:r>
      <w:r w:rsidR="008A56D7" w:rsidRPr="004542B5">
        <w:rPr>
          <w:noProof w:val="0"/>
          <w:lang w:val="en-US"/>
        </w:rPr>
        <w:t xml:space="preserve"> of the </w:t>
      </w:r>
      <w:r w:rsidR="00562CBB" w:rsidRPr="004542B5">
        <w:rPr>
          <w:noProof w:val="0"/>
          <w:lang w:val="en-US"/>
        </w:rPr>
        <w:t>Commission</w:t>
      </w:r>
      <w:r w:rsidR="00CD2B90" w:rsidRPr="004542B5">
        <w:rPr>
          <w:noProof w:val="0"/>
          <w:lang w:val="en-US"/>
        </w:rPr>
        <w:t xml:space="preserve"> and </w:t>
      </w:r>
      <w:r w:rsidR="00B902E7" w:rsidRPr="004542B5">
        <w:rPr>
          <w:noProof w:val="0"/>
          <w:lang w:val="en-US"/>
        </w:rPr>
        <w:t>of the parties</w:t>
      </w:r>
      <w:bookmarkEnd w:id="248"/>
      <w:r w:rsidRPr="004542B5">
        <w:rPr>
          <w:noProof w:val="0"/>
          <w:lang w:val="en-US"/>
        </w:rPr>
        <w:t xml:space="preserve"> </w:t>
      </w:r>
    </w:p>
    <w:p w14:paraId="7C3BB68C" w14:textId="00FB6BDC" w:rsidR="00740567" w:rsidRPr="004542B5" w:rsidRDefault="00562CBB" w:rsidP="00740567">
      <w:pPr>
        <w:pStyle w:val="ListParagraph"/>
        <w:numPr>
          <w:ilvl w:val="0"/>
          <w:numId w:val="2"/>
        </w:numPr>
        <w:spacing w:before="120" w:after="120"/>
        <w:contextualSpacing w:val="0"/>
        <w:rPr>
          <w:rFonts w:cs="Tahoma"/>
          <w:noProof w:val="0"/>
          <w:szCs w:val="20"/>
          <w:lang w:val="en-US"/>
        </w:rPr>
      </w:pPr>
      <w:r w:rsidRPr="004542B5">
        <w:rPr>
          <w:rFonts w:cs="Tahoma"/>
          <w:noProof w:val="0"/>
          <w:szCs w:val="20"/>
          <w:lang w:val="en-US"/>
        </w:rPr>
        <w:t>The Commission</w:t>
      </w:r>
      <w:r w:rsidR="007B47B1" w:rsidRPr="004542B5">
        <w:rPr>
          <w:rFonts w:cs="Tahoma"/>
          <w:noProof w:val="0"/>
          <w:szCs w:val="20"/>
          <w:lang w:val="en-US"/>
        </w:rPr>
        <w:t xml:space="preserve"> </w:t>
      </w:r>
      <w:r w:rsidR="00740567" w:rsidRPr="004542B5">
        <w:rPr>
          <w:rFonts w:cs="Tahoma"/>
          <w:noProof w:val="0"/>
          <w:szCs w:val="20"/>
          <w:lang w:val="en-US"/>
        </w:rPr>
        <w:t>indicated that</w:t>
      </w:r>
      <w:r w:rsidR="007B47B1" w:rsidRPr="004542B5">
        <w:rPr>
          <w:rFonts w:cs="Tahoma"/>
          <w:noProof w:val="0"/>
          <w:szCs w:val="20"/>
          <w:lang w:val="en-US"/>
        </w:rPr>
        <w:t xml:space="preserve"> </w:t>
      </w:r>
      <w:r w:rsidRPr="004542B5">
        <w:rPr>
          <w:rFonts w:cs="Tahoma"/>
          <w:noProof w:val="0"/>
          <w:szCs w:val="20"/>
          <w:lang w:val="en-US"/>
        </w:rPr>
        <w:t>the State</w:t>
      </w:r>
      <w:r w:rsidR="007B47B1" w:rsidRPr="004542B5">
        <w:rPr>
          <w:rFonts w:cs="Tahoma"/>
          <w:noProof w:val="0"/>
          <w:szCs w:val="20"/>
          <w:lang w:val="en-US"/>
        </w:rPr>
        <w:t xml:space="preserve"> ha</w:t>
      </w:r>
      <w:r w:rsidR="00740567" w:rsidRPr="004542B5">
        <w:rPr>
          <w:rFonts w:cs="Tahoma"/>
          <w:noProof w:val="0"/>
          <w:szCs w:val="20"/>
          <w:lang w:val="en-US"/>
        </w:rPr>
        <w:t>d violated the rights contained in</w:t>
      </w:r>
      <w:r w:rsidR="007B47B1" w:rsidRPr="004542B5">
        <w:rPr>
          <w:rFonts w:cs="Tahoma"/>
          <w:noProof w:val="0"/>
          <w:szCs w:val="20"/>
          <w:lang w:val="en-US"/>
        </w:rPr>
        <w:t xml:space="preserve"> </w:t>
      </w:r>
      <w:r w:rsidRPr="004542B5">
        <w:rPr>
          <w:rFonts w:cs="Tahoma"/>
          <w:noProof w:val="0"/>
          <w:szCs w:val="20"/>
          <w:lang w:val="en-US"/>
        </w:rPr>
        <w:t>Articles</w:t>
      </w:r>
      <w:r w:rsidR="007B47B1" w:rsidRPr="004542B5">
        <w:rPr>
          <w:rFonts w:cs="Tahoma"/>
          <w:noProof w:val="0"/>
          <w:szCs w:val="20"/>
          <w:lang w:val="en-US"/>
        </w:rPr>
        <w:t xml:space="preserve"> 8</w:t>
      </w:r>
      <w:r w:rsidR="00CD2B90" w:rsidRPr="004542B5">
        <w:rPr>
          <w:rFonts w:cs="Tahoma"/>
          <w:noProof w:val="0"/>
          <w:szCs w:val="20"/>
          <w:lang w:val="en-US"/>
        </w:rPr>
        <w:t xml:space="preserve"> and </w:t>
      </w:r>
      <w:r w:rsidR="007B47B1" w:rsidRPr="004542B5">
        <w:rPr>
          <w:rFonts w:cs="Tahoma"/>
          <w:noProof w:val="0"/>
          <w:szCs w:val="20"/>
          <w:lang w:val="en-US"/>
        </w:rPr>
        <w:t>25</w:t>
      </w:r>
      <w:r w:rsidR="008A56D7" w:rsidRPr="004542B5">
        <w:rPr>
          <w:rFonts w:cs="Tahoma"/>
          <w:noProof w:val="0"/>
          <w:szCs w:val="20"/>
          <w:lang w:val="en-US"/>
        </w:rPr>
        <w:t xml:space="preserve"> of the </w:t>
      </w:r>
      <w:r w:rsidRPr="004542B5">
        <w:rPr>
          <w:rFonts w:cs="Tahoma"/>
          <w:noProof w:val="0"/>
          <w:szCs w:val="20"/>
          <w:lang w:val="en-US"/>
        </w:rPr>
        <w:t>American Convention</w:t>
      </w:r>
      <w:r w:rsidR="007B47B1" w:rsidRPr="004542B5">
        <w:rPr>
          <w:rFonts w:cs="Tahoma"/>
          <w:noProof w:val="0"/>
          <w:szCs w:val="20"/>
          <w:lang w:val="en-US"/>
        </w:rPr>
        <w:t xml:space="preserve"> </w:t>
      </w:r>
      <w:r w:rsidR="00342385" w:rsidRPr="004542B5">
        <w:rPr>
          <w:rFonts w:cs="Tahoma"/>
          <w:noProof w:val="0"/>
          <w:szCs w:val="20"/>
          <w:lang w:val="en-US"/>
        </w:rPr>
        <w:t>to the detriment of</w:t>
      </w:r>
      <w:r w:rsidR="007B47B1" w:rsidRPr="004542B5">
        <w:rPr>
          <w:rFonts w:cs="Tahoma"/>
          <w:noProof w:val="0"/>
          <w:szCs w:val="20"/>
          <w:lang w:val="en-US"/>
        </w:rPr>
        <w:t xml:space="preserve"> </w:t>
      </w:r>
      <w:r w:rsidR="006017EC" w:rsidRPr="004542B5">
        <w:rPr>
          <w:rFonts w:cs="Tahoma"/>
          <w:noProof w:val="0"/>
          <w:szCs w:val="20"/>
          <w:lang w:val="en-US"/>
        </w:rPr>
        <w:t xml:space="preserve">the </w:t>
      </w:r>
      <w:r w:rsidR="00740567" w:rsidRPr="004542B5">
        <w:rPr>
          <w:rFonts w:cs="Tahoma"/>
          <w:noProof w:val="0"/>
          <w:szCs w:val="20"/>
          <w:lang w:val="en-US"/>
        </w:rPr>
        <w:t>communities of the</w:t>
      </w:r>
      <w:r w:rsidR="007B47B1" w:rsidRPr="004542B5">
        <w:rPr>
          <w:rFonts w:cs="Tahoma"/>
          <w:noProof w:val="0"/>
          <w:szCs w:val="20"/>
          <w:lang w:val="en-US"/>
        </w:rPr>
        <w:t xml:space="preserve"> Kuna </w:t>
      </w:r>
      <w:r w:rsidR="00740567" w:rsidRPr="004542B5">
        <w:rPr>
          <w:rFonts w:cs="Tahoma"/>
          <w:noProof w:val="0"/>
          <w:szCs w:val="20"/>
          <w:lang w:val="en-US"/>
        </w:rPr>
        <w:t>of</w:t>
      </w:r>
      <w:r w:rsidR="007B47B1" w:rsidRPr="004542B5">
        <w:rPr>
          <w:rFonts w:cs="Tahoma"/>
          <w:noProof w:val="0"/>
          <w:szCs w:val="20"/>
          <w:lang w:val="en-US"/>
        </w:rPr>
        <w:t xml:space="preserve"> Madungandí</w:t>
      </w:r>
      <w:r w:rsidR="00CD2B90" w:rsidRPr="004542B5">
        <w:rPr>
          <w:rFonts w:cs="Tahoma"/>
          <w:noProof w:val="0"/>
          <w:szCs w:val="20"/>
          <w:lang w:val="en-US"/>
        </w:rPr>
        <w:t xml:space="preserve"> and </w:t>
      </w:r>
      <w:r w:rsidR="00740567" w:rsidRPr="004542B5">
        <w:rPr>
          <w:rFonts w:cs="Tahoma"/>
          <w:noProof w:val="0"/>
          <w:szCs w:val="20"/>
          <w:lang w:val="en-US"/>
        </w:rPr>
        <w:t xml:space="preserve">the </w:t>
      </w:r>
      <w:r w:rsidR="007B47B1" w:rsidRPr="004542B5">
        <w:rPr>
          <w:rFonts w:cs="Tahoma"/>
          <w:noProof w:val="0"/>
          <w:szCs w:val="20"/>
          <w:lang w:val="en-US"/>
        </w:rPr>
        <w:t xml:space="preserve">Emberá </w:t>
      </w:r>
      <w:r w:rsidR="00740567" w:rsidRPr="004542B5">
        <w:rPr>
          <w:rFonts w:cs="Tahoma"/>
          <w:noProof w:val="0"/>
          <w:szCs w:val="20"/>
          <w:lang w:val="en-US"/>
        </w:rPr>
        <w:t>of</w:t>
      </w:r>
      <w:r w:rsidR="007B47B1" w:rsidRPr="004542B5">
        <w:rPr>
          <w:rFonts w:cs="Tahoma"/>
          <w:noProof w:val="0"/>
          <w:szCs w:val="20"/>
          <w:lang w:val="en-US"/>
        </w:rPr>
        <w:t xml:space="preserve"> Alto Bayano,</w:t>
      </w:r>
      <w:r w:rsidR="00CD2B90" w:rsidRPr="004542B5">
        <w:rPr>
          <w:rFonts w:cs="Tahoma"/>
          <w:noProof w:val="0"/>
          <w:szCs w:val="20"/>
          <w:lang w:val="en-US"/>
        </w:rPr>
        <w:t xml:space="preserve"> </w:t>
      </w:r>
      <w:r w:rsidR="00740567" w:rsidRPr="004542B5">
        <w:rPr>
          <w:rFonts w:cs="Tahoma"/>
          <w:noProof w:val="0"/>
          <w:szCs w:val="20"/>
          <w:lang w:val="en-US"/>
        </w:rPr>
        <w:t xml:space="preserve">for the following reasons: (a) the different applications for demarcation and titling </w:t>
      </w:r>
      <w:r w:rsidR="006017EC" w:rsidRPr="004542B5">
        <w:rPr>
          <w:rFonts w:cs="Tahoma"/>
          <w:noProof w:val="0"/>
          <w:szCs w:val="20"/>
          <w:lang w:val="en-US"/>
        </w:rPr>
        <w:t>filed</w:t>
      </w:r>
      <w:r w:rsidR="00740567" w:rsidRPr="004542B5">
        <w:rPr>
          <w:rFonts w:cs="Tahoma"/>
          <w:noProof w:val="0"/>
          <w:szCs w:val="20"/>
          <w:lang w:val="en-US"/>
        </w:rPr>
        <w:t xml:space="preserve"> </w:t>
      </w:r>
      <w:r w:rsidR="00443079" w:rsidRPr="004542B5">
        <w:rPr>
          <w:rFonts w:cs="Tahoma"/>
          <w:noProof w:val="0"/>
          <w:szCs w:val="20"/>
          <w:lang w:val="en-US"/>
        </w:rPr>
        <w:t>with</w:t>
      </w:r>
      <w:r w:rsidR="00740567" w:rsidRPr="004542B5">
        <w:rPr>
          <w:rFonts w:cs="Tahoma"/>
          <w:noProof w:val="0"/>
          <w:szCs w:val="20"/>
          <w:lang w:val="en-US"/>
        </w:rPr>
        <w:t xml:space="preserve"> various Panamanian authorities by the representatives of these communities were not effective over a certain period of time in the case of the Kuna people, and to date in the case of the Ipetí Emberá who have still not obtained formal recognition of their territory; (b) the presumed victims filed administrative remedies and criminal complaints in order to obtain the protection of their territories and natural resources, but these were </w:t>
      </w:r>
      <w:r w:rsidR="006017EC" w:rsidRPr="004542B5">
        <w:rPr>
          <w:rFonts w:cs="Tahoma"/>
          <w:noProof w:val="0"/>
          <w:szCs w:val="20"/>
          <w:lang w:val="en-US"/>
        </w:rPr>
        <w:t>in</w:t>
      </w:r>
      <w:r w:rsidR="00740567" w:rsidRPr="004542B5">
        <w:rPr>
          <w:rFonts w:cs="Tahoma"/>
          <w:noProof w:val="0"/>
          <w:szCs w:val="20"/>
          <w:lang w:val="en-US"/>
        </w:rPr>
        <w:t>effective,</w:t>
      </w:r>
      <w:r w:rsidR="007B47B1" w:rsidRPr="004542B5">
        <w:rPr>
          <w:rStyle w:val="FootnoteReference"/>
          <w:noProof w:val="0"/>
          <w:lang w:val="en-US"/>
        </w:rPr>
        <w:footnoteReference w:id="229"/>
      </w:r>
      <w:r w:rsidR="00CD2B90" w:rsidRPr="004542B5">
        <w:rPr>
          <w:rFonts w:cs="Tahoma"/>
          <w:noProof w:val="0"/>
          <w:szCs w:val="20"/>
          <w:lang w:val="en-US"/>
        </w:rPr>
        <w:t xml:space="preserve"> and </w:t>
      </w:r>
      <w:r w:rsidR="00740567" w:rsidRPr="004542B5">
        <w:rPr>
          <w:rFonts w:cs="Tahoma"/>
          <w:noProof w:val="0"/>
          <w:szCs w:val="20"/>
          <w:lang w:val="en-US"/>
        </w:rPr>
        <w:t>(</w:t>
      </w:r>
      <w:r w:rsidR="007B47B1" w:rsidRPr="004542B5">
        <w:rPr>
          <w:rFonts w:cs="Tahoma"/>
          <w:noProof w:val="0"/>
          <w:szCs w:val="20"/>
          <w:lang w:val="en-US"/>
        </w:rPr>
        <w:t xml:space="preserve">c) </w:t>
      </w:r>
      <w:r w:rsidRPr="004542B5">
        <w:rPr>
          <w:rFonts w:cs="Tahoma"/>
          <w:noProof w:val="0"/>
          <w:szCs w:val="20"/>
          <w:lang w:val="en-US"/>
        </w:rPr>
        <w:t>the State</w:t>
      </w:r>
      <w:r w:rsidR="007B47B1" w:rsidRPr="004542B5">
        <w:rPr>
          <w:rFonts w:cs="Tahoma"/>
          <w:noProof w:val="0"/>
          <w:szCs w:val="20"/>
          <w:lang w:val="en-US"/>
        </w:rPr>
        <w:t xml:space="preserve"> </w:t>
      </w:r>
      <w:r w:rsidR="006017EC" w:rsidRPr="004542B5">
        <w:rPr>
          <w:rFonts w:cs="Tahoma"/>
          <w:noProof w:val="0"/>
          <w:szCs w:val="20"/>
          <w:lang w:val="en-US"/>
        </w:rPr>
        <w:t>failed to</w:t>
      </w:r>
      <w:r w:rsidR="00740567" w:rsidRPr="004542B5">
        <w:rPr>
          <w:rFonts w:cs="Tahoma"/>
          <w:noProof w:val="0"/>
          <w:szCs w:val="20"/>
          <w:lang w:val="en-US"/>
        </w:rPr>
        <w:t xml:space="preserve"> tak</w:t>
      </w:r>
      <w:r w:rsidR="006017EC" w:rsidRPr="004542B5">
        <w:rPr>
          <w:rFonts w:cs="Tahoma"/>
          <w:noProof w:val="0"/>
          <w:szCs w:val="20"/>
          <w:lang w:val="en-US"/>
        </w:rPr>
        <w:t>e</w:t>
      </w:r>
      <w:r w:rsidR="00740567" w:rsidRPr="004542B5">
        <w:rPr>
          <w:rFonts w:cs="Tahoma"/>
          <w:noProof w:val="0"/>
          <w:szCs w:val="20"/>
          <w:lang w:val="en-US"/>
        </w:rPr>
        <w:t xml:space="preserve"> effective measures to preven</w:t>
      </w:r>
      <w:r w:rsidR="00852875" w:rsidRPr="004542B5">
        <w:rPr>
          <w:rFonts w:cs="Tahoma"/>
          <w:noProof w:val="0"/>
          <w:szCs w:val="20"/>
          <w:lang w:val="en-US"/>
        </w:rPr>
        <w:t>t</w:t>
      </w:r>
      <w:r w:rsidR="00740567" w:rsidRPr="004542B5">
        <w:rPr>
          <w:rFonts w:cs="Tahoma"/>
          <w:noProof w:val="0"/>
          <w:szCs w:val="20"/>
          <w:lang w:val="en-US"/>
        </w:rPr>
        <w:t xml:space="preserve"> the </w:t>
      </w:r>
      <w:r w:rsidR="00740567" w:rsidRPr="004542B5">
        <w:rPr>
          <w:rFonts w:cs="Tahoma"/>
          <w:noProof w:val="0"/>
          <w:szCs w:val="20"/>
          <w:lang w:val="en-US"/>
        </w:rPr>
        <w:lastRenderedPageBreak/>
        <w:t xml:space="preserve">unlawful invasion and deforestation of the indigenous territory and to protect the territory and the natural resources of the presumed victims. </w:t>
      </w:r>
      <w:r w:rsidR="006017EC" w:rsidRPr="004542B5">
        <w:rPr>
          <w:rFonts w:cs="Tahoma"/>
          <w:noProof w:val="0"/>
          <w:szCs w:val="20"/>
          <w:lang w:val="en-US"/>
        </w:rPr>
        <w:t>T</w:t>
      </w:r>
      <w:r w:rsidR="00740567" w:rsidRPr="004542B5">
        <w:rPr>
          <w:rFonts w:cs="Tahoma"/>
          <w:noProof w:val="0"/>
          <w:szCs w:val="20"/>
          <w:lang w:val="en-US"/>
        </w:rPr>
        <w:t xml:space="preserve">his was despite the fact that the presumed victims </w:t>
      </w:r>
      <w:r w:rsidR="00852875" w:rsidRPr="004542B5">
        <w:rPr>
          <w:rFonts w:cs="Tahoma"/>
          <w:noProof w:val="0"/>
          <w:szCs w:val="20"/>
          <w:lang w:val="en-US"/>
        </w:rPr>
        <w:t>obtained</w:t>
      </w:r>
      <w:r w:rsidR="00740567" w:rsidRPr="004542B5">
        <w:rPr>
          <w:rFonts w:cs="Tahoma"/>
          <w:noProof w:val="0"/>
          <w:szCs w:val="20"/>
          <w:lang w:val="en-US"/>
        </w:rPr>
        <w:t xml:space="preserve"> </w:t>
      </w:r>
      <w:r w:rsidR="00852875" w:rsidRPr="004542B5">
        <w:rPr>
          <w:rFonts w:cs="Tahoma"/>
          <w:noProof w:val="0"/>
          <w:szCs w:val="20"/>
          <w:lang w:val="en-US"/>
        </w:rPr>
        <w:t xml:space="preserve">the signature of </w:t>
      </w:r>
      <w:r w:rsidR="00740567" w:rsidRPr="004542B5">
        <w:rPr>
          <w:rFonts w:cs="Tahoma"/>
          <w:noProof w:val="0"/>
          <w:szCs w:val="20"/>
          <w:lang w:val="en-US"/>
        </w:rPr>
        <w:t xml:space="preserve">numerous agreements </w:t>
      </w:r>
      <w:r w:rsidR="00852875" w:rsidRPr="004542B5">
        <w:rPr>
          <w:rFonts w:cs="Tahoma"/>
          <w:noProof w:val="0"/>
          <w:szCs w:val="20"/>
          <w:lang w:val="en-US"/>
        </w:rPr>
        <w:t xml:space="preserve">by state authorities and the issue of resolutions to obtain the eviction of non-indigenous persons and </w:t>
      </w:r>
      <w:r w:rsidR="006017EC" w:rsidRPr="004542B5">
        <w:rPr>
          <w:rFonts w:cs="Tahoma"/>
          <w:noProof w:val="0"/>
          <w:szCs w:val="20"/>
          <w:lang w:val="en-US"/>
        </w:rPr>
        <w:t>a</w:t>
      </w:r>
      <w:r w:rsidR="00852875" w:rsidRPr="004542B5">
        <w:rPr>
          <w:rFonts w:cs="Tahoma"/>
          <w:noProof w:val="0"/>
          <w:szCs w:val="20"/>
          <w:lang w:val="en-US"/>
        </w:rPr>
        <w:t xml:space="preserve"> halt to the illegal logging activities. The Commission considered that the prolonged and </w:t>
      </w:r>
      <w:r w:rsidR="006110CB" w:rsidRPr="004542B5">
        <w:rPr>
          <w:rFonts w:cs="Tahoma"/>
          <w:noProof w:val="0"/>
          <w:szCs w:val="20"/>
          <w:lang w:val="en-US"/>
        </w:rPr>
        <w:t>repetitive</w:t>
      </w:r>
      <w:r w:rsidR="00852875" w:rsidRPr="004542B5">
        <w:rPr>
          <w:rFonts w:cs="Tahoma"/>
          <w:noProof w:val="0"/>
          <w:szCs w:val="20"/>
          <w:lang w:val="en-US"/>
        </w:rPr>
        <w:t xml:space="preserve"> nature of the invasions and illegal logging reveal</w:t>
      </w:r>
      <w:r w:rsidR="006017EC" w:rsidRPr="004542B5">
        <w:rPr>
          <w:rFonts w:cs="Tahoma"/>
          <w:noProof w:val="0"/>
          <w:szCs w:val="20"/>
          <w:lang w:val="en-US"/>
        </w:rPr>
        <w:t>ed</w:t>
      </w:r>
      <w:r w:rsidR="00852875" w:rsidRPr="004542B5">
        <w:rPr>
          <w:rFonts w:cs="Tahoma"/>
          <w:noProof w:val="0"/>
          <w:szCs w:val="20"/>
          <w:lang w:val="en-US"/>
        </w:rPr>
        <w:t xml:space="preserve"> that the administrative and criminal proceedings were insufficient and ineffective.</w:t>
      </w:r>
    </w:p>
    <w:p w14:paraId="64E0EB85" w14:textId="4D09F6CD" w:rsidR="0036225B" w:rsidRPr="004542B5" w:rsidRDefault="00562CBB" w:rsidP="00852875">
      <w:pPr>
        <w:pStyle w:val="ListParagraph"/>
        <w:numPr>
          <w:ilvl w:val="0"/>
          <w:numId w:val="2"/>
        </w:numPr>
        <w:spacing w:before="120" w:after="120"/>
        <w:contextualSpacing w:val="0"/>
        <w:rPr>
          <w:rFonts w:eastAsia="Calibri"/>
          <w:noProof w:val="0"/>
          <w:szCs w:val="20"/>
          <w:lang w:val="en-US"/>
        </w:rPr>
      </w:pPr>
      <w:r w:rsidRPr="004542B5">
        <w:rPr>
          <w:rFonts w:eastAsia="Calibri"/>
          <w:noProof w:val="0"/>
          <w:szCs w:val="20"/>
          <w:lang w:val="en-US"/>
        </w:rPr>
        <w:t>The representatives</w:t>
      </w:r>
      <w:r w:rsidR="007B47B1" w:rsidRPr="004542B5">
        <w:rPr>
          <w:rFonts w:eastAsia="Calibri"/>
          <w:noProof w:val="0"/>
          <w:szCs w:val="20"/>
          <w:lang w:val="en-US"/>
        </w:rPr>
        <w:t xml:space="preserve"> a</w:t>
      </w:r>
      <w:r w:rsidR="00852875" w:rsidRPr="004542B5">
        <w:rPr>
          <w:rFonts w:eastAsia="Calibri"/>
          <w:noProof w:val="0"/>
          <w:szCs w:val="20"/>
          <w:lang w:val="en-US"/>
        </w:rPr>
        <w:t>dded with regard to the titling procedures that, in the case of the Emberá people, no title has been approved even though four years have passed since it was requested. Regarding the criminal proceedings against third parties who occupy indigenous lands, they indicated that the State ha</w:t>
      </w:r>
      <w:r w:rsidR="00BB7F4E" w:rsidRPr="004542B5">
        <w:rPr>
          <w:rFonts w:eastAsia="Calibri"/>
          <w:noProof w:val="0"/>
          <w:szCs w:val="20"/>
          <w:lang w:val="en-US"/>
        </w:rPr>
        <w:t>d</w:t>
      </w:r>
      <w:r w:rsidR="00852875" w:rsidRPr="004542B5">
        <w:rPr>
          <w:rFonts w:eastAsia="Calibri"/>
          <w:noProof w:val="0"/>
          <w:szCs w:val="20"/>
          <w:lang w:val="en-US"/>
        </w:rPr>
        <w:t xml:space="preserve"> not </w:t>
      </w:r>
      <w:r w:rsidR="006110CB" w:rsidRPr="004542B5">
        <w:rPr>
          <w:rFonts w:eastAsia="Calibri"/>
          <w:noProof w:val="0"/>
          <w:szCs w:val="20"/>
          <w:lang w:val="en-US"/>
        </w:rPr>
        <w:t>enforced</w:t>
      </w:r>
      <w:r w:rsidR="00852875" w:rsidRPr="004542B5">
        <w:rPr>
          <w:rFonts w:eastAsia="Calibri"/>
          <w:noProof w:val="0"/>
          <w:szCs w:val="20"/>
          <w:lang w:val="en-US"/>
        </w:rPr>
        <w:t xml:space="preserve"> the provisions </w:t>
      </w:r>
      <w:r w:rsidR="00BB7F4E" w:rsidRPr="004542B5">
        <w:rPr>
          <w:rFonts w:eastAsia="Calibri"/>
          <w:noProof w:val="0"/>
          <w:szCs w:val="20"/>
          <w:lang w:val="en-US"/>
        </w:rPr>
        <w:t>for</w:t>
      </w:r>
      <w:r w:rsidR="00852875" w:rsidRPr="004542B5">
        <w:rPr>
          <w:rFonts w:eastAsia="Calibri"/>
          <w:noProof w:val="0"/>
          <w:szCs w:val="20"/>
          <w:lang w:val="en-US"/>
        </w:rPr>
        <w:t xml:space="preserve"> “penalties” and that the traditional authorities had filed actions before the jurisdictional authorities without any of those who had invaded their lands being tried and </w:t>
      </w:r>
      <w:r w:rsidR="00BB7F4E" w:rsidRPr="004542B5">
        <w:rPr>
          <w:rFonts w:eastAsia="Calibri"/>
          <w:noProof w:val="0"/>
          <w:szCs w:val="20"/>
          <w:lang w:val="en-US"/>
        </w:rPr>
        <w:t>convicted</w:t>
      </w:r>
      <w:r w:rsidR="00852875" w:rsidRPr="004542B5">
        <w:rPr>
          <w:rFonts w:eastAsia="Calibri"/>
          <w:noProof w:val="0"/>
          <w:szCs w:val="20"/>
          <w:lang w:val="en-US"/>
        </w:rPr>
        <w:t>. The representatives also indicated that, despite the existence of the law and the</w:t>
      </w:r>
      <w:r w:rsidR="008C48C6" w:rsidRPr="004542B5">
        <w:rPr>
          <w:rFonts w:eastAsia="Calibri"/>
          <w:noProof w:val="0"/>
          <w:szCs w:val="20"/>
          <w:lang w:val="en-US"/>
        </w:rPr>
        <w:t xml:space="preserve"> ANATI</w:t>
      </w:r>
      <w:r w:rsidR="00852875" w:rsidRPr="004542B5">
        <w:rPr>
          <w:rFonts w:eastAsia="Calibri"/>
          <w:noProof w:val="0"/>
          <w:szCs w:val="20"/>
          <w:lang w:val="en-US"/>
        </w:rPr>
        <w:t xml:space="preserve"> </w:t>
      </w:r>
      <w:r w:rsidR="008C48C6" w:rsidRPr="004542B5">
        <w:rPr>
          <w:rFonts w:eastAsia="Calibri"/>
          <w:noProof w:val="0"/>
          <w:szCs w:val="20"/>
          <w:lang w:val="en-US"/>
        </w:rPr>
        <w:t>resolutions providing protection, in the practice the</w:t>
      </w:r>
      <w:r w:rsidR="00BB7F4E" w:rsidRPr="004542B5">
        <w:rPr>
          <w:rFonts w:eastAsia="Calibri"/>
          <w:noProof w:val="0"/>
          <w:szCs w:val="20"/>
          <w:lang w:val="en-US"/>
        </w:rPr>
        <w:t>se norms</w:t>
      </w:r>
      <w:r w:rsidR="008C48C6" w:rsidRPr="004542B5">
        <w:rPr>
          <w:rFonts w:eastAsia="Calibri"/>
          <w:noProof w:val="0"/>
          <w:szCs w:val="20"/>
          <w:lang w:val="en-US"/>
        </w:rPr>
        <w:t xml:space="preserve"> are ineffective to protect the right to collective property </w:t>
      </w:r>
      <w:r w:rsidR="00561841" w:rsidRPr="004542B5">
        <w:rPr>
          <w:rFonts w:eastAsia="Calibri"/>
          <w:noProof w:val="0"/>
          <w:szCs w:val="20"/>
          <w:lang w:val="en-US"/>
        </w:rPr>
        <w:t>against third parties</w:t>
      </w:r>
      <w:r w:rsidR="008C48C6" w:rsidRPr="004542B5">
        <w:rPr>
          <w:rFonts w:eastAsia="Calibri"/>
          <w:noProof w:val="0"/>
          <w:szCs w:val="20"/>
          <w:lang w:val="en-US"/>
        </w:rPr>
        <w:t>.</w:t>
      </w:r>
      <w:r w:rsidR="007B47B1" w:rsidRPr="004542B5">
        <w:rPr>
          <w:rStyle w:val="FootnoteReference"/>
          <w:rFonts w:eastAsia="Calibri"/>
          <w:noProof w:val="0"/>
          <w:lang w:val="en-US"/>
        </w:rPr>
        <w:footnoteReference w:id="230"/>
      </w:r>
      <w:r w:rsidR="008C48C6" w:rsidRPr="004542B5">
        <w:rPr>
          <w:rFonts w:eastAsia="Calibri"/>
          <w:noProof w:val="0"/>
          <w:szCs w:val="20"/>
          <w:lang w:val="en-US"/>
        </w:rPr>
        <w:t xml:space="preserve"> They added that the Kuna had filed petition</w:t>
      </w:r>
      <w:r w:rsidR="00BB7F4E" w:rsidRPr="004542B5">
        <w:rPr>
          <w:rFonts w:eastAsia="Calibri"/>
          <w:noProof w:val="0"/>
          <w:szCs w:val="20"/>
          <w:lang w:val="en-US"/>
        </w:rPr>
        <w:t>s</w:t>
      </w:r>
      <w:r w:rsidR="008C48C6" w:rsidRPr="004542B5">
        <w:rPr>
          <w:rFonts w:eastAsia="Calibri"/>
          <w:noProof w:val="0"/>
          <w:szCs w:val="20"/>
          <w:lang w:val="en-US"/>
        </w:rPr>
        <w:t xml:space="preserve"> before several state entities using administrative channels to protect their lands and natural resources, but had not receive a ruling on those petitions</w:t>
      </w:r>
      <w:r w:rsidR="00BB7F4E" w:rsidRPr="004542B5">
        <w:rPr>
          <w:rFonts w:eastAsia="Calibri"/>
          <w:noProof w:val="0"/>
          <w:szCs w:val="20"/>
          <w:lang w:val="en-US"/>
        </w:rPr>
        <w:t>,</w:t>
      </w:r>
      <w:r w:rsidR="008C48C6" w:rsidRPr="004542B5">
        <w:rPr>
          <w:rFonts w:eastAsia="Calibri"/>
          <w:noProof w:val="0"/>
          <w:szCs w:val="20"/>
          <w:lang w:val="en-US"/>
        </w:rPr>
        <w:t xml:space="preserve"> and although the Kuna Comarca had been demarcated it still lack</w:t>
      </w:r>
      <w:r w:rsidR="00BB7F4E" w:rsidRPr="004542B5">
        <w:rPr>
          <w:rFonts w:eastAsia="Calibri"/>
          <w:noProof w:val="0"/>
          <w:szCs w:val="20"/>
          <w:lang w:val="en-US"/>
        </w:rPr>
        <w:t>ed</w:t>
      </w:r>
      <w:r w:rsidR="008C48C6" w:rsidRPr="004542B5">
        <w:rPr>
          <w:rFonts w:eastAsia="Calibri"/>
          <w:noProof w:val="0"/>
          <w:szCs w:val="20"/>
          <w:lang w:val="en-US"/>
        </w:rPr>
        <w:t xml:space="preserve"> protection from possible invasions by</w:t>
      </w:r>
      <w:r w:rsidR="007B47B1" w:rsidRPr="004542B5">
        <w:rPr>
          <w:rFonts w:eastAsia="Calibri"/>
          <w:noProof w:val="0"/>
          <w:szCs w:val="20"/>
          <w:lang w:val="en-US"/>
        </w:rPr>
        <w:t xml:space="preserve"> </w:t>
      </w:r>
      <w:r w:rsidR="00776FF0" w:rsidRPr="004542B5">
        <w:rPr>
          <w:rFonts w:eastAsia="Calibri" w:cs="Tahoma"/>
          <w:noProof w:val="0"/>
          <w:szCs w:val="20"/>
          <w:lang w:val="en-US"/>
        </w:rPr>
        <w:t>settlers</w:t>
      </w:r>
      <w:r w:rsidR="007B47B1" w:rsidRPr="004542B5">
        <w:rPr>
          <w:rFonts w:eastAsia="Calibri" w:cs="Tahoma"/>
          <w:noProof w:val="0"/>
          <w:szCs w:val="20"/>
          <w:lang w:val="en-US"/>
        </w:rPr>
        <w:t>.</w:t>
      </w:r>
    </w:p>
    <w:p w14:paraId="4A22C3ED" w14:textId="40696769" w:rsidR="008C48C6" w:rsidRPr="004542B5" w:rsidRDefault="00562CBB" w:rsidP="00E01664">
      <w:pPr>
        <w:pStyle w:val="ListParagraph"/>
        <w:numPr>
          <w:ilvl w:val="0"/>
          <w:numId w:val="2"/>
        </w:numPr>
        <w:spacing w:before="120" w:after="120"/>
        <w:contextualSpacing w:val="0"/>
        <w:rPr>
          <w:rFonts w:eastAsia="Calibri"/>
          <w:noProof w:val="0"/>
          <w:szCs w:val="20"/>
          <w:lang w:val="en-US"/>
        </w:rPr>
      </w:pPr>
      <w:r w:rsidRPr="004542B5">
        <w:rPr>
          <w:rFonts w:eastAsia="Calibri"/>
          <w:noProof w:val="0"/>
          <w:szCs w:val="20"/>
          <w:lang w:val="en-US"/>
        </w:rPr>
        <w:t>The representatives</w:t>
      </w:r>
      <w:r w:rsidR="007B47B1" w:rsidRPr="004542B5">
        <w:rPr>
          <w:rFonts w:eastAsia="Calibri"/>
          <w:noProof w:val="0"/>
          <w:szCs w:val="20"/>
          <w:lang w:val="en-US"/>
        </w:rPr>
        <w:t xml:space="preserve"> </w:t>
      </w:r>
      <w:r w:rsidR="008C48C6" w:rsidRPr="004542B5">
        <w:rPr>
          <w:rFonts w:eastAsia="Calibri"/>
          <w:noProof w:val="0"/>
          <w:szCs w:val="20"/>
          <w:lang w:val="en-US"/>
        </w:rPr>
        <w:t>also indicated that the indigenous communities were gradually losing “parts of their lands owing to constant invasions an</w:t>
      </w:r>
      <w:r w:rsidR="00BB7F4E" w:rsidRPr="004542B5">
        <w:rPr>
          <w:rFonts w:eastAsia="Calibri"/>
          <w:noProof w:val="0"/>
          <w:szCs w:val="20"/>
          <w:lang w:val="en-US"/>
        </w:rPr>
        <w:t>d</w:t>
      </w:r>
      <w:r w:rsidR="008C48C6" w:rsidRPr="004542B5">
        <w:rPr>
          <w:rFonts w:eastAsia="Calibri"/>
          <w:noProof w:val="0"/>
          <w:szCs w:val="20"/>
          <w:lang w:val="en-US"/>
        </w:rPr>
        <w:t xml:space="preserve"> </w:t>
      </w:r>
      <w:r w:rsidR="00BB7F4E" w:rsidRPr="004542B5">
        <w:rPr>
          <w:rFonts w:eastAsia="Calibri"/>
          <w:noProof w:val="0"/>
          <w:szCs w:val="20"/>
          <w:lang w:val="en-US"/>
        </w:rPr>
        <w:t>e</w:t>
      </w:r>
      <w:r w:rsidR="008C48C6" w:rsidRPr="004542B5">
        <w:rPr>
          <w:rFonts w:eastAsia="Calibri"/>
          <w:noProof w:val="0"/>
          <w:szCs w:val="20"/>
          <w:lang w:val="en-US"/>
        </w:rPr>
        <w:t xml:space="preserve">xploitation of </w:t>
      </w:r>
      <w:r w:rsidR="00BB7F4E" w:rsidRPr="004542B5">
        <w:rPr>
          <w:rFonts w:eastAsia="Calibri"/>
          <w:noProof w:val="0"/>
          <w:szCs w:val="20"/>
          <w:lang w:val="en-US"/>
        </w:rPr>
        <w:t xml:space="preserve">the </w:t>
      </w:r>
      <w:r w:rsidR="008C48C6" w:rsidRPr="004542B5">
        <w:rPr>
          <w:rFonts w:eastAsia="Calibri"/>
          <w:noProof w:val="0"/>
          <w:szCs w:val="20"/>
          <w:lang w:val="en-US"/>
        </w:rPr>
        <w:t>natural resources by non-indigenous persons who apply for recognition of possessory rights.” They also stated that the failure to take effective actions to prevent the invasion and illegal logging of indigenous territory permits the progressive appropriation of the lands by non-indigenous persons, and the illegal logging activities.</w:t>
      </w:r>
    </w:p>
    <w:p w14:paraId="6DF0769A" w14:textId="24A3C002" w:rsidR="0036225B" w:rsidRPr="004542B5" w:rsidRDefault="008C48C6" w:rsidP="008C48C6">
      <w:pPr>
        <w:pStyle w:val="ListParagraph"/>
        <w:numPr>
          <w:ilvl w:val="0"/>
          <w:numId w:val="2"/>
        </w:numPr>
        <w:spacing w:before="120" w:after="120"/>
        <w:contextualSpacing w:val="0"/>
        <w:rPr>
          <w:noProof w:val="0"/>
          <w:szCs w:val="20"/>
          <w:lang w:val="en-US"/>
        </w:rPr>
      </w:pPr>
      <w:r w:rsidRPr="004542B5">
        <w:rPr>
          <w:rFonts w:eastAsia="Calibri"/>
          <w:noProof w:val="0"/>
          <w:szCs w:val="20"/>
          <w:lang w:val="en-US"/>
        </w:rPr>
        <w:t>Regarding</w:t>
      </w:r>
      <w:r w:rsidR="007B47B1" w:rsidRPr="004542B5">
        <w:rPr>
          <w:rFonts w:eastAsia="Calibri"/>
          <w:noProof w:val="0"/>
          <w:szCs w:val="20"/>
          <w:lang w:val="en-US"/>
        </w:rPr>
        <w:t xml:space="preserve"> </w:t>
      </w:r>
      <w:r w:rsidR="0033788F" w:rsidRPr="004542B5">
        <w:rPr>
          <w:rFonts w:eastAsia="Calibri"/>
          <w:noProof w:val="0"/>
          <w:szCs w:val="20"/>
          <w:lang w:val="en-US"/>
        </w:rPr>
        <w:t>Law</w:t>
      </w:r>
      <w:r w:rsidR="007B47B1" w:rsidRPr="004542B5">
        <w:rPr>
          <w:rFonts w:eastAsia="Calibri"/>
          <w:noProof w:val="0"/>
          <w:szCs w:val="20"/>
          <w:lang w:val="en-US"/>
        </w:rPr>
        <w:t xml:space="preserve"> 72 </w:t>
      </w:r>
      <w:r w:rsidRPr="004542B5">
        <w:rPr>
          <w:rFonts w:eastAsia="Calibri"/>
          <w:noProof w:val="0"/>
          <w:szCs w:val="20"/>
          <w:lang w:val="en-US"/>
        </w:rPr>
        <w:t>of December 23,</w:t>
      </w:r>
      <w:r w:rsidR="00893304" w:rsidRPr="004542B5">
        <w:rPr>
          <w:rFonts w:eastAsia="Calibri"/>
          <w:noProof w:val="0"/>
          <w:szCs w:val="20"/>
          <w:lang w:val="en-US"/>
        </w:rPr>
        <w:t xml:space="preserve"> 2008</w:t>
      </w:r>
      <w:r w:rsidR="00BB7F4E" w:rsidRPr="004542B5">
        <w:rPr>
          <w:rFonts w:eastAsia="Calibri"/>
          <w:noProof w:val="0"/>
          <w:szCs w:val="20"/>
          <w:lang w:val="en-US"/>
        </w:rPr>
        <w:t>,</w:t>
      </w:r>
      <w:r w:rsidR="00CD2B90" w:rsidRPr="004542B5">
        <w:rPr>
          <w:rFonts w:eastAsia="Calibri"/>
          <w:noProof w:val="0"/>
          <w:szCs w:val="20"/>
          <w:lang w:val="en-US"/>
        </w:rPr>
        <w:t xml:space="preserve"> and </w:t>
      </w:r>
      <w:r w:rsidR="005115A6" w:rsidRPr="004542B5">
        <w:rPr>
          <w:rFonts w:eastAsia="Calibri"/>
          <w:noProof w:val="0"/>
          <w:szCs w:val="20"/>
          <w:lang w:val="en-US"/>
        </w:rPr>
        <w:t>Executive Decree</w:t>
      </w:r>
      <w:r w:rsidR="007B47B1" w:rsidRPr="004542B5">
        <w:rPr>
          <w:rFonts w:eastAsia="Calibri"/>
          <w:noProof w:val="0"/>
          <w:szCs w:val="20"/>
          <w:lang w:val="en-US"/>
        </w:rPr>
        <w:t xml:space="preserve"> 223 </w:t>
      </w:r>
      <w:r w:rsidRPr="004542B5">
        <w:rPr>
          <w:rFonts w:eastAsia="Calibri"/>
          <w:noProof w:val="0"/>
          <w:szCs w:val="20"/>
          <w:lang w:val="en-US"/>
        </w:rPr>
        <w:t xml:space="preserve">of June 29, </w:t>
      </w:r>
      <w:r w:rsidR="00893304" w:rsidRPr="004542B5">
        <w:rPr>
          <w:rFonts w:eastAsia="Calibri"/>
          <w:noProof w:val="0"/>
          <w:szCs w:val="20"/>
          <w:lang w:val="en-US"/>
        </w:rPr>
        <w:t>2010</w:t>
      </w:r>
      <w:r w:rsidR="007B47B1" w:rsidRPr="004542B5">
        <w:rPr>
          <w:rFonts w:eastAsia="Calibri"/>
          <w:noProof w:val="0"/>
          <w:szCs w:val="20"/>
          <w:lang w:val="en-US"/>
        </w:rPr>
        <w:t>,</w:t>
      </w:r>
      <w:r w:rsidRPr="004542B5">
        <w:rPr>
          <w:rFonts w:eastAsia="Calibri"/>
          <w:noProof w:val="0"/>
          <w:szCs w:val="20"/>
          <w:lang w:val="en-US"/>
        </w:rPr>
        <w:t xml:space="preserve"> the State indicated that</w:t>
      </w:r>
      <w:r w:rsidR="00BB7F4E" w:rsidRPr="004542B5">
        <w:rPr>
          <w:rFonts w:eastAsia="Calibri"/>
          <w:noProof w:val="0"/>
          <w:szCs w:val="20"/>
          <w:lang w:val="en-US"/>
        </w:rPr>
        <w:t xml:space="preserve"> there were several stages to</w:t>
      </w:r>
      <w:r w:rsidRPr="004542B5">
        <w:rPr>
          <w:rFonts w:eastAsia="Calibri"/>
          <w:noProof w:val="0"/>
          <w:szCs w:val="20"/>
          <w:lang w:val="en-US"/>
        </w:rPr>
        <w:t xml:space="preserve"> this procedure, including the appeal before the</w:t>
      </w:r>
      <w:r w:rsidR="007B47B1" w:rsidRPr="004542B5">
        <w:rPr>
          <w:rFonts w:eastAsia="Calibri"/>
          <w:noProof w:val="0"/>
          <w:szCs w:val="20"/>
          <w:lang w:val="en-US"/>
        </w:rPr>
        <w:t xml:space="preserve"> </w:t>
      </w:r>
      <w:r w:rsidR="00E75FF1" w:rsidRPr="004542B5">
        <w:rPr>
          <w:rFonts w:eastAsia="Calibri"/>
          <w:noProof w:val="0"/>
          <w:szCs w:val="20"/>
          <w:lang w:val="en-US"/>
        </w:rPr>
        <w:t>Ministry of Agricultural Development</w:t>
      </w:r>
      <w:r w:rsidR="007B47B1" w:rsidRPr="004542B5">
        <w:rPr>
          <w:rFonts w:eastAsia="Calibri"/>
          <w:noProof w:val="0"/>
          <w:szCs w:val="20"/>
          <w:lang w:val="en-US"/>
        </w:rPr>
        <w:t xml:space="preserve">. </w:t>
      </w:r>
      <w:r w:rsidR="00562CBB" w:rsidRPr="004542B5">
        <w:rPr>
          <w:rFonts w:eastAsia="Calibri"/>
          <w:noProof w:val="0"/>
          <w:szCs w:val="20"/>
          <w:lang w:val="en-US"/>
        </w:rPr>
        <w:t>The State</w:t>
      </w:r>
      <w:r w:rsidR="007B47B1" w:rsidRPr="004542B5">
        <w:rPr>
          <w:rFonts w:eastAsia="Calibri"/>
          <w:noProof w:val="0"/>
          <w:szCs w:val="20"/>
          <w:lang w:val="en-US"/>
        </w:rPr>
        <w:t xml:space="preserve"> </w:t>
      </w:r>
      <w:r w:rsidRPr="004542B5">
        <w:rPr>
          <w:rFonts w:eastAsia="Calibri"/>
          <w:noProof w:val="0"/>
          <w:szCs w:val="20"/>
          <w:lang w:val="en-US"/>
        </w:rPr>
        <w:t xml:space="preserve">also indicated that it had held </w:t>
      </w:r>
      <w:r w:rsidRPr="004542B5">
        <w:rPr>
          <w:noProof w:val="0"/>
          <w:szCs w:val="20"/>
          <w:lang w:val="en-US"/>
        </w:rPr>
        <w:t xml:space="preserve">congresses, meetings and consultations to provide access to justice to vulnerable groups and that, since 2009, it had signed an agreement that set up the “Inter-institutional Commission to close the gap between traditional justice and ordinary justice” which sought to facilitate access to the system of justice to all the indigenous groups. It also </w:t>
      </w:r>
      <w:r w:rsidR="006110CB" w:rsidRPr="004542B5">
        <w:rPr>
          <w:noProof w:val="0"/>
          <w:szCs w:val="20"/>
          <w:lang w:val="en-US"/>
        </w:rPr>
        <w:t>indicated</w:t>
      </w:r>
      <w:r w:rsidRPr="004542B5">
        <w:rPr>
          <w:noProof w:val="0"/>
          <w:szCs w:val="20"/>
          <w:lang w:val="en-US"/>
        </w:rPr>
        <w:t xml:space="preserve"> that</w:t>
      </w:r>
      <w:r w:rsidR="00BB7F4E" w:rsidRPr="004542B5">
        <w:rPr>
          <w:noProof w:val="0"/>
          <w:szCs w:val="20"/>
          <w:lang w:val="en-US"/>
        </w:rPr>
        <w:t xml:space="preserve"> it was evidence that the owners had</w:t>
      </w:r>
      <w:r w:rsidRPr="004542B5">
        <w:rPr>
          <w:noProof w:val="0"/>
          <w:szCs w:val="20"/>
          <w:lang w:val="en-US"/>
        </w:rPr>
        <w:t xml:space="preserve"> </w:t>
      </w:r>
      <w:r w:rsidR="00BB7F4E" w:rsidRPr="004542B5">
        <w:rPr>
          <w:noProof w:val="0"/>
          <w:szCs w:val="20"/>
          <w:lang w:val="en-US"/>
        </w:rPr>
        <w:t>proper</w:t>
      </w:r>
      <w:r w:rsidRPr="004542B5">
        <w:rPr>
          <w:noProof w:val="0"/>
          <w:szCs w:val="20"/>
          <w:lang w:val="en-US"/>
        </w:rPr>
        <w:t xml:space="preserve"> protection because </w:t>
      </w:r>
      <w:r w:rsidRPr="004542B5">
        <w:rPr>
          <w:rFonts w:cs="Tahoma"/>
          <w:noProof w:val="0"/>
          <w:szCs w:val="20"/>
          <w:lang w:val="en-US"/>
        </w:rPr>
        <w:t>the</w:t>
      </w:r>
      <w:r w:rsidR="00BB7F4E" w:rsidRPr="004542B5">
        <w:rPr>
          <w:rFonts w:cs="Tahoma"/>
          <w:noProof w:val="0"/>
          <w:szCs w:val="20"/>
          <w:lang w:val="en-US"/>
        </w:rPr>
        <w:t xml:space="preserve"> comarcas have special </w:t>
      </w:r>
      <w:r w:rsidR="00BB7F4E" w:rsidRPr="004542B5">
        <w:rPr>
          <w:rFonts w:cs="Tahoma"/>
          <w:i/>
          <w:iCs/>
          <w:noProof w:val="0"/>
          <w:szCs w:val="20"/>
          <w:lang w:val="en-US"/>
        </w:rPr>
        <w:t>C</w:t>
      </w:r>
      <w:r w:rsidR="007B47B1" w:rsidRPr="004542B5">
        <w:rPr>
          <w:rFonts w:cs="Tahoma"/>
          <w:i/>
          <w:iCs/>
          <w:noProof w:val="0"/>
          <w:szCs w:val="20"/>
          <w:lang w:val="en-US"/>
        </w:rPr>
        <w:t>orregidores,</w:t>
      </w:r>
      <w:r w:rsidR="007B47B1" w:rsidRPr="004542B5">
        <w:rPr>
          <w:rFonts w:cs="Tahoma"/>
          <w:noProof w:val="0"/>
          <w:szCs w:val="20"/>
          <w:lang w:val="en-US"/>
        </w:rPr>
        <w:t xml:space="preserve"> </w:t>
      </w:r>
      <w:r w:rsidRPr="004542B5">
        <w:rPr>
          <w:rFonts w:cs="Tahoma"/>
          <w:noProof w:val="0"/>
          <w:szCs w:val="20"/>
          <w:lang w:val="en-US"/>
        </w:rPr>
        <w:t xml:space="preserve">the Police </w:t>
      </w:r>
      <w:r w:rsidR="00BB7F4E" w:rsidRPr="004542B5">
        <w:rPr>
          <w:rFonts w:cs="Tahoma"/>
          <w:noProof w:val="0"/>
          <w:szCs w:val="20"/>
          <w:lang w:val="en-US"/>
        </w:rPr>
        <w:t xml:space="preserve">help </w:t>
      </w:r>
      <w:r w:rsidR="00E15EC0" w:rsidRPr="004542B5">
        <w:rPr>
          <w:rFonts w:cs="Tahoma"/>
          <w:noProof w:val="0"/>
          <w:szCs w:val="20"/>
          <w:lang w:val="en-US"/>
        </w:rPr>
        <w:t>the authorities</w:t>
      </w:r>
      <w:r w:rsidR="007B47B1" w:rsidRPr="004542B5">
        <w:rPr>
          <w:rFonts w:cs="Tahoma"/>
          <w:noProof w:val="0"/>
          <w:szCs w:val="20"/>
          <w:lang w:val="en-US"/>
        </w:rPr>
        <w:t xml:space="preserve"> </w:t>
      </w:r>
      <w:r w:rsidRPr="004542B5">
        <w:rPr>
          <w:rFonts w:cs="Tahoma"/>
          <w:noProof w:val="0"/>
          <w:szCs w:val="20"/>
          <w:lang w:val="en-US"/>
        </w:rPr>
        <w:t xml:space="preserve">prevent invasions, and criminal justice is </w:t>
      </w:r>
      <w:r w:rsidR="000701F3" w:rsidRPr="004542B5">
        <w:rPr>
          <w:rFonts w:cs="Tahoma"/>
          <w:noProof w:val="0"/>
          <w:szCs w:val="20"/>
          <w:lang w:val="en-US"/>
        </w:rPr>
        <w:t xml:space="preserve">exercised to protect </w:t>
      </w:r>
      <w:r w:rsidR="00BB7F4E" w:rsidRPr="004542B5">
        <w:rPr>
          <w:rFonts w:cs="Tahoma"/>
          <w:noProof w:val="0"/>
          <w:szCs w:val="20"/>
          <w:lang w:val="en-US"/>
        </w:rPr>
        <w:t>anyone</w:t>
      </w:r>
      <w:r w:rsidR="000701F3" w:rsidRPr="004542B5">
        <w:rPr>
          <w:rFonts w:cs="Tahoma"/>
          <w:noProof w:val="0"/>
          <w:szCs w:val="20"/>
          <w:lang w:val="en-US"/>
        </w:rPr>
        <w:t xml:space="preserve"> </w:t>
      </w:r>
      <w:r w:rsidR="00BB7F4E" w:rsidRPr="004542B5">
        <w:rPr>
          <w:rFonts w:cs="Tahoma"/>
          <w:noProof w:val="0"/>
          <w:szCs w:val="20"/>
          <w:lang w:val="en-US"/>
        </w:rPr>
        <w:t>affected</w:t>
      </w:r>
      <w:r w:rsidR="000701F3" w:rsidRPr="004542B5">
        <w:rPr>
          <w:rFonts w:cs="Tahoma"/>
          <w:noProof w:val="0"/>
          <w:szCs w:val="20"/>
          <w:lang w:val="en-US"/>
        </w:rPr>
        <w:t>. However, the State indicated that the improper exercise of the right to request justice, or the failure to exercise this right, despite having appropriate representation, may thwart the possibility of realizing the rights</w:t>
      </w:r>
      <w:r w:rsidR="007B47B1" w:rsidRPr="004542B5">
        <w:rPr>
          <w:noProof w:val="0"/>
          <w:szCs w:val="20"/>
          <w:lang w:val="en-US"/>
        </w:rPr>
        <w:t xml:space="preserve">. </w:t>
      </w:r>
    </w:p>
    <w:p w14:paraId="3D02E257" w14:textId="46B30213" w:rsidR="003B7977" w:rsidRPr="004542B5" w:rsidRDefault="007B47B1" w:rsidP="00E01664">
      <w:pPr>
        <w:pStyle w:val="Heading3"/>
        <w:rPr>
          <w:i w:val="0"/>
          <w:noProof w:val="0"/>
          <w:lang w:val="en-US"/>
        </w:rPr>
      </w:pPr>
      <w:bookmarkStart w:id="249" w:name="_Toc45200893"/>
      <w:r w:rsidRPr="004542B5">
        <w:rPr>
          <w:noProof w:val="0"/>
          <w:lang w:val="en-US"/>
        </w:rPr>
        <w:lastRenderedPageBreak/>
        <w:t xml:space="preserve">A.2. </w:t>
      </w:r>
      <w:r w:rsidR="00B902E7" w:rsidRPr="004542B5">
        <w:rPr>
          <w:noProof w:val="0"/>
          <w:lang w:val="en-US"/>
        </w:rPr>
        <w:t>Considerations</w:t>
      </w:r>
      <w:r w:rsidR="008A56D7" w:rsidRPr="004542B5">
        <w:rPr>
          <w:noProof w:val="0"/>
          <w:lang w:val="en-US"/>
        </w:rPr>
        <w:t xml:space="preserve"> of the </w:t>
      </w:r>
      <w:r w:rsidR="00562CBB" w:rsidRPr="004542B5">
        <w:rPr>
          <w:noProof w:val="0"/>
          <w:lang w:val="en-US"/>
        </w:rPr>
        <w:t>Court</w:t>
      </w:r>
      <w:bookmarkEnd w:id="249"/>
    </w:p>
    <w:p w14:paraId="32B1E8C4" w14:textId="69FDCE27" w:rsidR="0036225B" w:rsidRPr="004542B5" w:rsidRDefault="00562CBB" w:rsidP="006E193D">
      <w:pPr>
        <w:pStyle w:val="ListParagraph"/>
        <w:numPr>
          <w:ilvl w:val="0"/>
          <w:numId w:val="2"/>
        </w:numPr>
        <w:spacing w:before="120" w:after="120"/>
        <w:contextualSpacing w:val="0"/>
        <w:rPr>
          <w:noProof w:val="0"/>
          <w:szCs w:val="20"/>
          <w:lang w:val="en-US"/>
        </w:rPr>
      </w:pPr>
      <w:r w:rsidRPr="004542B5">
        <w:rPr>
          <w:noProof w:val="0"/>
          <w:lang w:val="en-US"/>
        </w:rPr>
        <w:t>The Court</w:t>
      </w:r>
      <w:r w:rsidR="007B47B1" w:rsidRPr="004542B5">
        <w:rPr>
          <w:noProof w:val="0"/>
          <w:lang w:val="en-US"/>
        </w:rPr>
        <w:t xml:space="preserve"> ha</w:t>
      </w:r>
      <w:r w:rsidR="00EE3092" w:rsidRPr="004542B5">
        <w:rPr>
          <w:noProof w:val="0"/>
          <w:lang w:val="en-US"/>
        </w:rPr>
        <w:t>s</w:t>
      </w:r>
      <w:r w:rsidR="007B47B1" w:rsidRPr="004542B5">
        <w:rPr>
          <w:noProof w:val="0"/>
          <w:lang w:val="en-US"/>
        </w:rPr>
        <w:t xml:space="preserve"> </w:t>
      </w:r>
      <w:r w:rsidR="006E193D" w:rsidRPr="004542B5">
        <w:rPr>
          <w:noProof w:val="0"/>
          <w:lang w:val="en-US"/>
        </w:rPr>
        <w:t>considered that the States are obliged to provide effective judicial remedi</w:t>
      </w:r>
      <w:r w:rsidR="00EE3092" w:rsidRPr="004542B5">
        <w:rPr>
          <w:noProof w:val="0"/>
          <w:lang w:val="en-US"/>
        </w:rPr>
        <w:t>e</w:t>
      </w:r>
      <w:r w:rsidR="006E193D" w:rsidRPr="004542B5">
        <w:rPr>
          <w:noProof w:val="0"/>
          <w:lang w:val="en-US"/>
        </w:rPr>
        <w:t xml:space="preserve">s to individuals who allege that they are victims of human rights violations </w:t>
      </w:r>
      <w:r w:rsidR="007B47B1" w:rsidRPr="004542B5">
        <w:rPr>
          <w:noProof w:val="0"/>
          <w:lang w:val="en-US"/>
        </w:rPr>
        <w:t>(</w:t>
      </w:r>
      <w:r w:rsidRPr="004542B5">
        <w:rPr>
          <w:noProof w:val="0"/>
          <w:lang w:val="en-US"/>
        </w:rPr>
        <w:t>Article</w:t>
      </w:r>
      <w:r w:rsidR="007B47B1" w:rsidRPr="004542B5">
        <w:rPr>
          <w:noProof w:val="0"/>
          <w:lang w:val="en-US"/>
        </w:rPr>
        <w:t xml:space="preserve"> 25)</w:t>
      </w:r>
      <w:r w:rsidR="006E193D" w:rsidRPr="004542B5">
        <w:rPr>
          <w:noProof w:val="0"/>
          <w:lang w:val="en-US"/>
        </w:rPr>
        <w:t>;</w:t>
      </w:r>
      <w:r w:rsidR="007B47B1" w:rsidRPr="004542B5">
        <w:rPr>
          <w:noProof w:val="0"/>
          <w:lang w:val="en-US"/>
        </w:rPr>
        <w:t xml:space="preserve"> re</w:t>
      </w:r>
      <w:r w:rsidR="006E193D" w:rsidRPr="004542B5">
        <w:rPr>
          <w:noProof w:val="0"/>
          <w:lang w:val="en-US"/>
        </w:rPr>
        <w:t>medies that must be substantiated pursuant to the rules of due process of law</w:t>
      </w:r>
      <w:r w:rsidR="007B47B1" w:rsidRPr="004542B5">
        <w:rPr>
          <w:noProof w:val="0"/>
          <w:lang w:val="en-US"/>
        </w:rPr>
        <w:t xml:space="preserve"> (</w:t>
      </w:r>
      <w:r w:rsidRPr="004542B5">
        <w:rPr>
          <w:noProof w:val="0"/>
          <w:lang w:val="en-US"/>
        </w:rPr>
        <w:t>Article</w:t>
      </w:r>
      <w:r w:rsidR="007B47B1" w:rsidRPr="004542B5">
        <w:rPr>
          <w:noProof w:val="0"/>
          <w:lang w:val="en-US"/>
        </w:rPr>
        <w:t xml:space="preserve"> </w:t>
      </w:r>
      <w:r w:rsidR="00DE6766" w:rsidRPr="004542B5">
        <w:rPr>
          <w:noProof w:val="0"/>
          <w:lang w:val="en-US"/>
        </w:rPr>
        <w:t>8(1)</w:t>
      </w:r>
      <w:r w:rsidR="007B47B1" w:rsidRPr="004542B5">
        <w:rPr>
          <w:noProof w:val="0"/>
          <w:lang w:val="en-US"/>
        </w:rPr>
        <w:t xml:space="preserve">), </w:t>
      </w:r>
      <w:r w:rsidR="006E193D" w:rsidRPr="004542B5">
        <w:rPr>
          <w:noProof w:val="0"/>
          <w:lang w:val="en-US"/>
        </w:rPr>
        <w:t xml:space="preserve">all within the general obligation of the same States to ensure the free and full exercise of the rights recognized by </w:t>
      </w:r>
      <w:r w:rsidRPr="004542B5">
        <w:rPr>
          <w:noProof w:val="0"/>
          <w:lang w:val="en-US"/>
        </w:rPr>
        <w:t>the Convention</w:t>
      </w:r>
      <w:r w:rsidR="007B47B1" w:rsidRPr="004542B5">
        <w:rPr>
          <w:noProof w:val="0"/>
          <w:lang w:val="en-US"/>
        </w:rPr>
        <w:t xml:space="preserve"> </w:t>
      </w:r>
      <w:r w:rsidR="006E193D" w:rsidRPr="004542B5">
        <w:rPr>
          <w:noProof w:val="0"/>
          <w:lang w:val="en-US"/>
        </w:rPr>
        <w:t>to all persons subject to their jurisdiction</w:t>
      </w:r>
      <w:r w:rsidR="007B47B1" w:rsidRPr="004542B5">
        <w:rPr>
          <w:noProof w:val="0"/>
          <w:lang w:val="en-US"/>
        </w:rPr>
        <w:t xml:space="preserve"> (</w:t>
      </w:r>
      <w:r w:rsidR="00E04132" w:rsidRPr="004542B5">
        <w:rPr>
          <w:noProof w:val="0"/>
          <w:lang w:val="en-US"/>
        </w:rPr>
        <w:t>Article 1(1)</w:t>
      </w:r>
      <w:r w:rsidR="007B47B1" w:rsidRPr="004542B5">
        <w:rPr>
          <w:noProof w:val="0"/>
          <w:lang w:val="en-US"/>
        </w:rPr>
        <w:t>)</w:t>
      </w:r>
      <w:r w:rsidR="006E193D" w:rsidRPr="004542B5">
        <w:rPr>
          <w:noProof w:val="0"/>
          <w:lang w:val="en-US"/>
        </w:rPr>
        <w:t>.</w:t>
      </w:r>
      <w:r w:rsidR="007B47B1" w:rsidRPr="004542B5">
        <w:rPr>
          <w:noProof w:val="0"/>
          <w:vertAlign w:val="superscript"/>
          <w:lang w:val="en-US"/>
        </w:rPr>
        <w:footnoteReference w:id="231"/>
      </w:r>
      <w:r w:rsidR="007B47B1" w:rsidRPr="004542B5">
        <w:rPr>
          <w:noProof w:val="0"/>
          <w:szCs w:val="20"/>
          <w:lang w:val="en-US"/>
        </w:rPr>
        <w:t xml:space="preserve"> </w:t>
      </w:r>
      <w:r w:rsidR="006E193D" w:rsidRPr="004542B5">
        <w:rPr>
          <w:noProof w:val="0"/>
          <w:szCs w:val="20"/>
          <w:lang w:val="en-US"/>
        </w:rPr>
        <w:t xml:space="preserve">The Court has also indicated that </w:t>
      </w:r>
      <w:r w:rsidR="00EE3092" w:rsidRPr="004542B5">
        <w:rPr>
          <w:noProof w:val="0"/>
          <w:szCs w:val="20"/>
          <w:lang w:val="en-US"/>
        </w:rPr>
        <w:t xml:space="preserve">Article </w:t>
      </w:r>
      <w:r w:rsidR="007B47B1" w:rsidRPr="004542B5">
        <w:rPr>
          <w:noProof w:val="0"/>
          <w:lang w:val="en-US"/>
        </w:rPr>
        <w:t>25</w:t>
      </w:r>
      <w:r w:rsidR="006E193D" w:rsidRPr="004542B5">
        <w:rPr>
          <w:noProof w:val="0"/>
          <w:lang w:val="en-US"/>
        </w:rPr>
        <w:t>(</w:t>
      </w:r>
      <w:r w:rsidR="007B47B1" w:rsidRPr="004542B5">
        <w:rPr>
          <w:noProof w:val="0"/>
          <w:lang w:val="en-US"/>
        </w:rPr>
        <w:t>1</w:t>
      </w:r>
      <w:r w:rsidR="006E193D" w:rsidRPr="004542B5">
        <w:rPr>
          <w:noProof w:val="0"/>
          <w:lang w:val="en-US"/>
        </w:rPr>
        <w:t>)</w:t>
      </w:r>
      <w:r w:rsidR="008A56D7" w:rsidRPr="004542B5">
        <w:rPr>
          <w:noProof w:val="0"/>
          <w:lang w:val="en-US"/>
        </w:rPr>
        <w:t xml:space="preserve"> of the </w:t>
      </w:r>
      <w:r w:rsidRPr="004542B5">
        <w:rPr>
          <w:noProof w:val="0"/>
          <w:lang w:val="en-US"/>
        </w:rPr>
        <w:t>Convention</w:t>
      </w:r>
      <w:r w:rsidR="007B47B1" w:rsidRPr="004542B5">
        <w:rPr>
          <w:noProof w:val="0"/>
          <w:lang w:val="en-US"/>
        </w:rPr>
        <w:t xml:space="preserve"> establ</w:t>
      </w:r>
      <w:r w:rsidR="006E193D" w:rsidRPr="004542B5">
        <w:rPr>
          <w:noProof w:val="0"/>
          <w:lang w:val="en-US"/>
        </w:rPr>
        <w:t xml:space="preserve">ishes, in </w:t>
      </w:r>
      <w:r w:rsidR="00EE3092" w:rsidRPr="004542B5">
        <w:rPr>
          <w:noProof w:val="0"/>
          <w:lang w:val="en-US"/>
        </w:rPr>
        <w:t>g</w:t>
      </w:r>
      <w:r w:rsidR="006E193D" w:rsidRPr="004542B5">
        <w:rPr>
          <w:noProof w:val="0"/>
          <w:lang w:val="en-US"/>
        </w:rPr>
        <w:t>eneral, the obligation of the States to guarantee an effective judicial remedy against acts that violate fundamental rights. When interpreting the text of Article 25 of the Convention, the Court has asserted, on other occasions, that the State’s obligation to provide a judicial remedy is not restricted to the mere existence of the courts or the formal proceedings, or even to the possibility of having recourse to the courts</w:t>
      </w:r>
      <w:r w:rsidR="00EE3092" w:rsidRPr="004542B5">
        <w:rPr>
          <w:noProof w:val="0"/>
          <w:lang w:val="en-US"/>
        </w:rPr>
        <w:t>;</w:t>
      </w:r>
      <w:r w:rsidR="006E193D" w:rsidRPr="004542B5">
        <w:rPr>
          <w:noProof w:val="0"/>
          <w:lang w:val="en-US"/>
        </w:rPr>
        <w:t xml:space="preserve"> </w:t>
      </w:r>
      <w:r w:rsidR="00EE3092" w:rsidRPr="004542B5">
        <w:rPr>
          <w:noProof w:val="0"/>
          <w:lang w:val="en-US"/>
        </w:rPr>
        <w:t>r</w:t>
      </w:r>
      <w:r w:rsidR="006E193D" w:rsidRPr="004542B5">
        <w:rPr>
          <w:noProof w:val="0"/>
          <w:lang w:val="en-US"/>
        </w:rPr>
        <w:t>ather, the State has the obligation to adopt positive measures to guarantee that the remedies it provides under the judicial system are “truly effective to establish whether or not human rights have been violated and to provide reparation.</w:t>
      </w:r>
      <w:r w:rsidR="007B47B1" w:rsidRPr="004542B5">
        <w:rPr>
          <w:noProof w:val="0"/>
          <w:lang w:val="en-US"/>
        </w:rPr>
        <w:t>”</w:t>
      </w:r>
      <w:r w:rsidR="007B47B1" w:rsidRPr="004542B5">
        <w:rPr>
          <w:rStyle w:val="FootnoteRef"/>
          <w:noProof w:val="0"/>
          <w:lang w:val="en-US"/>
        </w:rPr>
        <w:footnoteReference w:id="232"/>
      </w:r>
    </w:p>
    <w:p w14:paraId="6E3B73C7" w14:textId="34B6D951" w:rsidR="0036225B" w:rsidRPr="004542B5" w:rsidRDefault="00C17535" w:rsidP="00C17535">
      <w:pPr>
        <w:pStyle w:val="ListParagraph"/>
        <w:numPr>
          <w:ilvl w:val="0"/>
          <w:numId w:val="2"/>
        </w:numPr>
        <w:spacing w:before="120" w:after="120"/>
        <w:contextualSpacing w:val="0"/>
        <w:rPr>
          <w:noProof w:val="0"/>
          <w:szCs w:val="20"/>
          <w:lang w:val="en-US"/>
        </w:rPr>
      </w:pPr>
      <w:r w:rsidRPr="004542B5">
        <w:rPr>
          <w:noProof w:val="0"/>
          <w:szCs w:val="20"/>
          <w:lang w:val="en-US"/>
        </w:rPr>
        <w:t xml:space="preserve">In addition, in other cases, the Court’s case law has indicated that indigenous and tribal peoples have a right to the existence of effective and expeditious administrative mechanisms to protect, guarantee and promote their rights over indigenous territories, </w:t>
      </w:r>
      <w:r w:rsidR="00EE3092" w:rsidRPr="004542B5">
        <w:rPr>
          <w:noProof w:val="0"/>
          <w:szCs w:val="20"/>
          <w:lang w:val="en-US"/>
        </w:rPr>
        <w:t>under</w:t>
      </w:r>
      <w:r w:rsidRPr="004542B5">
        <w:rPr>
          <w:noProof w:val="0"/>
          <w:szCs w:val="20"/>
          <w:lang w:val="en-US"/>
        </w:rPr>
        <w:t xml:space="preserve"> which they may carry out the procedures of recognition, titling, demarcation and delimitation of their territory.</w:t>
      </w:r>
      <w:r w:rsidR="007B47B1" w:rsidRPr="004542B5">
        <w:rPr>
          <w:rStyle w:val="FootnoteReference"/>
          <w:noProof w:val="0"/>
          <w:lang w:val="en-US"/>
        </w:rPr>
        <w:footnoteReference w:id="233"/>
      </w:r>
      <w:r w:rsidRPr="004542B5">
        <w:rPr>
          <w:noProof w:val="0"/>
          <w:szCs w:val="20"/>
          <w:lang w:val="en-US"/>
        </w:rPr>
        <w:t xml:space="preserve"> The said procedures must comply with the rules of due process of law established in </w:t>
      </w:r>
      <w:r w:rsidR="00562CBB" w:rsidRPr="004542B5">
        <w:rPr>
          <w:noProof w:val="0"/>
          <w:szCs w:val="20"/>
          <w:lang w:val="en-US"/>
        </w:rPr>
        <w:t>Articles</w:t>
      </w:r>
      <w:r w:rsidR="007B47B1" w:rsidRPr="004542B5">
        <w:rPr>
          <w:noProof w:val="0"/>
          <w:szCs w:val="20"/>
          <w:lang w:val="en-US"/>
        </w:rPr>
        <w:t xml:space="preserve"> 8</w:t>
      </w:r>
      <w:r w:rsidR="00CD2B90" w:rsidRPr="004542B5">
        <w:rPr>
          <w:noProof w:val="0"/>
          <w:szCs w:val="20"/>
          <w:lang w:val="en-US"/>
        </w:rPr>
        <w:t xml:space="preserve"> and </w:t>
      </w:r>
      <w:r w:rsidR="007B47B1" w:rsidRPr="004542B5">
        <w:rPr>
          <w:noProof w:val="0"/>
          <w:szCs w:val="20"/>
          <w:lang w:val="en-US"/>
        </w:rPr>
        <w:t>25</w:t>
      </w:r>
      <w:r w:rsidR="008A56D7" w:rsidRPr="004542B5">
        <w:rPr>
          <w:noProof w:val="0"/>
          <w:szCs w:val="20"/>
          <w:lang w:val="en-US"/>
        </w:rPr>
        <w:t xml:space="preserve"> of the </w:t>
      </w:r>
      <w:r w:rsidR="00562CBB" w:rsidRPr="004542B5">
        <w:rPr>
          <w:noProof w:val="0"/>
          <w:szCs w:val="20"/>
          <w:lang w:val="en-US"/>
        </w:rPr>
        <w:t>American Convention</w:t>
      </w:r>
      <w:r w:rsidRPr="004542B5">
        <w:rPr>
          <w:noProof w:val="0"/>
          <w:szCs w:val="20"/>
          <w:lang w:val="en-US"/>
        </w:rPr>
        <w:t>.</w:t>
      </w:r>
      <w:r w:rsidR="007B47B1" w:rsidRPr="004542B5">
        <w:rPr>
          <w:rStyle w:val="FootnoteReference"/>
          <w:noProof w:val="0"/>
          <w:lang w:val="en-US"/>
        </w:rPr>
        <w:footnoteReference w:id="234"/>
      </w:r>
      <w:r w:rsidR="007B47B1" w:rsidRPr="004542B5">
        <w:rPr>
          <w:noProof w:val="0"/>
          <w:szCs w:val="20"/>
          <w:lang w:val="en-US"/>
        </w:rPr>
        <w:t xml:space="preserve">  </w:t>
      </w:r>
    </w:p>
    <w:p w14:paraId="79D58B8E" w14:textId="1A453A3B" w:rsidR="0036225B" w:rsidRPr="004542B5" w:rsidRDefault="00C17535" w:rsidP="00C17535">
      <w:pPr>
        <w:pStyle w:val="ListParagraph"/>
        <w:numPr>
          <w:ilvl w:val="0"/>
          <w:numId w:val="2"/>
        </w:numPr>
        <w:spacing w:before="120" w:after="120"/>
        <w:contextualSpacing w:val="0"/>
        <w:rPr>
          <w:noProof w:val="0"/>
          <w:szCs w:val="20"/>
          <w:lang w:val="en-US"/>
        </w:rPr>
      </w:pPr>
      <w:r w:rsidRPr="004542B5">
        <w:rPr>
          <w:noProof w:val="0"/>
          <w:lang w:val="en-US"/>
        </w:rPr>
        <w:t>The Court has also reiterated that the right of everyone to a simple and prompt remedy</w:t>
      </w:r>
      <w:r w:rsidR="00EE3092" w:rsidRPr="004542B5">
        <w:rPr>
          <w:noProof w:val="0"/>
          <w:lang w:val="en-US"/>
        </w:rPr>
        <w:t>,</w:t>
      </w:r>
      <w:r w:rsidRPr="004542B5">
        <w:rPr>
          <w:noProof w:val="0"/>
          <w:lang w:val="en-US"/>
        </w:rPr>
        <w:t xml:space="preserve"> or any other effective remedy</w:t>
      </w:r>
      <w:r w:rsidR="00EE3092" w:rsidRPr="004542B5">
        <w:rPr>
          <w:noProof w:val="0"/>
          <w:lang w:val="en-US"/>
        </w:rPr>
        <w:t>,</w:t>
      </w:r>
      <w:r w:rsidRPr="004542B5">
        <w:rPr>
          <w:noProof w:val="0"/>
          <w:lang w:val="en-US"/>
        </w:rPr>
        <w:t xml:space="preserve"> before the competent judges or courts for protection against acts that violate </w:t>
      </w:r>
      <w:r w:rsidR="00EE3092" w:rsidRPr="004542B5">
        <w:rPr>
          <w:noProof w:val="0"/>
          <w:lang w:val="en-US"/>
        </w:rPr>
        <w:t>their</w:t>
      </w:r>
      <w:r w:rsidRPr="004542B5">
        <w:rPr>
          <w:noProof w:val="0"/>
          <w:lang w:val="en-US"/>
        </w:rPr>
        <w:t xml:space="preserve"> fundamental rights “constitutes one of the basic pillars, not only of the American Convention, but also of the rule of law itself in a democratic society in the terms of the Convention</w:t>
      </w:r>
      <w:r w:rsidR="000D4D18" w:rsidRPr="004542B5">
        <w:rPr>
          <w:noProof w:val="0"/>
          <w:lang w:val="en-US"/>
        </w:rPr>
        <w:t>.</w:t>
      </w:r>
      <w:r w:rsidR="007B47B1" w:rsidRPr="004542B5">
        <w:rPr>
          <w:noProof w:val="0"/>
          <w:lang w:val="en-US"/>
        </w:rPr>
        <w:t>”</w:t>
      </w:r>
      <w:r w:rsidR="007B47B1" w:rsidRPr="004542B5">
        <w:rPr>
          <w:rStyle w:val="FootnoteReference"/>
          <w:noProof w:val="0"/>
          <w:lang w:val="en-US"/>
        </w:rPr>
        <w:footnoteReference w:id="235"/>
      </w:r>
      <w:r w:rsidR="007B47B1" w:rsidRPr="004542B5">
        <w:rPr>
          <w:noProof w:val="0"/>
          <w:lang w:val="en-US"/>
        </w:rPr>
        <w:t xml:space="preserve"> </w:t>
      </w:r>
      <w:r w:rsidR="000D4D18" w:rsidRPr="004542B5">
        <w:rPr>
          <w:noProof w:val="0"/>
          <w:lang w:val="en-US"/>
        </w:rPr>
        <w:t xml:space="preserve">Moreover, in the case of indigenous peoples, it is essential that the State grant effective protection that takes into account their </w:t>
      </w:r>
      <w:r w:rsidR="006110CB" w:rsidRPr="004542B5">
        <w:rPr>
          <w:noProof w:val="0"/>
          <w:lang w:val="en-US"/>
        </w:rPr>
        <w:t>specific</w:t>
      </w:r>
      <w:r w:rsidR="000D4D18" w:rsidRPr="004542B5">
        <w:rPr>
          <w:noProof w:val="0"/>
          <w:lang w:val="en-US"/>
        </w:rPr>
        <w:t xml:space="preserve"> particularities, their economic and social characteristics, and their situation of special vulnerability, their customary law, values, practices and customs.</w:t>
      </w:r>
      <w:r w:rsidR="007B47B1" w:rsidRPr="004542B5">
        <w:rPr>
          <w:rStyle w:val="FootnoteReference"/>
          <w:noProof w:val="0"/>
          <w:lang w:val="en-US"/>
        </w:rPr>
        <w:footnoteReference w:id="236"/>
      </w:r>
    </w:p>
    <w:p w14:paraId="1057C6F1" w14:textId="26832A21" w:rsidR="006E16F8" w:rsidRPr="004542B5" w:rsidRDefault="000D4D18" w:rsidP="000D4D18">
      <w:pPr>
        <w:pStyle w:val="ListParagraph"/>
        <w:numPr>
          <w:ilvl w:val="0"/>
          <w:numId w:val="2"/>
        </w:numPr>
        <w:spacing w:before="120" w:after="120"/>
        <w:contextualSpacing w:val="0"/>
        <w:rPr>
          <w:noProof w:val="0"/>
          <w:lang w:val="en-US"/>
        </w:rPr>
      </w:pPr>
      <w:r w:rsidRPr="004542B5">
        <w:rPr>
          <w:noProof w:val="0"/>
          <w:lang w:val="en-US"/>
        </w:rPr>
        <w:t xml:space="preserve">The Court has already affirmed that the obligation to investigate and, if appropriate, prosecute and punish those responsible for human rights violations is one of the positive </w:t>
      </w:r>
      <w:r w:rsidRPr="004542B5">
        <w:rPr>
          <w:noProof w:val="0"/>
          <w:lang w:val="en-US"/>
        </w:rPr>
        <w:lastRenderedPageBreak/>
        <w:t xml:space="preserve">measures that States should take to guarantee the rights recognized in </w:t>
      </w:r>
      <w:r w:rsidR="00562CBB" w:rsidRPr="004542B5">
        <w:rPr>
          <w:noProof w:val="0"/>
          <w:lang w:val="en-US"/>
        </w:rPr>
        <w:t>the Convention</w:t>
      </w:r>
      <w:r w:rsidR="007B47B1" w:rsidRPr="004542B5">
        <w:rPr>
          <w:rStyle w:val="FootnoteReference"/>
          <w:noProof w:val="0"/>
          <w:lang w:val="en-US"/>
        </w:rPr>
        <w:footnoteReference w:id="237"/>
      </w:r>
      <w:r w:rsidR="007B47B1" w:rsidRPr="004542B5">
        <w:rPr>
          <w:noProof w:val="0"/>
          <w:lang w:val="en-US"/>
        </w:rPr>
        <w:t xml:space="preserve"> </w:t>
      </w:r>
      <w:r w:rsidRPr="004542B5">
        <w:rPr>
          <w:noProof w:val="0"/>
          <w:lang w:val="en-US"/>
        </w:rPr>
        <w:t xml:space="preserve">under </w:t>
      </w:r>
      <w:r w:rsidR="00E04132" w:rsidRPr="004542B5">
        <w:rPr>
          <w:noProof w:val="0"/>
          <w:lang w:val="en-US"/>
        </w:rPr>
        <w:t>Article 1(1)</w:t>
      </w:r>
      <w:r w:rsidR="007B47B1" w:rsidRPr="004542B5">
        <w:rPr>
          <w:noProof w:val="0"/>
          <w:lang w:val="en-US"/>
        </w:rPr>
        <w:t xml:space="preserve"> </w:t>
      </w:r>
      <w:r w:rsidR="00342385" w:rsidRPr="004542B5">
        <w:rPr>
          <w:noProof w:val="0"/>
          <w:lang w:val="en-US"/>
        </w:rPr>
        <w:t>of this instrument</w:t>
      </w:r>
      <w:r w:rsidR="007B47B1" w:rsidRPr="004542B5">
        <w:rPr>
          <w:noProof w:val="0"/>
          <w:lang w:val="en-US"/>
        </w:rPr>
        <w:t xml:space="preserve">. </w:t>
      </w:r>
      <w:r w:rsidRPr="004542B5">
        <w:rPr>
          <w:noProof w:val="0"/>
          <w:lang w:val="en-US"/>
        </w:rPr>
        <w:t xml:space="preserve">This is an obligation that the State should assume as its inherent legal duty and not as a mere formality preordained to be ineffective, or as a measures taken at the instigation of private </w:t>
      </w:r>
      <w:r w:rsidR="006110CB" w:rsidRPr="004542B5">
        <w:rPr>
          <w:noProof w:val="0"/>
          <w:lang w:val="en-US"/>
        </w:rPr>
        <w:t>interests</w:t>
      </w:r>
      <w:r w:rsidRPr="004542B5">
        <w:rPr>
          <w:noProof w:val="0"/>
          <w:lang w:val="en-US"/>
        </w:rPr>
        <w:t xml:space="preserve"> that depends upon the procedural activity of the victims or their families or on their offer of probative elements.</w:t>
      </w:r>
      <w:r w:rsidR="007B47B1" w:rsidRPr="004542B5">
        <w:rPr>
          <w:noProof w:val="0"/>
          <w:vertAlign w:val="superscript"/>
          <w:lang w:val="en-US"/>
        </w:rPr>
        <w:footnoteReference w:id="238"/>
      </w:r>
    </w:p>
    <w:p w14:paraId="1277C4E0" w14:textId="495160C1" w:rsidR="006E16F8" w:rsidRPr="004542B5" w:rsidRDefault="00B125C2" w:rsidP="00B125C2">
      <w:pPr>
        <w:pStyle w:val="ListParagraph"/>
        <w:numPr>
          <w:ilvl w:val="0"/>
          <w:numId w:val="2"/>
        </w:numPr>
        <w:spacing w:before="120" w:after="120"/>
        <w:contextualSpacing w:val="0"/>
        <w:rPr>
          <w:noProof w:val="0"/>
          <w:lang w:val="en-US"/>
        </w:rPr>
      </w:pPr>
      <w:r w:rsidRPr="004542B5">
        <w:rPr>
          <w:noProof w:val="0"/>
          <w:lang w:val="en-US"/>
        </w:rPr>
        <w:t>The Court has also indicated that the obligation</w:t>
      </w:r>
      <w:r w:rsidR="00EE3092" w:rsidRPr="004542B5">
        <w:rPr>
          <w:noProof w:val="0"/>
          <w:lang w:val="en-US"/>
        </w:rPr>
        <w:t xml:space="preserve"> to</w:t>
      </w:r>
      <w:r w:rsidRPr="004542B5">
        <w:rPr>
          <w:noProof w:val="0"/>
          <w:lang w:val="en-US"/>
        </w:rPr>
        <w:t xml:space="preserve"> investigate and the corresponding right of the presumed victims or their families is based not only on the convention-based rules of international law that are peremptory for the States Parties, but also arise</w:t>
      </w:r>
      <w:r w:rsidR="00443079" w:rsidRPr="004542B5">
        <w:rPr>
          <w:noProof w:val="0"/>
          <w:lang w:val="en-US"/>
        </w:rPr>
        <w:t>s</w:t>
      </w:r>
      <w:r w:rsidRPr="004542B5">
        <w:rPr>
          <w:noProof w:val="0"/>
          <w:lang w:val="en-US"/>
        </w:rPr>
        <w:t xml:space="preserve"> from domestic law </w:t>
      </w:r>
      <w:r w:rsidR="00EE3092" w:rsidRPr="004542B5">
        <w:rPr>
          <w:noProof w:val="0"/>
          <w:lang w:val="en-US"/>
        </w:rPr>
        <w:t xml:space="preserve">relating </w:t>
      </w:r>
      <w:r w:rsidRPr="004542B5">
        <w:rPr>
          <w:noProof w:val="0"/>
          <w:lang w:val="en-US"/>
        </w:rPr>
        <w:t xml:space="preserve">to the obligation to investigate, </w:t>
      </w:r>
      <w:r w:rsidRPr="004542B5">
        <w:rPr>
          <w:i/>
          <w:iCs/>
          <w:noProof w:val="0"/>
          <w:lang w:val="en-US"/>
        </w:rPr>
        <w:t>ex officio</w:t>
      </w:r>
      <w:r w:rsidRPr="004542B5">
        <w:rPr>
          <w:noProof w:val="0"/>
          <w:lang w:val="en-US"/>
        </w:rPr>
        <w:t>, certain unlawful conducts</w:t>
      </w:r>
      <w:r w:rsidR="00443079" w:rsidRPr="004542B5">
        <w:rPr>
          <w:noProof w:val="0"/>
          <w:lang w:val="en-US"/>
        </w:rPr>
        <w:t>,</w:t>
      </w:r>
      <w:r w:rsidRPr="004542B5">
        <w:rPr>
          <w:noProof w:val="0"/>
          <w:lang w:val="en-US"/>
        </w:rPr>
        <w:t xml:space="preserve"> and </w:t>
      </w:r>
      <w:r w:rsidR="00443079" w:rsidRPr="004542B5">
        <w:rPr>
          <w:noProof w:val="0"/>
          <w:lang w:val="en-US"/>
        </w:rPr>
        <w:t xml:space="preserve">from </w:t>
      </w:r>
      <w:r w:rsidRPr="004542B5">
        <w:rPr>
          <w:noProof w:val="0"/>
          <w:lang w:val="en-US"/>
        </w:rPr>
        <w:t xml:space="preserve">the norms that allow victims or their </w:t>
      </w:r>
      <w:r w:rsidR="006110CB" w:rsidRPr="004542B5">
        <w:rPr>
          <w:noProof w:val="0"/>
          <w:lang w:val="en-US"/>
        </w:rPr>
        <w:t>families</w:t>
      </w:r>
      <w:r w:rsidRPr="004542B5">
        <w:rPr>
          <w:noProof w:val="0"/>
          <w:lang w:val="en-US"/>
        </w:rPr>
        <w:t xml:space="preserve"> to denounce or file complaints, evidence, petitions, or any other procedure, in order to play a procedural role in the criminal investigation to establish the truth of the facts.</w:t>
      </w:r>
      <w:r w:rsidR="007B47B1" w:rsidRPr="004542B5">
        <w:rPr>
          <w:rStyle w:val="FootnoteReference"/>
          <w:noProof w:val="0"/>
          <w:lang w:val="en-US"/>
        </w:rPr>
        <w:footnoteReference w:id="239"/>
      </w:r>
    </w:p>
    <w:p w14:paraId="17C87721" w14:textId="13EE4176" w:rsidR="003B7977" w:rsidRPr="004542B5" w:rsidRDefault="007B47B1" w:rsidP="00E01664">
      <w:pPr>
        <w:pStyle w:val="ListParagraph"/>
        <w:spacing w:before="240" w:after="240"/>
        <w:ind w:left="1077"/>
        <w:contextualSpacing w:val="0"/>
        <w:rPr>
          <w:rFonts w:cs="Tahoma"/>
          <w:i/>
          <w:noProof w:val="0"/>
          <w:szCs w:val="20"/>
          <w:lang w:val="en-US"/>
        </w:rPr>
      </w:pPr>
      <w:r w:rsidRPr="004542B5">
        <w:rPr>
          <w:i/>
          <w:noProof w:val="0"/>
          <w:lang w:val="en-US"/>
        </w:rPr>
        <w:t xml:space="preserve">A.2.1. </w:t>
      </w:r>
      <w:r w:rsidR="00B125C2" w:rsidRPr="004542B5">
        <w:rPr>
          <w:i/>
          <w:noProof w:val="0"/>
          <w:lang w:val="en-US"/>
        </w:rPr>
        <w:t>The requests for delimitation, demarcation and titling</w:t>
      </w:r>
    </w:p>
    <w:p w14:paraId="008EF7D9" w14:textId="59AA9F5A" w:rsidR="006E16F8" w:rsidRPr="004542B5" w:rsidRDefault="002D29AE" w:rsidP="00E01664">
      <w:pPr>
        <w:pStyle w:val="ListParagraph"/>
        <w:numPr>
          <w:ilvl w:val="0"/>
          <w:numId w:val="2"/>
        </w:numPr>
        <w:spacing w:before="120" w:after="120"/>
        <w:contextualSpacing w:val="0"/>
        <w:rPr>
          <w:noProof w:val="0"/>
          <w:lang w:val="en-US"/>
        </w:rPr>
      </w:pPr>
      <w:r w:rsidRPr="004542B5">
        <w:rPr>
          <w:noProof w:val="0"/>
          <w:lang w:val="en-US"/>
        </w:rPr>
        <w:t xml:space="preserve">According to the proven facts, at least since 1990, </w:t>
      </w:r>
      <w:r w:rsidR="00F3300A" w:rsidRPr="004542B5">
        <w:rPr>
          <w:noProof w:val="0"/>
          <w:lang w:val="en-US"/>
        </w:rPr>
        <w:t>the presumed victims</w:t>
      </w:r>
      <w:r w:rsidR="007B47B1" w:rsidRPr="004542B5">
        <w:rPr>
          <w:noProof w:val="0"/>
          <w:lang w:val="en-US"/>
        </w:rPr>
        <w:t xml:space="preserve"> ha</w:t>
      </w:r>
      <w:r w:rsidRPr="004542B5">
        <w:rPr>
          <w:noProof w:val="0"/>
          <w:lang w:val="en-US"/>
        </w:rPr>
        <w:t xml:space="preserve">ve taken different steps before authorities of the local, provincial and national governments to demand compliance with the above-mentioned agreements and resolutions, </w:t>
      </w:r>
      <w:r w:rsidR="00443079" w:rsidRPr="004542B5">
        <w:rPr>
          <w:noProof w:val="0"/>
          <w:lang w:val="en-US"/>
        </w:rPr>
        <w:t xml:space="preserve">and </w:t>
      </w:r>
      <w:r w:rsidRPr="004542B5">
        <w:rPr>
          <w:noProof w:val="0"/>
          <w:lang w:val="en-US"/>
        </w:rPr>
        <w:t xml:space="preserve">to request legal recognition of their lands, and the protection of these from the incursions of non-indigenous persons </w:t>
      </w:r>
      <w:r w:rsidR="007B47B1" w:rsidRPr="004542B5">
        <w:rPr>
          <w:noProof w:val="0"/>
          <w:lang w:val="en-US"/>
        </w:rPr>
        <w:t>(</w:t>
      </w:r>
      <w:r w:rsidR="007B47B1" w:rsidRPr="004542B5">
        <w:rPr>
          <w:i/>
          <w:noProof w:val="0"/>
          <w:lang w:val="en-US"/>
        </w:rPr>
        <w:t>supra</w:t>
      </w:r>
      <w:r w:rsidR="007B47B1" w:rsidRPr="004542B5">
        <w:rPr>
          <w:noProof w:val="0"/>
          <w:lang w:val="en-US"/>
        </w:rPr>
        <w:t xml:space="preserve"> </w:t>
      </w:r>
      <w:r w:rsidR="00F66B76" w:rsidRPr="004542B5">
        <w:rPr>
          <w:noProof w:val="0"/>
          <w:lang w:val="en-US"/>
        </w:rPr>
        <w:t>paras.</w:t>
      </w:r>
      <w:r w:rsidR="00C47677" w:rsidRPr="004542B5">
        <w:rPr>
          <w:noProof w:val="0"/>
          <w:lang w:val="en-US"/>
        </w:rPr>
        <w:t xml:space="preserve"> 85</w:t>
      </w:r>
      <w:r w:rsidR="00CD2B90" w:rsidRPr="004542B5">
        <w:rPr>
          <w:noProof w:val="0"/>
          <w:lang w:val="en-US"/>
        </w:rPr>
        <w:t xml:space="preserve"> and </w:t>
      </w:r>
      <w:r w:rsidRPr="004542B5">
        <w:rPr>
          <w:i/>
          <w:iCs/>
          <w:noProof w:val="0"/>
          <w:lang w:val="en-US"/>
        </w:rPr>
        <w:t>ff</w:t>
      </w:r>
      <w:r w:rsidR="00C47677" w:rsidRPr="004542B5">
        <w:rPr>
          <w:i/>
          <w:iCs/>
          <w:noProof w:val="0"/>
          <w:lang w:val="en-US"/>
        </w:rPr>
        <w:t>.</w:t>
      </w:r>
      <w:r w:rsidR="007B47B1" w:rsidRPr="004542B5">
        <w:rPr>
          <w:i/>
          <w:iCs/>
          <w:noProof w:val="0"/>
          <w:lang w:val="en-US"/>
        </w:rPr>
        <w:t>).</w:t>
      </w:r>
      <w:r w:rsidR="007B47B1" w:rsidRPr="004542B5">
        <w:rPr>
          <w:noProof w:val="0"/>
          <w:lang w:val="en-US"/>
        </w:rPr>
        <w:t xml:space="preserve"> </w:t>
      </w:r>
    </w:p>
    <w:p w14:paraId="07C6DE8E" w14:textId="0F606598" w:rsidR="006E16F8" w:rsidRPr="004542B5" w:rsidRDefault="002D29AE" w:rsidP="002D29AE">
      <w:pPr>
        <w:pStyle w:val="ListParagraph"/>
        <w:numPr>
          <w:ilvl w:val="0"/>
          <w:numId w:val="2"/>
        </w:numPr>
        <w:spacing w:before="120" w:after="120"/>
        <w:contextualSpacing w:val="0"/>
        <w:rPr>
          <w:noProof w:val="0"/>
          <w:lang w:val="en-US"/>
        </w:rPr>
      </w:pPr>
      <w:r w:rsidRPr="004542B5">
        <w:rPr>
          <w:noProof w:val="0"/>
          <w:lang w:val="en-US"/>
        </w:rPr>
        <w:t xml:space="preserve">In the case of the </w:t>
      </w:r>
      <w:r w:rsidR="007B47B1" w:rsidRPr="004542B5">
        <w:rPr>
          <w:noProof w:val="0"/>
          <w:lang w:val="en-US"/>
        </w:rPr>
        <w:t>Ipetí</w:t>
      </w:r>
      <w:r w:rsidR="00CD2B90" w:rsidRPr="004542B5">
        <w:rPr>
          <w:noProof w:val="0"/>
          <w:lang w:val="en-US"/>
        </w:rPr>
        <w:t xml:space="preserve"> and </w:t>
      </w:r>
      <w:r w:rsidR="007B47B1" w:rsidRPr="004542B5">
        <w:rPr>
          <w:noProof w:val="0"/>
          <w:lang w:val="en-US"/>
        </w:rPr>
        <w:t>Piriatí</w:t>
      </w:r>
      <w:r w:rsidRPr="004542B5">
        <w:rPr>
          <w:noProof w:val="0"/>
          <w:lang w:val="en-US"/>
        </w:rPr>
        <w:t xml:space="preserve"> communities, on October 27, </w:t>
      </w:r>
      <w:r w:rsidR="007B47B1" w:rsidRPr="004542B5">
        <w:rPr>
          <w:noProof w:val="0"/>
          <w:lang w:val="en-US"/>
        </w:rPr>
        <w:t>2009</w:t>
      </w:r>
      <w:r w:rsidRPr="004542B5">
        <w:rPr>
          <w:noProof w:val="0"/>
          <w:lang w:val="en-US"/>
        </w:rPr>
        <w:t>, and in January 2011, applications were filed with the National Agrarian Reform Directorate for the adjudication</w:t>
      </w:r>
      <w:r w:rsidR="00443079" w:rsidRPr="004542B5">
        <w:rPr>
          <w:noProof w:val="0"/>
          <w:lang w:val="en-US"/>
        </w:rPr>
        <w:t>, free of charge,</w:t>
      </w:r>
      <w:r w:rsidRPr="004542B5">
        <w:rPr>
          <w:noProof w:val="0"/>
          <w:lang w:val="en-US"/>
        </w:rPr>
        <w:t xml:space="preserve"> of the collective ownership of lands granted in compensation, requesting the collective titling of 3,191 hectares in the name of the Ipetí community and 3,754 hectares in the name of the Piriatí community, together with the suspension of any processing </w:t>
      </w:r>
      <w:r w:rsidR="00443079" w:rsidRPr="004542B5">
        <w:rPr>
          <w:noProof w:val="0"/>
          <w:lang w:val="en-US"/>
        </w:rPr>
        <w:t xml:space="preserve">of </w:t>
      </w:r>
      <w:r w:rsidRPr="004542B5">
        <w:rPr>
          <w:noProof w:val="0"/>
          <w:lang w:val="en-US"/>
        </w:rPr>
        <w:t>property titles or certification of possessory rights of third parties over the lands (</w:t>
      </w:r>
      <w:r w:rsidRPr="004542B5">
        <w:rPr>
          <w:i/>
          <w:noProof w:val="0"/>
          <w:lang w:val="en-US"/>
        </w:rPr>
        <w:t>supra</w:t>
      </w:r>
      <w:r w:rsidRPr="004542B5">
        <w:rPr>
          <w:noProof w:val="0"/>
          <w:lang w:val="en-US"/>
        </w:rPr>
        <w:t xml:space="preserve"> para. 95). Recently, in 2014, the collective property title was granted to the Piriatí Emberá community</w:t>
      </w:r>
      <w:r w:rsidR="007B47B1" w:rsidRPr="004542B5">
        <w:rPr>
          <w:noProof w:val="0"/>
          <w:lang w:val="en-US"/>
        </w:rPr>
        <w:t xml:space="preserve"> (</w:t>
      </w:r>
      <w:r w:rsidR="00357D08" w:rsidRPr="004542B5">
        <w:rPr>
          <w:i/>
          <w:noProof w:val="0"/>
          <w:lang w:val="en-US"/>
        </w:rPr>
        <w:t xml:space="preserve">supra </w:t>
      </w:r>
      <w:r w:rsidR="00F66B76" w:rsidRPr="004542B5">
        <w:rPr>
          <w:noProof w:val="0"/>
          <w:lang w:val="en-US"/>
        </w:rPr>
        <w:t>para.</w:t>
      </w:r>
      <w:r w:rsidR="007B47B1" w:rsidRPr="004542B5">
        <w:rPr>
          <w:noProof w:val="0"/>
          <w:lang w:val="en-US"/>
        </w:rPr>
        <w:t xml:space="preserve"> </w:t>
      </w:r>
      <w:r w:rsidR="005A6C01" w:rsidRPr="004542B5">
        <w:rPr>
          <w:noProof w:val="0"/>
          <w:lang w:val="en-US"/>
        </w:rPr>
        <w:t>94</w:t>
      </w:r>
      <w:r w:rsidR="007B47B1" w:rsidRPr="004542B5">
        <w:rPr>
          <w:noProof w:val="0"/>
          <w:lang w:val="en-US"/>
        </w:rPr>
        <w:t xml:space="preserve">). </w:t>
      </w:r>
      <w:r w:rsidRPr="004542B5">
        <w:rPr>
          <w:noProof w:val="0"/>
          <w:lang w:val="en-US"/>
        </w:rPr>
        <w:t>The Court notes that, prior to the application of October 2009, at least two other applications for the adjudication of territories of the Piriatí Emberá and Ipetí Emberá communities  had been filed with specific government authorities.</w:t>
      </w:r>
      <w:r w:rsidR="007B47B1" w:rsidRPr="004542B5">
        <w:rPr>
          <w:rStyle w:val="FootnoteReference"/>
          <w:noProof w:val="0"/>
          <w:lang w:val="en-US"/>
        </w:rPr>
        <w:footnoteReference w:id="240"/>
      </w:r>
      <w:r w:rsidR="00B07C65" w:rsidRPr="004542B5">
        <w:rPr>
          <w:noProof w:val="0"/>
          <w:lang w:val="en-US"/>
        </w:rPr>
        <w:t xml:space="preserve"> </w:t>
      </w:r>
      <w:r w:rsidRPr="004542B5">
        <w:rPr>
          <w:noProof w:val="0"/>
          <w:lang w:val="en-US"/>
        </w:rPr>
        <w:t>The state authorities failed to respond to any of these applications, and this results in a violation of</w:t>
      </w:r>
      <w:r w:rsidR="00AC2AFF" w:rsidRPr="004542B5">
        <w:rPr>
          <w:noProof w:val="0"/>
          <w:lang w:val="en-US"/>
        </w:rPr>
        <w:t xml:space="preserve"> </w:t>
      </w:r>
      <w:r w:rsidR="00562CBB" w:rsidRPr="004542B5">
        <w:rPr>
          <w:noProof w:val="0"/>
          <w:lang w:val="en-US"/>
        </w:rPr>
        <w:t>Articles</w:t>
      </w:r>
      <w:r w:rsidR="00AC2AFF" w:rsidRPr="004542B5">
        <w:rPr>
          <w:noProof w:val="0"/>
          <w:lang w:val="en-US"/>
        </w:rPr>
        <w:t xml:space="preserve"> 8</w:t>
      </w:r>
      <w:r w:rsidR="00CD2B90" w:rsidRPr="004542B5">
        <w:rPr>
          <w:noProof w:val="0"/>
          <w:lang w:val="en-US"/>
        </w:rPr>
        <w:t xml:space="preserve"> and </w:t>
      </w:r>
      <w:r w:rsidR="00AC2AFF" w:rsidRPr="004542B5">
        <w:rPr>
          <w:noProof w:val="0"/>
          <w:lang w:val="en-US"/>
        </w:rPr>
        <w:t xml:space="preserve">25, </w:t>
      </w:r>
      <w:r w:rsidR="00342385" w:rsidRPr="004542B5">
        <w:rPr>
          <w:noProof w:val="0"/>
          <w:lang w:val="en-US"/>
        </w:rPr>
        <w:t>in relation to</w:t>
      </w:r>
      <w:r w:rsidR="00AC2AFF" w:rsidRPr="004542B5">
        <w:rPr>
          <w:noProof w:val="0"/>
          <w:lang w:val="en-US"/>
        </w:rPr>
        <w:t xml:space="preserve"> </w:t>
      </w:r>
      <w:r w:rsidR="00E04132" w:rsidRPr="004542B5">
        <w:rPr>
          <w:noProof w:val="0"/>
          <w:lang w:val="en-US"/>
        </w:rPr>
        <w:t>Article 1(1)</w:t>
      </w:r>
      <w:r w:rsidR="008A56D7" w:rsidRPr="004542B5">
        <w:rPr>
          <w:noProof w:val="0"/>
          <w:lang w:val="en-US"/>
        </w:rPr>
        <w:t xml:space="preserve"> of the </w:t>
      </w:r>
      <w:r w:rsidR="00562CBB" w:rsidRPr="004542B5">
        <w:rPr>
          <w:noProof w:val="0"/>
          <w:lang w:val="en-US"/>
        </w:rPr>
        <w:t>Convention</w:t>
      </w:r>
      <w:r w:rsidRPr="004542B5">
        <w:rPr>
          <w:noProof w:val="0"/>
          <w:lang w:val="en-US"/>
        </w:rPr>
        <w:t>.</w:t>
      </w:r>
    </w:p>
    <w:p w14:paraId="7354B331" w14:textId="724C08B4" w:rsidR="005E36D6" w:rsidRPr="004542B5" w:rsidRDefault="002D29AE" w:rsidP="00E01664">
      <w:pPr>
        <w:pStyle w:val="ListParagraph"/>
        <w:numPr>
          <w:ilvl w:val="0"/>
          <w:numId w:val="2"/>
        </w:numPr>
        <w:spacing w:before="120" w:after="120"/>
        <w:contextualSpacing w:val="0"/>
        <w:rPr>
          <w:noProof w:val="0"/>
          <w:lang w:val="en-US"/>
        </w:rPr>
      </w:pPr>
      <w:r w:rsidRPr="004542B5">
        <w:rPr>
          <w:noProof w:val="0"/>
          <w:lang w:val="en-US"/>
        </w:rPr>
        <w:t>In the case of the</w:t>
      </w:r>
      <w:r w:rsidR="007B47B1" w:rsidRPr="004542B5">
        <w:rPr>
          <w:noProof w:val="0"/>
          <w:lang w:val="en-US"/>
        </w:rPr>
        <w:t xml:space="preserve"> </w:t>
      </w:r>
      <w:r w:rsidRPr="004542B5">
        <w:rPr>
          <w:noProof w:val="0"/>
          <w:lang w:val="en-US"/>
        </w:rPr>
        <w:t>Kuna people of</w:t>
      </w:r>
      <w:r w:rsidR="007B47B1" w:rsidRPr="004542B5">
        <w:rPr>
          <w:noProof w:val="0"/>
          <w:lang w:val="en-US"/>
        </w:rPr>
        <w:t xml:space="preserve"> </w:t>
      </w:r>
      <w:r w:rsidR="00053C14" w:rsidRPr="004542B5">
        <w:rPr>
          <w:noProof w:val="0"/>
          <w:lang w:val="en-US"/>
        </w:rPr>
        <w:t>Madungandí</w:t>
      </w:r>
      <w:r w:rsidR="007B47B1" w:rsidRPr="004542B5">
        <w:rPr>
          <w:noProof w:val="0"/>
          <w:lang w:val="en-US"/>
        </w:rPr>
        <w:t xml:space="preserve">, </w:t>
      </w:r>
      <w:r w:rsidRPr="004542B5">
        <w:rPr>
          <w:noProof w:val="0"/>
          <w:lang w:val="en-US"/>
        </w:rPr>
        <w:t xml:space="preserve">the evidence merely shows that they took several measures </w:t>
      </w:r>
      <w:r w:rsidR="00443079" w:rsidRPr="004542B5">
        <w:rPr>
          <w:noProof w:val="0"/>
          <w:lang w:val="en-US"/>
        </w:rPr>
        <w:t>with</w:t>
      </w:r>
      <w:r w:rsidRPr="004542B5">
        <w:rPr>
          <w:noProof w:val="0"/>
          <w:lang w:val="en-US"/>
        </w:rPr>
        <w:t xml:space="preserve"> state authorities that </w:t>
      </w:r>
      <w:r w:rsidR="00BE1A30" w:rsidRPr="004542B5">
        <w:rPr>
          <w:noProof w:val="0"/>
          <w:lang w:val="en-US"/>
        </w:rPr>
        <w:t>concluded with the adoption of Law 24 of 1996, recogniz</w:t>
      </w:r>
      <w:r w:rsidR="00443079" w:rsidRPr="004542B5">
        <w:rPr>
          <w:noProof w:val="0"/>
          <w:lang w:val="en-US"/>
        </w:rPr>
        <w:t>ing</w:t>
      </w:r>
      <w:r w:rsidR="00BE1A30" w:rsidRPr="004542B5">
        <w:rPr>
          <w:noProof w:val="0"/>
          <w:lang w:val="en-US"/>
        </w:rPr>
        <w:t xml:space="preserve"> the collective ownership of their territories</w:t>
      </w:r>
      <w:r w:rsidR="00443079" w:rsidRPr="004542B5">
        <w:rPr>
          <w:noProof w:val="0"/>
          <w:lang w:val="en-US"/>
        </w:rPr>
        <w:t>,</w:t>
      </w:r>
      <w:r w:rsidR="00BE1A30" w:rsidRPr="004542B5">
        <w:rPr>
          <w:noProof w:val="0"/>
          <w:lang w:val="en-US"/>
        </w:rPr>
        <w:t xml:space="preserve"> and</w:t>
      </w:r>
      <w:r w:rsidR="00443079" w:rsidRPr="004542B5">
        <w:rPr>
          <w:noProof w:val="0"/>
          <w:lang w:val="en-US"/>
        </w:rPr>
        <w:t xml:space="preserve"> with</w:t>
      </w:r>
      <w:r w:rsidR="00BE1A30" w:rsidRPr="004542B5">
        <w:rPr>
          <w:noProof w:val="0"/>
          <w:lang w:val="en-US"/>
        </w:rPr>
        <w:t xml:space="preserve"> the demarcation</w:t>
      </w:r>
      <w:r w:rsidR="00443079" w:rsidRPr="004542B5">
        <w:rPr>
          <w:noProof w:val="0"/>
          <w:lang w:val="en-US"/>
        </w:rPr>
        <w:t xml:space="preserve"> of these territories</w:t>
      </w:r>
      <w:r w:rsidR="00BE1A30" w:rsidRPr="004542B5">
        <w:rPr>
          <w:noProof w:val="0"/>
          <w:lang w:val="en-US"/>
        </w:rPr>
        <w:t xml:space="preserve"> in </w:t>
      </w:r>
      <w:r w:rsidR="007B47B1" w:rsidRPr="004542B5">
        <w:rPr>
          <w:noProof w:val="0"/>
          <w:lang w:val="en-US"/>
        </w:rPr>
        <w:t>2000 (</w:t>
      </w:r>
      <w:r w:rsidR="007B47B1" w:rsidRPr="004542B5">
        <w:rPr>
          <w:i/>
          <w:noProof w:val="0"/>
          <w:lang w:val="en-US"/>
        </w:rPr>
        <w:t>supra</w:t>
      </w:r>
      <w:r w:rsidR="007B47B1" w:rsidRPr="004542B5">
        <w:rPr>
          <w:noProof w:val="0"/>
          <w:lang w:val="en-US"/>
        </w:rPr>
        <w:t xml:space="preserve"> </w:t>
      </w:r>
      <w:r w:rsidR="00F66B76" w:rsidRPr="004542B5">
        <w:rPr>
          <w:noProof w:val="0"/>
          <w:lang w:val="en-US"/>
        </w:rPr>
        <w:t>paras.</w:t>
      </w:r>
      <w:r w:rsidR="007B47B1" w:rsidRPr="004542B5">
        <w:rPr>
          <w:noProof w:val="0"/>
          <w:lang w:val="en-US"/>
        </w:rPr>
        <w:t xml:space="preserve"> </w:t>
      </w:r>
      <w:r w:rsidR="00106595" w:rsidRPr="004542B5">
        <w:rPr>
          <w:noProof w:val="0"/>
          <w:lang w:val="en-US"/>
        </w:rPr>
        <w:t>71</w:t>
      </w:r>
      <w:r w:rsidR="007B47B1" w:rsidRPr="004542B5">
        <w:rPr>
          <w:noProof w:val="0"/>
          <w:lang w:val="en-US"/>
        </w:rPr>
        <w:t xml:space="preserve"> </w:t>
      </w:r>
      <w:r w:rsidR="00BE1A30" w:rsidRPr="004542B5">
        <w:rPr>
          <w:noProof w:val="0"/>
          <w:lang w:val="en-US"/>
        </w:rPr>
        <w:t>to</w:t>
      </w:r>
      <w:r w:rsidR="007B47B1" w:rsidRPr="004542B5">
        <w:rPr>
          <w:noProof w:val="0"/>
          <w:lang w:val="en-US"/>
        </w:rPr>
        <w:t xml:space="preserve"> </w:t>
      </w:r>
      <w:r w:rsidR="00106595" w:rsidRPr="004542B5">
        <w:rPr>
          <w:noProof w:val="0"/>
          <w:lang w:val="en-US"/>
        </w:rPr>
        <w:t>75</w:t>
      </w:r>
      <w:r w:rsidR="007B47B1" w:rsidRPr="004542B5">
        <w:rPr>
          <w:noProof w:val="0"/>
          <w:lang w:val="en-US"/>
        </w:rPr>
        <w:t xml:space="preserve">). </w:t>
      </w:r>
      <w:r w:rsidR="00BE1A30" w:rsidRPr="004542B5">
        <w:rPr>
          <w:noProof w:val="0"/>
          <w:lang w:val="en-US"/>
        </w:rPr>
        <w:t xml:space="preserve">The evidence does not reveal that they filed requests </w:t>
      </w:r>
      <w:r w:rsidR="00443079" w:rsidRPr="004542B5">
        <w:rPr>
          <w:noProof w:val="0"/>
          <w:lang w:val="en-US"/>
        </w:rPr>
        <w:t>with</w:t>
      </w:r>
      <w:r w:rsidR="00BE1A30" w:rsidRPr="004542B5">
        <w:rPr>
          <w:noProof w:val="0"/>
          <w:lang w:val="en-US"/>
        </w:rPr>
        <w:t xml:space="preserve"> state entities (either </w:t>
      </w:r>
      <w:r w:rsidR="006110CB" w:rsidRPr="004542B5">
        <w:rPr>
          <w:noProof w:val="0"/>
          <w:lang w:val="en-US"/>
        </w:rPr>
        <w:t>administrative</w:t>
      </w:r>
      <w:r w:rsidR="00BE1A30" w:rsidRPr="004542B5">
        <w:rPr>
          <w:noProof w:val="0"/>
          <w:lang w:val="en-US"/>
        </w:rPr>
        <w:t xml:space="preserve"> or judicial) for the delimitation, demarcation and titling of their territories. The analysis of the delay in the recognition of their collective ownership was </w:t>
      </w:r>
      <w:r w:rsidR="00BE1A30" w:rsidRPr="004542B5">
        <w:rPr>
          <w:noProof w:val="0"/>
          <w:lang w:val="en-US"/>
        </w:rPr>
        <w:lastRenderedPageBreak/>
        <w:t xml:space="preserve">made in the Court’s considerations </w:t>
      </w:r>
      <w:r w:rsidR="00443079" w:rsidRPr="004542B5">
        <w:rPr>
          <w:noProof w:val="0"/>
          <w:lang w:val="en-US"/>
        </w:rPr>
        <w:t>on</w:t>
      </w:r>
      <w:r w:rsidR="00BE1A30" w:rsidRPr="004542B5">
        <w:rPr>
          <w:noProof w:val="0"/>
          <w:lang w:val="en-US"/>
        </w:rPr>
        <w:t xml:space="preserve"> the violation </w:t>
      </w:r>
      <w:r w:rsidR="00E04132" w:rsidRPr="004542B5">
        <w:rPr>
          <w:noProof w:val="0"/>
          <w:lang w:val="en-US"/>
        </w:rPr>
        <w:t>of Article</w:t>
      </w:r>
      <w:r w:rsidR="007B47B1" w:rsidRPr="004542B5">
        <w:rPr>
          <w:noProof w:val="0"/>
          <w:lang w:val="en-US"/>
        </w:rPr>
        <w:t xml:space="preserve"> 21</w:t>
      </w:r>
      <w:r w:rsidR="008A56D7" w:rsidRPr="004542B5">
        <w:rPr>
          <w:noProof w:val="0"/>
          <w:lang w:val="en-US"/>
        </w:rPr>
        <w:t xml:space="preserve"> of the </w:t>
      </w:r>
      <w:r w:rsidR="00562CBB" w:rsidRPr="004542B5">
        <w:rPr>
          <w:noProof w:val="0"/>
          <w:lang w:val="en-US"/>
        </w:rPr>
        <w:t>Convention</w:t>
      </w:r>
      <w:r w:rsidR="007B47B1" w:rsidRPr="004542B5">
        <w:rPr>
          <w:noProof w:val="0"/>
          <w:lang w:val="en-US"/>
        </w:rPr>
        <w:t xml:space="preserve"> </w:t>
      </w:r>
      <w:r w:rsidR="00342385" w:rsidRPr="004542B5">
        <w:rPr>
          <w:noProof w:val="0"/>
          <w:lang w:val="en-US"/>
        </w:rPr>
        <w:t>in relation to</w:t>
      </w:r>
      <w:r w:rsidR="007B47B1" w:rsidRPr="004542B5">
        <w:rPr>
          <w:noProof w:val="0"/>
          <w:lang w:val="en-US"/>
        </w:rPr>
        <w:t xml:space="preserve"> </w:t>
      </w:r>
      <w:r w:rsidR="00F1018C" w:rsidRPr="004542B5">
        <w:rPr>
          <w:noProof w:val="0"/>
          <w:lang w:val="en-US"/>
        </w:rPr>
        <w:t>Article</w:t>
      </w:r>
      <w:r w:rsidR="00BE1A30" w:rsidRPr="004542B5">
        <w:rPr>
          <w:noProof w:val="0"/>
          <w:lang w:val="en-US"/>
        </w:rPr>
        <w:t>s</w:t>
      </w:r>
      <w:r w:rsidR="00F1018C" w:rsidRPr="004542B5">
        <w:rPr>
          <w:noProof w:val="0"/>
          <w:lang w:val="en-US"/>
        </w:rPr>
        <w:t xml:space="preserve"> 1(1)</w:t>
      </w:r>
      <w:r w:rsidR="00CD2B90" w:rsidRPr="004542B5">
        <w:rPr>
          <w:noProof w:val="0"/>
          <w:lang w:val="en-US"/>
        </w:rPr>
        <w:t xml:space="preserve"> and </w:t>
      </w:r>
      <w:r w:rsidR="007B47B1" w:rsidRPr="004542B5">
        <w:rPr>
          <w:noProof w:val="0"/>
          <w:lang w:val="en-US"/>
        </w:rPr>
        <w:t xml:space="preserve">2 </w:t>
      </w:r>
      <w:r w:rsidR="00342385" w:rsidRPr="004542B5">
        <w:rPr>
          <w:noProof w:val="0"/>
          <w:lang w:val="en-US"/>
        </w:rPr>
        <w:t>of this instrument</w:t>
      </w:r>
      <w:r w:rsidR="007B47B1" w:rsidRPr="004542B5">
        <w:rPr>
          <w:noProof w:val="0"/>
          <w:lang w:val="en-US"/>
        </w:rPr>
        <w:t>.</w:t>
      </w:r>
    </w:p>
    <w:p w14:paraId="136B60B1" w14:textId="7AD3E885" w:rsidR="006E16F8" w:rsidRPr="004542B5" w:rsidRDefault="00BE1A30" w:rsidP="00E01664">
      <w:pPr>
        <w:pStyle w:val="ListParagraph"/>
        <w:numPr>
          <w:ilvl w:val="0"/>
          <w:numId w:val="2"/>
        </w:numPr>
        <w:spacing w:before="120" w:after="120"/>
        <w:contextualSpacing w:val="0"/>
        <w:rPr>
          <w:noProof w:val="0"/>
          <w:lang w:val="en-US"/>
        </w:rPr>
      </w:pPr>
      <w:r w:rsidRPr="004542B5">
        <w:rPr>
          <w:noProof w:val="0"/>
          <w:lang w:val="en-US"/>
        </w:rPr>
        <w:t>Based on the above</w:t>
      </w:r>
      <w:r w:rsidR="007B47B1" w:rsidRPr="004542B5">
        <w:rPr>
          <w:noProof w:val="0"/>
          <w:lang w:val="en-US"/>
        </w:rPr>
        <w:t xml:space="preserve">, </w:t>
      </w:r>
      <w:r w:rsidR="00562CBB" w:rsidRPr="004542B5">
        <w:rPr>
          <w:noProof w:val="0"/>
          <w:lang w:val="en-US"/>
        </w:rPr>
        <w:t>the Court</w:t>
      </w:r>
      <w:r w:rsidR="007B47B1" w:rsidRPr="004542B5">
        <w:rPr>
          <w:noProof w:val="0"/>
          <w:lang w:val="en-US"/>
        </w:rPr>
        <w:t xml:space="preserve"> </w:t>
      </w:r>
      <w:r w:rsidRPr="004542B5">
        <w:rPr>
          <w:noProof w:val="0"/>
          <w:lang w:val="en-US"/>
        </w:rPr>
        <w:t>finds that</w:t>
      </w:r>
      <w:r w:rsidR="007B47B1" w:rsidRPr="004542B5">
        <w:rPr>
          <w:noProof w:val="0"/>
          <w:lang w:val="en-US"/>
        </w:rPr>
        <w:t xml:space="preserve"> </w:t>
      </w:r>
      <w:r w:rsidR="00562CBB" w:rsidRPr="004542B5">
        <w:rPr>
          <w:noProof w:val="0"/>
          <w:lang w:val="en-US"/>
        </w:rPr>
        <w:t>the State</w:t>
      </w:r>
      <w:r w:rsidR="007B47B1" w:rsidRPr="004542B5">
        <w:rPr>
          <w:noProof w:val="0"/>
          <w:lang w:val="en-US"/>
        </w:rPr>
        <w:t xml:space="preserve"> </w:t>
      </w:r>
      <w:r w:rsidRPr="004542B5">
        <w:rPr>
          <w:noProof w:val="0"/>
          <w:lang w:val="en-US"/>
        </w:rPr>
        <w:t>i</w:t>
      </w:r>
      <w:r w:rsidR="007B47B1" w:rsidRPr="004542B5">
        <w:rPr>
          <w:noProof w:val="0"/>
          <w:lang w:val="en-US"/>
        </w:rPr>
        <w:t>s respons</w:t>
      </w:r>
      <w:r w:rsidRPr="004542B5">
        <w:rPr>
          <w:noProof w:val="0"/>
          <w:lang w:val="en-US"/>
        </w:rPr>
        <w:t>i</w:t>
      </w:r>
      <w:r w:rsidR="007B47B1" w:rsidRPr="004542B5">
        <w:rPr>
          <w:noProof w:val="0"/>
          <w:lang w:val="en-US"/>
        </w:rPr>
        <w:t>ble</w:t>
      </w:r>
      <w:r w:rsidRPr="004542B5">
        <w:rPr>
          <w:noProof w:val="0"/>
          <w:lang w:val="en-US"/>
        </w:rPr>
        <w:t xml:space="preserve"> for the violation of the provisions of </w:t>
      </w:r>
      <w:r w:rsidR="00562CBB" w:rsidRPr="004542B5">
        <w:rPr>
          <w:noProof w:val="0"/>
          <w:lang w:val="en-US"/>
        </w:rPr>
        <w:t>Articles</w:t>
      </w:r>
      <w:r w:rsidR="00A41A72" w:rsidRPr="004542B5">
        <w:rPr>
          <w:noProof w:val="0"/>
          <w:lang w:val="en-US"/>
        </w:rPr>
        <w:t xml:space="preserve"> </w:t>
      </w:r>
      <w:r w:rsidR="00DE6766" w:rsidRPr="004542B5">
        <w:rPr>
          <w:noProof w:val="0"/>
          <w:lang w:val="en-US"/>
        </w:rPr>
        <w:t>8(1)</w:t>
      </w:r>
      <w:r w:rsidR="00CD2B90" w:rsidRPr="004542B5">
        <w:rPr>
          <w:noProof w:val="0"/>
          <w:lang w:val="en-US"/>
        </w:rPr>
        <w:t xml:space="preserve"> and </w:t>
      </w:r>
      <w:r w:rsidR="00A41A72" w:rsidRPr="004542B5">
        <w:rPr>
          <w:noProof w:val="0"/>
          <w:lang w:val="en-US"/>
        </w:rPr>
        <w:t>25</w:t>
      </w:r>
      <w:r w:rsidR="008A56D7" w:rsidRPr="004542B5">
        <w:rPr>
          <w:noProof w:val="0"/>
          <w:lang w:val="en-US"/>
        </w:rPr>
        <w:t xml:space="preserve"> of the </w:t>
      </w:r>
      <w:r w:rsidR="00562CBB" w:rsidRPr="004542B5">
        <w:rPr>
          <w:noProof w:val="0"/>
          <w:lang w:val="en-US"/>
        </w:rPr>
        <w:t>American Convention</w:t>
      </w:r>
      <w:r w:rsidR="00A41A72" w:rsidRPr="004542B5">
        <w:rPr>
          <w:noProof w:val="0"/>
          <w:lang w:val="en-US"/>
        </w:rPr>
        <w:t xml:space="preserve"> </w:t>
      </w:r>
      <w:r w:rsidR="00342385" w:rsidRPr="004542B5">
        <w:rPr>
          <w:noProof w:val="0"/>
          <w:lang w:val="en-US"/>
        </w:rPr>
        <w:t>in relation to</w:t>
      </w:r>
      <w:r w:rsidR="00A41A72" w:rsidRPr="004542B5">
        <w:rPr>
          <w:noProof w:val="0"/>
          <w:lang w:val="en-US"/>
        </w:rPr>
        <w:t xml:space="preserve"> </w:t>
      </w:r>
      <w:r w:rsidR="00F1018C" w:rsidRPr="004542B5">
        <w:rPr>
          <w:noProof w:val="0"/>
          <w:lang w:val="en-US"/>
        </w:rPr>
        <w:t>Article 1(1)</w:t>
      </w:r>
      <w:r w:rsidRPr="004542B5">
        <w:rPr>
          <w:noProof w:val="0"/>
          <w:lang w:val="en-US"/>
        </w:rPr>
        <w:t xml:space="preserve"> of this instrument </w:t>
      </w:r>
      <w:r w:rsidR="00342385" w:rsidRPr="004542B5">
        <w:rPr>
          <w:noProof w:val="0"/>
          <w:lang w:val="en-US"/>
        </w:rPr>
        <w:t>to the detriment of</w:t>
      </w:r>
      <w:r w:rsidR="00A41A72" w:rsidRPr="004542B5">
        <w:rPr>
          <w:noProof w:val="0"/>
          <w:lang w:val="en-US"/>
        </w:rPr>
        <w:t xml:space="preserve"> </w:t>
      </w:r>
      <w:r w:rsidRPr="004542B5">
        <w:rPr>
          <w:noProof w:val="0"/>
          <w:lang w:val="en-US"/>
        </w:rPr>
        <w:t xml:space="preserve">the </w:t>
      </w:r>
      <w:r w:rsidR="00A41A72" w:rsidRPr="004542B5">
        <w:rPr>
          <w:noProof w:val="0"/>
          <w:lang w:val="en-US"/>
        </w:rPr>
        <w:t>Emberá</w:t>
      </w:r>
      <w:r w:rsidRPr="004542B5">
        <w:rPr>
          <w:noProof w:val="0"/>
          <w:lang w:val="en-US"/>
        </w:rPr>
        <w:t xml:space="preserve"> indigenous communities considering that the State did not provide a response to the remedies filed by </w:t>
      </w:r>
      <w:r w:rsidR="00F3300A" w:rsidRPr="004542B5">
        <w:rPr>
          <w:noProof w:val="0"/>
          <w:lang w:val="en-US"/>
        </w:rPr>
        <w:t>the presumed victims</w:t>
      </w:r>
      <w:r w:rsidR="007B47B1" w:rsidRPr="004542B5">
        <w:rPr>
          <w:noProof w:val="0"/>
          <w:lang w:val="en-US"/>
        </w:rPr>
        <w:t xml:space="preserve"> </w:t>
      </w:r>
      <w:r w:rsidRPr="004542B5">
        <w:rPr>
          <w:noProof w:val="0"/>
          <w:lang w:val="en-US"/>
        </w:rPr>
        <w:t>that permitted adequate determination of their rights and obligations.</w:t>
      </w:r>
      <w:r w:rsidR="007B47B1" w:rsidRPr="004542B5">
        <w:rPr>
          <w:noProof w:val="0"/>
          <w:lang w:val="en-US"/>
        </w:rPr>
        <w:t xml:space="preserve"> </w:t>
      </w:r>
    </w:p>
    <w:p w14:paraId="1969282A" w14:textId="13E8C1AA" w:rsidR="003B7977" w:rsidRPr="004542B5" w:rsidRDefault="007B47B1" w:rsidP="00E01664">
      <w:pPr>
        <w:pStyle w:val="ListParagraph"/>
        <w:spacing w:before="240" w:after="240"/>
        <w:ind w:left="1077"/>
        <w:contextualSpacing w:val="0"/>
        <w:rPr>
          <w:rFonts w:cs="Tahoma"/>
          <w:i/>
          <w:noProof w:val="0"/>
          <w:szCs w:val="20"/>
          <w:lang w:val="en-US"/>
        </w:rPr>
      </w:pPr>
      <w:r w:rsidRPr="004542B5">
        <w:rPr>
          <w:i/>
          <w:noProof w:val="0"/>
          <w:szCs w:val="20"/>
          <w:lang w:val="en-US"/>
        </w:rPr>
        <w:t xml:space="preserve">A.2.2. </w:t>
      </w:r>
      <w:r w:rsidR="00BE1A30" w:rsidRPr="004542B5">
        <w:rPr>
          <w:i/>
          <w:noProof w:val="0"/>
          <w:szCs w:val="20"/>
          <w:lang w:val="en-US"/>
        </w:rPr>
        <w:t>The proceedings filed to protect the indigenous territories from invasion by third parties</w:t>
      </w:r>
    </w:p>
    <w:p w14:paraId="7236A022" w14:textId="04B48945" w:rsidR="006E16F8" w:rsidRPr="004542B5" w:rsidRDefault="00FC658C" w:rsidP="00E01664">
      <w:pPr>
        <w:pStyle w:val="ListParagraph"/>
        <w:numPr>
          <w:ilvl w:val="0"/>
          <w:numId w:val="2"/>
        </w:numPr>
        <w:spacing w:before="120" w:after="120"/>
        <w:contextualSpacing w:val="0"/>
        <w:rPr>
          <w:noProof w:val="0"/>
          <w:lang w:val="en-US"/>
        </w:rPr>
      </w:pPr>
      <w:r w:rsidRPr="004542B5">
        <w:rPr>
          <w:noProof w:val="0"/>
          <w:lang w:val="en-US"/>
        </w:rPr>
        <w:t xml:space="preserve">On this point, </w:t>
      </w:r>
      <w:r w:rsidR="00562CBB" w:rsidRPr="004542B5">
        <w:rPr>
          <w:noProof w:val="0"/>
          <w:lang w:val="en-US"/>
        </w:rPr>
        <w:t>the Commission</w:t>
      </w:r>
      <w:r w:rsidR="00CD2B90" w:rsidRPr="004542B5">
        <w:rPr>
          <w:noProof w:val="0"/>
          <w:lang w:val="en-US"/>
        </w:rPr>
        <w:t xml:space="preserve"> and </w:t>
      </w:r>
      <w:r w:rsidR="00562CBB" w:rsidRPr="004542B5">
        <w:rPr>
          <w:noProof w:val="0"/>
          <w:lang w:val="en-US"/>
        </w:rPr>
        <w:t>the representatives</w:t>
      </w:r>
      <w:r w:rsidR="007B47B1" w:rsidRPr="004542B5">
        <w:rPr>
          <w:noProof w:val="0"/>
          <w:lang w:val="en-US"/>
        </w:rPr>
        <w:t xml:space="preserve"> </w:t>
      </w:r>
      <w:r w:rsidRPr="004542B5">
        <w:rPr>
          <w:noProof w:val="0"/>
          <w:lang w:val="en-US"/>
        </w:rPr>
        <w:t xml:space="preserve">referred to different types of proceedings that were filed by </w:t>
      </w:r>
      <w:r w:rsidR="00F3300A" w:rsidRPr="004542B5">
        <w:rPr>
          <w:noProof w:val="0"/>
          <w:lang w:val="en-US"/>
        </w:rPr>
        <w:t>the presumed victims</w:t>
      </w:r>
      <w:r w:rsidR="007B47B1" w:rsidRPr="004542B5">
        <w:rPr>
          <w:noProof w:val="0"/>
          <w:lang w:val="en-US"/>
        </w:rPr>
        <w:t xml:space="preserve"> </w:t>
      </w:r>
      <w:r w:rsidRPr="004542B5">
        <w:rPr>
          <w:noProof w:val="0"/>
          <w:lang w:val="en-US"/>
        </w:rPr>
        <w:t>to protect their right to communal property.</w:t>
      </w:r>
    </w:p>
    <w:p w14:paraId="34AA2021" w14:textId="02458BBE" w:rsidR="006E16F8" w:rsidRPr="004542B5" w:rsidRDefault="00012F14" w:rsidP="00FC658C">
      <w:pPr>
        <w:pStyle w:val="ListParagraph"/>
        <w:numPr>
          <w:ilvl w:val="0"/>
          <w:numId w:val="2"/>
        </w:numPr>
        <w:spacing w:before="120" w:after="120"/>
        <w:contextualSpacing w:val="0"/>
        <w:rPr>
          <w:rFonts w:cs="Times New Roman"/>
          <w:noProof w:val="0"/>
          <w:lang w:val="en-US"/>
        </w:rPr>
      </w:pPr>
      <w:r w:rsidRPr="004542B5">
        <w:rPr>
          <w:noProof w:val="0"/>
          <w:lang w:val="en-US"/>
        </w:rPr>
        <w:t>In the case of the</w:t>
      </w:r>
      <w:r w:rsidR="00FC658C" w:rsidRPr="004542B5">
        <w:rPr>
          <w:noProof w:val="0"/>
          <w:lang w:val="en-US"/>
        </w:rPr>
        <w:t xml:space="preserve"> </w:t>
      </w:r>
      <w:r w:rsidR="000377AA" w:rsidRPr="004542B5">
        <w:rPr>
          <w:noProof w:val="0"/>
          <w:lang w:val="en-US"/>
        </w:rPr>
        <w:t>administrative procedure</w:t>
      </w:r>
      <w:r w:rsidR="008B4FEC" w:rsidRPr="004542B5">
        <w:rPr>
          <w:noProof w:val="0"/>
          <w:lang w:val="en-US"/>
        </w:rPr>
        <w:t xml:space="preserve">s </w:t>
      </w:r>
      <w:r w:rsidR="00FC658C" w:rsidRPr="004542B5">
        <w:rPr>
          <w:noProof w:val="0"/>
          <w:lang w:val="en-US"/>
        </w:rPr>
        <w:t>filed with</w:t>
      </w:r>
      <w:r w:rsidR="008B4FEC" w:rsidRPr="004542B5">
        <w:rPr>
          <w:noProof w:val="0"/>
          <w:lang w:val="en-US"/>
        </w:rPr>
        <w:t xml:space="preserve"> the National Environmental Authority</w:t>
      </w:r>
      <w:r w:rsidR="00FC658C" w:rsidRPr="004542B5">
        <w:rPr>
          <w:noProof w:val="0"/>
          <w:lang w:val="en-US"/>
        </w:rPr>
        <w:t xml:space="preserve"> owing to ecological damage</w:t>
      </w:r>
      <w:r w:rsidR="007B47B1" w:rsidRPr="004542B5">
        <w:rPr>
          <w:noProof w:val="0"/>
          <w:lang w:val="en-US"/>
        </w:rPr>
        <w:t xml:space="preserve">, </w:t>
      </w:r>
      <w:r w:rsidR="00FC658C" w:rsidRPr="004542B5">
        <w:rPr>
          <w:noProof w:val="0"/>
          <w:lang w:val="en-US"/>
        </w:rPr>
        <w:t>the proven facts reveal that, in early 2007, the Authority fined several persons different amounts because they had caused damage to the forest without the corresponding permits. There is no evidence that these fines were paid</w:t>
      </w:r>
      <w:r w:rsidR="007B47B1" w:rsidRPr="004542B5">
        <w:rPr>
          <w:noProof w:val="0"/>
          <w:lang w:val="en-US"/>
        </w:rPr>
        <w:t xml:space="preserve"> (</w:t>
      </w:r>
      <w:r w:rsidR="007B47B1" w:rsidRPr="004542B5">
        <w:rPr>
          <w:i/>
          <w:noProof w:val="0"/>
          <w:lang w:val="en-US"/>
        </w:rPr>
        <w:t>supra</w:t>
      </w:r>
      <w:r w:rsidR="007B47B1" w:rsidRPr="004542B5">
        <w:rPr>
          <w:noProof w:val="0"/>
          <w:lang w:val="en-US"/>
        </w:rPr>
        <w:t xml:space="preserve"> </w:t>
      </w:r>
      <w:r w:rsidR="00F66B76" w:rsidRPr="004542B5">
        <w:rPr>
          <w:noProof w:val="0"/>
          <w:lang w:val="en-US"/>
        </w:rPr>
        <w:t>para.</w:t>
      </w:r>
      <w:r w:rsidR="007B47B1" w:rsidRPr="004542B5">
        <w:rPr>
          <w:noProof w:val="0"/>
          <w:lang w:val="en-US"/>
        </w:rPr>
        <w:t xml:space="preserve"> </w:t>
      </w:r>
      <w:r w:rsidR="00106595" w:rsidRPr="004542B5">
        <w:rPr>
          <w:noProof w:val="0"/>
          <w:lang w:val="en-US"/>
        </w:rPr>
        <w:t>92</w:t>
      </w:r>
      <w:r w:rsidR="007B47B1" w:rsidRPr="004542B5">
        <w:rPr>
          <w:noProof w:val="0"/>
          <w:lang w:val="en-US"/>
        </w:rPr>
        <w:t xml:space="preserve">). </w:t>
      </w:r>
    </w:p>
    <w:p w14:paraId="7D9F5B7D" w14:textId="11EC3AC2" w:rsidR="00CC3EF8" w:rsidRPr="004542B5" w:rsidRDefault="00012F14" w:rsidP="00FC658C">
      <w:pPr>
        <w:pStyle w:val="ListParagraph"/>
        <w:numPr>
          <w:ilvl w:val="0"/>
          <w:numId w:val="2"/>
        </w:numPr>
        <w:spacing w:before="120" w:after="120"/>
        <w:contextualSpacing w:val="0"/>
        <w:rPr>
          <w:rFonts w:cs="Times New Roman"/>
          <w:noProof w:val="0"/>
          <w:lang w:val="en-US"/>
        </w:rPr>
      </w:pPr>
      <w:r w:rsidRPr="004542B5">
        <w:rPr>
          <w:noProof w:val="0"/>
          <w:lang w:val="en-US"/>
        </w:rPr>
        <w:t>With regard to</w:t>
      </w:r>
      <w:r w:rsidR="00FC658C" w:rsidRPr="004542B5">
        <w:rPr>
          <w:noProof w:val="0"/>
          <w:lang w:val="en-US"/>
        </w:rPr>
        <w:t xml:space="preserve"> the criminal proceedings before the V Special Prosecutor of the First Circuit of </w:t>
      </w:r>
      <w:r w:rsidR="00FE0BF3" w:rsidRPr="004542B5">
        <w:rPr>
          <w:noProof w:val="0"/>
          <w:lang w:val="en-US"/>
        </w:rPr>
        <w:t>Panama</w:t>
      </w:r>
      <w:r w:rsidR="007B47B1" w:rsidRPr="004542B5">
        <w:rPr>
          <w:noProof w:val="0"/>
          <w:lang w:val="en-US"/>
        </w:rPr>
        <w:t xml:space="preserve">, </w:t>
      </w:r>
      <w:r w:rsidR="00562CBB" w:rsidRPr="004542B5">
        <w:rPr>
          <w:noProof w:val="0"/>
          <w:lang w:val="en-US"/>
        </w:rPr>
        <w:t>the Court</w:t>
      </w:r>
      <w:r w:rsidR="007B47B1" w:rsidRPr="004542B5">
        <w:rPr>
          <w:noProof w:val="0"/>
          <w:lang w:val="en-US"/>
        </w:rPr>
        <w:t xml:space="preserve"> </w:t>
      </w:r>
      <w:r w:rsidR="00FC658C" w:rsidRPr="004542B5">
        <w:rPr>
          <w:noProof w:val="0"/>
          <w:lang w:val="en-US"/>
        </w:rPr>
        <w:t xml:space="preserve">notes that, following the complaint of January 30, 2007, against individuals who had felled trees indiscriminately, several individuals were </w:t>
      </w:r>
      <w:r w:rsidRPr="004542B5">
        <w:rPr>
          <w:noProof w:val="0"/>
          <w:lang w:val="en-US"/>
        </w:rPr>
        <w:t xml:space="preserve">taken into </w:t>
      </w:r>
      <w:r w:rsidR="00FC658C" w:rsidRPr="004542B5">
        <w:rPr>
          <w:noProof w:val="0"/>
          <w:lang w:val="en-US"/>
        </w:rPr>
        <w:t>preventive</w:t>
      </w:r>
      <w:r w:rsidR="00A710E9" w:rsidRPr="004542B5">
        <w:rPr>
          <w:noProof w:val="0"/>
          <w:lang w:val="en-US"/>
        </w:rPr>
        <w:t xml:space="preserve"> </w:t>
      </w:r>
      <w:r w:rsidR="00FC658C" w:rsidRPr="004542B5">
        <w:rPr>
          <w:noProof w:val="0"/>
          <w:lang w:val="en-US"/>
        </w:rPr>
        <w:t>det</w:t>
      </w:r>
      <w:r w:rsidR="00A710E9" w:rsidRPr="004542B5">
        <w:rPr>
          <w:noProof w:val="0"/>
          <w:lang w:val="en-US"/>
        </w:rPr>
        <w:t>ention</w:t>
      </w:r>
      <w:r w:rsidR="00FC658C" w:rsidRPr="004542B5">
        <w:rPr>
          <w:noProof w:val="0"/>
          <w:lang w:val="en-US"/>
        </w:rPr>
        <w:t xml:space="preserve"> and it was decided to open </w:t>
      </w:r>
      <w:r w:rsidR="00A710E9" w:rsidRPr="004542B5">
        <w:rPr>
          <w:noProof w:val="0"/>
          <w:lang w:val="en-US"/>
        </w:rPr>
        <w:t>a</w:t>
      </w:r>
      <w:r w:rsidR="00FC658C" w:rsidRPr="004542B5">
        <w:rPr>
          <w:noProof w:val="0"/>
          <w:lang w:val="en-US"/>
        </w:rPr>
        <w:t xml:space="preserve"> preliminary investigation. </w:t>
      </w:r>
      <w:r w:rsidR="00A710E9" w:rsidRPr="004542B5">
        <w:rPr>
          <w:noProof w:val="0"/>
          <w:lang w:val="en-US"/>
        </w:rPr>
        <w:t>Several</w:t>
      </w:r>
      <w:r w:rsidR="00FC658C" w:rsidRPr="004542B5">
        <w:rPr>
          <w:noProof w:val="0"/>
          <w:lang w:val="en-US"/>
        </w:rPr>
        <w:t xml:space="preserve"> investigation procedures were conducted during </w:t>
      </w:r>
      <w:r w:rsidR="00A710E9" w:rsidRPr="004542B5">
        <w:rPr>
          <w:noProof w:val="0"/>
          <w:lang w:val="en-US"/>
        </w:rPr>
        <w:t>the year, but</w:t>
      </w:r>
      <w:r w:rsidR="00FC658C" w:rsidRPr="004542B5">
        <w:rPr>
          <w:noProof w:val="0"/>
          <w:lang w:val="en-US"/>
        </w:rPr>
        <w:t xml:space="preserve"> </w:t>
      </w:r>
      <w:r w:rsidR="00A710E9" w:rsidRPr="004542B5">
        <w:rPr>
          <w:noProof w:val="0"/>
          <w:lang w:val="en-US"/>
        </w:rPr>
        <w:t>o</w:t>
      </w:r>
      <w:r w:rsidR="00FC658C" w:rsidRPr="004542B5">
        <w:rPr>
          <w:noProof w:val="0"/>
          <w:lang w:val="en-US"/>
        </w:rPr>
        <w:t>n December 27, 2007, the case was dismissed</w:t>
      </w:r>
      <w:r w:rsidR="007B47B1" w:rsidRPr="004542B5">
        <w:rPr>
          <w:noProof w:val="0"/>
          <w:lang w:val="en-US"/>
        </w:rPr>
        <w:t xml:space="preserve"> (</w:t>
      </w:r>
      <w:r w:rsidR="007B47B1" w:rsidRPr="004542B5">
        <w:rPr>
          <w:i/>
          <w:noProof w:val="0"/>
          <w:lang w:val="en-US"/>
        </w:rPr>
        <w:t>supra</w:t>
      </w:r>
      <w:r w:rsidR="007B47B1" w:rsidRPr="004542B5">
        <w:rPr>
          <w:noProof w:val="0"/>
          <w:lang w:val="en-US"/>
        </w:rPr>
        <w:t xml:space="preserve"> </w:t>
      </w:r>
      <w:r w:rsidR="00F66B76" w:rsidRPr="004542B5">
        <w:rPr>
          <w:noProof w:val="0"/>
          <w:lang w:val="en-US"/>
        </w:rPr>
        <w:t>para.</w:t>
      </w:r>
      <w:r w:rsidR="00106595" w:rsidRPr="004542B5">
        <w:rPr>
          <w:noProof w:val="0"/>
          <w:lang w:val="en-US"/>
        </w:rPr>
        <w:t xml:space="preserve"> 100</w:t>
      </w:r>
      <w:r w:rsidR="007B47B1" w:rsidRPr="004542B5">
        <w:rPr>
          <w:noProof w:val="0"/>
          <w:lang w:val="en-US"/>
        </w:rPr>
        <w:t>).</w:t>
      </w:r>
    </w:p>
    <w:p w14:paraId="6585D1E1" w14:textId="04C6C36A" w:rsidR="00323D52" w:rsidRPr="004542B5" w:rsidRDefault="00FC658C" w:rsidP="001B6C35">
      <w:pPr>
        <w:pStyle w:val="ListParagraph"/>
        <w:numPr>
          <w:ilvl w:val="0"/>
          <w:numId w:val="2"/>
        </w:numPr>
        <w:spacing w:before="120" w:after="120"/>
        <w:contextualSpacing w:val="0"/>
        <w:rPr>
          <w:noProof w:val="0"/>
          <w:lang w:val="en-US"/>
        </w:rPr>
      </w:pPr>
      <w:r w:rsidRPr="004542B5">
        <w:rPr>
          <w:noProof w:val="0"/>
          <w:lang w:val="en-US"/>
        </w:rPr>
        <w:t xml:space="preserve">Regarding the criminal proceedings instituted based on the complaints of December 20, 2006, and January 16, 2007, </w:t>
      </w:r>
      <w:r w:rsidR="001B6C35" w:rsidRPr="004542B5">
        <w:rPr>
          <w:noProof w:val="0"/>
          <w:lang w:val="en-US"/>
        </w:rPr>
        <w:t xml:space="preserve">investigations were opened, but the Court does not have recent information on them or on a final decision </w:t>
      </w:r>
      <w:r w:rsidR="00A710E9" w:rsidRPr="004542B5">
        <w:rPr>
          <w:noProof w:val="0"/>
          <w:lang w:val="en-US"/>
        </w:rPr>
        <w:t>by</w:t>
      </w:r>
      <w:r w:rsidR="001B6C35" w:rsidRPr="004542B5">
        <w:rPr>
          <w:noProof w:val="0"/>
          <w:lang w:val="en-US"/>
        </w:rPr>
        <w:t xml:space="preserve"> the </w:t>
      </w:r>
      <w:r w:rsidR="00A710E9" w:rsidRPr="004542B5">
        <w:rPr>
          <w:noProof w:val="0"/>
          <w:lang w:val="en-US"/>
        </w:rPr>
        <w:t>courts</w:t>
      </w:r>
      <w:r w:rsidR="007B47B1" w:rsidRPr="004542B5">
        <w:rPr>
          <w:noProof w:val="0"/>
          <w:lang w:val="en-US"/>
        </w:rPr>
        <w:t xml:space="preserve"> (</w:t>
      </w:r>
      <w:r w:rsidR="007B47B1" w:rsidRPr="004542B5">
        <w:rPr>
          <w:i/>
          <w:noProof w:val="0"/>
          <w:lang w:val="en-US"/>
        </w:rPr>
        <w:t>supra</w:t>
      </w:r>
      <w:r w:rsidR="007B47B1" w:rsidRPr="004542B5">
        <w:rPr>
          <w:noProof w:val="0"/>
          <w:lang w:val="en-US"/>
        </w:rPr>
        <w:t xml:space="preserve"> </w:t>
      </w:r>
      <w:r w:rsidR="00F66B76" w:rsidRPr="004542B5">
        <w:rPr>
          <w:noProof w:val="0"/>
          <w:lang w:val="en-US"/>
        </w:rPr>
        <w:t>paras.</w:t>
      </w:r>
      <w:r w:rsidR="007B47B1" w:rsidRPr="004542B5">
        <w:rPr>
          <w:noProof w:val="0"/>
          <w:lang w:val="en-US"/>
        </w:rPr>
        <w:t xml:space="preserve"> </w:t>
      </w:r>
      <w:r w:rsidR="00106595" w:rsidRPr="004542B5">
        <w:rPr>
          <w:noProof w:val="0"/>
          <w:lang w:val="en-US"/>
        </w:rPr>
        <w:t>97</w:t>
      </w:r>
      <w:r w:rsidR="007B47B1" w:rsidRPr="004542B5">
        <w:rPr>
          <w:noProof w:val="0"/>
          <w:lang w:val="en-US"/>
        </w:rPr>
        <w:t xml:space="preserve"> </w:t>
      </w:r>
      <w:r w:rsidR="001B6C35" w:rsidRPr="004542B5">
        <w:rPr>
          <w:noProof w:val="0"/>
          <w:lang w:val="en-US"/>
        </w:rPr>
        <w:t>to</w:t>
      </w:r>
      <w:r w:rsidR="007B47B1" w:rsidRPr="004542B5">
        <w:rPr>
          <w:noProof w:val="0"/>
          <w:lang w:val="en-US"/>
        </w:rPr>
        <w:t xml:space="preserve"> </w:t>
      </w:r>
      <w:r w:rsidR="00106595" w:rsidRPr="004542B5">
        <w:rPr>
          <w:noProof w:val="0"/>
          <w:lang w:val="en-US"/>
        </w:rPr>
        <w:t>101</w:t>
      </w:r>
      <w:r w:rsidR="007B47B1" w:rsidRPr="004542B5">
        <w:rPr>
          <w:noProof w:val="0"/>
          <w:lang w:val="en-US"/>
        </w:rPr>
        <w:t xml:space="preserve">). </w:t>
      </w:r>
      <w:r w:rsidR="001B6C35" w:rsidRPr="004542B5">
        <w:rPr>
          <w:noProof w:val="0"/>
          <w:lang w:val="en-US"/>
        </w:rPr>
        <w:t>In the case of the c</w:t>
      </w:r>
      <w:r w:rsidR="00D40B1E" w:rsidRPr="004542B5">
        <w:rPr>
          <w:noProof w:val="0"/>
          <w:lang w:val="en-US"/>
        </w:rPr>
        <w:t>riminal proceeding before the Judicial Inquiry Subdirectorate of the Chepo Agency</w:t>
      </w:r>
      <w:r w:rsidR="007B47B1" w:rsidRPr="004542B5">
        <w:rPr>
          <w:noProof w:val="0"/>
          <w:lang w:val="en-US"/>
        </w:rPr>
        <w:t xml:space="preserve">, </w:t>
      </w:r>
      <w:r w:rsidR="00562CBB" w:rsidRPr="004542B5">
        <w:rPr>
          <w:noProof w:val="0"/>
          <w:lang w:val="en-US"/>
        </w:rPr>
        <w:t>the Court</w:t>
      </w:r>
      <w:r w:rsidR="007B47B1" w:rsidRPr="004542B5">
        <w:rPr>
          <w:noProof w:val="0"/>
          <w:lang w:val="en-US"/>
        </w:rPr>
        <w:t xml:space="preserve"> not</w:t>
      </w:r>
      <w:r w:rsidR="001B6C35" w:rsidRPr="004542B5">
        <w:rPr>
          <w:noProof w:val="0"/>
          <w:lang w:val="en-US"/>
        </w:rPr>
        <w:t>es that, on August 16, 2011, a representative of the community filed the complaint</w:t>
      </w:r>
      <w:r w:rsidR="00A710E9" w:rsidRPr="004542B5">
        <w:rPr>
          <w:noProof w:val="0"/>
          <w:lang w:val="en-US"/>
        </w:rPr>
        <w:t>,</w:t>
      </w:r>
      <w:r w:rsidR="001B6C35" w:rsidRPr="004542B5">
        <w:rPr>
          <w:noProof w:val="0"/>
          <w:lang w:val="en-US"/>
        </w:rPr>
        <w:t xml:space="preserve"> the investigation was opened and on-site inspections made. The Court has no further information in this regard</w:t>
      </w:r>
      <w:r w:rsidR="007B47B1" w:rsidRPr="004542B5">
        <w:rPr>
          <w:noProof w:val="0"/>
          <w:lang w:val="en-US"/>
        </w:rPr>
        <w:t xml:space="preserve"> (</w:t>
      </w:r>
      <w:r w:rsidR="007B47B1" w:rsidRPr="004542B5">
        <w:rPr>
          <w:i/>
          <w:noProof w:val="0"/>
          <w:lang w:val="en-US"/>
        </w:rPr>
        <w:t>supra</w:t>
      </w:r>
      <w:r w:rsidR="007B47B1" w:rsidRPr="004542B5">
        <w:rPr>
          <w:noProof w:val="0"/>
          <w:lang w:val="en-US"/>
        </w:rPr>
        <w:t xml:space="preserve"> </w:t>
      </w:r>
      <w:r w:rsidR="00F66B76" w:rsidRPr="004542B5">
        <w:rPr>
          <w:noProof w:val="0"/>
          <w:lang w:val="en-US"/>
        </w:rPr>
        <w:t>paras.</w:t>
      </w:r>
      <w:r w:rsidR="007B47B1" w:rsidRPr="004542B5">
        <w:rPr>
          <w:noProof w:val="0"/>
          <w:lang w:val="en-US"/>
        </w:rPr>
        <w:t xml:space="preserve"> </w:t>
      </w:r>
      <w:r w:rsidR="00106595" w:rsidRPr="004542B5">
        <w:rPr>
          <w:noProof w:val="0"/>
          <w:lang w:val="en-US"/>
        </w:rPr>
        <w:t>104</w:t>
      </w:r>
      <w:r w:rsidR="00CD2B90" w:rsidRPr="004542B5">
        <w:rPr>
          <w:noProof w:val="0"/>
          <w:lang w:val="en-US"/>
        </w:rPr>
        <w:t xml:space="preserve"> and </w:t>
      </w:r>
      <w:r w:rsidR="00106595" w:rsidRPr="004542B5">
        <w:rPr>
          <w:noProof w:val="0"/>
          <w:lang w:val="en-US"/>
        </w:rPr>
        <w:t>105</w:t>
      </w:r>
      <w:r w:rsidR="007B47B1" w:rsidRPr="004542B5">
        <w:rPr>
          <w:noProof w:val="0"/>
          <w:lang w:val="en-US"/>
        </w:rPr>
        <w:t>).</w:t>
      </w:r>
    </w:p>
    <w:p w14:paraId="59D18E29" w14:textId="77AA4C6F" w:rsidR="006E16F8" w:rsidRPr="004542B5" w:rsidRDefault="00342385" w:rsidP="001B6C35">
      <w:pPr>
        <w:pStyle w:val="ListParagraph"/>
        <w:numPr>
          <w:ilvl w:val="0"/>
          <w:numId w:val="2"/>
        </w:numPr>
        <w:spacing w:before="120" w:after="120"/>
        <w:contextualSpacing w:val="0"/>
        <w:rPr>
          <w:noProof w:val="0"/>
          <w:lang w:val="en-US"/>
        </w:rPr>
      </w:pPr>
      <w:r w:rsidRPr="004542B5">
        <w:rPr>
          <w:noProof w:val="0"/>
          <w:lang w:val="en-US"/>
        </w:rPr>
        <w:t>In relation to</w:t>
      </w:r>
      <w:r w:rsidR="001B6C35" w:rsidRPr="004542B5">
        <w:rPr>
          <w:noProof w:val="0"/>
          <w:lang w:val="en-US"/>
        </w:rPr>
        <w:t xml:space="preserve"> the foregoing and the development of th</w:t>
      </w:r>
      <w:r w:rsidR="00A710E9" w:rsidRPr="004542B5">
        <w:rPr>
          <w:noProof w:val="0"/>
          <w:lang w:val="en-US"/>
        </w:rPr>
        <w:t>o</w:t>
      </w:r>
      <w:r w:rsidR="001B6C35" w:rsidRPr="004542B5">
        <w:rPr>
          <w:noProof w:val="0"/>
          <w:lang w:val="en-US"/>
        </w:rPr>
        <w:t xml:space="preserve">se proceedings, the Court notes that no evidence was provided that would allow it to infer that the dismissals and the failure to determine those responsible was due to </w:t>
      </w:r>
      <w:r w:rsidR="00A710E9" w:rsidRPr="004542B5">
        <w:rPr>
          <w:noProof w:val="0"/>
          <w:lang w:val="en-US"/>
        </w:rPr>
        <w:t>fraudulence</w:t>
      </w:r>
      <w:r w:rsidR="001B6C35" w:rsidRPr="004542B5">
        <w:rPr>
          <w:noProof w:val="0"/>
          <w:lang w:val="en-US"/>
        </w:rPr>
        <w:t xml:space="preserve"> in the proceedings or </w:t>
      </w:r>
      <w:r w:rsidR="00A710E9" w:rsidRPr="004542B5">
        <w:rPr>
          <w:noProof w:val="0"/>
          <w:lang w:val="en-US"/>
        </w:rPr>
        <w:t>an absence</w:t>
      </w:r>
      <w:r w:rsidR="001B6C35" w:rsidRPr="004542B5">
        <w:rPr>
          <w:noProof w:val="0"/>
          <w:lang w:val="en-US"/>
        </w:rPr>
        <w:t xml:space="preserve"> of the judicial guarantees contained in the Convention. To the contrary, the representatives and the Commission only alleged that the said proceedings failed to result in </w:t>
      </w:r>
      <w:r w:rsidR="00A710E9" w:rsidRPr="004542B5">
        <w:rPr>
          <w:noProof w:val="0"/>
          <w:lang w:val="en-US"/>
        </w:rPr>
        <w:t xml:space="preserve">the </w:t>
      </w:r>
      <w:r w:rsidR="001B6C35" w:rsidRPr="004542B5">
        <w:rPr>
          <w:noProof w:val="0"/>
          <w:lang w:val="en-US"/>
        </w:rPr>
        <w:t>conviction of those presumed to be responsible for the facts without provid</w:t>
      </w:r>
      <w:r w:rsidR="00A710E9" w:rsidRPr="004542B5">
        <w:rPr>
          <w:noProof w:val="0"/>
          <w:lang w:val="en-US"/>
        </w:rPr>
        <w:t>ing</w:t>
      </w:r>
      <w:r w:rsidR="001B6C35" w:rsidRPr="004542B5">
        <w:rPr>
          <w:noProof w:val="0"/>
          <w:lang w:val="en-US"/>
        </w:rPr>
        <w:t xml:space="preserve"> any other type of argument. Therefore, the Court lacks evidence to analyze whether or not these proceedings were in keeping with the provisions of </w:t>
      </w:r>
      <w:r w:rsidR="00562CBB" w:rsidRPr="004542B5">
        <w:rPr>
          <w:noProof w:val="0"/>
          <w:lang w:val="en-US"/>
        </w:rPr>
        <w:t>Article</w:t>
      </w:r>
      <w:r w:rsidR="007B47B1" w:rsidRPr="004542B5">
        <w:rPr>
          <w:noProof w:val="0"/>
          <w:lang w:val="en-US"/>
        </w:rPr>
        <w:t xml:space="preserve"> </w:t>
      </w:r>
      <w:r w:rsidR="00DE6766" w:rsidRPr="004542B5">
        <w:rPr>
          <w:noProof w:val="0"/>
          <w:lang w:val="en-US"/>
        </w:rPr>
        <w:t>8(1)</w:t>
      </w:r>
      <w:r w:rsidR="008A56D7" w:rsidRPr="004542B5">
        <w:rPr>
          <w:noProof w:val="0"/>
          <w:lang w:val="en-US"/>
        </w:rPr>
        <w:t xml:space="preserve"> of the </w:t>
      </w:r>
      <w:r w:rsidR="00562CBB" w:rsidRPr="004542B5">
        <w:rPr>
          <w:noProof w:val="0"/>
          <w:lang w:val="en-US"/>
        </w:rPr>
        <w:t>American Convention</w:t>
      </w:r>
      <w:r w:rsidR="007B47B1" w:rsidRPr="004542B5">
        <w:rPr>
          <w:noProof w:val="0"/>
          <w:lang w:val="en-US"/>
        </w:rPr>
        <w:t xml:space="preserve">. </w:t>
      </w:r>
      <w:r w:rsidR="001B6C35" w:rsidRPr="004542B5">
        <w:rPr>
          <w:noProof w:val="0"/>
          <w:lang w:val="en-US"/>
        </w:rPr>
        <w:t xml:space="preserve">In this regard, it is relevant to recall that the said article </w:t>
      </w:r>
      <w:r w:rsidR="00884880" w:rsidRPr="004542B5">
        <w:rPr>
          <w:noProof w:val="0"/>
          <w:lang w:val="en-US"/>
        </w:rPr>
        <w:t xml:space="preserve">“includes a material aspect of protection which means that the State must guarantee that the decision produced by the proceedings satisfies the end for which it was conceived. </w:t>
      </w:r>
      <w:r w:rsidR="00A710E9" w:rsidRPr="004542B5">
        <w:rPr>
          <w:noProof w:val="0"/>
          <w:lang w:val="en-US"/>
        </w:rPr>
        <w:t>This</w:t>
      </w:r>
      <w:r w:rsidR="00884880" w:rsidRPr="004542B5">
        <w:rPr>
          <w:noProof w:val="0"/>
          <w:lang w:val="en-US"/>
        </w:rPr>
        <w:t xml:space="preserve"> does not mean that the complaint must always be admitted, but rather that the </w:t>
      </w:r>
      <w:r w:rsidR="006110CB" w:rsidRPr="004542B5">
        <w:rPr>
          <w:noProof w:val="0"/>
          <w:lang w:val="en-US"/>
        </w:rPr>
        <w:t>possibility</w:t>
      </w:r>
      <w:r w:rsidR="00884880" w:rsidRPr="004542B5">
        <w:rPr>
          <w:noProof w:val="0"/>
          <w:lang w:val="en-US"/>
        </w:rPr>
        <w:t xml:space="preserve"> of the proceedings producing the result for which they were conceived be guaranteed.</w:t>
      </w:r>
      <w:r w:rsidR="007B47B1" w:rsidRPr="004542B5">
        <w:rPr>
          <w:rFonts w:cs="Verdana Bold"/>
          <w:bCs/>
          <w:noProof w:val="0"/>
          <w:lang w:val="en-US"/>
        </w:rPr>
        <w:t>”</w:t>
      </w:r>
      <w:r w:rsidR="007B47B1" w:rsidRPr="004542B5">
        <w:rPr>
          <w:rStyle w:val="FootnoteReference"/>
          <w:bCs/>
          <w:noProof w:val="0"/>
          <w:lang w:val="en-US"/>
        </w:rPr>
        <w:footnoteReference w:id="241"/>
      </w:r>
    </w:p>
    <w:p w14:paraId="5747AA89" w14:textId="08ACC854" w:rsidR="006E16F8" w:rsidRPr="004542B5" w:rsidRDefault="00884880" w:rsidP="001F0B9C">
      <w:pPr>
        <w:pStyle w:val="ListParagraph"/>
        <w:numPr>
          <w:ilvl w:val="0"/>
          <w:numId w:val="2"/>
        </w:numPr>
        <w:spacing w:before="120" w:after="120"/>
        <w:contextualSpacing w:val="0"/>
        <w:rPr>
          <w:noProof w:val="0"/>
          <w:lang w:val="en-US"/>
        </w:rPr>
      </w:pPr>
      <w:r w:rsidRPr="004542B5">
        <w:rPr>
          <w:noProof w:val="0"/>
          <w:lang w:val="en-US"/>
        </w:rPr>
        <w:t>The proven facts reveal that,</w:t>
      </w:r>
      <w:r w:rsidR="004C1AC4" w:rsidRPr="004542B5">
        <w:rPr>
          <w:noProof w:val="0"/>
          <w:lang w:val="en-US"/>
        </w:rPr>
        <w:t xml:space="preserve"> starting in</w:t>
      </w:r>
      <w:r w:rsidRPr="004542B5">
        <w:rPr>
          <w:noProof w:val="0"/>
          <w:lang w:val="en-US"/>
        </w:rPr>
        <w:t xml:space="preserve"> April 2002, </w:t>
      </w:r>
      <w:r w:rsidR="00562CBB" w:rsidRPr="004542B5">
        <w:rPr>
          <w:noProof w:val="0"/>
          <w:lang w:val="en-US"/>
        </w:rPr>
        <w:t>the representatives</w:t>
      </w:r>
      <w:r w:rsidR="007B47B1" w:rsidRPr="004542B5">
        <w:rPr>
          <w:noProof w:val="0"/>
          <w:lang w:val="en-US"/>
        </w:rPr>
        <w:t xml:space="preserve"> </w:t>
      </w:r>
      <w:r w:rsidRPr="004542B5">
        <w:rPr>
          <w:noProof w:val="0"/>
          <w:lang w:val="en-US"/>
        </w:rPr>
        <w:t>of the</w:t>
      </w:r>
      <w:r w:rsidR="007B47B1" w:rsidRPr="004542B5">
        <w:rPr>
          <w:noProof w:val="0"/>
          <w:lang w:val="en-US"/>
        </w:rPr>
        <w:t xml:space="preserve"> </w:t>
      </w:r>
      <w:r w:rsidR="00045DC1" w:rsidRPr="004542B5">
        <w:rPr>
          <w:noProof w:val="0"/>
          <w:lang w:val="en-US"/>
        </w:rPr>
        <w:t>Kuna Comarca of</w:t>
      </w:r>
      <w:r w:rsidR="007B47B1" w:rsidRPr="004542B5">
        <w:rPr>
          <w:noProof w:val="0"/>
          <w:lang w:val="en-US"/>
        </w:rPr>
        <w:t xml:space="preserve"> </w:t>
      </w:r>
      <w:r w:rsidR="00053C14" w:rsidRPr="004542B5">
        <w:rPr>
          <w:noProof w:val="0"/>
          <w:lang w:val="en-US"/>
        </w:rPr>
        <w:t>Madungandí</w:t>
      </w:r>
      <w:r w:rsidR="007B47B1" w:rsidRPr="004542B5">
        <w:rPr>
          <w:noProof w:val="0"/>
          <w:lang w:val="en-US"/>
        </w:rPr>
        <w:t xml:space="preserve"> </w:t>
      </w:r>
      <w:r w:rsidRPr="004542B5">
        <w:rPr>
          <w:noProof w:val="0"/>
          <w:lang w:val="en-US"/>
        </w:rPr>
        <w:t xml:space="preserve">filed different </w:t>
      </w:r>
      <w:r w:rsidR="000377AA" w:rsidRPr="004542B5">
        <w:rPr>
          <w:noProof w:val="0"/>
          <w:lang w:val="en-US"/>
        </w:rPr>
        <w:t>administrative procedure</w:t>
      </w:r>
      <w:r w:rsidRPr="004542B5">
        <w:rPr>
          <w:noProof w:val="0"/>
          <w:lang w:val="en-US"/>
        </w:rPr>
        <w:t xml:space="preserve">s with </w:t>
      </w:r>
      <w:r w:rsidR="004C1AC4" w:rsidRPr="004542B5">
        <w:rPr>
          <w:noProof w:val="0"/>
          <w:lang w:val="en-US"/>
        </w:rPr>
        <w:t>various</w:t>
      </w:r>
      <w:r w:rsidRPr="004542B5">
        <w:rPr>
          <w:noProof w:val="0"/>
          <w:lang w:val="en-US"/>
        </w:rPr>
        <w:t xml:space="preserve"> local and national authorities requiring the expulsion of the non-indigenous occupants of the lands included within </w:t>
      </w:r>
      <w:r w:rsidRPr="004542B5">
        <w:rPr>
          <w:noProof w:val="0"/>
          <w:lang w:val="en-US"/>
        </w:rPr>
        <w:lastRenderedPageBreak/>
        <w:t>the boundaries of t</w:t>
      </w:r>
      <w:r w:rsidR="004D0B27" w:rsidRPr="004542B5">
        <w:rPr>
          <w:noProof w:val="0"/>
          <w:lang w:val="en-US"/>
        </w:rPr>
        <w:t xml:space="preserve">he </w:t>
      </w:r>
      <w:r w:rsidR="008C4E08" w:rsidRPr="004542B5">
        <w:rPr>
          <w:noProof w:val="0"/>
          <w:lang w:val="en-US"/>
        </w:rPr>
        <w:t xml:space="preserve">Kuna </w:t>
      </w:r>
      <w:r w:rsidR="004D0B27" w:rsidRPr="004542B5">
        <w:rPr>
          <w:noProof w:val="0"/>
          <w:lang w:val="en-US"/>
        </w:rPr>
        <w:t>Comarca</w:t>
      </w:r>
      <w:r w:rsidR="004C1AC4" w:rsidRPr="004542B5">
        <w:rPr>
          <w:noProof w:val="0"/>
          <w:lang w:val="en-US"/>
        </w:rPr>
        <w:t xml:space="preserve"> due to their invasion</w:t>
      </w:r>
      <w:r w:rsidR="007B47B1" w:rsidRPr="004542B5">
        <w:rPr>
          <w:noProof w:val="0"/>
          <w:lang w:val="en-US"/>
        </w:rPr>
        <w:t xml:space="preserve"> (</w:t>
      </w:r>
      <w:r w:rsidR="007B47B1" w:rsidRPr="004542B5">
        <w:rPr>
          <w:i/>
          <w:noProof w:val="0"/>
          <w:lang w:val="en-US"/>
        </w:rPr>
        <w:t>supra</w:t>
      </w:r>
      <w:r w:rsidR="007B47B1" w:rsidRPr="004542B5">
        <w:rPr>
          <w:noProof w:val="0"/>
          <w:lang w:val="en-US"/>
        </w:rPr>
        <w:t xml:space="preserve"> </w:t>
      </w:r>
      <w:r w:rsidR="00F66B76" w:rsidRPr="004542B5">
        <w:rPr>
          <w:noProof w:val="0"/>
          <w:lang w:val="en-US"/>
        </w:rPr>
        <w:t>paras.</w:t>
      </w:r>
      <w:r w:rsidR="007B47B1" w:rsidRPr="004542B5">
        <w:rPr>
          <w:noProof w:val="0"/>
          <w:lang w:val="en-US"/>
        </w:rPr>
        <w:t xml:space="preserve"> </w:t>
      </w:r>
      <w:r w:rsidR="006C69BA" w:rsidRPr="004542B5">
        <w:rPr>
          <w:noProof w:val="0"/>
          <w:lang w:val="en-US"/>
        </w:rPr>
        <w:t>86</w:t>
      </w:r>
      <w:r w:rsidR="00CD2B90" w:rsidRPr="004542B5">
        <w:rPr>
          <w:noProof w:val="0"/>
          <w:lang w:val="en-US"/>
        </w:rPr>
        <w:t xml:space="preserve"> and </w:t>
      </w:r>
      <w:r w:rsidRPr="004542B5">
        <w:rPr>
          <w:i/>
          <w:iCs/>
          <w:noProof w:val="0"/>
          <w:lang w:val="en-US"/>
        </w:rPr>
        <w:t>ff</w:t>
      </w:r>
      <w:r w:rsidR="006C69BA" w:rsidRPr="004542B5">
        <w:rPr>
          <w:noProof w:val="0"/>
          <w:lang w:val="en-US"/>
        </w:rPr>
        <w:t>.</w:t>
      </w:r>
      <w:r w:rsidR="007B47B1" w:rsidRPr="004542B5">
        <w:rPr>
          <w:noProof w:val="0"/>
          <w:lang w:val="en-US"/>
        </w:rPr>
        <w:t xml:space="preserve">). </w:t>
      </w:r>
      <w:r w:rsidRPr="004542B5">
        <w:rPr>
          <w:noProof w:val="0"/>
          <w:lang w:val="en-US"/>
        </w:rPr>
        <w:t xml:space="preserve">It was only in </w:t>
      </w:r>
      <w:r w:rsidR="007B47B1" w:rsidRPr="004542B5">
        <w:rPr>
          <w:noProof w:val="0"/>
          <w:lang w:val="en-US"/>
        </w:rPr>
        <w:t>2008</w:t>
      </w:r>
      <w:r w:rsidR="00CD2B90" w:rsidRPr="004542B5">
        <w:rPr>
          <w:noProof w:val="0"/>
          <w:lang w:val="en-US"/>
        </w:rPr>
        <w:t xml:space="preserve"> and </w:t>
      </w:r>
      <w:r w:rsidR="007B47B1" w:rsidRPr="004542B5">
        <w:rPr>
          <w:noProof w:val="0"/>
          <w:lang w:val="en-US"/>
        </w:rPr>
        <w:t>2009,</w:t>
      </w:r>
      <w:r w:rsidR="00CD2B90" w:rsidRPr="004542B5">
        <w:rPr>
          <w:noProof w:val="0"/>
          <w:lang w:val="en-US"/>
        </w:rPr>
        <w:t xml:space="preserve"> and </w:t>
      </w:r>
      <w:r w:rsidRPr="004542B5">
        <w:rPr>
          <w:noProof w:val="0"/>
          <w:lang w:val="en-US"/>
        </w:rPr>
        <w:t>then in</w:t>
      </w:r>
      <w:r w:rsidR="007B47B1" w:rsidRPr="004542B5">
        <w:rPr>
          <w:noProof w:val="0"/>
          <w:lang w:val="en-US"/>
        </w:rPr>
        <w:t xml:space="preserve"> 2011, </w:t>
      </w:r>
      <w:r w:rsidRPr="004542B5">
        <w:rPr>
          <w:noProof w:val="0"/>
          <w:lang w:val="en-US"/>
        </w:rPr>
        <w:t xml:space="preserve">that a </w:t>
      </w:r>
      <w:r w:rsidRPr="004542B5">
        <w:rPr>
          <w:i/>
          <w:iCs/>
          <w:noProof w:val="0"/>
          <w:lang w:val="en-US"/>
        </w:rPr>
        <w:t>corregidor</w:t>
      </w:r>
      <w:r w:rsidRPr="004542B5">
        <w:rPr>
          <w:noProof w:val="0"/>
          <w:lang w:val="en-US"/>
        </w:rPr>
        <w:t xml:space="preserve"> was appointed who </w:t>
      </w:r>
      <w:r w:rsidR="004C1AC4" w:rsidRPr="004542B5">
        <w:rPr>
          <w:noProof w:val="0"/>
          <w:lang w:val="en-US"/>
        </w:rPr>
        <w:t xml:space="preserve">ordered </w:t>
      </w:r>
      <w:r w:rsidRPr="004542B5">
        <w:rPr>
          <w:noProof w:val="0"/>
          <w:lang w:val="en-US"/>
        </w:rPr>
        <w:t xml:space="preserve">the expulsion of </w:t>
      </w:r>
      <w:r w:rsidR="00776FF0" w:rsidRPr="004542B5">
        <w:rPr>
          <w:noProof w:val="0"/>
          <w:lang w:val="en-US"/>
        </w:rPr>
        <w:t>settlers</w:t>
      </w:r>
      <w:r w:rsidR="007B47B1" w:rsidRPr="004542B5">
        <w:rPr>
          <w:noProof w:val="0"/>
          <w:lang w:val="en-US"/>
        </w:rPr>
        <w:t xml:space="preserve"> </w:t>
      </w:r>
      <w:r w:rsidRPr="004542B5">
        <w:rPr>
          <w:noProof w:val="0"/>
          <w:lang w:val="en-US"/>
        </w:rPr>
        <w:t xml:space="preserve">from the lands of </w:t>
      </w:r>
      <w:r w:rsidR="007B47B1" w:rsidRPr="004542B5">
        <w:rPr>
          <w:noProof w:val="0"/>
          <w:lang w:val="en-US"/>
        </w:rPr>
        <w:t xml:space="preserve">Río Piragua </w:t>
      </w:r>
      <w:r w:rsidRPr="004542B5">
        <w:rPr>
          <w:noProof w:val="0"/>
          <w:lang w:val="en-US"/>
        </w:rPr>
        <w:t>i</w:t>
      </w:r>
      <w:r w:rsidR="007B47B1" w:rsidRPr="004542B5">
        <w:rPr>
          <w:noProof w:val="0"/>
          <w:lang w:val="en-US"/>
        </w:rPr>
        <w:t xml:space="preserve">n </w:t>
      </w:r>
      <w:r w:rsidR="004D0B27" w:rsidRPr="004542B5">
        <w:rPr>
          <w:noProof w:val="0"/>
          <w:lang w:val="en-US"/>
        </w:rPr>
        <w:t xml:space="preserve">the </w:t>
      </w:r>
      <w:r w:rsidR="008C4E08" w:rsidRPr="004542B5">
        <w:rPr>
          <w:noProof w:val="0"/>
          <w:lang w:val="en-US"/>
        </w:rPr>
        <w:t xml:space="preserve">Kuna </w:t>
      </w:r>
      <w:r w:rsidR="004D0B27" w:rsidRPr="004542B5">
        <w:rPr>
          <w:noProof w:val="0"/>
          <w:lang w:val="en-US"/>
        </w:rPr>
        <w:t>Comarca</w:t>
      </w:r>
      <w:r w:rsidRPr="004542B5">
        <w:rPr>
          <w:noProof w:val="0"/>
          <w:lang w:val="en-US"/>
        </w:rPr>
        <w:t xml:space="preserve"> </w:t>
      </w:r>
      <w:r w:rsidR="00CD2B90" w:rsidRPr="004542B5">
        <w:rPr>
          <w:noProof w:val="0"/>
          <w:lang w:val="en-US"/>
        </w:rPr>
        <w:t>and</w:t>
      </w:r>
      <w:r w:rsidRPr="004542B5">
        <w:rPr>
          <w:noProof w:val="0"/>
          <w:lang w:val="en-US"/>
        </w:rPr>
        <w:t xml:space="preserve">, on April 5, </w:t>
      </w:r>
      <w:r w:rsidR="007B47B1" w:rsidRPr="004542B5">
        <w:rPr>
          <w:noProof w:val="0"/>
          <w:lang w:val="en-US"/>
        </w:rPr>
        <w:t>2012</w:t>
      </w:r>
      <w:r w:rsidRPr="004542B5">
        <w:rPr>
          <w:noProof w:val="0"/>
          <w:lang w:val="en-US"/>
        </w:rPr>
        <w:t>, decided t</w:t>
      </w:r>
      <w:r w:rsidR="001F0B9C" w:rsidRPr="004542B5">
        <w:rPr>
          <w:noProof w:val="0"/>
          <w:lang w:val="en-US"/>
        </w:rPr>
        <w:t>he “eviction</w:t>
      </w:r>
      <w:r w:rsidR="004C1AC4" w:rsidRPr="004542B5">
        <w:rPr>
          <w:noProof w:val="0"/>
          <w:lang w:val="en-US"/>
        </w:rPr>
        <w:t>, due to intrusion,</w:t>
      </w:r>
      <w:r w:rsidR="001F0B9C" w:rsidRPr="004542B5">
        <w:rPr>
          <w:noProof w:val="0"/>
          <w:lang w:val="en-US"/>
        </w:rPr>
        <w:t xml:space="preserve"> of the persons who are illegally occupying the </w:t>
      </w:r>
      <w:r w:rsidR="004C1AC4" w:rsidRPr="004542B5">
        <w:rPr>
          <w:noProof w:val="0"/>
          <w:lang w:val="en-US"/>
        </w:rPr>
        <w:t>C</w:t>
      </w:r>
      <w:r w:rsidR="001F0B9C" w:rsidRPr="004542B5">
        <w:rPr>
          <w:noProof w:val="0"/>
          <w:lang w:val="en-US"/>
        </w:rPr>
        <w:t>omarca</w:t>
      </w:r>
      <w:r w:rsidR="004C1AC4" w:rsidRPr="004542B5">
        <w:rPr>
          <w:noProof w:val="0"/>
          <w:lang w:val="en-US"/>
        </w:rPr>
        <w:t>’s lands</w:t>
      </w:r>
      <w:r w:rsidR="001F0B9C" w:rsidRPr="004542B5">
        <w:rPr>
          <w:noProof w:val="0"/>
          <w:lang w:val="en-US"/>
        </w:rPr>
        <w:t xml:space="preserve"> in the </w:t>
      </w:r>
      <w:r w:rsidR="007B47B1" w:rsidRPr="004542B5">
        <w:rPr>
          <w:noProof w:val="0"/>
          <w:lang w:val="en-US"/>
        </w:rPr>
        <w:t>Lago, Río Piragua, Río Bote, Wacuco</w:t>
      </w:r>
      <w:r w:rsidR="001F0B9C" w:rsidRPr="004542B5">
        <w:rPr>
          <w:noProof w:val="0"/>
          <w:lang w:val="en-US"/>
        </w:rPr>
        <w:t xml:space="preserve"> and</w:t>
      </w:r>
      <w:r w:rsidR="007B47B1" w:rsidRPr="004542B5">
        <w:rPr>
          <w:noProof w:val="0"/>
          <w:lang w:val="en-US"/>
        </w:rPr>
        <w:t xml:space="preserve"> Tortí</w:t>
      </w:r>
      <w:r w:rsidR="001F0B9C" w:rsidRPr="004542B5">
        <w:rPr>
          <w:noProof w:val="0"/>
          <w:lang w:val="en-US"/>
        </w:rPr>
        <w:t xml:space="preserve"> sector and any other site of the </w:t>
      </w:r>
      <w:r w:rsidR="00045DC1" w:rsidRPr="004542B5">
        <w:rPr>
          <w:noProof w:val="0"/>
          <w:lang w:val="en-US"/>
        </w:rPr>
        <w:t>Kuna Comarca of</w:t>
      </w:r>
      <w:r w:rsidR="007B47B1" w:rsidRPr="004542B5">
        <w:rPr>
          <w:noProof w:val="0"/>
          <w:lang w:val="en-US"/>
        </w:rPr>
        <w:t xml:space="preserve"> Madungandí” (</w:t>
      </w:r>
      <w:r w:rsidR="007B47B1" w:rsidRPr="004542B5">
        <w:rPr>
          <w:i/>
          <w:noProof w:val="0"/>
          <w:lang w:val="en-US"/>
        </w:rPr>
        <w:t>supra</w:t>
      </w:r>
      <w:r w:rsidR="007B47B1" w:rsidRPr="004542B5">
        <w:rPr>
          <w:noProof w:val="0"/>
          <w:lang w:val="en-US"/>
        </w:rPr>
        <w:t xml:space="preserve"> </w:t>
      </w:r>
      <w:r w:rsidR="00F66B76" w:rsidRPr="004542B5">
        <w:rPr>
          <w:noProof w:val="0"/>
          <w:lang w:val="en-US"/>
        </w:rPr>
        <w:t>paras.</w:t>
      </w:r>
      <w:r w:rsidR="007B47B1" w:rsidRPr="004542B5">
        <w:rPr>
          <w:noProof w:val="0"/>
          <w:lang w:val="en-US"/>
        </w:rPr>
        <w:t xml:space="preserve"> </w:t>
      </w:r>
      <w:r w:rsidR="006C69BA" w:rsidRPr="004542B5">
        <w:rPr>
          <w:noProof w:val="0"/>
          <w:lang w:val="en-US"/>
        </w:rPr>
        <w:t>90</w:t>
      </w:r>
      <w:r w:rsidR="00CD2B90" w:rsidRPr="004542B5">
        <w:rPr>
          <w:noProof w:val="0"/>
          <w:lang w:val="en-US"/>
        </w:rPr>
        <w:t xml:space="preserve"> and </w:t>
      </w:r>
      <w:r w:rsidR="001F0B9C" w:rsidRPr="004542B5">
        <w:rPr>
          <w:i/>
          <w:iCs/>
          <w:noProof w:val="0"/>
          <w:lang w:val="en-US"/>
        </w:rPr>
        <w:t>ff</w:t>
      </w:r>
      <w:r w:rsidR="006C69BA" w:rsidRPr="004542B5">
        <w:rPr>
          <w:noProof w:val="0"/>
          <w:lang w:val="en-US"/>
        </w:rPr>
        <w:t>.</w:t>
      </w:r>
      <w:r w:rsidR="007B47B1" w:rsidRPr="004542B5">
        <w:rPr>
          <w:noProof w:val="0"/>
          <w:lang w:val="en-US"/>
        </w:rPr>
        <w:t xml:space="preserve">). </w:t>
      </w:r>
    </w:p>
    <w:p w14:paraId="73663C55" w14:textId="224A947B" w:rsidR="006E16F8" w:rsidRPr="004542B5" w:rsidRDefault="00B664AA" w:rsidP="00767D7E">
      <w:pPr>
        <w:pStyle w:val="ListParagraph"/>
        <w:numPr>
          <w:ilvl w:val="0"/>
          <w:numId w:val="2"/>
        </w:numPr>
        <w:spacing w:before="120" w:after="120"/>
        <w:contextualSpacing w:val="0"/>
        <w:rPr>
          <w:rFonts w:cs="Times New Roman"/>
          <w:noProof w:val="0"/>
          <w:lang w:val="en-US"/>
        </w:rPr>
      </w:pPr>
      <w:r w:rsidRPr="004542B5">
        <w:rPr>
          <w:noProof w:val="0"/>
          <w:lang w:val="en-US"/>
        </w:rPr>
        <w:t>In the case of</w:t>
      </w:r>
      <w:r w:rsidR="001F0B9C" w:rsidRPr="004542B5">
        <w:rPr>
          <w:noProof w:val="0"/>
          <w:lang w:val="en-US"/>
        </w:rPr>
        <w:t xml:space="preserve"> the </w:t>
      </w:r>
      <w:r w:rsidR="000377AA" w:rsidRPr="004542B5">
        <w:rPr>
          <w:noProof w:val="0"/>
          <w:lang w:val="en-US"/>
        </w:rPr>
        <w:t>administrative procedure</w:t>
      </w:r>
      <w:r w:rsidR="001F0B9C" w:rsidRPr="004542B5">
        <w:rPr>
          <w:noProof w:val="0"/>
          <w:lang w:val="en-US"/>
        </w:rPr>
        <w:t xml:space="preserve">s requesting evictions and the criminal proceedings regarding which there is </w:t>
      </w:r>
      <w:r w:rsidRPr="004542B5">
        <w:rPr>
          <w:noProof w:val="0"/>
          <w:lang w:val="en-US"/>
        </w:rPr>
        <w:t xml:space="preserve">no </w:t>
      </w:r>
      <w:r w:rsidR="001F0B9C" w:rsidRPr="004542B5">
        <w:rPr>
          <w:noProof w:val="0"/>
          <w:lang w:val="en-US"/>
        </w:rPr>
        <w:t xml:space="preserve">evidence that a final decision has been </w:t>
      </w:r>
      <w:r w:rsidRPr="004542B5">
        <w:rPr>
          <w:noProof w:val="0"/>
          <w:lang w:val="en-US"/>
        </w:rPr>
        <w:t>delivered</w:t>
      </w:r>
      <w:r w:rsidR="001F0B9C" w:rsidRPr="004542B5">
        <w:rPr>
          <w:noProof w:val="0"/>
          <w:lang w:val="en-US"/>
        </w:rPr>
        <w:t>, the Court reiterates that</w:t>
      </w:r>
      <w:r w:rsidRPr="004542B5">
        <w:rPr>
          <w:noProof w:val="0"/>
          <w:lang w:val="en-US"/>
        </w:rPr>
        <w:t>, in principle,</w:t>
      </w:r>
      <w:r w:rsidR="001F0B9C" w:rsidRPr="004542B5">
        <w:rPr>
          <w:noProof w:val="0"/>
          <w:lang w:val="en-US"/>
        </w:rPr>
        <w:t xml:space="preserve"> the lack of reasonableness in the time taken to conduct an investigation or a proceeding constitutes, in itself, a violation of judicial guarantees. The Court has consistently taken into account four elements to determine whe</w:t>
      </w:r>
      <w:r w:rsidRPr="004542B5">
        <w:rPr>
          <w:noProof w:val="0"/>
          <w:lang w:val="en-US"/>
        </w:rPr>
        <w:t>ther</w:t>
      </w:r>
      <w:r w:rsidR="001F0B9C" w:rsidRPr="004542B5">
        <w:rPr>
          <w:noProof w:val="0"/>
          <w:lang w:val="en-US"/>
        </w:rPr>
        <w:t xml:space="preserve"> the time taken is reasonable: (i) the complexity of the matter; (ii) the procedural activity of the interested party; (iii) the conduct of the judicial authorities, and (iv) the effects on the legal situation of the person involved in the proceedings.</w:t>
      </w:r>
      <w:r w:rsidR="007B47B1" w:rsidRPr="004542B5">
        <w:rPr>
          <w:noProof w:val="0"/>
          <w:vertAlign w:val="superscript"/>
          <w:lang w:val="en-US"/>
        </w:rPr>
        <w:footnoteReference w:id="242"/>
      </w:r>
      <w:r w:rsidR="007B47B1" w:rsidRPr="004542B5">
        <w:rPr>
          <w:noProof w:val="0"/>
          <w:lang w:val="en-US"/>
        </w:rPr>
        <w:t xml:space="preserve"> </w:t>
      </w:r>
      <w:r w:rsidR="00767D7E" w:rsidRPr="004542B5">
        <w:rPr>
          <w:noProof w:val="0"/>
          <w:lang w:val="en-US"/>
        </w:rPr>
        <w:t xml:space="preserve">Regarding the last element, the Court reiterates that, to determine whether the time is reasonable, it is necessary to consider the effects resulting from the duration of the proceedings on the legal situation of the person involved in </w:t>
      </w:r>
      <w:r w:rsidRPr="004542B5">
        <w:rPr>
          <w:noProof w:val="0"/>
          <w:lang w:val="en-US"/>
        </w:rPr>
        <w:t>them</w:t>
      </w:r>
      <w:r w:rsidR="00767D7E" w:rsidRPr="004542B5">
        <w:rPr>
          <w:noProof w:val="0"/>
          <w:lang w:val="en-US"/>
        </w:rPr>
        <w:t>,</w:t>
      </w:r>
      <w:r w:rsidR="007B47B1" w:rsidRPr="004542B5">
        <w:rPr>
          <w:rStyle w:val="FootnoteReference"/>
          <w:noProof w:val="0"/>
          <w:lang w:val="en-US"/>
        </w:rPr>
        <w:footnoteReference w:id="243"/>
      </w:r>
      <w:r w:rsidR="00767D7E" w:rsidRPr="004542B5">
        <w:rPr>
          <w:noProof w:val="0"/>
          <w:lang w:val="en-US"/>
        </w:rPr>
        <w:t xml:space="preserve"> </w:t>
      </w:r>
      <w:r w:rsidRPr="004542B5">
        <w:rPr>
          <w:noProof w:val="0"/>
          <w:lang w:val="en-US"/>
        </w:rPr>
        <w:t xml:space="preserve">bearing in mind, </w:t>
      </w:r>
      <w:r w:rsidR="00767D7E" w:rsidRPr="004542B5">
        <w:rPr>
          <w:noProof w:val="0"/>
          <w:lang w:val="en-US"/>
        </w:rPr>
        <w:t>among other aspects, the matter in dispute.</w:t>
      </w:r>
      <w:bookmarkStart w:id="250" w:name="_Ref200079653"/>
      <w:r w:rsidR="007B47B1" w:rsidRPr="004542B5">
        <w:rPr>
          <w:rStyle w:val="FootnoteReference"/>
          <w:noProof w:val="0"/>
          <w:lang w:val="en-US"/>
        </w:rPr>
        <w:footnoteReference w:id="244"/>
      </w:r>
      <w:bookmarkEnd w:id="250"/>
      <w:r w:rsidR="007B47B1" w:rsidRPr="004542B5">
        <w:rPr>
          <w:noProof w:val="0"/>
          <w:lang w:val="en-US"/>
        </w:rPr>
        <w:t xml:space="preserve"> </w:t>
      </w:r>
      <w:r w:rsidR="00767D7E" w:rsidRPr="004542B5">
        <w:rPr>
          <w:noProof w:val="0"/>
          <w:lang w:val="en-US"/>
        </w:rPr>
        <w:t xml:space="preserve">Thus, the Court has established that if the passage of time has a relevant impact on the legal situation of the individual, the proceedings </w:t>
      </w:r>
      <w:r w:rsidRPr="004542B5">
        <w:rPr>
          <w:noProof w:val="0"/>
          <w:lang w:val="en-US"/>
        </w:rPr>
        <w:t>must be</w:t>
      </w:r>
      <w:r w:rsidR="00767D7E" w:rsidRPr="004542B5">
        <w:rPr>
          <w:noProof w:val="0"/>
          <w:lang w:val="en-US"/>
        </w:rPr>
        <w:t xml:space="preserve"> conducted more diligently in order to decide the case as promptly as possible.</w:t>
      </w:r>
      <w:r w:rsidR="007B47B1" w:rsidRPr="004542B5">
        <w:rPr>
          <w:rStyle w:val="FootnoteReference"/>
          <w:noProof w:val="0"/>
          <w:lang w:val="en-US"/>
        </w:rPr>
        <w:footnoteReference w:id="245"/>
      </w:r>
    </w:p>
    <w:p w14:paraId="1E309C6D" w14:textId="28BF36B0" w:rsidR="00767D7E" w:rsidRPr="004542B5" w:rsidRDefault="00767D7E" w:rsidP="00E01664">
      <w:pPr>
        <w:pStyle w:val="ListParagraph"/>
        <w:numPr>
          <w:ilvl w:val="0"/>
          <w:numId w:val="2"/>
        </w:numPr>
        <w:spacing w:before="120" w:after="120"/>
        <w:contextualSpacing w:val="0"/>
        <w:rPr>
          <w:noProof w:val="0"/>
          <w:lang w:val="en-US"/>
        </w:rPr>
      </w:pPr>
      <w:r w:rsidRPr="004542B5">
        <w:rPr>
          <w:noProof w:val="0"/>
          <w:lang w:val="en-US"/>
        </w:rPr>
        <w:t>With regard to the first element, the Court notes that the proceedings described above did not involve legal aspects or discussions that could justify a delay of several years owing to the complexity of the matter. Regarding the activity of the interested parties, the Court has no evidence to find that they failed to expedite the proceedings or obstructed their development.</w:t>
      </w:r>
    </w:p>
    <w:p w14:paraId="72F8C884" w14:textId="2DAFC914" w:rsidR="00767D7E" w:rsidRPr="004542B5" w:rsidRDefault="00342385" w:rsidP="00E01664">
      <w:pPr>
        <w:pStyle w:val="ListParagraph"/>
        <w:numPr>
          <w:ilvl w:val="0"/>
          <w:numId w:val="2"/>
        </w:numPr>
        <w:spacing w:before="120" w:after="120"/>
        <w:contextualSpacing w:val="0"/>
        <w:rPr>
          <w:noProof w:val="0"/>
          <w:lang w:val="en-US"/>
        </w:rPr>
      </w:pPr>
      <w:r w:rsidRPr="004542B5">
        <w:rPr>
          <w:noProof w:val="0"/>
          <w:lang w:val="en-US"/>
        </w:rPr>
        <w:t>In relation to</w:t>
      </w:r>
      <w:r w:rsidR="007B47B1" w:rsidRPr="004542B5">
        <w:rPr>
          <w:noProof w:val="0"/>
          <w:lang w:val="en-US"/>
        </w:rPr>
        <w:t xml:space="preserve"> </w:t>
      </w:r>
      <w:r w:rsidR="00767D7E" w:rsidRPr="004542B5">
        <w:rPr>
          <w:noProof w:val="0"/>
          <w:lang w:val="en-US"/>
        </w:rPr>
        <w:t xml:space="preserve">the conduct </w:t>
      </w:r>
      <w:r w:rsidR="00E15EC0" w:rsidRPr="004542B5">
        <w:rPr>
          <w:noProof w:val="0"/>
          <w:lang w:val="en-US"/>
        </w:rPr>
        <w:t>of the authorities</w:t>
      </w:r>
      <w:r w:rsidR="007B47B1" w:rsidRPr="004542B5">
        <w:rPr>
          <w:noProof w:val="0"/>
          <w:lang w:val="en-US"/>
        </w:rPr>
        <w:t xml:space="preserve"> </w:t>
      </w:r>
      <w:r w:rsidR="00767D7E" w:rsidRPr="004542B5">
        <w:rPr>
          <w:noProof w:val="0"/>
          <w:lang w:val="en-US"/>
        </w:rPr>
        <w:t xml:space="preserve">in the </w:t>
      </w:r>
      <w:r w:rsidR="000377AA" w:rsidRPr="004542B5">
        <w:rPr>
          <w:noProof w:val="0"/>
          <w:lang w:val="en-US"/>
        </w:rPr>
        <w:t>administrative procedure</w:t>
      </w:r>
      <w:r w:rsidR="00767D7E" w:rsidRPr="004542B5">
        <w:rPr>
          <w:noProof w:val="0"/>
          <w:lang w:val="en-US"/>
        </w:rPr>
        <w:t xml:space="preserve"> on the eviction request, the body of evidence reveals that they </w:t>
      </w:r>
      <w:r w:rsidR="00B664AA" w:rsidRPr="004542B5">
        <w:rPr>
          <w:noProof w:val="0"/>
          <w:lang w:val="en-US"/>
        </w:rPr>
        <w:t>failed to</w:t>
      </w:r>
      <w:r w:rsidR="00767D7E" w:rsidRPr="004542B5">
        <w:rPr>
          <w:noProof w:val="0"/>
          <w:lang w:val="en-US"/>
        </w:rPr>
        <w:t xml:space="preserve"> conduct investigative and procedural activities promptly and diligently. To the contrary, </w:t>
      </w:r>
      <w:r w:rsidR="00B664AA" w:rsidRPr="004542B5">
        <w:rPr>
          <w:noProof w:val="0"/>
          <w:lang w:val="en-US"/>
        </w:rPr>
        <w:t>an</w:t>
      </w:r>
      <w:r w:rsidR="00767D7E" w:rsidRPr="004542B5">
        <w:rPr>
          <w:noProof w:val="0"/>
          <w:lang w:val="en-US"/>
        </w:rPr>
        <w:t xml:space="preserve"> analysis of these proceedings reveals that, for approximately six years following the filing of the request, the state authorities </w:t>
      </w:r>
      <w:r w:rsidR="00B664AA" w:rsidRPr="004542B5">
        <w:rPr>
          <w:noProof w:val="0"/>
          <w:lang w:val="en-US"/>
        </w:rPr>
        <w:t xml:space="preserve">with competence </w:t>
      </w:r>
      <w:r w:rsidR="00767D7E" w:rsidRPr="004542B5">
        <w:rPr>
          <w:noProof w:val="0"/>
          <w:lang w:val="en-US"/>
        </w:rPr>
        <w:t xml:space="preserve">to hear it had not been defined or appointed and, therefore, at those stages it was not possible to order the evictions requested by the </w:t>
      </w:r>
      <w:r w:rsidR="006110CB" w:rsidRPr="004542B5">
        <w:rPr>
          <w:noProof w:val="0"/>
          <w:lang w:val="en-US"/>
        </w:rPr>
        <w:t>petitioners</w:t>
      </w:r>
      <w:r w:rsidR="00767D7E" w:rsidRPr="004542B5">
        <w:rPr>
          <w:noProof w:val="0"/>
          <w:lang w:val="en-US"/>
        </w:rPr>
        <w:t>.</w:t>
      </w:r>
    </w:p>
    <w:p w14:paraId="09628649" w14:textId="618AA0C5" w:rsidR="00E31E65" w:rsidRPr="004542B5" w:rsidRDefault="00E31E65" w:rsidP="00E31E65">
      <w:pPr>
        <w:pStyle w:val="ListParagraph"/>
        <w:numPr>
          <w:ilvl w:val="0"/>
          <w:numId w:val="2"/>
        </w:numPr>
        <w:spacing w:before="120" w:after="120"/>
        <w:contextualSpacing w:val="0"/>
        <w:rPr>
          <w:noProof w:val="0"/>
          <w:lang w:val="en-US"/>
        </w:rPr>
      </w:pPr>
      <w:r w:rsidRPr="004542B5">
        <w:rPr>
          <w:noProof w:val="0"/>
          <w:lang w:val="en-US"/>
        </w:rPr>
        <w:t>Regarding</w:t>
      </w:r>
      <w:r w:rsidR="007B47B1" w:rsidRPr="004542B5">
        <w:rPr>
          <w:noProof w:val="0"/>
          <w:lang w:val="en-US"/>
        </w:rPr>
        <w:t xml:space="preserve"> </w:t>
      </w:r>
      <w:r w:rsidRPr="004542B5">
        <w:rPr>
          <w:noProof w:val="0"/>
          <w:lang w:val="en-US"/>
        </w:rPr>
        <w:t xml:space="preserve">the conduct </w:t>
      </w:r>
      <w:r w:rsidR="00E15EC0" w:rsidRPr="004542B5">
        <w:rPr>
          <w:noProof w:val="0"/>
          <w:lang w:val="en-US"/>
        </w:rPr>
        <w:t>of the authorities</w:t>
      </w:r>
      <w:r w:rsidR="007B47B1" w:rsidRPr="004542B5">
        <w:rPr>
          <w:noProof w:val="0"/>
          <w:lang w:val="en-US"/>
        </w:rPr>
        <w:t xml:space="preserve"> </w:t>
      </w:r>
      <w:r w:rsidRPr="004542B5">
        <w:rPr>
          <w:noProof w:val="0"/>
          <w:lang w:val="en-US"/>
        </w:rPr>
        <w:t xml:space="preserve">in the context of the three previously mentioned criminal proceedings </w:t>
      </w:r>
      <w:r w:rsidR="007B47B1" w:rsidRPr="004542B5">
        <w:rPr>
          <w:noProof w:val="0"/>
          <w:lang w:val="en-US"/>
        </w:rPr>
        <w:t>(</w:t>
      </w:r>
      <w:r w:rsidR="007B47B1" w:rsidRPr="004542B5">
        <w:rPr>
          <w:i/>
          <w:noProof w:val="0"/>
          <w:lang w:val="en-US"/>
        </w:rPr>
        <w:t>supra</w:t>
      </w:r>
      <w:r w:rsidR="007B47B1" w:rsidRPr="004542B5">
        <w:rPr>
          <w:noProof w:val="0"/>
          <w:lang w:val="en-US"/>
        </w:rPr>
        <w:t xml:space="preserve"> </w:t>
      </w:r>
      <w:r w:rsidR="00F66B76" w:rsidRPr="004542B5">
        <w:rPr>
          <w:noProof w:val="0"/>
          <w:lang w:val="en-US"/>
        </w:rPr>
        <w:t>para.</w:t>
      </w:r>
      <w:r w:rsidR="007B47B1" w:rsidRPr="004542B5">
        <w:rPr>
          <w:noProof w:val="0"/>
          <w:lang w:val="en-US"/>
        </w:rPr>
        <w:t xml:space="preserve"> </w:t>
      </w:r>
      <w:r w:rsidR="00E93920" w:rsidRPr="004542B5">
        <w:rPr>
          <w:noProof w:val="0"/>
          <w:lang w:val="en-US"/>
        </w:rPr>
        <w:t>177</w:t>
      </w:r>
      <w:r w:rsidR="007B47B1" w:rsidRPr="004542B5">
        <w:rPr>
          <w:noProof w:val="0"/>
          <w:lang w:val="en-US"/>
        </w:rPr>
        <w:t xml:space="preserve">), </w:t>
      </w:r>
      <w:r w:rsidRPr="004542B5">
        <w:rPr>
          <w:noProof w:val="0"/>
          <w:lang w:val="en-US"/>
        </w:rPr>
        <w:t xml:space="preserve">this Court </w:t>
      </w:r>
      <w:r w:rsidR="00B664AA" w:rsidRPr="004542B5">
        <w:rPr>
          <w:noProof w:val="0"/>
          <w:lang w:val="en-US"/>
        </w:rPr>
        <w:t>finds</w:t>
      </w:r>
      <w:r w:rsidRPr="004542B5">
        <w:rPr>
          <w:noProof w:val="0"/>
          <w:lang w:val="en-US"/>
        </w:rPr>
        <w:t xml:space="preserve"> that the investigations were opened and some procedures conducted; nevertheless, there is no record that</w:t>
      </w:r>
      <w:r w:rsidR="00B664AA" w:rsidRPr="004542B5">
        <w:rPr>
          <w:noProof w:val="0"/>
          <w:lang w:val="en-US"/>
        </w:rPr>
        <w:t xml:space="preserve">, </w:t>
      </w:r>
      <w:r w:rsidRPr="004542B5">
        <w:rPr>
          <w:noProof w:val="0"/>
          <w:lang w:val="en-US"/>
        </w:rPr>
        <w:t>to date, 3, 6 and 7 years</w:t>
      </w:r>
      <w:r w:rsidR="00B664AA" w:rsidRPr="004542B5">
        <w:rPr>
          <w:noProof w:val="0"/>
          <w:lang w:val="en-US"/>
        </w:rPr>
        <w:t xml:space="preserve"> </w:t>
      </w:r>
      <w:r w:rsidRPr="004542B5">
        <w:rPr>
          <w:noProof w:val="0"/>
          <w:lang w:val="en-US"/>
        </w:rPr>
        <w:t xml:space="preserve">from the time the complaints were filed, they have culminated in final decisions by the </w:t>
      </w:r>
      <w:r w:rsidR="00B664AA" w:rsidRPr="004542B5">
        <w:rPr>
          <w:noProof w:val="0"/>
          <w:lang w:val="en-US"/>
        </w:rPr>
        <w:t xml:space="preserve">courts </w:t>
      </w:r>
      <w:r w:rsidRPr="004542B5">
        <w:rPr>
          <w:noProof w:val="0"/>
          <w:lang w:val="en-US"/>
        </w:rPr>
        <w:t>or the organs conducting the investigations.</w:t>
      </w:r>
    </w:p>
    <w:p w14:paraId="5BE0C4D3" w14:textId="3E55A30C" w:rsidR="006E16F8" w:rsidRPr="004542B5" w:rsidRDefault="00E31E65" w:rsidP="00E01664">
      <w:pPr>
        <w:pStyle w:val="ListParagraph"/>
        <w:numPr>
          <w:ilvl w:val="0"/>
          <w:numId w:val="2"/>
        </w:numPr>
        <w:spacing w:before="120" w:after="120"/>
        <w:contextualSpacing w:val="0"/>
        <w:rPr>
          <w:noProof w:val="0"/>
          <w:lang w:val="en-US"/>
        </w:rPr>
      </w:pPr>
      <w:r w:rsidRPr="004542B5">
        <w:rPr>
          <w:noProof w:val="0"/>
          <w:lang w:val="en-US"/>
        </w:rPr>
        <w:t xml:space="preserve">Lastly, the Court has insufficient evidence in this case to analyze the impact of the delay in the said criminal proceedings or the proceeding to obtain a decision on the </w:t>
      </w:r>
      <w:r w:rsidR="00B664AA" w:rsidRPr="004542B5">
        <w:rPr>
          <w:noProof w:val="0"/>
          <w:lang w:val="en-US"/>
        </w:rPr>
        <w:t>request</w:t>
      </w:r>
      <w:r w:rsidRPr="004542B5">
        <w:rPr>
          <w:noProof w:val="0"/>
          <w:lang w:val="en-US"/>
        </w:rPr>
        <w:t xml:space="preserve">s to evict the occupants and/or invaders of the territories of the communities and its consequences on the assessment of a reasonable time. </w:t>
      </w:r>
      <w:r w:rsidR="00B664AA" w:rsidRPr="004542B5">
        <w:rPr>
          <w:noProof w:val="0"/>
          <w:lang w:val="en-US"/>
        </w:rPr>
        <w:t>Moreover</w:t>
      </w:r>
      <w:r w:rsidRPr="004542B5">
        <w:rPr>
          <w:noProof w:val="0"/>
          <w:lang w:val="en-US"/>
        </w:rPr>
        <w:t>, no evidence was submitted to explain why special promptness should have been accorded to these proceedings.</w:t>
      </w:r>
      <w:r w:rsidR="00E93920" w:rsidRPr="004542B5">
        <w:rPr>
          <w:noProof w:val="0"/>
          <w:lang w:val="en-US"/>
        </w:rPr>
        <w:t xml:space="preserve"> </w:t>
      </w:r>
    </w:p>
    <w:p w14:paraId="58EBBB8D" w14:textId="213CF93F" w:rsidR="003E2B49" w:rsidRPr="004542B5" w:rsidRDefault="007B47B1" w:rsidP="00E31E65">
      <w:pPr>
        <w:pStyle w:val="ListParagraph"/>
        <w:numPr>
          <w:ilvl w:val="0"/>
          <w:numId w:val="2"/>
        </w:numPr>
        <w:spacing w:before="120" w:after="120"/>
        <w:contextualSpacing w:val="0"/>
        <w:rPr>
          <w:b/>
          <w:smallCaps/>
          <w:noProof w:val="0"/>
          <w:lang w:val="en-US"/>
        </w:rPr>
      </w:pPr>
      <w:r w:rsidRPr="004542B5">
        <w:rPr>
          <w:noProof w:val="0"/>
          <w:lang w:val="en-US"/>
        </w:rPr>
        <w:lastRenderedPageBreak/>
        <w:t>Conse</w:t>
      </w:r>
      <w:r w:rsidR="00E31E65" w:rsidRPr="004542B5">
        <w:rPr>
          <w:noProof w:val="0"/>
          <w:lang w:val="en-US"/>
        </w:rPr>
        <w:t xml:space="preserve">quently, the Court concludes that the duration of the criminal proceedings: (i) for the offense of </w:t>
      </w:r>
      <w:r w:rsidR="000377AA" w:rsidRPr="004542B5">
        <w:rPr>
          <w:rFonts w:cs="Tahoma"/>
          <w:iCs/>
          <w:noProof w:val="0"/>
          <w:szCs w:val="20"/>
          <w:lang w:val="en-US"/>
        </w:rPr>
        <w:t>criminal association, usurpation, damage to property, illicit enrichment, e</w:t>
      </w:r>
      <w:r w:rsidR="00B664AA" w:rsidRPr="004542B5">
        <w:rPr>
          <w:rFonts w:cs="Tahoma"/>
          <w:iCs/>
          <w:noProof w:val="0"/>
          <w:szCs w:val="20"/>
          <w:lang w:val="en-US"/>
        </w:rPr>
        <w:t>nvironmental</w:t>
      </w:r>
      <w:r w:rsidR="000377AA" w:rsidRPr="004542B5">
        <w:rPr>
          <w:rFonts w:cs="Tahoma"/>
          <w:iCs/>
          <w:noProof w:val="0"/>
          <w:szCs w:val="20"/>
          <w:lang w:val="en-US"/>
        </w:rPr>
        <w:t xml:space="preserve"> and other related offenses, and (ii) for offenses against the environment before the XI Prosecutor </w:t>
      </w:r>
      <w:r w:rsidR="000377AA" w:rsidRPr="004542B5">
        <w:rPr>
          <w:noProof w:val="0"/>
          <w:lang w:val="en-US"/>
        </w:rPr>
        <w:t xml:space="preserve">of the First Judicial Circuit for which no final decision has been issued after approximately 6 and 7 years, respectively, is not compatible with the principle of a reasonable time established in </w:t>
      </w:r>
      <w:r w:rsidR="00562CBB" w:rsidRPr="004542B5">
        <w:rPr>
          <w:rFonts w:cs="Verdana"/>
          <w:noProof w:val="0"/>
          <w:lang w:val="en-US"/>
        </w:rPr>
        <w:t>Article</w:t>
      </w:r>
      <w:r w:rsidRPr="004542B5">
        <w:rPr>
          <w:rFonts w:cs="Verdana"/>
          <w:noProof w:val="0"/>
          <w:lang w:val="en-US"/>
        </w:rPr>
        <w:t xml:space="preserve"> </w:t>
      </w:r>
      <w:r w:rsidR="00DE6766" w:rsidRPr="004542B5">
        <w:rPr>
          <w:rFonts w:cs="Verdana"/>
          <w:noProof w:val="0"/>
          <w:lang w:val="en-US"/>
        </w:rPr>
        <w:t>8(1)</w:t>
      </w:r>
      <w:r w:rsidR="008A56D7" w:rsidRPr="004542B5">
        <w:rPr>
          <w:rFonts w:cs="Verdana"/>
          <w:noProof w:val="0"/>
          <w:lang w:val="en-US"/>
        </w:rPr>
        <w:t xml:space="preserve"> of the </w:t>
      </w:r>
      <w:r w:rsidR="00562CBB" w:rsidRPr="004542B5">
        <w:rPr>
          <w:rFonts w:cs="Verdana"/>
          <w:noProof w:val="0"/>
          <w:lang w:val="en-US"/>
        </w:rPr>
        <w:t>American Convention</w:t>
      </w:r>
      <w:r w:rsidRPr="004542B5">
        <w:rPr>
          <w:rFonts w:cs="Verdana"/>
          <w:noProof w:val="0"/>
          <w:lang w:val="en-US"/>
        </w:rPr>
        <w:t xml:space="preserve">. </w:t>
      </w:r>
      <w:r w:rsidR="000377AA" w:rsidRPr="004542B5">
        <w:rPr>
          <w:rFonts w:cs="Verdana"/>
          <w:noProof w:val="0"/>
          <w:lang w:val="en-US"/>
        </w:rPr>
        <w:t xml:space="preserve">Lastly, regarding the duration of the administrative procedure on eviction, the Court concludes that the duration of </w:t>
      </w:r>
      <w:r w:rsidR="006110CB" w:rsidRPr="004542B5">
        <w:rPr>
          <w:rFonts w:cs="Verdana"/>
          <w:noProof w:val="0"/>
          <w:lang w:val="en-US"/>
        </w:rPr>
        <w:t>approximately</w:t>
      </w:r>
      <w:r w:rsidR="000377AA" w:rsidRPr="004542B5">
        <w:rPr>
          <w:rFonts w:cs="Verdana"/>
          <w:noProof w:val="0"/>
          <w:lang w:val="en-US"/>
        </w:rPr>
        <w:t xml:space="preserve"> 10 years since the complaint was filed until the eviction order issued in 2012 is </w:t>
      </w:r>
      <w:r w:rsidR="000377AA" w:rsidRPr="004542B5">
        <w:rPr>
          <w:noProof w:val="0"/>
          <w:lang w:val="en-US"/>
        </w:rPr>
        <w:t xml:space="preserve">not compatible with the principle of a reasonable time established in </w:t>
      </w:r>
      <w:r w:rsidR="000377AA" w:rsidRPr="004542B5">
        <w:rPr>
          <w:rFonts w:cs="Verdana"/>
          <w:noProof w:val="0"/>
          <w:lang w:val="en-US"/>
        </w:rPr>
        <w:t>Article 8(1) of the American Convention</w:t>
      </w:r>
      <w:r w:rsidRPr="004542B5">
        <w:rPr>
          <w:rFonts w:cs="Verdana"/>
          <w:noProof w:val="0"/>
          <w:lang w:val="en-US"/>
        </w:rPr>
        <w:t xml:space="preserve">. </w:t>
      </w:r>
    </w:p>
    <w:p w14:paraId="6686F573" w14:textId="3881FD4D" w:rsidR="003E2B49" w:rsidRPr="004542B5" w:rsidRDefault="000377AA" w:rsidP="00E01664">
      <w:pPr>
        <w:pStyle w:val="ListParagraph"/>
        <w:numPr>
          <w:ilvl w:val="0"/>
          <w:numId w:val="2"/>
        </w:numPr>
        <w:spacing w:before="120" w:after="120"/>
        <w:contextualSpacing w:val="0"/>
        <w:rPr>
          <w:b/>
          <w:smallCaps/>
          <w:noProof w:val="0"/>
          <w:lang w:val="en-US"/>
        </w:rPr>
      </w:pPr>
      <w:r w:rsidRPr="004542B5">
        <w:rPr>
          <w:rFonts w:cs="Verdana"/>
          <w:noProof w:val="0"/>
          <w:lang w:val="en-US"/>
        </w:rPr>
        <w:t xml:space="preserve">Regarding the duration of three years in the criminal proceedings filed </w:t>
      </w:r>
      <w:r w:rsidR="00443079" w:rsidRPr="004542B5">
        <w:rPr>
          <w:rFonts w:cs="Verdana"/>
          <w:noProof w:val="0"/>
          <w:lang w:val="en-US"/>
        </w:rPr>
        <w:t>with</w:t>
      </w:r>
      <w:r w:rsidRPr="004542B5">
        <w:rPr>
          <w:rFonts w:cs="Verdana"/>
          <w:noProof w:val="0"/>
          <w:lang w:val="en-US"/>
        </w:rPr>
        <w:t xml:space="preserve"> the Judicial Investigation Subdirectorate of</w:t>
      </w:r>
      <w:r w:rsidR="007B47B1" w:rsidRPr="004542B5">
        <w:rPr>
          <w:noProof w:val="0"/>
          <w:lang w:val="en-US"/>
        </w:rPr>
        <w:t xml:space="preserve"> Chepo </w:t>
      </w:r>
      <w:r w:rsidRPr="004542B5">
        <w:rPr>
          <w:noProof w:val="0"/>
          <w:lang w:val="en-US"/>
        </w:rPr>
        <w:t xml:space="preserve">on </w:t>
      </w:r>
      <w:r w:rsidR="006110CB" w:rsidRPr="004542B5">
        <w:rPr>
          <w:noProof w:val="0"/>
          <w:lang w:val="en-US"/>
        </w:rPr>
        <w:t>August</w:t>
      </w:r>
      <w:r w:rsidRPr="004542B5">
        <w:rPr>
          <w:noProof w:val="0"/>
          <w:lang w:val="en-US"/>
        </w:rPr>
        <w:t xml:space="preserve"> 16,</w:t>
      </w:r>
      <w:r w:rsidR="007B47B1" w:rsidRPr="004542B5">
        <w:rPr>
          <w:noProof w:val="0"/>
          <w:lang w:val="en-US"/>
        </w:rPr>
        <w:t xml:space="preserve"> 2011, </w:t>
      </w:r>
      <w:r w:rsidR="00562CBB" w:rsidRPr="004542B5">
        <w:rPr>
          <w:noProof w:val="0"/>
          <w:lang w:val="en-US"/>
        </w:rPr>
        <w:t>the Court</w:t>
      </w:r>
      <w:r w:rsidR="007B47B1" w:rsidRPr="004542B5">
        <w:rPr>
          <w:noProof w:val="0"/>
          <w:lang w:val="en-US"/>
        </w:rPr>
        <w:t xml:space="preserve"> consider</w:t>
      </w:r>
      <w:r w:rsidRPr="004542B5">
        <w:rPr>
          <w:noProof w:val="0"/>
          <w:lang w:val="en-US"/>
        </w:rPr>
        <w:t xml:space="preserve">s that this is compatible with the principle of a reasonable time established in </w:t>
      </w:r>
      <w:r w:rsidRPr="004542B5">
        <w:rPr>
          <w:rFonts w:cs="Verdana"/>
          <w:noProof w:val="0"/>
          <w:lang w:val="en-US"/>
        </w:rPr>
        <w:t>Article 8(1) of the American Convention</w:t>
      </w:r>
      <w:r w:rsidR="007B47B1" w:rsidRPr="004542B5">
        <w:rPr>
          <w:rFonts w:cs="Verdana"/>
          <w:noProof w:val="0"/>
          <w:lang w:val="en-US"/>
        </w:rPr>
        <w:t>.</w:t>
      </w:r>
    </w:p>
    <w:p w14:paraId="628325D3" w14:textId="35BEF108" w:rsidR="006E16F8" w:rsidRPr="004542B5" w:rsidRDefault="000377AA" w:rsidP="00E01664">
      <w:pPr>
        <w:pStyle w:val="ListParagraph"/>
        <w:numPr>
          <w:ilvl w:val="0"/>
          <w:numId w:val="2"/>
        </w:numPr>
        <w:spacing w:before="120" w:after="120"/>
        <w:contextualSpacing w:val="0"/>
        <w:rPr>
          <w:b/>
          <w:smallCaps/>
          <w:noProof w:val="0"/>
          <w:lang w:val="en-US"/>
        </w:rPr>
      </w:pPr>
      <w:r w:rsidRPr="004542B5">
        <w:rPr>
          <w:rFonts w:cs="Verdana"/>
          <w:noProof w:val="0"/>
          <w:lang w:val="en-US"/>
        </w:rPr>
        <w:t xml:space="preserve">Consequently, the Court finds that the State is responsible for the violation of the right contained in </w:t>
      </w:r>
      <w:r w:rsidR="00562CBB" w:rsidRPr="004542B5">
        <w:rPr>
          <w:noProof w:val="0"/>
          <w:lang w:val="en-US"/>
        </w:rPr>
        <w:t>Article</w:t>
      </w:r>
      <w:r w:rsidR="007B47B1" w:rsidRPr="004542B5">
        <w:rPr>
          <w:noProof w:val="0"/>
          <w:lang w:val="en-US"/>
        </w:rPr>
        <w:t xml:space="preserve"> </w:t>
      </w:r>
      <w:r w:rsidR="00DE6766" w:rsidRPr="004542B5">
        <w:rPr>
          <w:noProof w:val="0"/>
          <w:lang w:val="en-US"/>
        </w:rPr>
        <w:t>8(1)</w:t>
      </w:r>
      <w:r w:rsidR="008A56D7" w:rsidRPr="004542B5">
        <w:rPr>
          <w:noProof w:val="0"/>
          <w:lang w:val="en-US"/>
        </w:rPr>
        <w:t xml:space="preserve"> of the </w:t>
      </w:r>
      <w:r w:rsidR="00562CBB" w:rsidRPr="004542B5">
        <w:rPr>
          <w:noProof w:val="0"/>
          <w:lang w:val="en-US"/>
        </w:rPr>
        <w:t>American Convention</w:t>
      </w:r>
      <w:r w:rsidR="007B47B1" w:rsidRPr="004542B5">
        <w:rPr>
          <w:noProof w:val="0"/>
          <w:lang w:val="en-US"/>
        </w:rPr>
        <w:t xml:space="preserve"> </w:t>
      </w:r>
      <w:r w:rsidR="00F1018C" w:rsidRPr="004542B5">
        <w:rPr>
          <w:noProof w:val="0"/>
          <w:lang w:val="en-US"/>
        </w:rPr>
        <w:t>in relation to Article 1(1)</w:t>
      </w:r>
      <w:r w:rsidR="007B47B1" w:rsidRPr="004542B5">
        <w:rPr>
          <w:noProof w:val="0"/>
          <w:lang w:val="en-US"/>
        </w:rPr>
        <w:t xml:space="preserve"> </w:t>
      </w:r>
      <w:r w:rsidRPr="004542B5">
        <w:rPr>
          <w:noProof w:val="0"/>
          <w:lang w:val="en-US"/>
        </w:rPr>
        <w:t xml:space="preserve">of this instrument </w:t>
      </w:r>
      <w:r w:rsidR="00342385" w:rsidRPr="004542B5">
        <w:rPr>
          <w:noProof w:val="0"/>
          <w:lang w:val="en-US"/>
        </w:rPr>
        <w:t>to the detriment of</w:t>
      </w:r>
      <w:r w:rsidRPr="004542B5">
        <w:rPr>
          <w:noProof w:val="0"/>
          <w:lang w:val="en-US"/>
        </w:rPr>
        <w:t xml:space="preserve"> the</w:t>
      </w:r>
      <w:r w:rsidR="007B47B1" w:rsidRPr="004542B5">
        <w:rPr>
          <w:noProof w:val="0"/>
          <w:lang w:val="en-US"/>
        </w:rPr>
        <w:t xml:space="preserve"> </w:t>
      </w:r>
      <w:r w:rsidR="002D29AE" w:rsidRPr="004542B5">
        <w:rPr>
          <w:noProof w:val="0"/>
          <w:lang w:val="en-US"/>
        </w:rPr>
        <w:t>Kuna people of</w:t>
      </w:r>
      <w:r w:rsidR="007B47B1" w:rsidRPr="004542B5">
        <w:rPr>
          <w:noProof w:val="0"/>
          <w:lang w:val="en-US"/>
        </w:rPr>
        <w:t xml:space="preserve"> </w:t>
      </w:r>
      <w:r w:rsidR="00053C14" w:rsidRPr="004542B5">
        <w:rPr>
          <w:noProof w:val="0"/>
          <w:lang w:val="en-US"/>
        </w:rPr>
        <w:t>Madungandí</w:t>
      </w:r>
      <w:r w:rsidR="00CD2B90" w:rsidRPr="004542B5">
        <w:rPr>
          <w:noProof w:val="0"/>
          <w:lang w:val="en-US"/>
        </w:rPr>
        <w:t xml:space="preserve"> and </w:t>
      </w:r>
      <w:r w:rsidRPr="004542B5">
        <w:rPr>
          <w:noProof w:val="0"/>
          <w:lang w:val="en-US"/>
        </w:rPr>
        <w:t xml:space="preserve">its members in relation to the two criminal proceedings and the administrative procedure to evict illegal occupants described in </w:t>
      </w:r>
      <w:r w:rsidR="00517C7D" w:rsidRPr="004542B5">
        <w:rPr>
          <w:noProof w:val="0"/>
          <w:lang w:val="en-US"/>
        </w:rPr>
        <w:t>paragraphs</w:t>
      </w:r>
      <w:r w:rsidR="007B47B1" w:rsidRPr="004542B5">
        <w:rPr>
          <w:noProof w:val="0"/>
          <w:lang w:val="en-US"/>
        </w:rPr>
        <w:t xml:space="preserve"> </w:t>
      </w:r>
      <w:r w:rsidR="00E93920" w:rsidRPr="004542B5">
        <w:rPr>
          <w:noProof w:val="0"/>
          <w:lang w:val="en-US"/>
        </w:rPr>
        <w:t>97</w:t>
      </w:r>
      <w:r w:rsidR="00CD2B90" w:rsidRPr="004542B5">
        <w:rPr>
          <w:noProof w:val="0"/>
          <w:lang w:val="en-US"/>
        </w:rPr>
        <w:t xml:space="preserve"> and </w:t>
      </w:r>
      <w:r w:rsidR="000A16F8" w:rsidRPr="004542B5">
        <w:rPr>
          <w:noProof w:val="0"/>
          <w:lang w:val="en-US"/>
        </w:rPr>
        <w:t>99</w:t>
      </w:r>
      <w:r w:rsidR="007B47B1" w:rsidRPr="004542B5">
        <w:rPr>
          <w:noProof w:val="0"/>
          <w:lang w:val="en-US"/>
        </w:rPr>
        <w:t>.</w:t>
      </w:r>
    </w:p>
    <w:p w14:paraId="5C4F02D1" w14:textId="4FE73457" w:rsidR="003B7977" w:rsidRPr="004542B5" w:rsidRDefault="00B902E7" w:rsidP="00E01664">
      <w:pPr>
        <w:pStyle w:val="Heading2"/>
        <w:numPr>
          <w:ilvl w:val="0"/>
          <w:numId w:val="44"/>
        </w:numPr>
        <w:rPr>
          <w:noProof w:val="0"/>
          <w:lang w:val="en-US"/>
        </w:rPr>
      </w:pPr>
      <w:bookmarkStart w:id="251" w:name="_Toc45200894"/>
      <w:r w:rsidRPr="004542B5">
        <w:rPr>
          <w:noProof w:val="0"/>
          <w:lang w:val="en-US"/>
        </w:rPr>
        <w:t xml:space="preserve">The alleged lack of adequate and effective proceedings for the protection of indigenous territories </w:t>
      </w:r>
      <w:r w:rsidR="00561841" w:rsidRPr="004542B5">
        <w:rPr>
          <w:noProof w:val="0"/>
          <w:lang w:val="en-US"/>
        </w:rPr>
        <w:t>against third parties</w:t>
      </w:r>
      <w:r w:rsidR="007B47B1" w:rsidRPr="004542B5">
        <w:rPr>
          <w:noProof w:val="0"/>
          <w:lang w:val="en-US"/>
        </w:rPr>
        <w:t xml:space="preserve"> (</w:t>
      </w:r>
      <w:r w:rsidR="00562CBB" w:rsidRPr="004542B5">
        <w:rPr>
          <w:noProof w:val="0"/>
          <w:lang w:val="en-US"/>
        </w:rPr>
        <w:t>Article</w:t>
      </w:r>
      <w:r w:rsidR="007B47B1" w:rsidRPr="004542B5">
        <w:rPr>
          <w:noProof w:val="0"/>
          <w:lang w:val="en-US"/>
        </w:rPr>
        <w:t xml:space="preserve"> 2</w:t>
      </w:r>
      <w:r w:rsidR="008A56D7" w:rsidRPr="004542B5">
        <w:rPr>
          <w:noProof w:val="0"/>
          <w:lang w:val="en-US"/>
        </w:rPr>
        <w:t xml:space="preserve"> of the </w:t>
      </w:r>
      <w:r w:rsidR="00562CBB" w:rsidRPr="004542B5">
        <w:rPr>
          <w:noProof w:val="0"/>
          <w:lang w:val="en-US"/>
        </w:rPr>
        <w:t>Convention</w:t>
      </w:r>
      <w:r w:rsidR="007B47B1" w:rsidRPr="004542B5">
        <w:rPr>
          <w:noProof w:val="0"/>
          <w:lang w:val="en-US"/>
        </w:rPr>
        <w:t>)</w:t>
      </w:r>
      <w:bookmarkEnd w:id="251"/>
    </w:p>
    <w:p w14:paraId="5E2BECBB" w14:textId="2D878447" w:rsidR="00580CE1" w:rsidRPr="004542B5" w:rsidRDefault="007B47B1" w:rsidP="00E01664">
      <w:pPr>
        <w:pStyle w:val="Heading3"/>
        <w:rPr>
          <w:noProof w:val="0"/>
          <w:lang w:val="en-US"/>
        </w:rPr>
      </w:pPr>
      <w:bookmarkStart w:id="252" w:name="_Toc45200895"/>
      <w:r w:rsidRPr="004542B5">
        <w:rPr>
          <w:noProof w:val="0"/>
          <w:lang w:val="en-US"/>
        </w:rPr>
        <w:t>B.1.</w:t>
      </w:r>
      <w:r w:rsidR="00B07C65" w:rsidRPr="004542B5">
        <w:rPr>
          <w:noProof w:val="0"/>
          <w:lang w:val="en-US"/>
        </w:rPr>
        <w:t xml:space="preserve"> </w:t>
      </w:r>
      <w:r w:rsidR="00EC434E" w:rsidRPr="004542B5">
        <w:rPr>
          <w:noProof w:val="0"/>
          <w:lang w:val="en-US"/>
        </w:rPr>
        <w:t>Arguments</w:t>
      </w:r>
      <w:r w:rsidR="008A56D7" w:rsidRPr="004542B5">
        <w:rPr>
          <w:noProof w:val="0"/>
          <w:lang w:val="en-US"/>
        </w:rPr>
        <w:t xml:space="preserve"> of the </w:t>
      </w:r>
      <w:r w:rsidR="00562CBB" w:rsidRPr="004542B5">
        <w:rPr>
          <w:noProof w:val="0"/>
          <w:lang w:val="en-US"/>
        </w:rPr>
        <w:t>Commission</w:t>
      </w:r>
      <w:r w:rsidR="00CD2B90" w:rsidRPr="004542B5">
        <w:rPr>
          <w:noProof w:val="0"/>
          <w:lang w:val="en-US"/>
        </w:rPr>
        <w:t xml:space="preserve"> and </w:t>
      </w:r>
      <w:r w:rsidR="00B902E7" w:rsidRPr="004542B5">
        <w:rPr>
          <w:noProof w:val="0"/>
          <w:lang w:val="en-US"/>
        </w:rPr>
        <w:t>of the parties</w:t>
      </w:r>
      <w:bookmarkEnd w:id="252"/>
    </w:p>
    <w:p w14:paraId="5625B5D9" w14:textId="58998128" w:rsidR="00922EB6" w:rsidRPr="004542B5" w:rsidRDefault="00562CBB" w:rsidP="00E01664">
      <w:pPr>
        <w:pStyle w:val="ListParagraph"/>
        <w:numPr>
          <w:ilvl w:val="0"/>
          <w:numId w:val="2"/>
        </w:numPr>
        <w:spacing w:before="120" w:after="120"/>
        <w:contextualSpacing w:val="0"/>
        <w:rPr>
          <w:rFonts w:cs="Tahoma"/>
          <w:noProof w:val="0"/>
          <w:szCs w:val="20"/>
          <w:lang w:val="en-US"/>
        </w:rPr>
      </w:pPr>
      <w:r w:rsidRPr="004542B5">
        <w:rPr>
          <w:rFonts w:cs="Tahoma"/>
          <w:noProof w:val="0"/>
          <w:szCs w:val="20"/>
          <w:lang w:val="en-US"/>
        </w:rPr>
        <w:t>The Commission</w:t>
      </w:r>
      <w:r w:rsidR="007B47B1" w:rsidRPr="004542B5">
        <w:rPr>
          <w:rFonts w:cs="Tahoma"/>
          <w:noProof w:val="0"/>
          <w:szCs w:val="20"/>
          <w:lang w:val="en-US"/>
        </w:rPr>
        <w:t xml:space="preserve"> </w:t>
      </w:r>
      <w:r w:rsidR="000377AA" w:rsidRPr="004542B5">
        <w:rPr>
          <w:rFonts w:cs="Tahoma"/>
          <w:noProof w:val="0"/>
          <w:szCs w:val="20"/>
          <w:lang w:val="en-US"/>
        </w:rPr>
        <w:t xml:space="preserve">indicated that the proceedings filed by </w:t>
      </w:r>
      <w:r w:rsidR="004D0B27" w:rsidRPr="004542B5">
        <w:rPr>
          <w:rFonts w:cs="Tahoma"/>
          <w:noProof w:val="0"/>
          <w:szCs w:val="20"/>
          <w:lang w:val="en-US"/>
        </w:rPr>
        <w:t xml:space="preserve">the </w:t>
      </w:r>
      <w:r w:rsidR="008C4E08" w:rsidRPr="004542B5">
        <w:rPr>
          <w:rFonts w:cs="Tahoma"/>
          <w:noProof w:val="0"/>
          <w:szCs w:val="20"/>
          <w:lang w:val="en-US"/>
        </w:rPr>
        <w:t xml:space="preserve">Kuna </w:t>
      </w:r>
      <w:r w:rsidR="004D0B27" w:rsidRPr="004542B5">
        <w:rPr>
          <w:rFonts w:cs="Tahoma"/>
          <w:noProof w:val="0"/>
          <w:szCs w:val="20"/>
          <w:lang w:val="en-US"/>
        </w:rPr>
        <w:t>Comarca</w:t>
      </w:r>
      <w:r w:rsidR="007B47B1" w:rsidRPr="004542B5">
        <w:rPr>
          <w:rFonts w:cs="Tahoma"/>
          <w:noProof w:val="0"/>
          <w:szCs w:val="20"/>
          <w:lang w:val="en-US"/>
        </w:rPr>
        <w:t xml:space="preserve"> </w:t>
      </w:r>
      <w:r w:rsidR="000377AA" w:rsidRPr="004542B5">
        <w:rPr>
          <w:rFonts w:cs="Tahoma"/>
          <w:noProof w:val="0"/>
          <w:szCs w:val="20"/>
          <w:lang w:val="en-US"/>
        </w:rPr>
        <w:t>with the local, provincial and national authorities under a</w:t>
      </w:r>
      <w:r w:rsidR="00E04132" w:rsidRPr="004542B5">
        <w:rPr>
          <w:rFonts w:cs="Tahoma"/>
          <w:noProof w:val="0"/>
          <w:szCs w:val="20"/>
          <w:lang w:val="en-US"/>
        </w:rPr>
        <w:t>rticle</w:t>
      </w:r>
      <w:r w:rsidR="007B47B1" w:rsidRPr="004542B5">
        <w:rPr>
          <w:rFonts w:cs="Tahoma"/>
          <w:noProof w:val="0"/>
          <w:szCs w:val="20"/>
          <w:lang w:val="en-US"/>
        </w:rPr>
        <w:t xml:space="preserve"> 1409 </w:t>
      </w:r>
      <w:r w:rsidR="000377AA" w:rsidRPr="004542B5">
        <w:rPr>
          <w:rFonts w:cs="Tahoma"/>
          <w:noProof w:val="0"/>
          <w:szCs w:val="20"/>
          <w:lang w:val="en-US"/>
        </w:rPr>
        <w:t xml:space="preserve">of the Judicial Code </w:t>
      </w:r>
      <w:r w:rsidR="00FE0BF3" w:rsidRPr="004542B5">
        <w:rPr>
          <w:rFonts w:cs="Tahoma"/>
          <w:noProof w:val="0"/>
          <w:szCs w:val="20"/>
          <w:lang w:val="en-US"/>
        </w:rPr>
        <w:t>of Panama</w:t>
      </w:r>
      <w:r w:rsidR="007B47B1" w:rsidRPr="004542B5">
        <w:rPr>
          <w:rFonts w:cs="Tahoma"/>
          <w:noProof w:val="0"/>
          <w:szCs w:val="20"/>
          <w:lang w:val="en-US"/>
        </w:rPr>
        <w:t xml:space="preserve"> </w:t>
      </w:r>
      <w:r w:rsidR="000377AA" w:rsidRPr="004542B5">
        <w:rPr>
          <w:rFonts w:cs="Tahoma"/>
          <w:noProof w:val="0"/>
          <w:szCs w:val="20"/>
          <w:lang w:val="en-US"/>
        </w:rPr>
        <w:t xml:space="preserve">did not constitute special, </w:t>
      </w:r>
      <w:r w:rsidR="006110CB" w:rsidRPr="004542B5">
        <w:rPr>
          <w:rFonts w:cs="Tahoma"/>
          <w:noProof w:val="0"/>
          <w:szCs w:val="20"/>
          <w:lang w:val="en-US"/>
        </w:rPr>
        <w:t>opportune</w:t>
      </w:r>
      <w:r w:rsidR="000377AA" w:rsidRPr="004542B5">
        <w:rPr>
          <w:rFonts w:cs="Tahoma"/>
          <w:noProof w:val="0"/>
          <w:szCs w:val="20"/>
          <w:lang w:val="en-US"/>
        </w:rPr>
        <w:t xml:space="preserve"> and effective mechanisms to obtain effective protection of </w:t>
      </w:r>
      <w:r w:rsidR="00F87526" w:rsidRPr="004542B5">
        <w:rPr>
          <w:rFonts w:cs="Tahoma"/>
          <w:noProof w:val="0"/>
          <w:szCs w:val="20"/>
          <w:lang w:val="en-US"/>
        </w:rPr>
        <w:t>its</w:t>
      </w:r>
      <w:r w:rsidR="000377AA" w:rsidRPr="004542B5">
        <w:rPr>
          <w:rFonts w:cs="Tahoma"/>
          <w:noProof w:val="0"/>
          <w:szCs w:val="20"/>
          <w:lang w:val="en-US"/>
        </w:rPr>
        <w:t xml:space="preserve"> territory. </w:t>
      </w:r>
      <w:r w:rsidR="00F87526" w:rsidRPr="004542B5">
        <w:rPr>
          <w:rFonts w:cs="Tahoma"/>
          <w:noProof w:val="0"/>
          <w:szCs w:val="20"/>
          <w:lang w:val="en-US"/>
        </w:rPr>
        <w:t>The Commission</w:t>
      </w:r>
      <w:r w:rsidR="000377AA" w:rsidRPr="004542B5">
        <w:rPr>
          <w:rFonts w:cs="Tahoma"/>
          <w:noProof w:val="0"/>
          <w:szCs w:val="20"/>
          <w:lang w:val="en-US"/>
        </w:rPr>
        <w:t xml:space="preserve"> added that L</w:t>
      </w:r>
      <w:r w:rsidR="0033788F" w:rsidRPr="004542B5">
        <w:rPr>
          <w:rFonts w:cs="Tahoma"/>
          <w:noProof w:val="0"/>
          <w:szCs w:val="20"/>
          <w:lang w:val="en-US"/>
        </w:rPr>
        <w:t>aw</w:t>
      </w:r>
      <w:r w:rsidR="007B47B1" w:rsidRPr="004542B5">
        <w:rPr>
          <w:rFonts w:cs="Tahoma"/>
          <w:noProof w:val="0"/>
          <w:szCs w:val="20"/>
          <w:lang w:val="en-US"/>
        </w:rPr>
        <w:t xml:space="preserve"> </w:t>
      </w:r>
      <w:r w:rsidR="00CD2B90" w:rsidRPr="004542B5">
        <w:rPr>
          <w:noProof w:val="0"/>
          <w:szCs w:val="20"/>
          <w:lang w:val="en-US"/>
        </w:rPr>
        <w:t>No.</w:t>
      </w:r>
      <w:r w:rsidR="00B7701D" w:rsidRPr="004542B5">
        <w:rPr>
          <w:noProof w:val="0"/>
          <w:szCs w:val="20"/>
          <w:lang w:val="en-US"/>
        </w:rPr>
        <w:t xml:space="preserve"> </w:t>
      </w:r>
      <w:r w:rsidR="007B47B1" w:rsidRPr="004542B5">
        <w:rPr>
          <w:rFonts w:cs="Tahoma"/>
          <w:noProof w:val="0"/>
          <w:szCs w:val="20"/>
          <w:lang w:val="en-US"/>
        </w:rPr>
        <w:t>24</w:t>
      </w:r>
      <w:r w:rsidR="000377AA" w:rsidRPr="004542B5">
        <w:rPr>
          <w:rFonts w:cs="Tahoma"/>
          <w:noProof w:val="0"/>
          <w:szCs w:val="20"/>
          <w:lang w:val="en-US"/>
        </w:rPr>
        <w:t xml:space="preserve">, which created </w:t>
      </w:r>
      <w:r w:rsidR="004D0B27" w:rsidRPr="004542B5">
        <w:rPr>
          <w:rFonts w:cs="Tahoma"/>
          <w:noProof w:val="0"/>
          <w:szCs w:val="20"/>
          <w:lang w:val="en-US"/>
        </w:rPr>
        <w:t xml:space="preserve">the </w:t>
      </w:r>
      <w:r w:rsidR="008C4E08" w:rsidRPr="004542B5">
        <w:rPr>
          <w:rFonts w:cs="Tahoma"/>
          <w:noProof w:val="0"/>
          <w:szCs w:val="20"/>
          <w:lang w:val="en-US"/>
        </w:rPr>
        <w:t xml:space="preserve">Kuna </w:t>
      </w:r>
      <w:r w:rsidR="004D0B27" w:rsidRPr="004542B5">
        <w:rPr>
          <w:rFonts w:cs="Tahoma"/>
          <w:noProof w:val="0"/>
          <w:szCs w:val="20"/>
          <w:lang w:val="en-US"/>
        </w:rPr>
        <w:t>Comarca</w:t>
      </w:r>
      <w:r w:rsidR="00662F3B" w:rsidRPr="004542B5">
        <w:rPr>
          <w:rFonts w:cs="Tahoma"/>
          <w:noProof w:val="0"/>
          <w:szCs w:val="20"/>
          <w:lang w:val="en-US"/>
        </w:rPr>
        <w:t xml:space="preserve">, did not establish police authorities and that, to date, there is no competent authority to resolve the problem of </w:t>
      </w:r>
      <w:r w:rsidR="00F87526" w:rsidRPr="004542B5">
        <w:rPr>
          <w:rFonts w:cs="Tahoma"/>
          <w:noProof w:val="0"/>
          <w:szCs w:val="20"/>
          <w:lang w:val="en-US"/>
        </w:rPr>
        <w:t>settler</w:t>
      </w:r>
      <w:r w:rsidR="00662F3B" w:rsidRPr="004542B5">
        <w:rPr>
          <w:rFonts w:cs="Tahoma"/>
          <w:noProof w:val="0"/>
          <w:szCs w:val="20"/>
          <w:lang w:val="en-US"/>
        </w:rPr>
        <w:t xml:space="preserve"> invasion. </w:t>
      </w:r>
    </w:p>
    <w:p w14:paraId="33CE17AD" w14:textId="5FE665EF" w:rsidR="00662F3B" w:rsidRPr="004542B5" w:rsidRDefault="00562CBB" w:rsidP="00E01664">
      <w:pPr>
        <w:pStyle w:val="ListParagraph"/>
        <w:numPr>
          <w:ilvl w:val="0"/>
          <w:numId w:val="2"/>
        </w:numPr>
        <w:spacing w:before="120" w:after="120"/>
        <w:contextualSpacing w:val="0"/>
        <w:rPr>
          <w:rFonts w:cs="Tahoma"/>
          <w:noProof w:val="0"/>
          <w:szCs w:val="20"/>
          <w:lang w:val="en-US"/>
        </w:rPr>
      </w:pPr>
      <w:r w:rsidRPr="004542B5">
        <w:rPr>
          <w:rFonts w:cs="Tahoma"/>
          <w:noProof w:val="0"/>
          <w:szCs w:val="20"/>
          <w:lang w:val="en-US"/>
        </w:rPr>
        <w:t>The representatives</w:t>
      </w:r>
      <w:r w:rsidR="007B47B1" w:rsidRPr="004542B5">
        <w:rPr>
          <w:rFonts w:eastAsia="Calibri"/>
          <w:noProof w:val="0"/>
          <w:szCs w:val="20"/>
          <w:lang w:val="en-US"/>
        </w:rPr>
        <w:t xml:space="preserve"> </w:t>
      </w:r>
      <w:r w:rsidR="00662F3B" w:rsidRPr="004542B5">
        <w:rPr>
          <w:rFonts w:eastAsia="Calibri"/>
          <w:noProof w:val="0"/>
          <w:szCs w:val="20"/>
          <w:lang w:val="en-US"/>
        </w:rPr>
        <w:t xml:space="preserve">agreed that no special procedure existed under Panamanian law to deal with the issue of land invasion, </w:t>
      </w:r>
      <w:r w:rsidR="00F87526" w:rsidRPr="004542B5">
        <w:rPr>
          <w:rFonts w:eastAsia="Calibri"/>
          <w:noProof w:val="0"/>
          <w:szCs w:val="20"/>
          <w:lang w:val="en-US"/>
        </w:rPr>
        <w:t xml:space="preserve">referring </w:t>
      </w:r>
      <w:r w:rsidR="00662F3B" w:rsidRPr="004542B5">
        <w:rPr>
          <w:rFonts w:eastAsia="Calibri"/>
          <w:noProof w:val="0"/>
          <w:szCs w:val="20"/>
          <w:lang w:val="en-US"/>
        </w:rPr>
        <w:t>specifically to criminal law. The</w:t>
      </w:r>
      <w:r w:rsidR="00F87526" w:rsidRPr="004542B5">
        <w:rPr>
          <w:rFonts w:eastAsia="Calibri"/>
          <w:noProof w:val="0"/>
          <w:szCs w:val="20"/>
          <w:lang w:val="en-US"/>
        </w:rPr>
        <w:t>y</w:t>
      </w:r>
      <w:r w:rsidR="00662F3B" w:rsidRPr="004542B5">
        <w:rPr>
          <w:rFonts w:eastAsia="Calibri"/>
          <w:noProof w:val="0"/>
          <w:szCs w:val="20"/>
          <w:lang w:val="en-US"/>
        </w:rPr>
        <w:t xml:space="preserve"> added that the appointment of a special </w:t>
      </w:r>
      <w:r w:rsidR="00662F3B" w:rsidRPr="004542B5">
        <w:rPr>
          <w:rFonts w:eastAsia="Calibri"/>
          <w:i/>
          <w:iCs/>
          <w:noProof w:val="0"/>
          <w:szCs w:val="20"/>
          <w:lang w:val="en-US"/>
        </w:rPr>
        <w:t xml:space="preserve">corregidor </w:t>
      </w:r>
      <w:r w:rsidR="00662F3B" w:rsidRPr="004542B5">
        <w:rPr>
          <w:rFonts w:eastAsia="Calibri"/>
          <w:noProof w:val="0"/>
          <w:szCs w:val="20"/>
          <w:lang w:val="en-US"/>
        </w:rPr>
        <w:t>within the Kuna Comarca did not constitute an effective and conclusive mechanism to respond to the indigenous peoples</w:t>
      </w:r>
      <w:r w:rsidR="00F87526" w:rsidRPr="004542B5">
        <w:rPr>
          <w:rFonts w:eastAsia="Calibri"/>
          <w:noProof w:val="0"/>
          <w:szCs w:val="20"/>
          <w:lang w:val="en-US"/>
        </w:rPr>
        <w:t>’ complaints.</w:t>
      </w:r>
    </w:p>
    <w:p w14:paraId="3BCEFB49" w14:textId="4AE27333" w:rsidR="00922EB6" w:rsidRPr="004542B5" w:rsidRDefault="00562CBB" w:rsidP="00662F3B">
      <w:pPr>
        <w:pStyle w:val="ListParagraph"/>
        <w:numPr>
          <w:ilvl w:val="0"/>
          <w:numId w:val="2"/>
        </w:numPr>
        <w:spacing w:before="120" w:after="120"/>
        <w:contextualSpacing w:val="0"/>
        <w:rPr>
          <w:rFonts w:cs="Tahoma"/>
          <w:noProof w:val="0"/>
          <w:szCs w:val="20"/>
          <w:lang w:val="en-US"/>
        </w:rPr>
      </w:pPr>
      <w:r w:rsidRPr="004542B5">
        <w:rPr>
          <w:noProof w:val="0"/>
          <w:szCs w:val="20"/>
          <w:lang w:val="en-US"/>
        </w:rPr>
        <w:t>The State</w:t>
      </w:r>
      <w:r w:rsidR="007B47B1" w:rsidRPr="004542B5">
        <w:rPr>
          <w:noProof w:val="0"/>
          <w:szCs w:val="20"/>
          <w:lang w:val="en-US"/>
        </w:rPr>
        <w:t xml:space="preserve"> </w:t>
      </w:r>
      <w:r w:rsidR="00662F3B" w:rsidRPr="004542B5">
        <w:rPr>
          <w:noProof w:val="0"/>
          <w:szCs w:val="20"/>
          <w:lang w:val="en-US"/>
        </w:rPr>
        <w:t xml:space="preserve">referred to the introduction of a series of mechanisms </w:t>
      </w:r>
      <w:r w:rsidR="00F87526" w:rsidRPr="004542B5">
        <w:rPr>
          <w:noProof w:val="0"/>
          <w:szCs w:val="20"/>
          <w:lang w:val="en-US"/>
        </w:rPr>
        <w:t>that were simple to</w:t>
      </w:r>
      <w:r w:rsidR="00662F3B" w:rsidRPr="004542B5">
        <w:rPr>
          <w:noProof w:val="0"/>
          <w:szCs w:val="20"/>
          <w:lang w:val="en-US"/>
        </w:rPr>
        <w:t xml:space="preserve"> access, such as conciliation, mediation and other alternative conflict resolution methods, and to the creation of the Mediation and Conciliation Department. It also referred to several provisions of the Criminal Code </w:t>
      </w:r>
      <w:r w:rsidR="00F87526" w:rsidRPr="004542B5">
        <w:rPr>
          <w:noProof w:val="0"/>
          <w:szCs w:val="20"/>
          <w:lang w:val="en-US"/>
        </w:rPr>
        <w:t>on</w:t>
      </w:r>
      <w:r w:rsidR="00A86E2E" w:rsidRPr="004542B5">
        <w:rPr>
          <w:noProof w:val="0"/>
          <w:szCs w:val="20"/>
          <w:lang w:val="en-US"/>
        </w:rPr>
        <w:t xml:space="preserve"> the defense of individual or collective property and the destruction of natural resources, and also to the definition of certain conducts</w:t>
      </w:r>
      <w:r w:rsidR="00F87526" w:rsidRPr="004542B5">
        <w:rPr>
          <w:noProof w:val="0"/>
          <w:szCs w:val="20"/>
          <w:lang w:val="en-US"/>
        </w:rPr>
        <w:t xml:space="preserve"> as offenses, together with</w:t>
      </w:r>
      <w:r w:rsidR="00A86E2E" w:rsidRPr="004542B5">
        <w:rPr>
          <w:noProof w:val="0"/>
          <w:szCs w:val="20"/>
          <w:lang w:val="en-US"/>
        </w:rPr>
        <w:t xml:space="preserve"> their</w:t>
      </w:r>
      <w:r w:rsidR="00F87526" w:rsidRPr="004542B5">
        <w:rPr>
          <w:noProof w:val="0"/>
          <w:szCs w:val="20"/>
          <w:lang w:val="en-US"/>
        </w:rPr>
        <w:t xml:space="preserve"> respective</w:t>
      </w:r>
      <w:r w:rsidR="00A86E2E" w:rsidRPr="004542B5">
        <w:rPr>
          <w:noProof w:val="0"/>
          <w:szCs w:val="20"/>
          <w:lang w:val="en-US"/>
        </w:rPr>
        <w:t xml:space="preserve"> punishments,</w:t>
      </w:r>
      <w:r w:rsidR="00F87526" w:rsidRPr="004542B5">
        <w:rPr>
          <w:noProof w:val="0"/>
          <w:szCs w:val="20"/>
          <w:lang w:val="en-US"/>
        </w:rPr>
        <w:t xml:space="preserve"> aimed at</w:t>
      </w:r>
      <w:r w:rsidR="00A86E2E" w:rsidRPr="004542B5">
        <w:rPr>
          <w:noProof w:val="0"/>
          <w:szCs w:val="20"/>
          <w:lang w:val="en-US"/>
        </w:rPr>
        <w:t xml:space="preserve"> </w:t>
      </w:r>
      <w:r w:rsidR="006110CB" w:rsidRPr="004542B5">
        <w:rPr>
          <w:noProof w:val="0"/>
          <w:szCs w:val="20"/>
          <w:lang w:val="en-US"/>
        </w:rPr>
        <w:t>respond</w:t>
      </w:r>
      <w:r w:rsidR="00F87526" w:rsidRPr="004542B5">
        <w:rPr>
          <w:noProof w:val="0"/>
          <w:szCs w:val="20"/>
          <w:lang w:val="en-US"/>
        </w:rPr>
        <w:t>ing</w:t>
      </w:r>
      <w:r w:rsidR="00A86E2E" w:rsidRPr="004542B5">
        <w:rPr>
          <w:noProof w:val="0"/>
          <w:szCs w:val="20"/>
          <w:lang w:val="en-US"/>
        </w:rPr>
        <w:t xml:space="preserve"> to all the concerns of the occupants of protected areas. The State indicated that it had made it an offense for an official or public servant to sell or grant tenure or possession </w:t>
      </w:r>
      <w:r w:rsidR="00F87526" w:rsidRPr="004542B5">
        <w:rPr>
          <w:noProof w:val="0"/>
          <w:szCs w:val="20"/>
          <w:lang w:val="en-US"/>
        </w:rPr>
        <w:t>to</w:t>
      </w:r>
      <w:r w:rsidR="00A86E2E" w:rsidRPr="004542B5">
        <w:rPr>
          <w:noProof w:val="0"/>
          <w:szCs w:val="20"/>
          <w:lang w:val="en-US"/>
        </w:rPr>
        <w:t xml:space="preserve"> all or part of a piece of public real estate, and an aggravated offense if this was within a protected area, and it indicated that the representatives of the presumed victims were aware of th</w:t>
      </w:r>
      <w:r w:rsidR="00BD2C34" w:rsidRPr="004542B5">
        <w:rPr>
          <w:noProof w:val="0"/>
          <w:szCs w:val="20"/>
          <w:lang w:val="en-US"/>
        </w:rPr>
        <w:t>is</w:t>
      </w:r>
      <w:r w:rsidR="00A86E2E" w:rsidRPr="004542B5">
        <w:rPr>
          <w:noProof w:val="0"/>
          <w:szCs w:val="20"/>
          <w:lang w:val="en-US"/>
        </w:rPr>
        <w:t xml:space="preserve"> norm as they had already filed a criminal action in September 2013</w:t>
      </w:r>
      <w:r w:rsidR="00A86E2E" w:rsidRPr="004542B5">
        <w:rPr>
          <w:rFonts w:cs="Tahoma"/>
          <w:noProof w:val="0"/>
          <w:szCs w:val="20"/>
          <w:lang w:val="en-US"/>
        </w:rPr>
        <w:t>.</w:t>
      </w:r>
      <w:r w:rsidR="00BD2C34" w:rsidRPr="004542B5">
        <w:rPr>
          <w:rStyle w:val="FootnoteReference"/>
          <w:noProof w:val="0"/>
          <w:lang w:val="en-US"/>
        </w:rPr>
        <w:footnoteReference w:id="246"/>
      </w:r>
    </w:p>
    <w:p w14:paraId="0E8AFD1C" w14:textId="33BE9CCE" w:rsidR="00922EB6" w:rsidRPr="004542B5" w:rsidRDefault="00A86E2E" w:rsidP="00E01664">
      <w:pPr>
        <w:pStyle w:val="ListParagraph"/>
        <w:numPr>
          <w:ilvl w:val="0"/>
          <w:numId w:val="2"/>
        </w:numPr>
        <w:spacing w:before="120" w:after="120"/>
        <w:contextualSpacing w:val="0"/>
        <w:rPr>
          <w:noProof w:val="0"/>
          <w:szCs w:val="20"/>
          <w:lang w:val="en-US"/>
        </w:rPr>
      </w:pPr>
      <w:r w:rsidRPr="004542B5">
        <w:rPr>
          <w:noProof w:val="0"/>
          <w:szCs w:val="20"/>
          <w:lang w:val="en-US"/>
        </w:rPr>
        <w:t>The State also referred to a</w:t>
      </w:r>
      <w:r w:rsidR="00562CBB" w:rsidRPr="004542B5">
        <w:rPr>
          <w:noProof w:val="0"/>
          <w:szCs w:val="20"/>
          <w:lang w:val="en-US"/>
        </w:rPr>
        <w:t>rticles</w:t>
      </w:r>
      <w:r w:rsidR="007B47B1" w:rsidRPr="004542B5">
        <w:rPr>
          <w:noProof w:val="0"/>
          <w:szCs w:val="20"/>
          <w:lang w:val="en-US"/>
        </w:rPr>
        <w:t xml:space="preserve"> 17 </w:t>
      </w:r>
      <w:r w:rsidRPr="004542B5">
        <w:rPr>
          <w:noProof w:val="0"/>
          <w:szCs w:val="20"/>
          <w:lang w:val="en-US"/>
        </w:rPr>
        <w:t xml:space="preserve">to </w:t>
      </w:r>
      <w:r w:rsidR="007B47B1" w:rsidRPr="004542B5">
        <w:rPr>
          <w:noProof w:val="0"/>
          <w:szCs w:val="20"/>
          <w:lang w:val="en-US"/>
        </w:rPr>
        <w:t xml:space="preserve">19 </w:t>
      </w:r>
      <w:r w:rsidRPr="004542B5">
        <w:rPr>
          <w:noProof w:val="0"/>
          <w:szCs w:val="20"/>
          <w:lang w:val="en-US"/>
        </w:rPr>
        <w:t>of the</w:t>
      </w:r>
      <w:r w:rsidR="007B47B1" w:rsidRPr="004542B5">
        <w:rPr>
          <w:noProof w:val="0"/>
          <w:szCs w:val="20"/>
          <w:lang w:val="en-US"/>
        </w:rPr>
        <w:t xml:space="preserve"> </w:t>
      </w:r>
      <w:r w:rsidR="00372741" w:rsidRPr="004542B5">
        <w:rPr>
          <w:noProof w:val="0"/>
          <w:szCs w:val="20"/>
          <w:lang w:val="en-US"/>
        </w:rPr>
        <w:t>Constitution</w:t>
      </w:r>
      <w:r w:rsidR="007B47B1" w:rsidRPr="004542B5">
        <w:rPr>
          <w:noProof w:val="0"/>
          <w:szCs w:val="20"/>
          <w:lang w:val="en-US"/>
        </w:rPr>
        <w:t>, indica</w:t>
      </w:r>
      <w:r w:rsidRPr="004542B5">
        <w:rPr>
          <w:noProof w:val="0"/>
          <w:szCs w:val="20"/>
          <w:lang w:val="en-US"/>
        </w:rPr>
        <w:t xml:space="preserve">ting that the guarantee of protection of the rights of the citizen is available to all citizens equally with the express prohibition to constitute personal </w:t>
      </w:r>
      <w:r w:rsidR="00BD2C34" w:rsidRPr="004542B5">
        <w:rPr>
          <w:noProof w:val="0"/>
          <w:szCs w:val="20"/>
          <w:lang w:val="en-US"/>
        </w:rPr>
        <w:t xml:space="preserve">or discriminatory privileges </w:t>
      </w:r>
      <w:r w:rsidRPr="004542B5">
        <w:rPr>
          <w:noProof w:val="0"/>
          <w:szCs w:val="20"/>
          <w:lang w:val="en-US"/>
        </w:rPr>
        <w:t xml:space="preserve">or </w:t>
      </w:r>
      <w:r w:rsidR="00BD2C34" w:rsidRPr="004542B5">
        <w:rPr>
          <w:noProof w:val="0"/>
          <w:szCs w:val="20"/>
          <w:lang w:val="en-US"/>
        </w:rPr>
        <w:t xml:space="preserve">distinctions based on </w:t>
      </w:r>
      <w:r w:rsidRPr="004542B5">
        <w:rPr>
          <w:noProof w:val="0"/>
          <w:szCs w:val="20"/>
          <w:lang w:val="en-US"/>
        </w:rPr>
        <w:lastRenderedPageBreak/>
        <w:t xml:space="preserve">race, birth, disability, social class, sex, religion or political ideas. The State indicated that constituting a special jurisdiction to investigate, capture, prosecute, and punish </w:t>
      </w:r>
      <w:r w:rsidR="00DB4F97" w:rsidRPr="004542B5">
        <w:rPr>
          <w:noProof w:val="0"/>
          <w:szCs w:val="20"/>
          <w:lang w:val="en-US"/>
        </w:rPr>
        <w:t xml:space="preserve">Panamanian citizens, settlers, or immigrants from their original lands, with reference to the possible invasion of the indigenous areas, would violate the </w:t>
      </w:r>
      <w:r w:rsidR="00372741" w:rsidRPr="004542B5">
        <w:rPr>
          <w:noProof w:val="0"/>
          <w:szCs w:val="20"/>
          <w:lang w:val="en-US"/>
        </w:rPr>
        <w:t>Constitution</w:t>
      </w:r>
      <w:r w:rsidR="007B47B1" w:rsidRPr="004542B5">
        <w:rPr>
          <w:noProof w:val="0"/>
          <w:szCs w:val="20"/>
          <w:lang w:val="en-US"/>
        </w:rPr>
        <w:t xml:space="preserve">. </w:t>
      </w:r>
    </w:p>
    <w:p w14:paraId="051CC9A2" w14:textId="73E040D3" w:rsidR="00580CE1" w:rsidRPr="004542B5" w:rsidRDefault="007B47B1" w:rsidP="00E01664">
      <w:pPr>
        <w:pStyle w:val="Heading3"/>
        <w:rPr>
          <w:noProof w:val="0"/>
          <w:lang w:val="en-US"/>
        </w:rPr>
      </w:pPr>
      <w:bookmarkStart w:id="253" w:name="_Toc45200896"/>
      <w:r w:rsidRPr="004542B5">
        <w:rPr>
          <w:noProof w:val="0"/>
          <w:lang w:val="en-US"/>
        </w:rPr>
        <w:t>B.2.</w:t>
      </w:r>
      <w:r w:rsidR="00B07C65" w:rsidRPr="004542B5">
        <w:rPr>
          <w:noProof w:val="0"/>
          <w:lang w:val="en-US"/>
        </w:rPr>
        <w:t xml:space="preserve"> </w:t>
      </w:r>
      <w:r w:rsidR="00B902E7" w:rsidRPr="004542B5">
        <w:rPr>
          <w:noProof w:val="0"/>
          <w:lang w:val="en-US"/>
        </w:rPr>
        <w:t>Considerations</w:t>
      </w:r>
      <w:r w:rsidR="008A56D7" w:rsidRPr="004542B5">
        <w:rPr>
          <w:noProof w:val="0"/>
          <w:lang w:val="en-US"/>
        </w:rPr>
        <w:t xml:space="preserve"> of the </w:t>
      </w:r>
      <w:r w:rsidR="00562CBB" w:rsidRPr="004542B5">
        <w:rPr>
          <w:noProof w:val="0"/>
          <w:lang w:val="en-US"/>
        </w:rPr>
        <w:t>Court</w:t>
      </w:r>
      <w:bookmarkEnd w:id="253"/>
      <w:r w:rsidRPr="004542B5">
        <w:rPr>
          <w:noProof w:val="0"/>
          <w:lang w:val="en-US"/>
        </w:rPr>
        <w:t xml:space="preserve"> </w:t>
      </w:r>
    </w:p>
    <w:p w14:paraId="3C6FF0A4" w14:textId="400046BE" w:rsidR="00922EB6" w:rsidRPr="004542B5" w:rsidRDefault="00DB4F97" w:rsidP="00DB4F97">
      <w:pPr>
        <w:pStyle w:val="ListParagraph"/>
        <w:numPr>
          <w:ilvl w:val="0"/>
          <w:numId w:val="2"/>
        </w:numPr>
        <w:spacing w:before="120" w:after="120"/>
        <w:contextualSpacing w:val="0"/>
        <w:rPr>
          <w:b/>
          <w:i/>
          <w:noProof w:val="0"/>
          <w:lang w:val="en-US"/>
        </w:rPr>
      </w:pPr>
      <w:r w:rsidRPr="004542B5">
        <w:rPr>
          <w:noProof w:val="0"/>
          <w:lang w:val="en-US"/>
        </w:rPr>
        <w:t>With regard to</w:t>
      </w:r>
      <w:r w:rsidR="007B47B1" w:rsidRPr="004542B5">
        <w:rPr>
          <w:noProof w:val="0"/>
          <w:lang w:val="en-US"/>
        </w:rPr>
        <w:t xml:space="preserve"> </w:t>
      </w:r>
      <w:r w:rsidR="00562CBB" w:rsidRPr="004542B5">
        <w:rPr>
          <w:noProof w:val="0"/>
          <w:lang w:val="en-US"/>
        </w:rPr>
        <w:t>Article</w:t>
      </w:r>
      <w:r w:rsidR="007B47B1" w:rsidRPr="004542B5">
        <w:rPr>
          <w:noProof w:val="0"/>
          <w:lang w:val="en-US"/>
        </w:rPr>
        <w:t xml:space="preserve"> 2</w:t>
      </w:r>
      <w:r w:rsidR="008A56D7" w:rsidRPr="004542B5">
        <w:rPr>
          <w:noProof w:val="0"/>
          <w:lang w:val="en-US"/>
        </w:rPr>
        <w:t xml:space="preserve"> of the </w:t>
      </w:r>
      <w:r w:rsidR="00562CBB" w:rsidRPr="004542B5">
        <w:rPr>
          <w:noProof w:val="0"/>
          <w:lang w:val="en-US"/>
        </w:rPr>
        <w:t>American Convention</w:t>
      </w:r>
      <w:r w:rsidR="007B47B1" w:rsidRPr="004542B5">
        <w:rPr>
          <w:noProof w:val="0"/>
          <w:lang w:val="en-US"/>
        </w:rPr>
        <w:t xml:space="preserve">, </w:t>
      </w:r>
      <w:r w:rsidR="00562CBB" w:rsidRPr="004542B5">
        <w:rPr>
          <w:noProof w:val="0"/>
          <w:lang w:val="en-US"/>
        </w:rPr>
        <w:t>the Court</w:t>
      </w:r>
      <w:r w:rsidR="007B47B1" w:rsidRPr="004542B5">
        <w:rPr>
          <w:noProof w:val="0"/>
          <w:lang w:val="en-US"/>
        </w:rPr>
        <w:t xml:space="preserve"> ha</w:t>
      </w:r>
      <w:r w:rsidRPr="004542B5">
        <w:rPr>
          <w:noProof w:val="0"/>
          <w:lang w:val="en-US"/>
        </w:rPr>
        <w:t xml:space="preserve">s indicated that this obliges the States Parties to adopt, in accordance with their constitutional processes and the provisions of the Convention, such legislative or other measures as may be necessary to give effect to the rights and freedoms protect by the </w:t>
      </w:r>
      <w:r w:rsidR="00562CBB" w:rsidRPr="004542B5">
        <w:rPr>
          <w:noProof w:val="0"/>
          <w:lang w:val="en-US"/>
        </w:rPr>
        <w:t>Convention</w:t>
      </w:r>
      <w:r w:rsidRPr="004542B5">
        <w:rPr>
          <w:noProof w:val="0"/>
          <w:lang w:val="en-US"/>
        </w:rPr>
        <w:t>.</w:t>
      </w:r>
      <w:r w:rsidR="007B47B1" w:rsidRPr="004542B5">
        <w:rPr>
          <w:rStyle w:val="FootnoteReference"/>
          <w:noProof w:val="0"/>
          <w:lang w:val="en-US"/>
        </w:rPr>
        <w:footnoteReference w:id="247"/>
      </w:r>
      <w:r w:rsidRPr="004542B5">
        <w:rPr>
          <w:noProof w:val="0"/>
          <w:lang w:val="en-US"/>
        </w:rPr>
        <w:t xml:space="preserve"> In other words, the States not only have the positive obligation to adopt the necessary legislative measures to ensure the exercise of the rights contained in the Convention, but must also avoid the enactment of laws that prevent the free exercise of those rights and prevent the elimination or amendment of laws that protect them.</w:t>
      </w:r>
      <w:r w:rsidR="007B47B1" w:rsidRPr="004542B5">
        <w:rPr>
          <w:rStyle w:val="FootnoteReference"/>
          <w:rFonts w:cs="Arial"/>
          <w:noProof w:val="0"/>
          <w:lang w:val="en-US"/>
        </w:rPr>
        <w:footnoteReference w:id="248"/>
      </w:r>
      <w:r w:rsidR="007B47B1" w:rsidRPr="004542B5">
        <w:rPr>
          <w:noProof w:val="0"/>
          <w:lang w:val="en-US"/>
        </w:rPr>
        <w:t xml:space="preserve"> </w:t>
      </w:r>
    </w:p>
    <w:p w14:paraId="2D6FA489" w14:textId="1CBBE7FD" w:rsidR="00922EB6" w:rsidRPr="004542B5" w:rsidRDefault="00DB4F97" w:rsidP="00DB4F97">
      <w:pPr>
        <w:pStyle w:val="ListParagraph"/>
        <w:numPr>
          <w:ilvl w:val="0"/>
          <w:numId w:val="2"/>
        </w:numPr>
        <w:spacing w:before="120" w:after="120"/>
        <w:contextualSpacing w:val="0"/>
        <w:rPr>
          <w:b/>
          <w:i/>
          <w:noProof w:val="0"/>
          <w:lang w:val="en-US"/>
        </w:rPr>
      </w:pPr>
      <w:r w:rsidRPr="004542B5">
        <w:rPr>
          <w:noProof w:val="0"/>
          <w:lang w:val="en-US"/>
        </w:rPr>
        <w:t xml:space="preserve">In the instant case, regarding the alleged violation of the obligation to </w:t>
      </w:r>
      <w:r w:rsidR="006110CB" w:rsidRPr="004542B5">
        <w:rPr>
          <w:noProof w:val="0"/>
          <w:lang w:val="en-US"/>
        </w:rPr>
        <w:t>adopt</w:t>
      </w:r>
      <w:r w:rsidRPr="004542B5">
        <w:rPr>
          <w:noProof w:val="0"/>
          <w:lang w:val="en-US"/>
        </w:rPr>
        <w:t xml:space="preserve"> domestic legal provisions for the protection of indigenous territories from third parties, the Court notes that</w:t>
      </w:r>
      <w:r w:rsidR="00BD2C34" w:rsidRPr="004542B5">
        <w:rPr>
          <w:noProof w:val="0"/>
          <w:lang w:val="en-US"/>
        </w:rPr>
        <w:t xml:space="preserve"> this</w:t>
      </w:r>
      <w:r w:rsidRPr="004542B5">
        <w:rPr>
          <w:noProof w:val="0"/>
          <w:lang w:val="en-US"/>
        </w:rPr>
        <w:t xml:space="preserve"> is based on the following factors: (a) the inexistence of a special offense or criminal procedure under Panamanian law to deal with the issue of the invasion of indigenous lands by third parties, and (b) the inexistence – to date – of a competent authority to address the problem of</w:t>
      </w:r>
      <w:r w:rsidR="00FC3DA1" w:rsidRPr="004542B5">
        <w:rPr>
          <w:noProof w:val="0"/>
          <w:lang w:val="en-US"/>
        </w:rPr>
        <w:t xml:space="preserve"> settler</w:t>
      </w:r>
      <w:r w:rsidRPr="004542B5">
        <w:rPr>
          <w:noProof w:val="0"/>
          <w:lang w:val="en-US"/>
        </w:rPr>
        <w:t xml:space="preserve"> invasion</w:t>
      </w:r>
      <w:r w:rsidR="007B47B1" w:rsidRPr="004542B5">
        <w:rPr>
          <w:rFonts w:eastAsia="Calibri"/>
          <w:noProof w:val="0"/>
          <w:szCs w:val="20"/>
          <w:lang w:val="en-US"/>
        </w:rPr>
        <w:t>.</w:t>
      </w:r>
    </w:p>
    <w:p w14:paraId="2F07F742" w14:textId="30387424" w:rsidR="00922EB6" w:rsidRPr="004542B5" w:rsidRDefault="00CB0F37" w:rsidP="00CB0F37">
      <w:pPr>
        <w:pStyle w:val="ListParagraph"/>
        <w:numPr>
          <w:ilvl w:val="0"/>
          <w:numId w:val="2"/>
        </w:numPr>
        <w:spacing w:before="120" w:after="120"/>
        <w:contextualSpacing w:val="0"/>
        <w:rPr>
          <w:b/>
          <w:i/>
          <w:noProof w:val="0"/>
          <w:lang w:val="en-US"/>
        </w:rPr>
      </w:pPr>
      <w:r w:rsidRPr="004542B5">
        <w:rPr>
          <w:rFonts w:eastAsia="Calibri"/>
          <w:noProof w:val="0"/>
          <w:szCs w:val="20"/>
          <w:lang w:val="en-US"/>
        </w:rPr>
        <w:t>Regarding the first factor, there is no evidence that the laws of Panama contain a specific proce</w:t>
      </w:r>
      <w:r w:rsidR="00285F7A" w:rsidRPr="004542B5">
        <w:rPr>
          <w:rFonts w:eastAsia="Calibri"/>
          <w:noProof w:val="0"/>
          <w:szCs w:val="20"/>
          <w:lang w:val="en-US"/>
        </w:rPr>
        <w:t>dure</w:t>
      </w:r>
      <w:r w:rsidRPr="004542B5">
        <w:rPr>
          <w:rFonts w:eastAsia="Calibri"/>
          <w:noProof w:val="0"/>
          <w:szCs w:val="20"/>
          <w:lang w:val="en-US"/>
        </w:rPr>
        <w:t xml:space="preserve"> to evict third parties who occupy collective territories of the indigenous communities. Despite this, it is true that the representatives and the Commission </w:t>
      </w:r>
      <w:r w:rsidR="00285F7A" w:rsidRPr="004542B5">
        <w:rPr>
          <w:rFonts w:eastAsia="Calibri"/>
          <w:noProof w:val="0"/>
          <w:szCs w:val="20"/>
          <w:lang w:val="en-US"/>
        </w:rPr>
        <w:t xml:space="preserve">alleged and proved </w:t>
      </w:r>
      <w:r w:rsidRPr="004542B5">
        <w:rPr>
          <w:rFonts w:eastAsia="Calibri"/>
          <w:noProof w:val="0"/>
          <w:szCs w:val="20"/>
          <w:lang w:val="en-US"/>
        </w:rPr>
        <w:t xml:space="preserve">that several </w:t>
      </w:r>
      <w:r w:rsidR="00285F7A" w:rsidRPr="004542B5">
        <w:rPr>
          <w:rFonts w:eastAsia="Calibri"/>
          <w:noProof w:val="0"/>
          <w:szCs w:val="20"/>
          <w:lang w:val="en-US"/>
        </w:rPr>
        <w:t xml:space="preserve">legal </w:t>
      </w:r>
      <w:r w:rsidRPr="004542B5">
        <w:rPr>
          <w:rFonts w:eastAsia="Calibri"/>
          <w:noProof w:val="0"/>
          <w:szCs w:val="20"/>
          <w:lang w:val="en-US"/>
        </w:rPr>
        <w:t xml:space="preserve">actions </w:t>
      </w:r>
      <w:r w:rsidR="00285F7A" w:rsidRPr="004542B5">
        <w:rPr>
          <w:rFonts w:eastAsia="Calibri"/>
          <w:noProof w:val="0"/>
          <w:szCs w:val="20"/>
          <w:lang w:val="en-US"/>
        </w:rPr>
        <w:t>for</w:t>
      </w:r>
      <w:r w:rsidRPr="004542B5">
        <w:rPr>
          <w:rFonts w:eastAsia="Calibri"/>
          <w:noProof w:val="0"/>
          <w:szCs w:val="20"/>
          <w:lang w:val="en-US"/>
        </w:rPr>
        <w:t xml:space="preserve"> eviction and criminal actions against third party occupants had been filed by the representatives of the Kuna communities of Madungandí (</w:t>
      </w:r>
      <w:r w:rsidRPr="004542B5">
        <w:rPr>
          <w:rFonts w:eastAsia="Calibri"/>
          <w:i/>
          <w:noProof w:val="0"/>
          <w:szCs w:val="20"/>
          <w:lang w:val="en-US"/>
        </w:rPr>
        <w:t>supra</w:t>
      </w:r>
      <w:r w:rsidRPr="004542B5">
        <w:rPr>
          <w:rFonts w:eastAsia="Calibri"/>
          <w:noProof w:val="0"/>
          <w:szCs w:val="20"/>
          <w:lang w:val="en-US"/>
        </w:rPr>
        <w:t xml:space="preserve"> paras. 86 and </w:t>
      </w:r>
      <w:r w:rsidRPr="004542B5">
        <w:rPr>
          <w:rFonts w:eastAsia="Calibri"/>
          <w:i/>
          <w:iCs/>
          <w:noProof w:val="0"/>
          <w:szCs w:val="20"/>
          <w:lang w:val="en-US"/>
        </w:rPr>
        <w:t>ff.).</w:t>
      </w:r>
      <w:r w:rsidRPr="004542B5">
        <w:rPr>
          <w:rFonts w:eastAsia="Calibri"/>
          <w:noProof w:val="0"/>
          <w:szCs w:val="20"/>
          <w:lang w:val="en-US"/>
        </w:rPr>
        <w:t xml:space="preserve"> It is also true that some of the proceedings concluded with judicial decisions </w:t>
      </w:r>
      <w:r w:rsidR="00285F7A" w:rsidRPr="004542B5">
        <w:rPr>
          <w:rFonts w:eastAsia="Calibri"/>
          <w:noProof w:val="0"/>
          <w:szCs w:val="20"/>
          <w:lang w:val="en-US"/>
        </w:rPr>
        <w:t>in favor of</w:t>
      </w:r>
      <w:r w:rsidRPr="004542B5">
        <w:rPr>
          <w:rFonts w:eastAsia="Calibri"/>
          <w:noProof w:val="0"/>
          <w:szCs w:val="20"/>
          <w:lang w:val="en-US"/>
        </w:rPr>
        <w:t xml:space="preserve"> </w:t>
      </w:r>
      <w:r w:rsidR="00F3300A" w:rsidRPr="004542B5">
        <w:rPr>
          <w:rFonts w:eastAsia="Calibri"/>
          <w:noProof w:val="0"/>
          <w:szCs w:val="20"/>
          <w:lang w:val="en-US"/>
        </w:rPr>
        <w:t>the presumed victims</w:t>
      </w:r>
      <w:r w:rsidR="007B47B1" w:rsidRPr="004542B5">
        <w:rPr>
          <w:rFonts w:eastAsia="Calibri"/>
          <w:noProof w:val="0"/>
          <w:szCs w:val="20"/>
          <w:lang w:val="en-US"/>
        </w:rPr>
        <w:t xml:space="preserve"> (</w:t>
      </w:r>
      <w:r w:rsidR="007B47B1" w:rsidRPr="004542B5">
        <w:rPr>
          <w:rFonts w:eastAsia="Calibri"/>
          <w:i/>
          <w:noProof w:val="0"/>
          <w:szCs w:val="20"/>
          <w:lang w:val="en-US"/>
        </w:rPr>
        <w:t>supra</w:t>
      </w:r>
      <w:r w:rsidR="007B47B1" w:rsidRPr="004542B5">
        <w:rPr>
          <w:rFonts w:eastAsia="Calibri"/>
          <w:noProof w:val="0"/>
          <w:szCs w:val="20"/>
          <w:lang w:val="en-US"/>
        </w:rPr>
        <w:t xml:space="preserve"> </w:t>
      </w:r>
      <w:r w:rsidR="00F66B76" w:rsidRPr="004542B5">
        <w:rPr>
          <w:rFonts w:eastAsia="Calibri"/>
          <w:noProof w:val="0"/>
          <w:szCs w:val="20"/>
          <w:lang w:val="en-US"/>
        </w:rPr>
        <w:t>para.</w:t>
      </w:r>
      <w:r w:rsidR="007B47B1" w:rsidRPr="004542B5">
        <w:rPr>
          <w:rFonts w:eastAsia="Calibri"/>
          <w:noProof w:val="0"/>
          <w:szCs w:val="20"/>
          <w:lang w:val="en-US"/>
        </w:rPr>
        <w:t xml:space="preserve"> </w:t>
      </w:r>
      <w:r w:rsidR="00832CA7" w:rsidRPr="004542B5">
        <w:rPr>
          <w:rFonts w:eastAsia="Calibri"/>
          <w:noProof w:val="0"/>
          <w:szCs w:val="20"/>
          <w:lang w:val="en-US"/>
        </w:rPr>
        <w:t>91</w:t>
      </w:r>
      <w:r w:rsidR="007B47B1" w:rsidRPr="004542B5">
        <w:rPr>
          <w:rFonts w:eastAsia="Calibri"/>
          <w:noProof w:val="0"/>
          <w:szCs w:val="20"/>
          <w:lang w:val="en-US"/>
        </w:rPr>
        <w:t xml:space="preserve">). </w:t>
      </w:r>
    </w:p>
    <w:p w14:paraId="627963EF" w14:textId="1871DC43" w:rsidR="00CB0F37" w:rsidRPr="004542B5" w:rsidRDefault="00562CBB" w:rsidP="00E01664">
      <w:pPr>
        <w:pStyle w:val="ListParagraph"/>
        <w:numPr>
          <w:ilvl w:val="0"/>
          <w:numId w:val="2"/>
        </w:numPr>
        <w:spacing w:before="120" w:after="120"/>
        <w:contextualSpacing w:val="0"/>
        <w:rPr>
          <w:b/>
          <w:i/>
          <w:noProof w:val="0"/>
          <w:lang w:val="en-US"/>
        </w:rPr>
      </w:pPr>
      <w:r w:rsidRPr="004542B5">
        <w:rPr>
          <w:rFonts w:eastAsia="Calibri"/>
          <w:noProof w:val="0"/>
          <w:szCs w:val="20"/>
          <w:lang w:val="en-US"/>
        </w:rPr>
        <w:t>The Court</w:t>
      </w:r>
      <w:r w:rsidR="007B47B1" w:rsidRPr="004542B5">
        <w:rPr>
          <w:rFonts w:eastAsia="Calibri"/>
          <w:noProof w:val="0"/>
          <w:szCs w:val="20"/>
          <w:lang w:val="en-US"/>
        </w:rPr>
        <w:t xml:space="preserve"> not</w:t>
      </w:r>
      <w:r w:rsidR="00CB0F37" w:rsidRPr="004542B5">
        <w:rPr>
          <w:rFonts w:eastAsia="Calibri"/>
          <w:noProof w:val="0"/>
          <w:szCs w:val="20"/>
          <w:lang w:val="en-US"/>
        </w:rPr>
        <w:t>es that the said actions were filed under administrative and criminal jurisdictions</w:t>
      </w:r>
      <w:r w:rsidR="0014455B" w:rsidRPr="004542B5">
        <w:rPr>
          <w:rFonts w:eastAsia="Calibri"/>
          <w:noProof w:val="0"/>
          <w:szCs w:val="20"/>
          <w:lang w:val="en-US"/>
        </w:rPr>
        <w:t xml:space="preserve"> by representatives of the indigenous communities. The Court also notes that no arguments or evidence was submitted that would allow it to conclude that the general </w:t>
      </w:r>
      <w:r w:rsidR="00285F7A" w:rsidRPr="004542B5">
        <w:rPr>
          <w:rFonts w:eastAsia="Calibri"/>
          <w:noProof w:val="0"/>
          <w:szCs w:val="20"/>
          <w:lang w:val="en-US"/>
        </w:rPr>
        <w:t xml:space="preserve">legal </w:t>
      </w:r>
      <w:r w:rsidR="0014455B" w:rsidRPr="004542B5">
        <w:rPr>
          <w:rFonts w:eastAsia="Calibri"/>
          <w:noProof w:val="0"/>
          <w:szCs w:val="20"/>
          <w:lang w:val="en-US"/>
        </w:rPr>
        <w:t xml:space="preserve">actions established in the laws of Panama to evict third parties or to prosecute those who commit certain illegal acts in indigenous territories are not appropriate to comply with the objective sought by the communities or because the legal framework of the general or ordinary actions filed by the petitioners is not </w:t>
      </w:r>
      <w:r w:rsidR="006110CB" w:rsidRPr="004542B5">
        <w:rPr>
          <w:rFonts w:eastAsia="Calibri"/>
          <w:noProof w:val="0"/>
          <w:szCs w:val="20"/>
          <w:lang w:val="en-US"/>
        </w:rPr>
        <w:t>appropriate</w:t>
      </w:r>
      <w:r w:rsidR="0014455B" w:rsidRPr="004542B5">
        <w:rPr>
          <w:rFonts w:eastAsia="Calibri"/>
          <w:noProof w:val="0"/>
          <w:szCs w:val="20"/>
          <w:lang w:val="en-US"/>
        </w:rPr>
        <w:t xml:space="preserve"> to produce the same results as a specific remedy established for the collective territories of the indigenous communities. </w:t>
      </w:r>
    </w:p>
    <w:p w14:paraId="3576F3D1" w14:textId="50EADD2D" w:rsidR="0014455B" w:rsidRPr="004542B5" w:rsidRDefault="0014455B" w:rsidP="00E01664">
      <w:pPr>
        <w:pStyle w:val="ListParagraph"/>
        <w:numPr>
          <w:ilvl w:val="0"/>
          <w:numId w:val="2"/>
        </w:numPr>
        <w:spacing w:before="120" w:after="120"/>
        <w:contextualSpacing w:val="0"/>
        <w:rPr>
          <w:b/>
          <w:i/>
          <w:noProof w:val="0"/>
          <w:lang w:val="en-US"/>
        </w:rPr>
      </w:pPr>
      <w:r w:rsidRPr="004542B5">
        <w:rPr>
          <w:rFonts w:eastAsia="Calibri"/>
          <w:noProof w:val="0"/>
          <w:szCs w:val="20"/>
          <w:lang w:val="en-US"/>
        </w:rPr>
        <w:t xml:space="preserve">Furthermore, </w:t>
      </w:r>
      <w:r w:rsidR="00562CBB" w:rsidRPr="004542B5">
        <w:rPr>
          <w:noProof w:val="0"/>
          <w:lang w:val="en-US"/>
        </w:rPr>
        <w:t>the representatives</w:t>
      </w:r>
      <w:r w:rsidR="00CD2B90" w:rsidRPr="004542B5">
        <w:rPr>
          <w:noProof w:val="0"/>
          <w:lang w:val="en-US"/>
        </w:rPr>
        <w:t xml:space="preserve"> and </w:t>
      </w:r>
      <w:r w:rsidR="00562CBB" w:rsidRPr="004542B5">
        <w:rPr>
          <w:noProof w:val="0"/>
          <w:lang w:val="en-US"/>
        </w:rPr>
        <w:t>the Commission</w:t>
      </w:r>
      <w:r w:rsidRPr="004542B5">
        <w:rPr>
          <w:noProof w:val="0"/>
          <w:lang w:val="en-US"/>
        </w:rPr>
        <w:t xml:space="preserve"> also failed to explain why offense</w:t>
      </w:r>
      <w:r w:rsidR="00285F7A" w:rsidRPr="004542B5">
        <w:rPr>
          <w:noProof w:val="0"/>
          <w:lang w:val="en-US"/>
        </w:rPr>
        <w:t>s</w:t>
      </w:r>
      <w:r w:rsidRPr="004542B5">
        <w:rPr>
          <w:noProof w:val="0"/>
          <w:lang w:val="en-US"/>
        </w:rPr>
        <w:t xml:space="preserve"> that already exist under the Criminal Code do not protect the rights of the indigenous peoples with the same effectiveness, and how the lack of a specific offense or criminal proceeding results in a violation of the rights of the communities in this </w:t>
      </w:r>
      <w:r w:rsidR="00285F7A" w:rsidRPr="004542B5">
        <w:rPr>
          <w:noProof w:val="0"/>
          <w:lang w:val="en-US"/>
        </w:rPr>
        <w:t>particular</w:t>
      </w:r>
      <w:r w:rsidRPr="004542B5">
        <w:rPr>
          <w:noProof w:val="0"/>
          <w:lang w:val="en-US"/>
        </w:rPr>
        <w:t xml:space="preserve"> case.</w:t>
      </w:r>
    </w:p>
    <w:p w14:paraId="0159CC1D" w14:textId="3CDE7106" w:rsidR="00E51798" w:rsidRPr="004542B5" w:rsidRDefault="0014455B" w:rsidP="00E01664">
      <w:pPr>
        <w:pStyle w:val="ListParagraph"/>
        <w:numPr>
          <w:ilvl w:val="0"/>
          <w:numId w:val="2"/>
        </w:numPr>
        <w:spacing w:before="120" w:after="120"/>
        <w:contextualSpacing w:val="0"/>
        <w:rPr>
          <w:noProof w:val="0"/>
          <w:lang w:val="en-US"/>
        </w:rPr>
      </w:pPr>
      <w:r w:rsidRPr="004542B5">
        <w:rPr>
          <w:noProof w:val="0"/>
          <w:lang w:val="en-US"/>
        </w:rPr>
        <w:t>Regarding the second factor</w:t>
      </w:r>
      <w:r w:rsidR="007B47B1" w:rsidRPr="004542B5">
        <w:rPr>
          <w:noProof w:val="0"/>
          <w:lang w:val="en-US"/>
        </w:rPr>
        <w:t xml:space="preserve">, </w:t>
      </w:r>
      <w:r w:rsidR="00562CBB" w:rsidRPr="004542B5">
        <w:rPr>
          <w:noProof w:val="0"/>
          <w:lang w:val="en-US"/>
        </w:rPr>
        <w:t>the Court</w:t>
      </w:r>
      <w:r w:rsidR="007B47B1" w:rsidRPr="004542B5">
        <w:rPr>
          <w:noProof w:val="0"/>
          <w:lang w:val="en-US"/>
        </w:rPr>
        <w:t xml:space="preserve"> </w:t>
      </w:r>
      <w:r w:rsidRPr="004542B5">
        <w:rPr>
          <w:noProof w:val="0"/>
          <w:lang w:val="en-US"/>
        </w:rPr>
        <w:t>notes that</w:t>
      </w:r>
      <w:r w:rsidR="007B47B1" w:rsidRPr="004542B5">
        <w:rPr>
          <w:noProof w:val="0"/>
          <w:lang w:val="en-US"/>
        </w:rPr>
        <w:t xml:space="preserve"> </w:t>
      </w:r>
      <w:r w:rsidR="00562CBB" w:rsidRPr="004542B5">
        <w:rPr>
          <w:noProof w:val="0"/>
          <w:lang w:val="en-US"/>
        </w:rPr>
        <w:t>the representatives</w:t>
      </w:r>
      <w:r w:rsidR="00CD2B90" w:rsidRPr="004542B5">
        <w:rPr>
          <w:noProof w:val="0"/>
          <w:lang w:val="en-US"/>
        </w:rPr>
        <w:t xml:space="preserve"> and </w:t>
      </w:r>
      <w:r w:rsidR="00562CBB" w:rsidRPr="004542B5">
        <w:rPr>
          <w:noProof w:val="0"/>
          <w:lang w:val="en-US"/>
        </w:rPr>
        <w:t>the Commission</w:t>
      </w:r>
      <w:r w:rsidR="007B47B1" w:rsidRPr="004542B5">
        <w:rPr>
          <w:noProof w:val="0"/>
          <w:lang w:val="en-US"/>
        </w:rPr>
        <w:t xml:space="preserve"> </w:t>
      </w:r>
      <w:r w:rsidRPr="004542B5">
        <w:rPr>
          <w:noProof w:val="0"/>
          <w:lang w:val="en-US"/>
        </w:rPr>
        <w:t xml:space="preserve">did not indicate precisely how the lack of a competent authority to address the </w:t>
      </w:r>
      <w:r w:rsidR="006110CB" w:rsidRPr="004542B5">
        <w:rPr>
          <w:noProof w:val="0"/>
          <w:lang w:val="en-US"/>
        </w:rPr>
        <w:t>problem</w:t>
      </w:r>
      <w:r w:rsidRPr="004542B5">
        <w:rPr>
          <w:noProof w:val="0"/>
          <w:lang w:val="en-US"/>
        </w:rPr>
        <w:t xml:space="preserve"> of </w:t>
      </w:r>
      <w:r w:rsidR="00285F7A" w:rsidRPr="004542B5">
        <w:rPr>
          <w:noProof w:val="0"/>
          <w:lang w:val="en-US"/>
        </w:rPr>
        <w:t>settler</w:t>
      </w:r>
      <w:r w:rsidRPr="004542B5">
        <w:rPr>
          <w:noProof w:val="0"/>
          <w:lang w:val="en-US"/>
        </w:rPr>
        <w:t xml:space="preserve"> invasion </w:t>
      </w:r>
      <w:r w:rsidR="007B47B1" w:rsidRPr="004542B5">
        <w:rPr>
          <w:rFonts w:cs="Tahoma"/>
          <w:noProof w:val="0"/>
          <w:szCs w:val="20"/>
          <w:lang w:val="en-US"/>
        </w:rPr>
        <w:t>con</w:t>
      </w:r>
      <w:r w:rsidRPr="004542B5">
        <w:rPr>
          <w:rFonts w:cs="Tahoma"/>
          <w:noProof w:val="0"/>
          <w:szCs w:val="20"/>
          <w:lang w:val="en-US"/>
        </w:rPr>
        <w:t xml:space="preserve">stituted a violation of the rights of the communities in this case. To the contrary, the arguments presented indicate that </w:t>
      </w:r>
      <w:r w:rsidR="00285F7A" w:rsidRPr="004542B5">
        <w:rPr>
          <w:rFonts w:cs="Tahoma"/>
          <w:noProof w:val="0"/>
          <w:szCs w:val="20"/>
          <w:lang w:val="en-US"/>
        </w:rPr>
        <w:t xml:space="preserve">legal </w:t>
      </w:r>
      <w:r w:rsidRPr="004542B5">
        <w:rPr>
          <w:rFonts w:cs="Tahoma"/>
          <w:noProof w:val="0"/>
          <w:szCs w:val="20"/>
          <w:lang w:val="en-US"/>
        </w:rPr>
        <w:t xml:space="preserve">actions were filed in the domestic </w:t>
      </w:r>
      <w:r w:rsidRPr="004542B5">
        <w:rPr>
          <w:rFonts w:cs="Tahoma"/>
          <w:noProof w:val="0"/>
          <w:szCs w:val="20"/>
          <w:lang w:val="en-US"/>
        </w:rPr>
        <w:lastRenderedPageBreak/>
        <w:t>sphere, and that it was the lack of due diligence</w:t>
      </w:r>
      <w:r w:rsidR="00CD2B90" w:rsidRPr="004542B5">
        <w:rPr>
          <w:rFonts w:cs="Tahoma"/>
          <w:noProof w:val="0"/>
          <w:szCs w:val="20"/>
          <w:lang w:val="en-US"/>
        </w:rPr>
        <w:t xml:space="preserve"> </w:t>
      </w:r>
      <w:r w:rsidR="00E15EC0" w:rsidRPr="004542B5">
        <w:rPr>
          <w:rFonts w:cs="Tahoma"/>
          <w:noProof w:val="0"/>
          <w:szCs w:val="20"/>
          <w:lang w:val="en-US"/>
        </w:rPr>
        <w:t>of the authorities</w:t>
      </w:r>
      <w:r w:rsidR="007B47B1" w:rsidRPr="004542B5">
        <w:rPr>
          <w:rFonts w:cs="Tahoma"/>
          <w:noProof w:val="0"/>
          <w:szCs w:val="20"/>
          <w:lang w:val="en-US"/>
        </w:rPr>
        <w:t xml:space="preserve"> </w:t>
      </w:r>
      <w:r w:rsidRPr="004542B5">
        <w:rPr>
          <w:rFonts w:cs="Tahoma"/>
          <w:noProof w:val="0"/>
          <w:szCs w:val="20"/>
          <w:lang w:val="en-US"/>
        </w:rPr>
        <w:t xml:space="preserve">that resulted in their ineffectiveness </w:t>
      </w:r>
      <w:r w:rsidR="00285F7A" w:rsidRPr="004542B5">
        <w:rPr>
          <w:rFonts w:cs="Tahoma"/>
          <w:noProof w:val="0"/>
          <w:szCs w:val="20"/>
          <w:lang w:val="en-US"/>
        </w:rPr>
        <w:t>and not</w:t>
      </w:r>
      <w:r w:rsidRPr="004542B5">
        <w:rPr>
          <w:rFonts w:cs="Tahoma"/>
          <w:noProof w:val="0"/>
          <w:szCs w:val="20"/>
          <w:lang w:val="en-US"/>
        </w:rPr>
        <w:t xml:space="preserve"> the legal framework</w:t>
      </w:r>
      <w:r w:rsidR="007B47B1" w:rsidRPr="004542B5">
        <w:rPr>
          <w:rFonts w:cs="Tahoma"/>
          <w:noProof w:val="0"/>
          <w:szCs w:val="20"/>
          <w:lang w:val="en-US"/>
        </w:rPr>
        <w:t xml:space="preserve">. </w:t>
      </w:r>
    </w:p>
    <w:p w14:paraId="6CF8192C" w14:textId="4659CFBB" w:rsidR="00922EB6" w:rsidRPr="004542B5" w:rsidRDefault="0014455B" w:rsidP="00AA7A16">
      <w:pPr>
        <w:pStyle w:val="ListParagraph"/>
        <w:numPr>
          <w:ilvl w:val="0"/>
          <w:numId w:val="2"/>
        </w:numPr>
        <w:spacing w:before="120" w:after="120"/>
        <w:contextualSpacing w:val="0"/>
        <w:rPr>
          <w:noProof w:val="0"/>
          <w:lang w:val="en-US"/>
        </w:rPr>
      </w:pPr>
      <w:r w:rsidRPr="004542B5">
        <w:rPr>
          <w:rFonts w:cs="Tahoma"/>
          <w:noProof w:val="0"/>
          <w:szCs w:val="20"/>
          <w:lang w:val="en-US"/>
        </w:rPr>
        <w:t xml:space="preserve">Based on the above, the Court finds that </w:t>
      </w:r>
      <w:r w:rsidR="00285F7A" w:rsidRPr="004542B5">
        <w:rPr>
          <w:rFonts w:cs="Tahoma"/>
          <w:noProof w:val="0"/>
          <w:szCs w:val="20"/>
          <w:lang w:val="en-US"/>
        </w:rPr>
        <w:t xml:space="preserve">it has not been proved that </w:t>
      </w:r>
      <w:r w:rsidRPr="004542B5">
        <w:rPr>
          <w:rFonts w:cs="Tahoma"/>
          <w:noProof w:val="0"/>
          <w:szCs w:val="20"/>
          <w:lang w:val="en-US"/>
        </w:rPr>
        <w:t xml:space="preserve">the </w:t>
      </w:r>
      <w:r w:rsidR="00AA7A16" w:rsidRPr="004542B5">
        <w:rPr>
          <w:rFonts w:cs="Tahoma"/>
          <w:noProof w:val="0"/>
          <w:szCs w:val="20"/>
          <w:lang w:val="en-US"/>
        </w:rPr>
        <w:t>State fail</w:t>
      </w:r>
      <w:r w:rsidR="00285F7A" w:rsidRPr="004542B5">
        <w:rPr>
          <w:rFonts w:cs="Tahoma"/>
          <w:noProof w:val="0"/>
          <w:szCs w:val="20"/>
          <w:lang w:val="en-US"/>
        </w:rPr>
        <w:t>ed</w:t>
      </w:r>
      <w:r w:rsidR="00AA7A16" w:rsidRPr="004542B5">
        <w:rPr>
          <w:rFonts w:cs="Tahoma"/>
          <w:noProof w:val="0"/>
          <w:szCs w:val="20"/>
          <w:lang w:val="en-US"/>
        </w:rPr>
        <w:t xml:space="preserve"> to comply</w:t>
      </w:r>
      <w:r w:rsidRPr="004542B5">
        <w:rPr>
          <w:rFonts w:cs="Tahoma"/>
          <w:noProof w:val="0"/>
          <w:szCs w:val="20"/>
          <w:lang w:val="en-US"/>
        </w:rPr>
        <w:t xml:space="preserve"> with its obligation to adopt leg</w:t>
      </w:r>
      <w:r w:rsidR="00AA7A16" w:rsidRPr="004542B5">
        <w:rPr>
          <w:rFonts w:cs="Tahoma"/>
          <w:noProof w:val="0"/>
          <w:szCs w:val="20"/>
          <w:lang w:val="en-US"/>
        </w:rPr>
        <w:t>islative</w:t>
      </w:r>
      <w:r w:rsidRPr="004542B5">
        <w:rPr>
          <w:rFonts w:cs="Tahoma"/>
          <w:noProof w:val="0"/>
          <w:szCs w:val="20"/>
          <w:lang w:val="en-US"/>
        </w:rPr>
        <w:t xml:space="preserve"> or other </w:t>
      </w:r>
      <w:r w:rsidR="00AA7A16" w:rsidRPr="004542B5">
        <w:rPr>
          <w:rFonts w:cs="Tahoma"/>
          <w:noProof w:val="0"/>
          <w:szCs w:val="20"/>
          <w:lang w:val="en-US"/>
        </w:rPr>
        <w:t>measures</w:t>
      </w:r>
      <w:r w:rsidR="00DF2243" w:rsidRPr="004542B5">
        <w:rPr>
          <w:rFonts w:cs="Tahoma"/>
          <w:noProof w:val="0"/>
          <w:szCs w:val="20"/>
          <w:lang w:val="en-US"/>
        </w:rPr>
        <w:t xml:space="preserve">, </w:t>
      </w:r>
      <w:r w:rsidR="00AA7A16" w:rsidRPr="004542B5">
        <w:rPr>
          <w:rFonts w:cs="Tahoma"/>
          <w:noProof w:val="0"/>
          <w:szCs w:val="20"/>
          <w:lang w:val="en-US"/>
        </w:rPr>
        <w:t xml:space="preserve">contained in </w:t>
      </w:r>
      <w:r w:rsidR="00562CBB" w:rsidRPr="004542B5">
        <w:rPr>
          <w:noProof w:val="0"/>
          <w:lang w:val="en-US"/>
        </w:rPr>
        <w:t>Article</w:t>
      </w:r>
      <w:r w:rsidR="007B47B1" w:rsidRPr="004542B5">
        <w:rPr>
          <w:noProof w:val="0"/>
          <w:lang w:val="en-US"/>
        </w:rPr>
        <w:t xml:space="preserve"> 2</w:t>
      </w:r>
      <w:r w:rsidR="008A56D7" w:rsidRPr="004542B5">
        <w:rPr>
          <w:noProof w:val="0"/>
          <w:lang w:val="en-US"/>
        </w:rPr>
        <w:t xml:space="preserve"> of the </w:t>
      </w:r>
      <w:r w:rsidR="00562CBB" w:rsidRPr="004542B5">
        <w:rPr>
          <w:noProof w:val="0"/>
          <w:lang w:val="en-US"/>
        </w:rPr>
        <w:t>American Convention</w:t>
      </w:r>
      <w:r w:rsidR="007B47B1" w:rsidRPr="004542B5">
        <w:rPr>
          <w:noProof w:val="0"/>
          <w:lang w:val="en-US"/>
        </w:rPr>
        <w:t xml:space="preserve"> </w:t>
      </w:r>
      <w:r w:rsidR="00342385" w:rsidRPr="004542B5">
        <w:rPr>
          <w:noProof w:val="0"/>
          <w:lang w:val="en-US"/>
        </w:rPr>
        <w:t>in relation to</w:t>
      </w:r>
      <w:r w:rsidR="007B47B1" w:rsidRPr="004542B5">
        <w:rPr>
          <w:noProof w:val="0"/>
          <w:lang w:val="en-US"/>
        </w:rPr>
        <w:t xml:space="preserve"> </w:t>
      </w:r>
      <w:r w:rsidR="00562CBB" w:rsidRPr="004542B5">
        <w:rPr>
          <w:noProof w:val="0"/>
          <w:lang w:val="en-US"/>
        </w:rPr>
        <w:t>Article</w:t>
      </w:r>
      <w:r w:rsidR="007B47B1" w:rsidRPr="004542B5">
        <w:rPr>
          <w:noProof w:val="0"/>
          <w:lang w:val="en-US"/>
        </w:rPr>
        <w:t xml:space="preserve"> </w:t>
      </w:r>
      <w:r w:rsidR="00DE6766" w:rsidRPr="004542B5">
        <w:rPr>
          <w:noProof w:val="0"/>
          <w:lang w:val="en-US"/>
        </w:rPr>
        <w:t>8(1)</w:t>
      </w:r>
      <w:r w:rsidR="007B47B1" w:rsidRPr="004542B5">
        <w:rPr>
          <w:noProof w:val="0"/>
          <w:lang w:val="en-US"/>
        </w:rPr>
        <w:t xml:space="preserve"> </w:t>
      </w:r>
      <w:r w:rsidR="00AA7A16" w:rsidRPr="004542B5">
        <w:rPr>
          <w:noProof w:val="0"/>
          <w:lang w:val="en-US"/>
        </w:rPr>
        <w:t xml:space="preserve">of this instrument, </w:t>
      </w:r>
      <w:r w:rsidR="00342385" w:rsidRPr="004542B5">
        <w:rPr>
          <w:noProof w:val="0"/>
          <w:lang w:val="en-US"/>
        </w:rPr>
        <w:t>to the detriment of</w:t>
      </w:r>
      <w:r w:rsidR="00AA7A16" w:rsidRPr="004542B5">
        <w:rPr>
          <w:noProof w:val="0"/>
          <w:lang w:val="en-US"/>
        </w:rPr>
        <w:t xml:space="preserve"> the</w:t>
      </w:r>
      <w:r w:rsidR="007B47B1" w:rsidRPr="004542B5">
        <w:rPr>
          <w:noProof w:val="0"/>
          <w:lang w:val="en-US"/>
        </w:rPr>
        <w:t xml:space="preserve"> </w:t>
      </w:r>
      <w:r w:rsidR="002D29AE" w:rsidRPr="004542B5">
        <w:rPr>
          <w:noProof w:val="0"/>
          <w:lang w:val="en-US"/>
        </w:rPr>
        <w:t>Kuna people of</w:t>
      </w:r>
      <w:r w:rsidR="007B47B1" w:rsidRPr="004542B5">
        <w:rPr>
          <w:noProof w:val="0"/>
          <w:lang w:val="en-US"/>
        </w:rPr>
        <w:t xml:space="preserve"> </w:t>
      </w:r>
      <w:r w:rsidR="00053C14" w:rsidRPr="004542B5">
        <w:rPr>
          <w:noProof w:val="0"/>
          <w:lang w:val="en-US"/>
        </w:rPr>
        <w:t>Madungandí</w:t>
      </w:r>
      <w:r w:rsidR="00CD2B90" w:rsidRPr="004542B5">
        <w:rPr>
          <w:noProof w:val="0"/>
          <w:lang w:val="en-US"/>
        </w:rPr>
        <w:t xml:space="preserve"> and</w:t>
      </w:r>
      <w:r w:rsidR="00AA7A16" w:rsidRPr="004542B5">
        <w:rPr>
          <w:noProof w:val="0"/>
          <w:lang w:val="en-US"/>
        </w:rPr>
        <w:t xml:space="preserve"> the</w:t>
      </w:r>
      <w:r w:rsidR="007B47B1" w:rsidRPr="004542B5">
        <w:rPr>
          <w:noProof w:val="0"/>
          <w:lang w:val="en-US"/>
        </w:rPr>
        <w:t xml:space="preserve"> Emberá </w:t>
      </w:r>
      <w:r w:rsidR="00AA7A16" w:rsidRPr="004542B5">
        <w:rPr>
          <w:noProof w:val="0"/>
          <w:lang w:val="en-US"/>
        </w:rPr>
        <w:t xml:space="preserve">communities of Bayano </w:t>
      </w:r>
      <w:r w:rsidR="00CD2B90" w:rsidRPr="004542B5">
        <w:rPr>
          <w:noProof w:val="0"/>
          <w:lang w:val="en-US"/>
        </w:rPr>
        <w:t xml:space="preserve">and </w:t>
      </w:r>
      <w:r w:rsidR="00AA7A16" w:rsidRPr="004542B5">
        <w:rPr>
          <w:noProof w:val="0"/>
          <w:lang w:val="en-US"/>
        </w:rPr>
        <w:t>their respective members</w:t>
      </w:r>
      <w:r w:rsidR="00AA7A16" w:rsidRPr="004542B5">
        <w:rPr>
          <w:rFonts w:cs="Tahoma"/>
          <w:noProof w:val="0"/>
          <w:szCs w:val="20"/>
          <w:lang w:val="en-US"/>
        </w:rPr>
        <w:t xml:space="preserve">. </w:t>
      </w:r>
    </w:p>
    <w:p w14:paraId="04EAA660" w14:textId="61B7418D" w:rsidR="00E51798" w:rsidRPr="004542B5" w:rsidRDefault="007B47B1" w:rsidP="00D50381">
      <w:pPr>
        <w:pStyle w:val="ListParagraph"/>
        <w:keepNext/>
        <w:spacing w:before="360" w:after="360"/>
        <w:ind w:left="0"/>
        <w:contextualSpacing w:val="0"/>
        <w:jc w:val="center"/>
        <w:outlineLvl w:val="0"/>
        <w:rPr>
          <w:rFonts w:eastAsia="Times New Roman" w:cs="Verdana"/>
          <w:b/>
          <w:bCs/>
          <w:noProof w:val="0"/>
          <w:snapToGrid w:val="0"/>
          <w:szCs w:val="20"/>
          <w:lang w:val="en-US" w:eastAsia="es-ES"/>
        </w:rPr>
      </w:pPr>
      <w:bookmarkStart w:id="254" w:name="_Toc45200897"/>
      <w:r w:rsidRPr="004542B5">
        <w:rPr>
          <w:b/>
          <w:smallCaps/>
          <w:noProof w:val="0"/>
          <w:szCs w:val="20"/>
          <w:lang w:val="en-US"/>
        </w:rPr>
        <w:t>VII-3</w:t>
      </w:r>
      <w:r w:rsidRPr="004542B5">
        <w:rPr>
          <w:b/>
          <w:smallCaps/>
          <w:noProof w:val="0"/>
          <w:color w:val="FFFFFF" w:themeColor="background1"/>
          <w:szCs w:val="20"/>
          <w:lang w:val="en-US"/>
        </w:rPr>
        <w:t>.</w:t>
      </w:r>
      <w:r w:rsidRPr="004542B5">
        <w:rPr>
          <w:b/>
          <w:smallCaps/>
          <w:noProof w:val="0"/>
          <w:szCs w:val="20"/>
          <w:lang w:val="en-US"/>
        </w:rPr>
        <w:br/>
      </w:r>
      <w:r w:rsidR="00B902E7" w:rsidRPr="004542B5">
        <w:rPr>
          <w:rFonts w:eastAsia="Times New Roman" w:cs="Verdana"/>
          <w:b/>
          <w:bCs/>
          <w:noProof w:val="0"/>
          <w:snapToGrid w:val="0"/>
          <w:szCs w:val="20"/>
          <w:lang w:val="en-US" w:eastAsia="es-ES"/>
        </w:rPr>
        <w:t>OBLIGATION TO ENSURE AND RESPECT RIGHTS WITHOUT DISCRIMINATION BASED ON ETHNIC ORIGIN AND TO PROVIDE EQUAL PROTECTION BEFORE THE LAW</w:t>
      </w:r>
      <w:r w:rsidR="00FB6A21" w:rsidRPr="004542B5">
        <w:rPr>
          <w:rFonts w:eastAsia="Times New Roman" w:cs="Verdana"/>
          <w:b/>
          <w:bCs/>
          <w:noProof w:val="0"/>
          <w:snapToGrid w:val="0"/>
          <w:szCs w:val="20"/>
          <w:lang w:val="en-US" w:eastAsia="es-ES"/>
        </w:rPr>
        <w:br/>
        <w:t>(</w:t>
      </w:r>
      <w:r w:rsidR="00562CBB" w:rsidRPr="004542B5">
        <w:rPr>
          <w:rFonts w:eastAsia="Times New Roman" w:cs="Verdana"/>
          <w:b/>
          <w:bCs/>
          <w:noProof w:val="0"/>
          <w:snapToGrid w:val="0"/>
          <w:szCs w:val="20"/>
          <w:lang w:val="en-US" w:eastAsia="es-ES"/>
        </w:rPr>
        <w:t>Article</w:t>
      </w:r>
      <w:r w:rsidR="00FB6A21" w:rsidRPr="004542B5">
        <w:rPr>
          <w:rFonts w:eastAsia="Times New Roman" w:cs="Verdana"/>
          <w:b/>
          <w:bCs/>
          <w:noProof w:val="0"/>
          <w:snapToGrid w:val="0"/>
          <w:szCs w:val="20"/>
          <w:lang w:val="en-US" w:eastAsia="es-ES"/>
        </w:rPr>
        <w:t xml:space="preserve"> 24</w:t>
      </w:r>
      <w:r w:rsidRPr="004542B5">
        <w:rPr>
          <w:rFonts w:eastAsia="Times New Roman" w:cs="Verdana"/>
          <w:b/>
          <w:bCs/>
          <w:noProof w:val="0"/>
          <w:snapToGrid w:val="0"/>
          <w:szCs w:val="20"/>
          <w:lang w:val="en-US" w:eastAsia="es-ES"/>
        </w:rPr>
        <w:t xml:space="preserve"> </w:t>
      </w:r>
      <w:r w:rsidR="00B902E7" w:rsidRPr="004542B5">
        <w:rPr>
          <w:rFonts w:eastAsia="Times New Roman" w:cs="Verdana"/>
          <w:b/>
          <w:bCs/>
          <w:noProof w:val="0"/>
          <w:snapToGrid w:val="0"/>
          <w:szCs w:val="20"/>
          <w:lang w:val="en-US" w:eastAsia="es-ES"/>
        </w:rPr>
        <w:t>in relation to Article 1(1) of the Convention</w:t>
      </w:r>
      <w:r w:rsidRPr="004542B5">
        <w:rPr>
          <w:rFonts w:eastAsia="Times New Roman" w:cs="Verdana"/>
          <w:b/>
          <w:bCs/>
          <w:noProof w:val="0"/>
          <w:snapToGrid w:val="0"/>
          <w:szCs w:val="20"/>
          <w:lang w:val="en-US" w:eastAsia="es-ES"/>
        </w:rPr>
        <w:t>)</w:t>
      </w:r>
      <w:bookmarkEnd w:id="254"/>
    </w:p>
    <w:p w14:paraId="38FD536B" w14:textId="44CA39AD" w:rsidR="00D555D4" w:rsidRPr="004542B5" w:rsidRDefault="007B47B1" w:rsidP="00D50381">
      <w:pPr>
        <w:pStyle w:val="Heading2"/>
        <w:keepLines w:val="0"/>
        <w:numPr>
          <w:ilvl w:val="0"/>
          <w:numId w:val="0"/>
        </w:numPr>
        <w:ind w:left="720"/>
        <w:rPr>
          <w:noProof w:val="0"/>
          <w:lang w:val="en-US"/>
        </w:rPr>
      </w:pPr>
      <w:bookmarkStart w:id="255" w:name="_Toc45200898"/>
      <w:r w:rsidRPr="004542B5">
        <w:rPr>
          <w:noProof w:val="0"/>
          <w:lang w:val="en-US"/>
        </w:rPr>
        <w:t xml:space="preserve">A. </w:t>
      </w:r>
      <w:r w:rsidR="00EC434E" w:rsidRPr="004542B5">
        <w:rPr>
          <w:noProof w:val="0"/>
          <w:lang w:val="en-US"/>
        </w:rPr>
        <w:t>Arguments</w:t>
      </w:r>
      <w:r w:rsidR="008A56D7" w:rsidRPr="004542B5">
        <w:rPr>
          <w:noProof w:val="0"/>
          <w:lang w:val="en-US"/>
        </w:rPr>
        <w:t xml:space="preserve"> of the </w:t>
      </w:r>
      <w:r w:rsidR="00562CBB" w:rsidRPr="004542B5">
        <w:rPr>
          <w:noProof w:val="0"/>
          <w:lang w:val="en-US"/>
        </w:rPr>
        <w:t>Commission</w:t>
      </w:r>
      <w:r w:rsidR="00CD2B90" w:rsidRPr="004542B5">
        <w:rPr>
          <w:noProof w:val="0"/>
          <w:lang w:val="en-US"/>
        </w:rPr>
        <w:t xml:space="preserve"> and </w:t>
      </w:r>
      <w:r w:rsidR="00B902E7" w:rsidRPr="004542B5">
        <w:rPr>
          <w:noProof w:val="0"/>
          <w:lang w:val="en-US"/>
        </w:rPr>
        <w:t>of the parties</w:t>
      </w:r>
      <w:bookmarkEnd w:id="255"/>
      <w:r w:rsidRPr="004542B5">
        <w:rPr>
          <w:noProof w:val="0"/>
          <w:lang w:val="en-US"/>
        </w:rPr>
        <w:t xml:space="preserve"> </w:t>
      </w:r>
    </w:p>
    <w:p w14:paraId="4BC6C932" w14:textId="3D41AB4A" w:rsidR="008E6D31" w:rsidRPr="004542B5" w:rsidRDefault="00CC49B2" w:rsidP="008E6D31">
      <w:pPr>
        <w:pStyle w:val="ListParagraph"/>
        <w:keepNext/>
        <w:numPr>
          <w:ilvl w:val="0"/>
          <w:numId w:val="2"/>
        </w:numPr>
        <w:spacing w:before="120" w:after="120"/>
        <w:contextualSpacing w:val="0"/>
        <w:rPr>
          <w:noProof w:val="0"/>
          <w:szCs w:val="20"/>
          <w:lang w:val="en-US"/>
        </w:rPr>
      </w:pPr>
      <w:r w:rsidRPr="004542B5">
        <w:rPr>
          <w:rFonts w:cs="Tahoma"/>
          <w:noProof w:val="0"/>
          <w:szCs w:val="20"/>
          <w:lang w:val="en-US"/>
        </w:rPr>
        <w:t>With regard</w:t>
      </w:r>
      <w:r w:rsidR="00342385" w:rsidRPr="004542B5">
        <w:rPr>
          <w:rFonts w:cs="Tahoma"/>
          <w:noProof w:val="0"/>
          <w:szCs w:val="20"/>
          <w:lang w:val="en-US"/>
        </w:rPr>
        <w:t xml:space="preserve"> to</w:t>
      </w:r>
      <w:r w:rsidR="007B47B1" w:rsidRPr="004542B5">
        <w:rPr>
          <w:rFonts w:cs="Tahoma"/>
          <w:noProof w:val="0"/>
          <w:szCs w:val="20"/>
          <w:lang w:val="en-US"/>
        </w:rPr>
        <w:t xml:space="preserve"> </w:t>
      </w:r>
      <w:r w:rsidRPr="004542B5">
        <w:rPr>
          <w:rFonts w:cs="Tahoma"/>
          <w:noProof w:val="0"/>
          <w:szCs w:val="20"/>
          <w:lang w:val="en-US"/>
        </w:rPr>
        <w:t>the presumed violation of the obligation to respect and ensure the rights of the Kuna and Emberá communities without discrimination, the Commission indicated that article 126 of the Panamanian Constitution</w:t>
      </w:r>
      <w:r w:rsidR="008E6D31" w:rsidRPr="004542B5">
        <w:rPr>
          <w:rFonts w:cs="Tahoma"/>
          <w:noProof w:val="0"/>
          <w:szCs w:val="20"/>
          <w:lang w:val="en-US"/>
        </w:rPr>
        <w:t xml:space="preserve"> </w:t>
      </w:r>
      <w:r w:rsidRPr="004542B5">
        <w:rPr>
          <w:rFonts w:cs="Tahoma"/>
          <w:noProof w:val="0"/>
          <w:szCs w:val="20"/>
          <w:lang w:val="en-US"/>
        </w:rPr>
        <w:t xml:space="preserve">refers to a policy of an assimilationist nature in relation to the indigenous peoples </w:t>
      </w:r>
      <w:r w:rsidR="008E6D31" w:rsidRPr="004542B5">
        <w:rPr>
          <w:rFonts w:cs="Tahoma"/>
          <w:noProof w:val="0"/>
          <w:szCs w:val="20"/>
          <w:lang w:val="en-US"/>
        </w:rPr>
        <w:t>– addressed at</w:t>
      </w:r>
      <w:r w:rsidRPr="004542B5">
        <w:rPr>
          <w:rFonts w:cs="Tahoma"/>
          <w:noProof w:val="0"/>
          <w:szCs w:val="20"/>
          <w:lang w:val="en-US"/>
        </w:rPr>
        <w:t xml:space="preserve"> achieving the purposes of </w:t>
      </w:r>
      <w:r w:rsidR="008E6D31" w:rsidRPr="004542B5">
        <w:rPr>
          <w:rFonts w:cs="Tahoma"/>
          <w:noProof w:val="0"/>
          <w:szCs w:val="20"/>
          <w:lang w:val="en-US"/>
        </w:rPr>
        <w:t>the country’s</w:t>
      </w:r>
      <w:r w:rsidRPr="004542B5">
        <w:rPr>
          <w:rFonts w:cs="Tahoma"/>
          <w:noProof w:val="0"/>
          <w:szCs w:val="20"/>
          <w:lang w:val="en-US"/>
        </w:rPr>
        <w:t xml:space="preserve"> agricultural policy</w:t>
      </w:r>
      <w:r w:rsidR="008E6D31" w:rsidRPr="004542B5">
        <w:rPr>
          <w:rFonts w:cs="Tahoma"/>
          <w:noProof w:val="0"/>
          <w:szCs w:val="20"/>
          <w:lang w:val="en-US"/>
        </w:rPr>
        <w:t xml:space="preserve"> – </w:t>
      </w:r>
      <w:r w:rsidRPr="004542B5">
        <w:rPr>
          <w:rFonts w:cs="Tahoma"/>
          <w:noProof w:val="0"/>
          <w:szCs w:val="20"/>
          <w:lang w:val="en-US"/>
        </w:rPr>
        <w:t xml:space="preserve">“that has been overtaken </w:t>
      </w:r>
      <w:r w:rsidR="00DF2243" w:rsidRPr="004542B5">
        <w:rPr>
          <w:rFonts w:cs="Tahoma"/>
          <w:noProof w:val="0"/>
          <w:szCs w:val="20"/>
          <w:lang w:val="en-US"/>
        </w:rPr>
        <w:t>owing to</w:t>
      </w:r>
      <w:r w:rsidRPr="004542B5">
        <w:rPr>
          <w:rFonts w:cs="Tahoma"/>
          <w:noProof w:val="0"/>
          <w:szCs w:val="20"/>
          <w:lang w:val="en-US"/>
        </w:rPr>
        <w:t xml:space="preserve"> the development of international human rights law</w:t>
      </w:r>
      <w:r w:rsidR="008E6D31" w:rsidRPr="004542B5">
        <w:rPr>
          <w:noProof w:val="0"/>
          <w:szCs w:val="20"/>
          <w:lang w:val="en-US"/>
        </w:rPr>
        <w:t>.</w:t>
      </w:r>
      <w:r w:rsidR="007B47B1" w:rsidRPr="004542B5">
        <w:rPr>
          <w:rFonts w:cs="Tahoma"/>
          <w:noProof w:val="0"/>
          <w:szCs w:val="20"/>
          <w:lang w:val="en-US"/>
        </w:rPr>
        <w:t>”</w:t>
      </w:r>
      <w:r w:rsidR="00EA1F10" w:rsidRPr="004542B5">
        <w:rPr>
          <w:rStyle w:val="FootnoteReference"/>
          <w:rFonts w:cs="Tahoma"/>
          <w:noProof w:val="0"/>
          <w:lang w:val="en-US"/>
        </w:rPr>
        <w:footnoteReference w:id="249"/>
      </w:r>
      <w:r w:rsidR="008E6D31" w:rsidRPr="004542B5">
        <w:rPr>
          <w:rFonts w:cs="Tahoma"/>
          <w:noProof w:val="0"/>
          <w:szCs w:val="20"/>
          <w:lang w:val="en-US"/>
        </w:rPr>
        <w:t xml:space="preserve"> It added that the fact that this provision is still included in domestic law signifies the persistence of discriminatory factors in relation to the right to collective property of these peoples. It also observed that there was a lack of equal protection of indigenous property that contrasted with the measures taken to promote </w:t>
      </w:r>
      <w:r w:rsidR="00DF2243" w:rsidRPr="004542B5">
        <w:rPr>
          <w:rFonts w:cs="Tahoma"/>
          <w:noProof w:val="0"/>
          <w:szCs w:val="20"/>
          <w:lang w:val="en-US"/>
        </w:rPr>
        <w:t>land</w:t>
      </w:r>
      <w:r w:rsidR="008E6D31" w:rsidRPr="004542B5">
        <w:rPr>
          <w:rFonts w:cs="Tahoma"/>
          <w:noProof w:val="0"/>
          <w:szCs w:val="20"/>
          <w:lang w:val="en-US"/>
        </w:rPr>
        <w:t xml:space="preserve"> appropriation by non-indigenous people, such as the adjudication of land with individual </w:t>
      </w:r>
      <w:r w:rsidR="00216D0B" w:rsidRPr="004542B5">
        <w:rPr>
          <w:rFonts w:cs="Tahoma"/>
          <w:noProof w:val="0"/>
          <w:szCs w:val="20"/>
          <w:lang w:val="en-US"/>
        </w:rPr>
        <w:t xml:space="preserve">property </w:t>
      </w:r>
      <w:r w:rsidR="008E6D31" w:rsidRPr="004542B5">
        <w:rPr>
          <w:rFonts w:cs="Tahoma"/>
          <w:noProof w:val="0"/>
          <w:szCs w:val="20"/>
          <w:lang w:val="en-US"/>
        </w:rPr>
        <w:t>titles.</w:t>
      </w:r>
      <w:r w:rsidR="00216D0B" w:rsidRPr="004542B5">
        <w:rPr>
          <w:noProof w:val="0"/>
          <w:szCs w:val="20"/>
          <w:lang w:val="en-US"/>
        </w:rPr>
        <w:t xml:space="preserve"> </w:t>
      </w:r>
      <w:r w:rsidR="008E6D31" w:rsidRPr="004542B5">
        <w:rPr>
          <w:rFonts w:cs="Tahoma"/>
          <w:noProof w:val="0"/>
          <w:szCs w:val="20"/>
          <w:lang w:val="en-US"/>
        </w:rPr>
        <w:t xml:space="preserve">In addition, it indicated that </w:t>
      </w:r>
      <w:r w:rsidR="00216D0B" w:rsidRPr="004542B5">
        <w:rPr>
          <w:rFonts w:cs="Tahoma"/>
          <w:noProof w:val="0"/>
          <w:szCs w:val="20"/>
          <w:lang w:val="en-US"/>
        </w:rPr>
        <w:t>there had been</w:t>
      </w:r>
      <w:r w:rsidR="00DF2243" w:rsidRPr="004542B5">
        <w:rPr>
          <w:rFonts w:cs="Tahoma"/>
          <w:noProof w:val="0"/>
          <w:szCs w:val="20"/>
          <w:lang w:val="en-US"/>
        </w:rPr>
        <w:t xml:space="preserve"> a</w:t>
      </w:r>
      <w:r w:rsidR="00216D0B" w:rsidRPr="004542B5">
        <w:rPr>
          <w:rFonts w:cs="Tahoma"/>
          <w:noProof w:val="0"/>
          <w:szCs w:val="20"/>
          <w:lang w:val="en-US"/>
        </w:rPr>
        <w:t xml:space="preserve"> systematic disregard</w:t>
      </w:r>
      <w:r w:rsidR="00DF2243" w:rsidRPr="004542B5">
        <w:rPr>
          <w:rFonts w:cs="Tahoma"/>
          <w:noProof w:val="0"/>
          <w:szCs w:val="20"/>
          <w:lang w:val="en-US"/>
        </w:rPr>
        <w:t xml:space="preserve"> of,</w:t>
      </w:r>
      <w:r w:rsidR="00216D0B" w:rsidRPr="004542B5">
        <w:rPr>
          <w:rFonts w:cs="Tahoma"/>
          <w:noProof w:val="0"/>
          <w:szCs w:val="20"/>
          <w:lang w:val="en-US"/>
        </w:rPr>
        <w:t xml:space="preserve"> and non-compliance with</w:t>
      </w:r>
      <w:r w:rsidR="00DF2243" w:rsidRPr="004542B5">
        <w:rPr>
          <w:rFonts w:cs="Tahoma"/>
          <w:noProof w:val="0"/>
          <w:szCs w:val="20"/>
          <w:lang w:val="en-US"/>
        </w:rPr>
        <w:t>,</w:t>
      </w:r>
      <w:r w:rsidR="00216D0B" w:rsidRPr="004542B5">
        <w:rPr>
          <w:rFonts w:cs="Tahoma"/>
          <w:noProof w:val="0"/>
          <w:szCs w:val="20"/>
          <w:lang w:val="en-US"/>
        </w:rPr>
        <w:t xml:space="preserve"> the commitments made to the Kuna and Emberá peoples and that the State had failed to take measures of prevention and protection in relation to the invasion of settlers and illegal logging activities.</w:t>
      </w:r>
    </w:p>
    <w:p w14:paraId="334C38AE" w14:textId="0AF91AA6" w:rsidR="00216D0B" w:rsidRPr="004542B5" w:rsidRDefault="00562CBB" w:rsidP="00216D0B">
      <w:pPr>
        <w:pStyle w:val="ListParagraph"/>
        <w:numPr>
          <w:ilvl w:val="0"/>
          <w:numId w:val="2"/>
        </w:numPr>
        <w:spacing w:before="120" w:after="120"/>
        <w:contextualSpacing w:val="0"/>
        <w:rPr>
          <w:noProof w:val="0"/>
          <w:szCs w:val="20"/>
          <w:lang w:val="en-US"/>
        </w:rPr>
      </w:pPr>
      <w:r w:rsidRPr="004542B5">
        <w:rPr>
          <w:rFonts w:eastAsia="Calibri"/>
          <w:noProof w:val="0"/>
          <w:szCs w:val="20"/>
          <w:lang w:val="en-US"/>
        </w:rPr>
        <w:t>The representatives</w:t>
      </w:r>
      <w:r w:rsidR="007B47B1" w:rsidRPr="004542B5">
        <w:rPr>
          <w:rFonts w:eastAsia="Calibri"/>
          <w:noProof w:val="0"/>
          <w:szCs w:val="20"/>
          <w:lang w:val="en-US"/>
        </w:rPr>
        <w:t xml:space="preserve"> a</w:t>
      </w:r>
      <w:r w:rsidR="00216D0B" w:rsidRPr="004542B5">
        <w:rPr>
          <w:rFonts w:eastAsia="Calibri"/>
          <w:noProof w:val="0"/>
          <w:szCs w:val="20"/>
          <w:lang w:val="en-US"/>
        </w:rPr>
        <w:t xml:space="preserve">dded that the mere fact of failing to provide a prompt, rapid and effective response to the requests and claims of the Kuna and Emberá “is a clear example of </w:t>
      </w:r>
      <w:r w:rsidR="00DF2243" w:rsidRPr="004542B5">
        <w:rPr>
          <w:rFonts w:eastAsia="Calibri"/>
          <w:noProof w:val="0"/>
          <w:szCs w:val="20"/>
          <w:lang w:val="en-US"/>
        </w:rPr>
        <w:t>the S</w:t>
      </w:r>
      <w:r w:rsidR="00216D0B" w:rsidRPr="004542B5">
        <w:rPr>
          <w:rFonts w:eastAsia="Calibri"/>
          <w:noProof w:val="0"/>
          <w:szCs w:val="20"/>
          <w:lang w:val="en-US"/>
        </w:rPr>
        <w:t>tate</w:t>
      </w:r>
      <w:r w:rsidR="00DF2243" w:rsidRPr="004542B5">
        <w:rPr>
          <w:rFonts w:eastAsia="Calibri"/>
          <w:noProof w:val="0"/>
          <w:szCs w:val="20"/>
          <w:lang w:val="en-US"/>
        </w:rPr>
        <w:t>’s</w:t>
      </w:r>
      <w:r w:rsidR="00216D0B" w:rsidRPr="004542B5">
        <w:rPr>
          <w:rFonts w:eastAsia="Calibri"/>
          <w:noProof w:val="0"/>
          <w:szCs w:val="20"/>
          <w:lang w:val="en-US"/>
        </w:rPr>
        <w:t xml:space="preserve"> discrimination against these peoples and the lack of equality before the law.” They also indicated that the absence of an adequate procedure to prevent land invasions and the destruction of natural resources; the delay in the delimitation, demarcation and titling of the territories of the Kuna of Madungandí and the Emberá of Alto Bayano, as well as the failure to pay just and prompt compensation for the loss of their lands, natural resources, culture and spirituality, “reflects discrimination by the State against the indigenous peoples</w:t>
      </w:r>
      <w:r w:rsidR="005048A0" w:rsidRPr="004542B5">
        <w:rPr>
          <w:rFonts w:eastAsia="Calibri"/>
          <w:noProof w:val="0"/>
          <w:szCs w:val="20"/>
          <w:lang w:val="en-US"/>
        </w:rPr>
        <w:t xml:space="preserve">.” They added that individual property titles </w:t>
      </w:r>
      <w:r w:rsidR="00DF2243" w:rsidRPr="004542B5">
        <w:rPr>
          <w:rFonts w:eastAsia="Calibri"/>
          <w:noProof w:val="0"/>
          <w:szCs w:val="20"/>
          <w:lang w:val="en-US"/>
        </w:rPr>
        <w:t>we</w:t>
      </w:r>
      <w:r w:rsidR="005048A0" w:rsidRPr="004542B5">
        <w:rPr>
          <w:rFonts w:eastAsia="Calibri"/>
          <w:noProof w:val="0"/>
          <w:szCs w:val="20"/>
          <w:lang w:val="en-US"/>
        </w:rPr>
        <w:t>re awarded more rapidly than collective property titles.</w:t>
      </w:r>
    </w:p>
    <w:p w14:paraId="6E55B388" w14:textId="53E68972" w:rsidR="00D555D4" w:rsidRPr="004542B5" w:rsidRDefault="00562CBB" w:rsidP="005048A0">
      <w:pPr>
        <w:pStyle w:val="ListParagraph"/>
        <w:numPr>
          <w:ilvl w:val="0"/>
          <w:numId w:val="2"/>
        </w:numPr>
        <w:spacing w:before="120" w:after="120"/>
        <w:contextualSpacing w:val="0"/>
        <w:rPr>
          <w:noProof w:val="0"/>
          <w:szCs w:val="20"/>
          <w:lang w:val="en-US"/>
        </w:rPr>
      </w:pPr>
      <w:r w:rsidRPr="004542B5">
        <w:rPr>
          <w:noProof w:val="0"/>
          <w:szCs w:val="20"/>
          <w:lang w:val="en-US"/>
        </w:rPr>
        <w:t>The State</w:t>
      </w:r>
      <w:r w:rsidR="007B47B1" w:rsidRPr="004542B5">
        <w:rPr>
          <w:noProof w:val="0"/>
          <w:szCs w:val="20"/>
          <w:lang w:val="en-US"/>
        </w:rPr>
        <w:t xml:space="preserve"> argu</w:t>
      </w:r>
      <w:r w:rsidR="005048A0" w:rsidRPr="004542B5">
        <w:rPr>
          <w:noProof w:val="0"/>
          <w:szCs w:val="20"/>
          <w:lang w:val="en-US"/>
        </w:rPr>
        <w:t>ed that the alleged di</w:t>
      </w:r>
      <w:r w:rsidR="00DF2243" w:rsidRPr="004542B5">
        <w:rPr>
          <w:noProof w:val="0"/>
          <w:szCs w:val="20"/>
          <w:lang w:val="en-US"/>
        </w:rPr>
        <w:t>stinction</w:t>
      </w:r>
      <w:r w:rsidR="005048A0" w:rsidRPr="004542B5">
        <w:rPr>
          <w:noProof w:val="0"/>
          <w:szCs w:val="20"/>
          <w:lang w:val="en-US"/>
        </w:rPr>
        <w:t xml:space="preserve"> based on certain criteria did </w:t>
      </w:r>
      <w:r w:rsidR="006110CB" w:rsidRPr="004542B5">
        <w:rPr>
          <w:noProof w:val="0"/>
          <w:szCs w:val="20"/>
          <w:lang w:val="en-US"/>
        </w:rPr>
        <w:t>not</w:t>
      </w:r>
      <w:r w:rsidR="005048A0" w:rsidRPr="004542B5">
        <w:rPr>
          <w:noProof w:val="0"/>
          <w:szCs w:val="20"/>
          <w:lang w:val="en-US"/>
        </w:rPr>
        <w:t xml:space="preserve"> exist and neither did the State have segregationist intentions; rather, the State had revealed its permanent concern to integrate all the components of its nation. It added that the presumed victims had not specified which domestic norms had an assimilationist nature that prejudiced their ancestral territories and mentioned that </w:t>
      </w:r>
      <w:r w:rsidR="008B3891" w:rsidRPr="004542B5">
        <w:rPr>
          <w:noProof w:val="0"/>
          <w:szCs w:val="20"/>
          <w:lang w:val="en-US"/>
        </w:rPr>
        <w:t>Resolution</w:t>
      </w:r>
      <w:r w:rsidR="007B47B1" w:rsidRPr="004542B5">
        <w:rPr>
          <w:noProof w:val="0"/>
          <w:szCs w:val="20"/>
          <w:lang w:val="en-US"/>
        </w:rPr>
        <w:t xml:space="preserve"> ADMG-001 </w:t>
      </w:r>
      <w:r w:rsidR="005048A0" w:rsidRPr="004542B5">
        <w:rPr>
          <w:noProof w:val="0"/>
          <w:szCs w:val="20"/>
          <w:lang w:val="en-US"/>
        </w:rPr>
        <w:t>of</w:t>
      </w:r>
      <w:r w:rsidR="007B47B1" w:rsidRPr="004542B5">
        <w:rPr>
          <w:noProof w:val="0"/>
          <w:szCs w:val="20"/>
          <w:lang w:val="en-US"/>
        </w:rPr>
        <w:t xml:space="preserve"> 2012 (</w:t>
      </w:r>
      <w:r w:rsidR="007B47B1" w:rsidRPr="004542B5">
        <w:rPr>
          <w:i/>
          <w:noProof w:val="0"/>
          <w:szCs w:val="20"/>
          <w:lang w:val="en-US"/>
        </w:rPr>
        <w:t>supra</w:t>
      </w:r>
      <w:r w:rsidR="007B47B1" w:rsidRPr="004542B5">
        <w:rPr>
          <w:noProof w:val="0"/>
          <w:szCs w:val="20"/>
          <w:lang w:val="en-US"/>
        </w:rPr>
        <w:t xml:space="preserve"> </w:t>
      </w:r>
      <w:r w:rsidR="00F66B76" w:rsidRPr="004542B5">
        <w:rPr>
          <w:noProof w:val="0"/>
          <w:szCs w:val="20"/>
          <w:lang w:val="en-US"/>
        </w:rPr>
        <w:t>para.</w:t>
      </w:r>
      <w:r w:rsidR="007B47B1" w:rsidRPr="004542B5">
        <w:rPr>
          <w:noProof w:val="0"/>
          <w:szCs w:val="20"/>
          <w:lang w:val="en-US"/>
        </w:rPr>
        <w:t xml:space="preserve"> </w:t>
      </w:r>
      <w:r w:rsidR="0061505C" w:rsidRPr="004542B5">
        <w:rPr>
          <w:noProof w:val="0"/>
          <w:szCs w:val="20"/>
          <w:lang w:val="en-US"/>
        </w:rPr>
        <w:t>83</w:t>
      </w:r>
      <w:r w:rsidR="007B47B1" w:rsidRPr="004542B5">
        <w:rPr>
          <w:noProof w:val="0"/>
          <w:szCs w:val="20"/>
          <w:lang w:val="en-US"/>
        </w:rPr>
        <w:t xml:space="preserve">) </w:t>
      </w:r>
      <w:r w:rsidR="005048A0" w:rsidRPr="004542B5">
        <w:rPr>
          <w:noProof w:val="0"/>
          <w:szCs w:val="20"/>
          <w:lang w:val="en-US"/>
        </w:rPr>
        <w:t>had only suspended the processing of private property titles and not of collective titles</w:t>
      </w:r>
      <w:r w:rsidR="00DF2243" w:rsidRPr="004542B5">
        <w:rPr>
          <w:noProof w:val="0"/>
          <w:szCs w:val="20"/>
          <w:lang w:val="en-US"/>
        </w:rPr>
        <w:t>;</w:t>
      </w:r>
      <w:r w:rsidR="005048A0" w:rsidRPr="004542B5">
        <w:rPr>
          <w:noProof w:val="0"/>
          <w:szCs w:val="20"/>
          <w:lang w:val="en-US"/>
        </w:rPr>
        <w:t xml:space="preserve"> </w:t>
      </w:r>
      <w:r w:rsidR="00DF2243" w:rsidRPr="004542B5">
        <w:rPr>
          <w:noProof w:val="0"/>
          <w:szCs w:val="20"/>
          <w:lang w:val="en-US"/>
        </w:rPr>
        <w:t>this</w:t>
      </w:r>
      <w:r w:rsidR="005048A0" w:rsidRPr="004542B5">
        <w:rPr>
          <w:noProof w:val="0"/>
          <w:szCs w:val="20"/>
          <w:lang w:val="en-US"/>
        </w:rPr>
        <w:t xml:space="preserve"> meant that </w:t>
      </w:r>
      <w:r w:rsidR="00DF2243" w:rsidRPr="004542B5">
        <w:rPr>
          <w:noProof w:val="0"/>
          <w:szCs w:val="20"/>
          <w:lang w:val="en-US"/>
        </w:rPr>
        <w:t xml:space="preserve">it was </w:t>
      </w:r>
      <w:r w:rsidR="005048A0" w:rsidRPr="004542B5">
        <w:rPr>
          <w:noProof w:val="0"/>
          <w:szCs w:val="20"/>
          <w:lang w:val="en-US"/>
        </w:rPr>
        <w:t xml:space="preserve">only the settlers who had applied for the adjudication of land </w:t>
      </w:r>
      <w:r w:rsidR="00DF2243" w:rsidRPr="004542B5">
        <w:rPr>
          <w:noProof w:val="0"/>
          <w:szCs w:val="20"/>
          <w:lang w:val="en-US"/>
        </w:rPr>
        <w:t xml:space="preserve">who </w:t>
      </w:r>
      <w:r w:rsidR="005048A0" w:rsidRPr="004542B5">
        <w:rPr>
          <w:noProof w:val="0"/>
          <w:szCs w:val="20"/>
          <w:lang w:val="en-US"/>
        </w:rPr>
        <w:t xml:space="preserve">could consider themselves prejudiced. The State also indicated that discrimination and lack of equal response had been claimed “based on events that occurred 40 years ago and on the natural consequences of the problems of development.” It added that the integration of the indigenous groups </w:t>
      </w:r>
      <w:r w:rsidR="00DF2243" w:rsidRPr="004542B5">
        <w:rPr>
          <w:noProof w:val="0"/>
          <w:szCs w:val="20"/>
          <w:lang w:val="en-US"/>
        </w:rPr>
        <w:t>in</w:t>
      </w:r>
      <w:r w:rsidR="005048A0" w:rsidRPr="004542B5">
        <w:rPr>
          <w:noProof w:val="0"/>
          <w:szCs w:val="20"/>
          <w:lang w:val="en-US"/>
        </w:rPr>
        <w:t xml:space="preserve">to the country’s world view was not assimilationist, because “the coexistence of the </w:t>
      </w:r>
      <w:r w:rsidR="005048A0" w:rsidRPr="004542B5">
        <w:rPr>
          <w:noProof w:val="0"/>
          <w:szCs w:val="20"/>
          <w:lang w:val="en-US"/>
        </w:rPr>
        <w:lastRenderedPageBreak/>
        <w:t>different ethnic groups is the State’s primary objective.</w:t>
      </w:r>
      <w:r w:rsidR="007B47B1" w:rsidRPr="004542B5">
        <w:rPr>
          <w:noProof w:val="0"/>
          <w:szCs w:val="20"/>
          <w:lang w:val="en-US"/>
        </w:rPr>
        <w:t>”</w:t>
      </w:r>
      <w:r w:rsidR="007B47B1" w:rsidRPr="004542B5">
        <w:rPr>
          <w:rStyle w:val="FootnoteReference"/>
          <w:noProof w:val="0"/>
          <w:lang w:val="en-US"/>
        </w:rPr>
        <w:footnoteReference w:id="250"/>
      </w:r>
      <w:r w:rsidR="005048A0" w:rsidRPr="004542B5">
        <w:rPr>
          <w:noProof w:val="0"/>
          <w:szCs w:val="20"/>
          <w:lang w:val="en-US"/>
        </w:rPr>
        <w:t xml:space="preserve"> It added that it had provided effective protection to the territories </w:t>
      </w:r>
      <w:r w:rsidR="004D0B27" w:rsidRPr="004542B5">
        <w:rPr>
          <w:noProof w:val="0"/>
          <w:szCs w:val="20"/>
          <w:lang w:val="en-US"/>
        </w:rPr>
        <w:t xml:space="preserve">of the </w:t>
      </w:r>
      <w:r w:rsidR="008C4E08" w:rsidRPr="004542B5">
        <w:rPr>
          <w:noProof w:val="0"/>
          <w:szCs w:val="20"/>
          <w:lang w:val="en-US"/>
        </w:rPr>
        <w:t xml:space="preserve">Kuna </w:t>
      </w:r>
      <w:r w:rsidR="004D0B27" w:rsidRPr="004542B5">
        <w:rPr>
          <w:noProof w:val="0"/>
          <w:szCs w:val="20"/>
          <w:lang w:val="en-US"/>
        </w:rPr>
        <w:t>Comarca</w:t>
      </w:r>
      <w:r w:rsidR="007B47B1" w:rsidRPr="004542B5">
        <w:rPr>
          <w:noProof w:val="0"/>
          <w:szCs w:val="20"/>
          <w:lang w:val="en-US"/>
        </w:rPr>
        <w:t xml:space="preserve"> </w:t>
      </w:r>
      <w:r w:rsidR="00561841" w:rsidRPr="004542B5">
        <w:rPr>
          <w:noProof w:val="0"/>
          <w:szCs w:val="20"/>
          <w:lang w:val="en-US"/>
        </w:rPr>
        <w:t>against third parties</w:t>
      </w:r>
      <w:r w:rsidR="008C30AF" w:rsidRPr="004542B5">
        <w:rPr>
          <w:noProof w:val="0"/>
          <w:szCs w:val="20"/>
          <w:lang w:val="en-US"/>
        </w:rPr>
        <w:t xml:space="preserve"> and had taken steps to recognize the original rights, </w:t>
      </w:r>
      <w:r w:rsidR="00DF2243" w:rsidRPr="004542B5">
        <w:rPr>
          <w:noProof w:val="0"/>
          <w:szCs w:val="20"/>
          <w:lang w:val="en-US"/>
        </w:rPr>
        <w:t>and this</w:t>
      </w:r>
      <w:r w:rsidR="008C30AF" w:rsidRPr="004542B5">
        <w:rPr>
          <w:noProof w:val="0"/>
          <w:szCs w:val="20"/>
          <w:lang w:val="en-US"/>
        </w:rPr>
        <w:t xml:space="preserve"> constituted “reliable evidence that discrimination was non-existent.</w:t>
      </w:r>
      <w:r w:rsidR="007B47B1" w:rsidRPr="004542B5">
        <w:rPr>
          <w:noProof w:val="0"/>
          <w:szCs w:val="20"/>
          <w:lang w:val="en-US"/>
        </w:rPr>
        <w:t>”</w:t>
      </w:r>
      <w:r w:rsidR="0061505C" w:rsidRPr="004542B5">
        <w:rPr>
          <w:rStyle w:val="FootnoteReference"/>
          <w:noProof w:val="0"/>
          <w:lang w:val="en-US"/>
        </w:rPr>
        <w:footnoteReference w:id="251"/>
      </w:r>
      <w:r w:rsidR="007B47B1" w:rsidRPr="004542B5">
        <w:rPr>
          <w:noProof w:val="0"/>
          <w:szCs w:val="20"/>
          <w:lang w:val="en-US"/>
        </w:rPr>
        <w:t xml:space="preserve"> </w:t>
      </w:r>
    </w:p>
    <w:p w14:paraId="68D550EE" w14:textId="6D0B0014" w:rsidR="00D555D4" w:rsidRPr="004542B5" w:rsidRDefault="007B47B1" w:rsidP="00E01664">
      <w:pPr>
        <w:pStyle w:val="ListParagraph"/>
        <w:spacing w:before="240" w:after="240"/>
        <w:ind w:left="0" w:firstLine="720"/>
        <w:contextualSpacing w:val="0"/>
        <w:outlineLvl w:val="1"/>
        <w:rPr>
          <w:b/>
          <w:i/>
          <w:noProof w:val="0"/>
          <w:szCs w:val="20"/>
          <w:lang w:val="en-US"/>
        </w:rPr>
      </w:pPr>
      <w:bookmarkStart w:id="256" w:name="_Toc45200899"/>
      <w:r w:rsidRPr="004542B5">
        <w:rPr>
          <w:b/>
          <w:i/>
          <w:noProof w:val="0"/>
          <w:szCs w:val="20"/>
          <w:lang w:val="en-US"/>
        </w:rPr>
        <w:t xml:space="preserve">B. </w:t>
      </w:r>
      <w:r w:rsidR="00B902E7" w:rsidRPr="004542B5">
        <w:rPr>
          <w:b/>
          <w:i/>
          <w:noProof w:val="0"/>
          <w:szCs w:val="20"/>
          <w:lang w:val="en-US"/>
        </w:rPr>
        <w:t>Considerations</w:t>
      </w:r>
      <w:r w:rsidR="008A56D7" w:rsidRPr="004542B5">
        <w:rPr>
          <w:b/>
          <w:i/>
          <w:noProof w:val="0"/>
          <w:szCs w:val="20"/>
          <w:lang w:val="en-US"/>
        </w:rPr>
        <w:t xml:space="preserve"> of the </w:t>
      </w:r>
      <w:r w:rsidR="00562CBB" w:rsidRPr="004542B5">
        <w:rPr>
          <w:b/>
          <w:i/>
          <w:noProof w:val="0"/>
          <w:szCs w:val="20"/>
          <w:lang w:val="en-US"/>
        </w:rPr>
        <w:t>Court</w:t>
      </w:r>
      <w:bookmarkEnd w:id="256"/>
    </w:p>
    <w:p w14:paraId="5A8EA349" w14:textId="76FDCD5E" w:rsidR="00BC55AF" w:rsidRPr="004542B5" w:rsidRDefault="008C30AF" w:rsidP="00E01664">
      <w:pPr>
        <w:pStyle w:val="ListParagraph"/>
        <w:numPr>
          <w:ilvl w:val="0"/>
          <w:numId w:val="2"/>
        </w:numPr>
        <w:spacing w:before="120" w:after="120"/>
        <w:contextualSpacing w:val="0"/>
        <w:rPr>
          <w:noProof w:val="0"/>
          <w:szCs w:val="20"/>
          <w:lang w:val="en-US"/>
        </w:rPr>
      </w:pPr>
      <w:r w:rsidRPr="004542B5">
        <w:rPr>
          <w:noProof w:val="0"/>
          <w:szCs w:val="20"/>
          <w:lang w:val="en-US"/>
        </w:rPr>
        <w:t xml:space="preserve">The Court notes that: (i) </w:t>
      </w:r>
      <w:r w:rsidR="00562CBB" w:rsidRPr="004542B5">
        <w:rPr>
          <w:noProof w:val="0"/>
          <w:szCs w:val="20"/>
          <w:lang w:val="en-US"/>
        </w:rPr>
        <w:t>the Commission</w:t>
      </w:r>
      <w:r w:rsidR="00CD2B90" w:rsidRPr="004542B5">
        <w:rPr>
          <w:noProof w:val="0"/>
          <w:szCs w:val="20"/>
          <w:lang w:val="en-US"/>
        </w:rPr>
        <w:t xml:space="preserve"> and </w:t>
      </w:r>
      <w:r w:rsidR="00562CBB" w:rsidRPr="004542B5">
        <w:rPr>
          <w:noProof w:val="0"/>
          <w:szCs w:val="20"/>
          <w:lang w:val="en-US"/>
        </w:rPr>
        <w:t>the representatives</w:t>
      </w:r>
      <w:r w:rsidR="007B47B1" w:rsidRPr="004542B5">
        <w:rPr>
          <w:noProof w:val="0"/>
          <w:szCs w:val="20"/>
          <w:lang w:val="en-US"/>
        </w:rPr>
        <w:t xml:space="preserve"> </w:t>
      </w:r>
      <w:r w:rsidRPr="004542B5">
        <w:rPr>
          <w:noProof w:val="0"/>
          <w:szCs w:val="20"/>
          <w:lang w:val="en-US"/>
        </w:rPr>
        <w:t xml:space="preserve">argued that the State’s acts and omissions that supposedly resulted in violations of the rights contained in </w:t>
      </w:r>
      <w:r w:rsidR="00562CBB" w:rsidRPr="004542B5">
        <w:rPr>
          <w:noProof w:val="0"/>
          <w:szCs w:val="20"/>
          <w:lang w:val="en-US"/>
        </w:rPr>
        <w:t>Articles</w:t>
      </w:r>
      <w:r w:rsidR="007B47B1" w:rsidRPr="004542B5">
        <w:rPr>
          <w:noProof w:val="0"/>
          <w:szCs w:val="20"/>
          <w:lang w:val="en-US"/>
        </w:rPr>
        <w:t xml:space="preserve"> 21, 8</w:t>
      </w:r>
      <w:r w:rsidR="00CD2B90" w:rsidRPr="004542B5">
        <w:rPr>
          <w:noProof w:val="0"/>
          <w:szCs w:val="20"/>
          <w:lang w:val="en-US"/>
        </w:rPr>
        <w:t xml:space="preserve"> and </w:t>
      </w:r>
      <w:r w:rsidR="007B47B1" w:rsidRPr="004542B5">
        <w:rPr>
          <w:noProof w:val="0"/>
          <w:szCs w:val="20"/>
          <w:lang w:val="en-US"/>
        </w:rPr>
        <w:t>25</w:t>
      </w:r>
      <w:r w:rsidR="008A56D7" w:rsidRPr="004542B5">
        <w:rPr>
          <w:noProof w:val="0"/>
          <w:szCs w:val="20"/>
          <w:lang w:val="en-US"/>
        </w:rPr>
        <w:t xml:space="preserve"> of the </w:t>
      </w:r>
      <w:r w:rsidR="00562CBB" w:rsidRPr="004542B5">
        <w:rPr>
          <w:noProof w:val="0"/>
          <w:szCs w:val="20"/>
          <w:lang w:val="en-US"/>
        </w:rPr>
        <w:t>Convention</w:t>
      </w:r>
      <w:r w:rsidR="007B47B1" w:rsidRPr="004542B5">
        <w:rPr>
          <w:noProof w:val="0"/>
          <w:szCs w:val="20"/>
          <w:lang w:val="en-US"/>
        </w:rPr>
        <w:t xml:space="preserve">, </w:t>
      </w:r>
      <w:r w:rsidR="00342385" w:rsidRPr="004542B5">
        <w:rPr>
          <w:noProof w:val="0"/>
          <w:szCs w:val="20"/>
          <w:lang w:val="en-US"/>
        </w:rPr>
        <w:t>in relation to</w:t>
      </w:r>
      <w:r w:rsidR="007B47B1" w:rsidRPr="004542B5">
        <w:rPr>
          <w:noProof w:val="0"/>
          <w:szCs w:val="20"/>
          <w:lang w:val="en-US"/>
        </w:rPr>
        <w:t xml:space="preserve"> </w:t>
      </w:r>
      <w:r w:rsidR="00E04132" w:rsidRPr="004542B5">
        <w:rPr>
          <w:noProof w:val="0"/>
          <w:szCs w:val="20"/>
          <w:lang w:val="en-US"/>
        </w:rPr>
        <w:t>Articles 1(1)</w:t>
      </w:r>
      <w:r w:rsidR="00CD2B90" w:rsidRPr="004542B5">
        <w:rPr>
          <w:noProof w:val="0"/>
          <w:szCs w:val="20"/>
          <w:lang w:val="en-US"/>
        </w:rPr>
        <w:t xml:space="preserve"> and </w:t>
      </w:r>
      <w:r w:rsidR="007B47B1" w:rsidRPr="004542B5">
        <w:rPr>
          <w:noProof w:val="0"/>
          <w:szCs w:val="20"/>
          <w:lang w:val="en-US"/>
        </w:rPr>
        <w:t xml:space="preserve">2 </w:t>
      </w:r>
      <w:r w:rsidR="00342385" w:rsidRPr="004542B5">
        <w:rPr>
          <w:noProof w:val="0"/>
          <w:szCs w:val="20"/>
          <w:lang w:val="en-US"/>
        </w:rPr>
        <w:t>of this instrument</w:t>
      </w:r>
      <w:r w:rsidR="007B47B1" w:rsidRPr="004542B5">
        <w:rPr>
          <w:noProof w:val="0"/>
          <w:szCs w:val="20"/>
          <w:lang w:val="en-US"/>
        </w:rPr>
        <w:t xml:space="preserve">, </w:t>
      </w:r>
      <w:r w:rsidRPr="004542B5">
        <w:rPr>
          <w:noProof w:val="0"/>
          <w:szCs w:val="20"/>
          <w:lang w:val="en-US"/>
        </w:rPr>
        <w:t xml:space="preserve">had also entailed the alleged violation </w:t>
      </w:r>
      <w:r w:rsidR="00E04132" w:rsidRPr="004542B5">
        <w:rPr>
          <w:noProof w:val="0"/>
          <w:szCs w:val="20"/>
          <w:lang w:val="en-US"/>
        </w:rPr>
        <w:t>of Article</w:t>
      </w:r>
      <w:r w:rsidR="007B47B1" w:rsidRPr="004542B5">
        <w:rPr>
          <w:noProof w:val="0"/>
          <w:szCs w:val="20"/>
          <w:lang w:val="en-US"/>
        </w:rPr>
        <w:t xml:space="preserve"> 24,</w:t>
      </w:r>
      <w:r w:rsidR="00CD2B90" w:rsidRPr="004542B5">
        <w:rPr>
          <w:noProof w:val="0"/>
          <w:szCs w:val="20"/>
          <w:lang w:val="en-US"/>
        </w:rPr>
        <w:t xml:space="preserve"> and </w:t>
      </w:r>
      <w:r w:rsidRPr="004542B5">
        <w:rPr>
          <w:noProof w:val="0"/>
          <w:szCs w:val="20"/>
          <w:lang w:val="en-US"/>
        </w:rPr>
        <w:t>that</w:t>
      </w:r>
      <w:r w:rsidR="007B47B1" w:rsidRPr="004542B5">
        <w:rPr>
          <w:noProof w:val="0"/>
          <w:szCs w:val="20"/>
          <w:lang w:val="en-US"/>
        </w:rPr>
        <w:t xml:space="preserve"> </w:t>
      </w:r>
      <w:r w:rsidRPr="004542B5">
        <w:rPr>
          <w:noProof w:val="0"/>
          <w:szCs w:val="20"/>
          <w:lang w:val="en-US"/>
        </w:rPr>
        <w:t>(</w:t>
      </w:r>
      <w:r w:rsidR="007B47B1" w:rsidRPr="004542B5">
        <w:rPr>
          <w:noProof w:val="0"/>
          <w:szCs w:val="20"/>
          <w:lang w:val="en-US"/>
        </w:rPr>
        <w:t xml:space="preserve">ii) </w:t>
      </w:r>
      <w:r w:rsidR="00562CBB" w:rsidRPr="004542B5">
        <w:rPr>
          <w:noProof w:val="0"/>
          <w:szCs w:val="20"/>
          <w:lang w:val="en-US"/>
        </w:rPr>
        <w:t>the Commission</w:t>
      </w:r>
      <w:r w:rsidR="007B47B1" w:rsidRPr="004542B5">
        <w:rPr>
          <w:noProof w:val="0"/>
          <w:szCs w:val="20"/>
          <w:lang w:val="en-US"/>
        </w:rPr>
        <w:t xml:space="preserve"> </w:t>
      </w:r>
      <w:r w:rsidRPr="004542B5">
        <w:rPr>
          <w:noProof w:val="0"/>
          <w:szCs w:val="20"/>
          <w:lang w:val="en-US"/>
        </w:rPr>
        <w:t>alleged that a</w:t>
      </w:r>
      <w:r w:rsidR="00562CBB" w:rsidRPr="004542B5">
        <w:rPr>
          <w:noProof w:val="0"/>
          <w:szCs w:val="20"/>
          <w:lang w:val="en-US"/>
        </w:rPr>
        <w:t>rticle</w:t>
      </w:r>
      <w:r w:rsidR="007B47B1" w:rsidRPr="004542B5">
        <w:rPr>
          <w:noProof w:val="0"/>
          <w:szCs w:val="20"/>
          <w:lang w:val="en-US"/>
        </w:rPr>
        <w:t xml:space="preserve"> </w:t>
      </w:r>
      <w:r w:rsidRPr="004542B5">
        <w:rPr>
          <w:noProof w:val="0"/>
          <w:szCs w:val="20"/>
          <w:lang w:val="en-US"/>
        </w:rPr>
        <w:t>1</w:t>
      </w:r>
      <w:r w:rsidR="007B47B1" w:rsidRPr="004542B5">
        <w:rPr>
          <w:noProof w:val="0"/>
          <w:szCs w:val="20"/>
          <w:lang w:val="en-US"/>
        </w:rPr>
        <w:t xml:space="preserve">26 </w:t>
      </w:r>
      <w:r w:rsidRPr="004542B5">
        <w:rPr>
          <w:noProof w:val="0"/>
          <w:szCs w:val="20"/>
          <w:lang w:val="en-US"/>
        </w:rPr>
        <w:t>of the Panamanian Constitution was of</w:t>
      </w:r>
      <w:r w:rsidR="007B47B1" w:rsidRPr="004542B5">
        <w:rPr>
          <w:noProof w:val="0"/>
          <w:szCs w:val="20"/>
          <w:lang w:val="en-US"/>
        </w:rPr>
        <w:t xml:space="preserve"> “</w:t>
      </w:r>
      <w:r w:rsidRPr="004542B5">
        <w:rPr>
          <w:rFonts w:cs="Tahoma"/>
          <w:noProof w:val="0"/>
          <w:szCs w:val="20"/>
          <w:lang w:val="en-US"/>
        </w:rPr>
        <w:t>an assimilationist nature.</w:t>
      </w:r>
      <w:r w:rsidR="007B47B1" w:rsidRPr="004542B5">
        <w:rPr>
          <w:noProof w:val="0"/>
          <w:szCs w:val="20"/>
          <w:lang w:val="en-US"/>
        </w:rPr>
        <w:t xml:space="preserve">” </w:t>
      </w:r>
    </w:p>
    <w:p w14:paraId="047A08BE" w14:textId="73BF40F9" w:rsidR="008C30AF" w:rsidRPr="004542B5" w:rsidRDefault="008C30AF" w:rsidP="008C30AF">
      <w:pPr>
        <w:pStyle w:val="ListParagraph"/>
        <w:numPr>
          <w:ilvl w:val="0"/>
          <w:numId w:val="2"/>
        </w:numPr>
        <w:spacing w:before="120" w:after="120"/>
        <w:contextualSpacing w:val="0"/>
        <w:rPr>
          <w:noProof w:val="0"/>
          <w:szCs w:val="20"/>
          <w:lang w:val="en-US"/>
        </w:rPr>
      </w:pPr>
      <w:r w:rsidRPr="004542B5">
        <w:rPr>
          <w:noProof w:val="0"/>
          <w:szCs w:val="20"/>
          <w:lang w:val="en-US"/>
        </w:rPr>
        <w:t xml:space="preserve">The Court also notes that the Commission did not indicate how the foregoing had resulted in specific violations that differed from those that have already been declared </w:t>
      </w:r>
      <w:r w:rsidR="00342385" w:rsidRPr="004542B5">
        <w:rPr>
          <w:noProof w:val="0"/>
          <w:szCs w:val="20"/>
          <w:lang w:val="en-US"/>
        </w:rPr>
        <w:t>to the detriment of</w:t>
      </w:r>
      <w:r w:rsidR="007B47B1" w:rsidRPr="004542B5">
        <w:rPr>
          <w:noProof w:val="0"/>
          <w:szCs w:val="20"/>
          <w:lang w:val="en-US"/>
        </w:rPr>
        <w:t xml:space="preserve"> </w:t>
      </w:r>
      <w:r w:rsidRPr="004542B5">
        <w:rPr>
          <w:noProof w:val="0"/>
          <w:szCs w:val="20"/>
          <w:lang w:val="en-US"/>
        </w:rPr>
        <w:t>the</w:t>
      </w:r>
      <w:r w:rsidR="007B47B1" w:rsidRPr="004542B5">
        <w:rPr>
          <w:noProof w:val="0"/>
          <w:szCs w:val="20"/>
          <w:lang w:val="en-US"/>
        </w:rPr>
        <w:t xml:space="preserve"> Kuna </w:t>
      </w:r>
      <w:r w:rsidR="006110CB" w:rsidRPr="004542B5">
        <w:rPr>
          <w:noProof w:val="0"/>
          <w:szCs w:val="20"/>
          <w:lang w:val="en-US"/>
        </w:rPr>
        <w:t>communities</w:t>
      </w:r>
      <w:r w:rsidRPr="004542B5">
        <w:rPr>
          <w:noProof w:val="0"/>
          <w:szCs w:val="20"/>
          <w:lang w:val="en-US"/>
        </w:rPr>
        <w:t xml:space="preserve"> of </w:t>
      </w:r>
      <w:r w:rsidR="00053C14" w:rsidRPr="004542B5">
        <w:rPr>
          <w:noProof w:val="0"/>
          <w:szCs w:val="20"/>
          <w:lang w:val="en-US"/>
        </w:rPr>
        <w:t>Madungandí</w:t>
      </w:r>
      <w:r w:rsidR="00CD2B90" w:rsidRPr="004542B5">
        <w:rPr>
          <w:noProof w:val="0"/>
          <w:szCs w:val="20"/>
          <w:lang w:val="en-US"/>
        </w:rPr>
        <w:t xml:space="preserve"> and </w:t>
      </w:r>
      <w:r w:rsidRPr="004542B5">
        <w:rPr>
          <w:noProof w:val="0"/>
          <w:szCs w:val="20"/>
          <w:lang w:val="en-US"/>
        </w:rPr>
        <w:t xml:space="preserve">the </w:t>
      </w:r>
      <w:r w:rsidR="007B47B1" w:rsidRPr="004542B5">
        <w:rPr>
          <w:noProof w:val="0"/>
          <w:szCs w:val="20"/>
          <w:lang w:val="en-US"/>
        </w:rPr>
        <w:t xml:space="preserve">Emberá </w:t>
      </w:r>
      <w:r w:rsidRPr="004542B5">
        <w:rPr>
          <w:noProof w:val="0"/>
          <w:szCs w:val="20"/>
          <w:lang w:val="en-US"/>
        </w:rPr>
        <w:t>communities of</w:t>
      </w:r>
      <w:r w:rsidR="007B47B1" w:rsidRPr="004542B5">
        <w:rPr>
          <w:noProof w:val="0"/>
          <w:szCs w:val="20"/>
          <w:lang w:val="en-US"/>
        </w:rPr>
        <w:t xml:space="preserve"> Bayano. </w:t>
      </w:r>
      <w:r w:rsidRPr="004542B5">
        <w:rPr>
          <w:noProof w:val="0"/>
          <w:szCs w:val="20"/>
          <w:lang w:val="en-US"/>
        </w:rPr>
        <w:t xml:space="preserve">In addition, the Court notes that </w:t>
      </w:r>
      <w:r w:rsidR="00562CBB" w:rsidRPr="004542B5">
        <w:rPr>
          <w:noProof w:val="0"/>
          <w:szCs w:val="20"/>
          <w:lang w:val="en-US"/>
        </w:rPr>
        <w:t>the representatives</w:t>
      </w:r>
      <w:r w:rsidR="00E32B69" w:rsidRPr="004542B5">
        <w:rPr>
          <w:noProof w:val="0"/>
          <w:szCs w:val="20"/>
          <w:lang w:val="en-US"/>
        </w:rPr>
        <w:t xml:space="preserve"> </w:t>
      </w:r>
      <w:r w:rsidRPr="004542B5">
        <w:rPr>
          <w:noProof w:val="0"/>
          <w:szCs w:val="20"/>
          <w:lang w:val="en-US"/>
        </w:rPr>
        <w:t>alleged that requests to grant individual property titles were processed more promptly and granted more frequently than t</w:t>
      </w:r>
      <w:r w:rsidR="00625963" w:rsidRPr="004542B5">
        <w:rPr>
          <w:noProof w:val="0"/>
          <w:szCs w:val="20"/>
          <w:lang w:val="en-US"/>
        </w:rPr>
        <w:t xml:space="preserve">he requests filed by indigenous communities. However, no evidence was provided to indicate that a difference in treatment existed between indigenous persons, specifically the said communities, and non-indigenous persons, in relation to land ownership titles. </w:t>
      </w:r>
    </w:p>
    <w:p w14:paraId="00B99078" w14:textId="3284C26A" w:rsidR="00D555D4" w:rsidRPr="004542B5" w:rsidRDefault="00625963" w:rsidP="00625963">
      <w:pPr>
        <w:pStyle w:val="ListParagraph"/>
        <w:numPr>
          <w:ilvl w:val="0"/>
          <w:numId w:val="2"/>
        </w:numPr>
        <w:spacing w:before="120" w:after="120"/>
        <w:contextualSpacing w:val="0"/>
        <w:rPr>
          <w:noProof w:val="0"/>
          <w:szCs w:val="20"/>
          <w:lang w:val="en-US"/>
        </w:rPr>
      </w:pPr>
      <w:r w:rsidRPr="004542B5">
        <w:rPr>
          <w:noProof w:val="0"/>
          <w:szCs w:val="20"/>
          <w:lang w:val="en-US"/>
        </w:rPr>
        <w:t xml:space="preserve">Consequently, in this case, the Court refers to what it has already decided in this judgment in relation to the right to property and the right to judicial protection </w:t>
      </w:r>
      <w:r w:rsidR="004D0B27" w:rsidRPr="004542B5">
        <w:rPr>
          <w:noProof w:val="0"/>
          <w:szCs w:val="20"/>
          <w:lang w:val="en-US"/>
        </w:rPr>
        <w:t xml:space="preserve">of the </w:t>
      </w:r>
      <w:r w:rsidR="003C263F" w:rsidRPr="004542B5">
        <w:rPr>
          <w:noProof w:val="0"/>
          <w:szCs w:val="20"/>
          <w:lang w:val="en-US"/>
        </w:rPr>
        <w:t>Kuna and Emberá peoples</w:t>
      </w:r>
      <w:r w:rsidR="00CD2B90" w:rsidRPr="004542B5">
        <w:rPr>
          <w:noProof w:val="0"/>
          <w:szCs w:val="20"/>
          <w:lang w:val="en-US"/>
        </w:rPr>
        <w:t xml:space="preserve"> and </w:t>
      </w:r>
      <w:r w:rsidRPr="004542B5">
        <w:rPr>
          <w:noProof w:val="0"/>
          <w:szCs w:val="20"/>
          <w:lang w:val="en-US"/>
        </w:rPr>
        <w:t>their members</w:t>
      </w:r>
      <w:r w:rsidR="007B47B1" w:rsidRPr="004542B5">
        <w:rPr>
          <w:noProof w:val="0"/>
          <w:szCs w:val="20"/>
          <w:lang w:val="en-US"/>
        </w:rPr>
        <w:t>,</w:t>
      </w:r>
      <w:r w:rsidRPr="004542B5">
        <w:rPr>
          <w:noProof w:val="0"/>
          <w:szCs w:val="20"/>
          <w:lang w:val="en-US"/>
        </w:rPr>
        <w:t xml:space="preserve"> and will not rule with regard to the alleged violation </w:t>
      </w:r>
      <w:r w:rsidR="00E04132" w:rsidRPr="004542B5">
        <w:rPr>
          <w:noProof w:val="0"/>
          <w:szCs w:val="20"/>
          <w:lang w:val="en-US"/>
        </w:rPr>
        <w:t>of Article</w:t>
      </w:r>
      <w:r w:rsidR="007B47B1" w:rsidRPr="004542B5">
        <w:rPr>
          <w:noProof w:val="0"/>
          <w:szCs w:val="20"/>
          <w:lang w:val="en-US"/>
        </w:rPr>
        <w:t xml:space="preserve"> 24.</w:t>
      </w:r>
    </w:p>
    <w:p w14:paraId="69E7F1A8" w14:textId="50DD5D8A" w:rsidR="00AC026A" w:rsidRPr="004542B5" w:rsidRDefault="007B47B1" w:rsidP="00E01664">
      <w:pPr>
        <w:pStyle w:val="Heading1"/>
        <w:rPr>
          <w:smallCaps/>
          <w:noProof w:val="0"/>
          <w:lang w:val="en-US"/>
        </w:rPr>
      </w:pPr>
      <w:bookmarkStart w:id="257" w:name="_Toc45200900"/>
      <w:r w:rsidRPr="004542B5">
        <w:rPr>
          <w:smallCaps/>
          <w:noProof w:val="0"/>
          <w:lang w:val="en-US"/>
        </w:rPr>
        <w:t>VIII</w:t>
      </w:r>
      <w:r w:rsidRPr="004542B5">
        <w:rPr>
          <w:b w:val="0"/>
          <w:bCs w:val="0"/>
          <w:caps w:val="0"/>
          <w:smallCaps/>
          <w:noProof w:val="0"/>
          <w:color w:val="FFFFFF" w:themeColor="background1"/>
          <w:lang w:val="en-US"/>
        </w:rPr>
        <w:t>.</w:t>
      </w:r>
      <w:r w:rsidRPr="004542B5">
        <w:rPr>
          <w:smallCaps/>
          <w:noProof w:val="0"/>
          <w:lang w:val="en-US"/>
        </w:rPr>
        <w:br/>
      </w:r>
      <w:r w:rsidR="00517C7D" w:rsidRPr="004542B5">
        <w:rPr>
          <w:smallCaps/>
          <w:noProof w:val="0"/>
          <w:lang w:val="en-US"/>
        </w:rPr>
        <w:t>REPARATIONS</w:t>
      </w:r>
      <w:r w:rsidRPr="004542B5">
        <w:rPr>
          <w:smallCaps/>
          <w:noProof w:val="0"/>
          <w:lang w:val="en-US"/>
        </w:rPr>
        <w:br/>
        <w:t>(</w:t>
      </w:r>
      <w:r w:rsidR="00B902E7" w:rsidRPr="004542B5">
        <w:rPr>
          <w:caps w:val="0"/>
          <w:noProof w:val="0"/>
          <w:lang w:val="en-US"/>
        </w:rPr>
        <w:t>Application of Article</w:t>
      </w:r>
      <w:r w:rsidRPr="004542B5">
        <w:rPr>
          <w:caps w:val="0"/>
          <w:noProof w:val="0"/>
          <w:lang w:val="en-US"/>
        </w:rPr>
        <w:t xml:space="preserve"> </w:t>
      </w:r>
      <w:r w:rsidR="008A56D7" w:rsidRPr="004542B5">
        <w:rPr>
          <w:caps w:val="0"/>
          <w:noProof w:val="0"/>
          <w:lang w:val="en-US"/>
        </w:rPr>
        <w:t xml:space="preserve">63(1) of the </w:t>
      </w:r>
      <w:r w:rsidR="00562CBB" w:rsidRPr="004542B5">
        <w:rPr>
          <w:caps w:val="0"/>
          <w:noProof w:val="0"/>
          <w:lang w:val="en-US"/>
        </w:rPr>
        <w:t>American Convention</w:t>
      </w:r>
      <w:r w:rsidRPr="004542B5">
        <w:rPr>
          <w:smallCaps/>
          <w:noProof w:val="0"/>
          <w:lang w:val="en-US"/>
        </w:rPr>
        <w:t>)</w:t>
      </w:r>
      <w:bookmarkEnd w:id="257"/>
    </w:p>
    <w:p w14:paraId="022E9E5E" w14:textId="2106073E" w:rsidR="00AC026A" w:rsidRPr="004542B5" w:rsidRDefault="00625963" w:rsidP="00E01664">
      <w:pPr>
        <w:pStyle w:val="ListParagraph"/>
        <w:numPr>
          <w:ilvl w:val="0"/>
          <w:numId w:val="2"/>
        </w:numPr>
        <w:spacing w:before="120" w:after="120"/>
        <w:contextualSpacing w:val="0"/>
        <w:rPr>
          <w:noProof w:val="0"/>
          <w:szCs w:val="20"/>
          <w:lang w:val="en-US" w:bidi="en-US"/>
        </w:rPr>
      </w:pPr>
      <w:r w:rsidRPr="004542B5">
        <w:rPr>
          <w:noProof w:val="0"/>
          <w:szCs w:val="20"/>
          <w:lang w:val="en-US" w:bidi="en-US"/>
        </w:rPr>
        <w:t>Based on the provisions of</w:t>
      </w:r>
      <w:r w:rsidR="007B47B1" w:rsidRPr="004542B5">
        <w:rPr>
          <w:noProof w:val="0"/>
          <w:szCs w:val="20"/>
          <w:lang w:val="en-US" w:bidi="en-US"/>
        </w:rPr>
        <w:t xml:space="preserve"> </w:t>
      </w:r>
      <w:r w:rsidR="00562CBB" w:rsidRPr="004542B5">
        <w:rPr>
          <w:noProof w:val="0"/>
          <w:szCs w:val="20"/>
          <w:lang w:val="en-US" w:bidi="en-US"/>
        </w:rPr>
        <w:t>Article</w:t>
      </w:r>
      <w:r w:rsidR="007B47B1" w:rsidRPr="004542B5">
        <w:rPr>
          <w:noProof w:val="0"/>
          <w:szCs w:val="20"/>
          <w:lang w:val="en-US" w:bidi="en-US"/>
        </w:rPr>
        <w:t xml:space="preserve"> </w:t>
      </w:r>
      <w:r w:rsidR="008A56D7" w:rsidRPr="004542B5">
        <w:rPr>
          <w:noProof w:val="0"/>
          <w:szCs w:val="20"/>
          <w:lang w:val="en-US" w:bidi="en-US"/>
        </w:rPr>
        <w:t xml:space="preserve">63(1) of the </w:t>
      </w:r>
      <w:r w:rsidR="00562CBB" w:rsidRPr="004542B5">
        <w:rPr>
          <w:noProof w:val="0"/>
          <w:szCs w:val="20"/>
          <w:lang w:val="en-US" w:bidi="en-US"/>
        </w:rPr>
        <w:t>Convention</w:t>
      </w:r>
      <w:r w:rsidRPr="004542B5">
        <w:rPr>
          <w:noProof w:val="0"/>
          <w:szCs w:val="20"/>
          <w:lang w:val="en-US" w:bidi="en-US"/>
        </w:rPr>
        <w:t>,</w:t>
      </w:r>
      <w:r w:rsidR="007B47B1" w:rsidRPr="004542B5">
        <w:rPr>
          <w:rStyle w:val="FootnoteReference"/>
          <w:caps/>
          <w:noProof w:val="0"/>
          <w:lang w:val="en-US"/>
        </w:rPr>
        <w:footnoteReference w:id="252"/>
      </w:r>
      <w:r w:rsidR="007B47B1" w:rsidRPr="004542B5">
        <w:rPr>
          <w:noProof w:val="0"/>
          <w:szCs w:val="20"/>
          <w:lang w:val="en-US" w:bidi="en-US"/>
        </w:rPr>
        <w:t xml:space="preserve"> </w:t>
      </w:r>
      <w:r w:rsidR="00562CBB" w:rsidRPr="004542B5">
        <w:rPr>
          <w:noProof w:val="0"/>
          <w:szCs w:val="20"/>
          <w:lang w:val="en-US" w:bidi="en-US"/>
        </w:rPr>
        <w:t>the Court</w:t>
      </w:r>
      <w:r w:rsidR="007B47B1" w:rsidRPr="004542B5">
        <w:rPr>
          <w:noProof w:val="0"/>
          <w:szCs w:val="20"/>
          <w:lang w:val="en-US" w:bidi="en-US"/>
        </w:rPr>
        <w:t xml:space="preserve"> ha</w:t>
      </w:r>
      <w:r w:rsidR="00621032" w:rsidRPr="004542B5">
        <w:rPr>
          <w:noProof w:val="0"/>
          <w:szCs w:val="20"/>
          <w:lang w:val="en-US" w:bidi="en-US"/>
        </w:rPr>
        <w:t>s indicated that any violation of an international obligation that has caused harm entails the obligation to repair this adequately,</w:t>
      </w:r>
      <w:r w:rsidR="007B47B1" w:rsidRPr="004542B5">
        <w:rPr>
          <w:rStyle w:val="FootnoteReference"/>
          <w:noProof w:val="0"/>
          <w:lang w:val="en-US" w:bidi="en-US"/>
        </w:rPr>
        <w:footnoteReference w:id="253"/>
      </w:r>
      <w:r w:rsidR="00CD2B90" w:rsidRPr="004542B5">
        <w:rPr>
          <w:noProof w:val="0"/>
          <w:szCs w:val="20"/>
          <w:lang w:val="en-US" w:bidi="en-US"/>
        </w:rPr>
        <w:t xml:space="preserve"> and</w:t>
      </w:r>
      <w:r w:rsidR="00621032" w:rsidRPr="004542B5">
        <w:rPr>
          <w:noProof w:val="0"/>
          <w:szCs w:val="20"/>
          <w:lang w:val="en-US" w:bidi="en-US"/>
        </w:rPr>
        <w:t xml:space="preserve"> that this provision “reflects a customary norm that constitutes one of the fundamental principles of contemporary international law on State responsibility.</w:t>
      </w:r>
      <w:r w:rsidR="007B47B1" w:rsidRPr="004542B5">
        <w:rPr>
          <w:noProof w:val="0"/>
          <w:szCs w:val="20"/>
          <w:lang w:val="en-US" w:bidi="en-US"/>
        </w:rPr>
        <w:t>”</w:t>
      </w:r>
      <w:r w:rsidR="007B47B1" w:rsidRPr="004542B5">
        <w:rPr>
          <w:rStyle w:val="FootnoteReference"/>
          <w:noProof w:val="0"/>
          <w:lang w:val="en-US"/>
        </w:rPr>
        <w:footnoteReference w:id="254"/>
      </w:r>
      <w:r w:rsidR="007B47B1" w:rsidRPr="004542B5">
        <w:rPr>
          <w:noProof w:val="0"/>
          <w:szCs w:val="20"/>
          <w:lang w:val="en-US" w:bidi="en-US"/>
        </w:rPr>
        <w:t xml:space="preserve"> </w:t>
      </w:r>
      <w:r w:rsidR="00621032" w:rsidRPr="004542B5">
        <w:rPr>
          <w:noProof w:val="0"/>
          <w:szCs w:val="20"/>
          <w:lang w:val="en-US" w:bidi="en-US"/>
        </w:rPr>
        <w:t xml:space="preserve">In addition, the  Court has established that </w:t>
      </w:r>
      <w:r w:rsidR="00517C7D" w:rsidRPr="004542B5">
        <w:rPr>
          <w:noProof w:val="0"/>
          <w:szCs w:val="20"/>
          <w:lang w:val="en-US" w:bidi="en-US"/>
        </w:rPr>
        <w:t>reparations</w:t>
      </w:r>
      <w:r w:rsidR="007B47B1" w:rsidRPr="004542B5">
        <w:rPr>
          <w:noProof w:val="0"/>
          <w:szCs w:val="20"/>
          <w:lang w:val="en-US" w:bidi="en-US"/>
        </w:rPr>
        <w:t xml:space="preserve"> </w:t>
      </w:r>
      <w:r w:rsidR="00621032" w:rsidRPr="004542B5">
        <w:rPr>
          <w:noProof w:val="0"/>
          <w:szCs w:val="20"/>
          <w:lang w:val="en-US" w:bidi="en-US"/>
        </w:rPr>
        <w:t>must have a causal</w:t>
      </w:r>
      <w:r w:rsidR="007B47B1" w:rsidRPr="004542B5">
        <w:rPr>
          <w:noProof w:val="0"/>
          <w:szCs w:val="20"/>
          <w:lang w:val="en-US" w:bidi="en-US"/>
        </w:rPr>
        <w:t xml:space="preserve"> nex</w:t>
      </w:r>
      <w:r w:rsidR="00621032" w:rsidRPr="004542B5">
        <w:rPr>
          <w:noProof w:val="0"/>
          <w:szCs w:val="20"/>
          <w:lang w:val="en-US" w:bidi="en-US"/>
        </w:rPr>
        <w:t xml:space="preserve">us with the facts of the case, the violations that have been declared, the harm that has been proved, and the </w:t>
      </w:r>
      <w:r w:rsidR="00621032" w:rsidRPr="004542B5">
        <w:rPr>
          <w:noProof w:val="0"/>
          <w:szCs w:val="20"/>
          <w:lang w:val="en-US" w:bidi="en-US"/>
        </w:rPr>
        <w:lastRenderedPageBreak/>
        <w:t>measures requested to redress this harm. Accordingly, the Court must verify the concurrence of these factors to rule appropriately and in keeping with law.</w:t>
      </w:r>
      <w:r w:rsidR="007B47B1" w:rsidRPr="004542B5">
        <w:rPr>
          <w:noProof w:val="0"/>
          <w:szCs w:val="20"/>
          <w:vertAlign w:val="superscript"/>
          <w:lang w:val="en-US" w:bidi="en-US"/>
        </w:rPr>
        <w:footnoteReference w:id="255"/>
      </w:r>
    </w:p>
    <w:p w14:paraId="517E1D0B" w14:textId="4B6FB0DA" w:rsidR="00AC026A" w:rsidRPr="004542B5" w:rsidRDefault="00621032" w:rsidP="00621032">
      <w:pPr>
        <w:pStyle w:val="ListParagraph"/>
        <w:numPr>
          <w:ilvl w:val="0"/>
          <w:numId w:val="2"/>
        </w:numPr>
        <w:spacing w:before="120" w:after="120"/>
        <w:contextualSpacing w:val="0"/>
        <w:rPr>
          <w:noProof w:val="0"/>
          <w:szCs w:val="20"/>
          <w:lang w:val="en-US" w:bidi="en-US"/>
        </w:rPr>
      </w:pPr>
      <w:r w:rsidRPr="004542B5">
        <w:rPr>
          <w:noProof w:val="0"/>
          <w:szCs w:val="20"/>
          <w:lang w:val="en-US" w:bidi="en-US"/>
        </w:rPr>
        <w:t>Reparation of the harm caused by the violation of an international obligation requires, whenever possible, full restitution, which consists in re-establishment of the previous situation. If this is not feasible, as in most cases of human rights violations, the Court will determine measures to ensure the rights that have been violated and to redress the consequences of such violations.</w:t>
      </w:r>
      <w:r w:rsidR="007B47B1" w:rsidRPr="004542B5">
        <w:rPr>
          <w:rStyle w:val="FootnoteReference"/>
          <w:rFonts w:eastAsia="MS Mincho"/>
          <w:noProof w:val="0"/>
          <w:lang w:val="en-US"/>
        </w:rPr>
        <w:footnoteReference w:id="256"/>
      </w:r>
      <w:r w:rsidR="007B47B1" w:rsidRPr="004542B5">
        <w:rPr>
          <w:noProof w:val="0"/>
          <w:szCs w:val="20"/>
          <w:lang w:val="en-US"/>
        </w:rPr>
        <w:t xml:space="preserve"> </w:t>
      </w:r>
      <w:r w:rsidR="00A9377B" w:rsidRPr="004542B5">
        <w:rPr>
          <w:noProof w:val="0"/>
          <w:szCs w:val="20"/>
          <w:lang w:val="en-US"/>
        </w:rPr>
        <w:t>Accordingly</w:t>
      </w:r>
      <w:r w:rsidRPr="004542B5">
        <w:rPr>
          <w:noProof w:val="0"/>
          <w:szCs w:val="20"/>
          <w:lang w:val="en-US"/>
        </w:rPr>
        <w:t>, the Court has found it necessary to grant different types of measures of reparation in order to redress the harm integrally</w:t>
      </w:r>
      <w:r w:rsidR="00A9377B" w:rsidRPr="004542B5">
        <w:rPr>
          <w:noProof w:val="0"/>
          <w:szCs w:val="20"/>
          <w:lang w:val="en-US"/>
        </w:rPr>
        <w:t>; thus,</w:t>
      </w:r>
      <w:r w:rsidRPr="004542B5">
        <w:rPr>
          <w:noProof w:val="0"/>
          <w:szCs w:val="20"/>
          <w:lang w:val="en-US"/>
        </w:rPr>
        <w:t xml:space="preserve"> in addition to pecuniary compensation, measures of restitution and satisfaction, </w:t>
      </w:r>
      <w:r w:rsidR="00CD2B90" w:rsidRPr="004542B5">
        <w:rPr>
          <w:noProof w:val="0"/>
          <w:szCs w:val="20"/>
          <w:lang w:val="en-US"/>
        </w:rPr>
        <w:t xml:space="preserve">and </w:t>
      </w:r>
      <w:r w:rsidR="00B902E7" w:rsidRPr="004542B5">
        <w:rPr>
          <w:noProof w:val="0"/>
          <w:szCs w:val="20"/>
          <w:lang w:val="en-US"/>
        </w:rPr>
        <w:t>guarantees of non-repetition</w:t>
      </w:r>
      <w:r w:rsidR="007B47B1" w:rsidRPr="004542B5">
        <w:rPr>
          <w:noProof w:val="0"/>
          <w:szCs w:val="20"/>
          <w:lang w:val="en-US"/>
        </w:rPr>
        <w:t xml:space="preserve"> </w:t>
      </w:r>
      <w:r w:rsidRPr="004542B5">
        <w:rPr>
          <w:noProof w:val="0"/>
          <w:szCs w:val="20"/>
          <w:lang w:val="en-US"/>
        </w:rPr>
        <w:t>have special relevance in relation to the harm caused.</w:t>
      </w:r>
      <w:r w:rsidR="007B47B1" w:rsidRPr="004542B5">
        <w:rPr>
          <w:rStyle w:val="FootnoteReference"/>
          <w:rFonts w:eastAsia="MS Mincho"/>
          <w:noProof w:val="0"/>
          <w:lang w:val="en-US"/>
        </w:rPr>
        <w:footnoteReference w:id="257"/>
      </w:r>
    </w:p>
    <w:p w14:paraId="6E2CFEDF" w14:textId="65639A4C" w:rsidR="00AC026A" w:rsidRPr="004542B5" w:rsidRDefault="00621032" w:rsidP="00E01664">
      <w:pPr>
        <w:pStyle w:val="Default"/>
        <w:numPr>
          <w:ilvl w:val="0"/>
          <w:numId w:val="2"/>
        </w:numPr>
        <w:spacing w:before="120" w:after="120"/>
        <w:jc w:val="both"/>
        <w:rPr>
          <w:rFonts w:cs="Verdana Bold"/>
          <w:bCs/>
          <w:sz w:val="20"/>
          <w:szCs w:val="20"/>
        </w:rPr>
      </w:pPr>
      <w:r w:rsidRPr="004542B5">
        <w:rPr>
          <w:rFonts w:cs="Verdana Bold"/>
          <w:bCs/>
          <w:sz w:val="20"/>
          <w:szCs w:val="20"/>
        </w:rPr>
        <w:t>In the case of</w:t>
      </w:r>
      <w:r w:rsidR="007B47B1" w:rsidRPr="004542B5">
        <w:rPr>
          <w:rFonts w:cs="Verdana Bold"/>
          <w:bCs/>
          <w:sz w:val="20"/>
          <w:szCs w:val="20"/>
        </w:rPr>
        <w:t xml:space="preserve"> </w:t>
      </w:r>
      <w:r w:rsidRPr="004542B5">
        <w:rPr>
          <w:rFonts w:cs="Verdana Bold"/>
          <w:bCs/>
          <w:sz w:val="20"/>
          <w:szCs w:val="20"/>
        </w:rPr>
        <w:t>c</w:t>
      </w:r>
      <w:r w:rsidR="00B902E7" w:rsidRPr="004542B5">
        <w:rPr>
          <w:rFonts w:cs="Verdana Bold"/>
          <w:bCs/>
          <w:sz w:val="20"/>
          <w:szCs w:val="20"/>
        </w:rPr>
        <w:t>ompensation</w:t>
      </w:r>
      <w:r w:rsidR="007B47B1" w:rsidRPr="004542B5">
        <w:rPr>
          <w:rFonts w:cs="Verdana Bold"/>
          <w:bCs/>
          <w:sz w:val="20"/>
          <w:szCs w:val="20"/>
        </w:rPr>
        <w:t xml:space="preserve">, </w:t>
      </w:r>
      <w:r w:rsidR="00562CBB" w:rsidRPr="004542B5">
        <w:rPr>
          <w:rFonts w:cs="Verdana Bold"/>
          <w:bCs/>
          <w:sz w:val="20"/>
          <w:szCs w:val="20"/>
        </w:rPr>
        <w:t>the Court</w:t>
      </w:r>
      <w:r w:rsidR="007B47B1" w:rsidRPr="004542B5">
        <w:rPr>
          <w:rFonts w:cs="Verdana Bold"/>
          <w:bCs/>
          <w:sz w:val="20"/>
          <w:szCs w:val="20"/>
        </w:rPr>
        <w:t xml:space="preserve"> rec</w:t>
      </w:r>
      <w:r w:rsidRPr="004542B5">
        <w:rPr>
          <w:rFonts w:cs="Verdana Bold"/>
          <w:bCs/>
          <w:sz w:val="20"/>
          <w:szCs w:val="20"/>
        </w:rPr>
        <w:t xml:space="preserve">alls that this does not include reparations </w:t>
      </w:r>
      <w:r w:rsidR="00453A12" w:rsidRPr="004542B5">
        <w:rPr>
          <w:rFonts w:cs="Verdana Bold"/>
          <w:bCs/>
          <w:sz w:val="20"/>
          <w:szCs w:val="20"/>
        </w:rPr>
        <w:t>relat</w:t>
      </w:r>
      <w:r w:rsidRPr="004542B5">
        <w:rPr>
          <w:rFonts w:cs="Verdana Bold"/>
          <w:bCs/>
          <w:sz w:val="20"/>
          <w:szCs w:val="20"/>
        </w:rPr>
        <w:t>ed to the facts mentioned previously</w:t>
      </w:r>
      <w:r w:rsidR="007B47B1" w:rsidRPr="004542B5">
        <w:rPr>
          <w:rFonts w:cs="Verdana Bold"/>
          <w:bCs/>
          <w:sz w:val="20"/>
          <w:szCs w:val="20"/>
        </w:rPr>
        <w:t xml:space="preserve"> </w:t>
      </w:r>
      <w:r w:rsidRPr="004542B5">
        <w:rPr>
          <w:rFonts w:cs="Verdana Bold"/>
          <w:bCs/>
          <w:sz w:val="20"/>
          <w:szCs w:val="20"/>
        </w:rPr>
        <w:t xml:space="preserve">over which the Court does not have </w:t>
      </w:r>
      <w:r w:rsidR="00A9377B" w:rsidRPr="004542B5">
        <w:rPr>
          <w:rFonts w:cs="Verdana Bold"/>
          <w:bCs/>
          <w:sz w:val="20"/>
          <w:szCs w:val="20"/>
        </w:rPr>
        <w:t>jurisdiction</w:t>
      </w:r>
      <w:r w:rsidR="00453A12" w:rsidRPr="004542B5">
        <w:rPr>
          <w:rFonts w:cs="Verdana Bold"/>
          <w:bCs/>
          <w:sz w:val="20"/>
          <w:szCs w:val="20"/>
        </w:rPr>
        <w:t xml:space="preserve"> to rule</w:t>
      </w:r>
      <w:r w:rsidRPr="004542B5">
        <w:rPr>
          <w:rFonts w:cs="Verdana Bold"/>
          <w:bCs/>
          <w:sz w:val="20"/>
          <w:szCs w:val="20"/>
        </w:rPr>
        <w:t xml:space="preserve"> </w:t>
      </w:r>
      <w:r w:rsidR="007B47B1" w:rsidRPr="004542B5">
        <w:rPr>
          <w:rFonts w:cs="Verdana Bold"/>
          <w:bCs/>
          <w:i/>
          <w:sz w:val="20"/>
          <w:szCs w:val="20"/>
        </w:rPr>
        <w:t>ratione temporis</w:t>
      </w:r>
      <w:r w:rsidR="007B47B1" w:rsidRPr="004542B5">
        <w:rPr>
          <w:rFonts w:cs="Verdana Bold"/>
          <w:bCs/>
          <w:sz w:val="20"/>
          <w:szCs w:val="20"/>
        </w:rPr>
        <w:t xml:space="preserve"> </w:t>
      </w:r>
      <w:r w:rsidR="00453A12" w:rsidRPr="004542B5">
        <w:rPr>
          <w:rFonts w:cs="Verdana Bold"/>
          <w:bCs/>
          <w:sz w:val="20"/>
          <w:szCs w:val="20"/>
        </w:rPr>
        <w:t>(</w:t>
      </w:r>
      <w:r w:rsidR="00453A12" w:rsidRPr="004542B5">
        <w:rPr>
          <w:rFonts w:cs="Verdana Bold"/>
          <w:bCs/>
          <w:i/>
          <w:sz w:val="20"/>
          <w:szCs w:val="20"/>
        </w:rPr>
        <w:t>supra</w:t>
      </w:r>
      <w:r w:rsidR="00453A12" w:rsidRPr="004542B5">
        <w:rPr>
          <w:rFonts w:cs="Verdana Bold"/>
          <w:bCs/>
          <w:sz w:val="20"/>
          <w:szCs w:val="20"/>
        </w:rPr>
        <w:t xml:space="preserve"> para. 40), because they occurred before Panama had accepted the Court’s contentious jurisdiction</w:t>
      </w:r>
      <w:r w:rsidR="007B47B1" w:rsidRPr="004542B5">
        <w:rPr>
          <w:rFonts w:cs="Verdana Bold"/>
          <w:bCs/>
          <w:sz w:val="20"/>
          <w:szCs w:val="20"/>
        </w:rPr>
        <w:t xml:space="preserve">. </w:t>
      </w:r>
    </w:p>
    <w:p w14:paraId="4F3A939E" w14:textId="4F3F85FD" w:rsidR="003B7977" w:rsidRPr="004542B5" w:rsidRDefault="00453A12" w:rsidP="00453A12">
      <w:pPr>
        <w:pStyle w:val="ListParagraph"/>
        <w:numPr>
          <w:ilvl w:val="0"/>
          <w:numId w:val="2"/>
        </w:numPr>
        <w:spacing w:before="120" w:after="120"/>
        <w:contextualSpacing w:val="0"/>
        <w:rPr>
          <w:noProof w:val="0"/>
          <w:szCs w:val="20"/>
          <w:lang w:val="en-US" w:bidi="en-US"/>
        </w:rPr>
      </w:pPr>
      <w:r w:rsidRPr="004542B5">
        <w:rPr>
          <w:noProof w:val="0"/>
          <w:szCs w:val="20"/>
          <w:lang w:val="en-US" w:bidi="en-US"/>
        </w:rPr>
        <w:t>Consequently, and without prejudice to any form of reparation that is subsequently agreed between the State and the victims, based on the violations of the American Convention declared in this judgment, the Court will proceed to establish measures a</w:t>
      </w:r>
      <w:r w:rsidR="00A9377B" w:rsidRPr="004542B5">
        <w:rPr>
          <w:noProof w:val="0"/>
          <w:szCs w:val="20"/>
          <w:lang w:val="en-US" w:bidi="en-US"/>
        </w:rPr>
        <w:t>imed</w:t>
      </w:r>
      <w:r w:rsidRPr="004542B5">
        <w:rPr>
          <w:noProof w:val="0"/>
          <w:szCs w:val="20"/>
          <w:lang w:val="en-US" w:bidi="en-US"/>
        </w:rPr>
        <w:t xml:space="preserve"> at </w:t>
      </w:r>
      <w:r w:rsidR="00A9377B" w:rsidRPr="004542B5">
        <w:rPr>
          <w:noProof w:val="0"/>
          <w:szCs w:val="20"/>
          <w:lang w:val="en-US" w:bidi="en-US"/>
        </w:rPr>
        <w:t xml:space="preserve">redressing </w:t>
      </w:r>
      <w:r w:rsidRPr="004542B5">
        <w:rPr>
          <w:noProof w:val="0"/>
          <w:szCs w:val="20"/>
          <w:lang w:val="en-US" w:bidi="en-US"/>
        </w:rPr>
        <w:t xml:space="preserve">the harm caused. To this end, it will take into account the claims </w:t>
      </w:r>
      <w:r w:rsidR="008A56D7" w:rsidRPr="004542B5">
        <w:rPr>
          <w:noProof w:val="0"/>
          <w:szCs w:val="20"/>
          <w:lang w:val="en-US" w:bidi="en-US"/>
        </w:rPr>
        <w:t xml:space="preserve">of the </w:t>
      </w:r>
      <w:r w:rsidR="00562CBB" w:rsidRPr="004542B5">
        <w:rPr>
          <w:noProof w:val="0"/>
          <w:szCs w:val="20"/>
          <w:lang w:val="en-US" w:bidi="en-US"/>
        </w:rPr>
        <w:t>Commission</w:t>
      </w:r>
      <w:r w:rsidR="00CD2B90" w:rsidRPr="004542B5">
        <w:rPr>
          <w:noProof w:val="0"/>
          <w:szCs w:val="20"/>
          <w:lang w:val="en-US" w:bidi="en-US"/>
        </w:rPr>
        <w:t xml:space="preserve"> and </w:t>
      </w:r>
      <w:r w:rsidR="00562CBB" w:rsidRPr="004542B5">
        <w:rPr>
          <w:noProof w:val="0"/>
          <w:szCs w:val="20"/>
          <w:lang w:val="en-US" w:bidi="en-US"/>
        </w:rPr>
        <w:t>the representatives</w:t>
      </w:r>
      <w:r w:rsidR="007B47B1" w:rsidRPr="004542B5">
        <w:rPr>
          <w:noProof w:val="0"/>
          <w:szCs w:val="20"/>
          <w:lang w:val="en-US" w:bidi="en-US"/>
        </w:rPr>
        <w:t xml:space="preserve">, </w:t>
      </w:r>
      <w:r w:rsidRPr="004542B5">
        <w:rPr>
          <w:noProof w:val="0"/>
          <w:szCs w:val="20"/>
          <w:lang w:val="en-US" w:bidi="en-US"/>
        </w:rPr>
        <w:t>and also the</w:t>
      </w:r>
      <w:r w:rsidR="007B47B1" w:rsidRPr="004542B5">
        <w:rPr>
          <w:noProof w:val="0"/>
          <w:szCs w:val="20"/>
          <w:lang w:val="en-US" w:bidi="en-US"/>
        </w:rPr>
        <w:t xml:space="preserve"> </w:t>
      </w:r>
      <w:r w:rsidR="00EC434E" w:rsidRPr="004542B5">
        <w:rPr>
          <w:noProof w:val="0"/>
          <w:szCs w:val="20"/>
          <w:lang w:val="en-US" w:bidi="en-US"/>
        </w:rPr>
        <w:t>arguments</w:t>
      </w:r>
      <w:r w:rsidR="008A56D7" w:rsidRPr="004542B5">
        <w:rPr>
          <w:noProof w:val="0"/>
          <w:szCs w:val="20"/>
          <w:lang w:val="en-US" w:bidi="en-US"/>
        </w:rPr>
        <w:t xml:space="preserve"> of the </w:t>
      </w:r>
      <w:r w:rsidR="00562CBB" w:rsidRPr="004542B5">
        <w:rPr>
          <w:noProof w:val="0"/>
          <w:szCs w:val="20"/>
          <w:lang w:val="en-US" w:bidi="en-US"/>
        </w:rPr>
        <w:t>State</w:t>
      </w:r>
      <w:r w:rsidRPr="004542B5">
        <w:rPr>
          <w:noProof w:val="0"/>
          <w:szCs w:val="20"/>
          <w:lang w:val="en-US" w:bidi="en-US"/>
        </w:rPr>
        <w:t>,</w:t>
      </w:r>
      <w:r w:rsidR="007B47B1" w:rsidRPr="004542B5">
        <w:rPr>
          <w:rStyle w:val="FootnoteReference"/>
          <w:noProof w:val="0"/>
          <w:lang w:val="en-US" w:bidi="en-US"/>
        </w:rPr>
        <w:footnoteReference w:id="258"/>
      </w:r>
      <w:r w:rsidRPr="004542B5">
        <w:rPr>
          <w:noProof w:val="0"/>
          <w:szCs w:val="20"/>
          <w:lang w:val="en-US" w:bidi="en-US"/>
        </w:rPr>
        <w:t xml:space="preserve"> in light of the criteria established in its case law concerning the nature and scope of the obligation to make reparation.</w:t>
      </w:r>
      <w:r w:rsidR="007B47B1" w:rsidRPr="004542B5">
        <w:rPr>
          <w:rStyle w:val="FootnoteReference"/>
          <w:noProof w:val="0"/>
          <w:lang w:val="en-US" w:bidi="en-US"/>
        </w:rPr>
        <w:footnoteReference w:id="259"/>
      </w:r>
      <w:r w:rsidR="007B47B1" w:rsidRPr="004542B5">
        <w:rPr>
          <w:noProof w:val="0"/>
          <w:szCs w:val="20"/>
          <w:lang w:val="en-US" w:bidi="en-US"/>
        </w:rPr>
        <w:t xml:space="preserve"> </w:t>
      </w:r>
    </w:p>
    <w:p w14:paraId="153DEFBD" w14:textId="7C72FD78" w:rsidR="00AC026A" w:rsidRPr="004542B5" w:rsidRDefault="00B902E7" w:rsidP="00E01664">
      <w:pPr>
        <w:pStyle w:val="ListParagraph"/>
        <w:numPr>
          <w:ilvl w:val="0"/>
          <w:numId w:val="13"/>
        </w:numPr>
        <w:spacing w:before="240" w:after="240"/>
        <w:ind w:left="714" w:hanging="357"/>
        <w:contextualSpacing w:val="0"/>
        <w:outlineLvl w:val="1"/>
        <w:rPr>
          <w:b/>
          <w:i/>
          <w:noProof w:val="0"/>
          <w:szCs w:val="20"/>
          <w:lang w:val="en-US" w:bidi="en-US"/>
        </w:rPr>
      </w:pPr>
      <w:bookmarkStart w:id="258" w:name="_Toc45200901"/>
      <w:r w:rsidRPr="004542B5">
        <w:rPr>
          <w:b/>
          <w:i/>
          <w:noProof w:val="0"/>
          <w:szCs w:val="20"/>
          <w:lang w:val="en-US" w:bidi="en-US"/>
        </w:rPr>
        <w:t>Injured party</w:t>
      </w:r>
      <w:bookmarkEnd w:id="258"/>
    </w:p>
    <w:p w14:paraId="1877F6C9" w14:textId="0F951E05" w:rsidR="00453A12" w:rsidRPr="004542B5" w:rsidRDefault="00562CBB" w:rsidP="00E01664">
      <w:pPr>
        <w:pStyle w:val="ListParagraph"/>
        <w:numPr>
          <w:ilvl w:val="0"/>
          <w:numId w:val="2"/>
        </w:numPr>
        <w:rPr>
          <w:noProof w:val="0"/>
          <w:szCs w:val="20"/>
          <w:lang w:val="en-US" w:bidi="en-US"/>
        </w:rPr>
      </w:pPr>
      <w:r w:rsidRPr="004542B5">
        <w:rPr>
          <w:noProof w:val="0"/>
          <w:szCs w:val="20"/>
          <w:lang w:val="en-US" w:bidi="en-US"/>
        </w:rPr>
        <w:t>The Court</w:t>
      </w:r>
      <w:r w:rsidR="007B47B1" w:rsidRPr="004542B5">
        <w:rPr>
          <w:noProof w:val="0"/>
          <w:szCs w:val="20"/>
          <w:lang w:val="en-US" w:bidi="en-US"/>
        </w:rPr>
        <w:t xml:space="preserve"> reiter</w:t>
      </w:r>
      <w:r w:rsidR="00453A12" w:rsidRPr="004542B5">
        <w:rPr>
          <w:noProof w:val="0"/>
          <w:szCs w:val="20"/>
          <w:lang w:val="en-US" w:bidi="en-US"/>
        </w:rPr>
        <w:t>ates that</w:t>
      </w:r>
      <w:r w:rsidR="007B47B1" w:rsidRPr="004542B5">
        <w:rPr>
          <w:noProof w:val="0"/>
          <w:szCs w:val="20"/>
          <w:lang w:val="en-US" w:bidi="en-US"/>
        </w:rPr>
        <w:t xml:space="preserve">, </w:t>
      </w:r>
      <w:r w:rsidR="00453A12" w:rsidRPr="004542B5">
        <w:rPr>
          <w:noProof w:val="0"/>
          <w:szCs w:val="20"/>
          <w:lang w:val="en-US" w:bidi="en-US"/>
        </w:rPr>
        <w:t>pursuant to</w:t>
      </w:r>
      <w:r w:rsidR="00E04132" w:rsidRPr="004542B5">
        <w:rPr>
          <w:noProof w:val="0"/>
          <w:szCs w:val="20"/>
          <w:lang w:val="en-US"/>
        </w:rPr>
        <w:t xml:space="preserve"> Article</w:t>
      </w:r>
      <w:r w:rsidR="007B47B1" w:rsidRPr="004542B5">
        <w:rPr>
          <w:noProof w:val="0"/>
          <w:szCs w:val="20"/>
          <w:lang w:val="en-US" w:bidi="en-US"/>
        </w:rPr>
        <w:t xml:space="preserve"> </w:t>
      </w:r>
      <w:r w:rsidR="008A56D7" w:rsidRPr="004542B5">
        <w:rPr>
          <w:noProof w:val="0"/>
          <w:szCs w:val="20"/>
          <w:lang w:val="en-US" w:bidi="en-US"/>
        </w:rPr>
        <w:t xml:space="preserve">63(1) of the </w:t>
      </w:r>
      <w:r w:rsidRPr="004542B5">
        <w:rPr>
          <w:noProof w:val="0"/>
          <w:szCs w:val="20"/>
          <w:lang w:val="en-US" w:bidi="en-US"/>
        </w:rPr>
        <w:t>American Convention</w:t>
      </w:r>
      <w:r w:rsidR="007B47B1" w:rsidRPr="004542B5">
        <w:rPr>
          <w:noProof w:val="0"/>
          <w:szCs w:val="20"/>
          <w:lang w:val="en-US" w:bidi="en-US"/>
        </w:rPr>
        <w:t xml:space="preserve">, </w:t>
      </w:r>
      <w:r w:rsidR="00453A12" w:rsidRPr="004542B5">
        <w:rPr>
          <w:noProof w:val="0"/>
          <w:szCs w:val="20"/>
          <w:lang w:val="en-US" w:bidi="en-US"/>
        </w:rPr>
        <w:t xml:space="preserve">it considers that anyone who has been declared a victim of the violation of any right recognized therein is an injured party. Therefore, the Court considers that the Kuna indigenous people of Madungandí and the Piriatí and Ipetí Emberá indigenous communities of Bayano, and their members, are the injured party and, as victims of the violations declared in this judgment, they will considered the beneficiaries of the reparations ordered by the Court. </w:t>
      </w:r>
    </w:p>
    <w:p w14:paraId="4A5AE995" w14:textId="038F3A69" w:rsidR="00AC026A" w:rsidRPr="004542B5" w:rsidRDefault="00B902E7" w:rsidP="00E01664">
      <w:pPr>
        <w:pStyle w:val="ListParagraph"/>
        <w:numPr>
          <w:ilvl w:val="0"/>
          <w:numId w:val="13"/>
        </w:numPr>
        <w:spacing w:before="240" w:after="240"/>
        <w:ind w:left="714" w:hanging="357"/>
        <w:contextualSpacing w:val="0"/>
        <w:outlineLvl w:val="1"/>
        <w:rPr>
          <w:b/>
          <w:i/>
          <w:noProof w:val="0"/>
          <w:szCs w:val="20"/>
          <w:lang w:val="en-US" w:bidi="en-US"/>
        </w:rPr>
      </w:pPr>
      <w:bookmarkStart w:id="259" w:name="_Toc45200902"/>
      <w:r w:rsidRPr="004542B5">
        <w:rPr>
          <w:b/>
          <w:i/>
          <w:noProof w:val="0"/>
          <w:szCs w:val="20"/>
          <w:lang w:val="en-US" w:bidi="en-US"/>
        </w:rPr>
        <w:t>Measures of satisfaction</w:t>
      </w:r>
      <w:r w:rsidR="00CD2B90" w:rsidRPr="004542B5">
        <w:rPr>
          <w:b/>
          <w:i/>
          <w:noProof w:val="0"/>
          <w:szCs w:val="20"/>
          <w:lang w:val="en-US" w:bidi="en-US"/>
        </w:rPr>
        <w:t xml:space="preserve"> and </w:t>
      </w:r>
      <w:r w:rsidRPr="004542B5">
        <w:rPr>
          <w:b/>
          <w:i/>
          <w:noProof w:val="0"/>
          <w:szCs w:val="20"/>
          <w:lang w:val="en-US" w:bidi="en-US"/>
        </w:rPr>
        <w:t>guarantees of non-repetition</w:t>
      </w:r>
      <w:bookmarkEnd w:id="259"/>
    </w:p>
    <w:p w14:paraId="1CBFCED9" w14:textId="1A899406" w:rsidR="00AC026A" w:rsidRPr="004542B5" w:rsidRDefault="007B47B1" w:rsidP="00E01664">
      <w:pPr>
        <w:pStyle w:val="ListParagraph"/>
        <w:spacing w:before="240" w:after="240"/>
        <w:contextualSpacing w:val="0"/>
        <w:outlineLvl w:val="2"/>
        <w:rPr>
          <w:i/>
          <w:noProof w:val="0"/>
          <w:szCs w:val="20"/>
          <w:lang w:val="en-US"/>
        </w:rPr>
      </w:pPr>
      <w:bookmarkStart w:id="260" w:name="_Toc45200903"/>
      <w:r w:rsidRPr="004542B5">
        <w:rPr>
          <w:i/>
          <w:noProof w:val="0"/>
          <w:szCs w:val="20"/>
          <w:lang w:val="en-US" w:bidi="en-US"/>
        </w:rPr>
        <w:t xml:space="preserve">B.1. </w:t>
      </w:r>
      <w:r w:rsidR="00B902E7" w:rsidRPr="004542B5">
        <w:rPr>
          <w:i/>
          <w:noProof w:val="0"/>
          <w:szCs w:val="20"/>
          <w:lang w:val="en-US" w:bidi="en-US"/>
        </w:rPr>
        <w:t>Measures of satisfaction</w:t>
      </w:r>
      <w:bookmarkEnd w:id="260"/>
    </w:p>
    <w:p w14:paraId="056F2CE2" w14:textId="4B7D124C" w:rsidR="00DC681F" w:rsidRPr="004542B5" w:rsidRDefault="00562CBB" w:rsidP="00372C74">
      <w:pPr>
        <w:pStyle w:val="ListParagraph"/>
        <w:numPr>
          <w:ilvl w:val="0"/>
          <w:numId w:val="2"/>
        </w:numPr>
        <w:spacing w:before="120" w:after="120"/>
        <w:contextualSpacing w:val="0"/>
        <w:rPr>
          <w:noProof w:val="0"/>
          <w:szCs w:val="20"/>
          <w:lang w:val="en-US" w:bidi="en-US"/>
        </w:rPr>
      </w:pPr>
      <w:r w:rsidRPr="004542B5">
        <w:rPr>
          <w:noProof w:val="0"/>
          <w:szCs w:val="20"/>
          <w:lang w:val="en-US"/>
        </w:rPr>
        <w:t>The Court</w:t>
      </w:r>
      <w:r w:rsidR="007B47B1" w:rsidRPr="004542B5">
        <w:rPr>
          <w:noProof w:val="0"/>
          <w:szCs w:val="20"/>
          <w:lang w:val="en-US"/>
        </w:rPr>
        <w:t xml:space="preserve"> </w:t>
      </w:r>
      <w:r w:rsidR="00B75559" w:rsidRPr="004542B5">
        <w:rPr>
          <w:noProof w:val="0"/>
          <w:szCs w:val="20"/>
          <w:lang w:val="en-US"/>
        </w:rPr>
        <w:t xml:space="preserve">will determine measures that seek to repair the </w:t>
      </w:r>
      <w:r w:rsidR="00B902E7" w:rsidRPr="004542B5">
        <w:rPr>
          <w:noProof w:val="0"/>
          <w:szCs w:val="20"/>
          <w:lang w:val="en-US"/>
        </w:rPr>
        <w:t>non-pecuniary damage</w:t>
      </w:r>
      <w:r w:rsidR="00CD2B90" w:rsidRPr="004542B5">
        <w:rPr>
          <w:noProof w:val="0"/>
          <w:szCs w:val="20"/>
          <w:lang w:val="en-US"/>
        </w:rPr>
        <w:t xml:space="preserve"> and </w:t>
      </w:r>
      <w:r w:rsidR="00372C74" w:rsidRPr="004542B5">
        <w:rPr>
          <w:noProof w:val="0"/>
          <w:szCs w:val="20"/>
          <w:lang w:val="en-US"/>
        </w:rPr>
        <w:t>that are not of a monetary nature, as well as measures with public scope and repercussion.</w:t>
      </w:r>
      <w:r w:rsidR="007B47B1" w:rsidRPr="004542B5">
        <w:rPr>
          <w:rStyle w:val="FootnoteReference"/>
          <w:rFonts w:eastAsia="MS Mincho"/>
          <w:noProof w:val="0"/>
          <w:lang w:val="en-US"/>
        </w:rPr>
        <w:footnoteReference w:id="260"/>
      </w:r>
      <w:r w:rsidR="00372C74" w:rsidRPr="004542B5">
        <w:rPr>
          <w:noProof w:val="0"/>
          <w:szCs w:val="20"/>
          <w:lang w:val="en-US"/>
        </w:rPr>
        <w:t xml:space="preserve"> </w:t>
      </w:r>
      <w:r w:rsidR="00372C74" w:rsidRPr="004542B5">
        <w:rPr>
          <w:noProof w:val="0"/>
          <w:szCs w:val="20"/>
          <w:lang w:val="en-US"/>
        </w:rPr>
        <w:lastRenderedPageBreak/>
        <w:t xml:space="preserve">Thus, considering the circumstances of the instant case, and their effects on the </w:t>
      </w:r>
      <w:r w:rsidR="007B47B1" w:rsidRPr="004542B5">
        <w:rPr>
          <w:noProof w:val="0"/>
          <w:szCs w:val="20"/>
          <w:lang w:val="en-US"/>
        </w:rPr>
        <w:t>Kuna</w:t>
      </w:r>
      <w:r w:rsidR="00CD2B90" w:rsidRPr="004542B5">
        <w:rPr>
          <w:noProof w:val="0"/>
          <w:szCs w:val="20"/>
          <w:lang w:val="en-US"/>
        </w:rPr>
        <w:t xml:space="preserve"> and </w:t>
      </w:r>
      <w:r w:rsidR="007B47B1" w:rsidRPr="004542B5">
        <w:rPr>
          <w:noProof w:val="0"/>
          <w:szCs w:val="20"/>
          <w:lang w:val="en-US"/>
        </w:rPr>
        <w:t>Emberá</w:t>
      </w:r>
      <w:r w:rsidR="00372C74" w:rsidRPr="004542B5">
        <w:rPr>
          <w:noProof w:val="0"/>
          <w:szCs w:val="20"/>
          <w:lang w:val="en-US"/>
        </w:rPr>
        <w:t xml:space="preserve"> indigenous peoples</w:t>
      </w:r>
      <w:r w:rsidR="00CD2B90" w:rsidRPr="004542B5">
        <w:rPr>
          <w:noProof w:val="0"/>
          <w:szCs w:val="20"/>
          <w:lang w:val="en-US"/>
        </w:rPr>
        <w:t xml:space="preserve"> and </w:t>
      </w:r>
      <w:r w:rsidR="00372C74" w:rsidRPr="004542B5">
        <w:rPr>
          <w:noProof w:val="0"/>
          <w:szCs w:val="20"/>
          <w:lang w:val="en-US"/>
        </w:rPr>
        <w:t>their</w:t>
      </w:r>
      <w:r w:rsidR="007B47B1" w:rsidRPr="004542B5">
        <w:rPr>
          <w:noProof w:val="0"/>
          <w:szCs w:val="20"/>
          <w:lang w:val="en-US"/>
        </w:rPr>
        <w:t xml:space="preserve"> </w:t>
      </w:r>
      <w:r w:rsidR="003234E7" w:rsidRPr="004542B5">
        <w:rPr>
          <w:noProof w:val="0"/>
          <w:szCs w:val="20"/>
          <w:lang w:val="en-US"/>
        </w:rPr>
        <w:t>members</w:t>
      </w:r>
      <w:r w:rsidR="00CD2B90" w:rsidRPr="004542B5">
        <w:rPr>
          <w:noProof w:val="0"/>
          <w:szCs w:val="20"/>
          <w:lang w:val="en-US"/>
        </w:rPr>
        <w:t xml:space="preserve"> and </w:t>
      </w:r>
      <w:r w:rsidR="00372C74" w:rsidRPr="004542B5">
        <w:rPr>
          <w:noProof w:val="0"/>
          <w:szCs w:val="20"/>
          <w:lang w:val="en-US"/>
        </w:rPr>
        <w:t>the consequences of a non-pecuniary nature derived from the violations</w:t>
      </w:r>
      <w:r w:rsidR="008A56D7" w:rsidRPr="004542B5">
        <w:rPr>
          <w:noProof w:val="0"/>
          <w:szCs w:val="20"/>
          <w:lang w:val="en-US"/>
        </w:rPr>
        <w:t xml:space="preserve"> of the </w:t>
      </w:r>
      <w:r w:rsidRPr="004542B5">
        <w:rPr>
          <w:noProof w:val="0"/>
          <w:szCs w:val="20"/>
          <w:lang w:val="en-US"/>
        </w:rPr>
        <w:t>American Convention</w:t>
      </w:r>
      <w:r w:rsidR="00372C74" w:rsidRPr="004542B5">
        <w:rPr>
          <w:noProof w:val="0"/>
          <w:szCs w:val="20"/>
          <w:lang w:val="en-US"/>
        </w:rPr>
        <w:t xml:space="preserve"> that have been declared to their detriment, the Court finds it necessary to examine the pertinence of</w:t>
      </w:r>
      <w:r w:rsidR="007B47B1" w:rsidRPr="004542B5">
        <w:rPr>
          <w:noProof w:val="0"/>
          <w:szCs w:val="20"/>
          <w:lang w:val="en-US"/>
        </w:rPr>
        <w:t xml:space="preserve"> </w:t>
      </w:r>
      <w:r w:rsidR="00B902E7" w:rsidRPr="004542B5">
        <w:rPr>
          <w:noProof w:val="0"/>
          <w:szCs w:val="20"/>
          <w:lang w:val="en-US"/>
        </w:rPr>
        <w:t>measures of satisfaction</w:t>
      </w:r>
      <w:r w:rsidR="00CD2B90" w:rsidRPr="004542B5">
        <w:rPr>
          <w:noProof w:val="0"/>
          <w:szCs w:val="20"/>
          <w:lang w:val="en-US"/>
        </w:rPr>
        <w:t xml:space="preserve"> and </w:t>
      </w:r>
      <w:r w:rsidR="00B902E7" w:rsidRPr="004542B5">
        <w:rPr>
          <w:noProof w:val="0"/>
          <w:szCs w:val="20"/>
          <w:lang w:val="en-US"/>
        </w:rPr>
        <w:t>guarantees of non-repetition</w:t>
      </w:r>
      <w:r w:rsidR="007B47B1" w:rsidRPr="004542B5">
        <w:rPr>
          <w:noProof w:val="0"/>
          <w:szCs w:val="20"/>
          <w:lang w:val="en-US"/>
        </w:rPr>
        <w:t xml:space="preserve">. </w:t>
      </w:r>
      <w:r w:rsidR="00372C74" w:rsidRPr="004542B5">
        <w:rPr>
          <w:noProof w:val="0"/>
          <w:szCs w:val="20"/>
          <w:lang w:val="en-US"/>
        </w:rPr>
        <w:t>International case law and, in particular, that of the Court, has established repeatedly that the judgment constituted,</w:t>
      </w:r>
      <w:r w:rsidR="007B47B1" w:rsidRPr="004542B5">
        <w:rPr>
          <w:i/>
          <w:iCs/>
          <w:noProof w:val="0"/>
          <w:szCs w:val="20"/>
          <w:lang w:val="en-US"/>
        </w:rPr>
        <w:t xml:space="preserve"> per se</w:t>
      </w:r>
      <w:r w:rsidR="00372C74" w:rsidRPr="004542B5">
        <w:rPr>
          <w:i/>
          <w:iCs/>
          <w:noProof w:val="0"/>
          <w:szCs w:val="20"/>
          <w:lang w:val="en-US"/>
        </w:rPr>
        <w:t>,</w:t>
      </w:r>
      <w:r w:rsidR="007B47B1" w:rsidRPr="004542B5">
        <w:rPr>
          <w:noProof w:val="0"/>
          <w:szCs w:val="20"/>
          <w:lang w:val="en-US"/>
        </w:rPr>
        <w:t xml:space="preserve"> a form</w:t>
      </w:r>
      <w:r w:rsidR="00372C74" w:rsidRPr="004542B5">
        <w:rPr>
          <w:noProof w:val="0"/>
          <w:szCs w:val="20"/>
          <w:lang w:val="en-US"/>
        </w:rPr>
        <w:t xml:space="preserve"> of reparation.</w:t>
      </w:r>
      <w:r w:rsidR="007B47B1" w:rsidRPr="004542B5">
        <w:rPr>
          <w:rStyle w:val="FootnoteReference"/>
          <w:rFonts w:eastAsia="MS Mincho"/>
          <w:noProof w:val="0"/>
          <w:lang w:val="en-US"/>
        </w:rPr>
        <w:footnoteReference w:id="261"/>
      </w:r>
    </w:p>
    <w:p w14:paraId="1519899C" w14:textId="4405C505" w:rsidR="00AC026A" w:rsidRPr="004542B5" w:rsidRDefault="00372C74" w:rsidP="00E01664">
      <w:pPr>
        <w:pStyle w:val="ListParagraph"/>
        <w:numPr>
          <w:ilvl w:val="0"/>
          <w:numId w:val="2"/>
        </w:numPr>
        <w:spacing w:before="120" w:after="120"/>
        <w:contextualSpacing w:val="0"/>
        <w:rPr>
          <w:noProof w:val="0"/>
          <w:szCs w:val="20"/>
          <w:lang w:val="en-US" w:bidi="en-US"/>
        </w:rPr>
      </w:pPr>
      <w:r w:rsidRPr="004542B5">
        <w:rPr>
          <w:noProof w:val="0"/>
          <w:lang w:val="en-US"/>
        </w:rPr>
        <w:t>The</w:t>
      </w:r>
      <w:r w:rsidR="00562CBB" w:rsidRPr="004542B5">
        <w:rPr>
          <w:noProof w:val="0"/>
          <w:szCs w:val="20"/>
          <w:lang w:val="en-US"/>
        </w:rPr>
        <w:t xml:space="preserve"> Court</w:t>
      </w:r>
      <w:r w:rsidRPr="004542B5">
        <w:rPr>
          <w:noProof w:val="0"/>
          <w:szCs w:val="20"/>
          <w:lang w:val="en-US"/>
        </w:rPr>
        <w:t xml:space="preserve"> also takes note of the Commission’s recommendation to make individual and collective reparation for the consequences of the human rights violations that have been determined.</w:t>
      </w:r>
    </w:p>
    <w:p w14:paraId="323FA57C" w14:textId="4F07DFC1" w:rsidR="00372C74" w:rsidRPr="004542B5" w:rsidRDefault="00562CBB" w:rsidP="00E01664">
      <w:pPr>
        <w:pStyle w:val="ListParagraph"/>
        <w:numPr>
          <w:ilvl w:val="0"/>
          <w:numId w:val="2"/>
        </w:numPr>
        <w:spacing w:before="120" w:after="120"/>
        <w:contextualSpacing w:val="0"/>
        <w:rPr>
          <w:noProof w:val="0"/>
          <w:szCs w:val="20"/>
          <w:lang w:val="en-US"/>
        </w:rPr>
      </w:pPr>
      <w:r w:rsidRPr="004542B5">
        <w:rPr>
          <w:noProof w:val="0"/>
          <w:lang w:val="en-US"/>
        </w:rPr>
        <w:t>The representatives</w:t>
      </w:r>
      <w:r w:rsidR="007B47B1" w:rsidRPr="004542B5">
        <w:rPr>
          <w:noProof w:val="0"/>
          <w:szCs w:val="20"/>
          <w:lang w:val="en-US"/>
        </w:rPr>
        <w:t xml:space="preserve"> indica</w:t>
      </w:r>
      <w:r w:rsidR="00372C74" w:rsidRPr="004542B5">
        <w:rPr>
          <w:noProof w:val="0"/>
          <w:szCs w:val="20"/>
          <w:lang w:val="en-US"/>
        </w:rPr>
        <w:t>ted that the violations had prejudiced the indigenous communities and, owing to their cultural identity, they should be considered “from an individual and a collective perspective.” They also considered that</w:t>
      </w:r>
      <w:r w:rsidR="002F3FFD" w:rsidRPr="004542B5">
        <w:rPr>
          <w:noProof w:val="0"/>
          <w:szCs w:val="20"/>
          <w:lang w:val="en-US"/>
        </w:rPr>
        <w:t>, in this case,</w:t>
      </w:r>
      <w:r w:rsidR="00372C74" w:rsidRPr="004542B5">
        <w:rPr>
          <w:noProof w:val="0"/>
          <w:szCs w:val="20"/>
          <w:lang w:val="en-US"/>
        </w:rPr>
        <w:t xml:space="preserve"> the reparations </w:t>
      </w:r>
      <w:r w:rsidR="007F4005" w:rsidRPr="004542B5">
        <w:rPr>
          <w:noProof w:val="0"/>
          <w:szCs w:val="20"/>
          <w:lang w:val="en-US"/>
        </w:rPr>
        <w:t>had a special significan</w:t>
      </w:r>
      <w:r w:rsidR="002F3FFD" w:rsidRPr="004542B5">
        <w:rPr>
          <w:noProof w:val="0"/>
          <w:szCs w:val="20"/>
          <w:lang w:val="en-US"/>
        </w:rPr>
        <w:t>ce</w:t>
      </w:r>
      <w:r w:rsidR="007F4005" w:rsidRPr="004542B5">
        <w:rPr>
          <w:noProof w:val="0"/>
          <w:szCs w:val="20"/>
          <w:lang w:val="en-US"/>
        </w:rPr>
        <w:t xml:space="preserve"> </w:t>
      </w:r>
      <w:r w:rsidR="002F3FFD" w:rsidRPr="004542B5">
        <w:rPr>
          <w:noProof w:val="0"/>
          <w:szCs w:val="20"/>
          <w:lang w:val="en-US"/>
        </w:rPr>
        <w:t>owing to</w:t>
      </w:r>
      <w:r w:rsidR="007F4005" w:rsidRPr="004542B5">
        <w:rPr>
          <w:noProof w:val="0"/>
          <w:szCs w:val="20"/>
          <w:lang w:val="en-US"/>
        </w:rPr>
        <w:t xml:space="preserve"> the collective nature of the rights that had been violated, because the</w:t>
      </w:r>
      <w:r w:rsidR="002F3FFD" w:rsidRPr="004542B5">
        <w:rPr>
          <w:noProof w:val="0"/>
          <w:szCs w:val="20"/>
          <w:lang w:val="en-US"/>
        </w:rPr>
        <w:t xml:space="preserve"> State’s</w:t>
      </w:r>
      <w:r w:rsidR="007F4005" w:rsidRPr="004542B5">
        <w:rPr>
          <w:noProof w:val="0"/>
          <w:szCs w:val="20"/>
          <w:lang w:val="en-US"/>
        </w:rPr>
        <w:t xml:space="preserve"> actions had affected not only the victims considered individually, but also the very existence of the communities. </w:t>
      </w:r>
      <w:r w:rsidR="002F3FFD" w:rsidRPr="004542B5">
        <w:rPr>
          <w:noProof w:val="0"/>
          <w:szCs w:val="20"/>
          <w:lang w:val="en-US"/>
        </w:rPr>
        <w:t>In addition, they</w:t>
      </w:r>
      <w:r w:rsidR="007F4005" w:rsidRPr="004542B5">
        <w:rPr>
          <w:noProof w:val="0"/>
          <w:szCs w:val="20"/>
          <w:lang w:val="en-US"/>
        </w:rPr>
        <w:t xml:space="preserve"> observed that it was especially important that the reparation</w:t>
      </w:r>
      <w:r w:rsidR="002F3FFD" w:rsidRPr="004542B5">
        <w:rPr>
          <w:noProof w:val="0"/>
          <w:szCs w:val="20"/>
          <w:lang w:val="en-US"/>
        </w:rPr>
        <w:t xml:space="preserve">s </w:t>
      </w:r>
      <w:r w:rsidR="007F4005" w:rsidRPr="004542B5">
        <w:rPr>
          <w:noProof w:val="0"/>
          <w:szCs w:val="20"/>
          <w:lang w:val="en-US"/>
        </w:rPr>
        <w:t>took into account the interests and needs of the said communities.</w:t>
      </w:r>
    </w:p>
    <w:p w14:paraId="75430DDE" w14:textId="0D3C257C" w:rsidR="00AC026A"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State</w:t>
      </w:r>
      <w:r w:rsidR="007B47B1" w:rsidRPr="004542B5">
        <w:rPr>
          <w:noProof w:val="0"/>
          <w:szCs w:val="20"/>
          <w:lang w:val="en-US"/>
        </w:rPr>
        <w:t xml:space="preserve"> </w:t>
      </w:r>
      <w:r w:rsidR="007F4005" w:rsidRPr="004542B5">
        <w:rPr>
          <w:noProof w:val="0"/>
          <w:szCs w:val="20"/>
          <w:lang w:val="en-US"/>
        </w:rPr>
        <w:t>did not present specific arguments in this regard</w:t>
      </w:r>
      <w:r w:rsidR="007B47B1" w:rsidRPr="004542B5">
        <w:rPr>
          <w:noProof w:val="0"/>
          <w:szCs w:val="20"/>
          <w:lang w:val="en-US"/>
        </w:rPr>
        <w:t xml:space="preserve">. </w:t>
      </w:r>
    </w:p>
    <w:p w14:paraId="287804BF" w14:textId="238663D7" w:rsidR="00AC026A" w:rsidRPr="004542B5" w:rsidRDefault="007B47B1" w:rsidP="00E01664">
      <w:pPr>
        <w:pStyle w:val="ListParagraph"/>
        <w:spacing w:before="240" w:after="240"/>
        <w:ind w:firstLine="720"/>
        <w:contextualSpacing w:val="0"/>
        <w:rPr>
          <w:i/>
          <w:noProof w:val="0"/>
          <w:szCs w:val="20"/>
          <w:lang w:val="en-US"/>
        </w:rPr>
      </w:pPr>
      <w:r w:rsidRPr="004542B5">
        <w:rPr>
          <w:i/>
          <w:noProof w:val="0"/>
          <w:szCs w:val="20"/>
          <w:lang w:val="en-US"/>
        </w:rPr>
        <w:t>B.1.1. Publica</w:t>
      </w:r>
      <w:r w:rsidR="007F4005" w:rsidRPr="004542B5">
        <w:rPr>
          <w:i/>
          <w:noProof w:val="0"/>
          <w:szCs w:val="20"/>
          <w:lang w:val="en-US"/>
        </w:rPr>
        <w:t xml:space="preserve">tion and dissemination </w:t>
      </w:r>
      <w:r w:rsidR="00D5368D" w:rsidRPr="004542B5">
        <w:rPr>
          <w:i/>
          <w:noProof w:val="0"/>
          <w:szCs w:val="20"/>
          <w:lang w:val="en-US"/>
        </w:rPr>
        <w:t>of the judgment</w:t>
      </w:r>
    </w:p>
    <w:p w14:paraId="1F5ADA0C" w14:textId="04DA94D6" w:rsidR="00AC026A" w:rsidRPr="004542B5" w:rsidRDefault="00562CBB" w:rsidP="00E01664">
      <w:pPr>
        <w:pStyle w:val="ListParagraph"/>
        <w:numPr>
          <w:ilvl w:val="0"/>
          <w:numId w:val="2"/>
        </w:numPr>
        <w:rPr>
          <w:noProof w:val="0"/>
          <w:szCs w:val="20"/>
          <w:lang w:val="en-US"/>
        </w:rPr>
      </w:pPr>
      <w:r w:rsidRPr="004542B5">
        <w:rPr>
          <w:noProof w:val="0"/>
          <w:szCs w:val="20"/>
          <w:lang w:val="en-US"/>
        </w:rPr>
        <w:t>The Commission</w:t>
      </w:r>
      <w:r w:rsidR="00CD2B90" w:rsidRPr="004542B5">
        <w:rPr>
          <w:noProof w:val="0"/>
          <w:szCs w:val="20"/>
          <w:lang w:val="en-US"/>
        </w:rPr>
        <w:t xml:space="preserve"> and </w:t>
      </w:r>
      <w:r w:rsidRPr="004542B5">
        <w:rPr>
          <w:noProof w:val="0"/>
          <w:szCs w:val="20"/>
          <w:lang w:val="en-US"/>
        </w:rPr>
        <w:t>the State</w:t>
      </w:r>
      <w:r w:rsidR="007B47B1" w:rsidRPr="004542B5">
        <w:rPr>
          <w:noProof w:val="0"/>
          <w:szCs w:val="20"/>
          <w:lang w:val="en-US"/>
        </w:rPr>
        <w:t xml:space="preserve"> </w:t>
      </w:r>
      <w:r w:rsidR="007F4005" w:rsidRPr="004542B5">
        <w:rPr>
          <w:noProof w:val="0"/>
          <w:szCs w:val="20"/>
          <w:lang w:val="en-US"/>
        </w:rPr>
        <w:t>did not refer to this type of measure of reparation</w:t>
      </w:r>
      <w:r w:rsidR="007B47B1" w:rsidRPr="004542B5">
        <w:rPr>
          <w:noProof w:val="0"/>
          <w:szCs w:val="20"/>
          <w:lang w:val="en-US"/>
        </w:rPr>
        <w:t>.</w:t>
      </w:r>
    </w:p>
    <w:p w14:paraId="0E7F2EAD" w14:textId="49E421EC" w:rsidR="007F4005"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representatives</w:t>
      </w:r>
      <w:r w:rsidR="007B47B1" w:rsidRPr="004542B5">
        <w:rPr>
          <w:noProof w:val="0"/>
          <w:szCs w:val="20"/>
          <w:lang w:val="en-US"/>
        </w:rPr>
        <w:t xml:space="preserve"> </w:t>
      </w:r>
      <w:r w:rsidR="007F4005" w:rsidRPr="004542B5">
        <w:rPr>
          <w:noProof w:val="0"/>
          <w:szCs w:val="20"/>
          <w:lang w:val="en-US"/>
        </w:rPr>
        <w:t>asked</w:t>
      </w:r>
      <w:r w:rsidR="007B47B1" w:rsidRPr="004542B5">
        <w:rPr>
          <w:noProof w:val="0"/>
          <w:szCs w:val="20"/>
          <w:lang w:val="en-US"/>
        </w:rPr>
        <w:t xml:space="preserve"> </w:t>
      </w:r>
      <w:r w:rsidRPr="004542B5">
        <w:rPr>
          <w:noProof w:val="0"/>
          <w:szCs w:val="20"/>
          <w:lang w:val="en-US"/>
        </w:rPr>
        <w:t>the Court</w:t>
      </w:r>
      <w:r w:rsidR="007B47B1" w:rsidRPr="004542B5">
        <w:rPr>
          <w:noProof w:val="0"/>
          <w:szCs w:val="20"/>
          <w:lang w:val="en-US"/>
        </w:rPr>
        <w:t xml:space="preserve"> </w:t>
      </w:r>
      <w:r w:rsidR="007F4005" w:rsidRPr="004542B5">
        <w:rPr>
          <w:noProof w:val="0"/>
          <w:szCs w:val="20"/>
          <w:lang w:val="en-US"/>
        </w:rPr>
        <w:t xml:space="preserve">to order the State to publish: </w:t>
      </w:r>
      <w:r w:rsidR="007B47B1" w:rsidRPr="004542B5">
        <w:rPr>
          <w:noProof w:val="0"/>
          <w:szCs w:val="20"/>
          <w:lang w:val="en-US"/>
        </w:rPr>
        <w:t xml:space="preserve">(i) </w:t>
      </w:r>
      <w:r w:rsidR="007F4005" w:rsidRPr="004542B5">
        <w:rPr>
          <w:noProof w:val="0"/>
          <w:szCs w:val="20"/>
          <w:lang w:val="en-US"/>
        </w:rPr>
        <w:t>the official summary</w:t>
      </w:r>
      <w:r w:rsidR="007B47B1" w:rsidRPr="004542B5">
        <w:rPr>
          <w:noProof w:val="0"/>
          <w:szCs w:val="20"/>
          <w:lang w:val="en-US"/>
        </w:rPr>
        <w:t xml:space="preserve"> </w:t>
      </w:r>
      <w:r w:rsidR="00D5368D" w:rsidRPr="004542B5">
        <w:rPr>
          <w:noProof w:val="0"/>
          <w:szCs w:val="20"/>
          <w:lang w:val="en-US"/>
        </w:rPr>
        <w:t>of the judgment</w:t>
      </w:r>
      <w:r w:rsidR="007B47B1" w:rsidRPr="004542B5">
        <w:rPr>
          <w:noProof w:val="0"/>
          <w:szCs w:val="20"/>
          <w:lang w:val="en-US"/>
        </w:rPr>
        <w:t xml:space="preserve"> </w:t>
      </w:r>
      <w:r w:rsidR="007F4005" w:rsidRPr="004542B5">
        <w:rPr>
          <w:noProof w:val="0"/>
          <w:szCs w:val="20"/>
          <w:lang w:val="en-US"/>
        </w:rPr>
        <w:t>in the Official Gazette</w:t>
      </w:r>
      <w:r w:rsidR="007B47B1" w:rsidRPr="004542B5">
        <w:rPr>
          <w:noProof w:val="0"/>
          <w:szCs w:val="20"/>
          <w:lang w:val="en-US"/>
        </w:rPr>
        <w:t xml:space="preserve">; (ii) </w:t>
      </w:r>
      <w:r w:rsidR="007F4005" w:rsidRPr="004542B5">
        <w:rPr>
          <w:noProof w:val="0"/>
          <w:szCs w:val="20"/>
          <w:lang w:val="en-US"/>
        </w:rPr>
        <w:t>the official summary of the judgment in a national newspaper with widespread circulation, and (iii) the judgment in its entirety on an official website.</w:t>
      </w:r>
    </w:p>
    <w:p w14:paraId="10633A0C" w14:textId="45384B94" w:rsidR="007F4005" w:rsidRPr="004542B5" w:rsidRDefault="007B47B1" w:rsidP="00E01664">
      <w:pPr>
        <w:pStyle w:val="ListParagraph"/>
        <w:numPr>
          <w:ilvl w:val="0"/>
          <w:numId w:val="2"/>
        </w:numPr>
        <w:spacing w:before="120" w:after="120"/>
        <w:contextualSpacing w:val="0"/>
        <w:rPr>
          <w:noProof w:val="0"/>
          <w:szCs w:val="20"/>
          <w:lang w:val="en-US"/>
        </w:rPr>
      </w:pPr>
      <w:r w:rsidRPr="004542B5">
        <w:rPr>
          <w:noProof w:val="0"/>
          <w:szCs w:val="20"/>
          <w:lang w:val="en-US"/>
        </w:rPr>
        <w:t>A</w:t>
      </w:r>
      <w:r w:rsidR="007F4005" w:rsidRPr="004542B5">
        <w:rPr>
          <w:noProof w:val="0"/>
          <w:szCs w:val="20"/>
          <w:lang w:val="en-US"/>
        </w:rPr>
        <w:t>s it has in other cases,</w:t>
      </w:r>
      <w:r w:rsidRPr="004542B5">
        <w:rPr>
          <w:rStyle w:val="FootnoteReference"/>
          <w:noProof w:val="0"/>
          <w:lang w:val="en-US"/>
        </w:rPr>
        <w:footnoteReference w:id="262"/>
      </w:r>
      <w:r w:rsidR="007F4005" w:rsidRPr="004542B5">
        <w:rPr>
          <w:rFonts w:cs="Verdana"/>
          <w:noProof w:val="0"/>
          <w:lang w:val="en-US"/>
        </w:rPr>
        <w:t xml:space="preserve"> the Court finds it pertinent to order the State, within six months of notification </w:t>
      </w:r>
      <w:r w:rsidR="00133200" w:rsidRPr="004542B5">
        <w:rPr>
          <w:noProof w:val="0"/>
          <w:szCs w:val="20"/>
          <w:lang w:val="en-US"/>
        </w:rPr>
        <w:t>of this judgment</w:t>
      </w:r>
      <w:r w:rsidRPr="004542B5">
        <w:rPr>
          <w:noProof w:val="0"/>
          <w:szCs w:val="20"/>
          <w:lang w:val="en-US"/>
        </w:rPr>
        <w:t xml:space="preserve">, </w:t>
      </w:r>
      <w:r w:rsidR="007F4005" w:rsidRPr="004542B5">
        <w:rPr>
          <w:noProof w:val="0"/>
          <w:szCs w:val="20"/>
          <w:lang w:val="en-US"/>
        </w:rPr>
        <w:t>to make the following publications: (a) the official summary of the judgment prepared by the Court, to be published in the Official Gazette and in a national newspaper with widespread circulation, and (b) the judgment in its entirety, available for one year, on an official website of the State.</w:t>
      </w:r>
    </w:p>
    <w:p w14:paraId="6EC6F9E6" w14:textId="5278DA87" w:rsidR="00AC026A" w:rsidRPr="004542B5" w:rsidRDefault="007F4005" w:rsidP="00E01664">
      <w:pPr>
        <w:pStyle w:val="ListParagraph"/>
        <w:numPr>
          <w:ilvl w:val="0"/>
          <w:numId w:val="2"/>
        </w:numPr>
        <w:spacing w:before="120" w:after="120"/>
        <w:contextualSpacing w:val="0"/>
        <w:rPr>
          <w:rFonts w:eastAsia="Arial Unicode MS" w:cs="Arial"/>
          <w:noProof w:val="0"/>
          <w:szCs w:val="20"/>
          <w:lang w:val="en-US"/>
        </w:rPr>
      </w:pPr>
      <w:r w:rsidRPr="004542B5">
        <w:rPr>
          <w:noProof w:val="0"/>
          <w:lang w:val="en-US"/>
        </w:rPr>
        <w:t>The Court also considers it appropriate to order, as it has in other cases,</w:t>
      </w:r>
      <w:r w:rsidR="007B47B1" w:rsidRPr="004542B5">
        <w:rPr>
          <w:rStyle w:val="FootnoteReference"/>
          <w:noProof w:val="0"/>
          <w:lang w:val="en-US"/>
        </w:rPr>
        <w:footnoteReference w:id="263"/>
      </w:r>
      <w:r w:rsidRPr="004542B5">
        <w:rPr>
          <w:noProof w:val="0"/>
          <w:lang w:val="en-US"/>
        </w:rPr>
        <w:t xml:space="preserve"> that the State publicize the official summary of the judgment, by broadcasting it on a radio station with </w:t>
      </w:r>
      <w:r w:rsidR="002F3FFD" w:rsidRPr="004542B5">
        <w:rPr>
          <w:noProof w:val="0"/>
          <w:lang w:val="en-US"/>
        </w:rPr>
        <w:t>extensive</w:t>
      </w:r>
      <w:r w:rsidRPr="004542B5">
        <w:rPr>
          <w:noProof w:val="0"/>
          <w:lang w:val="en-US"/>
        </w:rPr>
        <w:t xml:space="preserve"> coverage in the territories of the </w:t>
      </w:r>
      <w:r w:rsidR="002D29AE" w:rsidRPr="004542B5">
        <w:rPr>
          <w:noProof w:val="0"/>
          <w:lang w:val="en-US"/>
        </w:rPr>
        <w:t>Kuna people of</w:t>
      </w:r>
      <w:r w:rsidR="007B47B1" w:rsidRPr="004542B5">
        <w:rPr>
          <w:noProof w:val="0"/>
          <w:lang w:val="en-US"/>
        </w:rPr>
        <w:t xml:space="preserve"> </w:t>
      </w:r>
      <w:r w:rsidR="00053C14" w:rsidRPr="004542B5">
        <w:rPr>
          <w:noProof w:val="0"/>
          <w:lang w:val="en-US"/>
        </w:rPr>
        <w:t>Madungandí</w:t>
      </w:r>
      <w:r w:rsidR="00CD2B90" w:rsidRPr="004542B5">
        <w:rPr>
          <w:noProof w:val="0"/>
          <w:lang w:val="en-US"/>
        </w:rPr>
        <w:t xml:space="preserve"> and </w:t>
      </w:r>
      <w:r w:rsidR="002F3FFD" w:rsidRPr="004542B5">
        <w:rPr>
          <w:noProof w:val="0"/>
          <w:lang w:val="en-US"/>
        </w:rPr>
        <w:t xml:space="preserve">the </w:t>
      </w:r>
      <w:r w:rsidR="007B47B1" w:rsidRPr="004542B5">
        <w:rPr>
          <w:noProof w:val="0"/>
          <w:lang w:val="en-US"/>
        </w:rPr>
        <w:t xml:space="preserve">Emberá </w:t>
      </w:r>
      <w:r w:rsidRPr="004542B5">
        <w:rPr>
          <w:noProof w:val="0"/>
          <w:lang w:val="en-US"/>
        </w:rPr>
        <w:t>communities of</w:t>
      </w:r>
      <w:r w:rsidR="007B47B1" w:rsidRPr="004542B5">
        <w:rPr>
          <w:noProof w:val="0"/>
          <w:lang w:val="en-US"/>
        </w:rPr>
        <w:t xml:space="preserve"> Bayano </w:t>
      </w:r>
      <w:r w:rsidRPr="004542B5">
        <w:rPr>
          <w:noProof w:val="0"/>
          <w:lang w:val="en-US"/>
        </w:rPr>
        <w:t xml:space="preserve">in Spanish and in their respective languages. This </w:t>
      </w:r>
      <w:r w:rsidR="006110CB" w:rsidRPr="004542B5">
        <w:rPr>
          <w:noProof w:val="0"/>
          <w:lang w:val="en-US"/>
        </w:rPr>
        <w:t>broadcast</w:t>
      </w:r>
      <w:r w:rsidRPr="004542B5">
        <w:rPr>
          <w:noProof w:val="0"/>
          <w:lang w:val="en-US"/>
        </w:rPr>
        <w:t xml:space="preserve"> should be made on the first Sunday of the month for at least three months.</w:t>
      </w:r>
      <w:r w:rsidR="00C1267A" w:rsidRPr="004542B5">
        <w:rPr>
          <w:noProof w:val="0"/>
          <w:lang w:val="en-US"/>
        </w:rPr>
        <w:t xml:space="preserve"> </w:t>
      </w:r>
      <w:r w:rsidR="00133200" w:rsidRPr="004542B5">
        <w:rPr>
          <w:noProof w:val="0"/>
          <w:lang w:val="en-US"/>
        </w:rPr>
        <w:t>The State</w:t>
      </w:r>
      <w:r w:rsidR="00E45F66" w:rsidRPr="004542B5">
        <w:rPr>
          <w:noProof w:val="0"/>
          <w:lang w:val="en-US"/>
        </w:rPr>
        <w:t xml:space="preserve"> </w:t>
      </w:r>
      <w:r w:rsidR="00C1267A" w:rsidRPr="004542B5">
        <w:rPr>
          <w:noProof w:val="0"/>
          <w:lang w:val="en-US"/>
        </w:rPr>
        <w:t xml:space="preserve">must previously inform the common interveners, with at least two </w:t>
      </w:r>
      <w:r w:rsidR="006110CB" w:rsidRPr="004542B5">
        <w:rPr>
          <w:noProof w:val="0"/>
          <w:lang w:val="en-US"/>
        </w:rPr>
        <w:t>weeks’ notice</w:t>
      </w:r>
      <w:r w:rsidR="00C1267A" w:rsidRPr="004542B5">
        <w:rPr>
          <w:noProof w:val="0"/>
          <w:lang w:val="en-US"/>
        </w:rPr>
        <w:t>, of the radio station</w:t>
      </w:r>
      <w:r w:rsidR="002F3FFD" w:rsidRPr="004542B5">
        <w:rPr>
          <w:noProof w:val="0"/>
          <w:lang w:val="en-US"/>
        </w:rPr>
        <w:t xml:space="preserve"> on which the broadcast will be made</w:t>
      </w:r>
      <w:r w:rsidR="00C1267A" w:rsidRPr="004542B5">
        <w:rPr>
          <w:noProof w:val="0"/>
          <w:lang w:val="en-US"/>
        </w:rPr>
        <w:t xml:space="preserve"> and the date and time. The State must comply with this measure within six months of notification </w:t>
      </w:r>
      <w:r w:rsidR="00133200" w:rsidRPr="004542B5">
        <w:rPr>
          <w:noProof w:val="0"/>
          <w:lang w:val="en-US"/>
        </w:rPr>
        <w:t>of this judgment</w:t>
      </w:r>
      <w:r w:rsidR="007B47B1" w:rsidRPr="004542B5">
        <w:rPr>
          <w:rFonts w:eastAsia="Arial Unicode MS" w:cs="Arial"/>
          <w:noProof w:val="0"/>
          <w:szCs w:val="20"/>
          <w:lang w:val="en-US"/>
        </w:rPr>
        <w:t xml:space="preserve">. </w:t>
      </w:r>
    </w:p>
    <w:p w14:paraId="626DD288" w14:textId="260F4930" w:rsidR="00AC026A" w:rsidRPr="004542B5" w:rsidRDefault="007B47B1" w:rsidP="00D50381">
      <w:pPr>
        <w:pStyle w:val="ListParagraph"/>
        <w:keepNext/>
        <w:spacing w:before="240" w:after="240"/>
        <w:ind w:firstLine="720"/>
        <w:contextualSpacing w:val="0"/>
        <w:rPr>
          <w:i/>
          <w:noProof w:val="0"/>
          <w:szCs w:val="20"/>
          <w:lang w:val="en-US"/>
        </w:rPr>
      </w:pPr>
      <w:r w:rsidRPr="004542B5">
        <w:rPr>
          <w:i/>
          <w:noProof w:val="0"/>
          <w:szCs w:val="20"/>
          <w:lang w:val="en-US"/>
        </w:rPr>
        <w:lastRenderedPageBreak/>
        <w:t xml:space="preserve">B.1.2. </w:t>
      </w:r>
      <w:r w:rsidR="00890FFB" w:rsidRPr="004542B5">
        <w:rPr>
          <w:i/>
          <w:noProof w:val="0"/>
          <w:szCs w:val="20"/>
          <w:lang w:val="en-US"/>
        </w:rPr>
        <w:t>Public act to acknowl</w:t>
      </w:r>
      <w:r w:rsidR="00950F71" w:rsidRPr="004542B5">
        <w:rPr>
          <w:i/>
          <w:noProof w:val="0"/>
          <w:szCs w:val="20"/>
          <w:lang w:val="en-US"/>
        </w:rPr>
        <w:t>e</w:t>
      </w:r>
      <w:r w:rsidR="00890FFB" w:rsidRPr="004542B5">
        <w:rPr>
          <w:i/>
          <w:noProof w:val="0"/>
          <w:szCs w:val="20"/>
          <w:lang w:val="en-US"/>
        </w:rPr>
        <w:t>dge responsibility</w:t>
      </w:r>
    </w:p>
    <w:p w14:paraId="2A328D7D" w14:textId="0C12DDDF" w:rsidR="00AC026A" w:rsidRPr="004542B5" w:rsidRDefault="00562CBB" w:rsidP="00D50381">
      <w:pPr>
        <w:pStyle w:val="ListParagraph"/>
        <w:keepNext/>
        <w:numPr>
          <w:ilvl w:val="0"/>
          <w:numId w:val="2"/>
        </w:numPr>
        <w:spacing w:before="120" w:after="120"/>
        <w:contextualSpacing w:val="0"/>
        <w:rPr>
          <w:noProof w:val="0"/>
          <w:szCs w:val="20"/>
          <w:lang w:val="en-US"/>
        </w:rPr>
      </w:pPr>
      <w:r w:rsidRPr="004542B5">
        <w:rPr>
          <w:rFonts w:eastAsia="Arial Unicode MS" w:cs="Arial"/>
          <w:noProof w:val="0"/>
          <w:szCs w:val="20"/>
          <w:lang w:val="en-US"/>
        </w:rPr>
        <w:t>The representatives</w:t>
      </w:r>
      <w:r w:rsidR="007B47B1" w:rsidRPr="004542B5">
        <w:rPr>
          <w:rFonts w:eastAsia="Arial Unicode MS" w:cs="Arial"/>
          <w:noProof w:val="0"/>
          <w:szCs w:val="20"/>
          <w:lang w:val="en-US"/>
        </w:rPr>
        <w:t xml:space="preserve"> </w:t>
      </w:r>
      <w:r w:rsidR="00950F71" w:rsidRPr="004542B5">
        <w:rPr>
          <w:rFonts w:eastAsia="Arial Unicode MS" w:cs="Arial"/>
          <w:noProof w:val="0"/>
          <w:szCs w:val="20"/>
          <w:lang w:val="en-US"/>
        </w:rPr>
        <w:t>asked</w:t>
      </w:r>
      <w:r w:rsidR="007B47B1" w:rsidRPr="004542B5">
        <w:rPr>
          <w:rFonts w:eastAsia="Arial Unicode MS" w:cs="Arial"/>
          <w:noProof w:val="0"/>
          <w:szCs w:val="20"/>
          <w:lang w:val="en-US"/>
        </w:rPr>
        <w:t xml:space="preserve"> </w:t>
      </w:r>
      <w:r w:rsidRPr="004542B5">
        <w:rPr>
          <w:rFonts w:eastAsia="Arial Unicode MS" w:cs="Arial"/>
          <w:noProof w:val="0"/>
          <w:szCs w:val="20"/>
          <w:lang w:val="en-US"/>
        </w:rPr>
        <w:t>the Court</w:t>
      </w:r>
      <w:r w:rsidR="007B47B1" w:rsidRPr="004542B5">
        <w:rPr>
          <w:rFonts w:eastAsia="Arial Unicode MS" w:cs="Arial"/>
          <w:noProof w:val="0"/>
          <w:szCs w:val="20"/>
          <w:lang w:val="en-US"/>
        </w:rPr>
        <w:t xml:space="preserve"> </w:t>
      </w:r>
      <w:r w:rsidR="00950F71" w:rsidRPr="004542B5">
        <w:rPr>
          <w:rFonts w:eastAsia="Arial Unicode MS" w:cs="Arial"/>
          <w:noProof w:val="0"/>
          <w:szCs w:val="20"/>
          <w:lang w:val="en-US"/>
        </w:rPr>
        <w:t xml:space="preserve">to order the State to organize a public act to acknowledge its international responsibility for the violations committed to the detriment of </w:t>
      </w:r>
      <w:r w:rsidR="004D0B27" w:rsidRPr="004542B5">
        <w:rPr>
          <w:rFonts w:eastAsia="Arial Unicode MS" w:cs="Arial"/>
          <w:noProof w:val="0"/>
          <w:szCs w:val="20"/>
          <w:lang w:val="en-US"/>
        </w:rPr>
        <w:t xml:space="preserve">the </w:t>
      </w:r>
      <w:r w:rsidR="003C263F" w:rsidRPr="004542B5">
        <w:rPr>
          <w:rFonts w:eastAsia="Arial Unicode MS" w:cs="Arial"/>
          <w:noProof w:val="0"/>
          <w:szCs w:val="20"/>
          <w:lang w:val="en-US"/>
        </w:rPr>
        <w:t>Kuna and Emberá peoples</w:t>
      </w:r>
      <w:r w:rsidR="007B47B1" w:rsidRPr="004542B5">
        <w:rPr>
          <w:rFonts w:eastAsia="Arial Unicode MS" w:cs="Arial"/>
          <w:noProof w:val="0"/>
          <w:szCs w:val="20"/>
          <w:lang w:val="en-US"/>
        </w:rPr>
        <w:t xml:space="preserve">. </w:t>
      </w:r>
      <w:r w:rsidR="00950F71" w:rsidRPr="004542B5">
        <w:rPr>
          <w:rFonts w:eastAsia="Arial Unicode MS" w:cs="Arial"/>
          <w:noProof w:val="0"/>
          <w:szCs w:val="20"/>
          <w:lang w:val="en-US"/>
        </w:rPr>
        <w:t xml:space="preserve">They added that they considered it pertinent that this act be carried out in a public ceremony in the presence of senior </w:t>
      </w:r>
      <w:r w:rsidR="005B6366" w:rsidRPr="004542B5">
        <w:rPr>
          <w:rFonts w:eastAsia="Arial Unicode MS" w:cs="Arial"/>
          <w:noProof w:val="0"/>
          <w:szCs w:val="20"/>
          <w:lang w:val="en-US"/>
        </w:rPr>
        <w:t xml:space="preserve">State </w:t>
      </w:r>
      <w:r w:rsidR="00950F71" w:rsidRPr="004542B5">
        <w:rPr>
          <w:rFonts w:eastAsia="Arial Unicode MS" w:cs="Arial"/>
          <w:noProof w:val="0"/>
          <w:szCs w:val="20"/>
          <w:lang w:val="en-US"/>
        </w:rPr>
        <w:t xml:space="preserve">authorities and </w:t>
      </w:r>
      <w:r w:rsidR="003234E7" w:rsidRPr="004542B5">
        <w:rPr>
          <w:rFonts w:eastAsia="Arial Unicode MS" w:cs="Arial"/>
          <w:noProof w:val="0"/>
          <w:szCs w:val="20"/>
          <w:lang w:val="en-US"/>
        </w:rPr>
        <w:t>members</w:t>
      </w:r>
      <w:r w:rsidR="007B47B1" w:rsidRPr="004542B5">
        <w:rPr>
          <w:rFonts w:eastAsia="Arial Unicode MS" w:cs="Arial"/>
          <w:noProof w:val="0"/>
          <w:szCs w:val="20"/>
          <w:lang w:val="en-US"/>
        </w:rPr>
        <w:t xml:space="preserve"> </w:t>
      </w:r>
      <w:r w:rsidR="00950F71" w:rsidRPr="004542B5">
        <w:rPr>
          <w:rFonts w:eastAsia="Arial Unicode MS" w:cs="Arial"/>
          <w:noProof w:val="0"/>
          <w:szCs w:val="20"/>
          <w:lang w:val="en-US"/>
        </w:rPr>
        <w:t>of both peoples, and that it be widely disseminated in the media.</w:t>
      </w:r>
      <w:r w:rsidR="007B47B1" w:rsidRPr="004542B5">
        <w:rPr>
          <w:rFonts w:eastAsia="Arial Unicode MS" w:cs="Arial"/>
          <w:noProof w:val="0"/>
          <w:szCs w:val="20"/>
          <w:lang w:val="en-US"/>
        </w:rPr>
        <w:t xml:space="preserve"> </w:t>
      </w:r>
      <w:r w:rsidRPr="004542B5">
        <w:rPr>
          <w:rFonts w:eastAsia="Arial Unicode MS" w:cs="Arial"/>
          <w:noProof w:val="0"/>
          <w:szCs w:val="20"/>
          <w:lang w:val="en-US"/>
        </w:rPr>
        <w:t>The Commission</w:t>
      </w:r>
      <w:r w:rsidR="00CD2B90" w:rsidRPr="004542B5">
        <w:rPr>
          <w:rFonts w:eastAsia="Arial Unicode MS" w:cs="Arial"/>
          <w:noProof w:val="0"/>
          <w:szCs w:val="20"/>
          <w:lang w:val="en-US"/>
        </w:rPr>
        <w:t xml:space="preserve"> and </w:t>
      </w:r>
      <w:r w:rsidRPr="004542B5">
        <w:rPr>
          <w:rFonts w:eastAsia="Arial Unicode MS" w:cs="Arial"/>
          <w:noProof w:val="0"/>
          <w:szCs w:val="20"/>
          <w:lang w:val="en-US"/>
        </w:rPr>
        <w:t>the State</w:t>
      </w:r>
      <w:r w:rsidR="007B47B1" w:rsidRPr="004542B5">
        <w:rPr>
          <w:rFonts w:eastAsia="Arial Unicode MS" w:cs="Arial"/>
          <w:noProof w:val="0"/>
          <w:szCs w:val="20"/>
          <w:lang w:val="en-US"/>
        </w:rPr>
        <w:t xml:space="preserve"> </w:t>
      </w:r>
      <w:r w:rsidR="00950F71" w:rsidRPr="004542B5">
        <w:rPr>
          <w:rFonts w:eastAsia="Arial Unicode MS" w:cs="Arial"/>
          <w:noProof w:val="0"/>
          <w:szCs w:val="20"/>
          <w:lang w:val="en-US"/>
        </w:rPr>
        <w:t>made no reference to this measure of reparation.</w:t>
      </w:r>
    </w:p>
    <w:p w14:paraId="706AC555" w14:textId="65881E45" w:rsidR="00AC026A" w:rsidRPr="004542B5" w:rsidRDefault="00950F71" w:rsidP="00950F71">
      <w:pPr>
        <w:pStyle w:val="ListParagraph"/>
        <w:numPr>
          <w:ilvl w:val="0"/>
          <w:numId w:val="2"/>
        </w:numPr>
        <w:spacing w:before="120" w:after="120"/>
        <w:contextualSpacing w:val="0"/>
        <w:rPr>
          <w:b/>
          <w:i/>
          <w:noProof w:val="0"/>
          <w:szCs w:val="20"/>
          <w:lang w:val="en-US"/>
        </w:rPr>
      </w:pPr>
      <w:r w:rsidRPr="004542B5">
        <w:rPr>
          <w:noProof w:val="0"/>
          <w:szCs w:val="20"/>
          <w:lang w:val="en-US"/>
        </w:rPr>
        <w:t>As it has in other cases, t</w:t>
      </w:r>
      <w:r w:rsidR="00562CBB" w:rsidRPr="004542B5">
        <w:rPr>
          <w:noProof w:val="0"/>
          <w:szCs w:val="20"/>
          <w:lang w:val="en-US"/>
        </w:rPr>
        <w:t>he Court</w:t>
      </w:r>
      <w:r w:rsidR="007B47B1" w:rsidRPr="004542B5">
        <w:rPr>
          <w:noProof w:val="0"/>
          <w:szCs w:val="20"/>
          <w:lang w:val="en-US"/>
        </w:rPr>
        <w:t xml:space="preserve"> </w:t>
      </w:r>
      <w:r w:rsidRPr="004542B5">
        <w:rPr>
          <w:noProof w:val="0"/>
          <w:szCs w:val="20"/>
          <w:lang w:val="en-US"/>
        </w:rPr>
        <w:t>establishes that the State must organize a public act to acknowledge international responsibility during which it must refer to the human rights violations declared in this judgment.</w:t>
      </w:r>
      <w:r w:rsidR="007B47B1" w:rsidRPr="004542B5">
        <w:rPr>
          <w:noProof w:val="0"/>
          <w:vertAlign w:val="superscript"/>
          <w:lang w:val="en-US"/>
        </w:rPr>
        <w:footnoteReference w:id="264"/>
      </w:r>
      <w:r w:rsidR="007B47B1" w:rsidRPr="004542B5">
        <w:rPr>
          <w:noProof w:val="0"/>
          <w:szCs w:val="20"/>
          <w:lang w:val="en-US"/>
        </w:rPr>
        <w:t xml:space="preserve"> </w:t>
      </w:r>
      <w:r w:rsidRPr="004542B5">
        <w:rPr>
          <w:noProof w:val="0"/>
          <w:szCs w:val="20"/>
          <w:lang w:val="en-US"/>
        </w:rPr>
        <w:t>Determination of the date</w:t>
      </w:r>
      <w:r w:rsidR="005B6366" w:rsidRPr="004542B5">
        <w:rPr>
          <w:noProof w:val="0"/>
          <w:szCs w:val="20"/>
          <w:lang w:val="en-US"/>
        </w:rPr>
        <w:t xml:space="preserve"> and</w:t>
      </w:r>
      <w:r w:rsidRPr="004542B5">
        <w:rPr>
          <w:noProof w:val="0"/>
          <w:szCs w:val="20"/>
          <w:lang w:val="en-US"/>
        </w:rPr>
        <w:t xml:space="preserve"> place and details of the act must be previously consulted and agreed with </w:t>
      </w:r>
      <w:r w:rsidR="003234E7" w:rsidRPr="004542B5">
        <w:rPr>
          <w:noProof w:val="0"/>
          <w:szCs w:val="20"/>
          <w:lang w:val="en-US"/>
        </w:rPr>
        <w:t>the members</w:t>
      </w:r>
      <w:r w:rsidR="007B47B1" w:rsidRPr="004542B5">
        <w:rPr>
          <w:noProof w:val="0"/>
          <w:szCs w:val="20"/>
          <w:lang w:val="en-US"/>
        </w:rPr>
        <w:t xml:space="preserve"> </w:t>
      </w:r>
      <w:r w:rsidRPr="004542B5">
        <w:rPr>
          <w:noProof w:val="0"/>
          <w:szCs w:val="20"/>
          <w:lang w:val="en-US"/>
        </w:rPr>
        <w:t xml:space="preserve">of the </w:t>
      </w:r>
      <w:r w:rsidR="007B47B1" w:rsidRPr="004542B5">
        <w:rPr>
          <w:noProof w:val="0"/>
          <w:szCs w:val="20"/>
          <w:lang w:val="en-US"/>
        </w:rPr>
        <w:t xml:space="preserve">Kuna </w:t>
      </w:r>
      <w:r w:rsidRPr="004542B5">
        <w:rPr>
          <w:noProof w:val="0"/>
          <w:szCs w:val="20"/>
          <w:lang w:val="en-US"/>
        </w:rPr>
        <w:t>indigenous people of</w:t>
      </w:r>
      <w:r w:rsidR="007B47B1" w:rsidRPr="004542B5">
        <w:rPr>
          <w:noProof w:val="0"/>
          <w:szCs w:val="20"/>
          <w:lang w:val="en-US"/>
        </w:rPr>
        <w:t xml:space="preserve"> </w:t>
      </w:r>
      <w:r w:rsidR="00053C14" w:rsidRPr="004542B5">
        <w:rPr>
          <w:noProof w:val="0"/>
          <w:szCs w:val="20"/>
          <w:lang w:val="en-US"/>
        </w:rPr>
        <w:t>Madungandí</w:t>
      </w:r>
      <w:r w:rsidR="00CD2B90" w:rsidRPr="004542B5">
        <w:rPr>
          <w:noProof w:val="0"/>
          <w:szCs w:val="20"/>
          <w:lang w:val="en-US"/>
        </w:rPr>
        <w:t xml:space="preserve"> and </w:t>
      </w:r>
      <w:r w:rsidRPr="004542B5">
        <w:rPr>
          <w:noProof w:val="0"/>
          <w:szCs w:val="20"/>
          <w:lang w:val="en-US"/>
        </w:rPr>
        <w:t xml:space="preserve">the </w:t>
      </w:r>
      <w:r w:rsidR="007B47B1" w:rsidRPr="004542B5">
        <w:rPr>
          <w:noProof w:val="0"/>
          <w:szCs w:val="20"/>
          <w:lang w:val="en-US"/>
        </w:rPr>
        <w:t>Emberá</w:t>
      </w:r>
      <w:r w:rsidRPr="004542B5">
        <w:rPr>
          <w:noProof w:val="0"/>
          <w:szCs w:val="20"/>
          <w:lang w:val="en-US"/>
        </w:rPr>
        <w:t xml:space="preserve"> indigenous people of </w:t>
      </w:r>
      <w:r w:rsidR="007B47B1" w:rsidRPr="004542B5">
        <w:rPr>
          <w:noProof w:val="0"/>
          <w:szCs w:val="20"/>
          <w:lang w:val="en-US"/>
        </w:rPr>
        <w:t xml:space="preserve">Alto Bayano. </w:t>
      </w:r>
      <w:r w:rsidRPr="004542B5">
        <w:rPr>
          <w:noProof w:val="0"/>
          <w:szCs w:val="20"/>
          <w:lang w:val="en-US"/>
        </w:rPr>
        <w:t xml:space="preserve">The act must take place in a public ceremony in the presence of senior authorities </w:t>
      </w:r>
      <w:r w:rsidR="008A56D7" w:rsidRPr="004542B5">
        <w:rPr>
          <w:noProof w:val="0"/>
          <w:szCs w:val="20"/>
          <w:lang w:val="en-US"/>
        </w:rPr>
        <w:t xml:space="preserve">of the </w:t>
      </w:r>
      <w:r w:rsidR="00562CBB" w:rsidRPr="004542B5">
        <w:rPr>
          <w:noProof w:val="0"/>
          <w:szCs w:val="20"/>
          <w:lang w:val="en-US"/>
        </w:rPr>
        <w:t>State</w:t>
      </w:r>
      <w:r w:rsidR="00CD2B90" w:rsidRPr="004542B5">
        <w:rPr>
          <w:noProof w:val="0"/>
          <w:szCs w:val="20"/>
          <w:lang w:val="en-US"/>
        </w:rPr>
        <w:t xml:space="preserve"> and </w:t>
      </w:r>
      <w:r w:rsidR="003234E7" w:rsidRPr="004542B5">
        <w:rPr>
          <w:noProof w:val="0"/>
          <w:szCs w:val="20"/>
          <w:lang w:val="en-US"/>
        </w:rPr>
        <w:t>members</w:t>
      </w:r>
      <w:r w:rsidR="007B47B1" w:rsidRPr="004542B5">
        <w:rPr>
          <w:noProof w:val="0"/>
          <w:szCs w:val="20"/>
          <w:lang w:val="en-US"/>
        </w:rPr>
        <w:t xml:space="preserve"> </w:t>
      </w:r>
      <w:r w:rsidRPr="004542B5">
        <w:rPr>
          <w:noProof w:val="0"/>
          <w:szCs w:val="20"/>
          <w:lang w:val="en-US"/>
        </w:rPr>
        <w:t xml:space="preserve">of the communities, and </w:t>
      </w:r>
      <w:r w:rsidR="005B6366" w:rsidRPr="004542B5">
        <w:rPr>
          <w:noProof w:val="0"/>
          <w:szCs w:val="20"/>
          <w:lang w:val="en-US"/>
        </w:rPr>
        <w:t xml:space="preserve">it </w:t>
      </w:r>
      <w:r w:rsidRPr="004542B5">
        <w:rPr>
          <w:noProof w:val="0"/>
          <w:szCs w:val="20"/>
          <w:lang w:val="en-US"/>
        </w:rPr>
        <w:t xml:space="preserve">must be widely disseminated in the media. In addition, the act should take into account the </w:t>
      </w:r>
      <w:r w:rsidR="006110CB" w:rsidRPr="004542B5">
        <w:rPr>
          <w:noProof w:val="0"/>
          <w:szCs w:val="20"/>
          <w:lang w:val="en-US"/>
        </w:rPr>
        <w:t>traditions</w:t>
      </w:r>
      <w:r w:rsidRPr="004542B5">
        <w:rPr>
          <w:noProof w:val="0"/>
          <w:szCs w:val="20"/>
          <w:lang w:val="en-US"/>
        </w:rPr>
        <w:t xml:space="preserve">, practices and customs of </w:t>
      </w:r>
      <w:r w:rsidR="003234E7" w:rsidRPr="004542B5">
        <w:rPr>
          <w:noProof w:val="0"/>
          <w:szCs w:val="20"/>
          <w:lang w:val="en-US"/>
        </w:rPr>
        <w:t>the members</w:t>
      </w:r>
      <w:r w:rsidR="007B47B1" w:rsidRPr="004542B5">
        <w:rPr>
          <w:noProof w:val="0"/>
          <w:szCs w:val="20"/>
          <w:lang w:val="en-US"/>
        </w:rPr>
        <w:t xml:space="preserve"> </w:t>
      </w:r>
      <w:r w:rsidRPr="004542B5">
        <w:rPr>
          <w:noProof w:val="0"/>
          <w:szCs w:val="20"/>
          <w:lang w:val="en-US"/>
        </w:rPr>
        <w:t>of the said indigenous peoples and must be conducted in both Spanish and in their respective languages.</w:t>
      </w:r>
      <w:r w:rsidR="007B47B1" w:rsidRPr="004542B5">
        <w:rPr>
          <w:noProof w:val="0"/>
          <w:vertAlign w:val="superscript"/>
          <w:lang w:val="en-US"/>
        </w:rPr>
        <w:footnoteReference w:id="265"/>
      </w:r>
      <w:r w:rsidRPr="004542B5">
        <w:rPr>
          <w:noProof w:val="0"/>
          <w:szCs w:val="20"/>
          <w:lang w:val="en-US"/>
        </w:rPr>
        <w:t xml:space="preserve"> The State must carry out this act within one year of notification </w:t>
      </w:r>
      <w:r w:rsidR="00133200" w:rsidRPr="004542B5">
        <w:rPr>
          <w:noProof w:val="0"/>
          <w:szCs w:val="20"/>
          <w:lang w:val="en-US"/>
        </w:rPr>
        <w:t>of this judgment</w:t>
      </w:r>
      <w:r w:rsidR="007B47B1" w:rsidRPr="004542B5">
        <w:rPr>
          <w:noProof w:val="0"/>
          <w:szCs w:val="20"/>
          <w:lang w:val="en-US"/>
        </w:rPr>
        <w:t>.</w:t>
      </w:r>
      <w:r w:rsidR="007B47B1" w:rsidRPr="004542B5">
        <w:rPr>
          <w:b/>
          <w:i/>
          <w:noProof w:val="0"/>
          <w:szCs w:val="20"/>
          <w:lang w:val="en-US"/>
        </w:rPr>
        <w:tab/>
      </w:r>
    </w:p>
    <w:p w14:paraId="4B212E50" w14:textId="6C23E0E7" w:rsidR="00E51798" w:rsidRPr="004542B5" w:rsidRDefault="007B47B1" w:rsidP="00E01664">
      <w:pPr>
        <w:pStyle w:val="ListParagraph"/>
        <w:spacing w:before="240" w:after="240"/>
        <w:ind w:left="0" w:firstLine="709"/>
        <w:contextualSpacing w:val="0"/>
        <w:outlineLvl w:val="2"/>
        <w:rPr>
          <w:i/>
          <w:noProof w:val="0"/>
          <w:szCs w:val="20"/>
          <w:lang w:val="en-US"/>
        </w:rPr>
      </w:pPr>
      <w:bookmarkStart w:id="261" w:name="_Toc45200904"/>
      <w:r w:rsidRPr="004542B5">
        <w:rPr>
          <w:i/>
          <w:noProof w:val="0"/>
          <w:szCs w:val="20"/>
          <w:lang w:val="en-US"/>
        </w:rPr>
        <w:t xml:space="preserve">B.2. </w:t>
      </w:r>
      <w:r w:rsidR="00B902E7" w:rsidRPr="004542B5">
        <w:rPr>
          <w:i/>
          <w:noProof w:val="0"/>
          <w:szCs w:val="20"/>
          <w:lang w:val="en-US"/>
        </w:rPr>
        <w:t>Guarantees of non-repetition</w:t>
      </w:r>
      <w:bookmarkEnd w:id="261"/>
    </w:p>
    <w:p w14:paraId="52FA8436" w14:textId="63B8A43F" w:rsidR="00AC026A" w:rsidRPr="004542B5" w:rsidRDefault="00FB6A21" w:rsidP="00E01664">
      <w:pPr>
        <w:pStyle w:val="ListParagraph"/>
        <w:spacing w:before="240" w:after="240"/>
        <w:ind w:firstLine="720"/>
        <w:contextualSpacing w:val="0"/>
        <w:rPr>
          <w:i/>
          <w:noProof w:val="0"/>
          <w:szCs w:val="20"/>
          <w:lang w:val="en-US"/>
        </w:rPr>
      </w:pPr>
      <w:r w:rsidRPr="004542B5">
        <w:rPr>
          <w:i/>
          <w:noProof w:val="0"/>
          <w:szCs w:val="20"/>
          <w:lang w:val="en-US"/>
        </w:rPr>
        <w:t>B.2</w:t>
      </w:r>
      <w:r w:rsidR="007B47B1" w:rsidRPr="004542B5">
        <w:rPr>
          <w:i/>
          <w:noProof w:val="0"/>
          <w:szCs w:val="20"/>
          <w:lang w:val="en-US"/>
        </w:rPr>
        <w:t xml:space="preserve">.1. </w:t>
      </w:r>
      <w:r w:rsidR="00950F71" w:rsidRPr="004542B5">
        <w:rPr>
          <w:i/>
          <w:noProof w:val="0"/>
          <w:szCs w:val="20"/>
          <w:lang w:val="en-US"/>
        </w:rPr>
        <w:t>Request to adapt domestic law</w:t>
      </w:r>
    </w:p>
    <w:p w14:paraId="6FAEDA97" w14:textId="389639C0" w:rsidR="00AC026A" w:rsidRPr="004542B5" w:rsidRDefault="00562CBB" w:rsidP="00BE6B9D">
      <w:pPr>
        <w:pStyle w:val="ListParagraph"/>
        <w:numPr>
          <w:ilvl w:val="0"/>
          <w:numId w:val="2"/>
        </w:numPr>
        <w:spacing w:before="120" w:after="120"/>
        <w:contextualSpacing w:val="0"/>
        <w:rPr>
          <w:noProof w:val="0"/>
          <w:szCs w:val="20"/>
          <w:lang w:val="en-US"/>
        </w:rPr>
      </w:pPr>
      <w:r w:rsidRPr="004542B5">
        <w:rPr>
          <w:noProof w:val="0"/>
          <w:szCs w:val="20"/>
          <w:lang w:val="en-US"/>
        </w:rPr>
        <w:t>The Commission</w:t>
      </w:r>
      <w:r w:rsidR="007B47B1" w:rsidRPr="004542B5">
        <w:rPr>
          <w:i/>
          <w:noProof w:val="0"/>
          <w:szCs w:val="20"/>
          <w:lang w:val="en-US"/>
        </w:rPr>
        <w:t xml:space="preserve"> </w:t>
      </w:r>
      <w:r w:rsidR="00BE6B9D" w:rsidRPr="004542B5">
        <w:rPr>
          <w:noProof w:val="0"/>
          <w:szCs w:val="20"/>
          <w:lang w:val="en-US"/>
        </w:rPr>
        <w:t>asked</w:t>
      </w:r>
      <w:r w:rsidR="007B47B1" w:rsidRPr="004542B5">
        <w:rPr>
          <w:noProof w:val="0"/>
          <w:szCs w:val="20"/>
          <w:lang w:val="en-US"/>
        </w:rPr>
        <w:t xml:space="preserve"> </w:t>
      </w:r>
      <w:r w:rsidRPr="004542B5">
        <w:rPr>
          <w:noProof w:val="0"/>
          <w:szCs w:val="20"/>
          <w:lang w:val="en-US"/>
        </w:rPr>
        <w:t>the Court</w:t>
      </w:r>
      <w:r w:rsidR="007B47B1" w:rsidRPr="004542B5">
        <w:rPr>
          <w:noProof w:val="0"/>
          <w:szCs w:val="20"/>
          <w:lang w:val="en-US"/>
        </w:rPr>
        <w:t xml:space="preserve"> </w:t>
      </w:r>
      <w:r w:rsidR="00BE6B9D" w:rsidRPr="004542B5">
        <w:rPr>
          <w:noProof w:val="0"/>
          <w:szCs w:val="20"/>
          <w:lang w:val="en-US"/>
        </w:rPr>
        <w:t>to order the State to take the necessary measures to prevent similar events occurring in future, in keeping with the obligation to prevent violations and to ensure the fundamental rights recognized in the Convention. It also asked the Court to order the State to establish an adequate and effective remedy that protect</w:t>
      </w:r>
      <w:r w:rsidR="005B6366" w:rsidRPr="004542B5">
        <w:rPr>
          <w:noProof w:val="0"/>
          <w:szCs w:val="20"/>
          <w:lang w:val="en-US"/>
        </w:rPr>
        <w:t>ed</w:t>
      </w:r>
      <w:r w:rsidR="00BE6B9D" w:rsidRPr="004542B5">
        <w:rPr>
          <w:noProof w:val="0"/>
          <w:szCs w:val="20"/>
          <w:lang w:val="en-US"/>
        </w:rPr>
        <w:t xml:space="preserve"> the right of the indigenous peoples of Panama to claim and accede to their traditional territories, and to protect their territories and natural resources </w:t>
      </w:r>
      <w:r w:rsidR="00561841" w:rsidRPr="004542B5">
        <w:rPr>
          <w:noProof w:val="0"/>
          <w:szCs w:val="20"/>
          <w:lang w:val="en-US"/>
        </w:rPr>
        <w:t>against third parties</w:t>
      </w:r>
      <w:r w:rsidR="00BE6B9D" w:rsidRPr="004542B5">
        <w:rPr>
          <w:noProof w:val="0"/>
          <w:szCs w:val="20"/>
          <w:lang w:val="en-US"/>
        </w:rPr>
        <w:t>, including respecting the right of the indigenous peoples to apply their customary norms through their own systems of justice. In addition, the Commission asked the Court to order the State to ensure that the people have access to health care and education programs that are culturally pertinent.</w:t>
      </w:r>
    </w:p>
    <w:p w14:paraId="340D4B92" w14:textId="09685D05" w:rsidR="00BE6B9D" w:rsidRPr="004542B5" w:rsidRDefault="00562CBB" w:rsidP="00BE6B9D">
      <w:pPr>
        <w:pStyle w:val="ListParagraph"/>
        <w:numPr>
          <w:ilvl w:val="0"/>
          <w:numId w:val="2"/>
        </w:numPr>
        <w:rPr>
          <w:noProof w:val="0"/>
          <w:szCs w:val="20"/>
          <w:lang w:val="en-US"/>
        </w:rPr>
      </w:pPr>
      <w:r w:rsidRPr="004542B5">
        <w:rPr>
          <w:noProof w:val="0"/>
          <w:szCs w:val="20"/>
          <w:lang w:val="en-US"/>
        </w:rPr>
        <w:t>The representatives</w:t>
      </w:r>
      <w:r w:rsidR="007B47B1" w:rsidRPr="004542B5">
        <w:rPr>
          <w:noProof w:val="0"/>
          <w:szCs w:val="20"/>
          <w:lang w:val="en-US"/>
        </w:rPr>
        <w:t xml:space="preserve"> </w:t>
      </w:r>
      <w:r w:rsidR="00BE6B9D" w:rsidRPr="004542B5">
        <w:rPr>
          <w:noProof w:val="0"/>
          <w:szCs w:val="20"/>
          <w:lang w:val="en-US"/>
        </w:rPr>
        <w:t>asked</w:t>
      </w:r>
      <w:r w:rsidR="007B47B1" w:rsidRPr="004542B5">
        <w:rPr>
          <w:noProof w:val="0"/>
          <w:szCs w:val="20"/>
          <w:lang w:val="en-US"/>
        </w:rPr>
        <w:t xml:space="preserve"> </w:t>
      </w:r>
      <w:r w:rsidRPr="004542B5">
        <w:rPr>
          <w:noProof w:val="0"/>
          <w:szCs w:val="20"/>
          <w:lang w:val="en-US"/>
        </w:rPr>
        <w:t>the Court</w:t>
      </w:r>
      <w:r w:rsidR="007B47B1" w:rsidRPr="004542B5">
        <w:rPr>
          <w:noProof w:val="0"/>
          <w:szCs w:val="20"/>
          <w:lang w:val="en-US"/>
        </w:rPr>
        <w:t xml:space="preserve"> </w:t>
      </w:r>
      <w:r w:rsidR="00BE6B9D" w:rsidRPr="004542B5">
        <w:rPr>
          <w:noProof w:val="0"/>
          <w:szCs w:val="20"/>
          <w:lang w:val="en-US"/>
        </w:rPr>
        <w:t xml:space="preserve">to order the State to take administrative, legislative and judicial measures to guarantee that the indigenous communities had the necessary protection to exercise their right to property fully and on an equal footing </w:t>
      </w:r>
      <w:r w:rsidR="00FB5B27" w:rsidRPr="004542B5">
        <w:rPr>
          <w:noProof w:val="0"/>
          <w:szCs w:val="20"/>
          <w:lang w:val="en-US"/>
        </w:rPr>
        <w:t>with</w:t>
      </w:r>
      <w:r w:rsidR="00BE6B9D" w:rsidRPr="004542B5">
        <w:rPr>
          <w:noProof w:val="0"/>
          <w:szCs w:val="20"/>
          <w:lang w:val="en-US"/>
        </w:rPr>
        <w:t xml:space="preserve"> the rest of the population. They also indicated that </w:t>
      </w:r>
      <w:r w:rsidR="005B6366" w:rsidRPr="004542B5">
        <w:rPr>
          <w:noProof w:val="0"/>
          <w:szCs w:val="20"/>
          <w:lang w:val="en-US"/>
        </w:rPr>
        <w:t xml:space="preserve">the </w:t>
      </w:r>
      <w:r w:rsidR="00BE6B9D" w:rsidRPr="004542B5">
        <w:rPr>
          <w:noProof w:val="0"/>
          <w:szCs w:val="20"/>
          <w:lang w:val="en-US"/>
        </w:rPr>
        <w:t>State should provide an adequate and effective procedure to obtain protection and reparation in case of conflicts with third parties that affect the communities</w:t>
      </w:r>
      <w:r w:rsidR="005B6366" w:rsidRPr="004542B5">
        <w:rPr>
          <w:noProof w:val="0"/>
          <w:szCs w:val="20"/>
          <w:lang w:val="en-US"/>
        </w:rPr>
        <w:t>’ rights</w:t>
      </w:r>
      <w:r w:rsidR="00BE6B9D" w:rsidRPr="004542B5">
        <w:rPr>
          <w:noProof w:val="0"/>
          <w:szCs w:val="20"/>
          <w:lang w:val="en-US"/>
        </w:rPr>
        <w:t>. They added that these procedure should be conducted with the full participation of the communities, taking into consideration their customary law, values, practices and customs.</w:t>
      </w:r>
    </w:p>
    <w:p w14:paraId="2AF71CAB" w14:textId="301C57C0" w:rsidR="00AC026A"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State</w:t>
      </w:r>
      <w:r w:rsidR="007B47B1" w:rsidRPr="004542B5">
        <w:rPr>
          <w:noProof w:val="0"/>
          <w:szCs w:val="20"/>
          <w:lang w:val="en-US"/>
        </w:rPr>
        <w:t xml:space="preserve"> </w:t>
      </w:r>
      <w:r w:rsidR="00F27D52" w:rsidRPr="004542B5">
        <w:rPr>
          <w:noProof w:val="0"/>
          <w:szCs w:val="20"/>
          <w:lang w:val="en-US"/>
        </w:rPr>
        <w:t>did not present arguments in relation to these requests</w:t>
      </w:r>
      <w:r w:rsidR="007B47B1" w:rsidRPr="004542B5">
        <w:rPr>
          <w:noProof w:val="0"/>
          <w:szCs w:val="20"/>
          <w:lang w:val="en-US"/>
        </w:rPr>
        <w:t>.</w:t>
      </w:r>
    </w:p>
    <w:p w14:paraId="2C9FEE37" w14:textId="2685729A" w:rsidR="00F27D52" w:rsidRPr="004542B5" w:rsidRDefault="00F27D52" w:rsidP="00E01664">
      <w:pPr>
        <w:pStyle w:val="ListParagraph"/>
        <w:numPr>
          <w:ilvl w:val="0"/>
          <w:numId w:val="2"/>
        </w:numPr>
        <w:spacing w:before="120" w:after="120"/>
        <w:contextualSpacing w:val="0"/>
        <w:rPr>
          <w:noProof w:val="0"/>
          <w:szCs w:val="20"/>
          <w:lang w:val="en-US"/>
        </w:rPr>
      </w:pPr>
      <w:r w:rsidRPr="004542B5">
        <w:rPr>
          <w:noProof w:val="0"/>
          <w:lang w:val="en-US"/>
        </w:rPr>
        <w:t xml:space="preserve">In the instant case, the Court has declared the violation </w:t>
      </w:r>
      <w:r w:rsidR="00E04132" w:rsidRPr="004542B5">
        <w:rPr>
          <w:noProof w:val="0"/>
          <w:lang w:val="en-US"/>
        </w:rPr>
        <w:t>of Article</w:t>
      </w:r>
      <w:r w:rsidR="006A7CE0" w:rsidRPr="004542B5">
        <w:rPr>
          <w:noProof w:val="0"/>
          <w:lang w:val="en-US"/>
        </w:rPr>
        <w:t xml:space="preserve"> 2 </w:t>
      </w:r>
      <w:r w:rsidR="00342385" w:rsidRPr="004542B5">
        <w:rPr>
          <w:noProof w:val="0"/>
          <w:lang w:val="en-US"/>
        </w:rPr>
        <w:t>in relation to</w:t>
      </w:r>
      <w:r w:rsidR="006A7CE0" w:rsidRPr="004542B5">
        <w:rPr>
          <w:noProof w:val="0"/>
          <w:lang w:val="en-US"/>
        </w:rPr>
        <w:t xml:space="preserve"> </w:t>
      </w:r>
      <w:r w:rsidRPr="004542B5">
        <w:rPr>
          <w:noProof w:val="0"/>
          <w:lang w:val="en-US"/>
        </w:rPr>
        <w:t xml:space="preserve">Articles </w:t>
      </w:r>
      <w:r w:rsidR="006A7CE0" w:rsidRPr="004542B5">
        <w:rPr>
          <w:noProof w:val="0"/>
          <w:lang w:val="en-US"/>
        </w:rPr>
        <w:t>21, 8</w:t>
      </w:r>
      <w:r w:rsidR="00CD2B90" w:rsidRPr="004542B5">
        <w:rPr>
          <w:noProof w:val="0"/>
          <w:lang w:val="en-US"/>
        </w:rPr>
        <w:t xml:space="preserve"> and </w:t>
      </w:r>
      <w:r w:rsidR="006A7CE0" w:rsidRPr="004542B5">
        <w:rPr>
          <w:noProof w:val="0"/>
          <w:lang w:val="en-US"/>
        </w:rPr>
        <w:t xml:space="preserve">25 </w:t>
      </w:r>
      <w:r w:rsidRPr="004542B5">
        <w:rPr>
          <w:noProof w:val="0"/>
          <w:lang w:val="en-US"/>
        </w:rPr>
        <w:t>of the Convention owing to the absence</w:t>
      </w:r>
      <w:r w:rsidR="005B6366" w:rsidRPr="004542B5">
        <w:rPr>
          <w:noProof w:val="0"/>
          <w:lang w:val="en-US"/>
        </w:rPr>
        <w:t>,</w:t>
      </w:r>
      <w:r w:rsidRPr="004542B5">
        <w:rPr>
          <w:noProof w:val="0"/>
          <w:lang w:val="en-US"/>
        </w:rPr>
        <w:t xml:space="preserve"> prior to 2008</w:t>
      </w:r>
      <w:r w:rsidR="005B6366" w:rsidRPr="004542B5">
        <w:rPr>
          <w:noProof w:val="0"/>
          <w:lang w:val="en-US"/>
        </w:rPr>
        <w:t>, of any norms</w:t>
      </w:r>
      <w:r w:rsidRPr="004542B5">
        <w:rPr>
          <w:noProof w:val="0"/>
          <w:lang w:val="en-US"/>
        </w:rPr>
        <w:t xml:space="preserve"> on the delimitation, demarcation and titling of indigenous lands. However, the Court established that </w:t>
      </w:r>
      <w:r w:rsidRPr="004542B5">
        <w:rPr>
          <w:noProof w:val="0"/>
          <w:lang w:val="en-US"/>
        </w:rPr>
        <w:lastRenderedPageBreak/>
        <w:t xml:space="preserve">the domestic </w:t>
      </w:r>
      <w:r w:rsidR="005B6366" w:rsidRPr="004542B5">
        <w:rPr>
          <w:noProof w:val="0"/>
          <w:lang w:val="en-US"/>
        </w:rPr>
        <w:t>norms</w:t>
      </w:r>
      <w:r w:rsidRPr="004542B5">
        <w:rPr>
          <w:noProof w:val="0"/>
          <w:lang w:val="en-US"/>
        </w:rPr>
        <w:t xml:space="preserve"> subsequently enacted by Panama, namely Law 72 and, in 2010, Decree 223, did not violate the Convention, so that it was not appropriate to determine a measure of reparation in this regard.</w:t>
      </w:r>
    </w:p>
    <w:p w14:paraId="3ABC239B" w14:textId="688A4EA4" w:rsidR="00AC026A" w:rsidRPr="004542B5" w:rsidRDefault="00F27D52" w:rsidP="00E01664">
      <w:pPr>
        <w:pStyle w:val="ListParagraph"/>
        <w:numPr>
          <w:ilvl w:val="0"/>
          <w:numId w:val="2"/>
        </w:numPr>
        <w:rPr>
          <w:noProof w:val="0"/>
          <w:szCs w:val="20"/>
          <w:lang w:val="en-US"/>
        </w:rPr>
      </w:pPr>
      <w:r w:rsidRPr="004542B5">
        <w:rPr>
          <w:noProof w:val="0"/>
          <w:lang w:val="en-US"/>
        </w:rPr>
        <w:t xml:space="preserve">Regarding the measure requested to establish an adequate and effective remedy to protect the lands </w:t>
      </w:r>
      <w:r w:rsidR="00561841" w:rsidRPr="004542B5">
        <w:rPr>
          <w:noProof w:val="0"/>
          <w:szCs w:val="20"/>
          <w:lang w:val="en-US"/>
        </w:rPr>
        <w:t>against third parties</w:t>
      </w:r>
      <w:r w:rsidRPr="004542B5">
        <w:rPr>
          <w:noProof w:val="0"/>
          <w:lang w:val="en-US"/>
        </w:rPr>
        <w:t>, the Court analyzed the alleged violations under</w:t>
      </w:r>
      <w:r w:rsidR="00A41A72" w:rsidRPr="004542B5">
        <w:rPr>
          <w:noProof w:val="0"/>
          <w:szCs w:val="20"/>
          <w:lang w:val="en-US"/>
        </w:rPr>
        <w:t xml:space="preserve"> </w:t>
      </w:r>
      <w:r w:rsidR="00562CBB" w:rsidRPr="004542B5">
        <w:rPr>
          <w:noProof w:val="0"/>
          <w:szCs w:val="20"/>
          <w:lang w:val="en-US"/>
        </w:rPr>
        <w:t>Articles</w:t>
      </w:r>
      <w:r w:rsidR="00A41A72" w:rsidRPr="004542B5">
        <w:rPr>
          <w:noProof w:val="0"/>
          <w:szCs w:val="20"/>
          <w:lang w:val="en-US"/>
        </w:rPr>
        <w:t xml:space="preserve"> 8, 25, 21, </w:t>
      </w:r>
      <w:r w:rsidR="00342385" w:rsidRPr="004542B5">
        <w:rPr>
          <w:noProof w:val="0"/>
          <w:szCs w:val="20"/>
          <w:lang w:val="en-US"/>
        </w:rPr>
        <w:t>in relation to</w:t>
      </w:r>
      <w:r w:rsidR="00A41A72" w:rsidRPr="004542B5">
        <w:rPr>
          <w:noProof w:val="0"/>
          <w:szCs w:val="20"/>
          <w:lang w:val="en-US"/>
        </w:rPr>
        <w:t xml:space="preserve"> </w:t>
      </w:r>
      <w:r w:rsidR="00562CBB" w:rsidRPr="004542B5">
        <w:rPr>
          <w:noProof w:val="0"/>
          <w:szCs w:val="20"/>
          <w:lang w:val="en-US"/>
        </w:rPr>
        <w:t>Article</w:t>
      </w:r>
      <w:r w:rsidR="00A41A72" w:rsidRPr="004542B5">
        <w:rPr>
          <w:noProof w:val="0"/>
          <w:szCs w:val="20"/>
          <w:lang w:val="en-US"/>
        </w:rPr>
        <w:t xml:space="preserve"> 2</w:t>
      </w:r>
      <w:r w:rsidR="008A56D7" w:rsidRPr="004542B5">
        <w:rPr>
          <w:noProof w:val="0"/>
          <w:szCs w:val="20"/>
          <w:lang w:val="en-US"/>
        </w:rPr>
        <w:t xml:space="preserve"> of the </w:t>
      </w:r>
      <w:r w:rsidR="00562CBB" w:rsidRPr="004542B5">
        <w:rPr>
          <w:noProof w:val="0"/>
          <w:szCs w:val="20"/>
          <w:lang w:val="en-US"/>
        </w:rPr>
        <w:t>Convention</w:t>
      </w:r>
      <w:r w:rsidRPr="004542B5">
        <w:rPr>
          <w:noProof w:val="0"/>
          <w:szCs w:val="20"/>
          <w:lang w:val="en-US"/>
        </w:rPr>
        <w:t>,</w:t>
      </w:r>
      <w:r w:rsidR="00CD2B90" w:rsidRPr="004542B5">
        <w:rPr>
          <w:noProof w:val="0"/>
          <w:szCs w:val="20"/>
          <w:lang w:val="en-US"/>
        </w:rPr>
        <w:t xml:space="preserve"> and </w:t>
      </w:r>
      <w:r w:rsidR="00A41A72" w:rsidRPr="004542B5">
        <w:rPr>
          <w:noProof w:val="0"/>
          <w:szCs w:val="20"/>
          <w:lang w:val="en-US"/>
        </w:rPr>
        <w:t>conclu</w:t>
      </w:r>
      <w:r w:rsidRPr="004542B5">
        <w:rPr>
          <w:noProof w:val="0"/>
          <w:szCs w:val="20"/>
          <w:lang w:val="en-US"/>
        </w:rPr>
        <w:t xml:space="preserve">ded that the State had not violated the obligation to adopt domestic legal provisions in relation to the protection of lands </w:t>
      </w:r>
      <w:r w:rsidR="00561841" w:rsidRPr="004542B5">
        <w:rPr>
          <w:noProof w:val="0"/>
          <w:szCs w:val="20"/>
          <w:lang w:val="en-US"/>
        </w:rPr>
        <w:t>against third parties</w:t>
      </w:r>
      <w:r w:rsidRPr="004542B5">
        <w:rPr>
          <w:noProof w:val="0"/>
          <w:szCs w:val="20"/>
          <w:lang w:val="en-US"/>
        </w:rPr>
        <w:t>. Therefore, it is not appropriate to order the said measure of reparation.</w:t>
      </w:r>
    </w:p>
    <w:p w14:paraId="78BFAE9E" w14:textId="2123AB83" w:rsidR="00F27D52" w:rsidRPr="004542B5" w:rsidRDefault="00FB5B27" w:rsidP="00E01664">
      <w:pPr>
        <w:pStyle w:val="ListParagraph"/>
        <w:numPr>
          <w:ilvl w:val="0"/>
          <w:numId w:val="2"/>
        </w:numPr>
        <w:spacing w:before="120" w:after="120"/>
        <w:contextualSpacing w:val="0"/>
        <w:rPr>
          <w:noProof w:val="0"/>
          <w:szCs w:val="20"/>
          <w:lang w:val="en-US"/>
        </w:rPr>
      </w:pPr>
      <w:r w:rsidRPr="004542B5">
        <w:rPr>
          <w:noProof w:val="0"/>
          <w:szCs w:val="20"/>
          <w:lang w:val="en-US"/>
        </w:rPr>
        <w:t>In relation</w:t>
      </w:r>
      <w:r w:rsidR="00F27D52" w:rsidRPr="004542B5">
        <w:rPr>
          <w:noProof w:val="0"/>
          <w:szCs w:val="20"/>
          <w:lang w:val="en-US"/>
        </w:rPr>
        <w:t xml:space="preserve"> to the right to equality before the law and to non-discrimination, the</w:t>
      </w:r>
      <w:r w:rsidR="00562CBB" w:rsidRPr="004542B5">
        <w:rPr>
          <w:noProof w:val="0"/>
          <w:szCs w:val="20"/>
          <w:lang w:val="en-US"/>
        </w:rPr>
        <w:t xml:space="preserve"> representatives</w:t>
      </w:r>
      <w:r w:rsidR="00070696" w:rsidRPr="004542B5">
        <w:rPr>
          <w:noProof w:val="0"/>
          <w:szCs w:val="20"/>
          <w:lang w:val="en-US"/>
        </w:rPr>
        <w:t xml:space="preserve"> </w:t>
      </w:r>
      <w:r w:rsidR="00F27D52" w:rsidRPr="004542B5">
        <w:rPr>
          <w:noProof w:val="0"/>
          <w:szCs w:val="20"/>
          <w:lang w:val="en-US"/>
        </w:rPr>
        <w:t>requested that domestic law be adapted so that the</w:t>
      </w:r>
      <w:r w:rsidRPr="004542B5">
        <w:rPr>
          <w:noProof w:val="0"/>
          <w:szCs w:val="20"/>
          <w:lang w:val="en-US"/>
        </w:rPr>
        <w:t xml:space="preserve"> indigenous peoples </w:t>
      </w:r>
      <w:r w:rsidR="00F27D52" w:rsidRPr="004542B5">
        <w:rPr>
          <w:noProof w:val="0"/>
          <w:szCs w:val="20"/>
          <w:lang w:val="en-US"/>
        </w:rPr>
        <w:t xml:space="preserve">could “exercise their right to property fully and on an equal footing </w:t>
      </w:r>
      <w:r w:rsidRPr="004542B5">
        <w:rPr>
          <w:noProof w:val="0"/>
          <w:szCs w:val="20"/>
          <w:lang w:val="en-US"/>
        </w:rPr>
        <w:t>with</w:t>
      </w:r>
      <w:r w:rsidR="00F27D52" w:rsidRPr="004542B5">
        <w:rPr>
          <w:noProof w:val="0"/>
          <w:szCs w:val="20"/>
          <w:lang w:val="en-US"/>
        </w:rPr>
        <w:t xml:space="preserve"> the rest of the population.” In this regard, the Court notes that, in this judgment, it has not considered that the right to equality and non-discrimination had been violat</w:t>
      </w:r>
      <w:r w:rsidR="005B6366" w:rsidRPr="004542B5">
        <w:rPr>
          <w:noProof w:val="0"/>
          <w:szCs w:val="20"/>
          <w:lang w:val="en-US"/>
        </w:rPr>
        <w:t>ed; therefore,</w:t>
      </w:r>
      <w:r w:rsidR="00F27D52" w:rsidRPr="004542B5">
        <w:rPr>
          <w:noProof w:val="0"/>
          <w:szCs w:val="20"/>
          <w:lang w:val="en-US"/>
        </w:rPr>
        <w:t xml:space="preserve"> it is not appropriate to order the measure requested.</w:t>
      </w:r>
    </w:p>
    <w:p w14:paraId="6FFF81A4" w14:textId="34FFA954" w:rsidR="00AC026A" w:rsidRPr="004542B5" w:rsidRDefault="00FB5B27" w:rsidP="00E01664">
      <w:pPr>
        <w:pStyle w:val="ListParagraph"/>
        <w:numPr>
          <w:ilvl w:val="0"/>
          <w:numId w:val="2"/>
        </w:numPr>
        <w:spacing w:before="120" w:after="120"/>
        <w:contextualSpacing w:val="0"/>
        <w:rPr>
          <w:b/>
          <w:i/>
          <w:noProof w:val="0"/>
          <w:szCs w:val="20"/>
          <w:lang w:val="en-US"/>
        </w:rPr>
      </w:pPr>
      <w:r w:rsidRPr="004542B5">
        <w:rPr>
          <w:noProof w:val="0"/>
          <w:szCs w:val="20"/>
          <w:lang w:val="en-US"/>
        </w:rPr>
        <w:t>As regards the other measures of reparation requested, the Court considers that it is not appropriate to order them, because they are not related to the facts of the case</w:t>
      </w:r>
      <w:r w:rsidR="007B47B1" w:rsidRPr="004542B5">
        <w:rPr>
          <w:noProof w:val="0"/>
          <w:szCs w:val="20"/>
          <w:lang w:val="en-US"/>
        </w:rPr>
        <w:t xml:space="preserve">. </w:t>
      </w:r>
    </w:p>
    <w:p w14:paraId="381D6C10" w14:textId="33C49628" w:rsidR="00AC026A" w:rsidRPr="004542B5" w:rsidRDefault="00FB6A21" w:rsidP="00E01664">
      <w:pPr>
        <w:pStyle w:val="ListParagraph"/>
        <w:spacing w:before="240" w:after="240"/>
        <w:ind w:left="1418" w:firstLine="23"/>
        <w:contextualSpacing w:val="0"/>
        <w:rPr>
          <w:noProof w:val="0"/>
          <w:szCs w:val="20"/>
          <w:lang w:val="en-US"/>
        </w:rPr>
      </w:pPr>
      <w:r w:rsidRPr="004542B5">
        <w:rPr>
          <w:i/>
          <w:noProof w:val="0"/>
          <w:szCs w:val="20"/>
          <w:lang w:val="en-US"/>
        </w:rPr>
        <w:t>B.2</w:t>
      </w:r>
      <w:r w:rsidR="007B47B1" w:rsidRPr="004542B5">
        <w:rPr>
          <w:i/>
          <w:noProof w:val="0"/>
          <w:szCs w:val="20"/>
          <w:lang w:val="en-US"/>
        </w:rPr>
        <w:t xml:space="preserve">.2. </w:t>
      </w:r>
      <w:r w:rsidR="00FB5B27" w:rsidRPr="004542B5">
        <w:rPr>
          <w:i/>
          <w:noProof w:val="0"/>
          <w:szCs w:val="20"/>
          <w:lang w:val="en-US"/>
        </w:rPr>
        <w:t xml:space="preserve">Request for </w:t>
      </w:r>
      <w:r w:rsidR="00561841" w:rsidRPr="004542B5">
        <w:rPr>
          <w:i/>
          <w:noProof w:val="0"/>
          <w:szCs w:val="20"/>
          <w:lang w:val="en-US"/>
        </w:rPr>
        <w:t>protection against third parties</w:t>
      </w:r>
      <w:r w:rsidR="00FB5B27" w:rsidRPr="004542B5">
        <w:rPr>
          <w:i/>
          <w:iCs/>
          <w:noProof w:val="0"/>
          <w:szCs w:val="20"/>
          <w:lang w:val="en-US"/>
        </w:rPr>
        <w:t xml:space="preserve"> in territories of the indigenous peoples</w:t>
      </w:r>
    </w:p>
    <w:p w14:paraId="440DB0A2" w14:textId="76F2100E" w:rsidR="00FB5B27" w:rsidRPr="004542B5" w:rsidRDefault="00562CBB" w:rsidP="00FB5B27">
      <w:pPr>
        <w:pStyle w:val="ListParagraph"/>
        <w:numPr>
          <w:ilvl w:val="0"/>
          <w:numId w:val="2"/>
        </w:numPr>
        <w:spacing w:before="120" w:after="120"/>
        <w:contextualSpacing w:val="0"/>
        <w:rPr>
          <w:rFonts w:eastAsia="Calibri"/>
          <w:noProof w:val="0"/>
          <w:szCs w:val="20"/>
          <w:lang w:val="en-US"/>
        </w:rPr>
      </w:pPr>
      <w:r w:rsidRPr="004542B5">
        <w:rPr>
          <w:noProof w:val="0"/>
          <w:szCs w:val="20"/>
          <w:lang w:val="en-US"/>
        </w:rPr>
        <w:t>The Commission</w:t>
      </w:r>
      <w:r w:rsidR="00FB5B27" w:rsidRPr="004542B5">
        <w:rPr>
          <w:noProof w:val="0"/>
          <w:szCs w:val="20"/>
          <w:lang w:val="en-US"/>
        </w:rPr>
        <w:t xml:space="preserve"> asked that the Court order the State to adopt the necessary</w:t>
      </w:r>
      <w:r w:rsidR="005B6366" w:rsidRPr="004542B5">
        <w:rPr>
          <w:noProof w:val="0"/>
          <w:szCs w:val="20"/>
          <w:lang w:val="en-US"/>
        </w:rPr>
        <w:t xml:space="preserve"> measures</w:t>
      </w:r>
      <w:r w:rsidR="00FB5B27" w:rsidRPr="004542B5">
        <w:rPr>
          <w:noProof w:val="0"/>
          <w:szCs w:val="20"/>
          <w:lang w:val="en-US"/>
        </w:rPr>
        <w:t xml:space="preserve"> to protect the territory of the two indigenous peoples effectively, in order to guarantee their physical and cultural survival, as well as the development and continuity of their world view. It also requested the Court to order the State to halt the illegal entry of non-indigenous persons into the territories of the peoples and to remove the actual settlers to lands that do not belong to the indigenous peoples, and that the State guarantee the “free, prior and informed consent of the peoples to </w:t>
      </w:r>
      <w:r w:rsidR="005B6366" w:rsidRPr="004542B5">
        <w:rPr>
          <w:noProof w:val="0"/>
          <w:szCs w:val="20"/>
          <w:lang w:val="en-US"/>
        </w:rPr>
        <w:t>any</w:t>
      </w:r>
      <w:r w:rsidR="00FB5B27" w:rsidRPr="004542B5">
        <w:rPr>
          <w:noProof w:val="0"/>
          <w:szCs w:val="20"/>
          <w:lang w:val="en-US"/>
        </w:rPr>
        <w:t xml:space="preserve"> plans, programs </w:t>
      </w:r>
      <w:r w:rsidR="005B6366" w:rsidRPr="004542B5">
        <w:rPr>
          <w:noProof w:val="0"/>
          <w:szCs w:val="20"/>
          <w:lang w:val="en-US"/>
        </w:rPr>
        <w:t>or</w:t>
      </w:r>
      <w:r w:rsidR="00FB5B27" w:rsidRPr="004542B5">
        <w:rPr>
          <w:noProof w:val="0"/>
          <w:szCs w:val="20"/>
          <w:lang w:val="en-US"/>
        </w:rPr>
        <w:t xml:space="preserve"> projects </w:t>
      </w:r>
      <w:r w:rsidR="005B6366" w:rsidRPr="004542B5">
        <w:rPr>
          <w:noProof w:val="0"/>
          <w:szCs w:val="20"/>
          <w:lang w:val="en-US"/>
        </w:rPr>
        <w:t>it wishes to</w:t>
      </w:r>
      <w:r w:rsidR="00FB5B27" w:rsidRPr="004542B5">
        <w:rPr>
          <w:noProof w:val="0"/>
          <w:szCs w:val="20"/>
          <w:lang w:val="en-US"/>
        </w:rPr>
        <w:t xml:space="preserve"> develop in their territories.” </w:t>
      </w:r>
      <w:r w:rsidRPr="004542B5">
        <w:rPr>
          <w:noProof w:val="0"/>
          <w:szCs w:val="20"/>
          <w:lang w:val="en-US"/>
        </w:rPr>
        <w:t>The representatives</w:t>
      </w:r>
      <w:r w:rsidR="007B47B1" w:rsidRPr="004542B5">
        <w:rPr>
          <w:i/>
          <w:noProof w:val="0"/>
          <w:szCs w:val="20"/>
          <w:lang w:val="en-US"/>
        </w:rPr>
        <w:t xml:space="preserve"> </w:t>
      </w:r>
      <w:r w:rsidR="00FB5B27" w:rsidRPr="004542B5">
        <w:rPr>
          <w:noProof w:val="0"/>
          <w:szCs w:val="20"/>
          <w:lang w:val="en-US"/>
        </w:rPr>
        <w:t>asked</w:t>
      </w:r>
      <w:r w:rsidR="007B47B1" w:rsidRPr="004542B5">
        <w:rPr>
          <w:noProof w:val="0"/>
          <w:szCs w:val="20"/>
          <w:lang w:val="en-US"/>
        </w:rPr>
        <w:t xml:space="preserve"> </w:t>
      </w:r>
      <w:r w:rsidRPr="004542B5">
        <w:rPr>
          <w:noProof w:val="0"/>
          <w:szCs w:val="20"/>
          <w:lang w:val="en-US"/>
        </w:rPr>
        <w:t>the Court</w:t>
      </w:r>
      <w:r w:rsidR="007B47B1" w:rsidRPr="004542B5">
        <w:rPr>
          <w:noProof w:val="0"/>
          <w:szCs w:val="20"/>
          <w:lang w:val="en-US"/>
        </w:rPr>
        <w:t xml:space="preserve"> </w:t>
      </w:r>
      <w:r w:rsidR="00FB5B27" w:rsidRPr="004542B5">
        <w:rPr>
          <w:noProof w:val="0"/>
          <w:szCs w:val="20"/>
          <w:lang w:val="en-US"/>
        </w:rPr>
        <w:t xml:space="preserve">to order the State to take the appropriate measures to prevent conflicts with third parties </w:t>
      </w:r>
      <w:r w:rsidR="00131C20" w:rsidRPr="004542B5">
        <w:rPr>
          <w:noProof w:val="0"/>
          <w:szCs w:val="20"/>
          <w:lang w:val="en-US"/>
        </w:rPr>
        <w:t>based on land ownership and to ensure that this process did not prejudice the normal development of community life and property. The State did not present arguments in this regard.</w:t>
      </w:r>
    </w:p>
    <w:p w14:paraId="0B19B2CC" w14:textId="530D827E" w:rsidR="00AC026A" w:rsidRPr="004542B5" w:rsidRDefault="005B6366" w:rsidP="00131C20">
      <w:pPr>
        <w:pStyle w:val="ListParagraph"/>
        <w:numPr>
          <w:ilvl w:val="0"/>
          <w:numId w:val="2"/>
        </w:numPr>
        <w:spacing w:before="120" w:after="120"/>
        <w:contextualSpacing w:val="0"/>
        <w:rPr>
          <w:rFonts w:eastAsia="Calibri"/>
          <w:noProof w:val="0"/>
          <w:szCs w:val="20"/>
          <w:lang w:val="en-US"/>
        </w:rPr>
      </w:pPr>
      <w:r w:rsidRPr="004542B5">
        <w:rPr>
          <w:rFonts w:eastAsia="Calibri"/>
          <w:noProof w:val="0"/>
          <w:szCs w:val="20"/>
          <w:lang w:val="en-US"/>
        </w:rPr>
        <w:t>In relation to</w:t>
      </w:r>
      <w:r w:rsidR="00131C20" w:rsidRPr="004542B5">
        <w:rPr>
          <w:rFonts w:eastAsia="Calibri"/>
          <w:noProof w:val="0"/>
          <w:szCs w:val="20"/>
          <w:lang w:val="en-US"/>
        </w:rPr>
        <w:t xml:space="preserve"> these requests, the Court notes that, in this judgment, it has ordered measures of reparation with regard to the demarcation and titling of the Piriatí and Ipetí lands and with regard to the State’s obligation to refrain from act</w:t>
      </w:r>
      <w:r w:rsidR="002C3048" w:rsidRPr="004542B5">
        <w:rPr>
          <w:rFonts w:eastAsia="Calibri"/>
          <w:noProof w:val="0"/>
          <w:szCs w:val="20"/>
          <w:lang w:val="en-US"/>
        </w:rPr>
        <w:t>s</w:t>
      </w:r>
      <w:r w:rsidR="00131C20" w:rsidRPr="004542B5">
        <w:rPr>
          <w:rFonts w:eastAsia="Calibri"/>
          <w:noProof w:val="0"/>
          <w:szCs w:val="20"/>
          <w:lang w:val="en-US"/>
        </w:rPr>
        <w:t xml:space="preserve"> that could affect the existence, value, use or enjoyment of the resources located on the said lands</w:t>
      </w:r>
      <w:r w:rsidR="007B47B1" w:rsidRPr="004542B5">
        <w:rPr>
          <w:noProof w:val="0"/>
          <w:szCs w:val="20"/>
          <w:lang w:val="en-US"/>
        </w:rPr>
        <w:t xml:space="preserve"> (</w:t>
      </w:r>
      <w:r w:rsidR="002E2501" w:rsidRPr="004542B5">
        <w:rPr>
          <w:i/>
          <w:noProof w:val="0"/>
          <w:szCs w:val="20"/>
          <w:lang w:val="en-US"/>
        </w:rPr>
        <w:t>infra</w:t>
      </w:r>
      <w:r w:rsidR="007B47B1" w:rsidRPr="004542B5">
        <w:rPr>
          <w:noProof w:val="0"/>
          <w:szCs w:val="20"/>
          <w:lang w:val="en-US"/>
        </w:rPr>
        <w:t xml:space="preserve"> </w:t>
      </w:r>
      <w:r w:rsidR="00F66B76" w:rsidRPr="004542B5">
        <w:rPr>
          <w:noProof w:val="0"/>
          <w:szCs w:val="20"/>
          <w:lang w:val="en-US"/>
        </w:rPr>
        <w:t>paras.</w:t>
      </w:r>
      <w:r w:rsidR="007B47B1" w:rsidRPr="004542B5">
        <w:rPr>
          <w:noProof w:val="0"/>
          <w:szCs w:val="20"/>
          <w:lang w:val="en-US"/>
        </w:rPr>
        <w:t xml:space="preserve"> </w:t>
      </w:r>
      <w:r w:rsidR="002E2501" w:rsidRPr="004542B5">
        <w:rPr>
          <w:noProof w:val="0"/>
          <w:szCs w:val="20"/>
          <w:lang w:val="en-US"/>
        </w:rPr>
        <w:t>229</w:t>
      </w:r>
      <w:r w:rsidR="00CD2B90" w:rsidRPr="004542B5">
        <w:rPr>
          <w:noProof w:val="0"/>
          <w:szCs w:val="20"/>
          <w:lang w:val="en-US"/>
        </w:rPr>
        <w:t xml:space="preserve"> and </w:t>
      </w:r>
      <w:r w:rsidR="00131C20" w:rsidRPr="004542B5">
        <w:rPr>
          <w:i/>
          <w:iCs/>
          <w:noProof w:val="0"/>
          <w:szCs w:val="20"/>
          <w:lang w:val="en-US"/>
        </w:rPr>
        <w:t>ff</w:t>
      </w:r>
      <w:r w:rsidR="002E2501" w:rsidRPr="004542B5">
        <w:rPr>
          <w:noProof w:val="0"/>
          <w:szCs w:val="20"/>
          <w:lang w:val="en-US"/>
        </w:rPr>
        <w:t>.</w:t>
      </w:r>
      <w:r w:rsidR="007B47B1" w:rsidRPr="004542B5">
        <w:rPr>
          <w:noProof w:val="0"/>
          <w:szCs w:val="20"/>
          <w:lang w:val="en-US"/>
        </w:rPr>
        <w:t xml:space="preserve">). </w:t>
      </w:r>
      <w:r w:rsidR="00131C20" w:rsidRPr="004542B5">
        <w:rPr>
          <w:noProof w:val="0"/>
          <w:szCs w:val="20"/>
          <w:lang w:val="en-US"/>
        </w:rPr>
        <w:t xml:space="preserve">Consequently, it does not find it necessary to order the measures requested by </w:t>
      </w:r>
      <w:r w:rsidR="00562CBB" w:rsidRPr="004542B5">
        <w:rPr>
          <w:rFonts w:eastAsia="MS Mincho" w:cs="Times New Roman"/>
          <w:noProof w:val="0"/>
          <w:color w:val="000000"/>
          <w:szCs w:val="20"/>
          <w:lang w:val="en-US"/>
        </w:rPr>
        <w:t>the representatives</w:t>
      </w:r>
      <w:r w:rsidR="007B47B1" w:rsidRPr="004542B5">
        <w:rPr>
          <w:rFonts w:eastAsia="MS Mincho" w:cs="Times New Roman"/>
          <w:noProof w:val="0"/>
          <w:color w:val="000000"/>
          <w:szCs w:val="20"/>
          <w:lang w:val="en-US"/>
        </w:rPr>
        <w:t xml:space="preserve">, </w:t>
      </w:r>
      <w:r w:rsidR="00131C20" w:rsidRPr="004542B5">
        <w:rPr>
          <w:rFonts w:eastAsia="MS Mincho" w:cs="Times New Roman"/>
          <w:noProof w:val="0"/>
          <w:color w:val="000000"/>
          <w:szCs w:val="20"/>
          <w:lang w:val="en-US"/>
        </w:rPr>
        <w:t>because the delivery of</w:t>
      </w:r>
      <w:r w:rsidR="00133200" w:rsidRPr="004542B5">
        <w:rPr>
          <w:rFonts w:eastAsia="MS Mincho" w:cs="Times New Roman"/>
          <w:noProof w:val="0"/>
          <w:color w:val="000000"/>
          <w:szCs w:val="20"/>
          <w:lang w:val="en-US"/>
        </w:rPr>
        <w:t xml:space="preserve"> this judgment</w:t>
      </w:r>
      <w:r w:rsidR="00CD2B90" w:rsidRPr="004542B5">
        <w:rPr>
          <w:rFonts w:eastAsia="MS Mincho" w:cs="Times New Roman"/>
          <w:noProof w:val="0"/>
          <w:color w:val="000000"/>
          <w:szCs w:val="20"/>
          <w:lang w:val="en-US"/>
        </w:rPr>
        <w:t xml:space="preserve"> and</w:t>
      </w:r>
      <w:r w:rsidR="00131C20" w:rsidRPr="004542B5">
        <w:rPr>
          <w:rFonts w:eastAsia="MS Mincho" w:cs="Times New Roman"/>
          <w:noProof w:val="0"/>
          <w:color w:val="000000"/>
          <w:szCs w:val="20"/>
          <w:lang w:val="en-US"/>
        </w:rPr>
        <w:t xml:space="preserve"> the other reparations ordered herein are sufficient and adequate.</w:t>
      </w:r>
    </w:p>
    <w:p w14:paraId="73ECF2BB" w14:textId="79F5B628" w:rsidR="009A70A9" w:rsidRPr="004542B5" w:rsidRDefault="00FB6A21" w:rsidP="00E01664">
      <w:pPr>
        <w:pStyle w:val="ListParagraph"/>
        <w:spacing w:before="240" w:after="240"/>
        <w:ind w:left="1440"/>
        <w:contextualSpacing w:val="0"/>
        <w:rPr>
          <w:i/>
          <w:noProof w:val="0"/>
          <w:szCs w:val="20"/>
          <w:lang w:val="en-US"/>
        </w:rPr>
      </w:pPr>
      <w:r w:rsidRPr="004542B5">
        <w:rPr>
          <w:i/>
          <w:noProof w:val="0"/>
          <w:szCs w:val="20"/>
          <w:lang w:val="en-US"/>
        </w:rPr>
        <w:t>B.2</w:t>
      </w:r>
      <w:r w:rsidR="007B47B1" w:rsidRPr="004542B5">
        <w:rPr>
          <w:i/>
          <w:noProof w:val="0"/>
          <w:szCs w:val="20"/>
          <w:lang w:val="en-US"/>
        </w:rPr>
        <w:t>.3. Conclu</w:t>
      </w:r>
      <w:r w:rsidR="00131C20" w:rsidRPr="004542B5">
        <w:rPr>
          <w:i/>
          <w:noProof w:val="0"/>
          <w:szCs w:val="20"/>
          <w:lang w:val="en-US"/>
        </w:rPr>
        <w:t>de the process of formalizing, delimiting and physically demarcating the Emberá territories as soon as possible</w:t>
      </w:r>
    </w:p>
    <w:p w14:paraId="6428D9BB" w14:textId="653F825E" w:rsidR="003B7977"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Commission</w:t>
      </w:r>
      <w:r w:rsidR="007B47B1" w:rsidRPr="004542B5">
        <w:rPr>
          <w:i/>
          <w:noProof w:val="0"/>
          <w:szCs w:val="20"/>
          <w:lang w:val="en-US"/>
        </w:rPr>
        <w:t xml:space="preserve"> </w:t>
      </w:r>
      <w:r w:rsidR="00131C20" w:rsidRPr="004542B5">
        <w:rPr>
          <w:noProof w:val="0"/>
          <w:szCs w:val="20"/>
          <w:lang w:val="en-US"/>
        </w:rPr>
        <w:t>asked</w:t>
      </w:r>
      <w:r w:rsidR="007B47B1" w:rsidRPr="004542B5">
        <w:rPr>
          <w:noProof w:val="0"/>
          <w:szCs w:val="20"/>
          <w:lang w:val="en-US"/>
        </w:rPr>
        <w:t xml:space="preserve"> </w:t>
      </w:r>
      <w:r w:rsidRPr="004542B5">
        <w:rPr>
          <w:noProof w:val="0"/>
          <w:szCs w:val="20"/>
          <w:lang w:val="en-US"/>
        </w:rPr>
        <w:t>the Court</w:t>
      </w:r>
      <w:r w:rsidR="007B47B1" w:rsidRPr="004542B5">
        <w:rPr>
          <w:noProof w:val="0"/>
          <w:szCs w:val="20"/>
          <w:lang w:val="en-US"/>
        </w:rPr>
        <w:t xml:space="preserve"> </w:t>
      </w:r>
      <w:r w:rsidR="00131C20" w:rsidRPr="004542B5">
        <w:rPr>
          <w:noProof w:val="0"/>
          <w:szCs w:val="20"/>
          <w:lang w:val="en-US"/>
        </w:rPr>
        <w:t>to order</w:t>
      </w:r>
      <w:r w:rsidR="007B47B1" w:rsidRPr="004542B5">
        <w:rPr>
          <w:noProof w:val="0"/>
          <w:szCs w:val="20"/>
          <w:lang w:val="en-US"/>
        </w:rPr>
        <w:t xml:space="preserve"> </w:t>
      </w:r>
      <w:r w:rsidRPr="004542B5">
        <w:rPr>
          <w:noProof w:val="0"/>
          <w:szCs w:val="20"/>
          <w:lang w:val="en-US"/>
        </w:rPr>
        <w:t>the State</w:t>
      </w:r>
      <w:r w:rsidR="007B47B1" w:rsidRPr="004542B5">
        <w:rPr>
          <w:noProof w:val="0"/>
          <w:szCs w:val="20"/>
          <w:lang w:val="en-US"/>
        </w:rPr>
        <w:t xml:space="preserve"> </w:t>
      </w:r>
      <w:r w:rsidR="00131C20" w:rsidRPr="004542B5">
        <w:rPr>
          <w:noProof w:val="0"/>
          <w:szCs w:val="20"/>
          <w:lang w:val="en-US"/>
        </w:rPr>
        <w:t xml:space="preserve">to conclude the process of formalizing, delimiting and physically demarcating the territories of the two peoples and their members promptly, taking into account the inter-American standards described in the </w:t>
      </w:r>
      <w:r w:rsidR="00C6639F" w:rsidRPr="004542B5">
        <w:rPr>
          <w:noProof w:val="0"/>
          <w:szCs w:val="20"/>
          <w:lang w:val="en-US"/>
        </w:rPr>
        <w:t>Merits Report</w:t>
      </w:r>
      <w:r w:rsidR="007B47B1" w:rsidRPr="004542B5">
        <w:rPr>
          <w:noProof w:val="0"/>
          <w:szCs w:val="20"/>
          <w:lang w:val="en-US"/>
        </w:rPr>
        <w:t>.</w:t>
      </w:r>
    </w:p>
    <w:p w14:paraId="76D9F8AC" w14:textId="03FBBA7A" w:rsidR="00131C20"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representatives</w:t>
      </w:r>
      <w:r w:rsidR="00A41A72" w:rsidRPr="004542B5">
        <w:rPr>
          <w:noProof w:val="0"/>
          <w:szCs w:val="20"/>
          <w:lang w:val="en-US"/>
        </w:rPr>
        <w:t xml:space="preserve"> </w:t>
      </w:r>
      <w:r w:rsidR="00131C20" w:rsidRPr="004542B5">
        <w:rPr>
          <w:noProof w:val="0"/>
          <w:szCs w:val="20"/>
          <w:lang w:val="en-US"/>
        </w:rPr>
        <w:t>asked</w:t>
      </w:r>
      <w:r w:rsidR="00A41A72" w:rsidRPr="004542B5">
        <w:rPr>
          <w:noProof w:val="0"/>
          <w:szCs w:val="20"/>
          <w:lang w:val="en-US"/>
        </w:rPr>
        <w:t xml:space="preserve"> </w:t>
      </w:r>
      <w:r w:rsidRPr="004542B5">
        <w:rPr>
          <w:noProof w:val="0"/>
          <w:szCs w:val="20"/>
          <w:lang w:val="en-US"/>
        </w:rPr>
        <w:t>the Court</w:t>
      </w:r>
      <w:r w:rsidR="00A41A72" w:rsidRPr="004542B5">
        <w:rPr>
          <w:noProof w:val="0"/>
          <w:szCs w:val="20"/>
          <w:lang w:val="en-US"/>
        </w:rPr>
        <w:t xml:space="preserve"> </w:t>
      </w:r>
      <w:r w:rsidR="00131C20" w:rsidRPr="004542B5">
        <w:rPr>
          <w:noProof w:val="0"/>
          <w:szCs w:val="20"/>
          <w:lang w:val="en-US"/>
        </w:rPr>
        <w:t>to order the State to adopt the administrative, legislative or any other measures</w:t>
      </w:r>
      <w:r w:rsidR="00830EF1" w:rsidRPr="004542B5">
        <w:rPr>
          <w:noProof w:val="0"/>
          <w:szCs w:val="20"/>
          <w:lang w:val="en-US"/>
        </w:rPr>
        <w:t xml:space="preserve"> necessary to create an effective mechanism for the delimitation, demarcation and titling of the properties of the indigenous communities, in keeping with their customary law, values, practices and customs. They added that, while the lands have </w:t>
      </w:r>
      <w:r w:rsidR="00830EF1" w:rsidRPr="004542B5">
        <w:rPr>
          <w:noProof w:val="0"/>
          <w:szCs w:val="20"/>
          <w:lang w:val="en-US"/>
        </w:rPr>
        <w:lastRenderedPageBreak/>
        <w:t>not been delimited, demarcated and titled, the State must refrain from any action that could lead to its agents or third parties affecting the existence, value, use or enjoyment of the resources located in the area.</w:t>
      </w:r>
    </w:p>
    <w:p w14:paraId="4022420C" w14:textId="709AA984" w:rsidR="009A70A9"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State</w:t>
      </w:r>
      <w:r w:rsidR="00830EF1" w:rsidRPr="004542B5">
        <w:rPr>
          <w:i/>
          <w:noProof w:val="0"/>
          <w:szCs w:val="20"/>
          <w:lang w:val="en-US"/>
        </w:rPr>
        <w:t xml:space="preserve"> </w:t>
      </w:r>
      <w:r w:rsidR="00830EF1" w:rsidRPr="004542B5">
        <w:rPr>
          <w:noProof w:val="0"/>
          <w:szCs w:val="20"/>
          <w:lang w:val="en-US"/>
        </w:rPr>
        <w:t>did not present arguments on the measures of reparation requested.</w:t>
      </w:r>
    </w:p>
    <w:p w14:paraId="6E20643F" w14:textId="3CB4A87C" w:rsidR="00405CD7" w:rsidRPr="004542B5" w:rsidRDefault="00562CBB" w:rsidP="00E01664">
      <w:pPr>
        <w:pStyle w:val="ListParagraph"/>
        <w:numPr>
          <w:ilvl w:val="0"/>
          <w:numId w:val="2"/>
        </w:numPr>
        <w:spacing w:before="120" w:after="120"/>
        <w:contextualSpacing w:val="0"/>
        <w:rPr>
          <w:b/>
          <w:i/>
          <w:noProof w:val="0"/>
          <w:szCs w:val="20"/>
          <w:lang w:val="en-US"/>
        </w:rPr>
      </w:pPr>
      <w:r w:rsidRPr="004542B5">
        <w:rPr>
          <w:noProof w:val="0"/>
          <w:szCs w:val="20"/>
          <w:lang w:val="en-US"/>
        </w:rPr>
        <w:t>The Court</w:t>
      </w:r>
      <w:r w:rsidR="00A41A72" w:rsidRPr="004542B5">
        <w:rPr>
          <w:noProof w:val="0"/>
          <w:szCs w:val="20"/>
          <w:lang w:val="en-US"/>
        </w:rPr>
        <w:t xml:space="preserve"> d</w:t>
      </w:r>
      <w:r w:rsidR="00405CD7" w:rsidRPr="004542B5">
        <w:rPr>
          <w:noProof w:val="0"/>
          <w:szCs w:val="20"/>
          <w:lang w:val="en-US"/>
        </w:rPr>
        <w:t>etermines that the State must proceed to demarcate the lands that correspond to the Ipetí and Piriatí Emberá communities</w:t>
      </w:r>
      <w:r w:rsidR="002C3048" w:rsidRPr="004542B5">
        <w:rPr>
          <w:noProof w:val="0"/>
          <w:szCs w:val="20"/>
          <w:lang w:val="en-US"/>
        </w:rPr>
        <w:t>,</w:t>
      </w:r>
      <w:r w:rsidR="00405CD7" w:rsidRPr="004542B5">
        <w:rPr>
          <w:noProof w:val="0"/>
          <w:szCs w:val="20"/>
          <w:lang w:val="en-US"/>
        </w:rPr>
        <w:t xml:space="preserve"> and to title the Ipetí lands as a right to collective </w:t>
      </w:r>
      <w:r w:rsidR="009622F8" w:rsidRPr="004542B5">
        <w:rPr>
          <w:noProof w:val="0"/>
          <w:szCs w:val="20"/>
          <w:lang w:val="en-US"/>
        </w:rPr>
        <w:t>ownership</w:t>
      </w:r>
      <w:r w:rsidR="00405CD7" w:rsidRPr="004542B5">
        <w:rPr>
          <w:noProof w:val="0"/>
          <w:szCs w:val="20"/>
          <w:lang w:val="en-US"/>
        </w:rPr>
        <w:t>, within one year of notification of this judgment, with the</w:t>
      </w:r>
      <w:r w:rsidR="002C3048" w:rsidRPr="004542B5">
        <w:rPr>
          <w:noProof w:val="0"/>
          <w:szCs w:val="20"/>
          <w:lang w:val="en-US"/>
        </w:rPr>
        <w:t xml:space="preserve"> </w:t>
      </w:r>
      <w:r w:rsidR="00405CD7" w:rsidRPr="004542B5">
        <w:rPr>
          <w:noProof w:val="0"/>
          <w:szCs w:val="20"/>
          <w:lang w:val="en-US"/>
        </w:rPr>
        <w:t>full participation</w:t>
      </w:r>
      <w:r w:rsidR="002C3048" w:rsidRPr="004542B5">
        <w:rPr>
          <w:noProof w:val="0"/>
          <w:szCs w:val="20"/>
          <w:lang w:val="en-US"/>
        </w:rPr>
        <w:t xml:space="preserve"> of the communities</w:t>
      </w:r>
      <w:r w:rsidR="00405CD7" w:rsidRPr="004542B5">
        <w:rPr>
          <w:noProof w:val="0"/>
          <w:szCs w:val="20"/>
          <w:lang w:val="en-US"/>
        </w:rPr>
        <w:t xml:space="preserve"> and taking into consideration the</w:t>
      </w:r>
      <w:r w:rsidR="002C3048" w:rsidRPr="004542B5">
        <w:rPr>
          <w:noProof w:val="0"/>
          <w:szCs w:val="20"/>
          <w:lang w:val="en-US"/>
        </w:rPr>
        <w:t>ir</w:t>
      </w:r>
      <w:r w:rsidR="00405CD7" w:rsidRPr="004542B5">
        <w:rPr>
          <w:noProof w:val="0"/>
          <w:szCs w:val="20"/>
          <w:lang w:val="en-US"/>
        </w:rPr>
        <w:t xml:space="preserve"> customary law, values, practices and customs. While the said lands have not been adequately demarcated and titled, the State must refrain from any action that could lead to </w:t>
      </w:r>
      <w:r w:rsidR="002C3048" w:rsidRPr="004542B5">
        <w:rPr>
          <w:noProof w:val="0"/>
          <w:szCs w:val="20"/>
          <w:lang w:val="en-US"/>
        </w:rPr>
        <w:t xml:space="preserve">state </w:t>
      </w:r>
      <w:r w:rsidR="00405CD7" w:rsidRPr="004542B5">
        <w:rPr>
          <w:noProof w:val="0"/>
          <w:szCs w:val="20"/>
          <w:lang w:val="en-US"/>
        </w:rPr>
        <w:t>agents</w:t>
      </w:r>
      <w:r w:rsidR="002C3048" w:rsidRPr="004542B5">
        <w:rPr>
          <w:noProof w:val="0"/>
          <w:szCs w:val="20"/>
          <w:lang w:val="en-US"/>
        </w:rPr>
        <w:t>,</w:t>
      </w:r>
      <w:r w:rsidR="00405CD7" w:rsidRPr="004542B5">
        <w:rPr>
          <w:noProof w:val="0"/>
          <w:szCs w:val="20"/>
          <w:lang w:val="en-US"/>
        </w:rPr>
        <w:t xml:space="preserve"> or third parties acting with </w:t>
      </w:r>
      <w:r w:rsidR="002C3048" w:rsidRPr="004542B5">
        <w:rPr>
          <w:noProof w:val="0"/>
          <w:szCs w:val="20"/>
          <w:lang w:val="en-US"/>
        </w:rPr>
        <w:t>their</w:t>
      </w:r>
      <w:r w:rsidR="00405CD7" w:rsidRPr="004542B5">
        <w:rPr>
          <w:noProof w:val="0"/>
          <w:szCs w:val="20"/>
          <w:lang w:val="en-US"/>
        </w:rPr>
        <w:t xml:space="preserve"> acquiescence or tolerance, affecting the existence, value, use or enjoyment of the resources located in the geographical area whe</w:t>
      </w:r>
      <w:r w:rsidR="002C3048" w:rsidRPr="004542B5">
        <w:rPr>
          <w:noProof w:val="0"/>
          <w:szCs w:val="20"/>
          <w:lang w:val="en-US"/>
        </w:rPr>
        <w:t>re</w:t>
      </w:r>
      <w:r w:rsidR="00405CD7" w:rsidRPr="004542B5">
        <w:rPr>
          <w:noProof w:val="0"/>
          <w:szCs w:val="20"/>
          <w:lang w:val="en-US"/>
        </w:rPr>
        <w:t xml:space="preserve"> the </w:t>
      </w:r>
      <w:r w:rsidR="006110CB" w:rsidRPr="004542B5">
        <w:rPr>
          <w:noProof w:val="0"/>
          <w:szCs w:val="20"/>
          <w:lang w:val="en-US"/>
        </w:rPr>
        <w:t>members</w:t>
      </w:r>
      <w:r w:rsidR="00405CD7" w:rsidRPr="004542B5">
        <w:rPr>
          <w:noProof w:val="0"/>
          <w:szCs w:val="20"/>
          <w:lang w:val="en-US"/>
        </w:rPr>
        <w:t xml:space="preserve"> of the Ipetí and Piriatí Emberá communities live and carry out their activities.</w:t>
      </w:r>
    </w:p>
    <w:p w14:paraId="7E62E4F0" w14:textId="79073DC4" w:rsidR="009A70A9" w:rsidRPr="004542B5" w:rsidRDefault="00405CD7" w:rsidP="00E01664">
      <w:pPr>
        <w:pStyle w:val="ListParagraph"/>
        <w:numPr>
          <w:ilvl w:val="0"/>
          <w:numId w:val="2"/>
        </w:numPr>
        <w:spacing w:before="120" w:after="120"/>
        <w:contextualSpacing w:val="0"/>
        <w:rPr>
          <w:b/>
          <w:i/>
          <w:noProof w:val="0"/>
          <w:szCs w:val="20"/>
          <w:lang w:val="en-US"/>
        </w:rPr>
      </w:pPr>
      <w:r w:rsidRPr="004542B5">
        <w:rPr>
          <w:noProof w:val="0"/>
          <w:szCs w:val="20"/>
          <w:lang w:val="en-US"/>
        </w:rPr>
        <w:t xml:space="preserve">The State must also take the necessary measures to annul the property title granted to </w:t>
      </w:r>
      <w:r w:rsidR="001407F4" w:rsidRPr="004542B5">
        <w:rPr>
          <w:noProof w:val="0"/>
          <w:szCs w:val="16"/>
          <w:lang w:val="en-US"/>
        </w:rPr>
        <w:t xml:space="preserve">C.C.M. </w:t>
      </w:r>
      <w:r w:rsidRPr="004542B5">
        <w:rPr>
          <w:noProof w:val="0"/>
          <w:szCs w:val="16"/>
          <w:lang w:val="en-US"/>
        </w:rPr>
        <w:t xml:space="preserve">within the territory </w:t>
      </w:r>
      <w:r w:rsidR="004D0B27" w:rsidRPr="004542B5">
        <w:rPr>
          <w:rFonts w:cs="Verdana"/>
          <w:noProof w:val="0"/>
          <w:szCs w:val="20"/>
          <w:lang w:val="en-US" w:eastAsia="es-MX"/>
        </w:rPr>
        <w:t xml:space="preserve">of the </w:t>
      </w:r>
      <w:r w:rsidR="00203069" w:rsidRPr="004542B5">
        <w:rPr>
          <w:rFonts w:cs="Verdana"/>
          <w:noProof w:val="0"/>
          <w:szCs w:val="20"/>
          <w:lang w:val="en-US" w:eastAsia="es-MX"/>
        </w:rPr>
        <w:t>Emberá Community</w:t>
      </w:r>
      <w:r w:rsidR="008E02A3" w:rsidRPr="004542B5">
        <w:rPr>
          <w:rFonts w:cs="Verdana"/>
          <w:noProof w:val="0"/>
          <w:szCs w:val="20"/>
          <w:lang w:val="en-US" w:eastAsia="es-MX"/>
        </w:rPr>
        <w:t xml:space="preserve"> </w:t>
      </w:r>
      <w:r w:rsidR="007001D1" w:rsidRPr="004542B5">
        <w:rPr>
          <w:rFonts w:cs="Verdana"/>
          <w:noProof w:val="0"/>
          <w:szCs w:val="20"/>
          <w:lang w:val="en-US" w:eastAsia="es-MX"/>
        </w:rPr>
        <w:t>of</w:t>
      </w:r>
      <w:r w:rsidR="008E02A3" w:rsidRPr="004542B5">
        <w:rPr>
          <w:rFonts w:cs="Verdana"/>
          <w:noProof w:val="0"/>
          <w:szCs w:val="20"/>
          <w:lang w:val="en-US" w:eastAsia="es-MX"/>
        </w:rPr>
        <w:t xml:space="preserve"> Piriatí </w:t>
      </w:r>
      <w:r w:rsidRPr="004542B5">
        <w:rPr>
          <w:rFonts w:cs="Verdana"/>
          <w:noProof w:val="0"/>
          <w:szCs w:val="20"/>
          <w:lang w:val="en-US" w:eastAsia="es-MX"/>
        </w:rPr>
        <w:t xml:space="preserve">within one year of notification </w:t>
      </w:r>
      <w:r w:rsidR="00133200" w:rsidRPr="004542B5">
        <w:rPr>
          <w:rFonts w:cs="Verdana"/>
          <w:noProof w:val="0"/>
          <w:szCs w:val="20"/>
          <w:lang w:val="en-US" w:eastAsia="es-MX"/>
        </w:rPr>
        <w:t>of this judgment</w:t>
      </w:r>
      <w:r w:rsidR="00575C9F" w:rsidRPr="004542B5">
        <w:rPr>
          <w:rFonts w:cs="Verdana"/>
          <w:noProof w:val="0"/>
          <w:szCs w:val="20"/>
          <w:lang w:val="en-US" w:eastAsia="es-MX"/>
        </w:rPr>
        <w:t>.</w:t>
      </w:r>
      <w:r w:rsidR="00B07C65" w:rsidRPr="004542B5">
        <w:rPr>
          <w:noProof w:val="0"/>
          <w:szCs w:val="20"/>
          <w:lang w:val="en-US"/>
        </w:rPr>
        <w:t xml:space="preserve"> </w:t>
      </w:r>
    </w:p>
    <w:p w14:paraId="32F5D462" w14:textId="55AD4D6B" w:rsidR="00AC026A" w:rsidRPr="004542B5" w:rsidRDefault="00B902E7" w:rsidP="00E01664">
      <w:pPr>
        <w:pStyle w:val="ListParagraph"/>
        <w:numPr>
          <w:ilvl w:val="0"/>
          <w:numId w:val="13"/>
        </w:numPr>
        <w:spacing w:before="240" w:after="240"/>
        <w:contextualSpacing w:val="0"/>
        <w:outlineLvl w:val="1"/>
        <w:rPr>
          <w:b/>
          <w:i/>
          <w:noProof w:val="0"/>
          <w:szCs w:val="20"/>
          <w:lang w:val="en-US"/>
        </w:rPr>
      </w:pPr>
      <w:bookmarkStart w:id="262" w:name="_Toc393988510"/>
      <w:bookmarkStart w:id="263" w:name="_Toc394004014"/>
      <w:bookmarkStart w:id="264" w:name="_Toc45200905"/>
      <w:bookmarkEnd w:id="262"/>
      <w:bookmarkEnd w:id="263"/>
      <w:r w:rsidRPr="004542B5">
        <w:rPr>
          <w:b/>
          <w:i/>
          <w:noProof w:val="0"/>
          <w:szCs w:val="20"/>
          <w:lang w:val="en-US"/>
        </w:rPr>
        <w:t>Compensation</w:t>
      </w:r>
      <w:bookmarkEnd w:id="264"/>
    </w:p>
    <w:p w14:paraId="1BE17D8F" w14:textId="3FFF9EE1" w:rsidR="00AC026A" w:rsidRPr="004542B5" w:rsidRDefault="007B47B1" w:rsidP="00E01664">
      <w:pPr>
        <w:pStyle w:val="ListParagraph"/>
        <w:spacing w:before="240" w:after="240"/>
        <w:ind w:left="0" w:firstLine="720"/>
        <w:contextualSpacing w:val="0"/>
        <w:outlineLvl w:val="2"/>
        <w:rPr>
          <w:i/>
          <w:noProof w:val="0"/>
          <w:szCs w:val="20"/>
          <w:lang w:val="en-US"/>
        </w:rPr>
      </w:pPr>
      <w:bookmarkStart w:id="265" w:name="_Toc45200906"/>
      <w:r w:rsidRPr="004542B5">
        <w:rPr>
          <w:i/>
          <w:noProof w:val="0"/>
          <w:szCs w:val="20"/>
          <w:lang w:val="en-US"/>
        </w:rPr>
        <w:t xml:space="preserve">C.1. </w:t>
      </w:r>
      <w:r w:rsidR="00B902E7" w:rsidRPr="004542B5">
        <w:rPr>
          <w:i/>
          <w:noProof w:val="0"/>
          <w:szCs w:val="20"/>
          <w:lang w:val="en-US"/>
        </w:rPr>
        <w:t>Pecuniary damage</w:t>
      </w:r>
      <w:bookmarkEnd w:id="265"/>
    </w:p>
    <w:p w14:paraId="349A9524" w14:textId="73556013" w:rsidR="00AC026A" w:rsidRPr="004542B5" w:rsidRDefault="007B47B1" w:rsidP="00E01664">
      <w:pPr>
        <w:pStyle w:val="ListParagraph"/>
        <w:spacing w:before="240" w:after="240"/>
        <w:ind w:left="1416" w:firstLine="24"/>
        <w:contextualSpacing w:val="0"/>
        <w:rPr>
          <w:i/>
          <w:noProof w:val="0"/>
          <w:szCs w:val="20"/>
          <w:lang w:val="en-US"/>
        </w:rPr>
      </w:pPr>
      <w:r w:rsidRPr="004542B5">
        <w:rPr>
          <w:i/>
          <w:noProof w:val="0"/>
          <w:szCs w:val="20"/>
          <w:lang w:val="en-US"/>
        </w:rPr>
        <w:t xml:space="preserve">C.1.1. </w:t>
      </w:r>
      <w:r w:rsidR="00EC434E" w:rsidRPr="004542B5">
        <w:rPr>
          <w:i/>
          <w:noProof w:val="0"/>
          <w:szCs w:val="20"/>
          <w:lang w:val="en-US"/>
        </w:rPr>
        <w:t>Arguments</w:t>
      </w:r>
      <w:r w:rsidR="008A56D7" w:rsidRPr="004542B5">
        <w:rPr>
          <w:i/>
          <w:noProof w:val="0"/>
          <w:szCs w:val="20"/>
          <w:lang w:val="en-US"/>
        </w:rPr>
        <w:t xml:space="preserve"> of the </w:t>
      </w:r>
      <w:r w:rsidR="00562CBB" w:rsidRPr="004542B5">
        <w:rPr>
          <w:i/>
          <w:noProof w:val="0"/>
          <w:szCs w:val="20"/>
          <w:lang w:val="en-US"/>
        </w:rPr>
        <w:t>Commission</w:t>
      </w:r>
      <w:r w:rsidR="00CD2B90" w:rsidRPr="004542B5">
        <w:rPr>
          <w:i/>
          <w:noProof w:val="0"/>
          <w:szCs w:val="20"/>
          <w:lang w:val="en-US"/>
        </w:rPr>
        <w:t xml:space="preserve"> </w:t>
      </w:r>
      <w:r w:rsidR="00B902E7" w:rsidRPr="004542B5">
        <w:rPr>
          <w:i/>
          <w:noProof w:val="0"/>
          <w:szCs w:val="20"/>
          <w:lang w:val="en-US"/>
        </w:rPr>
        <w:t>and a</w:t>
      </w:r>
      <w:r w:rsidR="002C3048" w:rsidRPr="004542B5">
        <w:rPr>
          <w:i/>
          <w:noProof w:val="0"/>
          <w:szCs w:val="20"/>
          <w:lang w:val="en-US"/>
        </w:rPr>
        <w:t>llegations</w:t>
      </w:r>
      <w:r w:rsidR="00B902E7" w:rsidRPr="004542B5">
        <w:rPr>
          <w:i/>
          <w:noProof w:val="0"/>
          <w:szCs w:val="20"/>
          <w:lang w:val="en-US"/>
        </w:rPr>
        <w:t xml:space="preserve"> of the parties</w:t>
      </w:r>
    </w:p>
    <w:p w14:paraId="295856C7" w14:textId="72262FFA" w:rsidR="00AC026A" w:rsidRPr="004542B5" w:rsidRDefault="00562CBB" w:rsidP="00DE6E7F">
      <w:pPr>
        <w:pStyle w:val="ListParagraph"/>
        <w:numPr>
          <w:ilvl w:val="0"/>
          <w:numId w:val="2"/>
        </w:numPr>
        <w:spacing w:before="120" w:after="120"/>
        <w:contextualSpacing w:val="0"/>
        <w:rPr>
          <w:noProof w:val="0"/>
          <w:szCs w:val="20"/>
          <w:lang w:val="en-US"/>
        </w:rPr>
      </w:pPr>
      <w:r w:rsidRPr="004542B5">
        <w:rPr>
          <w:noProof w:val="0"/>
          <w:szCs w:val="20"/>
          <w:lang w:val="en-US"/>
        </w:rPr>
        <w:t>The Commission</w:t>
      </w:r>
      <w:r w:rsidR="007B47B1" w:rsidRPr="004542B5">
        <w:rPr>
          <w:i/>
          <w:noProof w:val="0"/>
          <w:szCs w:val="20"/>
          <w:lang w:val="en-US"/>
        </w:rPr>
        <w:t xml:space="preserve"> </w:t>
      </w:r>
      <w:r w:rsidR="00DE6E7F" w:rsidRPr="004542B5">
        <w:rPr>
          <w:noProof w:val="0"/>
          <w:szCs w:val="20"/>
          <w:lang w:val="en-US"/>
        </w:rPr>
        <w:t>asked the Court to order to State to provide the two peoples and their members with prompt and just compensation for their removal and resettling, and the flooding of their ancestral territories, the a</w:t>
      </w:r>
      <w:r w:rsidR="00DA5CA4" w:rsidRPr="004542B5">
        <w:rPr>
          <w:noProof w:val="0"/>
          <w:szCs w:val="20"/>
          <w:lang w:val="en-US"/>
        </w:rPr>
        <w:t>ppropriate</w:t>
      </w:r>
      <w:r w:rsidR="00DE6E7F" w:rsidRPr="004542B5">
        <w:rPr>
          <w:noProof w:val="0"/>
          <w:szCs w:val="20"/>
          <w:lang w:val="en-US"/>
        </w:rPr>
        <w:t xml:space="preserve"> amount of which should be determined by a process than ensures their participation, in keeping with the</w:t>
      </w:r>
      <w:r w:rsidR="00DA5CA4" w:rsidRPr="004542B5">
        <w:rPr>
          <w:noProof w:val="0"/>
          <w:szCs w:val="20"/>
          <w:lang w:val="en-US"/>
        </w:rPr>
        <w:t>ir</w:t>
      </w:r>
      <w:r w:rsidR="00DE6E7F" w:rsidRPr="004542B5">
        <w:rPr>
          <w:noProof w:val="0"/>
          <w:szCs w:val="20"/>
          <w:lang w:val="en-US"/>
        </w:rPr>
        <w:t xml:space="preserve"> customary law, values, practices and customs. </w:t>
      </w:r>
      <w:r w:rsidRPr="004542B5">
        <w:rPr>
          <w:noProof w:val="0"/>
          <w:szCs w:val="20"/>
          <w:lang w:val="en-US"/>
        </w:rPr>
        <w:t>The representatives</w:t>
      </w:r>
      <w:r w:rsidR="007B47B1" w:rsidRPr="004542B5">
        <w:rPr>
          <w:i/>
          <w:noProof w:val="0"/>
          <w:szCs w:val="20"/>
          <w:lang w:val="en-US"/>
        </w:rPr>
        <w:t xml:space="preserve"> </w:t>
      </w:r>
      <w:r w:rsidR="00DE6E7F" w:rsidRPr="004542B5">
        <w:rPr>
          <w:noProof w:val="0"/>
          <w:szCs w:val="20"/>
          <w:lang w:val="en-US"/>
        </w:rPr>
        <w:t>agreed with this measure of reparation, but indicated that the “a</w:t>
      </w:r>
      <w:r w:rsidR="00DA5CA4" w:rsidRPr="004542B5">
        <w:rPr>
          <w:noProof w:val="0"/>
          <w:szCs w:val="20"/>
          <w:lang w:val="en-US"/>
        </w:rPr>
        <w:t>ppropriate</w:t>
      </w:r>
      <w:r w:rsidR="00DE6E7F" w:rsidRPr="004542B5">
        <w:rPr>
          <w:noProof w:val="0"/>
          <w:szCs w:val="20"/>
          <w:lang w:val="en-US"/>
        </w:rPr>
        <w:t xml:space="preserve"> amount” should be determined “based on [the] study presented by </w:t>
      </w:r>
      <w:r w:rsidR="00F3300A" w:rsidRPr="004542B5">
        <w:rPr>
          <w:noProof w:val="0"/>
          <w:szCs w:val="20"/>
          <w:lang w:val="en-US"/>
        </w:rPr>
        <w:t>the presumed victims</w:t>
      </w:r>
      <w:r w:rsidR="00DE6E7F" w:rsidRPr="004542B5">
        <w:rPr>
          <w:noProof w:val="0"/>
          <w:szCs w:val="20"/>
          <w:lang w:val="en-US"/>
        </w:rPr>
        <w:t>.</w:t>
      </w:r>
      <w:r w:rsidR="007B47B1" w:rsidRPr="004542B5">
        <w:rPr>
          <w:noProof w:val="0"/>
          <w:szCs w:val="20"/>
          <w:lang w:val="en-US"/>
        </w:rPr>
        <w:t>”</w:t>
      </w:r>
      <w:r w:rsidR="003C260D" w:rsidRPr="004542B5">
        <w:rPr>
          <w:rStyle w:val="FootnoteReference"/>
          <w:noProof w:val="0"/>
          <w:lang w:val="en-US"/>
        </w:rPr>
        <w:footnoteReference w:id="266"/>
      </w:r>
      <w:r w:rsidR="007B47B1" w:rsidRPr="004542B5">
        <w:rPr>
          <w:noProof w:val="0"/>
          <w:szCs w:val="20"/>
          <w:lang w:val="en-US"/>
        </w:rPr>
        <w:t xml:space="preserve"> </w:t>
      </w:r>
    </w:p>
    <w:p w14:paraId="3D05DBD2" w14:textId="03907E22" w:rsidR="00AC026A" w:rsidRPr="004542B5" w:rsidRDefault="00DE6E7F" w:rsidP="00DE6E7F">
      <w:pPr>
        <w:pStyle w:val="ListParagraph"/>
        <w:numPr>
          <w:ilvl w:val="0"/>
          <w:numId w:val="2"/>
        </w:numPr>
        <w:spacing w:before="120" w:after="120"/>
        <w:contextualSpacing w:val="0"/>
        <w:rPr>
          <w:noProof w:val="0"/>
          <w:szCs w:val="20"/>
          <w:lang w:val="en-US"/>
        </w:rPr>
      </w:pPr>
      <w:r w:rsidRPr="004542B5">
        <w:rPr>
          <w:noProof w:val="0"/>
          <w:szCs w:val="20"/>
          <w:lang w:val="en-US"/>
        </w:rPr>
        <w:t>The</w:t>
      </w:r>
      <w:r w:rsidR="00562CBB" w:rsidRPr="004542B5">
        <w:rPr>
          <w:noProof w:val="0"/>
          <w:szCs w:val="20"/>
          <w:lang w:val="en-US"/>
        </w:rPr>
        <w:t xml:space="preserve"> representatives</w:t>
      </w:r>
      <w:r w:rsidRPr="004542B5">
        <w:rPr>
          <w:noProof w:val="0"/>
          <w:szCs w:val="20"/>
          <w:lang w:val="en-US"/>
        </w:rPr>
        <w:t xml:space="preserve"> also indicated that the construction of the hydroelectric project had had serious effects for </w:t>
      </w:r>
      <w:r w:rsidR="003C263F" w:rsidRPr="004542B5">
        <w:rPr>
          <w:noProof w:val="0"/>
          <w:szCs w:val="20"/>
          <w:lang w:val="en-US"/>
        </w:rPr>
        <w:t>the Kuna and Emberá peoples</w:t>
      </w:r>
      <w:r w:rsidR="00A41A72" w:rsidRPr="004542B5">
        <w:rPr>
          <w:noProof w:val="0"/>
          <w:szCs w:val="20"/>
          <w:lang w:val="en-US"/>
        </w:rPr>
        <w:t xml:space="preserve">: (i) </w:t>
      </w:r>
      <w:r w:rsidRPr="004542B5">
        <w:rPr>
          <w:noProof w:val="0"/>
          <w:szCs w:val="20"/>
          <w:lang w:val="en-US"/>
        </w:rPr>
        <w:t xml:space="preserve">it </w:t>
      </w:r>
      <w:r w:rsidR="00DA5CA4" w:rsidRPr="004542B5">
        <w:rPr>
          <w:noProof w:val="0"/>
          <w:szCs w:val="20"/>
          <w:lang w:val="en-US"/>
        </w:rPr>
        <w:t xml:space="preserve">had </w:t>
      </w:r>
      <w:r w:rsidRPr="004542B5">
        <w:rPr>
          <w:noProof w:val="0"/>
          <w:szCs w:val="20"/>
          <w:lang w:val="en-US"/>
        </w:rPr>
        <w:t xml:space="preserve">resulted in an increase in disease; (ii) it had </w:t>
      </w:r>
      <w:r w:rsidR="00DA5CA4" w:rsidRPr="004542B5">
        <w:rPr>
          <w:noProof w:val="0"/>
          <w:szCs w:val="20"/>
          <w:lang w:val="en-US"/>
        </w:rPr>
        <w:t xml:space="preserve">had </w:t>
      </w:r>
      <w:r w:rsidRPr="004542B5">
        <w:rPr>
          <w:noProof w:val="0"/>
          <w:szCs w:val="20"/>
          <w:lang w:val="en-US"/>
        </w:rPr>
        <w:t>an prejudicial impact on the forms of traditional subsistence and destroyed the ecosystem;</w:t>
      </w:r>
      <w:r w:rsidR="00DA5CA4" w:rsidRPr="004542B5">
        <w:rPr>
          <w:noProof w:val="0"/>
          <w:szCs w:val="20"/>
          <w:lang w:val="en-US"/>
        </w:rPr>
        <w:t xml:space="preserve"> (iii) it caused malnutrition in 89% of the children under the age of 5; </w:t>
      </w:r>
      <w:r w:rsidRPr="004542B5">
        <w:rPr>
          <w:noProof w:val="0"/>
          <w:szCs w:val="20"/>
          <w:lang w:val="en-US"/>
        </w:rPr>
        <w:t xml:space="preserve">(iv) there was an absence of basic services of water and electricity; (v) </w:t>
      </w:r>
      <w:r w:rsidR="00B136EC" w:rsidRPr="004542B5">
        <w:rPr>
          <w:noProof w:val="0"/>
          <w:szCs w:val="20"/>
          <w:lang w:val="en-US"/>
        </w:rPr>
        <w:t>settler</w:t>
      </w:r>
      <w:r w:rsidRPr="004542B5">
        <w:rPr>
          <w:noProof w:val="0"/>
          <w:szCs w:val="20"/>
          <w:lang w:val="en-US"/>
        </w:rPr>
        <w:t xml:space="preserve"> migration produced drastic changes in the social composition </w:t>
      </w:r>
      <w:r w:rsidR="00B136EC" w:rsidRPr="004542B5">
        <w:rPr>
          <w:noProof w:val="0"/>
          <w:szCs w:val="20"/>
          <w:lang w:val="en-US"/>
        </w:rPr>
        <w:t>of</w:t>
      </w:r>
      <w:r w:rsidRPr="004542B5">
        <w:rPr>
          <w:noProof w:val="0"/>
          <w:szCs w:val="20"/>
          <w:lang w:val="en-US"/>
        </w:rPr>
        <w:t xml:space="preserve"> the area, and (vi) deforestation by these settlers. Lastly, the representatives indicated that, bearing in mind the commercial, cultural and spiritual value of the territories </w:t>
      </w:r>
      <w:r w:rsidR="006110CB" w:rsidRPr="004542B5">
        <w:rPr>
          <w:noProof w:val="0"/>
          <w:szCs w:val="20"/>
          <w:lang w:val="en-US"/>
        </w:rPr>
        <w:t>belonging</w:t>
      </w:r>
      <w:r w:rsidRPr="004542B5">
        <w:rPr>
          <w:noProof w:val="0"/>
          <w:szCs w:val="20"/>
          <w:lang w:val="en-US"/>
        </w:rPr>
        <w:t xml:space="preserve"> to the Kuna when they were expropriated by the State, as well as the foregoing consideration</w:t>
      </w:r>
      <w:r w:rsidR="00B136EC" w:rsidRPr="004542B5">
        <w:rPr>
          <w:noProof w:val="0"/>
          <w:szCs w:val="20"/>
          <w:lang w:val="en-US"/>
        </w:rPr>
        <w:t>s</w:t>
      </w:r>
      <w:r w:rsidRPr="004542B5">
        <w:rPr>
          <w:noProof w:val="0"/>
          <w:szCs w:val="20"/>
          <w:lang w:val="en-US"/>
        </w:rPr>
        <w:t xml:space="preserve"> on the </w:t>
      </w:r>
      <w:r w:rsidR="00B136EC" w:rsidRPr="004542B5">
        <w:rPr>
          <w:noProof w:val="0"/>
          <w:szCs w:val="20"/>
          <w:lang w:val="en-US"/>
        </w:rPr>
        <w:t>importance of</w:t>
      </w:r>
      <w:r w:rsidRPr="004542B5">
        <w:rPr>
          <w:noProof w:val="0"/>
          <w:szCs w:val="20"/>
          <w:lang w:val="en-US"/>
        </w:rPr>
        <w:t xml:space="preserve"> their ancestral lands </w:t>
      </w:r>
      <w:r w:rsidR="00B136EC" w:rsidRPr="004542B5">
        <w:rPr>
          <w:noProof w:val="0"/>
          <w:szCs w:val="20"/>
          <w:lang w:val="en-US"/>
        </w:rPr>
        <w:t xml:space="preserve">for these communities </w:t>
      </w:r>
      <w:r w:rsidRPr="004542B5">
        <w:rPr>
          <w:noProof w:val="0"/>
          <w:szCs w:val="20"/>
          <w:lang w:val="en-US"/>
        </w:rPr>
        <w:t>and the consequent adverse impact of the dispossession</w:t>
      </w:r>
      <w:r w:rsidR="00B136EC" w:rsidRPr="004542B5">
        <w:rPr>
          <w:noProof w:val="0"/>
          <w:szCs w:val="20"/>
          <w:lang w:val="en-US"/>
        </w:rPr>
        <w:t xml:space="preserve"> and</w:t>
      </w:r>
      <w:r w:rsidRPr="004542B5">
        <w:rPr>
          <w:noProof w:val="0"/>
          <w:szCs w:val="20"/>
          <w:lang w:val="en-US"/>
        </w:rPr>
        <w:t xml:space="preserve"> eviction and the flooding of those lands,</w:t>
      </w:r>
      <w:r w:rsidR="003C260D" w:rsidRPr="004542B5">
        <w:rPr>
          <w:rStyle w:val="FootnoteReference"/>
          <w:noProof w:val="0"/>
          <w:lang w:val="en-US"/>
        </w:rPr>
        <w:footnoteReference w:id="267"/>
      </w:r>
      <w:r w:rsidRPr="004542B5">
        <w:rPr>
          <w:noProof w:val="0"/>
          <w:szCs w:val="20"/>
          <w:lang w:val="en-US"/>
        </w:rPr>
        <w:t xml:space="preserve"> </w:t>
      </w:r>
      <w:r w:rsidR="00562CBB" w:rsidRPr="004542B5">
        <w:rPr>
          <w:noProof w:val="0"/>
          <w:szCs w:val="20"/>
          <w:lang w:val="en-US"/>
        </w:rPr>
        <w:t>the State</w:t>
      </w:r>
      <w:r w:rsidR="00A41A72" w:rsidRPr="004542B5">
        <w:rPr>
          <w:noProof w:val="0"/>
          <w:szCs w:val="20"/>
          <w:lang w:val="en-US"/>
        </w:rPr>
        <w:t xml:space="preserve"> </w:t>
      </w:r>
      <w:r w:rsidRPr="004542B5">
        <w:rPr>
          <w:noProof w:val="0"/>
          <w:szCs w:val="20"/>
          <w:lang w:val="en-US"/>
        </w:rPr>
        <w:t xml:space="preserve">should pay compensation for </w:t>
      </w:r>
      <w:r w:rsidR="00B902E7" w:rsidRPr="004542B5">
        <w:rPr>
          <w:noProof w:val="0"/>
          <w:szCs w:val="20"/>
          <w:lang w:val="en-US"/>
        </w:rPr>
        <w:t>pecuniary damage</w:t>
      </w:r>
      <w:r w:rsidR="00A41A72" w:rsidRPr="004542B5">
        <w:rPr>
          <w:noProof w:val="0"/>
          <w:szCs w:val="20"/>
          <w:lang w:val="en-US"/>
        </w:rPr>
        <w:t xml:space="preserve"> </w:t>
      </w:r>
      <w:r w:rsidRPr="004542B5">
        <w:rPr>
          <w:noProof w:val="0"/>
          <w:szCs w:val="20"/>
          <w:lang w:val="en-US"/>
        </w:rPr>
        <w:lastRenderedPageBreak/>
        <w:t>amounting to</w:t>
      </w:r>
      <w:r w:rsidR="00A41A72" w:rsidRPr="004542B5">
        <w:rPr>
          <w:noProof w:val="0"/>
          <w:szCs w:val="20"/>
          <w:lang w:val="en-US"/>
        </w:rPr>
        <w:t xml:space="preserve"> </w:t>
      </w:r>
      <w:r w:rsidR="007E7A76" w:rsidRPr="004542B5">
        <w:rPr>
          <w:noProof w:val="0"/>
          <w:szCs w:val="20"/>
          <w:lang w:val="en-US"/>
        </w:rPr>
        <w:t>US$</w:t>
      </w:r>
      <w:r w:rsidR="00A41A72" w:rsidRPr="004542B5">
        <w:rPr>
          <w:noProof w:val="0"/>
          <w:szCs w:val="20"/>
          <w:lang w:val="en-US"/>
        </w:rPr>
        <w:t>53,630,278.44</w:t>
      </w:r>
      <w:r w:rsidR="003C260D" w:rsidRPr="004542B5">
        <w:rPr>
          <w:noProof w:val="0"/>
          <w:szCs w:val="20"/>
          <w:lang w:val="en-US"/>
        </w:rPr>
        <w:t xml:space="preserve"> (</w:t>
      </w:r>
      <w:r w:rsidR="00C20C98" w:rsidRPr="004542B5">
        <w:rPr>
          <w:noProof w:val="0"/>
          <w:szCs w:val="20"/>
          <w:lang w:val="en-US"/>
        </w:rPr>
        <w:t>fifty-three million six hundred and thirty thousand two hundred and seventy-eight United States dollars and forty-four cents</w:t>
      </w:r>
      <w:r w:rsidR="003C260D" w:rsidRPr="004542B5">
        <w:rPr>
          <w:noProof w:val="0"/>
          <w:szCs w:val="20"/>
          <w:lang w:val="en-US"/>
        </w:rPr>
        <w:t>)</w:t>
      </w:r>
      <w:r w:rsidR="00074195" w:rsidRPr="004542B5">
        <w:rPr>
          <w:noProof w:val="0"/>
          <w:szCs w:val="20"/>
          <w:lang w:val="en-US"/>
        </w:rPr>
        <w:t>.</w:t>
      </w:r>
      <w:r w:rsidR="0052636A" w:rsidRPr="004542B5">
        <w:rPr>
          <w:rStyle w:val="FootnoteReference"/>
          <w:noProof w:val="0"/>
          <w:lang w:val="en-US"/>
        </w:rPr>
        <w:footnoteReference w:id="268"/>
      </w:r>
    </w:p>
    <w:p w14:paraId="24CEE4BA" w14:textId="40948782" w:rsidR="00AC026A"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State</w:t>
      </w:r>
      <w:r w:rsidR="007B47B1" w:rsidRPr="004542B5">
        <w:rPr>
          <w:i/>
          <w:noProof w:val="0"/>
          <w:szCs w:val="20"/>
          <w:lang w:val="en-US"/>
        </w:rPr>
        <w:t xml:space="preserve"> </w:t>
      </w:r>
      <w:r w:rsidR="00074195" w:rsidRPr="004542B5">
        <w:rPr>
          <w:noProof w:val="0"/>
          <w:szCs w:val="20"/>
          <w:lang w:val="en-US"/>
        </w:rPr>
        <w:t>di</w:t>
      </w:r>
      <w:r w:rsidR="006110CB" w:rsidRPr="004542B5">
        <w:rPr>
          <w:noProof w:val="0"/>
          <w:szCs w:val="20"/>
          <w:lang w:val="en-US"/>
        </w:rPr>
        <w:t xml:space="preserve">d not </w:t>
      </w:r>
      <w:r w:rsidR="00074195" w:rsidRPr="004542B5">
        <w:rPr>
          <w:noProof w:val="0"/>
          <w:szCs w:val="20"/>
          <w:lang w:val="en-US"/>
        </w:rPr>
        <w:t>present arguments in relation to these requests</w:t>
      </w:r>
      <w:r w:rsidR="007B47B1" w:rsidRPr="004542B5">
        <w:rPr>
          <w:noProof w:val="0"/>
          <w:szCs w:val="20"/>
          <w:lang w:val="en-US"/>
        </w:rPr>
        <w:t>.</w:t>
      </w:r>
    </w:p>
    <w:p w14:paraId="30297A74" w14:textId="1A9A6522" w:rsidR="00AC026A" w:rsidRPr="004542B5" w:rsidRDefault="007B47B1" w:rsidP="00E01664">
      <w:pPr>
        <w:pStyle w:val="ListParagraph"/>
        <w:spacing w:before="240" w:after="240"/>
        <w:ind w:left="1416" w:firstLine="24"/>
        <w:contextualSpacing w:val="0"/>
        <w:outlineLvl w:val="2"/>
        <w:rPr>
          <w:i/>
          <w:noProof w:val="0"/>
          <w:szCs w:val="20"/>
          <w:lang w:val="en-US"/>
        </w:rPr>
      </w:pPr>
      <w:bookmarkStart w:id="266" w:name="_Toc45200907"/>
      <w:r w:rsidRPr="004542B5">
        <w:rPr>
          <w:i/>
          <w:noProof w:val="0"/>
          <w:szCs w:val="20"/>
          <w:lang w:val="en-US"/>
        </w:rPr>
        <w:t xml:space="preserve">C.1.2. </w:t>
      </w:r>
      <w:r w:rsidR="00B902E7" w:rsidRPr="004542B5">
        <w:rPr>
          <w:i/>
          <w:noProof w:val="0"/>
          <w:szCs w:val="20"/>
          <w:lang w:val="en-US"/>
        </w:rPr>
        <w:t>Considerations</w:t>
      </w:r>
      <w:r w:rsidR="008A56D7" w:rsidRPr="004542B5">
        <w:rPr>
          <w:i/>
          <w:noProof w:val="0"/>
          <w:szCs w:val="20"/>
          <w:lang w:val="en-US"/>
        </w:rPr>
        <w:t xml:space="preserve"> of the </w:t>
      </w:r>
      <w:r w:rsidR="00562CBB" w:rsidRPr="004542B5">
        <w:rPr>
          <w:i/>
          <w:noProof w:val="0"/>
          <w:szCs w:val="20"/>
          <w:lang w:val="en-US"/>
        </w:rPr>
        <w:t>Court</w:t>
      </w:r>
      <w:bookmarkEnd w:id="266"/>
    </w:p>
    <w:p w14:paraId="424B8789" w14:textId="1037D67E" w:rsidR="00AC026A" w:rsidRPr="004542B5" w:rsidRDefault="00074195" w:rsidP="00E01664">
      <w:pPr>
        <w:pStyle w:val="ListParagraph"/>
        <w:numPr>
          <w:ilvl w:val="0"/>
          <w:numId w:val="2"/>
        </w:numPr>
        <w:spacing w:before="120" w:after="120"/>
        <w:contextualSpacing w:val="0"/>
        <w:rPr>
          <w:noProof w:val="0"/>
          <w:szCs w:val="20"/>
          <w:lang w:val="en-US"/>
        </w:rPr>
      </w:pPr>
      <w:r w:rsidRPr="004542B5">
        <w:rPr>
          <w:noProof w:val="0"/>
          <w:szCs w:val="20"/>
          <w:lang w:val="en-US"/>
        </w:rPr>
        <w:t>In its case law, t</w:t>
      </w:r>
      <w:r w:rsidR="00562CBB" w:rsidRPr="004542B5">
        <w:rPr>
          <w:noProof w:val="0"/>
          <w:szCs w:val="20"/>
          <w:lang w:val="en-US"/>
        </w:rPr>
        <w:t>he Court</w:t>
      </w:r>
      <w:r w:rsidR="00A41A72" w:rsidRPr="004542B5">
        <w:rPr>
          <w:noProof w:val="0"/>
          <w:szCs w:val="20"/>
          <w:lang w:val="en-US"/>
        </w:rPr>
        <w:t xml:space="preserve"> ha</w:t>
      </w:r>
      <w:r w:rsidRPr="004542B5">
        <w:rPr>
          <w:noProof w:val="0"/>
          <w:szCs w:val="20"/>
          <w:lang w:val="en-US"/>
        </w:rPr>
        <w:t>s developed the concept of</w:t>
      </w:r>
      <w:r w:rsidR="00A41A72" w:rsidRPr="004542B5">
        <w:rPr>
          <w:noProof w:val="0"/>
          <w:szCs w:val="20"/>
          <w:lang w:val="en-US"/>
        </w:rPr>
        <w:t xml:space="preserve"> </w:t>
      </w:r>
      <w:r w:rsidR="00B902E7" w:rsidRPr="004542B5">
        <w:rPr>
          <w:noProof w:val="0"/>
          <w:szCs w:val="20"/>
          <w:lang w:val="en-US"/>
        </w:rPr>
        <w:t>pecuniary damage</w:t>
      </w:r>
      <w:r w:rsidR="00CD2B90" w:rsidRPr="004542B5">
        <w:rPr>
          <w:noProof w:val="0"/>
          <w:szCs w:val="20"/>
          <w:lang w:val="en-US"/>
        </w:rPr>
        <w:t xml:space="preserve"> and </w:t>
      </w:r>
      <w:r w:rsidRPr="004542B5">
        <w:rPr>
          <w:noProof w:val="0"/>
          <w:szCs w:val="20"/>
          <w:lang w:val="en-US"/>
        </w:rPr>
        <w:t>the circumstances in which it should be compensated. It has established that</w:t>
      </w:r>
      <w:r w:rsidR="00A41A72" w:rsidRPr="004542B5">
        <w:rPr>
          <w:noProof w:val="0"/>
          <w:szCs w:val="20"/>
          <w:lang w:val="en-US"/>
        </w:rPr>
        <w:t xml:space="preserve"> </w:t>
      </w:r>
      <w:r w:rsidR="00B902E7" w:rsidRPr="004542B5">
        <w:rPr>
          <w:noProof w:val="0"/>
          <w:szCs w:val="20"/>
          <w:lang w:val="en-US"/>
        </w:rPr>
        <w:t>pecuniary damage</w:t>
      </w:r>
      <w:r w:rsidR="00A41A72" w:rsidRPr="004542B5">
        <w:rPr>
          <w:noProof w:val="0"/>
          <w:szCs w:val="20"/>
          <w:lang w:val="en-US"/>
        </w:rPr>
        <w:t xml:space="preserve"> </w:t>
      </w:r>
      <w:r w:rsidRPr="004542B5">
        <w:rPr>
          <w:noProof w:val="0"/>
          <w:szCs w:val="20"/>
          <w:lang w:val="en-US"/>
        </w:rPr>
        <w:t>entails</w:t>
      </w:r>
      <w:r w:rsidR="00A41A72" w:rsidRPr="004542B5">
        <w:rPr>
          <w:noProof w:val="0"/>
          <w:szCs w:val="20"/>
          <w:lang w:val="en-US"/>
        </w:rPr>
        <w:t xml:space="preserve"> “</w:t>
      </w:r>
      <w:r w:rsidRPr="004542B5">
        <w:rPr>
          <w:noProof w:val="0"/>
          <w:szCs w:val="20"/>
          <w:lang w:val="en-US"/>
        </w:rPr>
        <w:t>the loss of or detriment to the victims’ income, the expenses incurred due to the facts, and the consequences of a pecuniary nature that have a causal nexus with the facts of the case.</w:t>
      </w:r>
      <w:r w:rsidR="00A41A72" w:rsidRPr="004542B5">
        <w:rPr>
          <w:noProof w:val="0"/>
          <w:szCs w:val="20"/>
          <w:lang w:val="en-US"/>
        </w:rPr>
        <w:t>”</w:t>
      </w:r>
      <w:r w:rsidR="0052636A" w:rsidRPr="004542B5">
        <w:rPr>
          <w:rStyle w:val="FootnoteReference"/>
          <w:noProof w:val="0"/>
          <w:lang w:val="en-US"/>
        </w:rPr>
        <w:footnoteReference w:id="269"/>
      </w:r>
      <w:r w:rsidRPr="004542B5">
        <w:rPr>
          <w:noProof w:val="0"/>
          <w:szCs w:val="20"/>
          <w:lang w:val="en-US"/>
        </w:rPr>
        <w:t xml:space="preserve"> In this judgment, in order to take a decision on the claims </w:t>
      </w:r>
      <w:r w:rsidR="00B136EC" w:rsidRPr="004542B5">
        <w:rPr>
          <w:noProof w:val="0"/>
          <w:szCs w:val="20"/>
          <w:lang w:val="en-US"/>
        </w:rPr>
        <w:t>concerning</w:t>
      </w:r>
      <w:r w:rsidRPr="004542B5">
        <w:rPr>
          <w:noProof w:val="0"/>
          <w:szCs w:val="20"/>
          <w:lang w:val="en-US"/>
        </w:rPr>
        <w:t xml:space="preserve"> </w:t>
      </w:r>
      <w:r w:rsidR="00B902E7" w:rsidRPr="004542B5">
        <w:rPr>
          <w:noProof w:val="0"/>
          <w:lang w:val="en-US"/>
        </w:rPr>
        <w:t>pecuniary damage</w:t>
      </w:r>
      <w:r w:rsidR="00A41A72" w:rsidRPr="004542B5">
        <w:rPr>
          <w:noProof w:val="0"/>
          <w:lang w:val="en-US"/>
        </w:rPr>
        <w:t xml:space="preserve">, </w:t>
      </w:r>
      <w:r w:rsidR="00562CBB" w:rsidRPr="004542B5">
        <w:rPr>
          <w:noProof w:val="0"/>
          <w:lang w:val="en-US"/>
        </w:rPr>
        <w:t>the Court</w:t>
      </w:r>
      <w:r w:rsidR="00A41A72" w:rsidRPr="004542B5">
        <w:rPr>
          <w:noProof w:val="0"/>
          <w:lang w:val="en-US"/>
        </w:rPr>
        <w:t xml:space="preserve"> </w:t>
      </w:r>
      <w:r w:rsidRPr="004542B5">
        <w:rPr>
          <w:noProof w:val="0"/>
          <w:lang w:val="en-US"/>
        </w:rPr>
        <w:t>will take into account the body of evidence, its own case law, and the</w:t>
      </w:r>
      <w:r w:rsidR="00A41A72" w:rsidRPr="004542B5">
        <w:rPr>
          <w:noProof w:val="0"/>
          <w:lang w:val="en-US"/>
        </w:rPr>
        <w:t xml:space="preserve"> </w:t>
      </w:r>
      <w:r w:rsidR="00EC434E" w:rsidRPr="004542B5">
        <w:rPr>
          <w:noProof w:val="0"/>
          <w:lang w:val="en-US"/>
        </w:rPr>
        <w:t>arguments</w:t>
      </w:r>
      <w:r w:rsidR="00A41A72" w:rsidRPr="004542B5">
        <w:rPr>
          <w:noProof w:val="0"/>
          <w:lang w:val="en-US"/>
        </w:rPr>
        <w:t xml:space="preserve"> </w:t>
      </w:r>
      <w:r w:rsidR="00B902E7" w:rsidRPr="004542B5">
        <w:rPr>
          <w:noProof w:val="0"/>
          <w:lang w:val="en-US"/>
        </w:rPr>
        <w:t>of the parties</w:t>
      </w:r>
      <w:r w:rsidR="00A41A72" w:rsidRPr="004542B5">
        <w:rPr>
          <w:noProof w:val="0"/>
          <w:lang w:val="en-US"/>
        </w:rPr>
        <w:t>.</w:t>
      </w:r>
    </w:p>
    <w:p w14:paraId="01343630" w14:textId="587181C1" w:rsidR="00074195" w:rsidRPr="004542B5" w:rsidRDefault="00074195" w:rsidP="00DD2C60">
      <w:pPr>
        <w:pStyle w:val="ListParagraph"/>
        <w:numPr>
          <w:ilvl w:val="0"/>
          <w:numId w:val="2"/>
        </w:numPr>
        <w:spacing w:before="120" w:after="120"/>
        <w:contextualSpacing w:val="0"/>
        <w:rPr>
          <w:noProof w:val="0"/>
          <w:szCs w:val="20"/>
          <w:lang w:val="en-US"/>
        </w:rPr>
      </w:pPr>
      <w:r w:rsidRPr="004542B5">
        <w:rPr>
          <w:noProof w:val="0"/>
          <w:szCs w:val="20"/>
          <w:lang w:val="en-US"/>
        </w:rPr>
        <w:t xml:space="preserve">As already indicated, the Court will not rule on </w:t>
      </w:r>
      <w:r w:rsidR="00B136EC" w:rsidRPr="004542B5">
        <w:rPr>
          <w:noProof w:val="0"/>
          <w:szCs w:val="20"/>
          <w:lang w:val="en-US"/>
        </w:rPr>
        <w:t>“related”</w:t>
      </w:r>
      <w:r w:rsidRPr="004542B5">
        <w:rPr>
          <w:noProof w:val="0"/>
          <w:szCs w:val="20"/>
          <w:lang w:val="en-US"/>
        </w:rPr>
        <w:t xml:space="preserve"> reparations, namely those that can only be appreciated based on an examination of the facts that resulted in the harm and </w:t>
      </w:r>
      <w:r w:rsidR="00B136EC" w:rsidRPr="004542B5">
        <w:rPr>
          <w:noProof w:val="0"/>
          <w:szCs w:val="20"/>
          <w:lang w:val="en-US"/>
        </w:rPr>
        <w:t>its</w:t>
      </w:r>
      <w:r w:rsidRPr="004542B5">
        <w:rPr>
          <w:noProof w:val="0"/>
          <w:szCs w:val="20"/>
          <w:lang w:val="en-US"/>
        </w:rPr>
        <w:t xml:space="preserve"> effects, which are excluded </w:t>
      </w:r>
      <w:r w:rsidR="00B136EC" w:rsidRPr="004542B5">
        <w:rPr>
          <w:noProof w:val="0"/>
          <w:szCs w:val="20"/>
          <w:lang w:val="en-US"/>
        </w:rPr>
        <w:t>owing to</w:t>
      </w:r>
      <w:r w:rsidRPr="004542B5">
        <w:rPr>
          <w:noProof w:val="0"/>
          <w:szCs w:val="20"/>
          <w:lang w:val="en-US"/>
        </w:rPr>
        <w:t xml:space="preserve"> the Court’s temporal </w:t>
      </w:r>
      <w:r w:rsidR="0020681C" w:rsidRPr="004542B5">
        <w:rPr>
          <w:noProof w:val="0"/>
          <w:szCs w:val="20"/>
          <w:lang w:val="en-US"/>
        </w:rPr>
        <w:t>jurisdiction</w:t>
      </w:r>
      <w:r w:rsidRPr="004542B5">
        <w:rPr>
          <w:noProof w:val="0"/>
          <w:szCs w:val="20"/>
          <w:lang w:val="en-US"/>
        </w:rPr>
        <w:t xml:space="preserve"> (</w:t>
      </w:r>
      <w:r w:rsidRPr="004542B5">
        <w:rPr>
          <w:i/>
          <w:noProof w:val="0"/>
          <w:szCs w:val="20"/>
          <w:lang w:val="en-US"/>
        </w:rPr>
        <w:t>supra</w:t>
      </w:r>
      <w:r w:rsidRPr="004542B5">
        <w:rPr>
          <w:noProof w:val="0"/>
          <w:szCs w:val="20"/>
          <w:lang w:val="en-US"/>
        </w:rPr>
        <w:t xml:space="preserve"> para. 40). Consequently, the Court will not rule on the pecuniary measures of reparation requested by the  Commission and the representatives in relation to the removal and resettlement, and the flooding of the ancestral territories of the indigenous peoples, or on the</w:t>
      </w:r>
      <w:r w:rsidR="00B26D70" w:rsidRPr="004542B5">
        <w:rPr>
          <w:noProof w:val="0"/>
          <w:szCs w:val="20"/>
          <w:lang w:val="en-US"/>
        </w:rPr>
        <w:t xml:space="preserve"> State’s</w:t>
      </w:r>
      <w:r w:rsidRPr="004542B5">
        <w:rPr>
          <w:noProof w:val="0"/>
          <w:szCs w:val="20"/>
          <w:lang w:val="en-US"/>
        </w:rPr>
        <w:t xml:space="preserve"> supposed failure to make certain compensation payments. Furthermore, the Court notes that the representatives failed to make a clear distinction regarding which of the reparations requested were specifically related to the different violations alleged in this case.</w:t>
      </w:r>
    </w:p>
    <w:p w14:paraId="5758D2D4" w14:textId="242A04D1" w:rsidR="00074195" w:rsidRPr="004542B5" w:rsidRDefault="00074195" w:rsidP="00074195">
      <w:pPr>
        <w:pStyle w:val="ListParagraph"/>
        <w:numPr>
          <w:ilvl w:val="0"/>
          <w:numId w:val="2"/>
        </w:numPr>
        <w:spacing w:before="120" w:after="120"/>
        <w:contextualSpacing w:val="0"/>
        <w:rPr>
          <w:b/>
          <w:noProof w:val="0"/>
          <w:szCs w:val="20"/>
          <w:lang w:val="en-US"/>
        </w:rPr>
      </w:pPr>
      <w:r w:rsidRPr="004542B5">
        <w:rPr>
          <w:noProof w:val="0"/>
          <w:lang w:val="en-US"/>
        </w:rPr>
        <w:t>Bearing in mind that</w:t>
      </w:r>
      <w:r w:rsidR="007B47B1" w:rsidRPr="004542B5">
        <w:rPr>
          <w:noProof w:val="0"/>
          <w:lang w:val="en-US"/>
        </w:rPr>
        <w:t xml:space="preserve"> </w:t>
      </w:r>
      <w:r w:rsidR="00562CBB" w:rsidRPr="004542B5">
        <w:rPr>
          <w:noProof w:val="0"/>
          <w:lang w:val="en-US"/>
        </w:rPr>
        <w:t>the representatives</w:t>
      </w:r>
      <w:r w:rsidR="007B47B1" w:rsidRPr="004542B5">
        <w:rPr>
          <w:noProof w:val="0"/>
          <w:lang w:val="en-US"/>
        </w:rPr>
        <w:t xml:space="preserve"> </w:t>
      </w:r>
      <w:r w:rsidRPr="004542B5">
        <w:rPr>
          <w:noProof w:val="0"/>
          <w:lang w:val="en-US"/>
        </w:rPr>
        <w:t>did not provide sufficient evidence to determine the exact amount</w:t>
      </w:r>
      <w:r w:rsidR="001221D2" w:rsidRPr="004542B5">
        <w:rPr>
          <w:noProof w:val="0"/>
          <w:lang w:val="en-US"/>
        </w:rPr>
        <w:t xml:space="preserve"> related to each of the violations declared, the Court considers that the prejudices suffered by the victims </w:t>
      </w:r>
      <w:r w:rsidR="00B26D70" w:rsidRPr="004542B5">
        <w:rPr>
          <w:noProof w:val="0"/>
          <w:lang w:val="en-US"/>
        </w:rPr>
        <w:t>involved</w:t>
      </w:r>
      <w:r w:rsidR="001221D2" w:rsidRPr="004542B5">
        <w:rPr>
          <w:noProof w:val="0"/>
          <w:lang w:val="en-US"/>
        </w:rPr>
        <w:t xml:space="preserve"> loss of earning because the communities were unable to obtain full economic benefit from their lands owing to the failure to demarcate, delimit and title their territories. </w:t>
      </w:r>
      <w:r w:rsidR="00B26D70" w:rsidRPr="004542B5">
        <w:rPr>
          <w:noProof w:val="0"/>
          <w:lang w:val="en-US"/>
        </w:rPr>
        <w:t>Moreover</w:t>
      </w:r>
      <w:r w:rsidR="001221D2" w:rsidRPr="004542B5">
        <w:rPr>
          <w:noProof w:val="0"/>
          <w:lang w:val="en-US"/>
        </w:rPr>
        <w:t>, the damage caused to the territories of the indigenous communities by third party intruders must be repaired.</w:t>
      </w:r>
    </w:p>
    <w:p w14:paraId="56D12810" w14:textId="115961DD" w:rsidR="00FB68DE" w:rsidRPr="004542B5" w:rsidRDefault="001221D2" w:rsidP="001221D2">
      <w:pPr>
        <w:pStyle w:val="ListParagraph"/>
        <w:numPr>
          <w:ilvl w:val="0"/>
          <w:numId w:val="2"/>
        </w:numPr>
        <w:spacing w:before="120" w:after="120"/>
        <w:contextualSpacing w:val="0"/>
        <w:rPr>
          <w:b/>
          <w:noProof w:val="0"/>
          <w:szCs w:val="20"/>
          <w:lang w:val="en-US"/>
        </w:rPr>
      </w:pPr>
      <w:r w:rsidRPr="004542B5">
        <w:rPr>
          <w:noProof w:val="0"/>
          <w:lang w:val="en-US"/>
        </w:rPr>
        <w:t>The</w:t>
      </w:r>
      <w:r w:rsidR="00562CBB" w:rsidRPr="004542B5">
        <w:rPr>
          <w:noProof w:val="0"/>
          <w:lang w:val="en-US"/>
        </w:rPr>
        <w:t xml:space="preserve"> Court</w:t>
      </w:r>
      <w:r w:rsidR="007B47B1" w:rsidRPr="004542B5">
        <w:rPr>
          <w:noProof w:val="0"/>
          <w:lang w:val="en-US"/>
        </w:rPr>
        <w:t xml:space="preserve"> </w:t>
      </w:r>
      <w:r w:rsidRPr="004542B5">
        <w:rPr>
          <w:noProof w:val="0"/>
          <w:lang w:val="en-US"/>
        </w:rPr>
        <w:t xml:space="preserve">will therefore </w:t>
      </w:r>
      <w:r w:rsidR="007B47B1" w:rsidRPr="004542B5">
        <w:rPr>
          <w:noProof w:val="0"/>
          <w:lang w:val="en-US"/>
        </w:rPr>
        <w:t>determin</w:t>
      </w:r>
      <w:r w:rsidRPr="004542B5">
        <w:rPr>
          <w:noProof w:val="0"/>
          <w:lang w:val="en-US"/>
        </w:rPr>
        <w:t xml:space="preserve">e compensation for the said pecuniary damage based on the equity principle. </w:t>
      </w:r>
      <w:r w:rsidR="00B26D70" w:rsidRPr="004542B5">
        <w:rPr>
          <w:noProof w:val="0"/>
          <w:lang w:val="en-US"/>
        </w:rPr>
        <w:t>Accordingly</w:t>
      </w:r>
      <w:r w:rsidRPr="004542B5">
        <w:rPr>
          <w:noProof w:val="0"/>
          <w:lang w:val="en-US"/>
        </w:rPr>
        <w:t xml:space="preserve">, the Court establishes a total compensation of </w:t>
      </w:r>
      <w:r w:rsidR="007E7A76" w:rsidRPr="004542B5">
        <w:rPr>
          <w:noProof w:val="0"/>
          <w:szCs w:val="20"/>
          <w:lang w:val="en-US"/>
        </w:rPr>
        <w:t>US$</w:t>
      </w:r>
      <w:r w:rsidR="00A41A72" w:rsidRPr="004542B5">
        <w:rPr>
          <w:noProof w:val="0"/>
          <w:szCs w:val="20"/>
          <w:lang w:val="en-US"/>
        </w:rPr>
        <w:t>250</w:t>
      </w:r>
      <w:r w:rsidR="00C20C98" w:rsidRPr="004542B5">
        <w:rPr>
          <w:noProof w:val="0"/>
          <w:szCs w:val="20"/>
          <w:lang w:val="en-US"/>
        </w:rPr>
        <w:t>,</w:t>
      </w:r>
      <w:r w:rsidR="00A41A72" w:rsidRPr="004542B5">
        <w:rPr>
          <w:noProof w:val="0"/>
          <w:szCs w:val="20"/>
          <w:lang w:val="en-US"/>
        </w:rPr>
        <w:t>000</w:t>
      </w:r>
      <w:r w:rsidR="00C20C98" w:rsidRPr="004542B5">
        <w:rPr>
          <w:noProof w:val="0"/>
          <w:szCs w:val="20"/>
          <w:lang w:val="en-US"/>
        </w:rPr>
        <w:t>.00</w:t>
      </w:r>
      <w:r w:rsidR="00A41A72" w:rsidRPr="004542B5">
        <w:rPr>
          <w:noProof w:val="0"/>
          <w:szCs w:val="20"/>
          <w:lang w:val="en-US"/>
        </w:rPr>
        <w:t xml:space="preserve"> (</w:t>
      </w:r>
      <w:r w:rsidR="00C20C98" w:rsidRPr="004542B5">
        <w:rPr>
          <w:noProof w:val="0"/>
          <w:szCs w:val="20"/>
          <w:lang w:val="en-US"/>
        </w:rPr>
        <w:t>two hundred and fifty</w:t>
      </w:r>
      <w:r w:rsidR="00A41A72" w:rsidRPr="004542B5">
        <w:rPr>
          <w:noProof w:val="0"/>
          <w:szCs w:val="20"/>
          <w:lang w:val="en-US"/>
        </w:rPr>
        <w:t xml:space="preserve"> </w:t>
      </w:r>
      <w:r w:rsidR="007E7A76" w:rsidRPr="004542B5">
        <w:rPr>
          <w:noProof w:val="0"/>
          <w:szCs w:val="20"/>
          <w:lang w:val="en-US"/>
        </w:rPr>
        <w:t>thousand United States dollars</w:t>
      </w:r>
      <w:r w:rsidR="00A41A72" w:rsidRPr="004542B5">
        <w:rPr>
          <w:noProof w:val="0"/>
          <w:szCs w:val="20"/>
          <w:lang w:val="en-US"/>
        </w:rPr>
        <w:t>)</w:t>
      </w:r>
      <w:r w:rsidRPr="004542B5">
        <w:rPr>
          <w:noProof w:val="0"/>
          <w:szCs w:val="20"/>
          <w:lang w:val="en-US"/>
        </w:rPr>
        <w:t xml:space="preserve"> for the concept of </w:t>
      </w:r>
      <w:r w:rsidR="00B902E7" w:rsidRPr="004542B5">
        <w:rPr>
          <w:noProof w:val="0"/>
          <w:szCs w:val="20"/>
          <w:lang w:val="en-US"/>
        </w:rPr>
        <w:t>pecuniary damage</w:t>
      </w:r>
      <w:r w:rsidR="00A41A72" w:rsidRPr="004542B5">
        <w:rPr>
          <w:noProof w:val="0"/>
          <w:szCs w:val="20"/>
          <w:lang w:val="en-US"/>
        </w:rPr>
        <w:t xml:space="preserve"> </w:t>
      </w:r>
      <w:r w:rsidRPr="004542B5">
        <w:rPr>
          <w:noProof w:val="0"/>
          <w:szCs w:val="20"/>
          <w:lang w:val="en-US"/>
        </w:rPr>
        <w:t>for the</w:t>
      </w:r>
      <w:r w:rsidR="00A41A72" w:rsidRPr="004542B5">
        <w:rPr>
          <w:noProof w:val="0"/>
          <w:szCs w:val="20"/>
          <w:lang w:val="en-US"/>
        </w:rPr>
        <w:t xml:space="preserve"> Ipetí</w:t>
      </w:r>
      <w:r w:rsidR="00CD2B90" w:rsidRPr="004542B5">
        <w:rPr>
          <w:noProof w:val="0"/>
          <w:szCs w:val="20"/>
          <w:lang w:val="en-US"/>
        </w:rPr>
        <w:t xml:space="preserve"> and </w:t>
      </w:r>
      <w:r w:rsidR="00A41A72" w:rsidRPr="004542B5">
        <w:rPr>
          <w:noProof w:val="0"/>
          <w:szCs w:val="20"/>
          <w:lang w:val="en-US"/>
        </w:rPr>
        <w:t>Piriatí</w:t>
      </w:r>
      <w:r w:rsidRPr="004542B5">
        <w:rPr>
          <w:noProof w:val="0"/>
          <w:szCs w:val="20"/>
          <w:lang w:val="en-US"/>
        </w:rPr>
        <w:t xml:space="preserve"> Emberá communities</w:t>
      </w:r>
      <w:r w:rsidR="00A41A72" w:rsidRPr="004542B5">
        <w:rPr>
          <w:noProof w:val="0"/>
          <w:szCs w:val="20"/>
          <w:lang w:val="en-US"/>
        </w:rPr>
        <w:t>,</w:t>
      </w:r>
      <w:r w:rsidR="00CD2B90" w:rsidRPr="004542B5">
        <w:rPr>
          <w:noProof w:val="0"/>
          <w:szCs w:val="20"/>
          <w:lang w:val="en-US"/>
        </w:rPr>
        <w:t xml:space="preserve"> and </w:t>
      </w:r>
      <w:r w:rsidR="007E7A76" w:rsidRPr="004542B5">
        <w:rPr>
          <w:noProof w:val="0"/>
          <w:szCs w:val="20"/>
          <w:lang w:val="en-US"/>
        </w:rPr>
        <w:t>US$</w:t>
      </w:r>
      <w:r w:rsidR="00A41A72" w:rsidRPr="004542B5">
        <w:rPr>
          <w:noProof w:val="0"/>
          <w:szCs w:val="20"/>
          <w:lang w:val="en-US"/>
        </w:rPr>
        <w:t>1</w:t>
      </w:r>
      <w:r w:rsidR="00C20C98" w:rsidRPr="004542B5">
        <w:rPr>
          <w:noProof w:val="0"/>
          <w:szCs w:val="20"/>
          <w:lang w:val="en-US"/>
        </w:rPr>
        <w:t>,</w:t>
      </w:r>
      <w:r w:rsidR="00A41A72" w:rsidRPr="004542B5">
        <w:rPr>
          <w:noProof w:val="0"/>
          <w:szCs w:val="20"/>
          <w:lang w:val="en-US"/>
        </w:rPr>
        <w:t>000</w:t>
      </w:r>
      <w:r w:rsidR="005C4449" w:rsidRPr="004542B5">
        <w:rPr>
          <w:noProof w:val="0"/>
          <w:szCs w:val="20"/>
          <w:lang w:val="en-US"/>
        </w:rPr>
        <w:t>,</w:t>
      </w:r>
      <w:r w:rsidR="00A41A72" w:rsidRPr="004542B5">
        <w:rPr>
          <w:noProof w:val="0"/>
          <w:szCs w:val="20"/>
          <w:lang w:val="en-US"/>
        </w:rPr>
        <w:t>000</w:t>
      </w:r>
      <w:r w:rsidR="00C20C98" w:rsidRPr="004542B5">
        <w:rPr>
          <w:noProof w:val="0"/>
          <w:szCs w:val="20"/>
          <w:lang w:val="en-US"/>
        </w:rPr>
        <w:t>.00</w:t>
      </w:r>
      <w:r w:rsidR="00A41A72" w:rsidRPr="004542B5">
        <w:rPr>
          <w:noProof w:val="0"/>
          <w:szCs w:val="20"/>
          <w:lang w:val="en-US"/>
        </w:rPr>
        <w:t xml:space="preserve"> (</w:t>
      </w:r>
      <w:r w:rsidR="00C20C98" w:rsidRPr="004542B5">
        <w:rPr>
          <w:noProof w:val="0"/>
          <w:szCs w:val="20"/>
          <w:lang w:val="en-US"/>
        </w:rPr>
        <w:t>one million</w:t>
      </w:r>
      <w:r w:rsidR="00A41A72" w:rsidRPr="004542B5">
        <w:rPr>
          <w:noProof w:val="0"/>
          <w:szCs w:val="20"/>
          <w:lang w:val="en-US"/>
        </w:rPr>
        <w:t xml:space="preserve"> </w:t>
      </w:r>
      <w:r w:rsidR="007E7A76" w:rsidRPr="004542B5">
        <w:rPr>
          <w:noProof w:val="0"/>
          <w:szCs w:val="20"/>
          <w:lang w:val="en-US"/>
        </w:rPr>
        <w:t>United States dollars</w:t>
      </w:r>
      <w:r w:rsidR="00A41A72" w:rsidRPr="004542B5">
        <w:rPr>
          <w:noProof w:val="0"/>
          <w:szCs w:val="20"/>
          <w:lang w:val="en-US"/>
        </w:rPr>
        <w:t>)</w:t>
      </w:r>
      <w:r w:rsidR="00D72EB6" w:rsidRPr="004542B5">
        <w:rPr>
          <w:noProof w:val="0"/>
          <w:szCs w:val="20"/>
          <w:lang w:val="en-US"/>
        </w:rPr>
        <w:t xml:space="preserve"> </w:t>
      </w:r>
      <w:r w:rsidRPr="004542B5">
        <w:rPr>
          <w:noProof w:val="0"/>
          <w:szCs w:val="20"/>
          <w:lang w:val="en-US"/>
        </w:rPr>
        <w:t>for the</w:t>
      </w:r>
      <w:r w:rsidR="0099789F" w:rsidRPr="004542B5">
        <w:rPr>
          <w:noProof w:val="0"/>
          <w:szCs w:val="20"/>
          <w:lang w:val="en-US"/>
        </w:rPr>
        <w:t xml:space="preserve"> </w:t>
      </w:r>
      <w:r w:rsidR="002D29AE" w:rsidRPr="004542B5">
        <w:rPr>
          <w:noProof w:val="0"/>
          <w:szCs w:val="20"/>
          <w:lang w:val="en-US"/>
        </w:rPr>
        <w:t>Kuna people of</w:t>
      </w:r>
      <w:r w:rsidR="0099789F" w:rsidRPr="004542B5">
        <w:rPr>
          <w:noProof w:val="0"/>
          <w:szCs w:val="20"/>
          <w:lang w:val="en-US"/>
        </w:rPr>
        <w:t xml:space="preserve"> Madungand</w:t>
      </w:r>
      <w:r w:rsidR="00D72EB6" w:rsidRPr="004542B5">
        <w:rPr>
          <w:noProof w:val="0"/>
          <w:szCs w:val="20"/>
          <w:lang w:val="en-US"/>
        </w:rPr>
        <w:t>í</w:t>
      </w:r>
      <w:r w:rsidR="00A41A72" w:rsidRPr="004542B5">
        <w:rPr>
          <w:noProof w:val="0"/>
          <w:szCs w:val="20"/>
          <w:lang w:val="en-US"/>
        </w:rPr>
        <w:t xml:space="preserve">, </w:t>
      </w:r>
      <w:r w:rsidRPr="004542B5">
        <w:rPr>
          <w:noProof w:val="0"/>
          <w:szCs w:val="20"/>
          <w:lang w:val="en-US"/>
        </w:rPr>
        <w:t xml:space="preserve">which shall be delivered to </w:t>
      </w:r>
      <w:r w:rsidR="00562CBB" w:rsidRPr="004542B5">
        <w:rPr>
          <w:noProof w:val="0"/>
          <w:szCs w:val="20"/>
          <w:lang w:val="en-US"/>
        </w:rPr>
        <w:t>the representatives</w:t>
      </w:r>
      <w:r w:rsidR="00D72EB6" w:rsidRPr="004542B5">
        <w:rPr>
          <w:noProof w:val="0"/>
          <w:szCs w:val="20"/>
          <w:lang w:val="en-US"/>
        </w:rPr>
        <w:t xml:space="preserve"> </w:t>
      </w:r>
      <w:r w:rsidRPr="004542B5">
        <w:rPr>
          <w:noProof w:val="0"/>
          <w:szCs w:val="20"/>
          <w:lang w:val="en-US"/>
        </w:rPr>
        <w:t xml:space="preserve">of the respective indigenous communities within one year of notification </w:t>
      </w:r>
      <w:r w:rsidR="00133200" w:rsidRPr="004542B5">
        <w:rPr>
          <w:noProof w:val="0"/>
          <w:szCs w:val="20"/>
          <w:lang w:val="en-US"/>
        </w:rPr>
        <w:t>of this judgment</w:t>
      </w:r>
      <w:r w:rsidRPr="004542B5">
        <w:rPr>
          <w:noProof w:val="0"/>
          <w:szCs w:val="20"/>
          <w:lang w:val="en-US"/>
        </w:rPr>
        <w:t xml:space="preserve"> so that they may invest the money as decided by the said peoples, in accordance with their own decision-making mechanisms and institutions</w:t>
      </w:r>
      <w:r w:rsidR="00A41A72" w:rsidRPr="004542B5">
        <w:rPr>
          <w:noProof w:val="0"/>
          <w:szCs w:val="20"/>
          <w:lang w:val="en-US"/>
        </w:rPr>
        <w:t>.</w:t>
      </w:r>
      <w:r w:rsidR="00B07C65" w:rsidRPr="004542B5">
        <w:rPr>
          <w:b/>
          <w:noProof w:val="0"/>
          <w:szCs w:val="20"/>
          <w:lang w:val="en-US"/>
        </w:rPr>
        <w:t xml:space="preserve"> </w:t>
      </w:r>
      <w:r w:rsidR="00A41A72" w:rsidRPr="004542B5">
        <w:rPr>
          <w:noProof w:val="0"/>
          <w:szCs w:val="20"/>
          <w:lang w:val="en-US"/>
        </w:rPr>
        <w:t xml:space="preserve"> </w:t>
      </w:r>
    </w:p>
    <w:p w14:paraId="30FADC09" w14:textId="5C6FA2F6" w:rsidR="00AC026A" w:rsidRPr="004542B5" w:rsidRDefault="007B47B1" w:rsidP="00E01664">
      <w:pPr>
        <w:pStyle w:val="ListParagraph"/>
        <w:spacing w:before="240" w:after="240"/>
        <w:ind w:left="0" w:firstLine="720"/>
        <w:contextualSpacing w:val="0"/>
        <w:outlineLvl w:val="2"/>
        <w:rPr>
          <w:i/>
          <w:noProof w:val="0"/>
          <w:szCs w:val="20"/>
          <w:lang w:val="en-US"/>
        </w:rPr>
      </w:pPr>
      <w:bookmarkStart w:id="267" w:name="_Toc45200908"/>
      <w:r w:rsidRPr="004542B5">
        <w:rPr>
          <w:i/>
          <w:noProof w:val="0"/>
          <w:szCs w:val="20"/>
          <w:lang w:val="en-US"/>
        </w:rPr>
        <w:t xml:space="preserve">C.2. </w:t>
      </w:r>
      <w:r w:rsidR="00B902E7" w:rsidRPr="004542B5">
        <w:rPr>
          <w:i/>
          <w:noProof w:val="0"/>
          <w:szCs w:val="20"/>
          <w:lang w:val="en-US"/>
        </w:rPr>
        <w:t>Non-pecuniary damage</w:t>
      </w:r>
      <w:bookmarkEnd w:id="267"/>
    </w:p>
    <w:p w14:paraId="22D8002A" w14:textId="66999595" w:rsidR="00AC026A" w:rsidRPr="004542B5" w:rsidRDefault="007B47B1" w:rsidP="00E01664">
      <w:pPr>
        <w:pStyle w:val="ListParagraph"/>
        <w:spacing w:before="240" w:after="240"/>
        <w:ind w:left="1416" w:firstLine="24"/>
        <w:contextualSpacing w:val="0"/>
        <w:rPr>
          <w:i/>
          <w:noProof w:val="0"/>
          <w:szCs w:val="20"/>
          <w:lang w:val="en-US"/>
        </w:rPr>
      </w:pPr>
      <w:r w:rsidRPr="004542B5">
        <w:rPr>
          <w:i/>
          <w:noProof w:val="0"/>
          <w:szCs w:val="20"/>
          <w:lang w:val="en-US"/>
        </w:rPr>
        <w:t>C.2.1.</w:t>
      </w:r>
      <w:r w:rsidRPr="004542B5">
        <w:rPr>
          <w:i/>
          <w:noProof w:val="0"/>
          <w:szCs w:val="20"/>
          <w:lang w:val="en-US"/>
        </w:rPr>
        <w:tab/>
      </w:r>
      <w:r w:rsidR="00EC434E" w:rsidRPr="004542B5">
        <w:rPr>
          <w:i/>
          <w:noProof w:val="0"/>
          <w:szCs w:val="20"/>
          <w:lang w:val="en-US"/>
        </w:rPr>
        <w:t>Arguments</w:t>
      </w:r>
      <w:r w:rsidR="008A56D7" w:rsidRPr="004542B5">
        <w:rPr>
          <w:i/>
          <w:noProof w:val="0"/>
          <w:szCs w:val="20"/>
          <w:lang w:val="en-US"/>
        </w:rPr>
        <w:t xml:space="preserve"> of the </w:t>
      </w:r>
      <w:r w:rsidR="00562CBB" w:rsidRPr="004542B5">
        <w:rPr>
          <w:i/>
          <w:noProof w:val="0"/>
          <w:szCs w:val="20"/>
          <w:lang w:val="en-US"/>
        </w:rPr>
        <w:t>Commission</w:t>
      </w:r>
      <w:r w:rsidR="00CD2B90" w:rsidRPr="004542B5">
        <w:rPr>
          <w:i/>
          <w:noProof w:val="0"/>
          <w:szCs w:val="20"/>
          <w:lang w:val="en-US"/>
        </w:rPr>
        <w:t xml:space="preserve"> and </w:t>
      </w:r>
      <w:r w:rsidR="00B902E7" w:rsidRPr="004542B5">
        <w:rPr>
          <w:i/>
          <w:noProof w:val="0"/>
          <w:szCs w:val="20"/>
          <w:lang w:val="en-US"/>
        </w:rPr>
        <w:t>of the parties</w:t>
      </w:r>
    </w:p>
    <w:p w14:paraId="023DB16C" w14:textId="3F9CA0BB" w:rsidR="004E6120" w:rsidRPr="004542B5" w:rsidRDefault="00562CBB" w:rsidP="00E01664">
      <w:pPr>
        <w:pStyle w:val="ListParagraph"/>
        <w:numPr>
          <w:ilvl w:val="0"/>
          <w:numId w:val="2"/>
        </w:numPr>
        <w:spacing w:before="120" w:after="120"/>
        <w:contextualSpacing w:val="0"/>
        <w:rPr>
          <w:noProof w:val="0"/>
          <w:szCs w:val="20"/>
          <w:lang w:val="en-US"/>
        </w:rPr>
      </w:pPr>
      <w:r w:rsidRPr="004542B5">
        <w:rPr>
          <w:noProof w:val="0"/>
          <w:lang w:val="en-US"/>
        </w:rPr>
        <w:t>The Commission</w:t>
      </w:r>
      <w:r w:rsidR="00A41A72" w:rsidRPr="004542B5">
        <w:rPr>
          <w:noProof w:val="0"/>
          <w:lang w:val="en-US"/>
        </w:rPr>
        <w:t xml:space="preserve"> </w:t>
      </w:r>
      <w:r w:rsidR="004E6120" w:rsidRPr="004542B5">
        <w:rPr>
          <w:noProof w:val="0"/>
          <w:lang w:val="en-US"/>
        </w:rPr>
        <w:t xml:space="preserve">asked the Court to order the State to make reparation, individually and collectively, for the consequences of the human rights violations determined in the Merits </w:t>
      </w:r>
      <w:r w:rsidR="004E6120" w:rsidRPr="004542B5">
        <w:rPr>
          <w:noProof w:val="0"/>
          <w:lang w:val="en-US"/>
        </w:rPr>
        <w:lastRenderedPageBreak/>
        <w:t>Report. In particular, it asked that the State re</w:t>
      </w:r>
      <w:r w:rsidR="00B26D70" w:rsidRPr="004542B5">
        <w:rPr>
          <w:noProof w:val="0"/>
          <w:lang w:val="en-US"/>
        </w:rPr>
        <w:t>dress</w:t>
      </w:r>
      <w:r w:rsidR="004E6120" w:rsidRPr="004542B5">
        <w:rPr>
          <w:noProof w:val="0"/>
          <w:lang w:val="en-US"/>
        </w:rPr>
        <w:t xml:space="preserve"> the lack of protection of the ancestral territories of the two peoples, the lack of an effective and prompt response by the authorities, and the discriminatory treatment to which the said peoples were subjected. It added that the dispossession of the ancestral territories entailed the loss of sacred places, forests, dwellings, crops, animals</w:t>
      </w:r>
      <w:r w:rsidR="00B26D70" w:rsidRPr="004542B5">
        <w:rPr>
          <w:noProof w:val="0"/>
          <w:lang w:val="en-US"/>
        </w:rPr>
        <w:t xml:space="preserve"> and</w:t>
      </w:r>
      <w:r w:rsidR="004E6120" w:rsidRPr="004542B5">
        <w:rPr>
          <w:noProof w:val="0"/>
          <w:lang w:val="en-US"/>
        </w:rPr>
        <w:t xml:space="preserve"> </w:t>
      </w:r>
      <w:r w:rsidR="006110CB" w:rsidRPr="004542B5">
        <w:rPr>
          <w:noProof w:val="0"/>
          <w:lang w:val="en-US"/>
        </w:rPr>
        <w:t>medicinal</w:t>
      </w:r>
      <w:r w:rsidR="004E6120" w:rsidRPr="004542B5">
        <w:rPr>
          <w:noProof w:val="0"/>
          <w:lang w:val="en-US"/>
        </w:rPr>
        <w:t xml:space="preserve"> plants that had more than just material value, but </w:t>
      </w:r>
      <w:r w:rsidR="00B26D70" w:rsidRPr="004542B5">
        <w:rPr>
          <w:noProof w:val="0"/>
          <w:lang w:val="en-US"/>
        </w:rPr>
        <w:t>were</w:t>
      </w:r>
      <w:r w:rsidR="004E6120" w:rsidRPr="004542B5">
        <w:rPr>
          <w:noProof w:val="0"/>
          <w:lang w:val="en-US"/>
        </w:rPr>
        <w:t xml:space="preserve"> an essential element of the cultural identity and traditional way of life, so that</w:t>
      </w:r>
      <w:r w:rsidR="00B26D70" w:rsidRPr="004542B5">
        <w:rPr>
          <w:noProof w:val="0"/>
          <w:lang w:val="en-US"/>
        </w:rPr>
        <w:t xml:space="preserve"> </w:t>
      </w:r>
      <w:r w:rsidR="004E6120" w:rsidRPr="004542B5">
        <w:rPr>
          <w:noProof w:val="0"/>
          <w:lang w:val="en-US"/>
        </w:rPr>
        <w:t xml:space="preserve">– in addition to material losses – </w:t>
      </w:r>
      <w:r w:rsidR="00B26D70" w:rsidRPr="004542B5">
        <w:rPr>
          <w:noProof w:val="0"/>
          <w:lang w:val="en-US"/>
        </w:rPr>
        <w:t>this constituted</w:t>
      </w:r>
      <w:r w:rsidR="004E6120" w:rsidRPr="004542B5">
        <w:rPr>
          <w:noProof w:val="0"/>
          <w:lang w:val="en-US"/>
        </w:rPr>
        <w:t xml:space="preserve"> cultural and spiritual losses that could never be recovered, and that should be compensated.</w:t>
      </w:r>
    </w:p>
    <w:p w14:paraId="129EC629" w14:textId="5DA018FA" w:rsidR="004E6120"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representatives</w:t>
      </w:r>
      <w:r w:rsidR="00A41A72" w:rsidRPr="004542B5">
        <w:rPr>
          <w:i/>
          <w:noProof w:val="0"/>
          <w:szCs w:val="20"/>
          <w:lang w:val="en-US"/>
        </w:rPr>
        <w:t xml:space="preserve"> </w:t>
      </w:r>
      <w:r w:rsidR="004E6120" w:rsidRPr="004542B5">
        <w:rPr>
          <w:noProof w:val="0"/>
          <w:szCs w:val="20"/>
          <w:lang w:val="en-US"/>
        </w:rPr>
        <w:t>agreed with</w:t>
      </w:r>
      <w:r w:rsidR="00A41A72" w:rsidRPr="004542B5">
        <w:rPr>
          <w:noProof w:val="0"/>
          <w:szCs w:val="20"/>
          <w:lang w:val="en-US"/>
        </w:rPr>
        <w:t xml:space="preserve"> </w:t>
      </w:r>
      <w:r w:rsidRPr="004542B5">
        <w:rPr>
          <w:noProof w:val="0"/>
          <w:szCs w:val="20"/>
          <w:lang w:val="en-US"/>
        </w:rPr>
        <w:t>the Commission</w:t>
      </w:r>
      <w:r w:rsidR="00A41A72" w:rsidRPr="004542B5">
        <w:rPr>
          <w:noProof w:val="0"/>
          <w:szCs w:val="20"/>
          <w:lang w:val="en-US"/>
        </w:rPr>
        <w:t xml:space="preserve"> </w:t>
      </w:r>
      <w:r w:rsidR="004E6120" w:rsidRPr="004542B5">
        <w:rPr>
          <w:noProof w:val="0"/>
          <w:szCs w:val="20"/>
          <w:lang w:val="en-US"/>
        </w:rPr>
        <w:t xml:space="preserve">about these cultural and spiritual losses and added that the </w:t>
      </w:r>
      <w:r w:rsidR="006110CB" w:rsidRPr="004542B5">
        <w:rPr>
          <w:noProof w:val="0"/>
          <w:szCs w:val="20"/>
          <w:lang w:val="en-US"/>
        </w:rPr>
        <w:t>peoples</w:t>
      </w:r>
      <w:r w:rsidR="004E6120" w:rsidRPr="004542B5">
        <w:rPr>
          <w:noProof w:val="0"/>
          <w:szCs w:val="20"/>
          <w:lang w:val="en-US"/>
        </w:rPr>
        <w:t xml:space="preserve"> had been left in a situation of legal uncertainty as a result of the delay in the proceedings, because their ancestral lands had been </w:t>
      </w:r>
      <w:r w:rsidR="00B26D70" w:rsidRPr="004542B5">
        <w:rPr>
          <w:noProof w:val="0"/>
          <w:szCs w:val="20"/>
          <w:lang w:val="en-US"/>
        </w:rPr>
        <w:t>expropriated</w:t>
      </w:r>
      <w:r w:rsidR="004E6120" w:rsidRPr="004542B5">
        <w:rPr>
          <w:noProof w:val="0"/>
          <w:szCs w:val="20"/>
          <w:lang w:val="en-US"/>
        </w:rPr>
        <w:t xml:space="preserve"> over 40 years ago without them receiving the corresponding compensation. Consequently, the </w:t>
      </w:r>
      <w:r w:rsidR="006110CB" w:rsidRPr="004542B5">
        <w:rPr>
          <w:noProof w:val="0"/>
          <w:szCs w:val="20"/>
          <w:lang w:val="en-US"/>
        </w:rPr>
        <w:t>representatives</w:t>
      </w:r>
      <w:r w:rsidR="004E6120" w:rsidRPr="004542B5">
        <w:rPr>
          <w:noProof w:val="0"/>
          <w:szCs w:val="20"/>
          <w:lang w:val="en-US"/>
        </w:rPr>
        <w:t xml:space="preserve"> considered that it was pertinent </w:t>
      </w:r>
      <w:r w:rsidR="00C1486E" w:rsidRPr="004542B5">
        <w:rPr>
          <w:noProof w:val="0"/>
          <w:szCs w:val="20"/>
          <w:lang w:val="en-US"/>
        </w:rPr>
        <w:t>to establish a compensation payment based on equity.</w:t>
      </w:r>
    </w:p>
    <w:p w14:paraId="7EAA5367" w14:textId="1FFE309A" w:rsidR="00AC026A"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State</w:t>
      </w:r>
      <w:r w:rsidR="007B47B1" w:rsidRPr="004542B5">
        <w:rPr>
          <w:i/>
          <w:noProof w:val="0"/>
          <w:szCs w:val="20"/>
          <w:lang w:val="en-US"/>
        </w:rPr>
        <w:t xml:space="preserve"> </w:t>
      </w:r>
      <w:r w:rsidR="00C1486E" w:rsidRPr="004542B5">
        <w:rPr>
          <w:noProof w:val="0"/>
          <w:szCs w:val="20"/>
          <w:lang w:val="en-US"/>
        </w:rPr>
        <w:t>did not present arguments in this regard.</w:t>
      </w:r>
    </w:p>
    <w:p w14:paraId="674E8529" w14:textId="45521CB4" w:rsidR="00AC026A" w:rsidRPr="004542B5" w:rsidRDefault="007B47B1" w:rsidP="00E01664">
      <w:pPr>
        <w:pStyle w:val="ListParagraph"/>
        <w:spacing w:before="240" w:after="240"/>
        <w:ind w:left="1416" w:firstLine="24"/>
        <w:contextualSpacing w:val="0"/>
        <w:rPr>
          <w:i/>
          <w:noProof w:val="0"/>
          <w:szCs w:val="20"/>
          <w:lang w:val="en-US"/>
        </w:rPr>
      </w:pPr>
      <w:r w:rsidRPr="004542B5">
        <w:rPr>
          <w:i/>
          <w:noProof w:val="0"/>
          <w:szCs w:val="20"/>
          <w:lang w:val="en-US"/>
        </w:rPr>
        <w:t xml:space="preserve">C.2.2. </w:t>
      </w:r>
      <w:r w:rsidRPr="004542B5">
        <w:rPr>
          <w:i/>
          <w:noProof w:val="0"/>
          <w:szCs w:val="20"/>
          <w:lang w:val="en-US"/>
        </w:rPr>
        <w:tab/>
      </w:r>
      <w:r w:rsidR="00B902E7" w:rsidRPr="004542B5">
        <w:rPr>
          <w:i/>
          <w:noProof w:val="0"/>
          <w:szCs w:val="20"/>
          <w:lang w:val="en-US"/>
        </w:rPr>
        <w:t>Considerations</w:t>
      </w:r>
      <w:r w:rsidR="008A56D7" w:rsidRPr="004542B5">
        <w:rPr>
          <w:i/>
          <w:noProof w:val="0"/>
          <w:szCs w:val="20"/>
          <w:lang w:val="en-US"/>
        </w:rPr>
        <w:t xml:space="preserve"> of the </w:t>
      </w:r>
      <w:r w:rsidR="00562CBB" w:rsidRPr="004542B5">
        <w:rPr>
          <w:i/>
          <w:noProof w:val="0"/>
          <w:szCs w:val="20"/>
          <w:lang w:val="en-US"/>
        </w:rPr>
        <w:t>Court</w:t>
      </w:r>
    </w:p>
    <w:p w14:paraId="4A5761B7" w14:textId="70E52FCC" w:rsidR="00AC026A" w:rsidRPr="004542B5" w:rsidRDefault="00C1486E" w:rsidP="00C1486E">
      <w:pPr>
        <w:pStyle w:val="ListParagraph"/>
        <w:numPr>
          <w:ilvl w:val="0"/>
          <w:numId w:val="2"/>
        </w:numPr>
        <w:spacing w:before="120" w:after="120"/>
        <w:contextualSpacing w:val="0"/>
        <w:rPr>
          <w:noProof w:val="0"/>
          <w:szCs w:val="20"/>
          <w:lang w:val="en-US"/>
        </w:rPr>
      </w:pPr>
      <w:r w:rsidRPr="004542B5">
        <w:rPr>
          <w:noProof w:val="0"/>
          <w:szCs w:val="20"/>
          <w:lang w:val="en-US"/>
        </w:rPr>
        <w:t>In its case law, t</w:t>
      </w:r>
      <w:r w:rsidR="00562CBB" w:rsidRPr="004542B5">
        <w:rPr>
          <w:noProof w:val="0"/>
          <w:szCs w:val="20"/>
          <w:lang w:val="en-US"/>
        </w:rPr>
        <w:t>he Court</w:t>
      </w:r>
      <w:r w:rsidR="007B47B1" w:rsidRPr="004542B5">
        <w:rPr>
          <w:noProof w:val="0"/>
          <w:szCs w:val="20"/>
          <w:lang w:val="en-US"/>
        </w:rPr>
        <w:t xml:space="preserve"> ha</w:t>
      </w:r>
      <w:r w:rsidRPr="004542B5">
        <w:rPr>
          <w:noProof w:val="0"/>
          <w:szCs w:val="20"/>
          <w:lang w:val="en-US"/>
        </w:rPr>
        <w:t xml:space="preserve">s defined the concept of </w:t>
      </w:r>
      <w:r w:rsidR="00B902E7" w:rsidRPr="004542B5">
        <w:rPr>
          <w:noProof w:val="0"/>
          <w:szCs w:val="20"/>
          <w:lang w:val="en-US"/>
        </w:rPr>
        <w:t>non-pecuniary damage</w:t>
      </w:r>
      <w:r w:rsidR="00CD2B90" w:rsidRPr="004542B5">
        <w:rPr>
          <w:noProof w:val="0"/>
          <w:szCs w:val="20"/>
          <w:lang w:val="en-US"/>
        </w:rPr>
        <w:t xml:space="preserve"> and </w:t>
      </w:r>
      <w:r w:rsidR="007B47B1" w:rsidRPr="004542B5">
        <w:rPr>
          <w:noProof w:val="0"/>
          <w:szCs w:val="20"/>
          <w:lang w:val="en-US"/>
        </w:rPr>
        <w:t>ha</w:t>
      </w:r>
      <w:r w:rsidRPr="004542B5">
        <w:rPr>
          <w:noProof w:val="0"/>
          <w:szCs w:val="20"/>
          <w:lang w:val="en-US"/>
        </w:rPr>
        <w:t>s established that this “</w:t>
      </w:r>
      <w:r w:rsidR="006110CB" w:rsidRPr="004542B5">
        <w:rPr>
          <w:noProof w:val="0"/>
          <w:szCs w:val="20"/>
          <w:lang w:val="en-US"/>
        </w:rPr>
        <w:t>may</w:t>
      </w:r>
      <w:r w:rsidRPr="004542B5">
        <w:rPr>
          <w:noProof w:val="0"/>
          <w:szCs w:val="20"/>
          <w:lang w:val="en-US"/>
        </w:rPr>
        <w:t xml:space="preserve"> include the suffering and affliction caused to the direct victim and to his next of kin, the impairment of values of great significance to the individual, and the changes of a non-</w:t>
      </w:r>
      <w:r w:rsidR="006110CB" w:rsidRPr="004542B5">
        <w:rPr>
          <w:noProof w:val="0"/>
          <w:szCs w:val="20"/>
          <w:lang w:val="en-US"/>
        </w:rPr>
        <w:t>pecuniary</w:t>
      </w:r>
      <w:r w:rsidRPr="004542B5">
        <w:rPr>
          <w:noProof w:val="0"/>
          <w:szCs w:val="20"/>
          <w:lang w:val="en-US"/>
        </w:rPr>
        <w:t xml:space="preserve"> nature in the living conditions of the victim or his or her family.</w:t>
      </w:r>
      <w:r w:rsidR="007B47B1" w:rsidRPr="004542B5">
        <w:rPr>
          <w:noProof w:val="0"/>
          <w:szCs w:val="20"/>
          <w:lang w:val="en-US"/>
        </w:rPr>
        <w:t>”</w:t>
      </w:r>
      <w:r w:rsidR="007B47B1" w:rsidRPr="004542B5">
        <w:rPr>
          <w:rStyle w:val="FootnoteReference"/>
          <w:noProof w:val="0"/>
          <w:lang w:val="en-US"/>
        </w:rPr>
        <w:footnoteReference w:id="270"/>
      </w:r>
    </w:p>
    <w:p w14:paraId="154C91EF" w14:textId="1998C843" w:rsidR="00AC026A" w:rsidRPr="004542B5" w:rsidRDefault="00C1486E" w:rsidP="00C1486E">
      <w:pPr>
        <w:pStyle w:val="ListParagraph"/>
        <w:numPr>
          <w:ilvl w:val="0"/>
          <w:numId w:val="2"/>
        </w:numPr>
        <w:spacing w:before="120" w:after="120"/>
        <w:contextualSpacing w:val="0"/>
        <w:rPr>
          <w:b/>
          <w:noProof w:val="0"/>
          <w:szCs w:val="20"/>
          <w:lang w:val="en-US"/>
        </w:rPr>
      </w:pPr>
      <w:r w:rsidRPr="004542B5">
        <w:rPr>
          <w:noProof w:val="0"/>
          <w:lang w:val="en-US"/>
        </w:rPr>
        <w:t xml:space="preserve">When assessing the non-pecuniary damage caused in the case </w:t>
      </w:r>
      <w:r w:rsidR="007B47B1" w:rsidRPr="004542B5">
        <w:rPr>
          <w:i/>
          <w:noProof w:val="0"/>
          <w:lang w:val="en-US"/>
        </w:rPr>
        <w:t>sub judice</w:t>
      </w:r>
      <w:r w:rsidR="007B47B1" w:rsidRPr="004542B5">
        <w:rPr>
          <w:noProof w:val="0"/>
          <w:lang w:val="en-US"/>
        </w:rPr>
        <w:t xml:space="preserve">, </w:t>
      </w:r>
      <w:r w:rsidR="00562CBB" w:rsidRPr="004542B5">
        <w:rPr>
          <w:noProof w:val="0"/>
          <w:lang w:val="en-US"/>
        </w:rPr>
        <w:t>the Court</w:t>
      </w:r>
      <w:r w:rsidR="007B47B1" w:rsidRPr="004542B5">
        <w:rPr>
          <w:noProof w:val="0"/>
          <w:lang w:val="en-US"/>
        </w:rPr>
        <w:t xml:space="preserve"> ha</w:t>
      </w:r>
      <w:r w:rsidRPr="004542B5">
        <w:rPr>
          <w:noProof w:val="0"/>
          <w:lang w:val="en-US"/>
        </w:rPr>
        <w:t xml:space="preserve">s borne in mind the words of </w:t>
      </w:r>
      <w:r w:rsidR="007B47B1" w:rsidRPr="004542B5">
        <w:rPr>
          <w:noProof w:val="0"/>
          <w:lang w:val="en-US"/>
        </w:rPr>
        <w:t>Benjamín García</w:t>
      </w:r>
      <w:r w:rsidR="00CD2B90" w:rsidRPr="004542B5">
        <w:rPr>
          <w:noProof w:val="0"/>
          <w:lang w:val="en-US"/>
        </w:rPr>
        <w:t xml:space="preserve"> and </w:t>
      </w:r>
      <w:r w:rsidR="007B47B1" w:rsidRPr="004542B5">
        <w:rPr>
          <w:noProof w:val="0"/>
          <w:lang w:val="en-US"/>
        </w:rPr>
        <w:t xml:space="preserve">Bonarge Pacheco </w:t>
      </w:r>
      <w:r w:rsidRPr="004542B5">
        <w:rPr>
          <w:noProof w:val="0"/>
          <w:lang w:val="en-US"/>
        </w:rPr>
        <w:t xml:space="preserve">in their statements before this Court </w:t>
      </w:r>
      <w:r w:rsidR="005115A6" w:rsidRPr="004542B5">
        <w:rPr>
          <w:noProof w:val="0"/>
          <w:lang w:val="en-US"/>
        </w:rPr>
        <w:t>during the public</w:t>
      </w:r>
      <w:r w:rsidR="00FC1C56" w:rsidRPr="004542B5">
        <w:rPr>
          <w:noProof w:val="0"/>
          <w:lang w:val="en-US"/>
        </w:rPr>
        <w:t xml:space="preserve"> hearing</w:t>
      </w:r>
      <w:r w:rsidR="007B47B1" w:rsidRPr="004542B5">
        <w:rPr>
          <w:noProof w:val="0"/>
          <w:lang w:val="en-US"/>
        </w:rPr>
        <w:t>,</w:t>
      </w:r>
      <w:r w:rsidR="00CD2B90" w:rsidRPr="004542B5">
        <w:rPr>
          <w:noProof w:val="0"/>
          <w:lang w:val="en-US"/>
        </w:rPr>
        <w:t xml:space="preserve"> and </w:t>
      </w:r>
      <w:r w:rsidRPr="004542B5">
        <w:rPr>
          <w:noProof w:val="0"/>
          <w:lang w:val="en-US"/>
        </w:rPr>
        <w:t>of</w:t>
      </w:r>
      <w:r w:rsidR="007B47B1" w:rsidRPr="004542B5">
        <w:rPr>
          <w:noProof w:val="0"/>
          <w:lang w:val="en-US"/>
        </w:rPr>
        <w:t xml:space="preserve"> Fausto Valentín</w:t>
      </w:r>
      <w:r w:rsidR="00CD2B90" w:rsidRPr="004542B5">
        <w:rPr>
          <w:noProof w:val="0"/>
          <w:lang w:val="en-US"/>
        </w:rPr>
        <w:t xml:space="preserve"> and </w:t>
      </w:r>
      <w:r w:rsidR="007B47B1" w:rsidRPr="004542B5">
        <w:rPr>
          <w:noProof w:val="0"/>
          <w:lang w:val="en-US"/>
        </w:rPr>
        <w:t xml:space="preserve">Bolívar Jaripio </w:t>
      </w:r>
      <w:r w:rsidRPr="004542B5">
        <w:rPr>
          <w:noProof w:val="0"/>
          <w:lang w:val="en-US"/>
        </w:rPr>
        <w:t xml:space="preserve">in their affidavits, considering that the harm caused to them was representative of the harm caused to the other victims, members of the </w:t>
      </w:r>
      <w:r w:rsidR="007B47B1" w:rsidRPr="004542B5">
        <w:rPr>
          <w:noProof w:val="0"/>
          <w:lang w:val="en-US"/>
        </w:rPr>
        <w:t xml:space="preserve">Kuna </w:t>
      </w:r>
      <w:r w:rsidRPr="004542B5">
        <w:rPr>
          <w:noProof w:val="0"/>
          <w:lang w:val="en-US"/>
        </w:rPr>
        <w:t>people of</w:t>
      </w:r>
      <w:r w:rsidR="007B47B1" w:rsidRPr="004542B5">
        <w:rPr>
          <w:noProof w:val="0"/>
          <w:lang w:val="en-US"/>
        </w:rPr>
        <w:t xml:space="preserve"> Madungandí</w:t>
      </w:r>
      <w:r w:rsidR="00CD2B90" w:rsidRPr="004542B5">
        <w:rPr>
          <w:noProof w:val="0"/>
          <w:lang w:val="en-US"/>
        </w:rPr>
        <w:t xml:space="preserve"> and </w:t>
      </w:r>
      <w:r w:rsidRPr="004542B5">
        <w:rPr>
          <w:noProof w:val="0"/>
          <w:lang w:val="en-US"/>
        </w:rPr>
        <w:t xml:space="preserve">the </w:t>
      </w:r>
      <w:r w:rsidR="007B47B1" w:rsidRPr="004542B5">
        <w:rPr>
          <w:noProof w:val="0"/>
          <w:lang w:val="en-US"/>
        </w:rPr>
        <w:t xml:space="preserve">Emberá </w:t>
      </w:r>
      <w:r w:rsidRPr="004542B5">
        <w:rPr>
          <w:noProof w:val="0"/>
          <w:lang w:val="en-US"/>
        </w:rPr>
        <w:t>people of</w:t>
      </w:r>
      <w:r w:rsidR="007B47B1" w:rsidRPr="004542B5">
        <w:rPr>
          <w:noProof w:val="0"/>
          <w:lang w:val="en-US"/>
        </w:rPr>
        <w:t xml:space="preserve"> Bayano</w:t>
      </w:r>
      <w:r w:rsidRPr="004542B5">
        <w:rPr>
          <w:noProof w:val="0"/>
          <w:lang w:val="en-US"/>
        </w:rPr>
        <w:t>.</w:t>
      </w:r>
      <w:r w:rsidR="007B47B1" w:rsidRPr="004542B5">
        <w:rPr>
          <w:rStyle w:val="FootnoteReference"/>
          <w:noProof w:val="0"/>
          <w:lang w:val="en-US"/>
        </w:rPr>
        <w:footnoteReference w:id="271"/>
      </w:r>
      <w:r w:rsidR="007B47B1" w:rsidRPr="004542B5">
        <w:rPr>
          <w:noProof w:val="0"/>
          <w:lang w:val="en-US"/>
        </w:rPr>
        <w:t xml:space="preserve"> </w:t>
      </w:r>
    </w:p>
    <w:p w14:paraId="3587393E" w14:textId="153F312E" w:rsidR="00AC026A" w:rsidRPr="004542B5" w:rsidRDefault="00562CBB" w:rsidP="00E01664">
      <w:pPr>
        <w:pStyle w:val="ListParagraph"/>
        <w:numPr>
          <w:ilvl w:val="0"/>
          <w:numId w:val="2"/>
        </w:numPr>
        <w:spacing w:before="120" w:after="120"/>
        <w:contextualSpacing w:val="0"/>
        <w:rPr>
          <w:noProof w:val="0"/>
          <w:lang w:val="en-US"/>
        </w:rPr>
      </w:pPr>
      <w:r w:rsidRPr="004542B5">
        <w:rPr>
          <w:noProof w:val="0"/>
          <w:lang w:val="en-US"/>
        </w:rPr>
        <w:t>The Court</w:t>
      </w:r>
      <w:r w:rsidR="007B47B1" w:rsidRPr="004542B5">
        <w:rPr>
          <w:noProof w:val="0"/>
          <w:lang w:val="en-US"/>
        </w:rPr>
        <w:t xml:space="preserve"> </w:t>
      </w:r>
      <w:r w:rsidR="00C1486E" w:rsidRPr="004542B5">
        <w:rPr>
          <w:noProof w:val="0"/>
          <w:lang w:val="en-US"/>
        </w:rPr>
        <w:t>refers back to its consideration</w:t>
      </w:r>
      <w:r w:rsidR="009206AE" w:rsidRPr="004542B5">
        <w:rPr>
          <w:noProof w:val="0"/>
          <w:lang w:val="en-US"/>
        </w:rPr>
        <w:t>s</w:t>
      </w:r>
      <w:r w:rsidR="00C1486E" w:rsidRPr="004542B5">
        <w:rPr>
          <w:noProof w:val="0"/>
          <w:lang w:val="en-US"/>
        </w:rPr>
        <w:t xml:space="preserve"> on the violation </w:t>
      </w:r>
      <w:r w:rsidR="00E04132" w:rsidRPr="004542B5">
        <w:rPr>
          <w:noProof w:val="0"/>
          <w:lang w:val="en-US"/>
        </w:rPr>
        <w:t>of Article</w:t>
      </w:r>
      <w:r w:rsidR="007B47B1" w:rsidRPr="004542B5">
        <w:rPr>
          <w:noProof w:val="0"/>
          <w:lang w:val="en-US"/>
        </w:rPr>
        <w:t xml:space="preserve"> 21, </w:t>
      </w:r>
      <w:r w:rsidR="00F1018C" w:rsidRPr="004542B5">
        <w:rPr>
          <w:noProof w:val="0"/>
          <w:lang w:val="en-US"/>
        </w:rPr>
        <w:t>in relation to Article</w:t>
      </w:r>
      <w:r w:rsidR="00C1486E" w:rsidRPr="004542B5">
        <w:rPr>
          <w:noProof w:val="0"/>
          <w:lang w:val="en-US"/>
        </w:rPr>
        <w:t>s</w:t>
      </w:r>
      <w:r w:rsidR="00F1018C" w:rsidRPr="004542B5">
        <w:rPr>
          <w:noProof w:val="0"/>
          <w:lang w:val="en-US"/>
        </w:rPr>
        <w:t xml:space="preserve"> 1(1)</w:t>
      </w:r>
      <w:r w:rsidR="00CD2B90" w:rsidRPr="004542B5">
        <w:rPr>
          <w:noProof w:val="0"/>
          <w:lang w:val="en-US"/>
        </w:rPr>
        <w:t xml:space="preserve"> and </w:t>
      </w:r>
      <w:r w:rsidR="007B47B1" w:rsidRPr="004542B5">
        <w:rPr>
          <w:noProof w:val="0"/>
          <w:lang w:val="en-US"/>
        </w:rPr>
        <w:t>2</w:t>
      </w:r>
      <w:r w:rsidR="008A56D7" w:rsidRPr="004542B5">
        <w:rPr>
          <w:noProof w:val="0"/>
          <w:lang w:val="en-US"/>
        </w:rPr>
        <w:t xml:space="preserve"> of the </w:t>
      </w:r>
      <w:r w:rsidRPr="004542B5">
        <w:rPr>
          <w:noProof w:val="0"/>
          <w:lang w:val="en-US"/>
        </w:rPr>
        <w:t>Convention</w:t>
      </w:r>
      <w:r w:rsidR="007B47B1" w:rsidRPr="004542B5">
        <w:rPr>
          <w:noProof w:val="0"/>
          <w:lang w:val="en-US"/>
        </w:rPr>
        <w:t xml:space="preserve"> (</w:t>
      </w:r>
      <w:r w:rsidR="007B47B1" w:rsidRPr="004542B5">
        <w:rPr>
          <w:i/>
          <w:noProof w:val="0"/>
          <w:lang w:val="en-US"/>
        </w:rPr>
        <w:t>supra</w:t>
      </w:r>
      <w:r w:rsidR="007B47B1" w:rsidRPr="004542B5">
        <w:rPr>
          <w:noProof w:val="0"/>
          <w:lang w:val="en-US"/>
        </w:rPr>
        <w:t xml:space="preserve"> </w:t>
      </w:r>
      <w:r w:rsidR="00F66B76" w:rsidRPr="004542B5">
        <w:rPr>
          <w:noProof w:val="0"/>
          <w:lang w:val="en-US"/>
        </w:rPr>
        <w:t>para.</w:t>
      </w:r>
      <w:r w:rsidR="007B47B1" w:rsidRPr="004542B5">
        <w:rPr>
          <w:noProof w:val="0"/>
          <w:lang w:val="en-US"/>
        </w:rPr>
        <w:t xml:space="preserve"> </w:t>
      </w:r>
      <w:r w:rsidR="00DC4373" w:rsidRPr="004542B5">
        <w:rPr>
          <w:noProof w:val="0"/>
          <w:lang w:val="en-US"/>
        </w:rPr>
        <w:t>146</w:t>
      </w:r>
      <w:r w:rsidR="007B47B1" w:rsidRPr="004542B5">
        <w:rPr>
          <w:noProof w:val="0"/>
          <w:lang w:val="en-US"/>
        </w:rPr>
        <w:t xml:space="preserve">). </w:t>
      </w:r>
      <w:r w:rsidR="00C1486E" w:rsidRPr="004542B5">
        <w:rPr>
          <w:noProof w:val="0"/>
          <w:lang w:val="en-US"/>
        </w:rPr>
        <w:t xml:space="preserve">It observes that the failure to materialize the right to communal property of </w:t>
      </w:r>
      <w:r w:rsidR="003234E7" w:rsidRPr="004542B5">
        <w:rPr>
          <w:noProof w:val="0"/>
          <w:lang w:val="en-US"/>
        </w:rPr>
        <w:t>the members</w:t>
      </w:r>
      <w:r w:rsidR="007B47B1" w:rsidRPr="004542B5">
        <w:rPr>
          <w:noProof w:val="0"/>
          <w:lang w:val="en-US"/>
        </w:rPr>
        <w:t xml:space="preserve"> </w:t>
      </w:r>
      <w:r w:rsidR="00C1486E" w:rsidRPr="004542B5">
        <w:rPr>
          <w:noProof w:val="0"/>
          <w:lang w:val="en-US"/>
        </w:rPr>
        <w:t>of the said peoples, as well as the living conditions to which they were subjected as a result of the State’s delay in making their territorial rights effective</w:t>
      </w:r>
      <w:r w:rsidR="009206AE" w:rsidRPr="004542B5">
        <w:rPr>
          <w:noProof w:val="0"/>
          <w:lang w:val="en-US"/>
        </w:rPr>
        <w:t>,</w:t>
      </w:r>
      <w:r w:rsidR="00C1486E" w:rsidRPr="004542B5">
        <w:rPr>
          <w:noProof w:val="0"/>
          <w:lang w:val="en-US"/>
        </w:rPr>
        <w:t xml:space="preserve"> must also be taken into account when establishing </w:t>
      </w:r>
      <w:r w:rsidR="00B902E7" w:rsidRPr="004542B5">
        <w:rPr>
          <w:noProof w:val="0"/>
          <w:lang w:val="en-US"/>
        </w:rPr>
        <w:t>non-pecuniary damage</w:t>
      </w:r>
      <w:r w:rsidR="007B47B1" w:rsidRPr="004542B5">
        <w:rPr>
          <w:noProof w:val="0"/>
          <w:lang w:val="en-US"/>
        </w:rPr>
        <w:t xml:space="preserve">. </w:t>
      </w:r>
      <w:r w:rsidR="00C1486E" w:rsidRPr="004542B5">
        <w:rPr>
          <w:noProof w:val="0"/>
          <w:lang w:val="en-US"/>
        </w:rPr>
        <w:t>The Court also observes that the speci</w:t>
      </w:r>
      <w:r w:rsidR="00F32AB2" w:rsidRPr="004542B5">
        <w:rPr>
          <w:noProof w:val="0"/>
          <w:lang w:val="en-US"/>
        </w:rPr>
        <w:t>al</w:t>
      </w:r>
      <w:r w:rsidR="00C1486E" w:rsidRPr="004542B5">
        <w:rPr>
          <w:noProof w:val="0"/>
          <w:lang w:val="en-US"/>
        </w:rPr>
        <w:t xml:space="preserve"> significance </w:t>
      </w:r>
      <w:r w:rsidR="009206AE" w:rsidRPr="004542B5">
        <w:rPr>
          <w:noProof w:val="0"/>
          <w:lang w:val="en-US"/>
        </w:rPr>
        <w:t>of</w:t>
      </w:r>
      <w:r w:rsidR="00C1486E" w:rsidRPr="004542B5">
        <w:rPr>
          <w:noProof w:val="0"/>
          <w:lang w:val="en-US"/>
        </w:rPr>
        <w:t xml:space="preserve"> </w:t>
      </w:r>
      <w:r w:rsidR="009206AE" w:rsidRPr="004542B5">
        <w:rPr>
          <w:noProof w:val="0"/>
          <w:lang w:val="en-US"/>
        </w:rPr>
        <w:t xml:space="preserve">the </w:t>
      </w:r>
      <w:r w:rsidR="00C1486E" w:rsidRPr="004542B5">
        <w:rPr>
          <w:noProof w:val="0"/>
          <w:lang w:val="en-US"/>
        </w:rPr>
        <w:t xml:space="preserve">land for indigenous peoples in general, and for </w:t>
      </w:r>
      <w:r w:rsidR="003C263F" w:rsidRPr="004542B5">
        <w:rPr>
          <w:noProof w:val="0"/>
          <w:lang w:val="en-US"/>
        </w:rPr>
        <w:t>the Kuna and Emberá peoples</w:t>
      </w:r>
      <w:r w:rsidR="007B47B1" w:rsidRPr="004542B5">
        <w:rPr>
          <w:noProof w:val="0"/>
          <w:lang w:val="en-US"/>
        </w:rPr>
        <w:t xml:space="preserve"> </w:t>
      </w:r>
      <w:r w:rsidR="00C1486E" w:rsidRPr="004542B5">
        <w:rPr>
          <w:noProof w:val="0"/>
          <w:lang w:val="en-US"/>
        </w:rPr>
        <w:t>i</w:t>
      </w:r>
      <w:r w:rsidR="007B47B1" w:rsidRPr="004542B5">
        <w:rPr>
          <w:noProof w:val="0"/>
          <w:lang w:val="en-US"/>
        </w:rPr>
        <w:t xml:space="preserve">n particular, </w:t>
      </w:r>
      <w:r w:rsidR="00C1486E" w:rsidRPr="004542B5">
        <w:rPr>
          <w:noProof w:val="0"/>
          <w:lang w:val="en-US"/>
        </w:rPr>
        <w:t>means that any denial of the exercise or enjoyment of their territorial rights impair</w:t>
      </w:r>
      <w:r w:rsidR="009206AE" w:rsidRPr="004542B5">
        <w:rPr>
          <w:noProof w:val="0"/>
          <w:lang w:val="en-US"/>
        </w:rPr>
        <w:t xml:space="preserve">s </w:t>
      </w:r>
      <w:r w:rsidR="00C1486E" w:rsidRPr="004542B5">
        <w:rPr>
          <w:noProof w:val="0"/>
          <w:lang w:val="en-US"/>
        </w:rPr>
        <w:t xml:space="preserve">values that are very </w:t>
      </w:r>
      <w:r w:rsidR="009206AE" w:rsidRPr="004542B5">
        <w:rPr>
          <w:noProof w:val="0"/>
          <w:lang w:val="en-US"/>
        </w:rPr>
        <w:t>s</w:t>
      </w:r>
      <w:r w:rsidR="00C1486E" w:rsidRPr="004542B5">
        <w:rPr>
          <w:noProof w:val="0"/>
          <w:lang w:val="en-US"/>
        </w:rPr>
        <w:t xml:space="preserve">ignificant for </w:t>
      </w:r>
      <w:r w:rsidR="003234E7" w:rsidRPr="004542B5">
        <w:rPr>
          <w:noProof w:val="0"/>
          <w:lang w:val="en-US"/>
        </w:rPr>
        <w:t>the members</w:t>
      </w:r>
      <w:r w:rsidR="007B47B1" w:rsidRPr="004542B5">
        <w:rPr>
          <w:noProof w:val="0"/>
          <w:lang w:val="en-US"/>
        </w:rPr>
        <w:t xml:space="preserve"> </w:t>
      </w:r>
      <w:r w:rsidR="00C1486E" w:rsidRPr="004542B5">
        <w:rPr>
          <w:noProof w:val="0"/>
          <w:lang w:val="en-US"/>
        </w:rPr>
        <w:t>of these peoples, who run the risk of losing, or suffering irreparable harm to</w:t>
      </w:r>
      <w:r w:rsidR="009206AE" w:rsidRPr="004542B5">
        <w:rPr>
          <w:noProof w:val="0"/>
          <w:lang w:val="en-US"/>
        </w:rPr>
        <w:t>,</w:t>
      </w:r>
      <w:r w:rsidR="00C1486E" w:rsidRPr="004542B5">
        <w:rPr>
          <w:noProof w:val="0"/>
          <w:lang w:val="en-US"/>
        </w:rPr>
        <w:t xml:space="preserve"> their life and cultural identity</w:t>
      </w:r>
      <w:r w:rsidR="009206AE" w:rsidRPr="004542B5">
        <w:rPr>
          <w:noProof w:val="0"/>
          <w:lang w:val="en-US"/>
        </w:rPr>
        <w:t>, and the cultural patrimony to be passed on to future generations.</w:t>
      </w:r>
    </w:p>
    <w:p w14:paraId="678E9B87" w14:textId="12CB1774" w:rsidR="005C4449" w:rsidRPr="004542B5" w:rsidRDefault="009206AE" w:rsidP="00E01664">
      <w:pPr>
        <w:pStyle w:val="ListParagraph"/>
        <w:numPr>
          <w:ilvl w:val="0"/>
          <w:numId w:val="2"/>
        </w:numPr>
        <w:spacing w:before="120" w:after="120"/>
        <w:contextualSpacing w:val="0"/>
        <w:rPr>
          <w:noProof w:val="0"/>
          <w:lang w:val="en-US"/>
        </w:rPr>
      </w:pPr>
      <w:r w:rsidRPr="004542B5">
        <w:rPr>
          <w:noProof w:val="0"/>
          <w:lang w:val="en-US" w:bidi="en-US"/>
        </w:rPr>
        <w:lastRenderedPageBreak/>
        <w:t xml:space="preserve">Based on its case law and considering the circumstances of this case and the violations </w:t>
      </w:r>
      <w:r w:rsidR="006110CB" w:rsidRPr="004542B5">
        <w:rPr>
          <w:noProof w:val="0"/>
          <w:lang w:val="en-US" w:bidi="en-US"/>
        </w:rPr>
        <w:t>committed</w:t>
      </w:r>
      <w:r w:rsidRPr="004542B5">
        <w:rPr>
          <w:noProof w:val="0"/>
          <w:lang w:val="en-US" w:bidi="en-US"/>
        </w:rPr>
        <w:t xml:space="preserve">, the Court finds it </w:t>
      </w:r>
      <w:r w:rsidR="006110CB" w:rsidRPr="004542B5">
        <w:rPr>
          <w:noProof w:val="0"/>
          <w:lang w:val="en-US" w:bidi="en-US"/>
        </w:rPr>
        <w:t>pertinent</w:t>
      </w:r>
      <w:r w:rsidRPr="004542B5">
        <w:rPr>
          <w:noProof w:val="0"/>
          <w:lang w:val="en-US" w:bidi="en-US"/>
        </w:rPr>
        <w:t xml:space="preserve"> to </w:t>
      </w:r>
      <w:r w:rsidR="006110CB" w:rsidRPr="004542B5">
        <w:rPr>
          <w:noProof w:val="0"/>
          <w:lang w:val="en-US" w:bidi="en-US"/>
        </w:rPr>
        <w:t>establish</w:t>
      </w:r>
      <w:r w:rsidRPr="004542B5">
        <w:rPr>
          <w:noProof w:val="0"/>
          <w:lang w:val="en-US" w:bidi="en-US"/>
        </w:rPr>
        <w:t xml:space="preserve">, in equity, for </w:t>
      </w:r>
      <w:r w:rsidR="00B902E7" w:rsidRPr="004542B5">
        <w:rPr>
          <w:noProof w:val="0"/>
          <w:szCs w:val="20"/>
          <w:lang w:val="en-US"/>
        </w:rPr>
        <w:t>non-pecuniary damage</w:t>
      </w:r>
      <w:r w:rsidR="00DC4373" w:rsidRPr="004542B5">
        <w:rPr>
          <w:noProof w:val="0"/>
          <w:szCs w:val="20"/>
          <w:lang w:val="en-US"/>
        </w:rPr>
        <w:t xml:space="preserve"> </w:t>
      </w:r>
      <w:r w:rsidRPr="004542B5">
        <w:rPr>
          <w:noProof w:val="0"/>
          <w:szCs w:val="20"/>
          <w:lang w:val="en-US"/>
        </w:rPr>
        <w:t xml:space="preserve">a total compensation payment of </w:t>
      </w:r>
      <w:r w:rsidR="007E7A76" w:rsidRPr="004542B5">
        <w:rPr>
          <w:noProof w:val="0"/>
          <w:szCs w:val="20"/>
          <w:lang w:val="en-US"/>
        </w:rPr>
        <w:t>US$</w:t>
      </w:r>
      <w:r w:rsidR="00D72EB6" w:rsidRPr="004542B5">
        <w:rPr>
          <w:noProof w:val="0"/>
          <w:szCs w:val="20"/>
          <w:lang w:val="en-US"/>
        </w:rPr>
        <w:t>250</w:t>
      </w:r>
      <w:r w:rsidRPr="004542B5">
        <w:rPr>
          <w:noProof w:val="0"/>
          <w:szCs w:val="20"/>
          <w:lang w:val="en-US"/>
        </w:rPr>
        <w:t>,</w:t>
      </w:r>
      <w:r w:rsidR="00D72EB6" w:rsidRPr="004542B5">
        <w:rPr>
          <w:noProof w:val="0"/>
          <w:szCs w:val="20"/>
          <w:lang w:val="en-US"/>
        </w:rPr>
        <w:t>000</w:t>
      </w:r>
      <w:r w:rsidRPr="004542B5">
        <w:rPr>
          <w:noProof w:val="0"/>
          <w:szCs w:val="20"/>
          <w:lang w:val="en-US"/>
        </w:rPr>
        <w:t>.00</w:t>
      </w:r>
      <w:r w:rsidR="00D72EB6" w:rsidRPr="004542B5">
        <w:rPr>
          <w:noProof w:val="0"/>
          <w:szCs w:val="20"/>
          <w:lang w:val="en-US"/>
        </w:rPr>
        <w:t xml:space="preserve"> (</w:t>
      </w:r>
      <w:r w:rsidRPr="004542B5">
        <w:rPr>
          <w:noProof w:val="0"/>
          <w:szCs w:val="20"/>
          <w:lang w:val="en-US"/>
        </w:rPr>
        <w:t>two hundred and fifty</w:t>
      </w:r>
      <w:r w:rsidR="00D72EB6" w:rsidRPr="004542B5">
        <w:rPr>
          <w:noProof w:val="0"/>
          <w:szCs w:val="20"/>
          <w:lang w:val="en-US"/>
        </w:rPr>
        <w:t xml:space="preserve"> </w:t>
      </w:r>
      <w:r w:rsidR="007E7A76" w:rsidRPr="004542B5">
        <w:rPr>
          <w:noProof w:val="0"/>
          <w:szCs w:val="20"/>
          <w:lang w:val="en-US"/>
        </w:rPr>
        <w:t>thousand United States dollars</w:t>
      </w:r>
      <w:r w:rsidR="00D72EB6" w:rsidRPr="004542B5">
        <w:rPr>
          <w:noProof w:val="0"/>
          <w:szCs w:val="20"/>
          <w:lang w:val="en-US"/>
        </w:rPr>
        <w:t xml:space="preserve">), </w:t>
      </w:r>
      <w:r w:rsidR="005C4449" w:rsidRPr="004542B5">
        <w:rPr>
          <w:noProof w:val="0"/>
          <w:szCs w:val="20"/>
          <w:lang w:val="en-US"/>
        </w:rPr>
        <w:t>for the Ipetí and Piriatí Emberá communities, and US$1,000,000.00 (one million United States dollars) for the Kuna people of Madungandí, which shall be delivered to the representatives of the respective indigenous communities. Payment of this sum must be made within one year of notification of this judgment.</w:t>
      </w:r>
    </w:p>
    <w:p w14:paraId="1EFAF3BE" w14:textId="439FF302" w:rsidR="00AC026A" w:rsidRPr="004542B5" w:rsidRDefault="00133200" w:rsidP="00E01664">
      <w:pPr>
        <w:pStyle w:val="ListParagraph"/>
        <w:numPr>
          <w:ilvl w:val="0"/>
          <w:numId w:val="13"/>
        </w:numPr>
        <w:spacing w:before="240" w:after="240"/>
        <w:ind w:left="714" w:hanging="357"/>
        <w:contextualSpacing w:val="0"/>
        <w:outlineLvl w:val="1"/>
        <w:rPr>
          <w:b/>
          <w:i/>
          <w:noProof w:val="0"/>
          <w:szCs w:val="20"/>
          <w:lang w:val="en-US"/>
        </w:rPr>
      </w:pPr>
      <w:bookmarkStart w:id="268" w:name="_Toc45200909"/>
      <w:r w:rsidRPr="004542B5">
        <w:rPr>
          <w:b/>
          <w:i/>
          <w:noProof w:val="0"/>
          <w:szCs w:val="20"/>
          <w:lang w:val="en-US"/>
        </w:rPr>
        <w:t>Costs and expenses</w:t>
      </w:r>
      <w:bookmarkEnd w:id="268"/>
    </w:p>
    <w:p w14:paraId="1C658F9A" w14:textId="2768D557" w:rsidR="00AC026A" w:rsidRPr="004542B5" w:rsidRDefault="007B47B1" w:rsidP="00E01664">
      <w:pPr>
        <w:pStyle w:val="Heading3"/>
        <w:rPr>
          <w:i w:val="0"/>
          <w:noProof w:val="0"/>
          <w:lang w:val="en-US"/>
        </w:rPr>
      </w:pPr>
      <w:bookmarkStart w:id="269" w:name="_Toc45200910"/>
      <w:r w:rsidRPr="004542B5">
        <w:rPr>
          <w:noProof w:val="0"/>
          <w:lang w:val="en-US"/>
        </w:rPr>
        <w:t xml:space="preserve">D.1. </w:t>
      </w:r>
      <w:r w:rsidR="00EC434E" w:rsidRPr="004542B5">
        <w:rPr>
          <w:noProof w:val="0"/>
          <w:lang w:val="en-US"/>
        </w:rPr>
        <w:t>Arguments</w:t>
      </w:r>
      <w:r w:rsidR="008A56D7" w:rsidRPr="004542B5">
        <w:rPr>
          <w:noProof w:val="0"/>
          <w:lang w:val="en-US"/>
        </w:rPr>
        <w:t xml:space="preserve"> </w:t>
      </w:r>
      <w:r w:rsidR="00B902E7" w:rsidRPr="004542B5">
        <w:rPr>
          <w:noProof w:val="0"/>
          <w:lang w:val="en-US"/>
        </w:rPr>
        <w:t>of the parties</w:t>
      </w:r>
      <w:bookmarkEnd w:id="269"/>
    </w:p>
    <w:p w14:paraId="7F42B6AC" w14:textId="7FA02D93" w:rsidR="00AC026A" w:rsidRPr="004542B5" w:rsidRDefault="00562CBB" w:rsidP="00E01664">
      <w:pPr>
        <w:pStyle w:val="ListParagraph"/>
        <w:numPr>
          <w:ilvl w:val="0"/>
          <w:numId w:val="2"/>
        </w:numPr>
        <w:spacing w:before="120" w:after="120"/>
        <w:contextualSpacing w:val="0"/>
        <w:rPr>
          <w:noProof w:val="0"/>
          <w:szCs w:val="20"/>
          <w:lang w:val="en-US"/>
        </w:rPr>
      </w:pPr>
      <w:r w:rsidRPr="004542B5">
        <w:rPr>
          <w:noProof w:val="0"/>
          <w:szCs w:val="20"/>
          <w:lang w:val="en-US"/>
        </w:rPr>
        <w:t>The representatives</w:t>
      </w:r>
      <w:r w:rsidR="007B47B1" w:rsidRPr="004542B5">
        <w:rPr>
          <w:i/>
          <w:noProof w:val="0"/>
          <w:szCs w:val="20"/>
          <w:lang w:val="en-US"/>
        </w:rPr>
        <w:t xml:space="preserve"> </w:t>
      </w:r>
      <w:r w:rsidR="005C4449" w:rsidRPr="004542B5">
        <w:rPr>
          <w:noProof w:val="0"/>
          <w:szCs w:val="20"/>
          <w:lang w:val="en-US"/>
        </w:rPr>
        <w:t xml:space="preserve">referred to the report on compensation </w:t>
      </w:r>
      <w:r w:rsidR="00CD2B90" w:rsidRPr="004542B5">
        <w:rPr>
          <w:noProof w:val="0"/>
          <w:szCs w:val="20"/>
          <w:lang w:val="en-US"/>
        </w:rPr>
        <w:t xml:space="preserve">and </w:t>
      </w:r>
      <w:r w:rsidR="00517C7D" w:rsidRPr="004542B5">
        <w:rPr>
          <w:noProof w:val="0"/>
          <w:szCs w:val="20"/>
          <w:lang w:val="en-US"/>
        </w:rPr>
        <w:t>reparations</w:t>
      </w:r>
      <w:r w:rsidR="007B47B1" w:rsidRPr="004542B5">
        <w:rPr>
          <w:noProof w:val="0"/>
          <w:szCs w:val="20"/>
          <w:lang w:val="en-US"/>
        </w:rPr>
        <w:t xml:space="preserve"> </w:t>
      </w:r>
      <w:r w:rsidR="005C4449" w:rsidRPr="004542B5">
        <w:rPr>
          <w:noProof w:val="0"/>
          <w:szCs w:val="20"/>
          <w:lang w:val="en-US"/>
        </w:rPr>
        <w:t xml:space="preserve">of April </w:t>
      </w:r>
      <w:r w:rsidR="007B47B1" w:rsidRPr="004542B5">
        <w:rPr>
          <w:noProof w:val="0"/>
          <w:szCs w:val="20"/>
          <w:lang w:val="en-US"/>
        </w:rPr>
        <w:t>2014 (</w:t>
      </w:r>
      <w:r w:rsidR="007B47B1" w:rsidRPr="004542B5">
        <w:rPr>
          <w:i/>
          <w:noProof w:val="0"/>
          <w:szCs w:val="20"/>
          <w:lang w:val="en-US"/>
        </w:rPr>
        <w:t>supra</w:t>
      </w:r>
      <w:r w:rsidR="007B47B1" w:rsidRPr="004542B5">
        <w:rPr>
          <w:noProof w:val="0"/>
          <w:szCs w:val="20"/>
          <w:lang w:val="en-US"/>
        </w:rPr>
        <w:t xml:space="preserve"> </w:t>
      </w:r>
      <w:r w:rsidR="00F66B76" w:rsidRPr="004542B5">
        <w:rPr>
          <w:noProof w:val="0"/>
          <w:szCs w:val="20"/>
          <w:lang w:val="en-US"/>
        </w:rPr>
        <w:t>para.</w:t>
      </w:r>
      <w:r w:rsidR="007B47B1" w:rsidRPr="004542B5">
        <w:rPr>
          <w:noProof w:val="0"/>
          <w:szCs w:val="20"/>
          <w:lang w:val="en-US"/>
        </w:rPr>
        <w:t xml:space="preserve"> </w:t>
      </w:r>
      <w:r w:rsidR="00C73217" w:rsidRPr="004542B5">
        <w:rPr>
          <w:noProof w:val="0"/>
          <w:szCs w:val="20"/>
          <w:lang w:val="en-US"/>
        </w:rPr>
        <w:t>12</w:t>
      </w:r>
      <w:r w:rsidR="007B47B1" w:rsidRPr="004542B5">
        <w:rPr>
          <w:noProof w:val="0"/>
          <w:szCs w:val="20"/>
          <w:lang w:val="en-US"/>
        </w:rPr>
        <w:t xml:space="preserve">), </w:t>
      </w:r>
      <w:r w:rsidR="005C4449" w:rsidRPr="004542B5">
        <w:rPr>
          <w:noProof w:val="0"/>
          <w:szCs w:val="20"/>
          <w:lang w:val="en-US"/>
        </w:rPr>
        <w:t xml:space="preserve">forwarded as an </w:t>
      </w:r>
      <w:r w:rsidR="0093764D" w:rsidRPr="004542B5">
        <w:rPr>
          <w:noProof w:val="0"/>
          <w:szCs w:val="20"/>
          <w:lang w:val="en-US"/>
        </w:rPr>
        <w:t>annex</w:t>
      </w:r>
      <w:r w:rsidR="007B47B1" w:rsidRPr="004542B5">
        <w:rPr>
          <w:noProof w:val="0"/>
          <w:szCs w:val="20"/>
          <w:lang w:val="en-US"/>
        </w:rPr>
        <w:t xml:space="preserve"> </w:t>
      </w:r>
      <w:r w:rsidR="005C4449" w:rsidRPr="004542B5">
        <w:rPr>
          <w:noProof w:val="0"/>
          <w:szCs w:val="20"/>
          <w:lang w:val="en-US"/>
        </w:rPr>
        <w:t>to their final written arguments, specifically to certain “Administrative costs.” Neither t</w:t>
      </w:r>
      <w:r w:rsidRPr="004542B5">
        <w:rPr>
          <w:noProof w:val="0"/>
          <w:szCs w:val="20"/>
          <w:lang w:val="en-US"/>
        </w:rPr>
        <w:t>he Commission</w:t>
      </w:r>
      <w:r w:rsidR="00CD2B90" w:rsidRPr="004542B5">
        <w:rPr>
          <w:iCs/>
          <w:noProof w:val="0"/>
          <w:szCs w:val="20"/>
          <w:lang w:val="en-US"/>
        </w:rPr>
        <w:t xml:space="preserve"> </w:t>
      </w:r>
      <w:r w:rsidR="005C4449" w:rsidRPr="004542B5">
        <w:rPr>
          <w:iCs/>
          <w:noProof w:val="0"/>
          <w:szCs w:val="20"/>
          <w:lang w:val="en-US"/>
        </w:rPr>
        <w:t>nor</w:t>
      </w:r>
      <w:r w:rsidR="00CD2B90" w:rsidRPr="004542B5">
        <w:rPr>
          <w:i/>
          <w:noProof w:val="0"/>
          <w:szCs w:val="20"/>
          <w:lang w:val="en-US"/>
        </w:rPr>
        <w:t xml:space="preserve"> </w:t>
      </w:r>
      <w:r w:rsidRPr="004542B5">
        <w:rPr>
          <w:noProof w:val="0"/>
          <w:szCs w:val="20"/>
          <w:lang w:val="en-US"/>
        </w:rPr>
        <w:t>the State</w:t>
      </w:r>
      <w:r w:rsidR="007B47B1" w:rsidRPr="004542B5">
        <w:rPr>
          <w:noProof w:val="0"/>
          <w:szCs w:val="20"/>
          <w:lang w:val="en-US"/>
        </w:rPr>
        <w:t xml:space="preserve"> </w:t>
      </w:r>
      <w:r w:rsidR="005C4449" w:rsidRPr="004542B5">
        <w:rPr>
          <w:noProof w:val="0"/>
          <w:szCs w:val="20"/>
          <w:lang w:val="en-US"/>
        </w:rPr>
        <w:t xml:space="preserve">presented arguments on this point. </w:t>
      </w:r>
    </w:p>
    <w:p w14:paraId="3D66D95F" w14:textId="5111D392" w:rsidR="00AC026A" w:rsidRPr="004542B5" w:rsidRDefault="007B47B1" w:rsidP="00E01664">
      <w:pPr>
        <w:pStyle w:val="Heading3"/>
        <w:rPr>
          <w:i w:val="0"/>
          <w:noProof w:val="0"/>
          <w:lang w:val="en-US"/>
        </w:rPr>
      </w:pPr>
      <w:bookmarkStart w:id="270" w:name="_Toc45200911"/>
      <w:r w:rsidRPr="004542B5">
        <w:rPr>
          <w:noProof w:val="0"/>
          <w:lang w:val="en-US"/>
        </w:rPr>
        <w:t xml:space="preserve">D.2. </w:t>
      </w:r>
      <w:r w:rsidR="00B902E7" w:rsidRPr="004542B5">
        <w:rPr>
          <w:noProof w:val="0"/>
          <w:lang w:val="en-US"/>
        </w:rPr>
        <w:t>Considerations</w:t>
      </w:r>
      <w:r w:rsidR="008A56D7" w:rsidRPr="004542B5">
        <w:rPr>
          <w:noProof w:val="0"/>
          <w:lang w:val="en-US"/>
        </w:rPr>
        <w:t xml:space="preserve"> of the </w:t>
      </w:r>
      <w:r w:rsidR="00562CBB" w:rsidRPr="004542B5">
        <w:rPr>
          <w:noProof w:val="0"/>
          <w:lang w:val="en-US"/>
        </w:rPr>
        <w:t>Court</w:t>
      </w:r>
      <w:bookmarkEnd w:id="270"/>
    </w:p>
    <w:p w14:paraId="2DADF924" w14:textId="3F7902D3" w:rsidR="00AC026A" w:rsidRPr="004542B5" w:rsidRDefault="007B47B1" w:rsidP="00E01664">
      <w:pPr>
        <w:pStyle w:val="ListParagraph"/>
        <w:numPr>
          <w:ilvl w:val="0"/>
          <w:numId w:val="2"/>
        </w:numPr>
        <w:tabs>
          <w:tab w:val="num" w:pos="360"/>
        </w:tabs>
        <w:spacing w:before="120" w:after="120"/>
        <w:contextualSpacing w:val="0"/>
        <w:rPr>
          <w:noProof w:val="0"/>
          <w:szCs w:val="20"/>
          <w:lang w:val="en-US"/>
        </w:rPr>
      </w:pPr>
      <w:r w:rsidRPr="004542B5">
        <w:rPr>
          <w:noProof w:val="0"/>
          <w:szCs w:val="20"/>
          <w:lang w:val="en-US"/>
        </w:rPr>
        <w:t xml:space="preserve"> </w:t>
      </w:r>
      <w:r w:rsidR="00562CBB" w:rsidRPr="004542B5">
        <w:rPr>
          <w:noProof w:val="0"/>
          <w:szCs w:val="20"/>
          <w:lang w:val="en-US"/>
        </w:rPr>
        <w:t>The Court</w:t>
      </w:r>
      <w:r w:rsidRPr="004542B5">
        <w:rPr>
          <w:noProof w:val="0"/>
          <w:szCs w:val="20"/>
          <w:lang w:val="en-US"/>
        </w:rPr>
        <w:t xml:space="preserve"> reitera</w:t>
      </w:r>
      <w:r w:rsidR="005C4449" w:rsidRPr="004542B5">
        <w:rPr>
          <w:noProof w:val="0"/>
          <w:szCs w:val="20"/>
          <w:lang w:val="en-US"/>
        </w:rPr>
        <w:t>tes that, pursuant to its case law,</w:t>
      </w:r>
      <w:r w:rsidRPr="004542B5">
        <w:rPr>
          <w:rStyle w:val="FootnoteReference"/>
          <w:noProof w:val="0"/>
          <w:lang w:val="en-US"/>
        </w:rPr>
        <w:footnoteReference w:id="272"/>
      </w:r>
      <w:r w:rsidRPr="004542B5">
        <w:rPr>
          <w:noProof w:val="0"/>
          <w:lang w:val="en-US"/>
        </w:rPr>
        <w:t xml:space="preserve"> </w:t>
      </w:r>
      <w:r w:rsidR="00133200" w:rsidRPr="004542B5">
        <w:rPr>
          <w:noProof w:val="0"/>
          <w:lang w:val="en-US"/>
        </w:rPr>
        <w:t>costs and expenses</w:t>
      </w:r>
      <w:r w:rsidRPr="004542B5">
        <w:rPr>
          <w:noProof w:val="0"/>
          <w:lang w:val="en-US"/>
        </w:rPr>
        <w:t xml:space="preserve"> </w:t>
      </w:r>
      <w:r w:rsidR="00F32AB2" w:rsidRPr="004542B5">
        <w:rPr>
          <w:noProof w:val="0"/>
          <w:lang w:val="en-US"/>
        </w:rPr>
        <w:t>form</w:t>
      </w:r>
      <w:r w:rsidR="005C4449" w:rsidRPr="004542B5">
        <w:rPr>
          <w:noProof w:val="0"/>
          <w:lang w:val="en-US"/>
        </w:rPr>
        <w:t xml:space="preserve"> part of the concept of reparation</w:t>
      </w:r>
      <w:r w:rsidR="00F32AB2" w:rsidRPr="004542B5">
        <w:rPr>
          <w:noProof w:val="0"/>
          <w:lang w:val="en-US"/>
        </w:rPr>
        <w:t>s</w:t>
      </w:r>
      <w:r w:rsidR="005C4449" w:rsidRPr="004542B5">
        <w:rPr>
          <w:noProof w:val="0"/>
          <w:lang w:val="en-US"/>
        </w:rPr>
        <w:t xml:space="preserve"> because the actions taken by the victims in order to obtain justice, at both the national and international level, entail expenditure that must be compensated when the international responsibility of the State has been declared in a judgment.</w:t>
      </w:r>
    </w:p>
    <w:p w14:paraId="063B9593" w14:textId="32C16D9C" w:rsidR="00AC026A" w:rsidRPr="004542B5" w:rsidRDefault="005C4449" w:rsidP="005C4449">
      <w:pPr>
        <w:pStyle w:val="ListParagraph"/>
        <w:numPr>
          <w:ilvl w:val="0"/>
          <w:numId w:val="2"/>
        </w:numPr>
        <w:spacing w:before="120" w:after="120"/>
        <w:contextualSpacing w:val="0"/>
        <w:rPr>
          <w:noProof w:val="0"/>
          <w:szCs w:val="20"/>
          <w:lang w:val="en-US"/>
        </w:rPr>
      </w:pPr>
      <w:r w:rsidRPr="004542B5">
        <w:rPr>
          <w:noProof w:val="0"/>
          <w:lang w:val="en-US"/>
        </w:rPr>
        <w:t xml:space="preserve">Regarding the reimbursement of expenses, the Court must assess their scope prudently, and this includes the expenses arising before the authorities of the domestic jurisdiction and also those incurred during the proceedings before the inter-American system, taking into account the circumstances of the specific case and the nature of the international jurisdiction for the protection of human rights. The said assessment may be made based on the principle of equity and taking into account the expenses indicated by the parties, provided that their </w:t>
      </w:r>
      <w:r w:rsidRPr="004542B5">
        <w:rPr>
          <w:i/>
          <w:iCs/>
          <w:noProof w:val="0"/>
          <w:lang w:val="en-US"/>
        </w:rPr>
        <w:t xml:space="preserve">quantum </w:t>
      </w:r>
      <w:r w:rsidRPr="004542B5">
        <w:rPr>
          <w:noProof w:val="0"/>
          <w:lang w:val="en-US"/>
        </w:rPr>
        <w:t>is reasonable.</w:t>
      </w:r>
      <w:r w:rsidR="007B47B1" w:rsidRPr="004542B5">
        <w:rPr>
          <w:rStyle w:val="FootnoteReference"/>
          <w:noProof w:val="0"/>
          <w:lang w:val="en-US"/>
        </w:rPr>
        <w:footnoteReference w:id="273"/>
      </w:r>
      <w:r w:rsidR="007B47B1" w:rsidRPr="004542B5">
        <w:rPr>
          <w:noProof w:val="0"/>
          <w:szCs w:val="20"/>
          <w:lang w:val="en-US"/>
        </w:rPr>
        <w:t xml:space="preserve"> </w:t>
      </w:r>
      <w:r w:rsidRPr="004542B5">
        <w:rPr>
          <w:noProof w:val="0"/>
          <w:szCs w:val="20"/>
          <w:lang w:val="en-US"/>
        </w:rPr>
        <w:t xml:space="preserve">Furthermore, </w:t>
      </w:r>
      <w:r w:rsidR="006110CB" w:rsidRPr="004542B5">
        <w:rPr>
          <w:noProof w:val="0"/>
          <w:szCs w:val="20"/>
          <w:lang w:val="en-US"/>
        </w:rPr>
        <w:t>the</w:t>
      </w:r>
      <w:r w:rsidRPr="004542B5">
        <w:rPr>
          <w:noProof w:val="0"/>
          <w:szCs w:val="20"/>
          <w:lang w:val="en-US"/>
        </w:rPr>
        <w:t xml:space="preserve"> Court reiterates that is not sufficient to merely forward evidentiary documents; rather the parties must include arguments that relate the evidence to the fact that it is considered to represent and, in the case of financial disbursements, the items and their justification must be clearly established.</w:t>
      </w:r>
      <w:r w:rsidR="007B47B1" w:rsidRPr="004542B5">
        <w:rPr>
          <w:rStyle w:val="FootnoteReference"/>
          <w:noProof w:val="0"/>
          <w:lang w:val="en-US"/>
        </w:rPr>
        <w:footnoteReference w:id="274"/>
      </w:r>
    </w:p>
    <w:p w14:paraId="36E5E46C" w14:textId="3AF93CFD" w:rsidR="007C7B04" w:rsidRPr="004542B5" w:rsidRDefault="005C4449" w:rsidP="00E01664">
      <w:pPr>
        <w:pStyle w:val="ListParagraph"/>
        <w:numPr>
          <w:ilvl w:val="0"/>
          <w:numId w:val="2"/>
        </w:numPr>
        <w:spacing w:before="120" w:after="120"/>
        <w:contextualSpacing w:val="0"/>
        <w:rPr>
          <w:noProof w:val="0"/>
          <w:szCs w:val="20"/>
          <w:lang w:val="en-US"/>
        </w:rPr>
      </w:pPr>
      <w:r w:rsidRPr="004542B5">
        <w:rPr>
          <w:noProof w:val="0"/>
          <w:lang w:val="en-US"/>
        </w:rPr>
        <w:t xml:space="preserve">The Court considers that, in this case, the compensation for </w:t>
      </w:r>
      <w:r w:rsidR="00B902E7" w:rsidRPr="004542B5">
        <w:rPr>
          <w:noProof w:val="0"/>
          <w:lang w:val="en-US"/>
        </w:rPr>
        <w:t>pecuniary damage</w:t>
      </w:r>
      <w:r w:rsidR="007B47B1" w:rsidRPr="004542B5">
        <w:rPr>
          <w:noProof w:val="0"/>
          <w:lang w:val="en-US"/>
        </w:rPr>
        <w:t xml:space="preserve"> </w:t>
      </w:r>
      <w:r w:rsidRPr="004542B5">
        <w:rPr>
          <w:noProof w:val="0"/>
          <w:lang w:val="en-US"/>
        </w:rPr>
        <w:t xml:space="preserve">should include the expenses incurred by </w:t>
      </w:r>
      <w:r w:rsidR="003234E7" w:rsidRPr="004542B5">
        <w:rPr>
          <w:noProof w:val="0"/>
          <w:lang w:val="en-US"/>
        </w:rPr>
        <w:t>the members</w:t>
      </w:r>
      <w:r w:rsidR="004D0B27" w:rsidRPr="004542B5">
        <w:rPr>
          <w:noProof w:val="0"/>
          <w:lang w:val="en-US"/>
        </w:rPr>
        <w:t xml:space="preserve"> of the </w:t>
      </w:r>
      <w:r w:rsidR="003C263F" w:rsidRPr="004542B5">
        <w:rPr>
          <w:noProof w:val="0"/>
          <w:lang w:val="en-US"/>
        </w:rPr>
        <w:t>Kuna and Emberá peoples</w:t>
      </w:r>
      <w:r w:rsidR="007B47B1" w:rsidRPr="004542B5">
        <w:rPr>
          <w:noProof w:val="0"/>
          <w:lang w:val="en-US"/>
        </w:rPr>
        <w:t xml:space="preserve"> </w:t>
      </w:r>
      <w:r w:rsidR="005603EF" w:rsidRPr="004542B5">
        <w:rPr>
          <w:noProof w:val="0"/>
          <w:lang w:val="en-US"/>
        </w:rPr>
        <w:t xml:space="preserve">in the different actions they took in order to claim their rights at the domestic level. In this regard, the Court notes that the table provided by </w:t>
      </w:r>
      <w:r w:rsidR="00562CBB" w:rsidRPr="004542B5">
        <w:rPr>
          <w:noProof w:val="0"/>
          <w:lang w:val="en-US"/>
        </w:rPr>
        <w:t>the representatives</w:t>
      </w:r>
      <w:r w:rsidR="007B47B1" w:rsidRPr="004542B5">
        <w:rPr>
          <w:noProof w:val="0"/>
          <w:lang w:val="en-US"/>
        </w:rPr>
        <w:t xml:space="preserve"> </w:t>
      </w:r>
      <w:r w:rsidR="005603EF" w:rsidRPr="004542B5">
        <w:rPr>
          <w:noProof w:val="0"/>
          <w:lang w:val="en-US"/>
        </w:rPr>
        <w:t>together with the</w:t>
      </w:r>
      <w:r w:rsidR="00F32AB2" w:rsidRPr="004542B5">
        <w:rPr>
          <w:noProof w:val="0"/>
          <w:lang w:val="en-US"/>
        </w:rPr>
        <w:t>ir</w:t>
      </w:r>
      <w:r w:rsidR="005603EF" w:rsidRPr="004542B5">
        <w:rPr>
          <w:noProof w:val="0"/>
          <w:lang w:val="en-US"/>
        </w:rPr>
        <w:t xml:space="preserve"> final written arguments refers to “Administrative costs” of </w:t>
      </w:r>
      <w:r w:rsidR="007B47B1" w:rsidRPr="004542B5">
        <w:rPr>
          <w:noProof w:val="0"/>
          <w:lang w:val="en-US"/>
        </w:rPr>
        <w:t>B/</w:t>
      </w:r>
      <w:r w:rsidR="005603EF" w:rsidRPr="004542B5">
        <w:rPr>
          <w:noProof w:val="0"/>
          <w:lang w:val="en-US"/>
        </w:rPr>
        <w:t>.</w:t>
      </w:r>
      <w:r w:rsidR="007B47B1" w:rsidRPr="004542B5">
        <w:rPr>
          <w:noProof w:val="0"/>
          <w:lang w:val="en-US"/>
        </w:rPr>
        <w:t>666,402.92</w:t>
      </w:r>
      <w:r w:rsidR="005603EF" w:rsidRPr="004542B5">
        <w:rPr>
          <w:noProof w:val="0"/>
          <w:lang w:val="en-US"/>
        </w:rPr>
        <w:t>.</w:t>
      </w:r>
      <w:r w:rsidR="007B47B1" w:rsidRPr="004542B5">
        <w:rPr>
          <w:rStyle w:val="FootnoteReference"/>
          <w:noProof w:val="0"/>
          <w:lang w:val="en-US"/>
        </w:rPr>
        <w:footnoteReference w:id="275"/>
      </w:r>
      <w:r w:rsidR="007B47B1" w:rsidRPr="004542B5">
        <w:rPr>
          <w:noProof w:val="0"/>
          <w:szCs w:val="20"/>
          <w:lang w:val="en-US"/>
        </w:rPr>
        <w:t xml:space="preserve"> </w:t>
      </w:r>
      <w:r w:rsidR="005603EF" w:rsidRPr="004542B5">
        <w:rPr>
          <w:noProof w:val="0"/>
          <w:szCs w:val="20"/>
          <w:lang w:val="en-US"/>
        </w:rPr>
        <w:t xml:space="preserve">It should be pointed out that these costs refer to the Kuna people only and </w:t>
      </w:r>
      <w:r w:rsidR="005603EF" w:rsidRPr="004542B5">
        <w:rPr>
          <w:noProof w:val="0"/>
          <w:lang w:val="en-US"/>
        </w:rPr>
        <w:t>no evidence was provided to substantiate this sum</w:t>
      </w:r>
      <w:r w:rsidR="007B47B1" w:rsidRPr="004542B5">
        <w:rPr>
          <w:noProof w:val="0"/>
          <w:lang w:val="en-US"/>
        </w:rPr>
        <w:t>.</w:t>
      </w:r>
      <w:r w:rsidR="00B07C65" w:rsidRPr="004542B5">
        <w:rPr>
          <w:noProof w:val="0"/>
          <w:lang w:val="en-US"/>
        </w:rPr>
        <w:t xml:space="preserve"> </w:t>
      </w:r>
      <w:r w:rsidR="005603EF" w:rsidRPr="004542B5">
        <w:rPr>
          <w:noProof w:val="0"/>
          <w:lang w:val="en-US"/>
        </w:rPr>
        <w:t xml:space="preserve">Also, the </w:t>
      </w:r>
      <w:r w:rsidR="005603EF" w:rsidRPr="004542B5">
        <w:rPr>
          <w:noProof w:val="0"/>
          <w:lang w:val="en-US"/>
        </w:rPr>
        <w:lastRenderedPageBreak/>
        <w:t xml:space="preserve">table of compensation and reparations of July 2009 includes as “Operating costs” of the </w:t>
      </w:r>
      <w:r w:rsidR="00E74A3B" w:rsidRPr="004542B5">
        <w:rPr>
          <w:noProof w:val="0"/>
          <w:lang w:val="en-US"/>
        </w:rPr>
        <w:t xml:space="preserve">Piriatí </w:t>
      </w:r>
      <w:r w:rsidR="005603EF" w:rsidRPr="004542B5">
        <w:rPr>
          <w:noProof w:val="0"/>
          <w:lang w:val="en-US"/>
        </w:rPr>
        <w:t xml:space="preserve">and Ipetí </w:t>
      </w:r>
      <w:r w:rsidR="00E74A3B" w:rsidRPr="004542B5">
        <w:rPr>
          <w:noProof w:val="0"/>
          <w:lang w:val="en-US"/>
        </w:rPr>
        <w:t>Emberá</w:t>
      </w:r>
      <w:r w:rsidR="00F32AB2" w:rsidRPr="004542B5">
        <w:rPr>
          <w:noProof w:val="0"/>
          <w:lang w:val="en-US"/>
        </w:rPr>
        <w:t xml:space="preserve"> Congress</w:t>
      </w:r>
      <w:r w:rsidR="007B47B1" w:rsidRPr="004542B5">
        <w:rPr>
          <w:noProof w:val="0"/>
          <w:lang w:val="en-US"/>
        </w:rPr>
        <w:t xml:space="preserve"> </w:t>
      </w:r>
      <w:r w:rsidR="005603EF" w:rsidRPr="004542B5">
        <w:rPr>
          <w:noProof w:val="0"/>
          <w:lang w:val="en-US"/>
        </w:rPr>
        <w:t xml:space="preserve">a total of </w:t>
      </w:r>
      <w:r w:rsidR="007B47B1" w:rsidRPr="004542B5">
        <w:rPr>
          <w:noProof w:val="0"/>
          <w:lang w:val="en-US"/>
        </w:rPr>
        <w:t>B/</w:t>
      </w:r>
      <w:r w:rsidR="005603EF" w:rsidRPr="004542B5">
        <w:rPr>
          <w:noProof w:val="0"/>
          <w:lang w:val="en-US"/>
        </w:rPr>
        <w:t>.</w:t>
      </w:r>
      <w:r w:rsidR="007B47B1" w:rsidRPr="004542B5">
        <w:rPr>
          <w:noProof w:val="0"/>
          <w:lang w:val="en-US"/>
        </w:rPr>
        <w:t>350,000</w:t>
      </w:r>
      <w:r w:rsidR="00C20C98" w:rsidRPr="004542B5">
        <w:rPr>
          <w:noProof w:val="0"/>
          <w:lang w:val="en-US"/>
        </w:rPr>
        <w:t>.00</w:t>
      </w:r>
      <w:r w:rsidR="007B47B1" w:rsidRPr="004542B5">
        <w:rPr>
          <w:noProof w:val="0"/>
          <w:lang w:val="en-US"/>
        </w:rPr>
        <w:t>, “</w:t>
      </w:r>
      <w:r w:rsidR="005603EF" w:rsidRPr="004542B5">
        <w:rPr>
          <w:noProof w:val="0"/>
          <w:lang w:val="en-US"/>
        </w:rPr>
        <w:t xml:space="preserve">for </w:t>
      </w:r>
      <w:r w:rsidR="00F32AB2" w:rsidRPr="004542B5">
        <w:rPr>
          <w:noProof w:val="0"/>
          <w:lang w:val="en-US"/>
        </w:rPr>
        <w:t>all</w:t>
      </w:r>
      <w:r w:rsidR="005603EF" w:rsidRPr="004542B5">
        <w:rPr>
          <w:noProof w:val="0"/>
          <w:lang w:val="en-US"/>
        </w:rPr>
        <w:t xml:space="preserve"> procedure</w:t>
      </w:r>
      <w:r w:rsidR="00F32AB2" w:rsidRPr="004542B5">
        <w:rPr>
          <w:noProof w:val="0"/>
          <w:lang w:val="en-US"/>
        </w:rPr>
        <w:t>s</w:t>
      </w:r>
      <w:r w:rsidR="005603EF" w:rsidRPr="004542B5">
        <w:rPr>
          <w:noProof w:val="0"/>
          <w:lang w:val="en-US"/>
        </w:rPr>
        <w:t>, transportation</w:t>
      </w:r>
      <w:r w:rsidR="00F32AB2" w:rsidRPr="004542B5">
        <w:rPr>
          <w:noProof w:val="0"/>
          <w:lang w:val="en-US"/>
        </w:rPr>
        <w:t xml:space="preserve"> expenses</w:t>
      </w:r>
      <w:r w:rsidR="005603EF" w:rsidRPr="004542B5">
        <w:rPr>
          <w:noProof w:val="0"/>
          <w:lang w:val="en-US"/>
        </w:rPr>
        <w:t xml:space="preserve">, local and government meetings </w:t>
      </w:r>
      <w:r w:rsidR="007B47B1" w:rsidRPr="004542B5">
        <w:rPr>
          <w:noProof w:val="0"/>
          <w:lang w:val="en-US"/>
        </w:rPr>
        <w:t xml:space="preserve">[…] </w:t>
      </w:r>
      <w:r w:rsidR="005603EF" w:rsidRPr="004542B5">
        <w:rPr>
          <w:noProof w:val="0"/>
          <w:lang w:val="en-US"/>
        </w:rPr>
        <w:t xml:space="preserve">for more </w:t>
      </w:r>
      <w:r w:rsidR="006110CB" w:rsidRPr="004542B5">
        <w:rPr>
          <w:noProof w:val="0"/>
          <w:lang w:val="en-US"/>
        </w:rPr>
        <w:t>than</w:t>
      </w:r>
      <w:r w:rsidR="007B47B1" w:rsidRPr="004542B5">
        <w:rPr>
          <w:noProof w:val="0"/>
          <w:lang w:val="en-US"/>
        </w:rPr>
        <w:t xml:space="preserve"> 30 </w:t>
      </w:r>
      <w:r w:rsidR="005603EF" w:rsidRPr="004542B5">
        <w:rPr>
          <w:noProof w:val="0"/>
          <w:lang w:val="en-US"/>
        </w:rPr>
        <w:t>years.</w:t>
      </w:r>
      <w:r w:rsidR="007B47B1" w:rsidRPr="004542B5">
        <w:rPr>
          <w:noProof w:val="0"/>
          <w:lang w:val="en-US"/>
        </w:rPr>
        <w:t>”</w:t>
      </w:r>
      <w:r w:rsidR="007B47B1" w:rsidRPr="004542B5">
        <w:rPr>
          <w:rStyle w:val="FootnoteReference"/>
          <w:noProof w:val="0"/>
          <w:lang w:val="en-US"/>
        </w:rPr>
        <w:footnoteReference w:id="276"/>
      </w:r>
    </w:p>
    <w:p w14:paraId="2C78C9AB" w14:textId="12A6779C" w:rsidR="00D72EB6" w:rsidRPr="004542B5" w:rsidRDefault="005603EF" w:rsidP="005603EF">
      <w:pPr>
        <w:pStyle w:val="ListParagraph"/>
        <w:numPr>
          <w:ilvl w:val="0"/>
          <w:numId w:val="2"/>
        </w:numPr>
        <w:spacing w:before="120" w:after="120"/>
        <w:contextualSpacing w:val="0"/>
        <w:rPr>
          <w:noProof w:val="0"/>
          <w:lang w:val="en-US"/>
        </w:rPr>
      </w:pPr>
      <w:r w:rsidRPr="004542B5">
        <w:rPr>
          <w:noProof w:val="0"/>
          <w:lang w:val="en-US"/>
        </w:rPr>
        <w:t>The Court notes that the r</w:t>
      </w:r>
      <w:r w:rsidR="00562CBB" w:rsidRPr="004542B5">
        <w:rPr>
          <w:noProof w:val="0"/>
          <w:lang w:val="en-US"/>
        </w:rPr>
        <w:t>epresentatives</w:t>
      </w:r>
      <w:r w:rsidR="007B47B1" w:rsidRPr="004542B5">
        <w:rPr>
          <w:noProof w:val="0"/>
          <w:lang w:val="en-US"/>
        </w:rPr>
        <w:t xml:space="preserve"> </w:t>
      </w:r>
      <w:r w:rsidRPr="004542B5">
        <w:rPr>
          <w:noProof w:val="0"/>
          <w:lang w:val="en-US"/>
        </w:rPr>
        <w:t>have not referred to expenses incurred during the litigation at the international level or provided evidence in this regard. Therefore, the Court has no supporting evidence to determine the expenses incurred due to this case.</w:t>
      </w:r>
      <w:r w:rsidR="007B47B1" w:rsidRPr="004542B5">
        <w:rPr>
          <w:rStyle w:val="FootnoteReference"/>
          <w:noProof w:val="0"/>
          <w:color w:val="000000"/>
          <w:lang w:val="en-US"/>
        </w:rPr>
        <w:footnoteReference w:id="277"/>
      </w:r>
      <w:r w:rsidRPr="004542B5">
        <w:rPr>
          <w:noProof w:val="0"/>
          <w:color w:val="000000"/>
          <w:lang w:val="en-US"/>
        </w:rPr>
        <w:t xml:space="preserve"> The only vouchers sent correspond to expenses relating to the reimbursement of the </w:t>
      </w:r>
      <w:r w:rsidR="00133200" w:rsidRPr="004542B5">
        <w:rPr>
          <w:noProof w:val="0"/>
          <w:szCs w:val="20"/>
          <w:lang w:val="en-US"/>
        </w:rPr>
        <w:t>Victims’ Legal Assistance Fund</w:t>
      </w:r>
      <w:r w:rsidR="007B47B1" w:rsidRPr="004542B5">
        <w:rPr>
          <w:noProof w:val="0"/>
          <w:szCs w:val="20"/>
          <w:lang w:val="en-US"/>
        </w:rPr>
        <w:t xml:space="preserve"> (</w:t>
      </w:r>
      <w:r w:rsidR="007B47B1" w:rsidRPr="004542B5">
        <w:rPr>
          <w:i/>
          <w:noProof w:val="0"/>
          <w:szCs w:val="20"/>
          <w:lang w:val="en-US"/>
        </w:rPr>
        <w:t>infra</w:t>
      </w:r>
      <w:r w:rsidR="007B47B1" w:rsidRPr="004542B5">
        <w:rPr>
          <w:noProof w:val="0"/>
          <w:szCs w:val="20"/>
          <w:lang w:val="en-US"/>
        </w:rPr>
        <w:t xml:space="preserve"> </w:t>
      </w:r>
      <w:r w:rsidR="00F66B76" w:rsidRPr="004542B5">
        <w:rPr>
          <w:noProof w:val="0"/>
          <w:szCs w:val="20"/>
          <w:lang w:val="en-US"/>
        </w:rPr>
        <w:t>paras.</w:t>
      </w:r>
      <w:r w:rsidR="007B47B1" w:rsidRPr="004542B5">
        <w:rPr>
          <w:noProof w:val="0"/>
          <w:szCs w:val="20"/>
          <w:lang w:val="en-US"/>
        </w:rPr>
        <w:t xml:space="preserve"> </w:t>
      </w:r>
      <w:r w:rsidR="00FA0C14" w:rsidRPr="004542B5">
        <w:rPr>
          <w:noProof w:val="0"/>
          <w:szCs w:val="20"/>
          <w:lang w:val="en-US"/>
        </w:rPr>
        <w:t>254</w:t>
      </w:r>
      <w:r w:rsidR="00CD2B90" w:rsidRPr="004542B5">
        <w:rPr>
          <w:noProof w:val="0"/>
          <w:szCs w:val="20"/>
          <w:lang w:val="en-US"/>
        </w:rPr>
        <w:t xml:space="preserve"> and </w:t>
      </w:r>
      <w:r w:rsidRPr="004542B5">
        <w:rPr>
          <w:i/>
          <w:iCs/>
          <w:noProof w:val="0"/>
          <w:szCs w:val="20"/>
          <w:lang w:val="en-US"/>
        </w:rPr>
        <w:t>ff</w:t>
      </w:r>
      <w:r w:rsidR="00FA0C14" w:rsidRPr="004542B5">
        <w:rPr>
          <w:i/>
          <w:iCs/>
          <w:noProof w:val="0"/>
          <w:szCs w:val="20"/>
          <w:lang w:val="en-US"/>
        </w:rPr>
        <w:t>.</w:t>
      </w:r>
      <w:r w:rsidR="007B47B1" w:rsidRPr="004542B5">
        <w:rPr>
          <w:noProof w:val="0"/>
          <w:szCs w:val="20"/>
          <w:lang w:val="en-US"/>
        </w:rPr>
        <w:t xml:space="preserve">). </w:t>
      </w:r>
    </w:p>
    <w:p w14:paraId="30DD7512" w14:textId="594637CB" w:rsidR="00AC026A" w:rsidRPr="004542B5" w:rsidRDefault="005603EF" w:rsidP="00E01664">
      <w:pPr>
        <w:pStyle w:val="ListParagraph"/>
        <w:numPr>
          <w:ilvl w:val="0"/>
          <w:numId w:val="2"/>
        </w:numPr>
        <w:spacing w:before="120" w:after="120"/>
        <w:contextualSpacing w:val="0"/>
        <w:rPr>
          <w:noProof w:val="0"/>
          <w:lang w:val="en-US"/>
        </w:rPr>
      </w:pPr>
      <w:r w:rsidRPr="004542B5">
        <w:rPr>
          <w:noProof w:val="0"/>
          <w:szCs w:val="20"/>
          <w:lang w:val="en-US"/>
        </w:rPr>
        <w:t>Consequently, the Court decides to establish a total of</w:t>
      </w:r>
      <w:r w:rsidR="003F6CBD" w:rsidRPr="004542B5">
        <w:rPr>
          <w:noProof w:val="0"/>
          <w:szCs w:val="20"/>
          <w:lang w:val="en-US"/>
        </w:rPr>
        <w:t xml:space="preserve"> </w:t>
      </w:r>
      <w:r w:rsidR="007E7A76" w:rsidRPr="004542B5">
        <w:rPr>
          <w:noProof w:val="0"/>
          <w:szCs w:val="20"/>
          <w:lang w:val="en-US"/>
        </w:rPr>
        <w:t>US$</w:t>
      </w:r>
      <w:r w:rsidR="003F6CBD" w:rsidRPr="004542B5">
        <w:rPr>
          <w:noProof w:val="0"/>
          <w:szCs w:val="20"/>
          <w:lang w:val="en-US"/>
        </w:rPr>
        <w:t>120</w:t>
      </w:r>
      <w:r w:rsidR="00C20C98" w:rsidRPr="004542B5">
        <w:rPr>
          <w:noProof w:val="0"/>
          <w:szCs w:val="20"/>
          <w:lang w:val="en-US"/>
        </w:rPr>
        <w:t>,</w:t>
      </w:r>
      <w:r w:rsidR="003F6CBD" w:rsidRPr="004542B5">
        <w:rPr>
          <w:noProof w:val="0"/>
          <w:szCs w:val="20"/>
          <w:lang w:val="en-US"/>
        </w:rPr>
        <w:t>000</w:t>
      </w:r>
      <w:r w:rsidR="00C20C98" w:rsidRPr="004542B5">
        <w:rPr>
          <w:noProof w:val="0"/>
          <w:szCs w:val="20"/>
          <w:lang w:val="en-US"/>
        </w:rPr>
        <w:t>.00</w:t>
      </w:r>
      <w:r w:rsidR="003F6CBD" w:rsidRPr="004542B5">
        <w:rPr>
          <w:noProof w:val="0"/>
          <w:szCs w:val="20"/>
          <w:lang w:val="en-US"/>
        </w:rPr>
        <w:t xml:space="preserve"> (</w:t>
      </w:r>
      <w:r w:rsidR="00C20C98" w:rsidRPr="004542B5">
        <w:rPr>
          <w:noProof w:val="0"/>
          <w:szCs w:val="20"/>
          <w:lang w:val="en-US"/>
        </w:rPr>
        <w:t>one hundred and twenty</w:t>
      </w:r>
      <w:r w:rsidR="003F6CBD" w:rsidRPr="004542B5">
        <w:rPr>
          <w:noProof w:val="0"/>
          <w:szCs w:val="20"/>
          <w:lang w:val="en-US"/>
        </w:rPr>
        <w:t xml:space="preserve"> </w:t>
      </w:r>
      <w:r w:rsidR="007E7A76" w:rsidRPr="004542B5">
        <w:rPr>
          <w:noProof w:val="0"/>
          <w:szCs w:val="20"/>
          <w:lang w:val="en-US"/>
        </w:rPr>
        <w:t>thousand United States dollars</w:t>
      </w:r>
      <w:r w:rsidR="003F6CBD" w:rsidRPr="004542B5">
        <w:rPr>
          <w:noProof w:val="0"/>
          <w:szCs w:val="20"/>
          <w:lang w:val="en-US"/>
        </w:rPr>
        <w:t>)</w:t>
      </w:r>
      <w:r w:rsidR="007B47B1" w:rsidRPr="004542B5">
        <w:rPr>
          <w:noProof w:val="0"/>
          <w:szCs w:val="20"/>
          <w:lang w:val="en-US"/>
        </w:rPr>
        <w:t xml:space="preserve">, </w:t>
      </w:r>
      <w:r w:rsidR="00750AC1" w:rsidRPr="004542B5">
        <w:rPr>
          <w:noProof w:val="0"/>
          <w:szCs w:val="20"/>
          <w:lang w:val="en-US"/>
        </w:rPr>
        <w:t xml:space="preserve">for the work carried out in the litigation of this case at the national and international level, which shall be distributed as follows: the sum of </w:t>
      </w:r>
      <w:r w:rsidR="007B47B1" w:rsidRPr="004542B5">
        <w:rPr>
          <w:noProof w:val="0"/>
          <w:szCs w:val="20"/>
          <w:lang w:val="en-US"/>
        </w:rPr>
        <w:t>US$</w:t>
      </w:r>
      <w:r w:rsidR="00D72EB6" w:rsidRPr="004542B5">
        <w:rPr>
          <w:noProof w:val="0"/>
          <w:szCs w:val="20"/>
          <w:lang w:val="en-US"/>
        </w:rPr>
        <w:t>60</w:t>
      </w:r>
      <w:r w:rsidR="00C20C98" w:rsidRPr="004542B5">
        <w:rPr>
          <w:noProof w:val="0"/>
          <w:szCs w:val="20"/>
          <w:lang w:val="en-US"/>
        </w:rPr>
        <w:t>,</w:t>
      </w:r>
      <w:r w:rsidR="007B47B1" w:rsidRPr="004542B5">
        <w:rPr>
          <w:noProof w:val="0"/>
          <w:szCs w:val="20"/>
          <w:lang w:val="en-US"/>
        </w:rPr>
        <w:t>000</w:t>
      </w:r>
      <w:r w:rsidR="00C20C98" w:rsidRPr="004542B5">
        <w:rPr>
          <w:noProof w:val="0"/>
          <w:szCs w:val="20"/>
          <w:lang w:val="en-US"/>
        </w:rPr>
        <w:t>.00</w:t>
      </w:r>
      <w:r w:rsidR="00721B39" w:rsidRPr="004542B5">
        <w:rPr>
          <w:noProof w:val="0"/>
          <w:szCs w:val="20"/>
          <w:lang w:val="en-US"/>
        </w:rPr>
        <w:t xml:space="preserve"> </w:t>
      </w:r>
      <w:r w:rsidR="007B47B1" w:rsidRPr="004542B5">
        <w:rPr>
          <w:noProof w:val="0"/>
          <w:szCs w:val="20"/>
          <w:lang w:val="en-US"/>
        </w:rPr>
        <w:t>(</w:t>
      </w:r>
      <w:r w:rsidR="00D72EB6" w:rsidRPr="004542B5">
        <w:rPr>
          <w:noProof w:val="0"/>
          <w:szCs w:val="20"/>
          <w:lang w:val="en-US"/>
        </w:rPr>
        <w:t>s</w:t>
      </w:r>
      <w:r w:rsidR="00C20C98" w:rsidRPr="004542B5">
        <w:rPr>
          <w:noProof w:val="0"/>
          <w:szCs w:val="20"/>
          <w:lang w:val="en-US"/>
        </w:rPr>
        <w:t xml:space="preserve">ixty </w:t>
      </w:r>
      <w:r w:rsidR="007E7A76" w:rsidRPr="004542B5">
        <w:rPr>
          <w:noProof w:val="0"/>
          <w:szCs w:val="20"/>
          <w:lang w:val="en-US"/>
        </w:rPr>
        <w:t>thousand United States dollars</w:t>
      </w:r>
      <w:r w:rsidR="007B47B1" w:rsidRPr="004542B5">
        <w:rPr>
          <w:noProof w:val="0"/>
          <w:szCs w:val="20"/>
          <w:lang w:val="en-US"/>
        </w:rPr>
        <w:t>)</w:t>
      </w:r>
      <w:r w:rsidR="00750AC1" w:rsidRPr="004542B5">
        <w:rPr>
          <w:noProof w:val="0"/>
          <w:szCs w:val="20"/>
          <w:lang w:val="en-US"/>
        </w:rPr>
        <w:t xml:space="preserve"> each, to be delivered to</w:t>
      </w:r>
      <w:r w:rsidR="007B47B1" w:rsidRPr="004542B5">
        <w:rPr>
          <w:noProof w:val="0"/>
          <w:szCs w:val="20"/>
          <w:lang w:val="en-US"/>
        </w:rPr>
        <w:t xml:space="preserve"> </w:t>
      </w:r>
      <w:r w:rsidR="00562CBB" w:rsidRPr="004542B5">
        <w:rPr>
          <w:noProof w:val="0"/>
          <w:szCs w:val="20"/>
          <w:lang w:val="en-US"/>
        </w:rPr>
        <w:t>the representatives</w:t>
      </w:r>
      <w:r w:rsidR="0099789F" w:rsidRPr="004542B5">
        <w:rPr>
          <w:noProof w:val="0"/>
          <w:szCs w:val="20"/>
          <w:lang w:val="en-US"/>
        </w:rPr>
        <w:t xml:space="preserve"> </w:t>
      </w:r>
      <w:r w:rsidR="00750AC1" w:rsidRPr="004542B5">
        <w:rPr>
          <w:noProof w:val="0"/>
          <w:szCs w:val="20"/>
          <w:lang w:val="en-US"/>
        </w:rPr>
        <w:t xml:space="preserve">of the </w:t>
      </w:r>
      <w:r w:rsidR="002D29AE" w:rsidRPr="004542B5">
        <w:rPr>
          <w:noProof w:val="0"/>
          <w:szCs w:val="20"/>
          <w:lang w:val="en-US"/>
        </w:rPr>
        <w:t>Kuna people of</w:t>
      </w:r>
      <w:r w:rsidR="003F6CBD" w:rsidRPr="004542B5">
        <w:rPr>
          <w:noProof w:val="0"/>
          <w:szCs w:val="20"/>
          <w:lang w:val="en-US"/>
        </w:rPr>
        <w:t xml:space="preserve"> Madungandí </w:t>
      </w:r>
      <w:r w:rsidR="00750AC1" w:rsidRPr="004542B5">
        <w:rPr>
          <w:noProof w:val="0"/>
          <w:szCs w:val="20"/>
          <w:lang w:val="en-US"/>
        </w:rPr>
        <w:t xml:space="preserve">and to </w:t>
      </w:r>
      <w:r w:rsidR="00562CBB" w:rsidRPr="004542B5">
        <w:rPr>
          <w:noProof w:val="0"/>
          <w:szCs w:val="20"/>
          <w:lang w:val="en-US"/>
        </w:rPr>
        <w:t>the representatives</w:t>
      </w:r>
      <w:r w:rsidR="003F6CBD" w:rsidRPr="004542B5">
        <w:rPr>
          <w:noProof w:val="0"/>
          <w:szCs w:val="20"/>
          <w:lang w:val="en-US"/>
        </w:rPr>
        <w:t xml:space="preserve"> </w:t>
      </w:r>
      <w:r w:rsidR="00750AC1" w:rsidRPr="004542B5">
        <w:rPr>
          <w:noProof w:val="0"/>
          <w:szCs w:val="20"/>
          <w:lang w:val="en-US"/>
        </w:rPr>
        <w:t>of the</w:t>
      </w:r>
      <w:r w:rsidR="003F6CBD" w:rsidRPr="004542B5">
        <w:rPr>
          <w:noProof w:val="0"/>
          <w:szCs w:val="20"/>
          <w:lang w:val="en-US"/>
        </w:rPr>
        <w:t xml:space="preserve"> </w:t>
      </w:r>
      <w:r w:rsidR="00E74A3B" w:rsidRPr="004542B5">
        <w:rPr>
          <w:noProof w:val="0"/>
          <w:szCs w:val="20"/>
          <w:lang w:val="en-US"/>
        </w:rPr>
        <w:t xml:space="preserve">Ipetí </w:t>
      </w:r>
      <w:r w:rsidR="00CD2B90" w:rsidRPr="004542B5">
        <w:rPr>
          <w:noProof w:val="0"/>
          <w:szCs w:val="20"/>
          <w:lang w:val="en-US"/>
        </w:rPr>
        <w:t xml:space="preserve">and </w:t>
      </w:r>
      <w:r w:rsidR="003F6CBD" w:rsidRPr="004542B5">
        <w:rPr>
          <w:noProof w:val="0"/>
          <w:szCs w:val="20"/>
          <w:lang w:val="en-US"/>
        </w:rPr>
        <w:t>Piriatí</w:t>
      </w:r>
      <w:r w:rsidR="00750AC1" w:rsidRPr="004542B5">
        <w:rPr>
          <w:noProof w:val="0"/>
          <w:szCs w:val="20"/>
          <w:lang w:val="en-US"/>
        </w:rPr>
        <w:t xml:space="preserve"> Emberá communities.</w:t>
      </w:r>
      <w:r w:rsidR="003F6CBD" w:rsidRPr="004542B5">
        <w:rPr>
          <w:noProof w:val="0"/>
          <w:szCs w:val="20"/>
          <w:lang w:val="en-US"/>
        </w:rPr>
        <w:t xml:space="preserve"> </w:t>
      </w:r>
      <w:r w:rsidR="00562CBB" w:rsidRPr="004542B5">
        <w:rPr>
          <w:noProof w:val="0"/>
          <w:szCs w:val="20"/>
          <w:lang w:val="en-US"/>
        </w:rPr>
        <w:t>The Court</w:t>
      </w:r>
      <w:r w:rsidR="007B47B1" w:rsidRPr="004542B5">
        <w:rPr>
          <w:noProof w:val="0"/>
          <w:szCs w:val="20"/>
          <w:lang w:val="en-US"/>
        </w:rPr>
        <w:t xml:space="preserve"> </w:t>
      </w:r>
      <w:r w:rsidR="00721B39" w:rsidRPr="004542B5">
        <w:rPr>
          <w:noProof w:val="0"/>
          <w:szCs w:val="20"/>
          <w:lang w:val="en-US"/>
        </w:rPr>
        <w:t>determines</w:t>
      </w:r>
      <w:r w:rsidR="00750AC1" w:rsidRPr="004542B5">
        <w:rPr>
          <w:noProof w:val="0"/>
          <w:szCs w:val="20"/>
          <w:lang w:val="en-US"/>
        </w:rPr>
        <w:t xml:space="preserve"> that, during the proceeding to monitor compliance with this judgment, it may order the State to reimburse the victims or their representatives any reasonable expenses they incur at that procedural stage.</w:t>
      </w:r>
    </w:p>
    <w:p w14:paraId="3AE1061C" w14:textId="611E9E7C" w:rsidR="00AC026A" w:rsidRPr="004542B5" w:rsidRDefault="00B902E7" w:rsidP="00E01664">
      <w:pPr>
        <w:pStyle w:val="ListParagraph"/>
        <w:numPr>
          <w:ilvl w:val="0"/>
          <w:numId w:val="13"/>
        </w:numPr>
        <w:spacing w:before="240" w:after="240"/>
        <w:ind w:left="714" w:hanging="357"/>
        <w:contextualSpacing w:val="0"/>
        <w:outlineLvl w:val="1"/>
        <w:rPr>
          <w:b/>
          <w:i/>
          <w:noProof w:val="0"/>
          <w:szCs w:val="20"/>
          <w:lang w:val="en-US"/>
        </w:rPr>
      </w:pPr>
      <w:bookmarkStart w:id="271" w:name="_Toc45200912"/>
      <w:r w:rsidRPr="004542B5">
        <w:rPr>
          <w:b/>
          <w:i/>
          <w:noProof w:val="0"/>
          <w:szCs w:val="20"/>
          <w:lang w:val="en-US"/>
        </w:rPr>
        <w:t>Reimbursement of expenses to the</w:t>
      </w:r>
      <w:r w:rsidR="007B47B1" w:rsidRPr="004542B5">
        <w:rPr>
          <w:b/>
          <w:i/>
          <w:noProof w:val="0"/>
          <w:szCs w:val="20"/>
          <w:lang w:val="en-US"/>
        </w:rPr>
        <w:t xml:space="preserve"> </w:t>
      </w:r>
      <w:r w:rsidR="00133200" w:rsidRPr="004542B5">
        <w:rPr>
          <w:b/>
          <w:i/>
          <w:noProof w:val="0"/>
          <w:szCs w:val="20"/>
          <w:lang w:val="en-US"/>
        </w:rPr>
        <w:t>Victims’ Legal Assistance Fund</w:t>
      </w:r>
      <w:bookmarkEnd w:id="271"/>
    </w:p>
    <w:p w14:paraId="4F13F10D" w14:textId="2FDA51F1" w:rsidR="00750AC1" w:rsidRPr="004542B5" w:rsidRDefault="003234E7" w:rsidP="00E01664">
      <w:pPr>
        <w:pStyle w:val="ListParagraph"/>
        <w:numPr>
          <w:ilvl w:val="0"/>
          <w:numId w:val="2"/>
        </w:numPr>
        <w:spacing w:before="120" w:after="120"/>
        <w:contextualSpacing w:val="0"/>
        <w:rPr>
          <w:noProof w:val="0"/>
          <w:szCs w:val="20"/>
          <w:lang w:val="en-US"/>
        </w:rPr>
      </w:pPr>
      <w:r w:rsidRPr="004542B5">
        <w:rPr>
          <w:noProof w:val="0"/>
          <w:szCs w:val="20"/>
          <w:lang w:val="en-US"/>
        </w:rPr>
        <w:t>The members</w:t>
      </w:r>
      <w:r w:rsidR="007B47B1" w:rsidRPr="004542B5">
        <w:rPr>
          <w:noProof w:val="0"/>
          <w:szCs w:val="20"/>
          <w:lang w:val="en-US"/>
        </w:rPr>
        <w:t xml:space="preserve"> </w:t>
      </w:r>
      <w:r w:rsidR="00750AC1" w:rsidRPr="004542B5">
        <w:rPr>
          <w:noProof w:val="0"/>
          <w:szCs w:val="20"/>
          <w:lang w:val="en-US"/>
        </w:rPr>
        <w:t>of the</w:t>
      </w:r>
      <w:r w:rsidR="007B47B1" w:rsidRPr="004542B5">
        <w:rPr>
          <w:noProof w:val="0"/>
          <w:szCs w:val="20"/>
          <w:lang w:val="en-US"/>
        </w:rPr>
        <w:t xml:space="preserve"> Kuna</w:t>
      </w:r>
      <w:r w:rsidR="00750AC1" w:rsidRPr="004542B5">
        <w:rPr>
          <w:noProof w:val="0"/>
          <w:szCs w:val="20"/>
          <w:lang w:val="en-US"/>
        </w:rPr>
        <w:t xml:space="preserve"> people of</w:t>
      </w:r>
      <w:r w:rsidR="007B47B1" w:rsidRPr="004542B5">
        <w:rPr>
          <w:noProof w:val="0"/>
          <w:szCs w:val="20"/>
          <w:lang w:val="en-US"/>
        </w:rPr>
        <w:t xml:space="preserve"> Madungandí</w:t>
      </w:r>
      <w:r w:rsidR="00CD2B90" w:rsidRPr="004542B5">
        <w:rPr>
          <w:noProof w:val="0"/>
          <w:szCs w:val="20"/>
          <w:lang w:val="en-US"/>
        </w:rPr>
        <w:t xml:space="preserve"> and </w:t>
      </w:r>
      <w:r w:rsidR="00750AC1" w:rsidRPr="004542B5">
        <w:rPr>
          <w:noProof w:val="0"/>
          <w:szCs w:val="20"/>
          <w:lang w:val="en-US"/>
        </w:rPr>
        <w:t xml:space="preserve">the </w:t>
      </w:r>
      <w:r w:rsidR="007B47B1" w:rsidRPr="004542B5">
        <w:rPr>
          <w:noProof w:val="0"/>
          <w:szCs w:val="20"/>
          <w:lang w:val="en-US"/>
        </w:rPr>
        <w:t xml:space="preserve">Emberá </w:t>
      </w:r>
      <w:r w:rsidR="00750AC1" w:rsidRPr="004542B5">
        <w:rPr>
          <w:noProof w:val="0"/>
          <w:szCs w:val="20"/>
          <w:lang w:val="en-US"/>
        </w:rPr>
        <w:t>people of</w:t>
      </w:r>
      <w:r w:rsidR="007B47B1" w:rsidRPr="004542B5">
        <w:rPr>
          <w:noProof w:val="0"/>
          <w:szCs w:val="20"/>
          <w:lang w:val="en-US"/>
        </w:rPr>
        <w:t xml:space="preserve"> Bayano, </w:t>
      </w:r>
      <w:r w:rsidR="00750AC1" w:rsidRPr="004542B5">
        <w:rPr>
          <w:noProof w:val="0"/>
          <w:szCs w:val="20"/>
          <w:lang w:val="en-US"/>
        </w:rPr>
        <w:t xml:space="preserve">through their </w:t>
      </w:r>
      <w:r w:rsidR="00FD22C3" w:rsidRPr="004542B5">
        <w:rPr>
          <w:noProof w:val="0"/>
          <w:szCs w:val="20"/>
          <w:lang w:val="en-US"/>
        </w:rPr>
        <w:t>representatives</w:t>
      </w:r>
      <w:r w:rsidR="007B47B1" w:rsidRPr="004542B5">
        <w:rPr>
          <w:noProof w:val="0"/>
          <w:szCs w:val="20"/>
          <w:lang w:val="en-US"/>
        </w:rPr>
        <w:t xml:space="preserve">, </w:t>
      </w:r>
      <w:r w:rsidR="00750AC1" w:rsidRPr="004542B5">
        <w:rPr>
          <w:noProof w:val="0"/>
          <w:szCs w:val="20"/>
          <w:lang w:val="en-US"/>
        </w:rPr>
        <w:t xml:space="preserve">requested the support of the </w:t>
      </w:r>
      <w:r w:rsidR="00133200" w:rsidRPr="004542B5">
        <w:rPr>
          <w:noProof w:val="0"/>
          <w:szCs w:val="20"/>
          <w:lang w:val="en-US"/>
        </w:rPr>
        <w:t>Victims’ Legal Assistance Fund</w:t>
      </w:r>
      <w:r w:rsidR="008A56D7" w:rsidRPr="004542B5">
        <w:rPr>
          <w:noProof w:val="0"/>
          <w:szCs w:val="20"/>
          <w:lang w:val="en-US"/>
        </w:rPr>
        <w:t xml:space="preserve"> of the </w:t>
      </w:r>
      <w:r w:rsidR="00562CBB" w:rsidRPr="004542B5">
        <w:rPr>
          <w:noProof w:val="0"/>
          <w:szCs w:val="20"/>
          <w:lang w:val="en-US"/>
        </w:rPr>
        <w:t>Court</w:t>
      </w:r>
      <w:r w:rsidR="007B47B1" w:rsidRPr="004542B5">
        <w:rPr>
          <w:noProof w:val="0"/>
          <w:szCs w:val="20"/>
          <w:lang w:val="en-US"/>
        </w:rPr>
        <w:t xml:space="preserve"> </w:t>
      </w:r>
      <w:r w:rsidR="00750AC1" w:rsidRPr="004542B5">
        <w:rPr>
          <w:noProof w:val="0"/>
          <w:szCs w:val="20"/>
          <w:lang w:val="en-US"/>
        </w:rPr>
        <w:t xml:space="preserve">to cover some of the expenses of litigating before the Court, such as “the expenses of transportation and per diems of the proposed witnesses and expert witnesses who had to appear before the Court to provide their statements,” and also the “expenses of transportation and per diems of the lawyers </w:t>
      </w:r>
      <w:r w:rsidR="00721B39" w:rsidRPr="004542B5">
        <w:rPr>
          <w:noProof w:val="0"/>
          <w:szCs w:val="20"/>
          <w:lang w:val="en-US"/>
        </w:rPr>
        <w:t>who</w:t>
      </w:r>
      <w:r w:rsidR="00750AC1" w:rsidRPr="004542B5">
        <w:rPr>
          <w:noProof w:val="0"/>
          <w:szCs w:val="20"/>
          <w:lang w:val="en-US"/>
        </w:rPr>
        <w:t xml:space="preserve"> would represent them in this litigation.”</w:t>
      </w:r>
    </w:p>
    <w:p w14:paraId="4F198BA4" w14:textId="658660A4" w:rsidR="00AC026A" w:rsidRPr="004542B5" w:rsidRDefault="00B259A4" w:rsidP="00E01664">
      <w:pPr>
        <w:pStyle w:val="ListParagraph"/>
        <w:numPr>
          <w:ilvl w:val="0"/>
          <w:numId w:val="2"/>
        </w:numPr>
        <w:spacing w:before="120" w:after="120"/>
        <w:contextualSpacing w:val="0"/>
        <w:rPr>
          <w:noProof w:val="0"/>
          <w:szCs w:val="20"/>
          <w:lang w:val="en-US"/>
        </w:rPr>
      </w:pPr>
      <w:r w:rsidRPr="004542B5">
        <w:rPr>
          <w:noProof w:val="0"/>
          <w:szCs w:val="20"/>
          <w:lang w:val="en-US"/>
        </w:rPr>
        <w:t>In an order of October 25,</w:t>
      </w:r>
      <w:r w:rsidR="007B47B1" w:rsidRPr="004542B5">
        <w:rPr>
          <w:noProof w:val="0"/>
          <w:szCs w:val="20"/>
          <w:lang w:val="en-US"/>
        </w:rPr>
        <w:t xml:space="preserve"> 2013, </w:t>
      </w:r>
      <w:r w:rsidRPr="004542B5">
        <w:rPr>
          <w:noProof w:val="0"/>
          <w:szCs w:val="20"/>
          <w:lang w:val="en-US"/>
        </w:rPr>
        <w:t>the President authorized the necessary funds to cover the assistance of up to two</w:t>
      </w:r>
      <w:r w:rsidR="007B47B1" w:rsidRPr="004542B5">
        <w:rPr>
          <w:noProof w:val="0"/>
          <w:szCs w:val="20"/>
          <w:lang w:val="en-US"/>
        </w:rPr>
        <w:t xml:space="preserve"> (2) </w:t>
      </w:r>
      <w:r w:rsidR="00FD22C3" w:rsidRPr="004542B5">
        <w:rPr>
          <w:noProof w:val="0"/>
          <w:szCs w:val="20"/>
          <w:lang w:val="en-US"/>
        </w:rPr>
        <w:t>representatives</w:t>
      </w:r>
      <w:r w:rsidR="00CD2B90" w:rsidRPr="004542B5">
        <w:rPr>
          <w:noProof w:val="0"/>
          <w:szCs w:val="20"/>
          <w:lang w:val="en-US"/>
        </w:rPr>
        <w:t xml:space="preserve"> and </w:t>
      </w:r>
      <w:r w:rsidRPr="004542B5">
        <w:rPr>
          <w:noProof w:val="0"/>
          <w:szCs w:val="20"/>
          <w:lang w:val="en-US"/>
        </w:rPr>
        <w:t xml:space="preserve">a maximum of four (4) presumed victims and/or expert witnesses at the </w:t>
      </w:r>
      <w:r w:rsidR="00FC1C56" w:rsidRPr="004542B5">
        <w:rPr>
          <w:noProof w:val="0"/>
          <w:szCs w:val="20"/>
          <w:lang w:val="en-US"/>
        </w:rPr>
        <w:t>public hearing</w:t>
      </w:r>
      <w:r w:rsidR="007B47B1" w:rsidRPr="004542B5">
        <w:rPr>
          <w:noProof w:val="0"/>
          <w:szCs w:val="20"/>
          <w:lang w:val="en-US"/>
        </w:rPr>
        <w:t>,</w:t>
      </w:r>
      <w:r w:rsidR="00CD2B90" w:rsidRPr="004542B5">
        <w:rPr>
          <w:noProof w:val="0"/>
          <w:szCs w:val="20"/>
          <w:lang w:val="en-US"/>
        </w:rPr>
        <w:t xml:space="preserve"> and</w:t>
      </w:r>
      <w:r w:rsidRPr="004542B5">
        <w:rPr>
          <w:noProof w:val="0"/>
          <w:szCs w:val="20"/>
          <w:lang w:val="en-US"/>
        </w:rPr>
        <w:t>, if necessary, funds would also be provided to cover the costs of the assistance of a Spanish-Kuna interpreter</w:t>
      </w:r>
      <w:r w:rsidR="007B47B1" w:rsidRPr="004542B5">
        <w:rPr>
          <w:noProof w:val="0"/>
          <w:szCs w:val="20"/>
          <w:lang w:val="en-US"/>
        </w:rPr>
        <w:t>.</w:t>
      </w:r>
    </w:p>
    <w:p w14:paraId="220EE2D4" w14:textId="5D93D9DE" w:rsidR="00AC026A" w:rsidRPr="004542B5" w:rsidRDefault="00B259A4" w:rsidP="00E01664">
      <w:pPr>
        <w:pStyle w:val="ListParagraph"/>
        <w:numPr>
          <w:ilvl w:val="0"/>
          <w:numId w:val="2"/>
        </w:numPr>
        <w:spacing w:before="120" w:after="120"/>
        <w:contextualSpacing w:val="0"/>
        <w:rPr>
          <w:noProof w:val="0"/>
          <w:szCs w:val="20"/>
          <w:lang w:val="en-US"/>
        </w:rPr>
      </w:pPr>
      <w:r w:rsidRPr="004542B5">
        <w:rPr>
          <w:noProof w:val="0"/>
          <w:lang w:val="en-US"/>
        </w:rPr>
        <w:t>According to the information in the report on disbursements in this case, the</w:t>
      </w:r>
      <w:r w:rsidR="00721B39" w:rsidRPr="004542B5">
        <w:rPr>
          <w:noProof w:val="0"/>
          <w:lang w:val="en-US"/>
        </w:rPr>
        <w:t>se</w:t>
      </w:r>
      <w:r w:rsidRPr="004542B5">
        <w:rPr>
          <w:noProof w:val="0"/>
          <w:lang w:val="en-US"/>
        </w:rPr>
        <w:t xml:space="preserve"> amount</w:t>
      </w:r>
      <w:r w:rsidR="00721B39" w:rsidRPr="004542B5">
        <w:rPr>
          <w:noProof w:val="0"/>
          <w:lang w:val="en-US"/>
        </w:rPr>
        <w:t>ed</w:t>
      </w:r>
      <w:r w:rsidRPr="004542B5">
        <w:rPr>
          <w:noProof w:val="0"/>
          <w:lang w:val="en-US"/>
        </w:rPr>
        <w:t xml:space="preserve"> to </w:t>
      </w:r>
      <w:r w:rsidR="007E7A76" w:rsidRPr="004542B5">
        <w:rPr>
          <w:noProof w:val="0"/>
          <w:szCs w:val="20"/>
          <w:lang w:val="en-US"/>
        </w:rPr>
        <w:t>US$</w:t>
      </w:r>
      <w:r w:rsidR="00FA0C14" w:rsidRPr="004542B5">
        <w:rPr>
          <w:noProof w:val="0"/>
          <w:szCs w:val="20"/>
          <w:lang w:val="en-US"/>
        </w:rPr>
        <w:t>4</w:t>
      </w:r>
      <w:r w:rsidR="007E7A76" w:rsidRPr="004542B5">
        <w:rPr>
          <w:noProof w:val="0"/>
          <w:szCs w:val="20"/>
          <w:lang w:val="en-US"/>
        </w:rPr>
        <w:t>,</w:t>
      </w:r>
      <w:r w:rsidR="00FA0C14" w:rsidRPr="004542B5">
        <w:rPr>
          <w:noProof w:val="0"/>
          <w:szCs w:val="20"/>
          <w:lang w:val="en-US"/>
        </w:rPr>
        <w:t>525</w:t>
      </w:r>
      <w:r w:rsidR="007E7A76" w:rsidRPr="004542B5">
        <w:rPr>
          <w:noProof w:val="0"/>
          <w:szCs w:val="20"/>
          <w:lang w:val="en-US"/>
        </w:rPr>
        <w:t>.</w:t>
      </w:r>
      <w:r w:rsidR="00FA0C14" w:rsidRPr="004542B5">
        <w:rPr>
          <w:noProof w:val="0"/>
          <w:szCs w:val="20"/>
          <w:lang w:val="en-US"/>
        </w:rPr>
        <w:t>49</w:t>
      </w:r>
      <w:r w:rsidR="007B47B1" w:rsidRPr="004542B5">
        <w:rPr>
          <w:noProof w:val="0"/>
          <w:szCs w:val="20"/>
          <w:lang w:val="en-US"/>
        </w:rPr>
        <w:t xml:space="preserve"> (</w:t>
      </w:r>
      <w:r w:rsidR="007E7A76" w:rsidRPr="004542B5">
        <w:rPr>
          <w:noProof w:val="0"/>
          <w:szCs w:val="20"/>
          <w:lang w:val="en-US"/>
        </w:rPr>
        <w:t>four thousand five hundred and twenty-five United States dollars and forty-nine cents</w:t>
      </w:r>
      <w:r w:rsidR="007B47B1" w:rsidRPr="004542B5">
        <w:rPr>
          <w:noProof w:val="0"/>
          <w:szCs w:val="20"/>
          <w:lang w:val="en-US"/>
        </w:rPr>
        <w:t xml:space="preserve">). </w:t>
      </w:r>
      <w:r w:rsidR="00562CBB" w:rsidRPr="004542B5">
        <w:rPr>
          <w:noProof w:val="0"/>
          <w:szCs w:val="20"/>
          <w:lang w:val="en-US"/>
        </w:rPr>
        <w:t>The State</w:t>
      </w:r>
      <w:r w:rsidR="007B47B1" w:rsidRPr="004542B5">
        <w:rPr>
          <w:noProof w:val="0"/>
          <w:szCs w:val="20"/>
          <w:lang w:val="en-US"/>
        </w:rPr>
        <w:t xml:space="preserve"> </w:t>
      </w:r>
      <w:r w:rsidRPr="004542B5">
        <w:rPr>
          <w:noProof w:val="0"/>
          <w:szCs w:val="20"/>
          <w:lang w:val="en-US"/>
        </w:rPr>
        <w:t xml:space="preserve">was given the opportunity to present observations on the disbursements made in this case up until June 12, 2014; </w:t>
      </w:r>
      <w:r w:rsidR="006110CB" w:rsidRPr="004542B5">
        <w:rPr>
          <w:noProof w:val="0"/>
          <w:szCs w:val="20"/>
          <w:lang w:val="en-US"/>
        </w:rPr>
        <w:t>however,</w:t>
      </w:r>
      <w:r w:rsidRPr="004542B5">
        <w:rPr>
          <w:noProof w:val="0"/>
          <w:szCs w:val="20"/>
          <w:lang w:val="en-US"/>
        </w:rPr>
        <w:t xml:space="preserve"> it did not do so</w:t>
      </w:r>
      <w:r w:rsidR="007B47B1" w:rsidRPr="004542B5">
        <w:rPr>
          <w:noProof w:val="0"/>
          <w:szCs w:val="20"/>
          <w:lang w:val="en-US"/>
        </w:rPr>
        <w:t>.</w:t>
      </w:r>
    </w:p>
    <w:p w14:paraId="3020A719" w14:textId="5AC3ECFE" w:rsidR="00AC026A" w:rsidRPr="004542B5" w:rsidRDefault="00B259A4" w:rsidP="00E01664">
      <w:pPr>
        <w:pStyle w:val="ListParagraph"/>
        <w:numPr>
          <w:ilvl w:val="0"/>
          <w:numId w:val="2"/>
        </w:numPr>
        <w:spacing w:before="120" w:after="120"/>
        <w:contextualSpacing w:val="0"/>
        <w:rPr>
          <w:noProof w:val="0"/>
          <w:szCs w:val="20"/>
          <w:lang w:val="en-US"/>
        </w:rPr>
      </w:pPr>
      <w:r w:rsidRPr="004542B5">
        <w:rPr>
          <w:noProof w:val="0"/>
          <w:szCs w:val="20"/>
          <w:lang w:val="en-US"/>
        </w:rPr>
        <w:t>Under</w:t>
      </w:r>
      <w:r w:rsidR="00E04132" w:rsidRPr="004542B5">
        <w:rPr>
          <w:noProof w:val="0"/>
          <w:szCs w:val="20"/>
          <w:lang w:val="en-US"/>
        </w:rPr>
        <w:t xml:space="preserve"> Article</w:t>
      </w:r>
      <w:r w:rsidR="007B47B1" w:rsidRPr="004542B5">
        <w:rPr>
          <w:noProof w:val="0"/>
          <w:szCs w:val="20"/>
          <w:lang w:val="en-US"/>
        </w:rPr>
        <w:t xml:space="preserve"> 5</w:t>
      </w:r>
      <w:r w:rsidR="008A56D7" w:rsidRPr="004542B5">
        <w:rPr>
          <w:noProof w:val="0"/>
          <w:szCs w:val="20"/>
          <w:lang w:val="en-US"/>
        </w:rPr>
        <w:t xml:space="preserve"> of the </w:t>
      </w:r>
      <w:r w:rsidR="00562CBB" w:rsidRPr="004542B5">
        <w:rPr>
          <w:noProof w:val="0"/>
          <w:szCs w:val="20"/>
          <w:lang w:val="en-US"/>
        </w:rPr>
        <w:t xml:space="preserve">Rules </w:t>
      </w:r>
      <w:r w:rsidRPr="004542B5">
        <w:rPr>
          <w:noProof w:val="0"/>
          <w:szCs w:val="20"/>
          <w:lang w:val="en-US"/>
        </w:rPr>
        <w:t xml:space="preserve">for the Operation of the Fund, it corresponds to the Court to evaluate the appropriateness of ordering the defendant State to reimburse the expenditure incurred to the </w:t>
      </w:r>
      <w:r w:rsidR="0022233F" w:rsidRPr="004542B5">
        <w:rPr>
          <w:noProof w:val="0"/>
          <w:szCs w:val="20"/>
          <w:lang w:val="en-US"/>
        </w:rPr>
        <w:t>Legal Assistance Fund</w:t>
      </w:r>
      <w:r w:rsidR="007B47B1" w:rsidRPr="004542B5">
        <w:rPr>
          <w:noProof w:val="0"/>
          <w:szCs w:val="20"/>
          <w:lang w:val="en-US"/>
        </w:rPr>
        <w:t xml:space="preserve">. </w:t>
      </w:r>
      <w:r w:rsidRPr="004542B5">
        <w:rPr>
          <w:noProof w:val="0"/>
          <w:szCs w:val="20"/>
          <w:lang w:val="en-US"/>
        </w:rPr>
        <w:t xml:space="preserve">Based on the violations declared in this judgment, the Court orders the State to reimburse the sum of </w:t>
      </w:r>
      <w:r w:rsidR="007E7A76" w:rsidRPr="004542B5">
        <w:rPr>
          <w:noProof w:val="0"/>
          <w:szCs w:val="20"/>
          <w:lang w:val="en-US"/>
        </w:rPr>
        <w:t>US$</w:t>
      </w:r>
      <w:r w:rsidR="00FA0C14" w:rsidRPr="004542B5">
        <w:rPr>
          <w:noProof w:val="0"/>
          <w:szCs w:val="20"/>
          <w:lang w:val="en-US"/>
        </w:rPr>
        <w:t>4</w:t>
      </w:r>
      <w:r w:rsidR="007E7A76" w:rsidRPr="004542B5">
        <w:rPr>
          <w:noProof w:val="0"/>
          <w:szCs w:val="20"/>
          <w:lang w:val="en-US"/>
        </w:rPr>
        <w:t>,</w:t>
      </w:r>
      <w:r w:rsidR="00FA0C14" w:rsidRPr="004542B5">
        <w:rPr>
          <w:noProof w:val="0"/>
          <w:szCs w:val="20"/>
          <w:lang w:val="en-US"/>
        </w:rPr>
        <w:t>525</w:t>
      </w:r>
      <w:r w:rsidR="007E7A76" w:rsidRPr="004542B5">
        <w:rPr>
          <w:noProof w:val="0"/>
          <w:szCs w:val="20"/>
          <w:lang w:val="en-US"/>
        </w:rPr>
        <w:t>.</w:t>
      </w:r>
      <w:r w:rsidR="00FA0C14" w:rsidRPr="004542B5">
        <w:rPr>
          <w:noProof w:val="0"/>
          <w:szCs w:val="20"/>
          <w:lang w:val="en-US"/>
        </w:rPr>
        <w:t>49 (</w:t>
      </w:r>
      <w:r w:rsidR="007E7A76" w:rsidRPr="004542B5">
        <w:rPr>
          <w:noProof w:val="0"/>
          <w:szCs w:val="20"/>
          <w:lang w:val="en-US"/>
        </w:rPr>
        <w:t>four thousand five hundred and twenty-five United States dollars</w:t>
      </w:r>
      <w:r w:rsidR="00FA0C14" w:rsidRPr="004542B5">
        <w:rPr>
          <w:noProof w:val="0"/>
          <w:szCs w:val="20"/>
          <w:lang w:val="en-US"/>
        </w:rPr>
        <w:t xml:space="preserve"> </w:t>
      </w:r>
      <w:r w:rsidR="007E7A76" w:rsidRPr="004542B5">
        <w:rPr>
          <w:noProof w:val="0"/>
          <w:szCs w:val="20"/>
          <w:lang w:val="en-US"/>
        </w:rPr>
        <w:t>and forty-nine cents</w:t>
      </w:r>
      <w:r w:rsidR="00FA0C14" w:rsidRPr="004542B5">
        <w:rPr>
          <w:noProof w:val="0"/>
          <w:szCs w:val="20"/>
          <w:lang w:val="en-US"/>
        </w:rPr>
        <w:t>)</w:t>
      </w:r>
      <w:r w:rsidR="007B47B1" w:rsidRPr="004542B5">
        <w:rPr>
          <w:noProof w:val="0"/>
          <w:szCs w:val="20"/>
          <w:lang w:val="en-US"/>
        </w:rPr>
        <w:t xml:space="preserve"> </w:t>
      </w:r>
      <w:r w:rsidRPr="004542B5">
        <w:rPr>
          <w:noProof w:val="0"/>
          <w:szCs w:val="20"/>
          <w:lang w:val="en-US"/>
        </w:rPr>
        <w:t xml:space="preserve">to the Fund for the expenses incurred. This amount must be reimbursed to </w:t>
      </w:r>
      <w:r w:rsidR="00562CBB" w:rsidRPr="004542B5">
        <w:rPr>
          <w:noProof w:val="0"/>
          <w:szCs w:val="20"/>
          <w:lang w:val="en-US"/>
        </w:rPr>
        <w:t>the Inter-American Court</w:t>
      </w:r>
      <w:r w:rsidR="007B47B1" w:rsidRPr="004542B5">
        <w:rPr>
          <w:noProof w:val="0"/>
          <w:szCs w:val="20"/>
          <w:lang w:val="en-US"/>
        </w:rPr>
        <w:t xml:space="preserve"> </w:t>
      </w:r>
      <w:r w:rsidRPr="004542B5">
        <w:rPr>
          <w:noProof w:val="0"/>
          <w:szCs w:val="20"/>
          <w:lang w:val="en-US"/>
        </w:rPr>
        <w:t>within 90 days of notification of this judgment.</w:t>
      </w:r>
    </w:p>
    <w:p w14:paraId="6FB739E1" w14:textId="6ADE8F75" w:rsidR="00AC026A" w:rsidRPr="004542B5" w:rsidRDefault="00DE6766" w:rsidP="00E01664">
      <w:pPr>
        <w:pStyle w:val="ListParagraph"/>
        <w:numPr>
          <w:ilvl w:val="0"/>
          <w:numId w:val="13"/>
        </w:numPr>
        <w:spacing w:before="240" w:after="240"/>
        <w:ind w:left="714" w:hanging="357"/>
        <w:contextualSpacing w:val="0"/>
        <w:outlineLvl w:val="1"/>
        <w:rPr>
          <w:noProof w:val="0"/>
          <w:szCs w:val="20"/>
          <w:lang w:val="en-US"/>
        </w:rPr>
      </w:pPr>
      <w:bookmarkStart w:id="272" w:name="_Toc45200913"/>
      <w:r w:rsidRPr="004542B5">
        <w:rPr>
          <w:b/>
          <w:i/>
          <w:noProof w:val="0"/>
          <w:szCs w:val="20"/>
          <w:lang w:val="en-US"/>
        </w:rPr>
        <w:t>Method of complying with the payments ordered</w:t>
      </w:r>
      <w:bookmarkEnd w:id="272"/>
    </w:p>
    <w:p w14:paraId="633457BC" w14:textId="66440807" w:rsidR="00AC026A" w:rsidRPr="004542B5" w:rsidRDefault="00133200" w:rsidP="00E01664">
      <w:pPr>
        <w:pStyle w:val="ListParagraph"/>
        <w:numPr>
          <w:ilvl w:val="0"/>
          <w:numId w:val="2"/>
        </w:numPr>
        <w:spacing w:before="120" w:after="120"/>
        <w:contextualSpacing w:val="0"/>
        <w:rPr>
          <w:noProof w:val="0"/>
          <w:szCs w:val="20"/>
          <w:lang w:val="en-US"/>
        </w:rPr>
      </w:pPr>
      <w:r w:rsidRPr="004542B5">
        <w:rPr>
          <w:noProof w:val="0"/>
          <w:lang w:val="en-US"/>
        </w:rPr>
        <w:lastRenderedPageBreak/>
        <w:t>The State shall</w:t>
      </w:r>
      <w:r w:rsidR="007B47B1" w:rsidRPr="004542B5">
        <w:rPr>
          <w:noProof w:val="0"/>
          <w:lang w:val="en-US"/>
        </w:rPr>
        <w:t xml:space="preserve"> </w:t>
      </w:r>
      <w:r w:rsidR="007E7A76" w:rsidRPr="004542B5">
        <w:rPr>
          <w:noProof w:val="0"/>
          <w:lang w:val="en-US"/>
        </w:rPr>
        <w:t>make the paymen</w:t>
      </w:r>
      <w:r w:rsidR="00721B39" w:rsidRPr="004542B5">
        <w:rPr>
          <w:noProof w:val="0"/>
          <w:lang w:val="en-US"/>
        </w:rPr>
        <w:t xml:space="preserve">t of </w:t>
      </w:r>
      <w:r w:rsidR="007E7A76" w:rsidRPr="004542B5">
        <w:rPr>
          <w:noProof w:val="0"/>
          <w:lang w:val="en-US"/>
        </w:rPr>
        <w:t xml:space="preserve">compensation </w:t>
      </w:r>
      <w:r w:rsidR="00721B39" w:rsidRPr="004542B5">
        <w:rPr>
          <w:noProof w:val="0"/>
          <w:lang w:val="en-US"/>
        </w:rPr>
        <w:t xml:space="preserve">for </w:t>
      </w:r>
      <w:r w:rsidR="00B902E7" w:rsidRPr="004542B5">
        <w:rPr>
          <w:noProof w:val="0"/>
          <w:lang w:val="en-US"/>
        </w:rPr>
        <w:t xml:space="preserve">pecuniary </w:t>
      </w:r>
      <w:r w:rsidR="007E7A76" w:rsidRPr="004542B5">
        <w:rPr>
          <w:noProof w:val="0"/>
          <w:lang w:val="en-US"/>
        </w:rPr>
        <w:t xml:space="preserve">and non-pecuniary </w:t>
      </w:r>
      <w:r w:rsidR="00B902E7" w:rsidRPr="004542B5">
        <w:rPr>
          <w:noProof w:val="0"/>
          <w:lang w:val="en-US"/>
        </w:rPr>
        <w:t>damage</w:t>
      </w:r>
      <w:r w:rsidR="007B47B1" w:rsidRPr="004542B5">
        <w:rPr>
          <w:noProof w:val="0"/>
          <w:lang w:val="en-US"/>
        </w:rPr>
        <w:t xml:space="preserve"> </w:t>
      </w:r>
      <w:r w:rsidR="00CD2B90" w:rsidRPr="004542B5">
        <w:rPr>
          <w:noProof w:val="0"/>
          <w:lang w:val="en-US"/>
        </w:rPr>
        <w:t xml:space="preserve">and </w:t>
      </w:r>
      <w:r w:rsidR="007E7A76" w:rsidRPr="004542B5">
        <w:rPr>
          <w:noProof w:val="0"/>
          <w:lang w:val="en-US"/>
        </w:rPr>
        <w:t xml:space="preserve">to reimburse </w:t>
      </w:r>
      <w:r w:rsidRPr="004542B5">
        <w:rPr>
          <w:noProof w:val="0"/>
          <w:lang w:val="en-US"/>
        </w:rPr>
        <w:t>costs and expenses</w:t>
      </w:r>
      <w:r w:rsidR="007B47B1" w:rsidRPr="004542B5">
        <w:rPr>
          <w:noProof w:val="0"/>
          <w:lang w:val="en-US"/>
        </w:rPr>
        <w:t xml:space="preserve"> establ</w:t>
      </w:r>
      <w:r w:rsidR="007E7A76" w:rsidRPr="004542B5">
        <w:rPr>
          <w:noProof w:val="0"/>
          <w:lang w:val="en-US"/>
        </w:rPr>
        <w:t xml:space="preserve">ished in this judgment directly to the persons indicated herein or, as requested by </w:t>
      </w:r>
      <w:r w:rsidR="00562CBB" w:rsidRPr="004542B5">
        <w:rPr>
          <w:noProof w:val="0"/>
          <w:lang w:val="en-US"/>
        </w:rPr>
        <w:t>the representatives</w:t>
      </w:r>
      <w:r w:rsidR="00721B39" w:rsidRPr="004542B5">
        <w:rPr>
          <w:noProof w:val="0"/>
          <w:lang w:val="en-US"/>
        </w:rPr>
        <w:t>,</w:t>
      </w:r>
      <w:r w:rsidR="007B47B1" w:rsidRPr="004542B5">
        <w:rPr>
          <w:noProof w:val="0"/>
          <w:lang w:val="en-US"/>
        </w:rPr>
        <w:t xml:space="preserve"> </w:t>
      </w:r>
      <w:r w:rsidR="007E7A76" w:rsidRPr="004542B5">
        <w:rPr>
          <w:noProof w:val="0"/>
          <w:lang w:val="en-US"/>
        </w:rPr>
        <w:t>to the person they designate to receive i</w:t>
      </w:r>
      <w:r w:rsidR="00721B39" w:rsidRPr="004542B5">
        <w:rPr>
          <w:noProof w:val="0"/>
          <w:lang w:val="en-US"/>
        </w:rPr>
        <w:t>t</w:t>
      </w:r>
      <w:r w:rsidR="007E7A76" w:rsidRPr="004542B5">
        <w:rPr>
          <w:noProof w:val="0"/>
          <w:lang w:val="en-US"/>
        </w:rPr>
        <w:t xml:space="preserve"> in a</w:t>
      </w:r>
      <w:r w:rsidR="00721B39" w:rsidRPr="004542B5">
        <w:rPr>
          <w:noProof w:val="0"/>
          <w:lang w:val="en-US"/>
        </w:rPr>
        <w:t>n</w:t>
      </w:r>
      <w:r w:rsidR="007E7A76" w:rsidRPr="004542B5">
        <w:rPr>
          <w:noProof w:val="0"/>
          <w:lang w:val="en-US"/>
        </w:rPr>
        <w:t xml:space="preserve"> instrument </w:t>
      </w:r>
      <w:r w:rsidR="00721B39" w:rsidRPr="004542B5">
        <w:rPr>
          <w:noProof w:val="0"/>
          <w:lang w:val="en-US"/>
        </w:rPr>
        <w:t xml:space="preserve">that is valid </w:t>
      </w:r>
      <w:r w:rsidR="007E7A76" w:rsidRPr="004542B5">
        <w:rPr>
          <w:noProof w:val="0"/>
          <w:lang w:val="en-US"/>
        </w:rPr>
        <w:t xml:space="preserve">under Panamanian law, within one year of notification of this judgment, </w:t>
      </w:r>
      <w:r w:rsidR="00DE6766" w:rsidRPr="004542B5">
        <w:rPr>
          <w:noProof w:val="0"/>
          <w:lang w:val="en-US"/>
        </w:rPr>
        <w:t>pursuant to</w:t>
      </w:r>
      <w:r w:rsidR="007B47B1" w:rsidRPr="004542B5">
        <w:rPr>
          <w:noProof w:val="0"/>
          <w:lang w:val="en-US"/>
        </w:rPr>
        <w:t xml:space="preserve"> </w:t>
      </w:r>
      <w:r w:rsidR="007E7A76" w:rsidRPr="004542B5">
        <w:rPr>
          <w:noProof w:val="0"/>
          <w:lang w:val="en-US"/>
        </w:rPr>
        <w:t>the following paragraph</w:t>
      </w:r>
      <w:r w:rsidR="007B47B1" w:rsidRPr="004542B5">
        <w:rPr>
          <w:noProof w:val="0"/>
          <w:lang w:val="en-US"/>
        </w:rPr>
        <w:t xml:space="preserve">. </w:t>
      </w:r>
      <w:r w:rsidR="007E7A76" w:rsidRPr="004542B5">
        <w:rPr>
          <w:noProof w:val="0"/>
          <w:lang w:val="en-US"/>
        </w:rPr>
        <w:t xml:space="preserve">The amounts allocated in this judgment as compensation and to reimburse </w:t>
      </w:r>
      <w:r w:rsidRPr="004542B5">
        <w:rPr>
          <w:noProof w:val="0"/>
          <w:lang w:val="en-US"/>
        </w:rPr>
        <w:t>costs and expenses</w:t>
      </w:r>
      <w:r w:rsidR="007B47B1" w:rsidRPr="004542B5">
        <w:rPr>
          <w:noProof w:val="0"/>
          <w:lang w:val="en-US"/>
        </w:rPr>
        <w:t xml:space="preserve"> </w:t>
      </w:r>
      <w:r w:rsidR="007E7A76" w:rsidRPr="004542B5">
        <w:rPr>
          <w:noProof w:val="0"/>
          <w:lang w:val="en-US"/>
        </w:rPr>
        <w:t>shall be delivered as established in this judgment, without any deductions arising from possible taxes or charges.</w:t>
      </w:r>
    </w:p>
    <w:p w14:paraId="0363F40B" w14:textId="433FA48E" w:rsidR="00AC026A" w:rsidRPr="004542B5" w:rsidRDefault="00133200" w:rsidP="00E8618B">
      <w:pPr>
        <w:pStyle w:val="ListParagraph"/>
        <w:numPr>
          <w:ilvl w:val="0"/>
          <w:numId w:val="2"/>
        </w:numPr>
        <w:spacing w:before="120" w:after="120"/>
        <w:contextualSpacing w:val="0"/>
        <w:rPr>
          <w:noProof w:val="0"/>
          <w:szCs w:val="20"/>
          <w:lang w:val="en-US"/>
        </w:rPr>
      </w:pPr>
      <w:r w:rsidRPr="004542B5">
        <w:rPr>
          <w:noProof w:val="0"/>
          <w:lang w:val="en-US"/>
        </w:rPr>
        <w:t>The State shall</w:t>
      </w:r>
      <w:r w:rsidR="00A41A72" w:rsidRPr="004542B5">
        <w:rPr>
          <w:noProof w:val="0"/>
          <w:lang w:val="en-US"/>
        </w:rPr>
        <w:t xml:space="preserve"> c</w:t>
      </w:r>
      <w:r w:rsidR="007E7A76" w:rsidRPr="004542B5">
        <w:rPr>
          <w:noProof w:val="0"/>
          <w:lang w:val="en-US"/>
        </w:rPr>
        <w:t>o</w:t>
      </w:r>
      <w:r w:rsidR="00A41A72" w:rsidRPr="004542B5">
        <w:rPr>
          <w:noProof w:val="0"/>
          <w:lang w:val="en-US"/>
        </w:rPr>
        <w:t>mpl</w:t>
      </w:r>
      <w:r w:rsidR="007E7A76" w:rsidRPr="004542B5">
        <w:rPr>
          <w:noProof w:val="0"/>
          <w:lang w:val="en-US"/>
        </w:rPr>
        <w:t xml:space="preserve">y with its </w:t>
      </w:r>
      <w:r w:rsidR="009622F8" w:rsidRPr="004542B5">
        <w:rPr>
          <w:noProof w:val="0"/>
          <w:lang w:val="en-US"/>
        </w:rPr>
        <w:t>pecuniary</w:t>
      </w:r>
      <w:r w:rsidR="007E7A76" w:rsidRPr="004542B5">
        <w:rPr>
          <w:noProof w:val="0"/>
          <w:lang w:val="en-US"/>
        </w:rPr>
        <w:t xml:space="preserve"> obligations by payment in United States dollars</w:t>
      </w:r>
      <w:r w:rsidR="00A41A72" w:rsidRPr="004542B5">
        <w:rPr>
          <w:noProof w:val="0"/>
          <w:lang w:val="en-US"/>
        </w:rPr>
        <w:t xml:space="preserve">. </w:t>
      </w:r>
      <w:r w:rsidR="007E7A76" w:rsidRPr="004542B5">
        <w:rPr>
          <w:noProof w:val="0"/>
          <w:lang w:val="en-US"/>
        </w:rPr>
        <w:t xml:space="preserve">If the State should </w:t>
      </w:r>
      <w:r w:rsidR="00522308" w:rsidRPr="004542B5">
        <w:rPr>
          <w:noProof w:val="0"/>
          <w:lang w:val="en-US"/>
        </w:rPr>
        <w:t>fall</w:t>
      </w:r>
      <w:r w:rsidR="007E7A76" w:rsidRPr="004542B5">
        <w:rPr>
          <w:noProof w:val="0"/>
          <w:lang w:val="en-US"/>
        </w:rPr>
        <w:t xml:space="preserve"> in arrea</w:t>
      </w:r>
      <w:r w:rsidR="00522308" w:rsidRPr="004542B5">
        <w:rPr>
          <w:noProof w:val="0"/>
          <w:lang w:val="en-US"/>
        </w:rPr>
        <w:t>r</w:t>
      </w:r>
      <w:r w:rsidR="007E7A76" w:rsidRPr="004542B5">
        <w:rPr>
          <w:noProof w:val="0"/>
          <w:lang w:val="en-US"/>
        </w:rPr>
        <w:t xml:space="preserve">s, including in the </w:t>
      </w:r>
      <w:r w:rsidR="007E7A76" w:rsidRPr="004542B5">
        <w:rPr>
          <w:rFonts w:cs="Verdana"/>
          <w:noProof w:val="0"/>
          <w:szCs w:val="20"/>
          <w:lang w:val="en-US"/>
        </w:rPr>
        <w:t>r</w:t>
      </w:r>
      <w:r w:rsidR="00B902E7" w:rsidRPr="004542B5">
        <w:rPr>
          <w:rFonts w:cs="Verdana"/>
          <w:noProof w:val="0"/>
          <w:szCs w:val="20"/>
          <w:lang w:val="en-US"/>
        </w:rPr>
        <w:t>eimbursement of expenses to the</w:t>
      </w:r>
      <w:r w:rsidR="00A41A72" w:rsidRPr="004542B5">
        <w:rPr>
          <w:rFonts w:cs="Verdana"/>
          <w:noProof w:val="0"/>
          <w:szCs w:val="20"/>
          <w:lang w:val="en-US"/>
        </w:rPr>
        <w:t xml:space="preserve"> </w:t>
      </w:r>
      <w:r w:rsidRPr="004542B5">
        <w:rPr>
          <w:rFonts w:cs="Verdana"/>
          <w:noProof w:val="0"/>
          <w:szCs w:val="20"/>
          <w:lang w:val="en-US"/>
        </w:rPr>
        <w:t>Victims’ Legal Assistance Fund</w:t>
      </w:r>
      <w:r w:rsidR="00A41A72" w:rsidRPr="004542B5">
        <w:rPr>
          <w:rFonts w:cs="Verdana"/>
          <w:noProof w:val="0"/>
          <w:szCs w:val="20"/>
          <w:lang w:val="en-US"/>
        </w:rPr>
        <w:t xml:space="preserve">, </w:t>
      </w:r>
      <w:r w:rsidR="007E7A76" w:rsidRPr="004542B5">
        <w:rPr>
          <w:rFonts w:cs="Verdana"/>
          <w:noProof w:val="0"/>
          <w:szCs w:val="20"/>
          <w:lang w:val="en-US"/>
        </w:rPr>
        <w:t xml:space="preserve">it shall pay interest on the amount owed corresponding to banking interest on arrears in </w:t>
      </w:r>
      <w:r w:rsidR="00562CBB" w:rsidRPr="004542B5">
        <w:rPr>
          <w:rFonts w:cs="Verdana"/>
          <w:noProof w:val="0"/>
          <w:szCs w:val="20"/>
          <w:lang w:val="en-US"/>
        </w:rPr>
        <w:t>Panama</w:t>
      </w:r>
      <w:r w:rsidR="00A41A72" w:rsidRPr="004542B5">
        <w:rPr>
          <w:noProof w:val="0"/>
          <w:lang w:val="en-US"/>
        </w:rPr>
        <w:t>.</w:t>
      </w:r>
    </w:p>
    <w:p w14:paraId="2C95FAED" w14:textId="184F7746" w:rsidR="00E576EA" w:rsidRPr="004542B5" w:rsidRDefault="00E576EA" w:rsidP="00E01664">
      <w:pPr>
        <w:pStyle w:val="Heading1"/>
        <w:rPr>
          <w:noProof w:val="0"/>
          <w:lang w:val="en-US"/>
        </w:rPr>
      </w:pPr>
      <w:bookmarkStart w:id="273" w:name="_Toc400118220"/>
      <w:bookmarkStart w:id="274" w:name="_Toc45200914"/>
      <w:r w:rsidRPr="004542B5">
        <w:rPr>
          <w:noProof w:val="0"/>
          <w:lang w:val="en-US"/>
        </w:rPr>
        <w:t>IX</w:t>
      </w:r>
      <w:r w:rsidRPr="004542B5">
        <w:rPr>
          <w:noProof w:val="0"/>
          <w:color w:val="FFFFFF" w:themeColor="background1"/>
          <w:lang w:val="en-US"/>
        </w:rPr>
        <w:t>.</w:t>
      </w:r>
      <w:r w:rsidRPr="004542B5">
        <w:rPr>
          <w:noProof w:val="0"/>
          <w:lang w:val="en-US"/>
        </w:rPr>
        <w:br/>
      </w:r>
      <w:r w:rsidR="00DE6766" w:rsidRPr="004542B5">
        <w:rPr>
          <w:noProof w:val="0"/>
          <w:lang w:val="en-US"/>
        </w:rPr>
        <w:t>OPERATIVE PARAGRAPHS</w:t>
      </w:r>
      <w:bookmarkEnd w:id="273"/>
      <w:bookmarkEnd w:id="274"/>
    </w:p>
    <w:p w14:paraId="10C82107" w14:textId="643CFE0F" w:rsidR="00E576EA" w:rsidRPr="004542B5" w:rsidRDefault="00DE6766" w:rsidP="00E01664">
      <w:pPr>
        <w:spacing w:before="360" w:after="360"/>
        <w:rPr>
          <w:b/>
          <w:noProof w:val="0"/>
          <w:lang w:val="en-US"/>
        </w:rPr>
      </w:pPr>
      <w:r w:rsidRPr="004542B5">
        <w:rPr>
          <w:b/>
          <w:noProof w:val="0"/>
          <w:lang w:val="en-US"/>
        </w:rPr>
        <w:t>THEREFORE</w:t>
      </w:r>
      <w:r w:rsidR="00E576EA" w:rsidRPr="004542B5">
        <w:rPr>
          <w:b/>
          <w:noProof w:val="0"/>
          <w:lang w:val="en-US"/>
        </w:rPr>
        <w:t>,</w:t>
      </w:r>
    </w:p>
    <w:p w14:paraId="68A7D598" w14:textId="331D67D5" w:rsidR="00E576EA" w:rsidRPr="004542B5" w:rsidRDefault="00562CBB" w:rsidP="00E01664">
      <w:pPr>
        <w:spacing w:before="360" w:after="360"/>
        <w:rPr>
          <w:rFonts w:cs="Verdana"/>
          <w:b/>
          <w:noProof w:val="0"/>
          <w:szCs w:val="20"/>
          <w:lang w:val="en-US"/>
        </w:rPr>
      </w:pPr>
      <w:r w:rsidRPr="004542B5">
        <w:rPr>
          <w:rFonts w:cs="Verdana"/>
          <w:b/>
          <w:noProof w:val="0"/>
          <w:szCs w:val="20"/>
          <w:lang w:val="en-US"/>
        </w:rPr>
        <w:t>THE COURT</w:t>
      </w:r>
      <w:r w:rsidR="00E576EA" w:rsidRPr="004542B5">
        <w:rPr>
          <w:rFonts w:cs="Verdana"/>
          <w:b/>
          <w:noProof w:val="0"/>
          <w:szCs w:val="20"/>
          <w:lang w:val="en-US"/>
        </w:rPr>
        <w:t xml:space="preserve"> </w:t>
      </w:r>
    </w:p>
    <w:p w14:paraId="09BA1013" w14:textId="760BF018" w:rsidR="00E576EA" w:rsidRPr="004542B5" w:rsidRDefault="00E576EA" w:rsidP="00E01664">
      <w:pPr>
        <w:spacing w:before="360" w:after="360"/>
        <w:rPr>
          <w:rFonts w:cs="Verdana"/>
          <w:b/>
          <w:noProof w:val="0"/>
          <w:szCs w:val="20"/>
          <w:lang w:val="en-US"/>
        </w:rPr>
      </w:pPr>
      <w:r w:rsidRPr="004542B5">
        <w:rPr>
          <w:rFonts w:cs="Verdana"/>
          <w:b/>
          <w:noProof w:val="0"/>
          <w:szCs w:val="20"/>
          <w:lang w:val="en-US"/>
        </w:rPr>
        <w:t>DECIDE</w:t>
      </w:r>
      <w:r w:rsidR="00DE6766" w:rsidRPr="004542B5">
        <w:rPr>
          <w:rFonts w:cs="Verdana"/>
          <w:b/>
          <w:noProof w:val="0"/>
          <w:szCs w:val="20"/>
          <w:lang w:val="en-US"/>
        </w:rPr>
        <w:t>S</w:t>
      </w:r>
      <w:r w:rsidRPr="004542B5">
        <w:rPr>
          <w:rFonts w:cs="Verdana"/>
          <w:b/>
          <w:noProof w:val="0"/>
          <w:szCs w:val="20"/>
          <w:lang w:val="en-US"/>
        </w:rPr>
        <w:t>:</w:t>
      </w:r>
    </w:p>
    <w:p w14:paraId="420752F0" w14:textId="1FEB24D6" w:rsidR="00E576EA" w:rsidRPr="004542B5" w:rsidRDefault="00DE6766" w:rsidP="00E01664">
      <w:pPr>
        <w:spacing w:before="360" w:after="360"/>
        <w:ind w:firstLine="709"/>
        <w:rPr>
          <w:rFonts w:cs="Verdana"/>
          <w:noProof w:val="0"/>
          <w:szCs w:val="20"/>
          <w:lang w:val="en-US"/>
        </w:rPr>
      </w:pPr>
      <w:r w:rsidRPr="004542B5">
        <w:rPr>
          <w:rFonts w:cs="Verdana"/>
          <w:noProof w:val="0"/>
          <w:szCs w:val="20"/>
          <w:lang w:val="en-US"/>
        </w:rPr>
        <w:t>By five votes to one,</w:t>
      </w:r>
    </w:p>
    <w:p w14:paraId="2E059735" w14:textId="534371B1" w:rsidR="00E576EA" w:rsidRPr="004542B5" w:rsidRDefault="00DE6766" w:rsidP="00E01664">
      <w:pPr>
        <w:numPr>
          <w:ilvl w:val="0"/>
          <w:numId w:val="50"/>
        </w:numPr>
        <w:tabs>
          <w:tab w:val="left" w:pos="567"/>
        </w:tabs>
        <w:autoSpaceDE w:val="0"/>
        <w:autoSpaceDN w:val="0"/>
        <w:spacing w:before="120" w:after="120"/>
        <w:ind w:left="0" w:right="-176" w:firstLine="0"/>
        <w:rPr>
          <w:noProof w:val="0"/>
          <w:lang w:val="en-US"/>
        </w:rPr>
      </w:pPr>
      <w:r w:rsidRPr="004542B5">
        <w:rPr>
          <w:noProof w:val="0"/>
          <w:lang w:val="en-US"/>
        </w:rPr>
        <w:t xml:space="preserve">To admit the objection filed by </w:t>
      </w:r>
      <w:r w:rsidR="00562CBB" w:rsidRPr="004542B5">
        <w:rPr>
          <w:noProof w:val="0"/>
          <w:lang w:val="en-US"/>
        </w:rPr>
        <w:t>the State</w:t>
      </w:r>
      <w:r w:rsidR="00E576EA" w:rsidRPr="004542B5">
        <w:rPr>
          <w:noProof w:val="0"/>
          <w:lang w:val="en-US"/>
        </w:rPr>
        <w:t xml:space="preserve"> </w:t>
      </w:r>
      <w:r w:rsidRPr="004542B5">
        <w:rPr>
          <w:noProof w:val="0"/>
          <w:lang w:val="en-US"/>
        </w:rPr>
        <w:t xml:space="preserve">concerning the “lack of </w:t>
      </w:r>
      <w:r w:rsidR="009622F8" w:rsidRPr="004542B5">
        <w:rPr>
          <w:noProof w:val="0"/>
          <w:lang w:val="en-US"/>
        </w:rPr>
        <w:t>jurisdiction</w:t>
      </w:r>
      <w:r w:rsidR="00E576EA" w:rsidRPr="004542B5">
        <w:rPr>
          <w:noProof w:val="0"/>
          <w:lang w:val="en-US"/>
        </w:rPr>
        <w:t xml:space="preserve"> </w:t>
      </w:r>
      <w:r w:rsidR="00E576EA" w:rsidRPr="004542B5">
        <w:rPr>
          <w:i/>
          <w:noProof w:val="0"/>
          <w:lang w:val="en-US"/>
        </w:rPr>
        <w:t>ratione temporis</w:t>
      </w:r>
      <w:r w:rsidRPr="004542B5">
        <w:rPr>
          <w:i/>
          <w:noProof w:val="0"/>
          <w:lang w:val="en-US"/>
        </w:rPr>
        <w:t>,</w:t>
      </w:r>
      <w:r w:rsidR="00E576EA" w:rsidRPr="004542B5">
        <w:rPr>
          <w:noProof w:val="0"/>
          <w:lang w:val="en-US"/>
        </w:rPr>
        <w:t>” spec</w:t>
      </w:r>
      <w:r w:rsidRPr="004542B5">
        <w:rPr>
          <w:noProof w:val="0"/>
          <w:lang w:val="en-US"/>
        </w:rPr>
        <w:t>ifically in relation to the State’s alleged failure to pay compensation</w:t>
      </w:r>
      <w:r w:rsidR="00E576EA" w:rsidRPr="004542B5">
        <w:rPr>
          <w:noProof w:val="0"/>
          <w:lang w:val="en-US"/>
        </w:rPr>
        <w:t xml:space="preserve">, </w:t>
      </w:r>
      <w:r w:rsidRPr="004542B5">
        <w:rPr>
          <w:noProof w:val="0"/>
          <w:lang w:val="en-US"/>
        </w:rPr>
        <w:t>pursuant to</w:t>
      </w:r>
      <w:r w:rsidR="00E576EA" w:rsidRPr="004542B5">
        <w:rPr>
          <w:noProof w:val="0"/>
          <w:lang w:val="en-US"/>
        </w:rPr>
        <w:t xml:space="preserve"> </w:t>
      </w:r>
      <w:r w:rsidR="00517C7D" w:rsidRPr="004542B5">
        <w:rPr>
          <w:noProof w:val="0"/>
          <w:lang w:val="en-US"/>
        </w:rPr>
        <w:t>paragraphs</w:t>
      </w:r>
      <w:r w:rsidR="00E576EA" w:rsidRPr="004542B5">
        <w:rPr>
          <w:noProof w:val="0"/>
          <w:lang w:val="en-US"/>
        </w:rPr>
        <w:t xml:space="preserve"> </w:t>
      </w:r>
      <w:r w:rsidR="00CD5C27" w:rsidRPr="004542B5">
        <w:rPr>
          <w:noProof w:val="0"/>
          <w:lang w:val="en-US"/>
        </w:rPr>
        <w:t>27</w:t>
      </w:r>
      <w:r w:rsidR="00E576EA" w:rsidRPr="004542B5">
        <w:rPr>
          <w:noProof w:val="0"/>
          <w:lang w:val="en-US"/>
        </w:rPr>
        <w:t xml:space="preserve"> </w:t>
      </w:r>
      <w:r w:rsidRPr="004542B5">
        <w:rPr>
          <w:noProof w:val="0"/>
          <w:lang w:val="en-US"/>
        </w:rPr>
        <w:t>to</w:t>
      </w:r>
      <w:r w:rsidR="00E576EA" w:rsidRPr="004542B5">
        <w:rPr>
          <w:noProof w:val="0"/>
          <w:lang w:val="en-US"/>
        </w:rPr>
        <w:t xml:space="preserve"> </w:t>
      </w:r>
      <w:r w:rsidR="00CD5C27" w:rsidRPr="004542B5">
        <w:rPr>
          <w:noProof w:val="0"/>
          <w:lang w:val="en-US"/>
        </w:rPr>
        <w:t>40</w:t>
      </w:r>
      <w:r w:rsidR="00E576EA" w:rsidRPr="004542B5">
        <w:rPr>
          <w:noProof w:val="0"/>
          <w:lang w:val="en-US"/>
        </w:rPr>
        <w:t xml:space="preserve"> </w:t>
      </w:r>
      <w:r w:rsidR="00133200" w:rsidRPr="004542B5">
        <w:rPr>
          <w:noProof w:val="0"/>
          <w:lang w:val="en-US"/>
        </w:rPr>
        <w:t>of this judgment</w:t>
      </w:r>
      <w:r w:rsidR="00E576EA" w:rsidRPr="004542B5">
        <w:rPr>
          <w:noProof w:val="0"/>
          <w:lang w:val="en-US"/>
        </w:rPr>
        <w:t>.</w:t>
      </w:r>
    </w:p>
    <w:p w14:paraId="278693D0" w14:textId="672EE918" w:rsidR="00E576EA" w:rsidRPr="004542B5" w:rsidRDefault="00DE6766" w:rsidP="00E01664">
      <w:pPr>
        <w:numPr>
          <w:ilvl w:val="0"/>
          <w:numId w:val="50"/>
        </w:numPr>
        <w:tabs>
          <w:tab w:val="left" w:pos="567"/>
        </w:tabs>
        <w:autoSpaceDE w:val="0"/>
        <w:autoSpaceDN w:val="0"/>
        <w:spacing w:before="120" w:after="120"/>
        <w:ind w:left="0" w:right="-176" w:firstLine="0"/>
        <w:rPr>
          <w:noProof w:val="0"/>
          <w:lang w:val="en-US"/>
        </w:rPr>
      </w:pPr>
      <w:r w:rsidRPr="004542B5">
        <w:rPr>
          <w:noProof w:val="0"/>
          <w:lang w:val="en-US"/>
        </w:rPr>
        <w:t>That it is not necessary to rule on the preliminary objection filed by the State on “</w:t>
      </w:r>
      <w:r w:rsidR="0063510B" w:rsidRPr="004542B5">
        <w:rPr>
          <w:noProof w:val="0"/>
          <w:lang w:val="en-US"/>
        </w:rPr>
        <w:t>lack of jurisdiction</w:t>
      </w:r>
      <w:r w:rsidRPr="004542B5">
        <w:rPr>
          <w:noProof w:val="0"/>
          <w:lang w:val="en-US"/>
        </w:rPr>
        <w:t xml:space="preserve"> owing to the statute of limitations,” </w:t>
      </w:r>
      <w:r w:rsidR="00133200" w:rsidRPr="004542B5">
        <w:rPr>
          <w:noProof w:val="0"/>
          <w:lang w:val="en-US"/>
        </w:rPr>
        <w:t>pursuant to paragraph</w:t>
      </w:r>
      <w:r w:rsidR="00E576EA" w:rsidRPr="004542B5">
        <w:rPr>
          <w:noProof w:val="0"/>
          <w:lang w:val="en-US"/>
        </w:rPr>
        <w:t xml:space="preserve"> </w:t>
      </w:r>
      <w:r w:rsidR="00CD5C27" w:rsidRPr="004542B5">
        <w:rPr>
          <w:noProof w:val="0"/>
          <w:lang w:val="en-US"/>
        </w:rPr>
        <w:t>27</w:t>
      </w:r>
      <w:r w:rsidR="00E576EA" w:rsidRPr="004542B5">
        <w:rPr>
          <w:noProof w:val="0"/>
          <w:lang w:val="en-US"/>
        </w:rPr>
        <w:t xml:space="preserve"> </w:t>
      </w:r>
      <w:r w:rsidR="00133200" w:rsidRPr="004542B5">
        <w:rPr>
          <w:noProof w:val="0"/>
          <w:lang w:val="en-US"/>
        </w:rPr>
        <w:t>of this judgment</w:t>
      </w:r>
      <w:r w:rsidR="00552148" w:rsidRPr="004542B5">
        <w:rPr>
          <w:noProof w:val="0"/>
          <w:lang w:val="en-US"/>
        </w:rPr>
        <w:t>.</w:t>
      </w:r>
    </w:p>
    <w:p w14:paraId="70E157F2" w14:textId="7DA6760E" w:rsidR="00E576EA" w:rsidRPr="004542B5" w:rsidRDefault="00DE6766" w:rsidP="00E01664">
      <w:pPr>
        <w:spacing w:before="360" w:after="360"/>
        <w:ind w:firstLine="709"/>
        <w:rPr>
          <w:rFonts w:eastAsia="Calibri" w:cs="Arial"/>
          <w:noProof w:val="0"/>
          <w:color w:val="000000"/>
          <w:w w:val="95"/>
          <w:szCs w:val="20"/>
          <w:lang w:val="en-US"/>
        </w:rPr>
      </w:pPr>
      <w:r w:rsidRPr="004542B5">
        <w:rPr>
          <w:rFonts w:cs="Verdana"/>
          <w:noProof w:val="0"/>
          <w:szCs w:val="20"/>
          <w:lang w:val="en-US"/>
        </w:rPr>
        <w:t>Unanimously</w:t>
      </w:r>
      <w:r w:rsidR="00E576EA" w:rsidRPr="004542B5">
        <w:rPr>
          <w:rFonts w:cs="Verdana"/>
          <w:noProof w:val="0"/>
          <w:szCs w:val="20"/>
          <w:lang w:val="en-US"/>
        </w:rPr>
        <w:t>,</w:t>
      </w:r>
    </w:p>
    <w:p w14:paraId="0FF7C066" w14:textId="49503E03" w:rsidR="00E576EA" w:rsidRPr="004542B5" w:rsidRDefault="00DE6766" w:rsidP="00E01664">
      <w:pPr>
        <w:numPr>
          <w:ilvl w:val="0"/>
          <w:numId w:val="50"/>
        </w:numPr>
        <w:tabs>
          <w:tab w:val="left" w:pos="567"/>
        </w:tabs>
        <w:autoSpaceDE w:val="0"/>
        <w:autoSpaceDN w:val="0"/>
        <w:spacing w:before="120" w:after="120"/>
        <w:ind w:left="0" w:right="-176" w:firstLine="0"/>
        <w:rPr>
          <w:noProof w:val="0"/>
          <w:lang w:val="en-US"/>
        </w:rPr>
      </w:pPr>
      <w:r w:rsidRPr="004542B5">
        <w:rPr>
          <w:noProof w:val="0"/>
          <w:lang w:val="en-US"/>
        </w:rPr>
        <w:t>To reject the preliminary objection</w:t>
      </w:r>
      <w:r w:rsidR="00E576EA" w:rsidRPr="004542B5">
        <w:rPr>
          <w:noProof w:val="0"/>
          <w:lang w:val="en-US"/>
        </w:rPr>
        <w:t xml:space="preserve"> </w:t>
      </w:r>
      <w:r w:rsidRPr="004542B5">
        <w:rPr>
          <w:noProof w:val="0"/>
          <w:lang w:val="en-US"/>
        </w:rPr>
        <w:t>filed by</w:t>
      </w:r>
      <w:r w:rsidR="00E576EA" w:rsidRPr="004542B5">
        <w:rPr>
          <w:noProof w:val="0"/>
          <w:lang w:val="en-US"/>
        </w:rPr>
        <w:t xml:space="preserve"> </w:t>
      </w:r>
      <w:r w:rsidR="00562CBB" w:rsidRPr="004542B5">
        <w:rPr>
          <w:noProof w:val="0"/>
          <w:lang w:val="en-US"/>
        </w:rPr>
        <w:t>the State</w:t>
      </w:r>
      <w:r w:rsidR="00E576EA" w:rsidRPr="004542B5">
        <w:rPr>
          <w:noProof w:val="0"/>
          <w:lang w:val="en-US"/>
        </w:rPr>
        <w:t xml:space="preserve"> </w:t>
      </w:r>
      <w:r w:rsidRPr="004542B5">
        <w:rPr>
          <w:noProof w:val="0"/>
          <w:lang w:val="en-US"/>
        </w:rPr>
        <w:t>on the</w:t>
      </w:r>
      <w:r w:rsidR="00E576EA" w:rsidRPr="004542B5">
        <w:rPr>
          <w:noProof w:val="0"/>
          <w:lang w:val="en-US"/>
        </w:rPr>
        <w:t xml:space="preserve"> “</w:t>
      </w:r>
      <w:r w:rsidRPr="004542B5">
        <w:rPr>
          <w:noProof w:val="0"/>
          <w:lang w:val="en-US"/>
        </w:rPr>
        <w:t>failure to exhaust domestic remedies</w:t>
      </w:r>
      <w:r w:rsidR="00E576EA" w:rsidRPr="004542B5">
        <w:rPr>
          <w:noProof w:val="0"/>
          <w:lang w:val="en-US"/>
        </w:rPr>
        <w:t xml:space="preserve">” </w:t>
      </w:r>
      <w:r w:rsidRPr="004542B5">
        <w:rPr>
          <w:noProof w:val="0"/>
          <w:lang w:val="en-US"/>
        </w:rPr>
        <w:t>pursuant to</w:t>
      </w:r>
      <w:r w:rsidR="00E576EA" w:rsidRPr="004542B5">
        <w:rPr>
          <w:noProof w:val="0"/>
          <w:lang w:val="en-US"/>
        </w:rPr>
        <w:t xml:space="preserve"> </w:t>
      </w:r>
      <w:r w:rsidR="00517C7D" w:rsidRPr="004542B5">
        <w:rPr>
          <w:noProof w:val="0"/>
          <w:lang w:val="en-US"/>
        </w:rPr>
        <w:t>paragraphs</w:t>
      </w:r>
      <w:r w:rsidR="00E576EA" w:rsidRPr="004542B5">
        <w:rPr>
          <w:noProof w:val="0"/>
          <w:lang w:val="en-US"/>
        </w:rPr>
        <w:t xml:space="preserve"> </w:t>
      </w:r>
      <w:r w:rsidR="00CD5C27" w:rsidRPr="004542B5">
        <w:rPr>
          <w:noProof w:val="0"/>
          <w:lang w:val="en-US"/>
        </w:rPr>
        <w:t>21</w:t>
      </w:r>
      <w:r w:rsidR="00E576EA" w:rsidRPr="004542B5">
        <w:rPr>
          <w:noProof w:val="0"/>
          <w:lang w:val="en-US"/>
        </w:rPr>
        <w:t xml:space="preserve"> </w:t>
      </w:r>
      <w:r w:rsidRPr="004542B5">
        <w:rPr>
          <w:noProof w:val="0"/>
          <w:lang w:val="en-US"/>
        </w:rPr>
        <w:t>to</w:t>
      </w:r>
      <w:r w:rsidR="00E576EA" w:rsidRPr="004542B5">
        <w:rPr>
          <w:noProof w:val="0"/>
          <w:lang w:val="en-US"/>
        </w:rPr>
        <w:t xml:space="preserve"> </w:t>
      </w:r>
      <w:r w:rsidR="00CD5C27" w:rsidRPr="004542B5">
        <w:rPr>
          <w:noProof w:val="0"/>
          <w:lang w:val="en-US"/>
        </w:rPr>
        <w:t>23</w:t>
      </w:r>
      <w:r w:rsidR="00E576EA" w:rsidRPr="004542B5">
        <w:rPr>
          <w:noProof w:val="0"/>
          <w:lang w:val="en-US"/>
        </w:rPr>
        <w:t xml:space="preserve"> </w:t>
      </w:r>
      <w:r w:rsidR="00133200" w:rsidRPr="004542B5">
        <w:rPr>
          <w:noProof w:val="0"/>
          <w:lang w:val="en-US"/>
        </w:rPr>
        <w:t>of this judgment</w:t>
      </w:r>
      <w:r w:rsidR="00E576EA" w:rsidRPr="004542B5">
        <w:rPr>
          <w:noProof w:val="0"/>
          <w:lang w:val="en-US"/>
        </w:rPr>
        <w:t xml:space="preserve">. </w:t>
      </w:r>
    </w:p>
    <w:p w14:paraId="2E9CC8AC" w14:textId="60A2AB28" w:rsidR="00E576EA" w:rsidRPr="004542B5" w:rsidRDefault="00E576EA" w:rsidP="00E01664">
      <w:pPr>
        <w:spacing w:before="360" w:after="360"/>
        <w:rPr>
          <w:rFonts w:cs="Verdana"/>
          <w:b/>
          <w:noProof w:val="0"/>
          <w:szCs w:val="20"/>
          <w:lang w:val="en-US"/>
        </w:rPr>
      </w:pPr>
      <w:r w:rsidRPr="004542B5">
        <w:rPr>
          <w:rFonts w:cs="Verdana"/>
          <w:b/>
          <w:noProof w:val="0"/>
          <w:szCs w:val="20"/>
          <w:lang w:val="en-US"/>
        </w:rPr>
        <w:t>DECLAR</w:t>
      </w:r>
      <w:r w:rsidR="00DE6766" w:rsidRPr="004542B5">
        <w:rPr>
          <w:rFonts w:cs="Verdana"/>
          <w:b/>
          <w:noProof w:val="0"/>
          <w:szCs w:val="20"/>
          <w:lang w:val="en-US"/>
        </w:rPr>
        <w:t>ES</w:t>
      </w:r>
      <w:r w:rsidRPr="004542B5">
        <w:rPr>
          <w:rFonts w:cs="Verdana"/>
          <w:b/>
          <w:noProof w:val="0"/>
          <w:szCs w:val="20"/>
          <w:lang w:val="en-US"/>
        </w:rPr>
        <w:t>:</w:t>
      </w:r>
    </w:p>
    <w:p w14:paraId="4FCB2A20" w14:textId="4D8B2AC2" w:rsidR="00E576EA" w:rsidRPr="004542B5" w:rsidRDefault="00DE6766" w:rsidP="00E01664">
      <w:pPr>
        <w:spacing w:before="360" w:after="360"/>
        <w:ind w:firstLine="709"/>
        <w:rPr>
          <w:rFonts w:cs="Verdana"/>
          <w:noProof w:val="0"/>
          <w:szCs w:val="20"/>
          <w:lang w:val="en-US"/>
        </w:rPr>
      </w:pPr>
      <w:r w:rsidRPr="004542B5">
        <w:rPr>
          <w:rFonts w:cs="Verdana"/>
          <w:noProof w:val="0"/>
          <w:szCs w:val="20"/>
          <w:lang w:val="en-US"/>
        </w:rPr>
        <w:t>Unanimously, that</w:t>
      </w:r>
      <w:r w:rsidR="00E576EA" w:rsidRPr="004542B5">
        <w:rPr>
          <w:rFonts w:cs="Verdana"/>
          <w:noProof w:val="0"/>
          <w:szCs w:val="20"/>
          <w:lang w:val="en-US"/>
        </w:rPr>
        <w:t>:</w:t>
      </w:r>
    </w:p>
    <w:p w14:paraId="401BFDF1" w14:textId="265764D8" w:rsidR="00E576EA" w:rsidRPr="004542B5" w:rsidRDefault="00562CBB" w:rsidP="00DE6766">
      <w:pPr>
        <w:numPr>
          <w:ilvl w:val="0"/>
          <w:numId w:val="50"/>
        </w:numPr>
        <w:autoSpaceDE w:val="0"/>
        <w:autoSpaceDN w:val="0"/>
        <w:spacing w:before="120" w:after="120"/>
        <w:ind w:left="0" w:right="-176" w:firstLine="0"/>
        <w:rPr>
          <w:noProof w:val="0"/>
          <w:lang w:val="en-US"/>
        </w:rPr>
      </w:pPr>
      <w:r w:rsidRPr="004542B5">
        <w:rPr>
          <w:noProof w:val="0"/>
          <w:lang w:val="en-US"/>
        </w:rPr>
        <w:t xml:space="preserve">The </w:t>
      </w:r>
      <w:r w:rsidR="00DE6766" w:rsidRPr="004542B5">
        <w:rPr>
          <w:noProof w:val="0"/>
          <w:lang w:val="en-US"/>
        </w:rPr>
        <w:t>State violated</w:t>
      </w:r>
      <w:r w:rsidR="00E576EA" w:rsidRPr="004542B5">
        <w:rPr>
          <w:noProof w:val="0"/>
          <w:lang w:val="en-US"/>
        </w:rPr>
        <w:t xml:space="preserve"> </w:t>
      </w:r>
      <w:r w:rsidRPr="004542B5">
        <w:rPr>
          <w:noProof w:val="0"/>
          <w:lang w:val="en-US"/>
        </w:rPr>
        <w:t>Article</w:t>
      </w:r>
      <w:r w:rsidR="00E576EA" w:rsidRPr="004542B5">
        <w:rPr>
          <w:noProof w:val="0"/>
          <w:lang w:val="en-US"/>
        </w:rPr>
        <w:t xml:space="preserve"> 21</w:t>
      </w:r>
      <w:r w:rsidR="008A56D7" w:rsidRPr="004542B5">
        <w:rPr>
          <w:noProof w:val="0"/>
          <w:lang w:val="en-US"/>
        </w:rPr>
        <w:t xml:space="preserve"> of the </w:t>
      </w:r>
      <w:r w:rsidRPr="004542B5">
        <w:rPr>
          <w:noProof w:val="0"/>
          <w:lang w:val="en-US"/>
        </w:rPr>
        <w:t>American Convention on Human Rights</w:t>
      </w:r>
      <w:r w:rsidR="00E576EA" w:rsidRPr="004542B5">
        <w:rPr>
          <w:noProof w:val="0"/>
          <w:lang w:val="en-US"/>
        </w:rPr>
        <w:t xml:space="preserve">, </w:t>
      </w:r>
      <w:r w:rsidR="00342385" w:rsidRPr="004542B5">
        <w:rPr>
          <w:noProof w:val="0"/>
          <w:lang w:val="en-US"/>
        </w:rPr>
        <w:t>in relation to</w:t>
      </w:r>
      <w:r w:rsidR="00E576EA" w:rsidRPr="004542B5">
        <w:rPr>
          <w:noProof w:val="0"/>
          <w:lang w:val="en-US"/>
        </w:rPr>
        <w:t xml:space="preserve"> </w:t>
      </w:r>
      <w:r w:rsidR="00DE6766" w:rsidRPr="004542B5">
        <w:rPr>
          <w:noProof w:val="0"/>
          <w:lang w:val="en-US"/>
        </w:rPr>
        <w:t xml:space="preserve">Article </w:t>
      </w:r>
      <w:r w:rsidR="00E576EA" w:rsidRPr="004542B5">
        <w:rPr>
          <w:noProof w:val="0"/>
          <w:lang w:val="en-US"/>
        </w:rPr>
        <w:t>1</w:t>
      </w:r>
      <w:r w:rsidR="00DE6766" w:rsidRPr="004542B5">
        <w:rPr>
          <w:noProof w:val="0"/>
          <w:lang w:val="en-US"/>
        </w:rPr>
        <w:t>(1)</w:t>
      </w:r>
      <w:r w:rsidR="00E576EA" w:rsidRPr="004542B5">
        <w:rPr>
          <w:noProof w:val="0"/>
          <w:lang w:val="en-US"/>
        </w:rPr>
        <w:t xml:space="preserve"> </w:t>
      </w:r>
      <w:r w:rsidR="00342385" w:rsidRPr="004542B5">
        <w:rPr>
          <w:noProof w:val="0"/>
          <w:lang w:val="en-US"/>
        </w:rPr>
        <w:t>of this instrument</w:t>
      </w:r>
      <w:r w:rsidR="00E576EA" w:rsidRPr="004542B5">
        <w:rPr>
          <w:noProof w:val="0"/>
          <w:lang w:val="en-US"/>
        </w:rPr>
        <w:t xml:space="preserve">, </w:t>
      </w:r>
      <w:r w:rsidR="00342385" w:rsidRPr="004542B5">
        <w:rPr>
          <w:noProof w:val="0"/>
          <w:lang w:val="en-US"/>
        </w:rPr>
        <w:t>to the detriment of</w:t>
      </w:r>
      <w:r w:rsidR="00E576EA" w:rsidRPr="004542B5">
        <w:rPr>
          <w:noProof w:val="0"/>
          <w:lang w:val="en-US"/>
        </w:rPr>
        <w:t xml:space="preserve"> </w:t>
      </w:r>
      <w:r w:rsidR="00DE6766" w:rsidRPr="004542B5">
        <w:rPr>
          <w:noProof w:val="0"/>
          <w:lang w:val="en-US"/>
        </w:rPr>
        <w:t xml:space="preserve">the </w:t>
      </w:r>
      <w:r w:rsidR="00E576EA" w:rsidRPr="004542B5">
        <w:rPr>
          <w:noProof w:val="0"/>
          <w:lang w:val="en-US"/>
        </w:rPr>
        <w:t xml:space="preserve">Kuna </w:t>
      </w:r>
      <w:r w:rsidR="00DE6766" w:rsidRPr="004542B5">
        <w:rPr>
          <w:noProof w:val="0"/>
          <w:lang w:val="en-US"/>
        </w:rPr>
        <w:t>community of</w:t>
      </w:r>
      <w:r w:rsidR="00E576EA" w:rsidRPr="004542B5">
        <w:rPr>
          <w:noProof w:val="0"/>
          <w:lang w:val="en-US"/>
        </w:rPr>
        <w:t xml:space="preserve"> Madungandí</w:t>
      </w:r>
      <w:r w:rsidR="00CD2B90" w:rsidRPr="004542B5">
        <w:rPr>
          <w:noProof w:val="0"/>
          <w:lang w:val="en-US"/>
        </w:rPr>
        <w:t xml:space="preserve"> and </w:t>
      </w:r>
      <w:r w:rsidR="00DE6766" w:rsidRPr="004542B5">
        <w:rPr>
          <w:noProof w:val="0"/>
          <w:lang w:val="en-US"/>
        </w:rPr>
        <w:t xml:space="preserve">the </w:t>
      </w:r>
      <w:r w:rsidR="00E576EA" w:rsidRPr="004542B5">
        <w:rPr>
          <w:noProof w:val="0"/>
          <w:lang w:val="en-US"/>
        </w:rPr>
        <w:t xml:space="preserve">Emberá </w:t>
      </w:r>
      <w:r w:rsidR="00DE6766" w:rsidRPr="004542B5">
        <w:rPr>
          <w:noProof w:val="0"/>
          <w:lang w:val="en-US"/>
        </w:rPr>
        <w:t>community of</w:t>
      </w:r>
      <w:r w:rsidR="00E576EA" w:rsidRPr="004542B5">
        <w:rPr>
          <w:noProof w:val="0"/>
          <w:lang w:val="en-US"/>
        </w:rPr>
        <w:t xml:space="preserve"> Bayano</w:t>
      </w:r>
      <w:r w:rsidR="00CD2B90" w:rsidRPr="004542B5">
        <w:rPr>
          <w:noProof w:val="0"/>
          <w:lang w:val="en-US"/>
        </w:rPr>
        <w:t xml:space="preserve"> and </w:t>
      </w:r>
      <w:r w:rsidR="00DE6766" w:rsidRPr="004542B5">
        <w:rPr>
          <w:noProof w:val="0"/>
          <w:lang w:val="en-US"/>
        </w:rPr>
        <w:t>their members, owing to the failure to delimit, demarcate and grant title to their territories</w:t>
      </w:r>
      <w:r w:rsidR="00E576EA" w:rsidRPr="004542B5">
        <w:rPr>
          <w:noProof w:val="0"/>
          <w:lang w:val="en-US"/>
        </w:rPr>
        <w:t xml:space="preserve">, </w:t>
      </w:r>
      <w:r w:rsidR="00DE6766" w:rsidRPr="004542B5">
        <w:rPr>
          <w:noProof w:val="0"/>
          <w:lang w:val="en-US"/>
        </w:rPr>
        <w:t>pursuant to</w:t>
      </w:r>
      <w:r w:rsidR="00E576EA" w:rsidRPr="004542B5">
        <w:rPr>
          <w:noProof w:val="0"/>
          <w:lang w:val="en-US"/>
        </w:rPr>
        <w:t xml:space="preserve"> </w:t>
      </w:r>
      <w:r w:rsidR="00517C7D" w:rsidRPr="004542B5">
        <w:rPr>
          <w:noProof w:val="0"/>
          <w:lang w:val="en-US"/>
        </w:rPr>
        <w:t>paragraphs</w:t>
      </w:r>
      <w:r w:rsidR="00E576EA" w:rsidRPr="004542B5">
        <w:rPr>
          <w:noProof w:val="0"/>
          <w:lang w:val="en-US"/>
        </w:rPr>
        <w:t xml:space="preserve"> </w:t>
      </w:r>
      <w:r w:rsidR="00CD5C27" w:rsidRPr="004542B5">
        <w:rPr>
          <w:noProof w:val="0"/>
          <w:lang w:val="en-US"/>
        </w:rPr>
        <w:t>111</w:t>
      </w:r>
      <w:r w:rsidR="00E576EA" w:rsidRPr="004542B5">
        <w:rPr>
          <w:noProof w:val="0"/>
          <w:lang w:val="en-US"/>
        </w:rPr>
        <w:t xml:space="preserve"> </w:t>
      </w:r>
      <w:r w:rsidR="00DE6766" w:rsidRPr="004542B5">
        <w:rPr>
          <w:noProof w:val="0"/>
          <w:lang w:val="en-US"/>
        </w:rPr>
        <w:t>to</w:t>
      </w:r>
      <w:r w:rsidR="00E576EA" w:rsidRPr="004542B5">
        <w:rPr>
          <w:noProof w:val="0"/>
          <w:lang w:val="en-US"/>
        </w:rPr>
        <w:t xml:space="preserve"> </w:t>
      </w:r>
      <w:r w:rsidR="00CD5C27" w:rsidRPr="004542B5">
        <w:rPr>
          <w:noProof w:val="0"/>
          <w:lang w:val="en-US"/>
        </w:rPr>
        <w:t>146</w:t>
      </w:r>
      <w:r w:rsidR="00E576EA" w:rsidRPr="004542B5">
        <w:rPr>
          <w:noProof w:val="0"/>
          <w:lang w:val="en-US"/>
        </w:rPr>
        <w:t xml:space="preserve"> </w:t>
      </w:r>
      <w:r w:rsidR="00133200" w:rsidRPr="004542B5">
        <w:rPr>
          <w:noProof w:val="0"/>
          <w:lang w:val="en-US"/>
        </w:rPr>
        <w:t>of this judgment</w:t>
      </w:r>
      <w:r w:rsidR="00E576EA" w:rsidRPr="004542B5">
        <w:rPr>
          <w:noProof w:val="0"/>
          <w:lang w:val="en-US"/>
        </w:rPr>
        <w:t>.</w:t>
      </w:r>
    </w:p>
    <w:p w14:paraId="0CE9EB1C" w14:textId="1CAAD2C4" w:rsidR="00E576EA" w:rsidRPr="004542B5" w:rsidRDefault="00562CBB" w:rsidP="00DE6766">
      <w:pPr>
        <w:numPr>
          <w:ilvl w:val="0"/>
          <w:numId w:val="50"/>
        </w:numPr>
        <w:autoSpaceDE w:val="0"/>
        <w:autoSpaceDN w:val="0"/>
        <w:spacing w:before="120" w:after="120"/>
        <w:ind w:left="0" w:right="-176" w:firstLine="0"/>
        <w:rPr>
          <w:noProof w:val="0"/>
          <w:lang w:val="en-US"/>
        </w:rPr>
      </w:pPr>
      <w:r w:rsidRPr="004542B5">
        <w:rPr>
          <w:noProof w:val="0"/>
          <w:lang w:val="en-US"/>
        </w:rPr>
        <w:t xml:space="preserve">The </w:t>
      </w:r>
      <w:r w:rsidR="00DE6766" w:rsidRPr="004542B5">
        <w:rPr>
          <w:noProof w:val="0"/>
          <w:lang w:val="en-US"/>
        </w:rPr>
        <w:t>State violated</w:t>
      </w:r>
      <w:r w:rsidR="00E576EA" w:rsidRPr="004542B5">
        <w:rPr>
          <w:noProof w:val="0"/>
          <w:lang w:val="en-US"/>
        </w:rPr>
        <w:t xml:space="preserve"> </w:t>
      </w:r>
      <w:r w:rsidRPr="004542B5">
        <w:rPr>
          <w:noProof w:val="0"/>
          <w:lang w:val="en-US"/>
        </w:rPr>
        <w:t>Article</w:t>
      </w:r>
      <w:r w:rsidR="00E576EA" w:rsidRPr="004542B5">
        <w:rPr>
          <w:noProof w:val="0"/>
          <w:lang w:val="en-US"/>
        </w:rPr>
        <w:t xml:space="preserve"> 2</w:t>
      </w:r>
      <w:r w:rsidR="008A56D7" w:rsidRPr="004542B5">
        <w:rPr>
          <w:noProof w:val="0"/>
          <w:lang w:val="en-US"/>
        </w:rPr>
        <w:t xml:space="preserve"> of the </w:t>
      </w:r>
      <w:r w:rsidRPr="004542B5">
        <w:rPr>
          <w:noProof w:val="0"/>
          <w:lang w:val="en-US"/>
        </w:rPr>
        <w:t>American Convention on Human Rights</w:t>
      </w:r>
      <w:r w:rsidR="00E576EA" w:rsidRPr="004542B5">
        <w:rPr>
          <w:noProof w:val="0"/>
          <w:lang w:val="en-US"/>
        </w:rPr>
        <w:t xml:space="preserve">, </w:t>
      </w:r>
      <w:r w:rsidR="00342385" w:rsidRPr="004542B5">
        <w:rPr>
          <w:noProof w:val="0"/>
          <w:lang w:val="en-US"/>
        </w:rPr>
        <w:t>in relation to</w:t>
      </w:r>
      <w:r w:rsidR="00E576EA" w:rsidRPr="004542B5">
        <w:rPr>
          <w:noProof w:val="0"/>
          <w:lang w:val="en-US"/>
        </w:rPr>
        <w:t xml:space="preserve"> </w:t>
      </w:r>
      <w:r w:rsidR="00DE6766" w:rsidRPr="004542B5">
        <w:rPr>
          <w:noProof w:val="0"/>
          <w:lang w:val="en-US"/>
        </w:rPr>
        <w:t xml:space="preserve">Articles </w:t>
      </w:r>
      <w:r w:rsidR="00E576EA" w:rsidRPr="004542B5">
        <w:rPr>
          <w:noProof w:val="0"/>
          <w:lang w:val="en-US"/>
        </w:rPr>
        <w:t>21, 8</w:t>
      </w:r>
      <w:r w:rsidR="00CD2B90" w:rsidRPr="004542B5">
        <w:rPr>
          <w:noProof w:val="0"/>
          <w:lang w:val="en-US"/>
        </w:rPr>
        <w:t xml:space="preserve"> and </w:t>
      </w:r>
      <w:r w:rsidR="00E576EA" w:rsidRPr="004542B5">
        <w:rPr>
          <w:noProof w:val="0"/>
          <w:lang w:val="en-US"/>
        </w:rPr>
        <w:t xml:space="preserve">25 </w:t>
      </w:r>
      <w:r w:rsidR="00342385" w:rsidRPr="004542B5">
        <w:rPr>
          <w:noProof w:val="0"/>
          <w:lang w:val="en-US"/>
        </w:rPr>
        <w:t>of this instrument</w:t>
      </w:r>
      <w:r w:rsidR="00E576EA" w:rsidRPr="004542B5">
        <w:rPr>
          <w:noProof w:val="0"/>
          <w:lang w:val="en-US"/>
        </w:rPr>
        <w:t xml:space="preserve">, </w:t>
      </w:r>
      <w:r w:rsidR="00342385" w:rsidRPr="004542B5">
        <w:rPr>
          <w:noProof w:val="0"/>
          <w:lang w:val="en-US"/>
        </w:rPr>
        <w:t>to the detriment of</w:t>
      </w:r>
      <w:r w:rsidR="00E576EA" w:rsidRPr="004542B5">
        <w:rPr>
          <w:noProof w:val="0"/>
          <w:lang w:val="en-US"/>
        </w:rPr>
        <w:t xml:space="preserve"> </w:t>
      </w:r>
      <w:r w:rsidR="00DE6766" w:rsidRPr="004542B5">
        <w:rPr>
          <w:noProof w:val="0"/>
          <w:lang w:val="en-US"/>
        </w:rPr>
        <w:t>the Kuna community of Madungandí and the Emberá community of Bayano and their members</w:t>
      </w:r>
      <w:r w:rsidR="00E576EA" w:rsidRPr="004542B5">
        <w:rPr>
          <w:noProof w:val="0"/>
          <w:lang w:val="en-US"/>
        </w:rPr>
        <w:t xml:space="preserve">, </w:t>
      </w:r>
      <w:r w:rsidR="00DE6766" w:rsidRPr="004542B5">
        <w:rPr>
          <w:noProof w:val="0"/>
          <w:lang w:val="en-US"/>
        </w:rPr>
        <w:t xml:space="preserve">owing to the absence of domestic laws </w:t>
      </w:r>
      <w:r w:rsidR="00DE6766" w:rsidRPr="004542B5">
        <w:rPr>
          <w:noProof w:val="0"/>
          <w:lang w:val="en-US"/>
        </w:rPr>
        <w:lastRenderedPageBreak/>
        <w:t>on the delimitation, demarcation and titling of indigenous territories prior to 2008</w:t>
      </w:r>
      <w:r w:rsidR="00E576EA" w:rsidRPr="004542B5">
        <w:rPr>
          <w:noProof w:val="0"/>
          <w:lang w:val="en-US"/>
        </w:rPr>
        <w:t xml:space="preserve">, </w:t>
      </w:r>
      <w:r w:rsidR="00DE6766" w:rsidRPr="004542B5">
        <w:rPr>
          <w:noProof w:val="0"/>
          <w:lang w:val="en-US"/>
        </w:rPr>
        <w:t>pursuant to</w:t>
      </w:r>
      <w:r w:rsidR="00E576EA" w:rsidRPr="004542B5">
        <w:rPr>
          <w:noProof w:val="0"/>
          <w:lang w:val="en-US"/>
        </w:rPr>
        <w:t xml:space="preserve"> </w:t>
      </w:r>
      <w:r w:rsidR="00517C7D" w:rsidRPr="004542B5">
        <w:rPr>
          <w:noProof w:val="0"/>
          <w:lang w:val="en-US"/>
        </w:rPr>
        <w:t>paragraphs</w:t>
      </w:r>
      <w:r w:rsidR="00E576EA" w:rsidRPr="004542B5">
        <w:rPr>
          <w:noProof w:val="0"/>
          <w:lang w:val="en-US"/>
        </w:rPr>
        <w:t xml:space="preserve"> </w:t>
      </w:r>
      <w:r w:rsidR="00CD5C27" w:rsidRPr="004542B5">
        <w:rPr>
          <w:noProof w:val="0"/>
          <w:lang w:val="en-US"/>
        </w:rPr>
        <w:t>150</w:t>
      </w:r>
      <w:r w:rsidR="00E576EA" w:rsidRPr="004542B5">
        <w:rPr>
          <w:noProof w:val="0"/>
          <w:lang w:val="en-US"/>
        </w:rPr>
        <w:t xml:space="preserve"> </w:t>
      </w:r>
      <w:r w:rsidR="00DE6766" w:rsidRPr="004542B5">
        <w:rPr>
          <w:noProof w:val="0"/>
          <w:lang w:val="en-US"/>
        </w:rPr>
        <w:t>to</w:t>
      </w:r>
      <w:r w:rsidR="00E576EA" w:rsidRPr="004542B5">
        <w:rPr>
          <w:noProof w:val="0"/>
          <w:lang w:val="en-US"/>
        </w:rPr>
        <w:t xml:space="preserve"> </w:t>
      </w:r>
      <w:r w:rsidR="00CD5C27" w:rsidRPr="004542B5">
        <w:rPr>
          <w:noProof w:val="0"/>
          <w:lang w:val="en-US"/>
        </w:rPr>
        <w:t>157</w:t>
      </w:r>
      <w:r w:rsidR="00E576EA" w:rsidRPr="004542B5">
        <w:rPr>
          <w:noProof w:val="0"/>
          <w:lang w:val="en-US"/>
        </w:rPr>
        <w:t xml:space="preserve"> </w:t>
      </w:r>
      <w:r w:rsidR="00133200" w:rsidRPr="004542B5">
        <w:rPr>
          <w:noProof w:val="0"/>
          <w:lang w:val="en-US"/>
        </w:rPr>
        <w:t>of this judgment</w:t>
      </w:r>
      <w:r w:rsidR="00E576EA" w:rsidRPr="004542B5">
        <w:rPr>
          <w:noProof w:val="0"/>
          <w:lang w:val="en-US"/>
        </w:rPr>
        <w:t xml:space="preserve">. </w:t>
      </w:r>
      <w:r w:rsidR="00DE6766" w:rsidRPr="004542B5">
        <w:rPr>
          <w:noProof w:val="0"/>
          <w:lang w:val="en-US"/>
        </w:rPr>
        <w:t xml:space="preserve"> </w:t>
      </w:r>
    </w:p>
    <w:p w14:paraId="04ED3B83" w14:textId="4FE5D776" w:rsidR="00E576EA" w:rsidRPr="004542B5" w:rsidRDefault="00562CBB" w:rsidP="00DE6766">
      <w:pPr>
        <w:numPr>
          <w:ilvl w:val="0"/>
          <w:numId w:val="50"/>
        </w:numPr>
        <w:autoSpaceDE w:val="0"/>
        <w:autoSpaceDN w:val="0"/>
        <w:spacing w:before="120" w:after="120"/>
        <w:ind w:left="0" w:right="-176" w:firstLine="0"/>
        <w:rPr>
          <w:noProof w:val="0"/>
          <w:lang w:val="en-US"/>
        </w:rPr>
      </w:pPr>
      <w:r w:rsidRPr="004542B5">
        <w:rPr>
          <w:noProof w:val="0"/>
          <w:lang w:val="en-US"/>
        </w:rPr>
        <w:t xml:space="preserve">The </w:t>
      </w:r>
      <w:r w:rsidR="00DE6766" w:rsidRPr="004542B5">
        <w:rPr>
          <w:noProof w:val="0"/>
          <w:lang w:val="en-US"/>
        </w:rPr>
        <w:t>State violated</w:t>
      </w:r>
      <w:r w:rsidR="00E576EA" w:rsidRPr="004542B5">
        <w:rPr>
          <w:noProof w:val="0"/>
          <w:lang w:val="en-US"/>
        </w:rPr>
        <w:t xml:space="preserve"> </w:t>
      </w:r>
      <w:r w:rsidRPr="004542B5">
        <w:rPr>
          <w:noProof w:val="0"/>
          <w:lang w:val="en-US"/>
        </w:rPr>
        <w:t>Articles</w:t>
      </w:r>
      <w:r w:rsidR="00E576EA" w:rsidRPr="004542B5">
        <w:rPr>
          <w:noProof w:val="0"/>
          <w:lang w:val="en-US"/>
        </w:rPr>
        <w:t xml:space="preserve"> </w:t>
      </w:r>
      <w:r w:rsidR="00DE6766" w:rsidRPr="004542B5">
        <w:rPr>
          <w:noProof w:val="0"/>
          <w:lang w:val="en-US"/>
        </w:rPr>
        <w:t>8(1)</w:t>
      </w:r>
      <w:r w:rsidR="00CD2B90" w:rsidRPr="004542B5">
        <w:rPr>
          <w:noProof w:val="0"/>
          <w:lang w:val="en-US"/>
        </w:rPr>
        <w:t xml:space="preserve"> and </w:t>
      </w:r>
      <w:r w:rsidR="00E576EA" w:rsidRPr="004542B5">
        <w:rPr>
          <w:noProof w:val="0"/>
          <w:lang w:val="en-US"/>
        </w:rPr>
        <w:t>25</w:t>
      </w:r>
      <w:r w:rsidR="008A56D7" w:rsidRPr="004542B5">
        <w:rPr>
          <w:noProof w:val="0"/>
          <w:lang w:val="en-US"/>
        </w:rPr>
        <w:t xml:space="preserve"> of the </w:t>
      </w:r>
      <w:r w:rsidRPr="004542B5">
        <w:rPr>
          <w:noProof w:val="0"/>
          <w:lang w:val="en-US"/>
        </w:rPr>
        <w:t>American Convention on Human Rights</w:t>
      </w:r>
      <w:r w:rsidR="00E576EA" w:rsidRPr="004542B5">
        <w:rPr>
          <w:noProof w:val="0"/>
          <w:lang w:val="en-US"/>
        </w:rPr>
        <w:t xml:space="preserve">, </w:t>
      </w:r>
      <w:r w:rsidR="00342385" w:rsidRPr="004542B5">
        <w:rPr>
          <w:noProof w:val="0"/>
          <w:lang w:val="en-US"/>
        </w:rPr>
        <w:t>in relation to</w:t>
      </w:r>
      <w:r w:rsidR="00E576EA" w:rsidRPr="004542B5">
        <w:rPr>
          <w:noProof w:val="0"/>
          <w:lang w:val="en-US"/>
        </w:rPr>
        <w:t xml:space="preserve"> </w:t>
      </w:r>
      <w:r w:rsidR="00DE6766" w:rsidRPr="004542B5">
        <w:rPr>
          <w:noProof w:val="0"/>
          <w:lang w:val="en-US"/>
        </w:rPr>
        <w:t>Article 1(1)</w:t>
      </w:r>
      <w:r w:rsidR="00E576EA" w:rsidRPr="004542B5">
        <w:rPr>
          <w:noProof w:val="0"/>
          <w:lang w:val="en-US"/>
        </w:rPr>
        <w:t xml:space="preserve"> </w:t>
      </w:r>
      <w:r w:rsidR="00342385" w:rsidRPr="004542B5">
        <w:rPr>
          <w:noProof w:val="0"/>
          <w:lang w:val="en-US"/>
        </w:rPr>
        <w:t>of this instrument</w:t>
      </w:r>
      <w:r w:rsidR="00E576EA" w:rsidRPr="004542B5">
        <w:rPr>
          <w:noProof w:val="0"/>
          <w:lang w:val="en-US"/>
        </w:rPr>
        <w:t xml:space="preserve">, </w:t>
      </w:r>
      <w:r w:rsidR="00342385" w:rsidRPr="004542B5">
        <w:rPr>
          <w:noProof w:val="0"/>
          <w:lang w:val="en-US"/>
        </w:rPr>
        <w:t>to the detriment of</w:t>
      </w:r>
      <w:r w:rsidR="00E576EA" w:rsidRPr="004542B5">
        <w:rPr>
          <w:noProof w:val="0"/>
          <w:lang w:val="en-US"/>
        </w:rPr>
        <w:t xml:space="preserve"> </w:t>
      </w:r>
      <w:r w:rsidR="00DE6766" w:rsidRPr="004542B5">
        <w:rPr>
          <w:noProof w:val="0"/>
          <w:lang w:val="en-US"/>
        </w:rPr>
        <w:t>the Kuna community of Madungandí and the Emberá community of Bayano and their members, owing to non-compliance with the principle of a reasonable time in relation to certain domestic proceedings</w:t>
      </w:r>
      <w:r w:rsidR="00E576EA" w:rsidRPr="004542B5">
        <w:rPr>
          <w:noProof w:val="0"/>
          <w:lang w:val="en-US"/>
        </w:rPr>
        <w:t xml:space="preserve">, </w:t>
      </w:r>
      <w:r w:rsidR="00DE6766" w:rsidRPr="004542B5">
        <w:rPr>
          <w:noProof w:val="0"/>
          <w:lang w:val="en-US"/>
        </w:rPr>
        <w:t>pursuant to</w:t>
      </w:r>
      <w:r w:rsidR="00E576EA" w:rsidRPr="004542B5">
        <w:rPr>
          <w:noProof w:val="0"/>
          <w:lang w:val="en-US"/>
        </w:rPr>
        <w:t xml:space="preserve"> </w:t>
      </w:r>
      <w:r w:rsidR="00517C7D" w:rsidRPr="004542B5">
        <w:rPr>
          <w:noProof w:val="0"/>
          <w:lang w:val="en-US"/>
        </w:rPr>
        <w:t>paragraphs</w:t>
      </w:r>
      <w:r w:rsidR="00E576EA" w:rsidRPr="004542B5">
        <w:rPr>
          <w:noProof w:val="0"/>
          <w:lang w:val="en-US"/>
        </w:rPr>
        <w:t xml:space="preserve"> </w:t>
      </w:r>
      <w:r w:rsidR="00CD5C27" w:rsidRPr="004542B5">
        <w:rPr>
          <w:noProof w:val="0"/>
          <w:lang w:val="en-US"/>
        </w:rPr>
        <w:t>165</w:t>
      </w:r>
      <w:r w:rsidR="00E576EA" w:rsidRPr="004542B5">
        <w:rPr>
          <w:noProof w:val="0"/>
          <w:lang w:val="en-US"/>
        </w:rPr>
        <w:t xml:space="preserve"> </w:t>
      </w:r>
      <w:r w:rsidR="00DE6766" w:rsidRPr="004542B5">
        <w:rPr>
          <w:noProof w:val="0"/>
          <w:lang w:val="en-US"/>
        </w:rPr>
        <w:t>to</w:t>
      </w:r>
      <w:r w:rsidR="00E576EA" w:rsidRPr="004542B5">
        <w:rPr>
          <w:noProof w:val="0"/>
          <w:lang w:val="en-US"/>
        </w:rPr>
        <w:t xml:space="preserve"> </w:t>
      </w:r>
      <w:r w:rsidR="00CD5C27" w:rsidRPr="004542B5">
        <w:rPr>
          <w:noProof w:val="0"/>
          <w:lang w:val="en-US"/>
        </w:rPr>
        <w:t>187</w:t>
      </w:r>
      <w:r w:rsidR="00E576EA" w:rsidRPr="004542B5">
        <w:rPr>
          <w:noProof w:val="0"/>
          <w:lang w:val="en-US"/>
        </w:rPr>
        <w:t xml:space="preserve"> </w:t>
      </w:r>
      <w:r w:rsidR="00133200" w:rsidRPr="004542B5">
        <w:rPr>
          <w:noProof w:val="0"/>
          <w:lang w:val="en-US"/>
        </w:rPr>
        <w:t>of this judgment</w:t>
      </w:r>
      <w:r w:rsidR="00E576EA" w:rsidRPr="004542B5">
        <w:rPr>
          <w:noProof w:val="0"/>
          <w:lang w:val="en-US"/>
        </w:rPr>
        <w:t>.</w:t>
      </w:r>
    </w:p>
    <w:p w14:paraId="1C10B5C2" w14:textId="5D6D7CB9" w:rsidR="00E576EA" w:rsidRPr="004542B5" w:rsidRDefault="00562CBB" w:rsidP="00DE6766">
      <w:pPr>
        <w:numPr>
          <w:ilvl w:val="0"/>
          <w:numId w:val="50"/>
        </w:numPr>
        <w:autoSpaceDE w:val="0"/>
        <w:autoSpaceDN w:val="0"/>
        <w:spacing w:before="120" w:after="120"/>
        <w:ind w:left="0" w:right="-176" w:firstLine="0"/>
        <w:rPr>
          <w:noProof w:val="0"/>
          <w:lang w:val="en-US"/>
        </w:rPr>
      </w:pPr>
      <w:r w:rsidRPr="004542B5">
        <w:rPr>
          <w:noProof w:val="0"/>
          <w:lang w:val="en-US"/>
        </w:rPr>
        <w:t>The State</w:t>
      </w:r>
      <w:r w:rsidR="00E576EA" w:rsidRPr="004542B5">
        <w:rPr>
          <w:noProof w:val="0"/>
          <w:lang w:val="en-US"/>
        </w:rPr>
        <w:t xml:space="preserve"> </w:t>
      </w:r>
      <w:r w:rsidR="00DE6766" w:rsidRPr="004542B5">
        <w:rPr>
          <w:noProof w:val="0"/>
          <w:lang w:val="en-US"/>
        </w:rPr>
        <w:t>did not violate</w:t>
      </w:r>
      <w:r w:rsidR="00E576EA" w:rsidRPr="004542B5">
        <w:rPr>
          <w:noProof w:val="0"/>
          <w:lang w:val="en-US"/>
        </w:rPr>
        <w:t xml:space="preserve"> </w:t>
      </w:r>
      <w:r w:rsidRPr="004542B5">
        <w:rPr>
          <w:noProof w:val="0"/>
          <w:lang w:val="en-US"/>
        </w:rPr>
        <w:t>Article</w:t>
      </w:r>
      <w:r w:rsidR="00E576EA" w:rsidRPr="004542B5">
        <w:rPr>
          <w:noProof w:val="0"/>
          <w:lang w:val="en-US"/>
        </w:rPr>
        <w:t xml:space="preserve"> 2</w:t>
      </w:r>
      <w:r w:rsidR="008A56D7" w:rsidRPr="004542B5">
        <w:rPr>
          <w:noProof w:val="0"/>
          <w:lang w:val="en-US"/>
        </w:rPr>
        <w:t xml:space="preserve"> of the </w:t>
      </w:r>
      <w:r w:rsidRPr="004542B5">
        <w:rPr>
          <w:noProof w:val="0"/>
          <w:lang w:val="en-US"/>
        </w:rPr>
        <w:t>American Convention</w:t>
      </w:r>
      <w:r w:rsidR="00E576EA" w:rsidRPr="004542B5">
        <w:rPr>
          <w:noProof w:val="0"/>
          <w:lang w:val="en-US"/>
        </w:rPr>
        <w:t xml:space="preserve">, </w:t>
      </w:r>
      <w:r w:rsidR="00342385" w:rsidRPr="004542B5">
        <w:rPr>
          <w:noProof w:val="0"/>
          <w:lang w:val="en-US"/>
        </w:rPr>
        <w:t>in relation to</w:t>
      </w:r>
      <w:r w:rsidR="00E576EA" w:rsidRPr="004542B5">
        <w:rPr>
          <w:noProof w:val="0"/>
          <w:lang w:val="en-US"/>
        </w:rPr>
        <w:t xml:space="preserve"> 8</w:t>
      </w:r>
      <w:r w:rsidR="00CD2B90" w:rsidRPr="004542B5">
        <w:rPr>
          <w:noProof w:val="0"/>
          <w:lang w:val="en-US"/>
        </w:rPr>
        <w:t xml:space="preserve"> and </w:t>
      </w:r>
      <w:r w:rsidR="00E576EA" w:rsidRPr="004542B5">
        <w:rPr>
          <w:noProof w:val="0"/>
          <w:lang w:val="en-US"/>
        </w:rPr>
        <w:t xml:space="preserve">25 </w:t>
      </w:r>
      <w:r w:rsidR="00342385" w:rsidRPr="004542B5">
        <w:rPr>
          <w:noProof w:val="0"/>
          <w:lang w:val="en-US"/>
        </w:rPr>
        <w:t>of this instrument</w:t>
      </w:r>
      <w:r w:rsidR="00E576EA" w:rsidRPr="004542B5">
        <w:rPr>
          <w:noProof w:val="0"/>
          <w:lang w:val="en-US"/>
        </w:rPr>
        <w:t xml:space="preserve">, </w:t>
      </w:r>
      <w:r w:rsidR="00342385" w:rsidRPr="004542B5">
        <w:rPr>
          <w:noProof w:val="0"/>
          <w:lang w:val="en-US"/>
        </w:rPr>
        <w:t>to the detriment of</w:t>
      </w:r>
      <w:r w:rsidR="00E576EA" w:rsidRPr="004542B5">
        <w:rPr>
          <w:noProof w:val="0"/>
          <w:lang w:val="en-US"/>
        </w:rPr>
        <w:t xml:space="preserve"> </w:t>
      </w:r>
      <w:r w:rsidR="00DE6766" w:rsidRPr="004542B5">
        <w:rPr>
          <w:noProof w:val="0"/>
          <w:lang w:val="en-US"/>
        </w:rPr>
        <w:t>the Kuna community of Madungandí and the Emberá community of Bayano and their members</w:t>
      </w:r>
      <w:r w:rsidR="00E576EA" w:rsidRPr="004542B5">
        <w:rPr>
          <w:noProof w:val="0"/>
          <w:lang w:val="en-US"/>
        </w:rPr>
        <w:t xml:space="preserve">, </w:t>
      </w:r>
      <w:r w:rsidR="00DE6766" w:rsidRPr="004542B5">
        <w:rPr>
          <w:noProof w:val="0"/>
          <w:lang w:val="en-US"/>
        </w:rPr>
        <w:t>with regard to the alleged absence of a proceeding to protect indigenous territories, pursuant to</w:t>
      </w:r>
      <w:r w:rsidR="00E576EA" w:rsidRPr="004542B5">
        <w:rPr>
          <w:noProof w:val="0"/>
          <w:lang w:val="en-US"/>
        </w:rPr>
        <w:t xml:space="preserve"> </w:t>
      </w:r>
      <w:r w:rsidR="00517C7D" w:rsidRPr="004542B5">
        <w:rPr>
          <w:noProof w:val="0"/>
          <w:lang w:val="en-US"/>
        </w:rPr>
        <w:t>paragraphs</w:t>
      </w:r>
      <w:r w:rsidR="00E576EA" w:rsidRPr="004542B5">
        <w:rPr>
          <w:noProof w:val="0"/>
          <w:lang w:val="en-US"/>
        </w:rPr>
        <w:t xml:space="preserve"> </w:t>
      </w:r>
      <w:r w:rsidR="00CD5C27" w:rsidRPr="004542B5">
        <w:rPr>
          <w:noProof w:val="0"/>
          <w:lang w:val="en-US"/>
        </w:rPr>
        <w:t>188</w:t>
      </w:r>
      <w:r w:rsidR="00E576EA" w:rsidRPr="004542B5">
        <w:rPr>
          <w:noProof w:val="0"/>
          <w:lang w:val="en-US"/>
        </w:rPr>
        <w:t xml:space="preserve"> </w:t>
      </w:r>
      <w:r w:rsidR="00DE6766" w:rsidRPr="004542B5">
        <w:rPr>
          <w:noProof w:val="0"/>
          <w:lang w:val="en-US"/>
        </w:rPr>
        <w:t>to</w:t>
      </w:r>
      <w:r w:rsidR="00E576EA" w:rsidRPr="004542B5">
        <w:rPr>
          <w:noProof w:val="0"/>
          <w:lang w:val="en-US"/>
        </w:rPr>
        <w:t xml:space="preserve"> </w:t>
      </w:r>
      <w:r w:rsidR="00CD5C27" w:rsidRPr="004542B5">
        <w:rPr>
          <w:noProof w:val="0"/>
          <w:lang w:val="en-US"/>
        </w:rPr>
        <w:t>198</w:t>
      </w:r>
      <w:r w:rsidR="00E576EA" w:rsidRPr="004542B5">
        <w:rPr>
          <w:noProof w:val="0"/>
          <w:lang w:val="en-US"/>
        </w:rPr>
        <w:t xml:space="preserve"> </w:t>
      </w:r>
      <w:r w:rsidR="00133200" w:rsidRPr="004542B5">
        <w:rPr>
          <w:noProof w:val="0"/>
          <w:lang w:val="en-US"/>
        </w:rPr>
        <w:t>of this judgment</w:t>
      </w:r>
      <w:r w:rsidR="00E576EA" w:rsidRPr="004542B5">
        <w:rPr>
          <w:noProof w:val="0"/>
          <w:lang w:val="en-US"/>
        </w:rPr>
        <w:t>.</w:t>
      </w:r>
    </w:p>
    <w:p w14:paraId="48198A8C" w14:textId="79471AB1" w:rsidR="00E576EA" w:rsidRPr="004542B5" w:rsidRDefault="00DE6766" w:rsidP="00DE6766">
      <w:pPr>
        <w:numPr>
          <w:ilvl w:val="0"/>
          <w:numId w:val="50"/>
        </w:numPr>
        <w:autoSpaceDE w:val="0"/>
        <w:autoSpaceDN w:val="0"/>
        <w:spacing w:before="120" w:after="120"/>
        <w:ind w:left="0" w:right="-176" w:firstLine="0"/>
        <w:rPr>
          <w:noProof w:val="0"/>
          <w:lang w:val="en-US"/>
        </w:rPr>
      </w:pPr>
      <w:r w:rsidRPr="004542B5">
        <w:rPr>
          <w:noProof w:val="0"/>
          <w:lang w:val="en-US"/>
        </w:rPr>
        <w:t xml:space="preserve">It has no evidence to rule on the violation of equality before the law and the principle of non-discrimination established in </w:t>
      </w:r>
      <w:r w:rsidR="00562CBB" w:rsidRPr="004542B5">
        <w:rPr>
          <w:noProof w:val="0"/>
          <w:lang w:val="en-US"/>
        </w:rPr>
        <w:t>Articles</w:t>
      </w:r>
      <w:r w:rsidR="00E576EA" w:rsidRPr="004542B5">
        <w:rPr>
          <w:noProof w:val="0"/>
          <w:lang w:val="en-US"/>
        </w:rPr>
        <w:t xml:space="preserve"> 24</w:t>
      </w:r>
      <w:r w:rsidR="00CD2B90" w:rsidRPr="004542B5">
        <w:rPr>
          <w:noProof w:val="0"/>
          <w:lang w:val="en-US"/>
        </w:rPr>
        <w:t xml:space="preserve"> and </w:t>
      </w:r>
      <w:r w:rsidR="00E576EA" w:rsidRPr="004542B5">
        <w:rPr>
          <w:noProof w:val="0"/>
          <w:lang w:val="en-US"/>
        </w:rPr>
        <w:t>1</w:t>
      </w:r>
      <w:r w:rsidRPr="004542B5">
        <w:rPr>
          <w:noProof w:val="0"/>
          <w:lang w:val="en-US"/>
        </w:rPr>
        <w:t>(1)</w:t>
      </w:r>
      <w:r w:rsidR="008A56D7" w:rsidRPr="004542B5">
        <w:rPr>
          <w:noProof w:val="0"/>
          <w:lang w:val="en-US"/>
        </w:rPr>
        <w:t xml:space="preserve"> of the </w:t>
      </w:r>
      <w:r w:rsidR="00562CBB" w:rsidRPr="004542B5">
        <w:rPr>
          <w:noProof w:val="0"/>
          <w:lang w:val="en-US"/>
        </w:rPr>
        <w:t>American Convention</w:t>
      </w:r>
      <w:r w:rsidR="00E576EA" w:rsidRPr="004542B5">
        <w:rPr>
          <w:noProof w:val="0"/>
          <w:lang w:val="en-US"/>
        </w:rPr>
        <w:t xml:space="preserve">, </w:t>
      </w:r>
      <w:r w:rsidR="00342385" w:rsidRPr="004542B5">
        <w:rPr>
          <w:noProof w:val="0"/>
          <w:lang w:val="en-US"/>
        </w:rPr>
        <w:t>to the detriment of</w:t>
      </w:r>
      <w:r w:rsidR="00E576EA" w:rsidRPr="004542B5">
        <w:rPr>
          <w:noProof w:val="0"/>
          <w:lang w:val="en-US"/>
        </w:rPr>
        <w:t xml:space="preserve"> </w:t>
      </w:r>
      <w:r w:rsidRPr="004542B5">
        <w:rPr>
          <w:noProof w:val="0"/>
          <w:lang w:val="en-US"/>
        </w:rPr>
        <w:t>the Kuna community of Madungandí and the Emberá community of Bayano and their members, pursuant to</w:t>
      </w:r>
      <w:r w:rsidR="00E576EA" w:rsidRPr="004542B5">
        <w:rPr>
          <w:noProof w:val="0"/>
          <w:lang w:val="en-US"/>
        </w:rPr>
        <w:t xml:space="preserve"> </w:t>
      </w:r>
      <w:r w:rsidR="00517C7D" w:rsidRPr="004542B5">
        <w:rPr>
          <w:noProof w:val="0"/>
          <w:lang w:val="en-US"/>
        </w:rPr>
        <w:t>paragraphs</w:t>
      </w:r>
      <w:r w:rsidR="00E576EA" w:rsidRPr="004542B5">
        <w:rPr>
          <w:noProof w:val="0"/>
          <w:lang w:val="en-US"/>
        </w:rPr>
        <w:t xml:space="preserve"> </w:t>
      </w:r>
      <w:r w:rsidR="00CD5C27" w:rsidRPr="004542B5">
        <w:rPr>
          <w:noProof w:val="0"/>
          <w:lang w:val="en-US"/>
        </w:rPr>
        <w:t>202</w:t>
      </w:r>
      <w:r w:rsidR="00E576EA" w:rsidRPr="004542B5">
        <w:rPr>
          <w:noProof w:val="0"/>
          <w:lang w:val="en-US"/>
        </w:rPr>
        <w:t xml:space="preserve"> </w:t>
      </w:r>
      <w:r w:rsidRPr="004542B5">
        <w:rPr>
          <w:noProof w:val="0"/>
          <w:lang w:val="en-US"/>
        </w:rPr>
        <w:t>to</w:t>
      </w:r>
      <w:r w:rsidR="00E576EA" w:rsidRPr="004542B5">
        <w:rPr>
          <w:noProof w:val="0"/>
          <w:lang w:val="en-US"/>
        </w:rPr>
        <w:t xml:space="preserve"> </w:t>
      </w:r>
      <w:r w:rsidR="00CD5C27" w:rsidRPr="004542B5">
        <w:rPr>
          <w:noProof w:val="0"/>
          <w:lang w:val="en-US"/>
        </w:rPr>
        <w:t>204</w:t>
      </w:r>
      <w:r w:rsidR="00E576EA" w:rsidRPr="004542B5">
        <w:rPr>
          <w:noProof w:val="0"/>
          <w:lang w:val="en-US"/>
        </w:rPr>
        <w:t xml:space="preserve"> </w:t>
      </w:r>
      <w:r w:rsidR="00133200" w:rsidRPr="004542B5">
        <w:rPr>
          <w:noProof w:val="0"/>
          <w:lang w:val="en-US"/>
        </w:rPr>
        <w:t>of this judgment</w:t>
      </w:r>
      <w:r w:rsidR="00E576EA" w:rsidRPr="004542B5">
        <w:rPr>
          <w:noProof w:val="0"/>
          <w:lang w:val="en-US"/>
        </w:rPr>
        <w:t>.</w:t>
      </w:r>
    </w:p>
    <w:p w14:paraId="16E50A1C" w14:textId="6DB03706" w:rsidR="00E576EA" w:rsidRPr="004542B5" w:rsidRDefault="00133200" w:rsidP="00E01664">
      <w:pPr>
        <w:spacing w:before="360" w:after="360"/>
        <w:rPr>
          <w:rFonts w:cs="Verdana"/>
          <w:b/>
          <w:noProof w:val="0"/>
          <w:szCs w:val="20"/>
          <w:lang w:val="en-US"/>
        </w:rPr>
      </w:pPr>
      <w:r w:rsidRPr="004542B5">
        <w:rPr>
          <w:rFonts w:cs="Verdana"/>
          <w:b/>
          <w:noProof w:val="0"/>
          <w:szCs w:val="20"/>
          <w:lang w:val="en-US"/>
        </w:rPr>
        <w:t>AND ESTABLISHES</w:t>
      </w:r>
    </w:p>
    <w:p w14:paraId="6BC18134" w14:textId="55ADA55D" w:rsidR="00E576EA" w:rsidRPr="004542B5" w:rsidRDefault="00133200" w:rsidP="00E01664">
      <w:pPr>
        <w:spacing w:before="360" w:after="360"/>
        <w:ind w:firstLine="709"/>
        <w:rPr>
          <w:rFonts w:cs="Verdana"/>
          <w:noProof w:val="0"/>
          <w:szCs w:val="20"/>
          <w:lang w:val="en-US"/>
        </w:rPr>
      </w:pPr>
      <w:r w:rsidRPr="004542B5">
        <w:rPr>
          <w:rFonts w:cs="Verdana"/>
          <w:noProof w:val="0"/>
          <w:szCs w:val="20"/>
          <w:lang w:val="en-US"/>
        </w:rPr>
        <w:t>Unanimously, that</w:t>
      </w:r>
      <w:r w:rsidR="00E576EA" w:rsidRPr="004542B5">
        <w:rPr>
          <w:rFonts w:cs="Verdana"/>
          <w:noProof w:val="0"/>
          <w:szCs w:val="20"/>
          <w:lang w:val="en-US"/>
        </w:rPr>
        <w:t>:</w:t>
      </w:r>
    </w:p>
    <w:p w14:paraId="79868818" w14:textId="3CDE8828" w:rsidR="00E576EA" w:rsidRPr="004542B5" w:rsidRDefault="00133200" w:rsidP="00133200">
      <w:pPr>
        <w:numPr>
          <w:ilvl w:val="0"/>
          <w:numId w:val="50"/>
        </w:numPr>
        <w:tabs>
          <w:tab w:val="left" w:pos="720"/>
        </w:tabs>
        <w:autoSpaceDE w:val="0"/>
        <w:autoSpaceDN w:val="0"/>
        <w:spacing w:before="120" w:after="120"/>
        <w:ind w:left="0" w:right="-176" w:firstLine="0"/>
        <w:rPr>
          <w:noProof w:val="0"/>
          <w:lang w:val="en-US"/>
        </w:rPr>
      </w:pPr>
      <w:r w:rsidRPr="004542B5">
        <w:rPr>
          <w:noProof w:val="0"/>
          <w:lang w:val="en-US"/>
        </w:rPr>
        <w:t>This judgment constitutes,</w:t>
      </w:r>
      <w:r w:rsidR="00E576EA" w:rsidRPr="004542B5">
        <w:rPr>
          <w:noProof w:val="0"/>
          <w:lang w:val="en-US"/>
        </w:rPr>
        <w:t xml:space="preserve"> </w:t>
      </w:r>
      <w:r w:rsidR="00E576EA" w:rsidRPr="004542B5">
        <w:rPr>
          <w:i/>
          <w:noProof w:val="0"/>
          <w:lang w:val="en-US"/>
        </w:rPr>
        <w:t>per se</w:t>
      </w:r>
      <w:r w:rsidRPr="004542B5">
        <w:rPr>
          <w:i/>
          <w:noProof w:val="0"/>
          <w:lang w:val="en-US"/>
        </w:rPr>
        <w:t>,</w:t>
      </w:r>
      <w:r w:rsidR="00E576EA" w:rsidRPr="004542B5">
        <w:rPr>
          <w:noProof w:val="0"/>
          <w:lang w:val="en-US"/>
        </w:rPr>
        <w:t xml:space="preserve"> a form</w:t>
      </w:r>
      <w:r w:rsidRPr="004542B5">
        <w:rPr>
          <w:noProof w:val="0"/>
          <w:lang w:val="en-US"/>
        </w:rPr>
        <w:t xml:space="preserve"> of reparation.</w:t>
      </w:r>
    </w:p>
    <w:p w14:paraId="3920099D" w14:textId="3564DB66" w:rsidR="00E576EA" w:rsidRPr="004542B5" w:rsidRDefault="00133200" w:rsidP="00E01664">
      <w:pPr>
        <w:numPr>
          <w:ilvl w:val="0"/>
          <w:numId w:val="50"/>
        </w:numPr>
        <w:autoSpaceDE w:val="0"/>
        <w:autoSpaceDN w:val="0"/>
        <w:spacing w:before="120" w:after="120"/>
        <w:ind w:left="0" w:right="-176" w:firstLine="0"/>
        <w:rPr>
          <w:noProof w:val="0"/>
          <w:lang w:val="en-US"/>
        </w:rPr>
      </w:pPr>
      <w:r w:rsidRPr="004542B5">
        <w:rPr>
          <w:rFonts w:eastAsia="MS Mincho" w:cs="Verdana"/>
          <w:noProof w:val="0"/>
          <w:w w:val="95"/>
          <w:szCs w:val="20"/>
          <w:lang w:val="en-US"/>
        </w:rPr>
        <w:t>The State shall</w:t>
      </w:r>
      <w:r w:rsidR="00E576EA" w:rsidRPr="004542B5">
        <w:rPr>
          <w:noProof w:val="0"/>
          <w:lang w:val="en-US"/>
        </w:rPr>
        <w:t xml:space="preserve">, </w:t>
      </w:r>
      <w:r w:rsidRPr="004542B5">
        <w:rPr>
          <w:noProof w:val="0"/>
          <w:lang w:val="en-US"/>
        </w:rPr>
        <w:t>within six months of notification of this judgment, publish the official summary of this judgment, once, in the Official Gazette of Panama and in a national newspaper with widespread coverage</w:t>
      </w:r>
      <w:r w:rsidR="00E576EA" w:rsidRPr="004542B5">
        <w:rPr>
          <w:noProof w:val="0"/>
          <w:lang w:val="en-US"/>
        </w:rPr>
        <w:t xml:space="preserve">. </w:t>
      </w:r>
      <w:r w:rsidRPr="004542B5">
        <w:rPr>
          <w:noProof w:val="0"/>
          <w:lang w:val="en-US"/>
        </w:rPr>
        <w:t>In addition, the State shall, with</w:t>
      </w:r>
      <w:r w:rsidR="009622F8" w:rsidRPr="004542B5">
        <w:rPr>
          <w:noProof w:val="0"/>
          <w:lang w:val="en-US"/>
        </w:rPr>
        <w:t>in</w:t>
      </w:r>
      <w:r w:rsidRPr="004542B5">
        <w:rPr>
          <w:noProof w:val="0"/>
          <w:lang w:val="en-US"/>
        </w:rPr>
        <w:t xml:space="preserve"> the same time frame, publish this judgment in full on an official website </w:t>
      </w:r>
      <w:r w:rsidR="008A56D7" w:rsidRPr="004542B5">
        <w:rPr>
          <w:noProof w:val="0"/>
          <w:lang w:val="en-US"/>
        </w:rPr>
        <w:t xml:space="preserve">of the </w:t>
      </w:r>
      <w:r w:rsidR="00562CBB" w:rsidRPr="004542B5">
        <w:rPr>
          <w:noProof w:val="0"/>
          <w:lang w:val="en-US"/>
        </w:rPr>
        <w:t>State</w:t>
      </w:r>
      <w:r w:rsidR="00E576EA" w:rsidRPr="004542B5">
        <w:rPr>
          <w:noProof w:val="0"/>
          <w:lang w:val="en-US"/>
        </w:rPr>
        <w:t xml:space="preserve"> </w:t>
      </w:r>
      <w:r w:rsidRPr="004542B5">
        <w:rPr>
          <w:noProof w:val="0"/>
          <w:lang w:val="en-US"/>
        </w:rPr>
        <w:t>for one year,</w:t>
      </w:r>
      <w:r w:rsidR="00CD2B90" w:rsidRPr="004542B5">
        <w:rPr>
          <w:noProof w:val="0"/>
          <w:lang w:val="en-US"/>
        </w:rPr>
        <w:t xml:space="preserve"> and </w:t>
      </w:r>
      <w:r w:rsidRPr="004542B5">
        <w:rPr>
          <w:noProof w:val="0"/>
          <w:lang w:val="en-US"/>
        </w:rPr>
        <w:t>broadcast it on a radio station. All of this pursuant to</w:t>
      </w:r>
      <w:r w:rsidR="00E576EA" w:rsidRPr="004542B5">
        <w:rPr>
          <w:noProof w:val="0"/>
          <w:lang w:val="en-US"/>
        </w:rPr>
        <w:t xml:space="preserve"> </w:t>
      </w:r>
      <w:r w:rsidR="00517C7D" w:rsidRPr="004542B5">
        <w:rPr>
          <w:noProof w:val="0"/>
          <w:lang w:val="en-US"/>
        </w:rPr>
        <w:t>paragraphs</w:t>
      </w:r>
      <w:r w:rsidR="00E576EA" w:rsidRPr="004542B5">
        <w:rPr>
          <w:noProof w:val="0"/>
          <w:lang w:val="en-US"/>
        </w:rPr>
        <w:t xml:space="preserve"> </w:t>
      </w:r>
      <w:r w:rsidR="00CD5C27" w:rsidRPr="004542B5">
        <w:rPr>
          <w:noProof w:val="0"/>
          <w:lang w:val="en-US"/>
        </w:rPr>
        <w:t>216</w:t>
      </w:r>
      <w:r w:rsidR="00CD2B90" w:rsidRPr="004542B5">
        <w:rPr>
          <w:noProof w:val="0"/>
          <w:lang w:val="en-US"/>
        </w:rPr>
        <w:t xml:space="preserve"> and </w:t>
      </w:r>
      <w:r w:rsidR="00CD5C27" w:rsidRPr="004542B5">
        <w:rPr>
          <w:noProof w:val="0"/>
          <w:lang w:val="en-US"/>
        </w:rPr>
        <w:t>217</w:t>
      </w:r>
      <w:r w:rsidR="00E576EA" w:rsidRPr="004542B5">
        <w:rPr>
          <w:noProof w:val="0"/>
          <w:lang w:val="en-US"/>
        </w:rPr>
        <w:t xml:space="preserve"> </w:t>
      </w:r>
      <w:r w:rsidRPr="004542B5">
        <w:rPr>
          <w:noProof w:val="0"/>
          <w:lang w:val="en-US"/>
        </w:rPr>
        <w:t>of this judgment</w:t>
      </w:r>
      <w:r w:rsidR="00E576EA" w:rsidRPr="004542B5">
        <w:rPr>
          <w:noProof w:val="0"/>
          <w:lang w:val="en-US"/>
        </w:rPr>
        <w:t>.</w:t>
      </w:r>
    </w:p>
    <w:p w14:paraId="1D1DA07B" w14:textId="46203C5B" w:rsidR="00E576EA" w:rsidRPr="004542B5" w:rsidRDefault="00133200" w:rsidP="00E01664">
      <w:pPr>
        <w:numPr>
          <w:ilvl w:val="0"/>
          <w:numId w:val="50"/>
        </w:numPr>
        <w:autoSpaceDE w:val="0"/>
        <w:autoSpaceDN w:val="0"/>
        <w:spacing w:before="120" w:after="120"/>
        <w:ind w:left="0" w:right="-176" w:firstLine="0"/>
        <w:rPr>
          <w:noProof w:val="0"/>
          <w:lang w:val="en-US"/>
        </w:rPr>
      </w:pPr>
      <w:r w:rsidRPr="004542B5">
        <w:rPr>
          <w:noProof w:val="0"/>
          <w:lang w:val="en-US"/>
        </w:rPr>
        <w:t>The State shall</w:t>
      </w:r>
      <w:r w:rsidR="00E576EA" w:rsidRPr="004542B5">
        <w:rPr>
          <w:noProof w:val="0"/>
          <w:lang w:val="en-US"/>
        </w:rPr>
        <w:t xml:space="preserve"> </w:t>
      </w:r>
      <w:r w:rsidRPr="004542B5">
        <w:rPr>
          <w:noProof w:val="0"/>
          <w:lang w:val="en-US"/>
        </w:rPr>
        <w:t xml:space="preserve">organize a public act to acknowledge international responsibility </w:t>
      </w:r>
      <w:r w:rsidR="00342385" w:rsidRPr="004542B5">
        <w:rPr>
          <w:noProof w:val="0"/>
          <w:lang w:val="en-US"/>
        </w:rPr>
        <w:t>in relation to</w:t>
      </w:r>
      <w:r w:rsidR="00E576EA" w:rsidRPr="004542B5">
        <w:rPr>
          <w:noProof w:val="0"/>
          <w:lang w:val="en-US"/>
        </w:rPr>
        <w:t xml:space="preserve"> </w:t>
      </w:r>
      <w:r w:rsidRPr="004542B5">
        <w:rPr>
          <w:noProof w:val="0"/>
          <w:lang w:val="en-US"/>
        </w:rPr>
        <w:t>the facts of this case, pursuant to paragraph</w:t>
      </w:r>
      <w:r w:rsidR="00E576EA" w:rsidRPr="004542B5">
        <w:rPr>
          <w:noProof w:val="0"/>
          <w:lang w:val="en-US"/>
        </w:rPr>
        <w:t xml:space="preserve"> </w:t>
      </w:r>
      <w:r w:rsidR="00CD5C27" w:rsidRPr="004542B5">
        <w:rPr>
          <w:noProof w:val="0"/>
          <w:lang w:val="en-US"/>
        </w:rPr>
        <w:t>219</w:t>
      </w:r>
      <w:r w:rsidR="00E576EA" w:rsidRPr="004542B5">
        <w:rPr>
          <w:noProof w:val="0"/>
          <w:lang w:val="en-US"/>
        </w:rPr>
        <w:t xml:space="preserve"> </w:t>
      </w:r>
      <w:r w:rsidRPr="004542B5">
        <w:rPr>
          <w:noProof w:val="0"/>
          <w:lang w:val="en-US"/>
        </w:rPr>
        <w:t>of this judgment</w:t>
      </w:r>
      <w:r w:rsidR="00E576EA" w:rsidRPr="004542B5">
        <w:rPr>
          <w:noProof w:val="0"/>
          <w:lang w:val="en-US"/>
        </w:rPr>
        <w:t>.</w:t>
      </w:r>
    </w:p>
    <w:p w14:paraId="14A25D5C" w14:textId="18C2F0C3" w:rsidR="00CD5C27" w:rsidRPr="004542B5" w:rsidRDefault="00133200" w:rsidP="00E01664">
      <w:pPr>
        <w:numPr>
          <w:ilvl w:val="0"/>
          <w:numId w:val="50"/>
        </w:numPr>
        <w:autoSpaceDE w:val="0"/>
        <w:autoSpaceDN w:val="0"/>
        <w:spacing w:before="120" w:after="120"/>
        <w:ind w:left="0" w:right="-176" w:firstLine="0"/>
        <w:rPr>
          <w:noProof w:val="0"/>
          <w:lang w:val="en-US"/>
        </w:rPr>
      </w:pPr>
      <w:r w:rsidRPr="004542B5">
        <w:rPr>
          <w:noProof w:val="0"/>
          <w:lang w:val="en-US"/>
        </w:rPr>
        <w:t xml:space="preserve">The State shall </w:t>
      </w:r>
      <w:r w:rsidR="00E576EA" w:rsidRPr="004542B5">
        <w:rPr>
          <w:noProof w:val="0"/>
          <w:lang w:val="en-US"/>
        </w:rPr>
        <w:t>demarca</w:t>
      </w:r>
      <w:r w:rsidRPr="004542B5">
        <w:rPr>
          <w:noProof w:val="0"/>
          <w:lang w:val="en-US"/>
        </w:rPr>
        <w:t xml:space="preserve">te, within one year at the most, the lands that correspond to the </w:t>
      </w:r>
      <w:r w:rsidR="00E576EA" w:rsidRPr="004542B5">
        <w:rPr>
          <w:noProof w:val="0"/>
          <w:lang w:val="en-US"/>
        </w:rPr>
        <w:t>Ipetí</w:t>
      </w:r>
      <w:r w:rsidR="00CD2B90" w:rsidRPr="004542B5">
        <w:rPr>
          <w:noProof w:val="0"/>
          <w:lang w:val="en-US"/>
        </w:rPr>
        <w:t xml:space="preserve"> and </w:t>
      </w:r>
      <w:r w:rsidR="00E74A3B" w:rsidRPr="004542B5">
        <w:rPr>
          <w:noProof w:val="0"/>
          <w:lang w:val="en-US"/>
        </w:rPr>
        <w:t>Piriatí Emberá</w:t>
      </w:r>
      <w:r w:rsidR="00CD2B90" w:rsidRPr="004542B5">
        <w:rPr>
          <w:noProof w:val="0"/>
          <w:lang w:val="en-US"/>
        </w:rPr>
        <w:t xml:space="preserve"> </w:t>
      </w:r>
      <w:r w:rsidRPr="004542B5">
        <w:rPr>
          <w:noProof w:val="0"/>
          <w:lang w:val="en-US"/>
        </w:rPr>
        <w:t xml:space="preserve">communities </w:t>
      </w:r>
      <w:r w:rsidR="00CD2B90" w:rsidRPr="004542B5">
        <w:rPr>
          <w:noProof w:val="0"/>
          <w:lang w:val="en-US"/>
        </w:rPr>
        <w:t xml:space="preserve">and </w:t>
      </w:r>
      <w:r w:rsidRPr="004542B5">
        <w:rPr>
          <w:noProof w:val="0"/>
          <w:lang w:val="en-US"/>
        </w:rPr>
        <w:t xml:space="preserve">grant title to the </w:t>
      </w:r>
      <w:r w:rsidR="00E576EA" w:rsidRPr="004542B5">
        <w:rPr>
          <w:noProof w:val="0"/>
          <w:lang w:val="en-US"/>
        </w:rPr>
        <w:t xml:space="preserve">Ipetí </w:t>
      </w:r>
      <w:r w:rsidRPr="004542B5">
        <w:rPr>
          <w:noProof w:val="0"/>
          <w:lang w:val="en-US"/>
        </w:rPr>
        <w:t xml:space="preserve">lands as a right to collective ownership of the </w:t>
      </w:r>
      <w:r w:rsidR="00E74A3B" w:rsidRPr="004542B5">
        <w:rPr>
          <w:noProof w:val="0"/>
          <w:lang w:val="en-US"/>
        </w:rPr>
        <w:t>Ipetí Emberá</w:t>
      </w:r>
      <w:r w:rsidRPr="004542B5">
        <w:rPr>
          <w:noProof w:val="0"/>
          <w:lang w:val="en-US"/>
        </w:rPr>
        <w:t xml:space="preserve"> community</w:t>
      </w:r>
      <w:r w:rsidR="00E576EA" w:rsidRPr="004542B5">
        <w:rPr>
          <w:noProof w:val="0"/>
          <w:lang w:val="en-US"/>
        </w:rPr>
        <w:t xml:space="preserve">, </w:t>
      </w:r>
      <w:r w:rsidRPr="004542B5">
        <w:rPr>
          <w:noProof w:val="0"/>
          <w:lang w:val="en-US"/>
        </w:rPr>
        <w:t>pursuant to paragraph</w:t>
      </w:r>
      <w:r w:rsidR="00E576EA" w:rsidRPr="004542B5">
        <w:rPr>
          <w:noProof w:val="0"/>
          <w:lang w:val="en-US"/>
        </w:rPr>
        <w:t xml:space="preserve"> </w:t>
      </w:r>
      <w:r w:rsidR="00CD5C27" w:rsidRPr="004542B5">
        <w:rPr>
          <w:noProof w:val="0"/>
          <w:lang w:val="en-US"/>
        </w:rPr>
        <w:t>232</w:t>
      </w:r>
      <w:r w:rsidR="00E576EA" w:rsidRPr="004542B5">
        <w:rPr>
          <w:noProof w:val="0"/>
          <w:lang w:val="en-US"/>
        </w:rPr>
        <w:t xml:space="preserve"> </w:t>
      </w:r>
      <w:r w:rsidRPr="004542B5">
        <w:rPr>
          <w:noProof w:val="0"/>
          <w:lang w:val="en-US"/>
        </w:rPr>
        <w:t>of this judgment</w:t>
      </w:r>
      <w:r w:rsidR="00E576EA" w:rsidRPr="004542B5">
        <w:rPr>
          <w:noProof w:val="0"/>
          <w:lang w:val="en-US"/>
        </w:rPr>
        <w:t>.</w:t>
      </w:r>
      <w:r w:rsidR="00CD5C27" w:rsidRPr="004542B5">
        <w:rPr>
          <w:noProof w:val="0"/>
          <w:lang w:val="en-US"/>
        </w:rPr>
        <w:t xml:space="preserve"> </w:t>
      </w:r>
    </w:p>
    <w:p w14:paraId="33E4619F" w14:textId="79B07396" w:rsidR="00E576EA" w:rsidRPr="004542B5" w:rsidRDefault="00133200" w:rsidP="00E01664">
      <w:pPr>
        <w:numPr>
          <w:ilvl w:val="0"/>
          <w:numId w:val="50"/>
        </w:numPr>
        <w:autoSpaceDE w:val="0"/>
        <w:autoSpaceDN w:val="0"/>
        <w:spacing w:before="120" w:after="120"/>
        <w:ind w:left="0" w:right="-176" w:firstLine="0"/>
        <w:rPr>
          <w:rFonts w:cs="Verdana"/>
          <w:noProof w:val="0"/>
          <w:w w:val="95"/>
          <w:szCs w:val="20"/>
          <w:lang w:val="en-US"/>
        </w:rPr>
      </w:pPr>
      <w:r w:rsidRPr="004542B5">
        <w:rPr>
          <w:rFonts w:cs="Verdana"/>
          <w:noProof w:val="0"/>
          <w:szCs w:val="20"/>
          <w:lang w:val="en-US" w:eastAsia="es-MX"/>
        </w:rPr>
        <w:t>The State shall</w:t>
      </w:r>
      <w:r w:rsidR="00E576EA" w:rsidRPr="004542B5">
        <w:rPr>
          <w:rFonts w:cs="Verdana"/>
          <w:noProof w:val="0"/>
          <w:szCs w:val="20"/>
          <w:lang w:val="en-US" w:eastAsia="es-MX"/>
        </w:rPr>
        <w:t xml:space="preserve"> adopt</w:t>
      </w:r>
      <w:r w:rsidRPr="004542B5">
        <w:rPr>
          <w:rFonts w:cs="Verdana"/>
          <w:noProof w:val="0"/>
          <w:szCs w:val="20"/>
          <w:lang w:val="en-US" w:eastAsia="es-MX"/>
        </w:rPr>
        <w:t xml:space="preserve"> the necessary </w:t>
      </w:r>
      <w:r w:rsidR="006110CB" w:rsidRPr="004542B5">
        <w:rPr>
          <w:rFonts w:cs="Verdana"/>
          <w:noProof w:val="0"/>
          <w:szCs w:val="20"/>
          <w:lang w:val="en-US" w:eastAsia="es-MX"/>
        </w:rPr>
        <w:t>measures</w:t>
      </w:r>
      <w:r w:rsidRPr="004542B5">
        <w:rPr>
          <w:rFonts w:cs="Verdana"/>
          <w:noProof w:val="0"/>
          <w:szCs w:val="20"/>
          <w:lang w:val="en-US" w:eastAsia="es-MX"/>
        </w:rPr>
        <w:t xml:space="preserve"> to annul the property title granted to </w:t>
      </w:r>
      <w:r w:rsidR="001407F4" w:rsidRPr="004542B5">
        <w:rPr>
          <w:noProof w:val="0"/>
          <w:szCs w:val="16"/>
          <w:lang w:val="en-US"/>
        </w:rPr>
        <w:t xml:space="preserve">C.C.M. </w:t>
      </w:r>
      <w:r w:rsidRPr="004542B5">
        <w:rPr>
          <w:rFonts w:cs="Verdana"/>
          <w:noProof w:val="0"/>
          <w:szCs w:val="20"/>
          <w:lang w:val="en-US" w:eastAsia="es-MX"/>
        </w:rPr>
        <w:t xml:space="preserve">in the territory of the </w:t>
      </w:r>
      <w:r w:rsidR="00E576EA" w:rsidRPr="004542B5">
        <w:rPr>
          <w:rFonts w:cs="Verdana"/>
          <w:noProof w:val="0"/>
          <w:szCs w:val="20"/>
          <w:lang w:val="en-US" w:eastAsia="es-MX"/>
        </w:rPr>
        <w:t xml:space="preserve">Emberá </w:t>
      </w:r>
      <w:r w:rsidRPr="004542B5">
        <w:rPr>
          <w:rFonts w:cs="Verdana"/>
          <w:noProof w:val="0"/>
          <w:szCs w:val="20"/>
          <w:lang w:val="en-US" w:eastAsia="es-MX"/>
        </w:rPr>
        <w:t>community of</w:t>
      </w:r>
      <w:r w:rsidR="00E576EA" w:rsidRPr="004542B5">
        <w:rPr>
          <w:rFonts w:cs="Verdana"/>
          <w:noProof w:val="0"/>
          <w:szCs w:val="20"/>
          <w:lang w:val="en-US" w:eastAsia="es-MX"/>
        </w:rPr>
        <w:t xml:space="preserve"> Piriatí, </w:t>
      </w:r>
      <w:r w:rsidRPr="004542B5">
        <w:rPr>
          <w:rFonts w:cs="Verdana"/>
          <w:noProof w:val="0"/>
          <w:szCs w:val="20"/>
          <w:lang w:val="en-US" w:eastAsia="es-MX"/>
        </w:rPr>
        <w:t>pursuant to paragraph</w:t>
      </w:r>
      <w:r w:rsidR="00CD5C27" w:rsidRPr="004542B5">
        <w:rPr>
          <w:rFonts w:cs="Verdana"/>
          <w:noProof w:val="0"/>
          <w:szCs w:val="20"/>
          <w:lang w:val="en-US" w:eastAsia="es-MX"/>
        </w:rPr>
        <w:t xml:space="preserve"> 233</w:t>
      </w:r>
      <w:r w:rsidR="00E576EA" w:rsidRPr="004542B5">
        <w:rPr>
          <w:rFonts w:cs="Verdana"/>
          <w:noProof w:val="0"/>
          <w:szCs w:val="20"/>
          <w:lang w:val="en-US" w:eastAsia="es-MX"/>
        </w:rPr>
        <w:t xml:space="preserve"> </w:t>
      </w:r>
      <w:r w:rsidRPr="004542B5">
        <w:rPr>
          <w:rFonts w:cs="Verdana"/>
          <w:noProof w:val="0"/>
          <w:szCs w:val="20"/>
          <w:lang w:val="en-US" w:eastAsia="es-MX"/>
        </w:rPr>
        <w:t>of this judgment</w:t>
      </w:r>
      <w:r w:rsidR="00E576EA" w:rsidRPr="004542B5">
        <w:rPr>
          <w:rFonts w:cs="Verdana"/>
          <w:noProof w:val="0"/>
          <w:szCs w:val="20"/>
          <w:lang w:val="en-US" w:eastAsia="es-MX"/>
        </w:rPr>
        <w:t>.</w:t>
      </w:r>
    </w:p>
    <w:p w14:paraId="5B81EA60" w14:textId="55B21F7A" w:rsidR="00E576EA" w:rsidRPr="004542B5" w:rsidRDefault="00133200" w:rsidP="00E01664">
      <w:pPr>
        <w:numPr>
          <w:ilvl w:val="0"/>
          <w:numId w:val="50"/>
        </w:numPr>
        <w:autoSpaceDE w:val="0"/>
        <w:autoSpaceDN w:val="0"/>
        <w:spacing w:before="120" w:after="120"/>
        <w:ind w:left="0" w:right="-176" w:firstLine="0"/>
        <w:rPr>
          <w:noProof w:val="0"/>
          <w:lang w:val="en-US"/>
        </w:rPr>
      </w:pPr>
      <w:r w:rsidRPr="004542B5">
        <w:rPr>
          <w:noProof w:val="0"/>
          <w:szCs w:val="20"/>
          <w:lang w:val="en-US" w:eastAsia="es-MX"/>
        </w:rPr>
        <w:t>The State shall</w:t>
      </w:r>
      <w:r w:rsidR="00E576EA" w:rsidRPr="004542B5">
        <w:rPr>
          <w:noProof w:val="0"/>
          <w:szCs w:val="20"/>
          <w:lang w:val="en-US" w:eastAsia="es-MX"/>
        </w:rPr>
        <w:t xml:space="preserve"> pa</w:t>
      </w:r>
      <w:r w:rsidRPr="004542B5">
        <w:rPr>
          <w:noProof w:val="0"/>
          <w:szCs w:val="20"/>
          <w:lang w:val="en-US" w:eastAsia="es-MX"/>
        </w:rPr>
        <w:t xml:space="preserve">y the amounts established in </w:t>
      </w:r>
      <w:r w:rsidR="00517C7D" w:rsidRPr="004542B5">
        <w:rPr>
          <w:noProof w:val="0"/>
          <w:szCs w:val="20"/>
          <w:lang w:val="en-US" w:eastAsia="es-MX"/>
        </w:rPr>
        <w:t>paragraphs</w:t>
      </w:r>
      <w:r w:rsidR="00E576EA" w:rsidRPr="004542B5">
        <w:rPr>
          <w:noProof w:val="0"/>
          <w:szCs w:val="20"/>
          <w:lang w:val="en-US" w:eastAsia="es-MX"/>
        </w:rPr>
        <w:t xml:space="preserve"> </w:t>
      </w:r>
      <w:r w:rsidR="002717E1" w:rsidRPr="004542B5">
        <w:rPr>
          <w:noProof w:val="0"/>
          <w:szCs w:val="20"/>
          <w:lang w:val="en-US" w:eastAsia="es-MX"/>
        </w:rPr>
        <w:t>240</w:t>
      </w:r>
      <w:r w:rsidR="00E576EA" w:rsidRPr="004542B5">
        <w:rPr>
          <w:noProof w:val="0"/>
          <w:szCs w:val="20"/>
          <w:lang w:val="en-US" w:eastAsia="es-MX"/>
        </w:rPr>
        <w:t xml:space="preserve">, </w:t>
      </w:r>
      <w:r w:rsidR="002717E1" w:rsidRPr="004542B5">
        <w:rPr>
          <w:noProof w:val="0"/>
          <w:szCs w:val="20"/>
          <w:lang w:val="en-US" w:eastAsia="es-MX"/>
        </w:rPr>
        <w:t>247</w:t>
      </w:r>
      <w:r w:rsidR="00CD2B90" w:rsidRPr="004542B5">
        <w:rPr>
          <w:noProof w:val="0"/>
          <w:szCs w:val="20"/>
          <w:lang w:val="en-US" w:eastAsia="es-MX"/>
        </w:rPr>
        <w:t xml:space="preserve"> and </w:t>
      </w:r>
      <w:r w:rsidR="002717E1" w:rsidRPr="004542B5">
        <w:rPr>
          <w:noProof w:val="0"/>
          <w:szCs w:val="20"/>
          <w:lang w:val="en-US" w:eastAsia="es-MX"/>
        </w:rPr>
        <w:t xml:space="preserve">253 </w:t>
      </w:r>
      <w:r w:rsidRPr="004542B5">
        <w:rPr>
          <w:noProof w:val="0"/>
          <w:szCs w:val="20"/>
          <w:lang w:val="en-US" w:eastAsia="es-MX"/>
        </w:rPr>
        <w:t>of this judgment</w:t>
      </w:r>
      <w:r w:rsidR="00E576EA" w:rsidRPr="004542B5">
        <w:rPr>
          <w:noProof w:val="0"/>
          <w:lang w:val="en-US"/>
        </w:rPr>
        <w:t xml:space="preserve"> </w:t>
      </w:r>
      <w:r w:rsidRPr="004542B5">
        <w:rPr>
          <w:noProof w:val="0"/>
          <w:lang w:val="en-US"/>
        </w:rPr>
        <w:t>for pecuniary and non-pecuniary damage, and to reimburse costs and expenses</w:t>
      </w:r>
      <w:r w:rsidR="00E576EA" w:rsidRPr="004542B5">
        <w:rPr>
          <w:noProof w:val="0"/>
          <w:lang w:val="en-US"/>
        </w:rPr>
        <w:t xml:space="preserve"> </w:t>
      </w:r>
      <w:r w:rsidRPr="004542B5">
        <w:rPr>
          <w:noProof w:val="0"/>
          <w:lang w:val="en-US"/>
        </w:rPr>
        <w:t>within one year of its notification.</w:t>
      </w:r>
    </w:p>
    <w:p w14:paraId="22094802" w14:textId="065310E4" w:rsidR="00E576EA" w:rsidRPr="004542B5" w:rsidRDefault="00133200" w:rsidP="00E01664">
      <w:pPr>
        <w:numPr>
          <w:ilvl w:val="0"/>
          <w:numId w:val="50"/>
        </w:numPr>
        <w:autoSpaceDE w:val="0"/>
        <w:autoSpaceDN w:val="0"/>
        <w:spacing w:before="120" w:after="120"/>
        <w:ind w:left="0" w:right="-176" w:firstLine="0"/>
        <w:rPr>
          <w:noProof w:val="0"/>
          <w:lang w:val="en-US"/>
        </w:rPr>
      </w:pPr>
      <w:r w:rsidRPr="004542B5">
        <w:rPr>
          <w:noProof w:val="0"/>
          <w:lang w:val="en-US"/>
        </w:rPr>
        <w:t>The State shall</w:t>
      </w:r>
      <w:r w:rsidR="00E576EA" w:rsidRPr="004542B5">
        <w:rPr>
          <w:noProof w:val="0"/>
          <w:lang w:val="en-US"/>
        </w:rPr>
        <w:t xml:space="preserve"> </w:t>
      </w:r>
      <w:r w:rsidRPr="004542B5">
        <w:rPr>
          <w:noProof w:val="0"/>
          <w:lang w:val="en-US"/>
        </w:rPr>
        <w:t>reimburse the</w:t>
      </w:r>
      <w:r w:rsidR="00E576EA" w:rsidRPr="004542B5">
        <w:rPr>
          <w:noProof w:val="0"/>
          <w:lang w:val="en-US"/>
        </w:rPr>
        <w:t xml:space="preserve"> </w:t>
      </w:r>
      <w:r w:rsidRPr="004542B5">
        <w:rPr>
          <w:noProof w:val="0"/>
          <w:lang w:val="en-US"/>
        </w:rPr>
        <w:t>Victims’ Legal Assistance Fund</w:t>
      </w:r>
      <w:r w:rsidR="008A56D7" w:rsidRPr="004542B5">
        <w:rPr>
          <w:noProof w:val="0"/>
          <w:lang w:val="en-US"/>
        </w:rPr>
        <w:t xml:space="preserve"> of the </w:t>
      </w:r>
      <w:r w:rsidR="00562CBB" w:rsidRPr="004542B5">
        <w:rPr>
          <w:noProof w:val="0"/>
          <w:lang w:val="en-US"/>
        </w:rPr>
        <w:t>Inter-American Court of Human Rights</w:t>
      </w:r>
      <w:r w:rsidR="00E576EA" w:rsidRPr="004542B5">
        <w:rPr>
          <w:noProof w:val="0"/>
          <w:lang w:val="en-US"/>
        </w:rPr>
        <w:t xml:space="preserve"> </w:t>
      </w:r>
      <w:r w:rsidRPr="004542B5">
        <w:rPr>
          <w:noProof w:val="0"/>
          <w:lang w:val="en-US"/>
        </w:rPr>
        <w:t xml:space="preserve">the sum disbursed during the processing of this case, pursuant to </w:t>
      </w:r>
      <w:r w:rsidR="00517C7D" w:rsidRPr="004542B5">
        <w:rPr>
          <w:noProof w:val="0"/>
          <w:lang w:val="en-US"/>
        </w:rPr>
        <w:t>paragraph</w:t>
      </w:r>
      <w:r w:rsidR="00E576EA" w:rsidRPr="004542B5">
        <w:rPr>
          <w:noProof w:val="0"/>
          <w:lang w:val="en-US"/>
        </w:rPr>
        <w:t xml:space="preserve"> </w:t>
      </w:r>
      <w:r w:rsidR="002717E1" w:rsidRPr="004542B5">
        <w:rPr>
          <w:noProof w:val="0"/>
          <w:lang w:val="en-US"/>
        </w:rPr>
        <w:t>257</w:t>
      </w:r>
      <w:r w:rsidR="00E576EA" w:rsidRPr="004542B5">
        <w:rPr>
          <w:noProof w:val="0"/>
          <w:lang w:val="en-US"/>
        </w:rPr>
        <w:t xml:space="preserve"> </w:t>
      </w:r>
      <w:r w:rsidRPr="004542B5">
        <w:rPr>
          <w:rFonts w:cs="Verdana"/>
          <w:noProof w:val="0"/>
          <w:szCs w:val="20"/>
          <w:lang w:val="en-US" w:eastAsia="es-MX"/>
        </w:rPr>
        <w:t>of this judgment.</w:t>
      </w:r>
    </w:p>
    <w:p w14:paraId="591C341D" w14:textId="4323F3EA" w:rsidR="00E576EA" w:rsidRPr="004542B5" w:rsidRDefault="00133200" w:rsidP="00E01664">
      <w:pPr>
        <w:numPr>
          <w:ilvl w:val="0"/>
          <w:numId w:val="50"/>
        </w:numPr>
        <w:autoSpaceDE w:val="0"/>
        <w:autoSpaceDN w:val="0"/>
        <w:spacing w:before="120" w:after="120"/>
        <w:ind w:left="0" w:right="-176" w:firstLine="0"/>
        <w:rPr>
          <w:noProof w:val="0"/>
          <w:lang w:val="en-US"/>
        </w:rPr>
      </w:pPr>
      <w:r w:rsidRPr="004542B5">
        <w:rPr>
          <w:noProof w:val="0"/>
          <w:lang w:val="en-US"/>
        </w:rPr>
        <w:t>The State shall</w:t>
      </w:r>
      <w:r w:rsidR="00E576EA" w:rsidRPr="004542B5">
        <w:rPr>
          <w:noProof w:val="0"/>
          <w:lang w:val="en-US"/>
        </w:rPr>
        <w:t xml:space="preserve">, </w:t>
      </w:r>
      <w:r w:rsidRPr="004542B5">
        <w:rPr>
          <w:noProof w:val="0"/>
          <w:lang w:val="en-US"/>
        </w:rPr>
        <w:t>within one year of notification of this judgment</w:t>
      </w:r>
      <w:r w:rsidR="00E576EA" w:rsidRPr="004542B5">
        <w:rPr>
          <w:noProof w:val="0"/>
          <w:lang w:val="en-US"/>
        </w:rPr>
        <w:t xml:space="preserve">, </w:t>
      </w:r>
      <w:r w:rsidRPr="004542B5">
        <w:rPr>
          <w:noProof w:val="0"/>
          <w:lang w:val="en-US"/>
        </w:rPr>
        <w:t>provide the Court with a report on the measures adopted to comply with it.</w:t>
      </w:r>
    </w:p>
    <w:p w14:paraId="2A083000" w14:textId="3A67C7E5" w:rsidR="00E576EA" w:rsidRPr="004542B5" w:rsidRDefault="00562CBB" w:rsidP="00E01664">
      <w:pPr>
        <w:numPr>
          <w:ilvl w:val="0"/>
          <w:numId w:val="50"/>
        </w:numPr>
        <w:autoSpaceDE w:val="0"/>
        <w:autoSpaceDN w:val="0"/>
        <w:spacing w:before="120" w:after="120"/>
        <w:ind w:left="0" w:right="-176" w:firstLine="0"/>
        <w:rPr>
          <w:noProof w:val="0"/>
          <w:lang w:val="en-US"/>
        </w:rPr>
      </w:pPr>
      <w:r w:rsidRPr="004542B5">
        <w:rPr>
          <w:noProof w:val="0"/>
          <w:lang w:val="en-US"/>
        </w:rPr>
        <w:t>The Court</w:t>
      </w:r>
      <w:r w:rsidR="00E576EA" w:rsidRPr="004542B5">
        <w:rPr>
          <w:noProof w:val="0"/>
          <w:lang w:val="en-US"/>
        </w:rPr>
        <w:t xml:space="preserve"> </w:t>
      </w:r>
      <w:r w:rsidR="00133200" w:rsidRPr="004542B5">
        <w:rPr>
          <w:noProof w:val="0"/>
          <w:lang w:val="en-US"/>
        </w:rPr>
        <w:t xml:space="preserve">will monitor full compliance with the judgment in exercise of its authority and in fulfillment of its obligations under </w:t>
      </w:r>
      <w:r w:rsidRPr="004542B5">
        <w:rPr>
          <w:noProof w:val="0"/>
          <w:lang w:val="en-US"/>
        </w:rPr>
        <w:t>the American Convention on Human Rights</w:t>
      </w:r>
      <w:r w:rsidR="00E576EA" w:rsidRPr="004542B5">
        <w:rPr>
          <w:noProof w:val="0"/>
          <w:lang w:val="en-US"/>
        </w:rPr>
        <w:t>,</w:t>
      </w:r>
      <w:r w:rsidR="00CD2B90" w:rsidRPr="004542B5">
        <w:rPr>
          <w:noProof w:val="0"/>
          <w:lang w:val="en-US"/>
        </w:rPr>
        <w:t xml:space="preserve"> and </w:t>
      </w:r>
      <w:r w:rsidR="00133200" w:rsidRPr="004542B5">
        <w:rPr>
          <w:noProof w:val="0"/>
          <w:lang w:val="en-US"/>
        </w:rPr>
        <w:t>will close this case when the State has complied fully with its provisions.</w:t>
      </w:r>
    </w:p>
    <w:p w14:paraId="17264652" w14:textId="1EF237A6" w:rsidR="00161F35" w:rsidRPr="004542B5" w:rsidRDefault="00562CBB" w:rsidP="00E01664">
      <w:pPr>
        <w:spacing w:before="360" w:after="360"/>
        <w:rPr>
          <w:noProof w:val="0"/>
          <w:lang w:val="en-US"/>
        </w:rPr>
      </w:pPr>
      <w:r w:rsidRPr="004542B5">
        <w:rPr>
          <w:noProof w:val="0"/>
          <w:lang w:val="en-US"/>
        </w:rPr>
        <w:lastRenderedPageBreak/>
        <w:t>Judge</w:t>
      </w:r>
      <w:r w:rsidR="00E576EA" w:rsidRPr="004542B5">
        <w:rPr>
          <w:noProof w:val="0"/>
          <w:lang w:val="en-US"/>
        </w:rPr>
        <w:t xml:space="preserve"> Eduardo Ferrer Mac-Gregor Poisot </w:t>
      </w:r>
      <w:r w:rsidR="00133200" w:rsidRPr="004542B5">
        <w:rPr>
          <w:noProof w:val="0"/>
          <w:lang w:val="en-US"/>
        </w:rPr>
        <w:t>advised the Court of his partially dissenting opinion which is attached to this judgment.</w:t>
      </w:r>
    </w:p>
    <w:p w14:paraId="0ECA8051" w14:textId="63A1A130" w:rsidR="00E576EA" w:rsidRPr="004542B5" w:rsidRDefault="000075BB" w:rsidP="000075BB">
      <w:pPr>
        <w:spacing w:after="200" w:line="276" w:lineRule="auto"/>
        <w:jc w:val="left"/>
        <w:rPr>
          <w:noProof w:val="0"/>
          <w:lang w:val="en-US"/>
        </w:rPr>
      </w:pPr>
      <w:r w:rsidRPr="004542B5">
        <w:rPr>
          <w:noProof w:val="0"/>
          <w:lang w:val="en-US"/>
        </w:rPr>
        <w:t xml:space="preserve">DONE, at </w:t>
      </w:r>
      <w:r w:rsidR="00E576EA" w:rsidRPr="004542B5">
        <w:rPr>
          <w:noProof w:val="0"/>
          <w:lang w:val="en-US"/>
        </w:rPr>
        <w:t xml:space="preserve">San José, Costa Rica, </w:t>
      </w:r>
      <w:r w:rsidRPr="004542B5">
        <w:rPr>
          <w:noProof w:val="0"/>
          <w:lang w:val="en-US"/>
        </w:rPr>
        <w:t>on October 14, 2014, in the Spanish language.</w:t>
      </w:r>
    </w:p>
    <w:p w14:paraId="09A951BC" w14:textId="77777777" w:rsidR="00415F3D" w:rsidRPr="004542B5" w:rsidRDefault="00415F3D" w:rsidP="00E01664">
      <w:pPr>
        <w:jc w:val="center"/>
        <w:rPr>
          <w:noProof w:val="0"/>
          <w:lang w:val="en-US"/>
        </w:rPr>
      </w:pPr>
    </w:p>
    <w:p w14:paraId="3FB15683" w14:textId="5C9A9E47" w:rsidR="00415F3D" w:rsidRPr="004542B5" w:rsidRDefault="00415F3D" w:rsidP="00E01664">
      <w:pPr>
        <w:jc w:val="center"/>
        <w:rPr>
          <w:noProof w:val="0"/>
          <w:lang w:val="en-US"/>
        </w:rPr>
      </w:pPr>
    </w:p>
    <w:p w14:paraId="32B6F5EA" w14:textId="77777777" w:rsidR="000075BB" w:rsidRPr="004542B5" w:rsidRDefault="000075BB" w:rsidP="00E01664">
      <w:pPr>
        <w:jc w:val="center"/>
        <w:rPr>
          <w:noProof w:val="0"/>
          <w:lang w:val="en-US"/>
        </w:rPr>
      </w:pPr>
    </w:p>
    <w:p w14:paraId="1150C8CB" w14:textId="77777777" w:rsidR="00415F3D" w:rsidRPr="004542B5" w:rsidRDefault="00415F3D" w:rsidP="00E01664">
      <w:pPr>
        <w:jc w:val="center"/>
        <w:rPr>
          <w:noProof w:val="0"/>
          <w:lang w:val="en-US"/>
        </w:rPr>
      </w:pPr>
    </w:p>
    <w:p w14:paraId="6333C81F" w14:textId="77777777" w:rsidR="00E576EA" w:rsidRPr="004542B5" w:rsidRDefault="00E576EA" w:rsidP="00D50381">
      <w:pPr>
        <w:keepNext/>
        <w:jc w:val="center"/>
        <w:rPr>
          <w:noProof w:val="0"/>
          <w:lang w:val="es-CR"/>
        </w:rPr>
      </w:pPr>
      <w:r w:rsidRPr="004542B5">
        <w:rPr>
          <w:noProof w:val="0"/>
          <w:lang w:val="es-CR"/>
        </w:rPr>
        <w:t>Humberto Antonio Sierra Porto</w:t>
      </w:r>
    </w:p>
    <w:p w14:paraId="549125D3" w14:textId="3B42F06B" w:rsidR="00E576EA" w:rsidRPr="004542B5" w:rsidRDefault="00562CBB" w:rsidP="00D50381">
      <w:pPr>
        <w:keepNext/>
        <w:jc w:val="center"/>
        <w:rPr>
          <w:noProof w:val="0"/>
          <w:lang w:val="es-CR"/>
        </w:rPr>
      </w:pPr>
      <w:proofErr w:type="spellStart"/>
      <w:r w:rsidRPr="004542B5">
        <w:rPr>
          <w:noProof w:val="0"/>
          <w:lang w:val="es-CR"/>
        </w:rPr>
        <w:t>President</w:t>
      </w:r>
      <w:proofErr w:type="spellEnd"/>
      <w:r w:rsidR="00E576EA" w:rsidRPr="004542B5">
        <w:rPr>
          <w:noProof w:val="0"/>
          <w:lang w:val="es-CR"/>
        </w:rPr>
        <w:t xml:space="preserve"> </w:t>
      </w:r>
    </w:p>
    <w:p w14:paraId="5F650450" w14:textId="77777777" w:rsidR="00E576EA" w:rsidRPr="004542B5" w:rsidRDefault="00E576EA" w:rsidP="00D50381">
      <w:pPr>
        <w:keepNext/>
        <w:rPr>
          <w:noProof w:val="0"/>
          <w:lang w:val="es-CR"/>
        </w:rPr>
      </w:pPr>
    </w:p>
    <w:p w14:paraId="41636A26" w14:textId="77777777" w:rsidR="00E576EA" w:rsidRPr="004542B5" w:rsidRDefault="00E576EA" w:rsidP="00D50381">
      <w:pPr>
        <w:keepNext/>
        <w:rPr>
          <w:noProof w:val="0"/>
          <w:lang w:val="es-CR"/>
        </w:rPr>
      </w:pPr>
    </w:p>
    <w:p w14:paraId="1DEBFBAA" w14:textId="77777777" w:rsidR="00E576EA" w:rsidRPr="004542B5" w:rsidRDefault="00E576EA" w:rsidP="00D50381">
      <w:pPr>
        <w:keepNext/>
        <w:rPr>
          <w:noProof w:val="0"/>
          <w:lang w:val="es-CR"/>
        </w:rPr>
      </w:pPr>
    </w:p>
    <w:p w14:paraId="012263A8" w14:textId="77777777" w:rsidR="00E576EA" w:rsidRPr="004542B5" w:rsidRDefault="00E576EA" w:rsidP="00D50381">
      <w:pPr>
        <w:keepNext/>
        <w:rPr>
          <w:noProof w:val="0"/>
          <w:lang w:val="es-CR"/>
        </w:rPr>
      </w:pPr>
    </w:p>
    <w:p w14:paraId="4FDEF859" w14:textId="5507F88C" w:rsidR="00E576EA" w:rsidRPr="004542B5" w:rsidRDefault="00E576EA" w:rsidP="000075BB">
      <w:pPr>
        <w:keepNext/>
        <w:tabs>
          <w:tab w:val="left" w:pos="6096"/>
        </w:tabs>
        <w:rPr>
          <w:noProof w:val="0"/>
          <w:lang w:val="es-CR"/>
        </w:rPr>
      </w:pPr>
      <w:r w:rsidRPr="004542B5">
        <w:rPr>
          <w:noProof w:val="0"/>
          <w:lang w:val="es-CR"/>
        </w:rPr>
        <w:t>Roberto F. Caldas</w:t>
      </w:r>
      <w:r w:rsidRPr="004542B5">
        <w:rPr>
          <w:noProof w:val="0"/>
          <w:lang w:val="es-CR"/>
        </w:rPr>
        <w:tab/>
      </w:r>
      <w:r w:rsidR="000075BB" w:rsidRPr="004542B5">
        <w:rPr>
          <w:noProof w:val="0"/>
          <w:lang w:val="es-CR"/>
        </w:rPr>
        <w:tab/>
        <w:t xml:space="preserve">       </w:t>
      </w:r>
      <w:r w:rsidRPr="004542B5">
        <w:rPr>
          <w:noProof w:val="0"/>
          <w:lang w:val="es-CR"/>
        </w:rPr>
        <w:t>Manuel E. Ventura Robles</w:t>
      </w:r>
    </w:p>
    <w:p w14:paraId="37EA4566" w14:textId="0A3E4512" w:rsidR="00E576EA" w:rsidRPr="004542B5" w:rsidRDefault="00E576EA" w:rsidP="00D50381">
      <w:pPr>
        <w:keepNext/>
        <w:rPr>
          <w:noProof w:val="0"/>
          <w:lang w:val="es-CR"/>
        </w:rPr>
      </w:pPr>
    </w:p>
    <w:p w14:paraId="11EC6B67" w14:textId="35E11A2C" w:rsidR="000075BB" w:rsidRPr="004542B5" w:rsidRDefault="000075BB" w:rsidP="00D50381">
      <w:pPr>
        <w:keepNext/>
        <w:rPr>
          <w:noProof w:val="0"/>
          <w:lang w:val="es-CR"/>
        </w:rPr>
      </w:pPr>
    </w:p>
    <w:p w14:paraId="17B5D5F7" w14:textId="77777777" w:rsidR="000075BB" w:rsidRPr="004542B5" w:rsidRDefault="000075BB" w:rsidP="00D50381">
      <w:pPr>
        <w:keepNext/>
        <w:rPr>
          <w:noProof w:val="0"/>
          <w:lang w:val="es-CR"/>
        </w:rPr>
      </w:pPr>
    </w:p>
    <w:p w14:paraId="31753671" w14:textId="77777777" w:rsidR="00E576EA" w:rsidRPr="004542B5" w:rsidRDefault="00E576EA" w:rsidP="00D50381">
      <w:pPr>
        <w:keepNext/>
        <w:rPr>
          <w:noProof w:val="0"/>
          <w:lang w:val="es-CR"/>
        </w:rPr>
      </w:pPr>
    </w:p>
    <w:p w14:paraId="78B66577" w14:textId="77777777" w:rsidR="00E576EA" w:rsidRPr="004542B5" w:rsidRDefault="00E576EA" w:rsidP="00D50381">
      <w:pPr>
        <w:keepNext/>
        <w:rPr>
          <w:noProof w:val="0"/>
          <w:lang w:val="es-CR"/>
        </w:rPr>
      </w:pPr>
    </w:p>
    <w:p w14:paraId="2F7A78B8" w14:textId="3A514F9C" w:rsidR="00E576EA" w:rsidRPr="004542B5" w:rsidRDefault="00E576EA" w:rsidP="000075BB">
      <w:pPr>
        <w:keepNext/>
        <w:tabs>
          <w:tab w:val="left" w:pos="6096"/>
        </w:tabs>
        <w:rPr>
          <w:noProof w:val="0"/>
          <w:lang w:val="es-CR"/>
        </w:rPr>
      </w:pPr>
      <w:r w:rsidRPr="004542B5">
        <w:rPr>
          <w:noProof w:val="0"/>
          <w:lang w:val="es-CR"/>
        </w:rPr>
        <w:t xml:space="preserve">Diego García-Sayán </w:t>
      </w:r>
      <w:r w:rsidRPr="004542B5">
        <w:rPr>
          <w:noProof w:val="0"/>
          <w:lang w:val="es-CR"/>
        </w:rPr>
        <w:tab/>
      </w:r>
      <w:r w:rsidR="000075BB" w:rsidRPr="004542B5">
        <w:rPr>
          <w:noProof w:val="0"/>
          <w:lang w:val="es-CR"/>
        </w:rPr>
        <w:tab/>
        <w:t xml:space="preserve">                </w:t>
      </w:r>
      <w:r w:rsidRPr="004542B5">
        <w:rPr>
          <w:noProof w:val="0"/>
          <w:lang w:val="es-CR"/>
        </w:rPr>
        <w:t>Eduardo Vio Grossi</w:t>
      </w:r>
      <w:r w:rsidR="00B07C65" w:rsidRPr="004542B5">
        <w:rPr>
          <w:noProof w:val="0"/>
          <w:lang w:val="es-CR"/>
        </w:rPr>
        <w:t xml:space="preserve">  </w:t>
      </w:r>
      <w:r w:rsidRPr="004542B5">
        <w:rPr>
          <w:noProof w:val="0"/>
          <w:lang w:val="es-CR"/>
        </w:rPr>
        <w:t xml:space="preserve">                                           </w:t>
      </w:r>
    </w:p>
    <w:p w14:paraId="0875FF24" w14:textId="77777777" w:rsidR="00E576EA" w:rsidRPr="004542B5" w:rsidRDefault="00E576EA" w:rsidP="000075BB">
      <w:pPr>
        <w:rPr>
          <w:noProof w:val="0"/>
          <w:lang w:val="es-CR"/>
        </w:rPr>
      </w:pPr>
    </w:p>
    <w:p w14:paraId="31C9C8D1" w14:textId="77777777" w:rsidR="00E576EA" w:rsidRPr="004542B5" w:rsidRDefault="00E576EA" w:rsidP="00E01664">
      <w:pPr>
        <w:ind w:left="2124" w:firstLine="708"/>
        <w:rPr>
          <w:noProof w:val="0"/>
          <w:lang w:val="es-CR"/>
        </w:rPr>
      </w:pPr>
    </w:p>
    <w:p w14:paraId="2529D15E" w14:textId="77777777" w:rsidR="00E576EA" w:rsidRPr="004542B5" w:rsidRDefault="00E576EA" w:rsidP="00E01664">
      <w:pPr>
        <w:ind w:left="2124" w:firstLine="708"/>
        <w:rPr>
          <w:noProof w:val="0"/>
          <w:lang w:val="es-CR"/>
        </w:rPr>
      </w:pPr>
    </w:p>
    <w:p w14:paraId="5051DC03" w14:textId="77777777" w:rsidR="00E576EA" w:rsidRPr="004542B5" w:rsidRDefault="00E576EA" w:rsidP="000075BB">
      <w:pPr>
        <w:ind w:firstLine="36"/>
        <w:jc w:val="center"/>
        <w:rPr>
          <w:noProof w:val="0"/>
          <w:lang w:val="es-CR"/>
        </w:rPr>
      </w:pPr>
    </w:p>
    <w:p w14:paraId="6F724943" w14:textId="77777777" w:rsidR="00E576EA" w:rsidRPr="004542B5" w:rsidRDefault="00E576EA" w:rsidP="000075BB">
      <w:pPr>
        <w:ind w:firstLine="36"/>
        <w:jc w:val="center"/>
        <w:rPr>
          <w:noProof w:val="0"/>
          <w:lang w:val="es-CR"/>
        </w:rPr>
      </w:pPr>
      <w:r w:rsidRPr="004542B5">
        <w:rPr>
          <w:noProof w:val="0"/>
          <w:lang w:val="es-CR"/>
        </w:rPr>
        <w:t>Eduardo Ferrer Mac-</w:t>
      </w:r>
      <w:proofErr w:type="spellStart"/>
      <w:r w:rsidRPr="004542B5">
        <w:rPr>
          <w:noProof w:val="0"/>
          <w:lang w:val="es-CR"/>
        </w:rPr>
        <w:t>Gregor</w:t>
      </w:r>
      <w:proofErr w:type="spellEnd"/>
      <w:r w:rsidRPr="004542B5">
        <w:rPr>
          <w:noProof w:val="0"/>
          <w:lang w:val="es-CR"/>
        </w:rPr>
        <w:t xml:space="preserve"> </w:t>
      </w:r>
      <w:proofErr w:type="spellStart"/>
      <w:r w:rsidRPr="004542B5">
        <w:rPr>
          <w:noProof w:val="0"/>
          <w:lang w:val="es-CR"/>
        </w:rPr>
        <w:t>Poisot</w:t>
      </w:r>
      <w:proofErr w:type="spellEnd"/>
    </w:p>
    <w:p w14:paraId="0E7177F1" w14:textId="77777777" w:rsidR="00E576EA" w:rsidRPr="004542B5" w:rsidRDefault="00E576EA" w:rsidP="00E01664">
      <w:pPr>
        <w:rPr>
          <w:noProof w:val="0"/>
          <w:lang w:val="es-CR"/>
        </w:rPr>
      </w:pPr>
    </w:p>
    <w:p w14:paraId="321321E8" w14:textId="77777777" w:rsidR="00E576EA" w:rsidRPr="004542B5" w:rsidRDefault="00E576EA" w:rsidP="00E01664">
      <w:pPr>
        <w:rPr>
          <w:noProof w:val="0"/>
          <w:lang w:val="es-CR"/>
        </w:rPr>
      </w:pPr>
    </w:p>
    <w:p w14:paraId="23089474" w14:textId="77777777" w:rsidR="00E576EA" w:rsidRPr="004542B5" w:rsidRDefault="00E576EA" w:rsidP="00E01664">
      <w:pPr>
        <w:rPr>
          <w:noProof w:val="0"/>
          <w:lang w:val="es-CR"/>
        </w:rPr>
      </w:pPr>
    </w:p>
    <w:p w14:paraId="1B33F172" w14:textId="77777777" w:rsidR="00E576EA" w:rsidRPr="004542B5" w:rsidRDefault="00E576EA" w:rsidP="00E01664">
      <w:pPr>
        <w:rPr>
          <w:noProof w:val="0"/>
          <w:lang w:val="es-CR"/>
        </w:rPr>
      </w:pPr>
    </w:p>
    <w:p w14:paraId="32C26AF2" w14:textId="77777777" w:rsidR="00E576EA" w:rsidRPr="004542B5" w:rsidRDefault="00E576EA" w:rsidP="00E01664">
      <w:pPr>
        <w:jc w:val="center"/>
        <w:rPr>
          <w:noProof w:val="0"/>
          <w:lang w:val="es-CR"/>
        </w:rPr>
      </w:pPr>
      <w:r w:rsidRPr="004542B5">
        <w:rPr>
          <w:noProof w:val="0"/>
          <w:lang w:val="es-CR"/>
        </w:rPr>
        <w:t>Pablo Saavedra Alessandri</w:t>
      </w:r>
    </w:p>
    <w:p w14:paraId="678D9928" w14:textId="1C7DE02F" w:rsidR="00E576EA" w:rsidRPr="004542B5" w:rsidRDefault="00562CBB" w:rsidP="00E01664">
      <w:pPr>
        <w:jc w:val="center"/>
        <w:rPr>
          <w:noProof w:val="0"/>
          <w:lang w:val="es-CR"/>
        </w:rPr>
      </w:pPr>
      <w:proofErr w:type="spellStart"/>
      <w:r w:rsidRPr="004542B5">
        <w:rPr>
          <w:noProof w:val="0"/>
          <w:lang w:val="es-CR"/>
        </w:rPr>
        <w:t>Secretary</w:t>
      </w:r>
      <w:proofErr w:type="spellEnd"/>
    </w:p>
    <w:p w14:paraId="3E398C2B" w14:textId="77777777" w:rsidR="00E576EA" w:rsidRPr="004542B5" w:rsidRDefault="00E576EA" w:rsidP="00E01664">
      <w:pPr>
        <w:rPr>
          <w:noProof w:val="0"/>
          <w:lang w:val="es-CR"/>
        </w:rPr>
      </w:pPr>
    </w:p>
    <w:p w14:paraId="40C31208" w14:textId="77777777" w:rsidR="00E576EA" w:rsidRPr="004542B5" w:rsidRDefault="00E576EA" w:rsidP="00E01664">
      <w:pPr>
        <w:pStyle w:val="FootnoteText"/>
        <w:rPr>
          <w:noProof w:val="0"/>
          <w:lang w:val="es-CR"/>
        </w:rPr>
      </w:pPr>
    </w:p>
    <w:p w14:paraId="16979087" w14:textId="6D0B1618" w:rsidR="00E576EA" w:rsidRPr="004542B5" w:rsidRDefault="000075BB" w:rsidP="00E01664">
      <w:pPr>
        <w:rPr>
          <w:noProof w:val="0"/>
          <w:lang w:val="es-CR"/>
        </w:rPr>
      </w:pPr>
      <w:r w:rsidRPr="004542B5">
        <w:rPr>
          <w:noProof w:val="0"/>
          <w:lang w:val="es-CR"/>
        </w:rPr>
        <w:t xml:space="preserve">So </w:t>
      </w:r>
      <w:proofErr w:type="spellStart"/>
      <w:r w:rsidRPr="004542B5">
        <w:rPr>
          <w:noProof w:val="0"/>
          <w:lang w:val="es-CR"/>
        </w:rPr>
        <w:t>ordered</w:t>
      </w:r>
      <w:proofErr w:type="spellEnd"/>
      <w:r w:rsidR="00E576EA" w:rsidRPr="004542B5">
        <w:rPr>
          <w:noProof w:val="0"/>
          <w:lang w:val="es-CR"/>
        </w:rPr>
        <w:t>,</w:t>
      </w:r>
    </w:p>
    <w:p w14:paraId="4F9059CB" w14:textId="77777777" w:rsidR="00E576EA" w:rsidRPr="004542B5" w:rsidRDefault="00E576EA" w:rsidP="00E01664">
      <w:pPr>
        <w:rPr>
          <w:noProof w:val="0"/>
          <w:lang w:val="es-CR"/>
        </w:rPr>
      </w:pPr>
    </w:p>
    <w:p w14:paraId="56976480" w14:textId="77777777" w:rsidR="00E576EA" w:rsidRPr="004542B5" w:rsidRDefault="00E576EA" w:rsidP="00E01664">
      <w:pPr>
        <w:rPr>
          <w:noProof w:val="0"/>
          <w:lang w:val="es-CR"/>
        </w:rPr>
      </w:pPr>
    </w:p>
    <w:p w14:paraId="08F76615" w14:textId="77777777" w:rsidR="00E576EA" w:rsidRPr="004542B5" w:rsidRDefault="00E576EA" w:rsidP="00E01664">
      <w:pPr>
        <w:rPr>
          <w:noProof w:val="0"/>
          <w:lang w:val="es-CR"/>
        </w:rPr>
      </w:pPr>
    </w:p>
    <w:p w14:paraId="1613F678" w14:textId="77777777" w:rsidR="00E576EA" w:rsidRPr="004542B5" w:rsidRDefault="00E576EA" w:rsidP="00E01664">
      <w:pPr>
        <w:ind w:left="5040"/>
        <w:rPr>
          <w:noProof w:val="0"/>
          <w:lang w:val="es-CR"/>
        </w:rPr>
      </w:pPr>
      <w:r w:rsidRPr="004542B5">
        <w:rPr>
          <w:noProof w:val="0"/>
          <w:lang w:val="es-CR"/>
        </w:rPr>
        <w:t xml:space="preserve">       Humberto Antonio Sierra Porto</w:t>
      </w:r>
    </w:p>
    <w:p w14:paraId="16E30DF9" w14:textId="3ED43A1A" w:rsidR="00E576EA" w:rsidRPr="004542B5" w:rsidRDefault="00415F3D" w:rsidP="00415F3D">
      <w:pPr>
        <w:ind w:left="5760"/>
        <w:rPr>
          <w:noProof w:val="0"/>
          <w:lang w:val="en-US"/>
        </w:rPr>
      </w:pPr>
      <w:r w:rsidRPr="004542B5">
        <w:rPr>
          <w:noProof w:val="0"/>
          <w:lang w:val="es-CR"/>
        </w:rPr>
        <w:t xml:space="preserve">        </w:t>
      </w:r>
      <w:r w:rsidR="00562CBB" w:rsidRPr="004542B5">
        <w:rPr>
          <w:noProof w:val="0"/>
          <w:lang w:val="en-US"/>
        </w:rPr>
        <w:t>President</w:t>
      </w:r>
    </w:p>
    <w:p w14:paraId="1F9BBBA9" w14:textId="77777777" w:rsidR="00E576EA" w:rsidRPr="004542B5" w:rsidRDefault="00E576EA" w:rsidP="00E01664">
      <w:pPr>
        <w:rPr>
          <w:noProof w:val="0"/>
          <w:lang w:val="en-US"/>
        </w:rPr>
      </w:pPr>
    </w:p>
    <w:p w14:paraId="347B10B2" w14:textId="77777777" w:rsidR="00E576EA" w:rsidRPr="004542B5" w:rsidRDefault="00E576EA" w:rsidP="00E01664">
      <w:pPr>
        <w:rPr>
          <w:noProof w:val="0"/>
          <w:lang w:val="en-US"/>
        </w:rPr>
      </w:pPr>
    </w:p>
    <w:p w14:paraId="703C4F62" w14:textId="77777777" w:rsidR="00E576EA" w:rsidRPr="004542B5" w:rsidRDefault="00E576EA" w:rsidP="00E01664">
      <w:pPr>
        <w:rPr>
          <w:noProof w:val="0"/>
          <w:lang w:val="en-US"/>
        </w:rPr>
      </w:pPr>
    </w:p>
    <w:p w14:paraId="54BE50D2" w14:textId="77777777" w:rsidR="00D50381" w:rsidRPr="004542B5" w:rsidRDefault="00D50381" w:rsidP="00E01664">
      <w:pPr>
        <w:rPr>
          <w:noProof w:val="0"/>
          <w:lang w:val="en-US"/>
        </w:rPr>
      </w:pPr>
    </w:p>
    <w:p w14:paraId="242F699F" w14:textId="77777777" w:rsidR="00E576EA" w:rsidRPr="004542B5" w:rsidRDefault="00E576EA" w:rsidP="00E01664">
      <w:pPr>
        <w:rPr>
          <w:noProof w:val="0"/>
          <w:lang w:val="en-US"/>
        </w:rPr>
      </w:pPr>
      <w:r w:rsidRPr="004542B5">
        <w:rPr>
          <w:noProof w:val="0"/>
          <w:lang w:val="en-US"/>
        </w:rPr>
        <w:t>Pablo Saavedra Alessandri</w:t>
      </w:r>
    </w:p>
    <w:p w14:paraId="49F3D0BA" w14:textId="4C8E9AB4" w:rsidR="00E576EA" w:rsidRPr="004542B5" w:rsidRDefault="00E576EA" w:rsidP="00E01664">
      <w:pPr>
        <w:rPr>
          <w:noProof w:val="0"/>
          <w:lang w:val="en-US"/>
        </w:rPr>
      </w:pPr>
      <w:r w:rsidRPr="004542B5">
        <w:rPr>
          <w:noProof w:val="0"/>
          <w:lang w:val="en-US"/>
        </w:rPr>
        <w:tab/>
      </w:r>
      <w:r w:rsidR="00562CBB" w:rsidRPr="004542B5">
        <w:rPr>
          <w:noProof w:val="0"/>
          <w:lang w:val="en-US"/>
        </w:rPr>
        <w:t>Secretary</w:t>
      </w:r>
    </w:p>
    <w:p w14:paraId="299B52DA" w14:textId="77777777" w:rsidR="007613F8" w:rsidRPr="004542B5" w:rsidRDefault="007613F8" w:rsidP="006B7552">
      <w:pPr>
        <w:spacing w:after="200"/>
        <w:rPr>
          <w:noProof w:val="0"/>
          <w:lang w:val="en-US"/>
        </w:rPr>
        <w:sectPr w:rsidR="007613F8" w:rsidRPr="004542B5" w:rsidSect="00E576EA">
          <w:headerReference w:type="default" r:id="rId8"/>
          <w:footnotePr>
            <w:numRestart w:val="eachSect"/>
          </w:footnotePr>
          <w:pgSz w:w="12240" w:h="15840"/>
          <w:pgMar w:top="1440" w:right="1183" w:bottom="1440" w:left="1276" w:header="720" w:footer="720" w:gutter="0"/>
          <w:cols w:space="720"/>
          <w:titlePg/>
          <w:docGrid w:linePitch="360"/>
        </w:sectPr>
      </w:pPr>
    </w:p>
    <w:p w14:paraId="46C64285" w14:textId="77777777" w:rsidR="00E76B2D" w:rsidRPr="004542B5" w:rsidRDefault="00E76B2D" w:rsidP="00552148">
      <w:pPr>
        <w:spacing w:after="200"/>
        <w:rPr>
          <w:b/>
          <w:noProof w:val="0"/>
          <w:color w:val="000000"/>
          <w:szCs w:val="20"/>
          <w:lang w:val="en-US"/>
        </w:rPr>
        <w:sectPr w:rsidR="00E76B2D" w:rsidRPr="004542B5" w:rsidSect="007613F8">
          <w:footnotePr>
            <w:numRestart w:val="eachSect"/>
          </w:footnotePr>
          <w:type w:val="continuous"/>
          <w:pgSz w:w="12240" w:h="15840"/>
          <w:pgMar w:top="1440" w:right="1183" w:bottom="1440" w:left="1276" w:header="720" w:footer="720" w:gutter="0"/>
          <w:cols w:space="720"/>
          <w:titlePg/>
          <w:docGrid w:linePitch="360"/>
        </w:sectPr>
      </w:pPr>
    </w:p>
    <w:p w14:paraId="04AA2C34" w14:textId="77777777" w:rsidR="00E76B2D" w:rsidRPr="004542B5" w:rsidRDefault="00E76B2D" w:rsidP="00E76B2D">
      <w:pPr>
        <w:ind w:right="96"/>
        <w:jc w:val="center"/>
        <w:rPr>
          <w:b/>
          <w:noProof w:val="0"/>
          <w:szCs w:val="20"/>
          <w:lang w:val="en-US"/>
        </w:rPr>
      </w:pPr>
    </w:p>
    <w:p w14:paraId="0F6E7CEB" w14:textId="65AD4EEC" w:rsidR="00E76B2D" w:rsidRPr="004542B5" w:rsidRDefault="008A56D7" w:rsidP="00E76B2D">
      <w:pPr>
        <w:ind w:right="96"/>
        <w:jc w:val="center"/>
        <w:rPr>
          <w:b/>
          <w:noProof w:val="0"/>
          <w:szCs w:val="20"/>
          <w:lang w:val="en-US"/>
        </w:rPr>
      </w:pPr>
      <w:r w:rsidRPr="004542B5">
        <w:rPr>
          <w:b/>
          <w:noProof w:val="0"/>
          <w:szCs w:val="20"/>
          <w:lang w:val="en-US"/>
        </w:rPr>
        <w:t>PARTIALLY DISSENTING OPINION</w:t>
      </w:r>
    </w:p>
    <w:p w14:paraId="1CBAF56D" w14:textId="4278D896" w:rsidR="00E76B2D" w:rsidRPr="004542B5" w:rsidRDefault="008A56D7" w:rsidP="00E76B2D">
      <w:pPr>
        <w:ind w:right="96"/>
        <w:jc w:val="center"/>
        <w:rPr>
          <w:b/>
          <w:noProof w:val="0"/>
          <w:szCs w:val="20"/>
          <w:lang w:val="en-US"/>
        </w:rPr>
      </w:pPr>
      <w:r w:rsidRPr="004542B5">
        <w:rPr>
          <w:b/>
          <w:noProof w:val="0"/>
          <w:szCs w:val="20"/>
          <w:lang w:val="en-US"/>
        </w:rPr>
        <w:t>OF</w:t>
      </w:r>
      <w:r w:rsidR="00E76B2D" w:rsidRPr="004542B5">
        <w:rPr>
          <w:b/>
          <w:noProof w:val="0"/>
          <w:szCs w:val="20"/>
          <w:lang w:val="en-US"/>
        </w:rPr>
        <w:t xml:space="preserve"> </w:t>
      </w:r>
      <w:r w:rsidR="00562CBB" w:rsidRPr="004542B5">
        <w:rPr>
          <w:b/>
          <w:noProof w:val="0"/>
          <w:szCs w:val="20"/>
          <w:lang w:val="en-US"/>
        </w:rPr>
        <w:t>JUDGE</w:t>
      </w:r>
      <w:r w:rsidR="00E76B2D" w:rsidRPr="004542B5">
        <w:rPr>
          <w:b/>
          <w:noProof w:val="0"/>
          <w:szCs w:val="20"/>
          <w:lang w:val="en-US"/>
        </w:rPr>
        <w:t xml:space="preserve"> EDUARDO FERRER MAC-GREGOR POISOT </w:t>
      </w:r>
    </w:p>
    <w:p w14:paraId="3119BC26" w14:textId="4353C67C" w:rsidR="00852E07" w:rsidRPr="004542B5" w:rsidRDefault="00852E07" w:rsidP="00E76B2D">
      <w:pPr>
        <w:ind w:right="96"/>
        <w:jc w:val="center"/>
        <w:rPr>
          <w:b/>
          <w:noProof w:val="0"/>
          <w:szCs w:val="20"/>
          <w:lang w:val="en-US"/>
        </w:rPr>
      </w:pPr>
    </w:p>
    <w:p w14:paraId="10FBF577" w14:textId="7B4F4493" w:rsidR="00852E07" w:rsidRPr="004542B5" w:rsidRDefault="00852E07" w:rsidP="00852E07">
      <w:pPr>
        <w:jc w:val="center"/>
        <w:rPr>
          <w:b/>
          <w:i/>
          <w:smallCaps/>
          <w:noProof w:val="0"/>
          <w:szCs w:val="20"/>
          <w:lang w:val="en-US" w:eastAsia="es-ES"/>
        </w:rPr>
      </w:pPr>
      <w:r w:rsidRPr="004542B5">
        <w:rPr>
          <w:b/>
          <w:i/>
          <w:smallCaps/>
          <w:noProof w:val="0"/>
          <w:szCs w:val="20"/>
          <w:lang w:val="en-US" w:eastAsia="es-ES"/>
        </w:rPr>
        <w:t xml:space="preserve">CASE OF THE KUNA INDIGENOUS PEOPLE OF MADUNGANDÍ AND THE </w:t>
      </w:r>
      <w:r w:rsidR="00AD34D8" w:rsidRPr="004542B5">
        <w:rPr>
          <w:b/>
          <w:i/>
          <w:smallCaps/>
          <w:noProof w:val="0"/>
          <w:szCs w:val="20"/>
          <w:lang w:val="en-US" w:eastAsia="es-ES"/>
        </w:rPr>
        <w:t>EMBERÁ</w:t>
      </w:r>
      <w:r w:rsidRPr="004542B5">
        <w:rPr>
          <w:b/>
          <w:i/>
          <w:smallCaps/>
          <w:noProof w:val="0"/>
          <w:szCs w:val="20"/>
          <w:lang w:val="en-US" w:eastAsia="es-ES"/>
        </w:rPr>
        <w:t xml:space="preserve"> INDIGENOUS PEOPLE OF BAYANO AND THEIR MEMBERS V. PANAMA</w:t>
      </w:r>
    </w:p>
    <w:p w14:paraId="2D049B64" w14:textId="77777777" w:rsidR="00852E07" w:rsidRPr="004542B5" w:rsidRDefault="00852E07" w:rsidP="00852E07">
      <w:pPr>
        <w:pStyle w:val="Title"/>
        <w:ind w:left="-142" w:right="-138"/>
        <w:rPr>
          <w:rFonts w:eastAsia="MS Mincho"/>
          <w:noProof w:val="0"/>
          <w:sz w:val="16"/>
          <w:lang w:val="en-US"/>
        </w:rPr>
      </w:pPr>
    </w:p>
    <w:p w14:paraId="24CA17E8" w14:textId="77777777" w:rsidR="00852E07" w:rsidRPr="004542B5" w:rsidRDefault="00852E07" w:rsidP="00852E07">
      <w:pPr>
        <w:pStyle w:val="Title"/>
        <w:ind w:left="-142" w:right="-138"/>
        <w:rPr>
          <w:rFonts w:eastAsia="MS Mincho"/>
          <w:noProof w:val="0"/>
          <w:sz w:val="16"/>
          <w:lang w:val="en-US"/>
        </w:rPr>
      </w:pPr>
    </w:p>
    <w:p w14:paraId="7803EB2E" w14:textId="77777777" w:rsidR="00852E07" w:rsidRPr="004542B5" w:rsidRDefault="00852E07" w:rsidP="00852E07">
      <w:pPr>
        <w:pStyle w:val="Title"/>
        <w:ind w:left="-142" w:right="-138"/>
        <w:rPr>
          <w:rFonts w:eastAsia="MS Mincho"/>
          <w:noProof w:val="0"/>
          <w:lang w:val="en-US"/>
        </w:rPr>
      </w:pPr>
    </w:p>
    <w:p w14:paraId="6FF928D8" w14:textId="59D7198D" w:rsidR="00E76B2D" w:rsidRPr="004542B5" w:rsidRDefault="00852E07" w:rsidP="00852E07">
      <w:pPr>
        <w:pStyle w:val="Title"/>
        <w:ind w:left="-142" w:right="-138"/>
        <w:rPr>
          <w:rFonts w:eastAsia="MS Mincho"/>
          <w:noProof w:val="0"/>
          <w:lang w:val="en-US"/>
        </w:rPr>
      </w:pPr>
      <w:r w:rsidRPr="004542B5">
        <w:rPr>
          <w:rFonts w:eastAsia="MS Mincho"/>
          <w:noProof w:val="0"/>
          <w:lang w:val="en-US"/>
        </w:rPr>
        <w:t>JUDGMENT OF OCTOBER 14, 2014</w:t>
      </w:r>
    </w:p>
    <w:p w14:paraId="6AD83093" w14:textId="029BF1EA" w:rsidR="00E76B2D" w:rsidRPr="004542B5" w:rsidRDefault="00E76B2D" w:rsidP="00E76B2D">
      <w:pPr>
        <w:ind w:left="2160" w:right="96" w:hanging="2160"/>
        <w:jc w:val="center"/>
        <w:rPr>
          <w:b/>
          <w:i/>
          <w:noProof w:val="0"/>
          <w:sz w:val="18"/>
          <w:szCs w:val="18"/>
          <w:lang w:val="en-US"/>
        </w:rPr>
      </w:pPr>
      <w:r w:rsidRPr="004542B5">
        <w:rPr>
          <w:b/>
          <w:noProof w:val="0"/>
          <w:sz w:val="18"/>
          <w:szCs w:val="18"/>
          <w:lang w:val="en-US"/>
        </w:rPr>
        <w:t>(</w:t>
      </w:r>
      <w:r w:rsidR="00562CBB" w:rsidRPr="004542B5">
        <w:rPr>
          <w:b/>
          <w:i/>
          <w:noProof w:val="0"/>
          <w:sz w:val="18"/>
          <w:szCs w:val="18"/>
          <w:lang w:val="en-US"/>
        </w:rPr>
        <w:t>PRELIMINARY OBJECTIONS, MERITS, REPARATIONS AND COSTS</w:t>
      </w:r>
      <w:r w:rsidRPr="004542B5">
        <w:rPr>
          <w:b/>
          <w:i/>
          <w:noProof w:val="0"/>
          <w:sz w:val="18"/>
          <w:szCs w:val="18"/>
          <w:lang w:val="en-US"/>
        </w:rPr>
        <w:t>)</w:t>
      </w:r>
    </w:p>
    <w:p w14:paraId="02CC6E8B" w14:textId="77777777" w:rsidR="00E76B2D" w:rsidRPr="004542B5" w:rsidRDefault="00E76B2D" w:rsidP="00E76B2D">
      <w:pPr>
        <w:spacing w:line="360" w:lineRule="auto"/>
        <w:jc w:val="center"/>
        <w:rPr>
          <w:b/>
          <w:noProof w:val="0"/>
          <w:szCs w:val="20"/>
          <w:lang w:val="en-US"/>
        </w:rPr>
      </w:pPr>
    </w:p>
    <w:p w14:paraId="77B976C7" w14:textId="6C5CF9BB" w:rsidR="00E76B2D" w:rsidRPr="004542B5" w:rsidRDefault="00E76B2D" w:rsidP="00E76B2D">
      <w:pPr>
        <w:spacing w:line="480" w:lineRule="auto"/>
        <w:jc w:val="center"/>
        <w:rPr>
          <w:b/>
          <w:noProof w:val="0"/>
          <w:szCs w:val="20"/>
          <w:lang w:val="en-US"/>
        </w:rPr>
      </w:pPr>
      <w:r w:rsidRPr="004542B5">
        <w:rPr>
          <w:b/>
          <w:noProof w:val="0"/>
          <w:szCs w:val="20"/>
          <w:lang w:val="en-US"/>
        </w:rPr>
        <w:t>INTRODUC</w:t>
      </w:r>
      <w:r w:rsidR="000F70A2" w:rsidRPr="004542B5">
        <w:rPr>
          <w:b/>
          <w:noProof w:val="0"/>
          <w:szCs w:val="20"/>
          <w:lang w:val="en-US"/>
        </w:rPr>
        <w:t>TIO</w:t>
      </w:r>
      <w:r w:rsidRPr="004542B5">
        <w:rPr>
          <w:b/>
          <w:noProof w:val="0"/>
          <w:szCs w:val="20"/>
          <w:lang w:val="en-US"/>
        </w:rPr>
        <w:t>N</w:t>
      </w:r>
    </w:p>
    <w:p w14:paraId="210E978C" w14:textId="31F46855" w:rsidR="00E76B2D" w:rsidRPr="004542B5" w:rsidRDefault="00E1470B" w:rsidP="00E76B2D">
      <w:pPr>
        <w:pStyle w:val="ListParagraph"/>
        <w:numPr>
          <w:ilvl w:val="0"/>
          <w:numId w:val="55"/>
        </w:numPr>
        <w:ind w:left="0" w:firstLine="0"/>
        <w:rPr>
          <w:noProof w:val="0"/>
          <w:szCs w:val="20"/>
          <w:lang w:val="en-US"/>
        </w:rPr>
      </w:pPr>
      <w:r w:rsidRPr="004542B5">
        <w:rPr>
          <w:noProof w:val="0"/>
          <w:szCs w:val="20"/>
          <w:lang w:val="en-US"/>
        </w:rPr>
        <w:t xml:space="preserve">This opinion is issued in the </w:t>
      </w:r>
      <w:r w:rsidR="00562CBB" w:rsidRPr="004542B5">
        <w:rPr>
          <w:i/>
          <w:iCs/>
          <w:noProof w:val="0"/>
          <w:szCs w:val="20"/>
          <w:lang w:val="en-US"/>
        </w:rPr>
        <w:t xml:space="preserve">Case of the Kuna Indigenous People of Madungandí and the </w:t>
      </w:r>
      <w:r w:rsidR="00AD34D8" w:rsidRPr="004542B5">
        <w:rPr>
          <w:i/>
          <w:iCs/>
          <w:noProof w:val="0"/>
          <w:szCs w:val="20"/>
          <w:lang w:val="en-US"/>
        </w:rPr>
        <w:t>Emberá</w:t>
      </w:r>
      <w:r w:rsidR="00562CBB" w:rsidRPr="004542B5">
        <w:rPr>
          <w:i/>
          <w:iCs/>
          <w:noProof w:val="0"/>
          <w:szCs w:val="20"/>
          <w:lang w:val="en-US"/>
        </w:rPr>
        <w:t xml:space="preserve"> Indigenous People of Bayano and their members</w:t>
      </w:r>
      <w:r w:rsidRPr="004542B5">
        <w:rPr>
          <w:i/>
          <w:iCs/>
          <w:noProof w:val="0"/>
          <w:szCs w:val="20"/>
          <w:lang w:val="en-US"/>
        </w:rPr>
        <w:t xml:space="preserve"> </w:t>
      </w:r>
      <w:r w:rsidR="00562CBB" w:rsidRPr="004542B5">
        <w:rPr>
          <w:i/>
          <w:iCs/>
          <w:noProof w:val="0"/>
          <w:szCs w:val="20"/>
          <w:lang w:val="en-US"/>
        </w:rPr>
        <w:t>v.</w:t>
      </w:r>
      <w:r w:rsidR="00E76B2D" w:rsidRPr="004542B5">
        <w:rPr>
          <w:i/>
          <w:iCs/>
          <w:noProof w:val="0"/>
          <w:szCs w:val="20"/>
          <w:lang w:val="en-US"/>
        </w:rPr>
        <w:t xml:space="preserve"> </w:t>
      </w:r>
      <w:r w:rsidR="00562CBB" w:rsidRPr="004542B5">
        <w:rPr>
          <w:i/>
          <w:iCs/>
          <w:noProof w:val="0"/>
          <w:szCs w:val="20"/>
          <w:lang w:val="en-US"/>
        </w:rPr>
        <w:t>Panama</w:t>
      </w:r>
      <w:r w:rsidR="00E76B2D" w:rsidRPr="004542B5">
        <w:rPr>
          <w:iCs/>
          <w:noProof w:val="0"/>
          <w:szCs w:val="20"/>
          <w:lang w:val="en-US"/>
        </w:rPr>
        <w:t>,</w:t>
      </w:r>
      <w:r w:rsidR="00E76B2D" w:rsidRPr="004542B5">
        <w:rPr>
          <w:noProof w:val="0"/>
          <w:szCs w:val="20"/>
          <w:lang w:val="en-US"/>
        </w:rPr>
        <w:t xml:space="preserve"> </w:t>
      </w:r>
      <w:r w:rsidRPr="004542B5">
        <w:rPr>
          <w:noProof w:val="0"/>
          <w:szCs w:val="20"/>
          <w:lang w:val="en-US"/>
        </w:rPr>
        <w:t>in which</w:t>
      </w:r>
      <w:r w:rsidR="00E76B2D" w:rsidRPr="004542B5">
        <w:rPr>
          <w:noProof w:val="0"/>
          <w:szCs w:val="20"/>
          <w:lang w:val="en-US"/>
        </w:rPr>
        <w:t xml:space="preserve"> </w:t>
      </w:r>
      <w:r w:rsidR="00562CBB" w:rsidRPr="004542B5">
        <w:rPr>
          <w:noProof w:val="0"/>
          <w:szCs w:val="20"/>
          <w:lang w:val="en-US"/>
        </w:rPr>
        <w:t xml:space="preserve">the </w:t>
      </w:r>
      <w:r w:rsidRPr="004542B5">
        <w:rPr>
          <w:noProof w:val="0"/>
          <w:szCs w:val="20"/>
          <w:lang w:val="en-US"/>
        </w:rPr>
        <w:t xml:space="preserve">Inter-American </w:t>
      </w:r>
      <w:r w:rsidR="00562CBB" w:rsidRPr="004542B5">
        <w:rPr>
          <w:noProof w:val="0"/>
          <w:szCs w:val="20"/>
          <w:lang w:val="en-US"/>
        </w:rPr>
        <w:t>Court</w:t>
      </w:r>
      <w:r w:rsidR="00E76B2D" w:rsidRPr="004542B5">
        <w:rPr>
          <w:noProof w:val="0"/>
          <w:szCs w:val="20"/>
          <w:lang w:val="en-US"/>
        </w:rPr>
        <w:t xml:space="preserve"> </w:t>
      </w:r>
      <w:r w:rsidRPr="004542B5">
        <w:rPr>
          <w:noProof w:val="0"/>
          <w:szCs w:val="20"/>
          <w:lang w:val="en-US"/>
        </w:rPr>
        <w:t>of Human Rights</w:t>
      </w:r>
      <w:r w:rsidR="00E76B2D" w:rsidRPr="004542B5">
        <w:rPr>
          <w:noProof w:val="0"/>
          <w:szCs w:val="20"/>
          <w:lang w:val="en-US"/>
        </w:rPr>
        <w:t xml:space="preserve"> (</w:t>
      </w:r>
      <w:r w:rsidR="00562CBB" w:rsidRPr="004542B5">
        <w:rPr>
          <w:noProof w:val="0"/>
          <w:szCs w:val="20"/>
          <w:lang w:val="en-US"/>
        </w:rPr>
        <w:t>hereinafter</w:t>
      </w:r>
      <w:r w:rsidR="00E76B2D" w:rsidRPr="004542B5">
        <w:rPr>
          <w:noProof w:val="0"/>
          <w:szCs w:val="20"/>
          <w:lang w:val="en-US"/>
        </w:rPr>
        <w:t xml:space="preserve"> “</w:t>
      </w:r>
      <w:r w:rsidR="00562CBB" w:rsidRPr="004542B5">
        <w:rPr>
          <w:noProof w:val="0"/>
          <w:szCs w:val="20"/>
          <w:lang w:val="en-US"/>
        </w:rPr>
        <w:t>the Court</w:t>
      </w:r>
      <w:r w:rsidR="00E76B2D" w:rsidRPr="004542B5">
        <w:rPr>
          <w:noProof w:val="0"/>
          <w:szCs w:val="20"/>
          <w:lang w:val="en-US"/>
        </w:rPr>
        <w:t>” o</w:t>
      </w:r>
      <w:r w:rsidRPr="004542B5">
        <w:rPr>
          <w:noProof w:val="0"/>
          <w:szCs w:val="20"/>
          <w:lang w:val="en-US"/>
        </w:rPr>
        <w:t>r</w:t>
      </w:r>
      <w:r w:rsidR="00E76B2D" w:rsidRPr="004542B5">
        <w:rPr>
          <w:noProof w:val="0"/>
          <w:szCs w:val="20"/>
          <w:lang w:val="en-US"/>
        </w:rPr>
        <w:t xml:space="preserve"> “</w:t>
      </w:r>
      <w:r w:rsidR="00562CBB" w:rsidRPr="004542B5">
        <w:rPr>
          <w:noProof w:val="0"/>
          <w:szCs w:val="20"/>
          <w:lang w:val="en-US"/>
        </w:rPr>
        <w:t xml:space="preserve">the </w:t>
      </w:r>
      <w:r w:rsidRPr="004542B5">
        <w:rPr>
          <w:noProof w:val="0"/>
          <w:szCs w:val="20"/>
          <w:lang w:val="en-US"/>
        </w:rPr>
        <w:t>Inter-American Court</w:t>
      </w:r>
      <w:r w:rsidR="00E76B2D" w:rsidRPr="004542B5">
        <w:rPr>
          <w:noProof w:val="0"/>
          <w:szCs w:val="20"/>
          <w:lang w:val="en-US"/>
        </w:rPr>
        <w:t>”) a</w:t>
      </w:r>
      <w:r w:rsidRPr="004542B5">
        <w:rPr>
          <w:noProof w:val="0"/>
          <w:szCs w:val="20"/>
          <w:lang w:val="en-US"/>
        </w:rPr>
        <w:t xml:space="preserve">dmitted </w:t>
      </w:r>
      <w:r w:rsidR="00DE6766" w:rsidRPr="004542B5">
        <w:rPr>
          <w:noProof w:val="0"/>
          <w:szCs w:val="20"/>
          <w:lang w:val="en-US"/>
        </w:rPr>
        <w:t>the preliminary objection</w:t>
      </w:r>
      <w:r w:rsidR="00E76B2D" w:rsidRPr="004542B5">
        <w:rPr>
          <w:noProof w:val="0"/>
          <w:szCs w:val="20"/>
          <w:lang w:val="en-US"/>
        </w:rPr>
        <w:t xml:space="preserve"> </w:t>
      </w:r>
      <w:r w:rsidRPr="004542B5">
        <w:rPr>
          <w:noProof w:val="0"/>
          <w:szCs w:val="20"/>
          <w:lang w:val="en-US"/>
        </w:rPr>
        <w:t>filed by</w:t>
      </w:r>
      <w:r w:rsidR="00E76B2D" w:rsidRPr="004542B5">
        <w:rPr>
          <w:noProof w:val="0"/>
          <w:szCs w:val="20"/>
          <w:lang w:val="en-US"/>
        </w:rPr>
        <w:t xml:space="preserve"> </w:t>
      </w:r>
      <w:r w:rsidR="00562CBB" w:rsidRPr="004542B5">
        <w:rPr>
          <w:noProof w:val="0"/>
          <w:szCs w:val="20"/>
          <w:lang w:val="en-US"/>
        </w:rPr>
        <w:t>the State</w:t>
      </w:r>
      <w:r w:rsidR="00E76B2D" w:rsidRPr="004542B5">
        <w:rPr>
          <w:noProof w:val="0"/>
          <w:szCs w:val="20"/>
          <w:lang w:val="en-US"/>
        </w:rPr>
        <w:t xml:space="preserve"> </w:t>
      </w:r>
      <w:r w:rsidRPr="004542B5">
        <w:rPr>
          <w:noProof w:val="0"/>
          <w:szCs w:val="20"/>
          <w:lang w:val="en-US"/>
        </w:rPr>
        <w:t>concerning</w:t>
      </w:r>
      <w:r w:rsidR="00E76B2D" w:rsidRPr="004542B5">
        <w:rPr>
          <w:noProof w:val="0"/>
          <w:szCs w:val="20"/>
          <w:lang w:val="en-US"/>
        </w:rPr>
        <w:t xml:space="preserve"> </w:t>
      </w:r>
      <w:r w:rsidR="0063510B" w:rsidRPr="004542B5">
        <w:rPr>
          <w:noProof w:val="0"/>
          <w:szCs w:val="20"/>
          <w:lang w:val="en-US"/>
        </w:rPr>
        <w:t>lack of jurisdiction</w:t>
      </w:r>
      <w:r w:rsidR="00E76B2D" w:rsidRPr="004542B5">
        <w:rPr>
          <w:noProof w:val="0"/>
          <w:szCs w:val="20"/>
          <w:lang w:val="en-US"/>
        </w:rPr>
        <w:t xml:space="preserve"> </w:t>
      </w:r>
      <w:r w:rsidR="00E76B2D" w:rsidRPr="004542B5">
        <w:rPr>
          <w:i/>
          <w:noProof w:val="0"/>
          <w:szCs w:val="20"/>
          <w:lang w:val="en-US"/>
        </w:rPr>
        <w:t>ratione tempori</w:t>
      </w:r>
      <w:r w:rsidR="00E76B2D" w:rsidRPr="004542B5">
        <w:rPr>
          <w:noProof w:val="0"/>
          <w:szCs w:val="20"/>
          <w:lang w:val="en-US"/>
        </w:rPr>
        <w:t xml:space="preserve">s </w:t>
      </w:r>
      <w:r w:rsidRPr="004542B5">
        <w:rPr>
          <w:noProof w:val="0"/>
          <w:szCs w:val="20"/>
          <w:lang w:val="en-US"/>
        </w:rPr>
        <w:t xml:space="preserve">and, therefore, decided that, when examining the merits of the case, it would not analyze the </w:t>
      </w:r>
      <w:r w:rsidR="00EB7DAB" w:rsidRPr="004542B5">
        <w:rPr>
          <w:noProof w:val="0"/>
          <w:szCs w:val="20"/>
          <w:lang w:val="en-US"/>
        </w:rPr>
        <w:t xml:space="preserve">compensation </w:t>
      </w:r>
      <w:r w:rsidRPr="004542B5">
        <w:rPr>
          <w:noProof w:val="0"/>
          <w:szCs w:val="20"/>
          <w:lang w:val="en-US"/>
        </w:rPr>
        <w:t>payment that the State should have made.</w:t>
      </w:r>
    </w:p>
    <w:p w14:paraId="47D8ABF4" w14:textId="77777777" w:rsidR="00E76B2D" w:rsidRPr="004542B5" w:rsidRDefault="00E76B2D" w:rsidP="00E76B2D">
      <w:pPr>
        <w:rPr>
          <w:noProof w:val="0"/>
          <w:szCs w:val="20"/>
          <w:lang w:val="en-US"/>
        </w:rPr>
      </w:pPr>
    </w:p>
    <w:p w14:paraId="5E497E2A" w14:textId="6477E953" w:rsidR="00E76B2D" w:rsidRPr="004542B5" w:rsidRDefault="00E76B2D" w:rsidP="00E76B2D">
      <w:pPr>
        <w:rPr>
          <w:noProof w:val="0"/>
          <w:szCs w:val="20"/>
          <w:lang w:val="en-US"/>
        </w:rPr>
      </w:pPr>
      <w:r w:rsidRPr="004542B5">
        <w:rPr>
          <w:noProof w:val="0"/>
          <w:szCs w:val="20"/>
          <w:lang w:val="en-US"/>
        </w:rPr>
        <w:t xml:space="preserve">2. </w:t>
      </w:r>
      <w:r w:rsidRPr="004542B5">
        <w:rPr>
          <w:noProof w:val="0"/>
          <w:szCs w:val="20"/>
          <w:lang w:val="en-US"/>
        </w:rPr>
        <w:tab/>
      </w:r>
      <w:r w:rsidR="00E1470B" w:rsidRPr="004542B5">
        <w:rPr>
          <w:noProof w:val="0"/>
          <w:szCs w:val="20"/>
          <w:lang w:val="en-US"/>
        </w:rPr>
        <w:t>Regarding th</w:t>
      </w:r>
      <w:r w:rsidR="00EB7DAB" w:rsidRPr="004542B5">
        <w:rPr>
          <w:noProof w:val="0"/>
          <w:szCs w:val="20"/>
          <w:lang w:val="en-US"/>
        </w:rPr>
        <w:t>e said</w:t>
      </w:r>
      <w:r w:rsidRPr="004542B5">
        <w:rPr>
          <w:noProof w:val="0"/>
          <w:szCs w:val="20"/>
          <w:lang w:val="en-US"/>
        </w:rPr>
        <w:t xml:space="preserve"> </w:t>
      </w:r>
      <w:r w:rsidR="00DE6766" w:rsidRPr="004542B5">
        <w:rPr>
          <w:noProof w:val="0"/>
          <w:szCs w:val="20"/>
          <w:lang w:val="en-US"/>
        </w:rPr>
        <w:t>preliminary objection</w:t>
      </w:r>
      <w:r w:rsidRPr="004542B5">
        <w:rPr>
          <w:noProof w:val="0"/>
          <w:szCs w:val="20"/>
          <w:lang w:val="en-US"/>
        </w:rPr>
        <w:t xml:space="preserve">, </w:t>
      </w:r>
      <w:r w:rsidR="00E1470B" w:rsidRPr="004542B5">
        <w:rPr>
          <w:noProof w:val="0"/>
          <w:szCs w:val="20"/>
          <w:lang w:val="en-US"/>
        </w:rPr>
        <w:t>the dispute is rooted in the facts relat</w:t>
      </w:r>
      <w:r w:rsidR="00EB7DAB" w:rsidRPr="004542B5">
        <w:rPr>
          <w:noProof w:val="0"/>
          <w:szCs w:val="20"/>
          <w:lang w:val="en-US"/>
        </w:rPr>
        <w:t>ing</w:t>
      </w:r>
      <w:r w:rsidR="00E1470B" w:rsidRPr="004542B5">
        <w:rPr>
          <w:noProof w:val="0"/>
          <w:szCs w:val="20"/>
          <w:lang w:val="en-US"/>
        </w:rPr>
        <w:t xml:space="preserve"> to the displacement of the communities that took place between </w:t>
      </w:r>
      <w:r w:rsidRPr="004542B5">
        <w:rPr>
          <w:noProof w:val="0"/>
          <w:szCs w:val="20"/>
          <w:lang w:val="en-US"/>
        </w:rPr>
        <w:t>1973</w:t>
      </w:r>
      <w:r w:rsidR="00CD2B90" w:rsidRPr="004542B5">
        <w:rPr>
          <w:noProof w:val="0"/>
          <w:szCs w:val="20"/>
          <w:lang w:val="en-US"/>
        </w:rPr>
        <w:t xml:space="preserve"> and </w:t>
      </w:r>
      <w:r w:rsidRPr="004542B5">
        <w:rPr>
          <w:noProof w:val="0"/>
          <w:szCs w:val="20"/>
          <w:lang w:val="en-US"/>
        </w:rPr>
        <w:t>1975,</w:t>
      </w:r>
      <w:r w:rsidR="00CD2B90" w:rsidRPr="004542B5">
        <w:rPr>
          <w:noProof w:val="0"/>
          <w:szCs w:val="20"/>
          <w:lang w:val="en-US"/>
        </w:rPr>
        <w:t xml:space="preserve"> and </w:t>
      </w:r>
      <w:r w:rsidR="00E1470B" w:rsidRPr="004542B5">
        <w:rPr>
          <w:noProof w:val="0"/>
          <w:szCs w:val="20"/>
          <w:lang w:val="en-US"/>
        </w:rPr>
        <w:t>the State’s undertaking to pay compensation for these displacements.</w:t>
      </w:r>
    </w:p>
    <w:p w14:paraId="4479F8E2" w14:textId="77777777" w:rsidR="00E76B2D" w:rsidRPr="004542B5" w:rsidRDefault="00E76B2D" w:rsidP="00E76B2D">
      <w:pPr>
        <w:rPr>
          <w:noProof w:val="0"/>
          <w:szCs w:val="20"/>
          <w:lang w:val="en-US"/>
        </w:rPr>
      </w:pPr>
    </w:p>
    <w:p w14:paraId="164DD7F6" w14:textId="2CA611E5" w:rsidR="00E76B2D" w:rsidRPr="004542B5" w:rsidRDefault="00E76B2D" w:rsidP="00E76B2D">
      <w:pPr>
        <w:rPr>
          <w:noProof w:val="0"/>
          <w:szCs w:val="20"/>
          <w:lang w:val="en-US"/>
        </w:rPr>
      </w:pPr>
      <w:r w:rsidRPr="004542B5">
        <w:rPr>
          <w:noProof w:val="0"/>
          <w:szCs w:val="20"/>
          <w:lang w:val="en-US"/>
        </w:rPr>
        <w:t xml:space="preserve">3. </w:t>
      </w:r>
      <w:r w:rsidRPr="004542B5">
        <w:rPr>
          <w:noProof w:val="0"/>
          <w:szCs w:val="20"/>
          <w:lang w:val="en-US"/>
        </w:rPr>
        <w:tab/>
      </w:r>
      <w:r w:rsidR="00F54D07" w:rsidRPr="004542B5">
        <w:rPr>
          <w:noProof w:val="0"/>
          <w:szCs w:val="20"/>
          <w:lang w:val="en-US"/>
        </w:rPr>
        <w:t xml:space="preserve">The majority opinion considered that the Court did not have </w:t>
      </w:r>
      <w:r w:rsidR="0020681C" w:rsidRPr="004542B5">
        <w:rPr>
          <w:noProof w:val="0"/>
          <w:szCs w:val="20"/>
          <w:lang w:val="en-US"/>
        </w:rPr>
        <w:t>jurisdiction</w:t>
      </w:r>
      <w:r w:rsidR="00F54D07" w:rsidRPr="004542B5">
        <w:rPr>
          <w:noProof w:val="0"/>
          <w:szCs w:val="20"/>
          <w:lang w:val="en-US"/>
        </w:rPr>
        <w:t xml:space="preserve"> to rule on the alleged failure to pay the compensation to the communities of the</w:t>
      </w:r>
      <w:r w:rsidRPr="004542B5">
        <w:rPr>
          <w:noProof w:val="0"/>
          <w:szCs w:val="20"/>
          <w:lang w:val="en-US"/>
        </w:rPr>
        <w:t xml:space="preserve"> Kuna </w:t>
      </w:r>
      <w:r w:rsidR="00F54D07" w:rsidRPr="004542B5">
        <w:rPr>
          <w:noProof w:val="0"/>
          <w:szCs w:val="20"/>
          <w:lang w:val="en-US"/>
        </w:rPr>
        <w:t>of</w:t>
      </w:r>
      <w:r w:rsidRPr="004542B5">
        <w:rPr>
          <w:noProof w:val="0"/>
          <w:szCs w:val="20"/>
          <w:lang w:val="en-US"/>
        </w:rPr>
        <w:t xml:space="preserve"> Madungandí</w:t>
      </w:r>
      <w:r w:rsidR="00CD2B90" w:rsidRPr="004542B5">
        <w:rPr>
          <w:noProof w:val="0"/>
          <w:szCs w:val="20"/>
          <w:lang w:val="en-US"/>
        </w:rPr>
        <w:t xml:space="preserve"> and </w:t>
      </w:r>
      <w:r w:rsidR="00F54D07" w:rsidRPr="004542B5">
        <w:rPr>
          <w:noProof w:val="0"/>
          <w:szCs w:val="20"/>
          <w:lang w:val="en-US"/>
        </w:rPr>
        <w:t xml:space="preserve">the </w:t>
      </w:r>
      <w:r w:rsidRPr="004542B5">
        <w:rPr>
          <w:noProof w:val="0"/>
          <w:szCs w:val="20"/>
          <w:lang w:val="en-US"/>
        </w:rPr>
        <w:t xml:space="preserve">Emberá </w:t>
      </w:r>
      <w:r w:rsidR="00F54D07" w:rsidRPr="004542B5">
        <w:rPr>
          <w:noProof w:val="0"/>
          <w:szCs w:val="20"/>
          <w:lang w:val="en-US"/>
        </w:rPr>
        <w:t>of</w:t>
      </w:r>
      <w:r w:rsidRPr="004542B5">
        <w:rPr>
          <w:noProof w:val="0"/>
          <w:szCs w:val="20"/>
          <w:lang w:val="en-US"/>
        </w:rPr>
        <w:t xml:space="preserve"> Bayano, </w:t>
      </w:r>
      <w:r w:rsidR="00F54D07" w:rsidRPr="004542B5">
        <w:rPr>
          <w:noProof w:val="0"/>
          <w:szCs w:val="20"/>
          <w:lang w:val="en-US"/>
        </w:rPr>
        <w:t>because</w:t>
      </w:r>
      <w:r w:rsidRPr="004542B5">
        <w:rPr>
          <w:noProof w:val="0"/>
          <w:szCs w:val="20"/>
          <w:lang w:val="en-US"/>
        </w:rPr>
        <w:t xml:space="preserve"> </w:t>
      </w:r>
      <w:r w:rsidR="00562CBB" w:rsidRPr="004542B5">
        <w:rPr>
          <w:noProof w:val="0"/>
          <w:szCs w:val="20"/>
          <w:lang w:val="en-US"/>
        </w:rPr>
        <w:t xml:space="preserve">the </w:t>
      </w:r>
      <w:r w:rsidR="00C6639F" w:rsidRPr="004542B5">
        <w:rPr>
          <w:noProof w:val="0"/>
          <w:szCs w:val="20"/>
          <w:lang w:val="en-US"/>
        </w:rPr>
        <w:t>Panamanian State</w:t>
      </w:r>
      <w:r w:rsidRPr="004542B5">
        <w:rPr>
          <w:noProof w:val="0"/>
          <w:szCs w:val="20"/>
          <w:lang w:val="en-US"/>
        </w:rPr>
        <w:t xml:space="preserve"> </w:t>
      </w:r>
      <w:r w:rsidR="00F54D07" w:rsidRPr="004542B5">
        <w:rPr>
          <w:noProof w:val="0"/>
          <w:szCs w:val="20"/>
          <w:lang w:val="en-US"/>
        </w:rPr>
        <w:t>accepted the Court’s co</w:t>
      </w:r>
      <w:r w:rsidR="00EB7DAB" w:rsidRPr="004542B5">
        <w:rPr>
          <w:noProof w:val="0"/>
          <w:szCs w:val="20"/>
          <w:lang w:val="en-US"/>
        </w:rPr>
        <w:t>mpulsory</w:t>
      </w:r>
      <w:r w:rsidR="00F54D07" w:rsidRPr="004542B5">
        <w:rPr>
          <w:noProof w:val="0"/>
          <w:szCs w:val="20"/>
          <w:lang w:val="en-US"/>
        </w:rPr>
        <w:t xml:space="preserve"> jurisdiction on May 9, 1990, and the facts relating to the lack of payment had taken place prior to the acceptance of jurisdiction. Thus, the Court </w:t>
      </w:r>
      <w:r w:rsidR="006110CB" w:rsidRPr="004542B5">
        <w:rPr>
          <w:noProof w:val="0"/>
          <w:szCs w:val="20"/>
          <w:lang w:val="en-US"/>
        </w:rPr>
        <w:t>found the</w:t>
      </w:r>
      <w:r w:rsidR="00DE6766" w:rsidRPr="004542B5">
        <w:rPr>
          <w:noProof w:val="0"/>
          <w:szCs w:val="20"/>
          <w:lang w:val="en-US"/>
        </w:rPr>
        <w:t xml:space="preserve"> preliminary objection</w:t>
      </w:r>
      <w:r w:rsidRPr="004542B5">
        <w:rPr>
          <w:noProof w:val="0"/>
          <w:szCs w:val="20"/>
          <w:lang w:val="en-US"/>
        </w:rPr>
        <w:t xml:space="preserve"> </w:t>
      </w:r>
      <w:r w:rsidR="00F54D07" w:rsidRPr="004542B5">
        <w:rPr>
          <w:noProof w:val="0"/>
          <w:szCs w:val="20"/>
          <w:lang w:val="en-US"/>
        </w:rPr>
        <w:t xml:space="preserve">based on </w:t>
      </w:r>
      <w:r w:rsidR="0063510B" w:rsidRPr="004542B5">
        <w:rPr>
          <w:noProof w:val="0"/>
          <w:szCs w:val="20"/>
          <w:lang w:val="en-US"/>
        </w:rPr>
        <w:t>lack of jurisdiction</w:t>
      </w:r>
      <w:r w:rsidRPr="004542B5">
        <w:rPr>
          <w:noProof w:val="0"/>
          <w:szCs w:val="20"/>
          <w:lang w:val="en-US"/>
        </w:rPr>
        <w:t xml:space="preserve"> </w:t>
      </w:r>
      <w:r w:rsidR="00F54D07" w:rsidRPr="004542B5">
        <w:rPr>
          <w:i/>
          <w:noProof w:val="0"/>
          <w:szCs w:val="20"/>
          <w:lang w:val="en-US"/>
        </w:rPr>
        <w:t>ratione tempori</w:t>
      </w:r>
      <w:r w:rsidR="00F54D07" w:rsidRPr="004542B5">
        <w:rPr>
          <w:noProof w:val="0"/>
          <w:szCs w:val="20"/>
          <w:lang w:val="en-US"/>
        </w:rPr>
        <w:t xml:space="preserve">s admissible and determined that it lacked competence to examine the content of the agreements of </w:t>
      </w:r>
      <w:r w:rsidRPr="004542B5">
        <w:rPr>
          <w:noProof w:val="0"/>
          <w:szCs w:val="20"/>
          <w:lang w:val="en-US"/>
        </w:rPr>
        <w:t>1976, 1977</w:t>
      </w:r>
      <w:r w:rsidR="00CD2B90" w:rsidRPr="004542B5">
        <w:rPr>
          <w:noProof w:val="0"/>
          <w:szCs w:val="20"/>
          <w:lang w:val="en-US"/>
        </w:rPr>
        <w:t xml:space="preserve"> and </w:t>
      </w:r>
      <w:r w:rsidRPr="004542B5">
        <w:rPr>
          <w:noProof w:val="0"/>
          <w:szCs w:val="20"/>
          <w:lang w:val="en-US"/>
        </w:rPr>
        <w:t>1980</w:t>
      </w:r>
      <w:r w:rsidR="00CD2B90" w:rsidRPr="004542B5">
        <w:rPr>
          <w:noProof w:val="0"/>
          <w:szCs w:val="20"/>
          <w:lang w:val="en-US"/>
        </w:rPr>
        <w:t xml:space="preserve"> and </w:t>
      </w:r>
      <w:r w:rsidR="00F54D07" w:rsidRPr="004542B5">
        <w:rPr>
          <w:noProof w:val="0"/>
          <w:szCs w:val="20"/>
          <w:lang w:val="en-US"/>
        </w:rPr>
        <w:t>the alleged failure to comply with these agreements.</w:t>
      </w:r>
    </w:p>
    <w:p w14:paraId="4362B463" w14:textId="77777777" w:rsidR="00E76B2D" w:rsidRPr="004542B5" w:rsidRDefault="00E76B2D" w:rsidP="00E76B2D">
      <w:pPr>
        <w:rPr>
          <w:b/>
          <w:noProof w:val="0"/>
          <w:szCs w:val="20"/>
          <w:lang w:val="en-US"/>
        </w:rPr>
      </w:pPr>
    </w:p>
    <w:p w14:paraId="3CAF0066" w14:textId="47B0C555" w:rsidR="00E76B2D" w:rsidRPr="004542B5" w:rsidRDefault="00F54D07" w:rsidP="00F54D07">
      <w:pPr>
        <w:pStyle w:val="ListParagraph"/>
        <w:numPr>
          <w:ilvl w:val="0"/>
          <w:numId w:val="60"/>
        </w:numPr>
        <w:ind w:left="0" w:firstLine="0"/>
        <w:rPr>
          <w:noProof w:val="0"/>
          <w:szCs w:val="20"/>
          <w:lang w:val="en-US"/>
        </w:rPr>
      </w:pPr>
      <w:r w:rsidRPr="004542B5">
        <w:rPr>
          <w:noProof w:val="0"/>
          <w:szCs w:val="20"/>
          <w:lang w:val="en-US"/>
        </w:rPr>
        <w:t>I dissent from the majority because I consider that the Court should have rejected this</w:t>
      </w:r>
      <w:r w:rsidR="00E76B2D" w:rsidRPr="004542B5">
        <w:rPr>
          <w:noProof w:val="0"/>
          <w:szCs w:val="20"/>
          <w:lang w:val="en-US"/>
        </w:rPr>
        <w:t xml:space="preserve"> </w:t>
      </w:r>
      <w:r w:rsidR="00DE6766" w:rsidRPr="004542B5">
        <w:rPr>
          <w:noProof w:val="0"/>
          <w:szCs w:val="20"/>
          <w:lang w:val="en-US"/>
        </w:rPr>
        <w:t>preliminary objection</w:t>
      </w:r>
      <w:r w:rsidR="00E76B2D" w:rsidRPr="004542B5">
        <w:rPr>
          <w:noProof w:val="0"/>
          <w:szCs w:val="20"/>
          <w:lang w:val="en-US"/>
        </w:rPr>
        <w:t xml:space="preserve"> </w:t>
      </w:r>
      <w:r w:rsidRPr="004542B5">
        <w:rPr>
          <w:noProof w:val="0"/>
          <w:szCs w:val="20"/>
          <w:lang w:val="en-US"/>
        </w:rPr>
        <w:t>filed by</w:t>
      </w:r>
      <w:r w:rsidR="00E76B2D" w:rsidRPr="004542B5">
        <w:rPr>
          <w:noProof w:val="0"/>
          <w:szCs w:val="20"/>
          <w:lang w:val="en-US"/>
        </w:rPr>
        <w:t xml:space="preserve"> </w:t>
      </w:r>
      <w:r w:rsidR="00562CBB" w:rsidRPr="004542B5">
        <w:rPr>
          <w:noProof w:val="0"/>
          <w:szCs w:val="20"/>
          <w:lang w:val="en-US"/>
        </w:rPr>
        <w:t>the State</w:t>
      </w:r>
      <w:r w:rsidR="00CD2B90" w:rsidRPr="004542B5">
        <w:rPr>
          <w:noProof w:val="0"/>
          <w:szCs w:val="20"/>
          <w:lang w:val="en-US"/>
        </w:rPr>
        <w:t xml:space="preserve"> and </w:t>
      </w:r>
      <w:r w:rsidRPr="004542B5">
        <w:rPr>
          <w:noProof w:val="0"/>
          <w:szCs w:val="20"/>
          <w:lang w:val="en-US"/>
        </w:rPr>
        <w:t xml:space="preserve">examined the merits of the dispute, taking into account that, in this case, </w:t>
      </w:r>
      <w:r w:rsidRPr="004542B5">
        <w:rPr>
          <w:i/>
          <w:iCs/>
          <w:noProof w:val="0"/>
          <w:szCs w:val="20"/>
          <w:lang w:val="en-US"/>
        </w:rPr>
        <w:t>we are not faced with isolated facts that happened instantaneously, but rather with a continuing situation (</w:t>
      </w:r>
      <w:r w:rsidR="00EB7DAB" w:rsidRPr="004542B5">
        <w:rPr>
          <w:i/>
          <w:iCs/>
          <w:noProof w:val="0"/>
          <w:szCs w:val="20"/>
          <w:lang w:val="en-US"/>
        </w:rPr>
        <w:t>concerning</w:t>
      </w:r>
      <w:r w:rsidRPr="004542B5">
        <w:rPr>
          <w:i/>
          <w:iCs/>
          <w:noProof w:val="0"/>
          <w:szCs w:val="20"/>
          <w:lang w:val="en-US"/>
        </w:rPr>
        <w:t xml:space="preserve"> a composite fact) relating to non-compliance with the payment of the compensation</w:t>
      </w:r>
      <w:r w:rsidRPr="004542B5">
        <w:rPr>
          <w:noProof w:val="0"/>
          <w:szCs w:val="20"/>
          <w:lang w:val="en-US"/>
        </w:rPr>
        <w:t xml:space="preserve">, for reasons that I will explain below. It is worth noting that, if the Court had examined the matter in depth, it would have been the first time that the Inter-American Court had been able to analyze non-compliance with a compensation payment as part of the guarantees contained in Article 21 of the American Convention for indigenous peoples, taking into account that what was claimed in this case consisted, precisely, in “the supposed continuing violation of the right to collective property of the Kune indigenous people of </w:t>
      </w:r>
      <w:r w:rsidR="00E76B2D" w:rsidRPr="004542B5">
        <w:rPr>
          <w:noProof w:val="0"/>
          <w:szCs w:val="20"/>
          <w:lang w:val="en-US"/>
        </w:rPr>
        <w:t>Madungandí (“Kuna”)</w:t>
      </w:r>
      <w:r w:rsidR="00CD2B90" w:rsidRPr="004542B5">
        <w:rPr>
          <w:noProof w:val="0"/>
          <w:szCs w:val="20"/>
          <w:lang w:val="en-US"/>
        </w:rPr>
        <w:t xml:space="preserve"> and </w:t>
      </w:r>
      <w:r w:rsidRPr="004542B5">
        <w:rPr>
          <w:noProof w:val="0"/>
          <w:szCs w:val="20"/>
          <w:lang w:val="en-US"/>
        </w:rPr>
        <w:t xml:space="preserve">the </w:t>
      </w:r>
      <w:r w:rsidR="00E76B2D" w:rsidRPr="004542B5">
        <w:rPr>
          <w:noProof w:val="0"/>
          <w:szCs w:val="20"/>
          <w:lang w:val="en-US"/>
        </w:rPr>
        <w:t>Emberá</w:t>
      </w:r>
      <w:r w:rsidRPr="004542B5">
        <w:rPr>
          <w:noProof w:val="0"/>
          <w:szCs w:val="20"/>
          <w:lang w:val="en-US"/>
        </w:rPr>
        <w:t xml:space="preserve"> indigenous </w:t>
      </w:r>
      <w:r w:rsidR="006110CB" w:rsidRPr="004542B5">
        <w:rPr>
          <w:noProof w:val="0"/>
          <w:szCs w:val="20"/>
          <w:lang w:val="en-US"/>
        </w:rPr>
        <w:t>people</w:t>
      </w:r>
      <w:r w:rsidRPr="004542B5">
        <w:rPr>
          <w:noProof w:val="0"/>
          <w:szCs w:val="20"/>
          <w:lang w:val="en-US"/>
        </w:rPr>
        <w:t xml:space="preserve"> of</w:t>
      </w:r>
      <w:r w:rsidR="00E76B2D" w:rsidRPr="004542B5">
        <w:rPr>
          <w:noProof w:val="0"/>
          <w:szCs w:val="20"/>
          <w:lang w:val="en-US"/>
        </w:rPr>
        <w:t xml:space="preserve"> Bayano (“Emberá”)</w:t>
      </w:r>
      <w:r w:rsidR="00CD2B90" w:rsidRPr="004542B5">
        <w:rPr>
          <w:noProof w:val="0"/>
          <w:szCs w:val="20"/>
          <w:lang w:val="en-US"/>
        </w:rPr>
        <w:t xml:space="preserve"> and </w:t>
      </w:r>
      <w:r w:rsidR="000171B9" w:rsidRPr="004542B5">
        <w:rPr>
          <w:noProof w:val="0"/>
          <w:szCs w:val="20"/>
          <w:lang w:val="en-US"/>
        </w:rPr>
        <w:t>their</w:t>
      </w:r>
      <w:r w:rsidR="00E76B2D" w:rsidRPr="004542B5">
        <w:rPr>
          <w:noProof w:val="0"/>
          <w:szCs w:val="20"/>
          <w:lang w:val="en-US"/>
        </w:rPr>
        <w:t xml:space="preserve"> </w:t>
      </w:r>
      <w:r w:rsidR="003234E7" w:rsidRPr="004542B5">
        <w:rPr>
          <w:noProof w:val="0"/>
          <w:szCs w:val="20"/>
          <w:lang w:val="en-US"/>
        </w:rPr>
        <w:t>members</w:t>
      </w:r>
      <w:r w:rsidR="00E76B2D" w:rsidRPr="004542B5">
        <w:rPr>
          <w:noProof w:val="0"/>
          <w:szCs w:val="20"/>
          <w:lang w:val="en-US"/>
        </w:rPr>
        <w:t xml:space="preserve">, </w:t>
      </w:r>
      <w:r w:rsidR="000171B9" w:rsidRPr="004542B5">
        <w:rPr>
          <w:noProof w:val="0"/>
          <w:szCs w:val="20"/>
          <w:u w:val="single"/>
          <w:lang w:val="en-US"/>
        </w:rPr>
        <w:t xml:space="preserve">owing to the alleged failure to comply with the payment of compensation related to the expropriation and </w:t>
      </w:r>
      <w:r w:rsidR="006110CB" w:rsidRPr="004542B5">
        <w:rPr>
          <w:noProof w:val="0"/>
          <w:szCs w:val="20"/>
          <w:u w:val="single"/>
          <w:lang w:val="en-US"/>
        </w:rPr>
        <w:t>flooding</w:t>
      </w:r>
      <w:r w:rsidR="000171B9" w:rsidRPr="004542B5">
        <w:rPr>
          <w:noProof w:val="0"/>
          <w:szCs w:val="20"/>
          <w:u w:val="single"/>
          <w:lang w:val="en-US"/>
        </w:rPr>
        <w:t xml:space="preserve"> of their ancestral territories,</w:t>
      </w:r>
      <w:r w:rsidR="000171B9" w:rsidRPr="004542B5">
        <w:rPr>
          <w:noProof w:val="0"/>
          <w:szCs w:val="20"/>
          <w:lang w:val="en-US"/>
        </w:rPr>
        <w:t xml:space="preserve"> as a result of the construction of the Bayano Hydroelectric Dam from 1972 to 1976</w:t>
      </w:r>
      <w:r w:rsidR="00E76B2D" w:rsidRPr="004542B5">
        <w:rPr>
          <w:noProof w:val="0"/>
          <w:szCs w:val="20"/>
          <w:lang w:val="en-US"/>
        </w:rPr>
        <w:t>”</w:t>
      </w:r>
      <w:r w:rsidR="00E76B2D" w:rsidRPr="004542B5">
        <w:rPr>
          <w:rStyle w:val="FootnoteReference"/>
          <w:noProof w:val="0"/>
          <w:lang w:val="en-US"/>
        </w:rPr>
        <w:footnoteReference w:id="278"/>
      </w:r>
      <w:r w:rsidR="00E76B2D" w:rsidRPr="004542B5">
        <w:rPr>
          <w:noProof w:val="0"/>
          <w:szCs w:val="20"/>
          <w:lang w:val="en-US"/>
        </w:rPr>
        <w:t xml:space="preserve"> (</w:t>
      </w:r>
      <w:r w:rsidR="000171B9" w:rsidRPr="004542B5">
        <w:rPr>
          <w:noProof w:val="0"/>
          <w:szCs w:val="20"/>
          <w:lang w:val="en-US"/>
        </w:rPr>
        <w:t>underlining added</w:t>
      </w:r>
      <w:r w:rsidR="00E76B2D" w:rsidRPr="004542B5">
        <w:rPr>
          <w:noProof w:val="0"/>
          <w:szCs w:val="20"/>
          <w:lang w:val="en-US"/>
        </w:rPr>
        <w:t>).</w:t>
      </w:r>
    </w:p>
    <w:p w14:paraId="2F7AB51A" w14:textId="77777777" w:rsidR="00F66B76" w:rsidRPr="004542B5" w:rsidRDefault="00F66B76" w:rsidP="00F66B76">
      <w:pPr>
        <w:pStyle w:val="ListParagraph"/>
        <w:ind w:left="0"/>
        <w:rPr>
          <w:noProof w:val="0"/>
          <w:szCs w:val="20"/>
          <w:lang w:val="en-US"/>
        </w:rPr>
      </w:pPr>
    </w:p>
    <w:p w14:paraId="20AF1901" w14:textId="3681A58E" w:rsidR="00E76B2D" w:rsidRPr="004542B5" w:rsidRDefault="00F66B76" w:rsidP="00E76B2D">
      <w:pPr>
        <w:pStyle w:val="ListParagraph"/>
        <w:numPr>
          <w:ilvl w:val="0"/>
          <w:numId w:val="60"/>
        </w:numPr>
        <w:ind w:left="0" w:firstLine="0"/>
        <w:rPr>
          <w:noProof w:val="0"/>
          <w:szCs w:val="20"/>
          <w:lang w:val="en-US"/>
        </w:rPr>
      </w:pPr>
      <w:r w:rsidRPr="004542B5">
        <w:rPr>
          <w:noProof w:val="0"/>
          <w:szCs w:val="20"/>
          <w:lang w:val="en-US"/>
        </w:rPr>
        <w:t xml:space="preserve">For greater clarity, this opinion is divided into the following sections: </w:t>
      </w:r>
      <w:r w:rsidR="00E76B2D" w:rsidRPr="004542B5">
        <w:rPr>
          <w:noProof w:val="0"/>
          <w:szCs w:val="20"/>
          <w:lang w:val="en-US"/>
        </w:rPr>
        <w:t xml:space="preserve">(i) </w:t>
      </w:r>
      <w:r w:rsidRPr="004542B5">
        <w:rPr>
          <w:noProof w:val="0"/>
          <w:szCs w:val="20"/>
          <w:lang w:val="en-US"/>
        </w:rPr>
        <w:t>Jurisprudential development</w:t>
      </w:r>
      <w:r w:rsidR="00E76B2D" w:rsidRPr="004542B5">
        <w:rPr>
          <w:noProof w:val="0"/>
          <w:szCs w:val="20"/>
          <w:lang w:val="en-US"/>
        </w:rPr>
        <w:t xml:space="preserve"> </w:t>
      </w:r>
      <w:r w:rsidR="00E04132" w:rsidRPr="004542B5">
        <w:rPr>
          <w:noProof w:val="0"/>
          <w:szCs w:val="20"/>
          <w:lang w:val="en-US"/>
        </w:rPr>
        <w:t>of Article</w:t>
      </w:r>
      <w:r w:rsidR="00E76B2D" w:rsidRPr="004542B5">
        <w:rPr>
          <w:noProof w:val="0"/>
          <w:szCs w:val="20"/>
          <w:lang w:val="en-US"/>
        </w:rPr>
        <w:t xml:space="preserve"> 21</w:t>
      </w:r>
      <w:r w:rsidR="008A56D7" w:rsidRPr="004542B5">
        <w:rPr>
          <w:noProof w:val="0"/>
          <w:szCs w:val="20"/>
          <w:lang w:val="en-US"/>
        </w:rPr>
        <w:t xml:space="preserve"> of the </w:t>
      </w:r>
      <w:r w:rsidR="00562CBB" w:rsidRPr="004542B5">
        <w:rPr>
          <w:noProof w:val="0"/>
          <w:szCs w:val="20"/>
          <w:lang w:val="en-US"/>
        </w:rPr>
        <w:t>American Convention</w:t>
      </w:r>
      <w:r w:rsidRPr="004542B5">
        <w:rPr>
          <w:noProof w:val="0"/>
          <w:szCs w:val="20"/>
          <w:lang w:val="en-US"/>
        </w:rPr>
        <w:t xml:space="preserve"> from the perspective of collective ownership by indigenous peoples</w:t>
      </w:r>
      <w:r w:rsidR="00E76B2D" w:rsidRPr="004542B5">
        <w:rPr>
          <w:noProof w:val="0"/>
          <w:szCs w:val="20"/>
          <w:lang w:val="en-US"/>
        </w:rPr>
        <w:t xml:space="preserve"> (</w:t>
      </w:r>
      <w:r w:rsidRPr="004542B5">
        <w:rPr>
          <w:noProof w:val="0"/>
          <w:szCs w:val="20"/>
          <w:lang w:val="en-US"/>
        </w:rPr>
        <w:t>paras.</w:t>
      </w:r>
      <w:r w:rsidR="00E76B2D" w:rsidRPr="004542B5">
        <w:rPr>
          <w:noProof w:val="0"/>
          <w:szCs w:val="20"/>
          <w:lang w:val="en-US"/>
        </w:rPr>
        <w:t xml:space="preserve"> 6 </w:t>
      </w:r>
      <w:r w:rsidRPr="004542B5">
        <w:rPr>
          <w:noProof w:val="0"/>
          <w:szCs w:val="20"/>
          <w:lang w:val="en-US"/>
        </w:rPr>
        <w:t>to</w:t>
      </w:r>
      <w:r w:rsidR="00E76B2D" w:rsidRPr="004542B5">
        <w:rPr>
          <w:noProof w:val="0"/>
          <w:szCs w:val="20"/>
          <w:lang w:val="en-US"/>
        </w:rPr>
        <w:t xml:space="preserve"> 19); (ii) </w:t>
      </w:r>
      <w:r w:rsidRPr="004542B5">
        <w:rPr>
          <w:noProof w:val="0"/>
          <w:szCs w:val="20"/>
          <w:lang w:val="en-US"/>
        </w:rPr>
        <w:t xml:space="preserve">The limits to the right to collective ownership by indigenous peoples under the inter-American system </w:t>
      </w:r>
      <w:r w:rsidR="00E76B2D" w:rsidRPr="004542B5">
        <w:rPr>
          <w:noProof w:val="0"/>
          <w:szCs w:val="20"/>
          <w:lang w:val="en-US"/>
        </w:rPr>
        <w:t>(</w:t>
      </w:r>
      <w:r w:rsidRPr="004542B5">
        <w:rPr>
          <w:noProof w:val="0"/>
          <w:szCs w:val="20"/>
          <w:lang w:val="en-US"/>
        </w:rPr>
        <w:t>paras.</w:t>
      </w:r>
      <w:r w:rsidR="00E76B2D" w:rsidRPr="004542B5">
        <w:rPr>
          <w:noProof w:val="0"/>
          <w:szCs w:val="20"/>
          <w:lang w:val="en-US"/>
        </w:rPr>
        <w:t xml:space="preserve"> 20 </w:t>
      </w:r>
      <w:r w:rsidRPr="004542B5">
        <w:rPr>
          <w:noProof w:val="0"/>
          <w:szCs w:val="20"/>
          <w:lang w:val="en-US"/>
        </w:rPr>
        <w:t>to</w:t>
      </w:r>
      <w:r w:rsidR="00E76B2D" w:rsidRPr="004542B5">
        <w:rPr>
          <w:noProof w:val="0"/>
          <w:szCs w:val="20"/>
          <w:lang w:val="en-US"/>
        </w:rPr>
        <w:t xml:space="preserve"> 30); (iii) </w:t>
      </w:r>
      <w:r w:rsidRPr="004542B5">
        <w:rPr>
          <w:noProof w:val="0"/>
          <w:szCs w:val="20"/>
          <w:lang w:val="en-US"/>
        </w:rPr>
        <w:t>The right to payment of just compensation in cases of expropriation as a continu</w:t>
      </w:r>
      <w:r w:rsidR="0084553D" w:rsidRPr="004542B5">
        <w:rPr>
          <w:noProof w:val="0"/>
          <w:szCs w:val="20"/>
          <w:lang w:val="en-US"/>
        </w:rPr>
        <w:t>ing</w:t>
      </w:r>
      <w:r w:rsidRPr="004542B5">
        <w:rPr>
          <w:noProof w:val="0"/>
          <w:szCs w:val="20"/>
          <w:lang w:val="en-US"/>
        </w:rPr>
        <w:t xml:space="preserve"> violation </w:t>
      </w:r>
      <w:r w:rsidR="00E76B2D" w:rsidRPr="004542B5">
        <w:rPr>
          <w:noProof w:val="0"/>
          <w:szCs w:val="20"/>
          <w:lang w:val="en-US"/>
        </w:rPr>
        <w:t>(</w:t>
      </w:r>
      <w:r w:rsidRPr="004542B5">
        <w:rPr>
          <w:noProof w:val="0"/>
          <w:szCs w:val="20"/>
          <w:lang w:val="en-US"/>
        </w:rPr>
        <w:t>paras.</w:t>
      </w:r>
      <w:r w:rsidR="00E76B2D" w:rsidRPr="004542B5">
        <w:rPr>
          <w:noProof w:val="0"/>
          <w:szCs w:val="20"/>
          <w:lang w:val="en-US"/>
        </w:rPr>
        <w:t xml:space="preserve"> 31 </w:t>
      </w:r>
      <w:r w:rsidRPr="004542B5">
        <w:rPr>
          <w:noProof w:val="0"/>
          <w:szCs w:val="20"/>
          <w:lang w:val="en-US"/>
        </w:rPr>
        <w:t>to</w:t>
      </w:r>
      <w:r w:rsidR="00E76B2D" w:rsidRPr="004542B5">
        <w:rPr>
          <w:noProof w:val="0"/>
          <w:szCs w:val="20"/>
          <w:lang w:val="en-US"/>
        </w:rPr>
        <w:t xml:space="preserve"> 51)</w:t>
      </w:r>
      <w:r w:rsidRPr="004542B5">
        <w:rPr>
          <w:noProof w:val="0"/>
          <w:szCs w:val="20"/>
          <w:lang w:val="en-US"/>
        </w:rPr>
        <w:t>,</w:t>
      </w:r>
      <w:r w:rsidR="00CD2B90" w:rsidRPr="004542B5">
        <w:rPr>
          <w:noProof w:val="0"/>
          <w:szCs w:val="20"/>
          <w:lang w:val="en-US"/>
        </w:rPr>
        <w:t xml:space="preserve"> and </w:t>
      </w:r>
      <w:r w:rsidR="00E76B2D" w:rsidRPr="004542B5">
        <w:rPr>
          <w:noProof w:val="0"/>
          <w:szCs w:val="20"/>
          <w:lang w:val="en-US"/>
        </w:rPr>
        <w:t xml:space="preserve">(iv) </w:t>
      </w:r>
      <w:r w:rsidRPr="004542B5">
        <w:rPr>
          <w:noProof w:val="0"/>
          <w:szCs w:val="20"/>
          <w:lang w:val="en-US"/>
        </w:rPr>
        <w:t>The failure to pay compensation as a continu</w:t>
      </w:r>
      <w:r w:rsidR="0084553D" w:rsidRPr="004542B5">
        <w:rPr>
          <w:noProof w:val="0"/>
          <w:szCs w:val="20"/>
          <w:lang w:val="en-US"/>
        </w:rPr>
        <w:t>ing</w:t>
      </w:r>
      <w:r w:rsidRPr="004542B5">
        <w:rPr>
          <w:noProof w:val="0"/>
          <w:szCs w:val="20"/>
          <w:lang w:val="en-US"/>
        </w:rPr>
        <w:t xml:space="preserve"> violation in the case of the Kuna indigenous communities of </w:t>
      </w:r>
      <w:r w:rsidR="00E76B2D" w:rsidRPr="004542B5">
        <w:rPr>
          <w:noProof w:val="0"/>
          <w:szCs w:val="20"/>
          <w:lang w:val="en-US"/>
        </w:rPr>
        <w:t>Madungandí</w:t>
      </w:r>
      <w:r w:rsidR="00CD2B90" w:rsidRPr="004542B5">
        <w:rPr>
          <w:noProof w:val="0"/>
          <w:szCs w:val="20"/>
          <w:lang w:val="en-US"/>
        </w:rPr>
        <w:t xml:space="preserve"> and </w:t>
      </w:r>
      <w:r w:rsidRPr="004542B5">
        <w:rPr>
          <w:noProof w:val="0"/>
          <w:szCs w:val="20"/>
          <w:lang w:val="en-US"/>
        </w:rPr>
        <w:t xml:space="preserve">the </w:t>
      </w:r>
      <w:r w:rsidR="00E76B2D" w:rsidRPr="004542B5">
        <w:rPr>
          <w:noProof w:val="0"/>
          <w:szCs w:val="20"/>
          <w:lang w:val="en-US"/>
        </w:rPr>
        <w:t xml:space="preserve">Emberá </w:t>
      </w:r>
      <w:r w:rsidRPr="004542B5">
        <w:rPr>
          <w:noProof w:val="0"/>
          <w:szCs w:val="20"/>
          <w:lang w:val="en-US"/>
        </w:rPr>
        <w:t>indigenous communities of</w:t>
      </w:r>
      <w:r w:rsidR="00E76B2D" w:rsidRPr="004542B5">
        <w:rPr>
          <w:noProof w:val="0"/>
          <w:szCs w:val="20"/>
          <w:lang w:val="en-US"/>
        </w:rPr>
        <w:t xml:space="preserve"> Bayano (</w:t>
      </w:r>
      <w:r w:rsidRPr="004542B5">
        <w:rPr>
          <w:noProof w:val="0"/>
          <w:szCs w:val="20"/>
          <w:lang w:val="en-US"/>
        </w:rPr>
        <w:t>paras.</w:t>
      </w:r>
      <w:r w:rsidR="00E76B2D" w:rsidRPr="004542B5">
        <w:rPr>
          <w:noProof w:val="0"/>
          <w:szCs w:val="20"/>
          <w:lang w:val="en-US"/>
        </w:rPr>
        <w:t xml:space="preserve"> 52 </w:t>
      </w:r>
      <w:r w:rsidRPr="004542B5">
        <w:rPr>
          <w:noProof w:val="0"/>
          <w:szCs w:val="20"/>
          <w:lang w:val="en-US"/>
        </w:rPr>
        <w:t>to</w:t>
      </w:r>
      <w:r w:rsidR="00E76B2D" w:rsidRPr="004542B5">
        <w:rPr>
          <w:noProof w:val="0"/>
          <w:szCs w:val="20"/>
          <w:lang w:val="en-US"/>
        </w:rPr>
        <w:t xml:space="preserve"> 78).</w:t>
      </w:r>
    </w:p>
    <w:p w14:paraId="25B24EE9" w14:textId="0ECBBAF8" w:rsidR="00DD2C60" w:rsidRPr="004542B5" w:rsidRDefault="00DD2C60" w:rsidP="00D57D3F">
      <w:pPr>
        <w:rPr>
          <w:noProof w:val="0"/>
          <w:szCs w:val="20"/>
          <w:lang w:val="en-US"/>
        </w:rPr>
      </w:pPr>
    </w:p>
    <w:p w14:paraId="326E6205" w14:textId="77777777" w:rsidR="00DD2C60" w:rsidRPr="004542B5" w:rsidRDefault="00DD2C60" w:rsidP="00DD2C60">
      <w:pPr>
        <w:pStyle w:val="ListParagraph"/>
        <w:ind w:left="0"/>
        <w:rPr>
          <w:noProof w:val="0"/>
          <w:szCs w:val="20"/>
          <w:lang w:val="en-US"/>
        </w:rPr>
      </w:pPr>
    </w:p>
    <w:p w14:paraId="4FB31A54" w14:textId="77777777" w:rsidR="00DD2C60" w:rsidRPr="004542B5" w:rsidRDefault="00DD2C60" w:rsidP="00DD2C60">
      <w:pPr>
        <w:pStyle w:val="ListParagraph"/>
        <w:ind w:left="0"/>
        <w:jc w:val="center"/>
        <w:rPr>
          <w:b/>
          <w:caps/>
          <w:noProof w:val="0"/>
          <w:szCs w:val="20"/>
          <w:lang w:val="en-US"/>
        </w:rPr>
      </w:pPr>
      <w:r w:rsidRPr="004542B5">
        <w:rPr>
          <w:b/>
          <w:caps/>
          <w:noProof w:val="0"/>
          <w:szCs w:val="20"/>
          <w:lang w:val="en-US"/>
        </w:rPr>
        <w:t xml:space="preserve">I. JURISPRUDENTIAL DEVELOPMENT of Article 21 of the American Convention FROM THE PERSPECTIVE OF COLLECTIVE OWNERSHIP BY INDIGENOUS PEOPLES </w:t>
      </w:r>
    </w:p>
    <w:p w14:paraId="38D08440" w14:textId="77777777" w:rsidR="00DD2C60" w:rsidRPr="004542B5" w:rsidRDefault="00DD2C60" w:rsidP="00DD2C60">
      <w:pPr>
        <w:pStyle w:val="ListParagraph"/>
        <w:rPr>
          <w:noProof w:val="0"/>
          <w:szCs w:val="20"/>
          <w:lang w:val="en-US"/>
        </w:rPr>
      </w:pPr>
    </w:p>
    <w:p w14:paraId="3354391F" w14:textId="1F51297E" w:rsidR="00E76B2D" w:rsidRPr="004542B5" w:rsidRDefault="00DD2C60" w:rsidP="00DD2C60">
      <w:pPr>
        <w:pStyle w:val="ListParagraph"/>
        <w:numPr>
          <w:ilvl w:val="0"/>
          <w:numId w:val="60"/>
        </w:numPr>
        <w:ind w:left="0" w:firstLine="0"/>
        <w:rPr>
          <w:noProof w:val="0"/>
          <w:szCs w:val="20"/>
          <w:lang w:val="en-US"/>
        </w:rPr>
      </w:pPr>
      <w:r w:rsidRPr="004542B5">
        <w:rPr>
          <w:noProof w:val="0"/>
          <w:szCs w:val="20"/>
          <w:lang w:val="en-US"/>
        </w:rPr>
        <w:t>During the preparatory work on the American Convention on Human Rights the phrase “[e]veryone has the right to private property, but the law may subordinate its use and enjoyment to public interest”</w:t>
      </w:r>
      <w:r w:rsidR="00583B9D" w:rsidRPr="004542B5">
        <w:rPr>
          <w:noProof w:val="0"/>
          <w:szCs w:val="20"/>
          <w:lang w:val="en-US"/>
        </w:rPr>
        <w:t xml:space="preserve"> was replaced</w:t>
      </w:r>
      <w:r w:rsidRPr="004542B5">
        <w:rPr>
          <w:noProof w:val="0"/>
          <w:szCs w:val="20"/>
          <w:lang w:val="en-US"/>
        </w:rPr>
        <w:t xml:space="preserve"> by that of “</w:t>
      </w:r>
      <w:r w:rsidRPr="004542B5">
        <w:rPr>
          <w:noProof w:val="0"/>
          <w:spacing w:val="-3"/>
          <w:szCs w:val="20"/>
          <w:lang w:val="en-US"/>
        </w:rPr>
        <w:t>[e]veryone has the right to the use and enjoyment of his property. The law may subordinate such use and enjoyment to the interest of society.” In other words, it was chosen to refer to “the use and enjoyment of his property [possessions]” instead of “private property.”</w:t>
      </w:r>
      <w:r w:rsidR="00E76B2D" w:rsidRPr="004542B5">
        <w:rPr>
          <w:rStyle w:val="FootnoteReference"/>
          <w:noProof w:val="0"/>
          <w:lang w:val="en-US"/>
        </w:rPr>
        <w:footnoteReference w:id="279"/>
      </w:r>
      <w:r w:rsidR="00E76B2D" w:rsidRPr="004542B5">
        <w:rPr>
          <w:b/>
          <w:noProof w:val="0"/>
          <w:szCs w:val="20"/>
          <w:lang w:val="en-US"/>
        </w:rPr>
        <w:t xml:space="preserve"> </w:t>
      </w:r>
    </w:p>
    <w:p w14:paraId="41202650" w14:textId="77777777" w:rsidR="00E76B2D" w:rsidRPr="004542B5" w:rsidRDefault="00E76B2D" w:rsidP="00E76B2D">
      <w:pPr>
        <w:rPr>
          <w:b/>
          <w:noProof w:val="0"/>
          <w:szCs w:val="20"/>
          <w:lang w:val="en-US"/>
        </w:rPr>
      </w:pPr>
    </w:p>
    <w:p w14:paraId="5D5E8B68" w14:textId="3E4BBF0F" w:rsidR="00E76B2D" w:rsidRPr="004542B5" w:rsidRDefault="00342385" w:rsidP="00DD2C60">
      <w:pPr>
        <w:pStyle w:val="ListParagraph"/>
        <w:numPr>
          <w:ilvl w:val="0"/>
          <w:numId w:val="60"/>
        </w:numPr>
        <w:ind w:left="0" w:firstLine="0"/>
        <w:rPr>
          <w:b/>
          <w:noProof w:val="0"/>
          <w:szCs w:val="20"/>
          <w:lang w:val="en-US"/>
        </w:rPr>
      </w:pPr>
      <w:r w:rsidRPr="004542B5">
        <w:rPr>
          <w:noProof w:val="0"/>
          <w:szCs w:val="20"/>
          <w:lang w:val="en-US"/>
        </w:rPr>
        <w:t>Article</w:t>
      </w:r>
      <w:r w:rsidR="00E76B2D" w:rsidRPr="004542B5">
        <w:rPr>
          <w:noProof w:val="0"/>
          <w:szCs w:val="20"/>
          <w:lang w:val="en-US"/>
        </w:rPr>
        <w:t xml:space="preserve"> 21</w:t>
      </w:r>
      <w:r w:rsidR="008A56D7" w:rsidRPr="004542B5">
        <w:rPr>
          <w:noProof w:val="0"/>
          <w:szCs w:val="20"/>
          <w:lang w:val="en-US"/>
        </w:rPr>
        <w:t xml:space="preserve"> of the </w:t>
      </w:r>
      <w:r w:rsidR="00562CBB" w:rsidRPr="004542B5">
        <w:rPr>
          <w:noProof w:val="0"/>
          <w:szCs w:val="20"/>
          <w:lang w:val="en-US"/>
        </w:rPr>
        <w:t>American Convention</w:t>
      </w:r>
      <w:r w:rsidR="00E76B2D" w:rsidRPr="004542B5">
        <w:rPr>
          <w:noProof w:val="0"/>
          <w:szCs w:val="20"/>
          <w:lang w:val="en-US"/>
        </w:rPr>
        <w:t xml:space="preserve"> reco</w:t>
      </w:r>
      <w:r w:rsidR="000171B9" w:rsidRPr="004542B5">
        <w:rPr>
          <w:noProof w:val="0"/>
          <w:szCs w:val="20"/>
          <w:lang w:val="en-US"/>
        </w:rPr>
        <w:t>gnizes the right to property. In this regard, it establishes: (</w:t>
      </w:r>
      <w:r w:rsidR="00E76B2D" w:rsidRPr="004542B5">
        <w:rPr>
          <w:noProof w:val="0"/>
          <w:szCs w:val="20"/>
          <w:u w:val="single"/>
          <w:lang w:val="en-US"/>
        </w:rPr>
        <w:t xml:space="preserve">a) </w:t>
      </w:r>
      <w:r w:rsidR="000171B9" w:rsidRPr="004542B5">
        <w:rPr>
          <w:noProof w:val="0"/>
          <w:szCs w:val="20"/>
          <w:u w:val="single"/>
          <w:lang w:val="en-US"/>
        </w:rPr>
        <w:t>that</w:t>
      </w:r>
      <w:r w:rsidR="00E76B2D" w:rsidRPr="004542B5">
        <w:rPr>
          <w:noProof w:val="0"/>
          <w:szCs w:val="20"/>
          <w:u w:val="single"/>
          <w:lang w:val="en-US"/>
        </w:rPr>
        <w:t xml:space="preserve"> “[</w:t>
      </w:r>
      <w:r w:rsidR="000171B9" w:rsidRPr="004542B5">
        <w:rPr>
          <w:noProof w:val="0"/>
          <w:szCs w:val="20"/>
          <w:u w:val="single"/>
          <w:lang w:val="en-US"/>
        </w:rPr>
        <w:t>e</w:t>
      </w:r>
      <w:r w:rsidR="00E76B2D" w:rsidRPr="004542B5">
        <w:rPr>
          <w:noProof w:val="0"/>
          <w:szCs w:val="20"/>
          <w:u w:val="single"/>
          <w:lang w:val="en-US"/>
        </w:rPr>
        <w:t>]</w:t>
      </w:r>
      <w:r w:rsidR="000171B9" w:rsidRPr="004542B5">
        <w:rPr>
          <w:noProof w:val="0"/>
          <w:spacing w:val="-3"/>
          <w:szCs w:val="20"/>
          <w:u w:val="single"/>
          <w:lang w:val="en-US"/>
        </w:rPr>
        <w:t>veryone has the right to the use and enjoyment of his property;</w:t>
      </w:r>
      <w:r w:rsidR="00E76B2D" w:rsidRPr="004542B5">
        <w:rPr>
          <w:noProof w:val="0"/>
          <w:szCs w:val="20"/>
          <w:u w:val="single"/>
          <w:lang w:val="en-US"/>
        </w:rPr>
        <w:t xml:space="preserve"> </w:t>
      </w:r>
      <w:r w:rsidR="000171B9" w:rsidRPr="004542B5">
        <w:rPr>
          <w:noProof w:val="0"/>
          <w:szCs w:val="20"/>
          <w:lang w:val="en-US"/>
        </w:rPr>
        <w:t>(</w:t>
      </w:r>
      <w:r w:rsidR="00E76B2D" w:rsidRPr="004542B5">
        <w:rPr>
          <w:noProof w:val="0"/>
          <w:szCs w:val="20"/>
          <w:lang w:val="en-US"/>
        </w:rPr>
        <w:t xml:space="preserve">b) </w:t>
      </w:r>
      <w:r w:rsidR="000171B9" w:rsidRPr="004542B5">
        <w:rPr>
          <w:noProof w:val="0"/>
          <w:szCs w:val="20"/>
          <w:lang w:val="en-US"/>
        </w:rPr>
        <w:t>that t</w:t>
      </w:r>
      <w:r w:rsidR="000171B9" w:rsidRPr="004542B5">
        <w:rPr>
          <w:noProof w:val="0"/>
          <w:spacing w:val="-3"/>
          <w:szCs w:val="20"/>
          <w:lang w:val="en-US"/>
        </w:rPr>
        <w:t>he law may subordinate such use and enjoyment to the “interest of society”</w:t>
      </w:r>
      <w:r w:rsidR="000171B9" w:rsidRPr="004542B5">
        <w:rPr>
          <w:noProof w:val="0"/>
          <w:szCs w:val="20"/>
          <w:lang w:val="en-US"/>
        </w:rPr>
        <w:t>; (</w:t>
      </w:r>
      <w:r w:rsidR="00E76B2D" w:rsidRPr="004542B5">
        <w:rPr>
          <w:noProof w:val="0"/>
          <w:szCs w:val="20"/>
          <w:lang w:val="en-US"/>
        </w:rPr>
        <w:t>c)</w:t>
      </w:r>
      <w:r w:rsidR="00E76B2D" w:rsidRPr="004542B5">
        <w:rPr>
          <w:noProof w:val="0"/>
          <w:szCs w:val="20"/>
          <w:u w:val="single"/>
          <w:lang w:val="en-US"/>
        </w:rPr>
        <w:t xml:space="preserve"> </w:t>
      </w:r>
      <w:r w:rsidR="000171B9" w:rsidRPr="004542B5">
        <w:rPr>
          <w:noProof w:val="0"/>
          <w:szCs w:val="20"/>
          <w:u w:val="single"/>
          <w:lang w:val="en-US"/>
        </w:rPr>
        <w:t xml:space="preserve">that a person may be deprived of his property for reasons of “public utility or social interest </w:t>
      </w:r>
      <w:r w:rsidR="000171B9" w:rsidRPr="004542B5">
        <w:rPr>
          <w:noProof w:val="0"/>
          <w:spacing w:val="-3"/>
          <w:szCs w:val="20"/>
          <w:u w:val="single"/>
          <w:lang w:val="en-US"/>
        </w:rPr>
        <w:t>and in the cases and according to the forms established by law”</w:t>
      </w:r>
      <w:r w:rsidR="000171B9" w:rsidRPr="004542B5">
        <w:rPr>
          <w:noProof w:val="0"/>
          <w:spacing w:val="-3"/>
          <w:szCs w:val="20"/>
          <w:lang w:val="en-US"/>
        </w:rPr>
        <w:t xml:space="preserve">; and (d) </w:t>
      </w:r>
      <w:r w:rsidR="00CB2C8C" w:rsidRPr="004542B5">
        <w:rPr>
          <w:noProof w:val="0"/>
          <w:spacing w:val="-3"/>
          <w:szCs w:val="20"/>
          <w:u w:val="single"/>
          <w:lang w:val="en-US"/>
        </w:rPr>
        <w:t>this deprivation shall be made upon payment of just compensation</w:t>
      </w:r>
      <w:r w:rsidR="00E76B2D" w:rsidRPr="004542B5">
        <w:rPr>
          <w:rStyle w:val="FootnoteReference"/>
          <w:noProof w:val="0"/>
          <w:lang w:val="en-US"/>
        </w:rPr>
        <w:footnoteReference w:id="280"/>
      </w:r>
      <w:r w:rsidR="00E76B2D" w:rsidRPr="004542B5">
        <w:rPr>
          <w:noProof w:val="0"/>
          <w:szCs w:val="20"/>
          <w:lang w:val="en-US"/>
        </w:rPr>
        <w:t xml:space="preserve"> (</w:t>
      </w:r>
      <w:r w:rsidR="00583B9D" w:rsidRPr="004542B5">
        <w:rPr>
          <w:noProof w:val="0"/>
          <w:szCs w:val="20"/>
          <w:lang w:val="en-US"/>
        </w:rPr>
        <w:t>u</w:t>
      </w:r>
      <w:r w:rsidR="00CB2C8C" w:rsidRPr="004542B5">
        <w:rPr>
          <w:noProof w:val="0"/>
          <w:szCs w:val="20"/>
          <w:lang w:val="en-US"/>
        </w:rPr>
        <w:t>nderlining added).</w:t>
      </w:r>
    </w:p>
    <w:p w14:paraId="2AE85CCC" w14:textId="77777777" w:rsidR="00CB2C8C" w:rsidRPr="004542B5" w:rsidRDefault="00CB2C8C" w:rsidP="00CB2C8C">
      <w:pPr>
        <w:pStyle w:val="ListParagraph"/>
        <w:ind w:left="0"/>
        <w:rPr>
          <w:b/>
          <w:noProof w:val="0"/>
          <w:szCs w:val="20"/>
          <w:lang w:val="en-US"/>
        </w:rPr>
      </w:pPr>
    </w:p>
    <w:p w14:paraId="0F16EACD" w14:textId="7944BBC6" w:rsidR="00E76B2D" w:rsidRPr="004542B5" w:rsidRDefault="00CB2C8C" w:rsidP="00F95CBA">
      <w:pPr>
        <w:pStyle w:val="ListParagraph"/>
        <w:numPr>
          <w:ilvl w:val="0"/>
          <w:numId w:val="60"/>
        </w:numPr>
        <w:autoSpaceDE w:val="0"/>
        <w:autoSpaceDN w:val="0"/>
        <w:adjustRightInd w:val="0"/>
        <w:ind w:left="0" w:right="49" w:firstLine="0"/>
        <w:rPr>
          <w:rFonts w:eastAsiaTheme="minorHAnsi" w:cs="Verdana"/>
          <w:noProof w:val="0"/>
          <w:szCs w:val="20"/>
          <w:lang w:val="en-US"/>
        </w:rPr>
      </w:pPr>
      <w:r w:rsidRPr="004542B5">
        <w:rPr>
          <w:rFonts w:eastAsiaTheme="minorHAnsi" w:cs="Verdana"/>
          <w:noProof w:val="0"/>
          <w:szCs w:val="20"/>
          <w:lang w:val="en-US"/>
        </w:rPr>
        <w:t xml:space="preserve">In its case law, the </w:t>
      </w:r>
      <w:r w:rsidR="00562CBB" w:rsidRPr="004542B5">
        <w:rPr>
          <w:rFonts w:eastAsiaTheme="minorHAnsi" w:cs="Verdana"/>
          <w:noProof w:val="0"/>
          <w:szCs w:val="20"/>
          <w:lang w:val="en-US"/>
        </w:rPr>
        <w:t>Court</w:t>
      </w:r>
      <w:r w:rsidR="00E76B2D" w:rsidRPr="004542B5">
        <w:rPr>
          <w:rFonts w:eastAsiaTheme="minorHAnsi" w:cs="Verdana"/>
          <w:noProof w:val="0"/>
          <w:szCs w:val="20"/>
          <w:lang w:val="en-US"/>
        </w:rPr>
        <w:t xml:space="preserve"> ha</w:t>
      </w:r>
      <w:r w:rsidRPr="004542B5">
        <w:rPr>
          <w:rFonts w:eastAsiaTheme="minorHAnsi" w:cs="Verdana"/>
          <w:noProof w:val="0"/>
          <w:szCs w:val="20"/>
          <w:lang w:val="en-US"/>
        </w:rPr>
        <w:t xml:space="preserve">s </w:t>
      </w:r>
      <w:r w:rsidR="006110CB" w:rsidRPr="004542B5">
        <w:rPr>
          <w:rFonts w:eastAsiaTheme="minorHAnsi" w:cs="Verdana"/>
          <w:noProof w:val="0"/>
          <w:szCs w:val="20"/>
          <w:lang w:val="en-US"/>
        </w:rPr>
        <w:t>developed</w:t>
      </w:r>
      <w:r w:rsidRPr="004542B5">
        <w:rPr>
          <w:rFonts w:eastAsiaTheme="minorHAnsi" w:cs="Verdana"/>
          <w:noProof w:val="0"/>
          <w:szCs w:val="20"/>
          <w:lang w:val="en-US"/>
        </w:rPr>
        <w:t xml:space="preserve"> a broad concept of property that includes, among other matters, the use and enjoyment of </w:t>
      </w:r>
      <w:r w:rsidR="0049337B" w:rsidRPr="004542B5">
        <w:rPr>
          <w:rFonts w:eastAsiaTheme="minorHAnsi" w:cs="Verdana"/>
          <w:noProof w:val="0"/>
          <w:szCs w:val="20"/>
          <w:lang w:val="en-US"/>
        </w:rPr>
        <w:t>possessions</w:t>
      </w:r>
      <w:r w:rsidRPr="004542B5">
        <w:rPr>
          <w:rFonts w:eastAsiaTheme="minorHAnsi" w:cs="Verdana"/>
          <w:noProof w:val="0"/>
          <w:szCs w:val="20"/>
          <w:lang w:val="en-US"/>
        </w:rPr>
        <w:t xml:space="preserve">, defined as </w:t>
      </w:r>
      <w:r w:rsidR="00E76B2D" w:rsidRPr="004542B5">
        <w:rPr>
          <w:rFonts w:eastAsiaTheme="minorHAnsi" w:cs="Verdana"/>
          <w:noProof w:val="0"/>
          <w:szCs w:val="20"/>
          <w:lang w:val="en-US"/>
        </w:rPr>
        <w:t xml:space="preserve"> </w:t>
      </w:r>
      <w:r w:rsidR="0049337B" w:rsidRPr="004542B5">
        <w:rPr>
          <w:rFonts w:eastAsiaTheme="minorHAnsi" w:cs="Verdana"/>
          <w:noProof w:val="0"/>
          <w:szCs w:val="20"/>
          <w:lang w:val="en-US"/>
        </w:rPr>
        <w:t xml:space="preserve">material goods that can be acquired, as well </w:t>
      </w:r>
      <w:r w:rsidR="00F95CBA" w:rsidRPr="004542B5">
        <w:rPr>
          <w:rFonts w:eastAsiaTheme="minorHAnsi" w:cs="Verdana"/>
          <w:noProof w:val="0"/>
          <w:szCs w:val="20"/>
          <w:lang w:val="en-US"/>
        </w:rPr>
        <w:t xml:space="preserve">as any right that may form part of </w:t>
      </w:r>
      <w:r w:rsidR="0049337B" w:rsidRPr="004542B5">
        <w:rPr>
          <w:rFonts w:eastAsiaTheme="minorHAnsi" w:cs="Verdana"/>
          <w:noProof w:val="0"/>
          <w:szCs w:val="20"/>
          <w:lang w:val="en-US"/>
        </w:rPr>
        <w:t xml:space="preserve">an individual’s net worth. </w:t>
      </w:r>
      <w:r w:rsidR="00F95CBA" w:rsidRPr="004542B5">
        <w:rPr>
          <w:rFonts w:eastAsiaTheme="minorHAnsi" w:cs="Verdana"/>
          <w:noProof w:val="0"/>
          <w:szCs w:val="20"/>
          <w:lang w:val="en-US"/>
        </w:rPr>
        <w:t xml:space="preserve">This concept includes all movable and immovable property, </w:t>
      </w:r>
      <w:r w:rsidR="0049337B" w:rsidRPr="004542B5">
        <w:rPr>
          <w:rFonts w:eastAsiaTheme="minorHAnsi" w:cs="Verdana"/>
          <w:noProof w:val="0"/>
          <w:szCs w:val="20"/>
          <w:lang w:val="en-US"/>
        </w:rPr>
        <w:t>corporeal and incorporeal</w:t>
      </w:r>
      <w:r w:rsidR="00F95CBA" w:rsidRPr="004542B5">
        <w:rPr>
          <w:rFonts w:eastAsiaTheme="minorHAnsi" w:cs="Verdana"/>
          <w:noProof w:val="0"/>
          <w:szCs w:val="20"/>
          <w:lang w:val="en-US"/>
        </w:rPr>
        <w:t xml:space="preserve"> elements and any other intangible object that </w:t>
      </w:r>
      <w:r w:rsidR="0049337B" w:rsidRPr="004542B5">
        <w:rPr>
          <w:rFonts w:eastAsiaTheme="minorHAnsi" w:cs="Verdana"/>
          <w:noProof w:val="0"/>
          <w:szCs w:val="20"/>
          <w:lang w:val="en-US"/>
        </w:rPr>
        <w:t>may have a</w:t>
      </w:r>
      <w:r w:rsidR="00F95CBA" w:rsidRPr="004542B5">
        <w:rPr>
          <w:rFonts w:eastAsiaTheme="minorHAnsi" w:cs="Verdana"/>
          <w:noProof w:val="0"/>
          <w:szCs w:val="20"/>
          <w:lang w:val="en-US"/>
        </w:rPr>
        <w:t xml:space="preserve"> value.</w:t>
      </w:r>
      <w:r w:rsidR="004A09DF" w:rsidRPr="004542B5">
        <w:rPr>
          <w:rStyle w:val="FootnoteReference"/>
          <w:noProof w:val="0"/>
          <w:lang w:val="en-US"/>
        </w:rPr>
        <w:footnoteReference w:id="281"/>
      </w:r>
    </w:p>
    <w:p w14:paraId="7D3A8207" w14:textId="77777777" w:rsidR="00E76B2D" w:rsidRPr="004542B5" w:rsidRDefault="00E76B2D" w:rsidP="00E76B2D">
      <w:pPr>
        <w:pStyle w:val="ListParagraph"/>
        <w:rPr>
          <w:b/>
          <w:noProof w:val="0"/>
          <w:szCs w:val="20"/>
          <w:lang w:val="en-US"/>
        </w:rPr>
      </w:pPr>
    </w:p>
    <w:p w14:paraId="489B324A" w14:textId="1FC68558" w:rsidR="00E76B2D" w:rsidRPr="004542B5" w:rsidRDefault="00342385" w:rsidP="00E76B2D">
      <w:pPr>
        <w:pStyle w:val="ListParagraph"/>
        <w:numPr>
          <w:ilvl w:val="0"/>
          <w:numId w:val="60"/>
        </w:numPr>
        <w:ind w:left="0" w:firstLine="0"/>
        <w:rPr>
          <w:b/>
          <w:noProof w:val="0"/>
          <w:szCs w:val="20"/>
          <w:lang w:val="en-US"/>
        </w:rPr>
      </w:pPr>
      <w:r w:rsidRPr="004542B5">
        <w:rPr>
          <w:noProof w:val="0"/>
          <w:szCs w:val="20"/>
          <w:lang w:val="en-US"/>
        </w:rPr>
        <w:t>Article</w:t>
      </w:r>
      <w:r w:rsidR="00E76B2D" w:rsidRPr="004542B5">
        <w:rPr>
          <w:noProof w:val="0"/>
          <w:szCs w:val="20"/>
          <w:lang w:val="en-US"/>
        </w:rPr>
        <w:t xml:space="preserve"> 21</w:t>
      </w:r>
      <w:r w:rsidR="008A56D7" w:rsidRPr="004542B5">
        <w:rPr>
          <w:noProof w:val="0"/>
          <w:szCs w:val="20"/>
          <w:lang w:val="en-US"/>
        </w:rPr>
        <w:t xml:space="preserve"> of the </w:t>
      </w:r>
      <w:r w:rsidR="00562CBB" w:rsidRPr="004542B5">
        <w:rPr>
          <w:noProof w:val="0"/>
          <w:szCs w:val="20"/>
          <w:lang w:val="en-US"/>
        </w:rPr>
        <w:t>Convention</w:t>
      </w:r>
      <w:r w:rsidR="00E76B2D" w:rsidRPr="004542B5">
        <w:rPr>
          <w:noProof w:val="0"/>
          <w:szCs w:val="20"/>
          <w:lang w:val="en-US"/>
        </w:rPr>
        <w:t xml:space="preserve"> </w:t>
      </w:r>
      <w:r w:rsidR="0049337B" w:rsidRPr="004542B5">
        <w:rPr>
          <w:noProof w:val="0"/>
          <w:szCs w:val="20"/>
          <w:lang w:val="en-US"/>
        </w:rPr>
        <w:t xml:space="preserve">provides a broad range of protection. In </w:t>
      </w:r>
      <w:r w:rsidR="006110CB" w:rsidRPr="004542B5">
        <w:rPr>
          <w:noProof w:val="0"/>
          <w:szCs w:val="20"/>
          <w:lang w:val="en-US"/>
        </w:rPr>
        <w:t>light</w:t>
      </w:r>
      <w:r w:rsidR="0049337B" w:rsidRPr="004542B5">
        <w:rPr>
          <w:noProof w:val="0"/>
          <w:szCs w:val="20"/>
          <w:lang w:val="en-US"/>
        </w:rPr>
        <w:t xml:space="preserve"> of this provision, the Inter-American Court has examined cases on </w:t>
      </w:r>
      <w:r w:rsidR="00E76B2D" w:rsidRPr="004542B5">
        <w:rPr>
          <w:noProof w:val="0"/>
          <w:szCs w:val="20"/>
          <w:lang w:val="en-US"/>
        </w:rPr>
        <w:t>pensions</w:t>
      </w:r>
      <w:r w:rsidR="0049337B" w:rsidRPr="004542B5">
        <w:rPr>
          <w:noProof w:val="0"/>
          <w:szCs w:val="20"/>
          <w:lang w:val="en-US"/>
        </w:rPr>
        <w:t>,</w:t>
      </w:r>
      <w:r w:rsidR="00E76B2D" w:rsidRPr="004542B5">
        <w:rPr>
          <w:rStyle w:val="FootnoteReference"/>
          <w:noProof w:val="0"/>
          <w:lang w:val="en-US"/>
        </w:rPr>
        <w:footnoteReference w:id="282"/>
      </w:r>
      <w:r w:rsidR="0049337B" w:rsidRPr="004542B5">
        <w:rPr>
          <w:noProof w:val="0"/>
          <w:szCs w:val="20"/>
          <w:lang w:val="en-US"/>
        </w:rPr>
        <w:t xml:space="preserve"> possessions seized at the time of </w:t>
      </w:r>
      <w:r w:rsidR="00B84783" w:rsidRPr="004542B5">
        <w:rPr>
          <w:noProof w:val="0"/>
          <w:szCs w:val="20"/>
          <w:lang w:val="en-US"/>
        </w:rPr>
        <w:t xml:space="preserve">a </w:t>
      </w:r>
      <w:r w:rsidR="0049337B" w:rsidRPr="004542B5">
        <w:rPr>
          <w:noProof w:val="0"/>
          <w:szCs w:val="20"/>
          <w:lang w:val="en-US"/>
        </w:rPr>
        <w:t>detention,</w:t>
      </w:r>
      <w:r w:rsidR="00E76B2D" w:rsidRPr="004542B5">
        <w:rPr>
          <w:rStyle w:val="FootnoteReference"/>
          <w:noProof w:val="0"/>
          <w:lang w:val="en-US"/>
        </w:rPr>
        <w:footnoteReference w:id="283"/>
      </w:r>
      <w:r w:rsidR="00E76B2D" w:rsidRPr="004542B5">
        <w:rPr>
          <w:noProof w:val="0"/>
          <w:szCs w:val="20"/>
          <w:lang w:val="en-US"/>
        </w:rPr>
        <w:t xml:space="preserve"> </w:t>
      </w:r>
      <w:r w:rsidR="00B84783" w:rsidRPr="004542B5">
        <w:rPr>
          <w:noProof w:val="0"/>
          <w:szCs w:val="20"/>
          <w:lang w:val="en-US"/>
        </w:rPr>
        <w:t>copyright,</w:t>
      </w:r>
      <w:r w:rsidR="00E76B2D" w:rsidRPr="004542B5">
        <w:rPr>
          <w:rStyle w:val="FootnoteReference"/>
          <w:noProof w:val="0"/>
          <w:lang w:val="en-US"/>
        </w:rPr>
        <w:footnoteReference w:id="284"/>
      </w:r>
      <w:r w:rsidR="00E76B2D" w:rsidRPr="004542B5">
        <w:rPr>
          <w:noProof w:val="0"/>
          <w:szCs w:val="20"/>
          <w:lang w:val="en-US"/>
        </w:rPr>
        <w:t xml:space="preserve"> </w:t>
      </w:r>
      <w:r w:rsidR="00B84783" w:rsidRPr="004542B5">
        <w:rPr>
          <w:noProof w:val="0"/>
          <w:szCs w:val="20"/>
          <w:lang w:val="en-US"/>
        </w:rPr>
        <w:t>return of property,</w:t>
      </w:r>
      <w:r w:rsidR="00E76B2D" w:rsidRPr="004542B5">
        <w:rPr>
          <w:rStyle w:val="FootnoteReference"/>
          <w:noProof w:val="0"/>
          <w:lang w:val="en-US"/>
        </w:rPr>
        <w:footnoteReference w:id="285"/>
      </w:r>
      <w:r w:rsidR="00E76B2D" w:rsidRPr="004542B5">
        <w:rPr>
          <w:noProof w:val="0"/>
          <w:szCs w:val="20"/>
          <w:lang w:val="en-US"/>
        </w:rPr>
        <w:t xml:space="preserve"> expr</w:t>
      </w:r>
      <w:r w:rsidR="00B84783" w:rsidRPr="004542B5">
        <w:rPr>
          <w:noProof w:val="0"/>
          <w:szCs w:val="20"/>
          <w:lang w:val="en-US"/>
        </w:rPr>
        <w:t>opriation</w:t>
      </w:r>
      <w:r w:rsidR="00E76B2D" w:rsidRPr="004542B5">
        <w:rPr>
          <w:noProof w:val="0"/>
          <w:szCs w:val="20"/>
          <w:lang w:val="en-US"/>
        </w:rPr>
        <w:t>s</w:t>
      </w:r>
      <w:r w:rsidR="00B84783" w:rsidRPr="004542B5">
        <w:rPr>
          <w:noProof w:val="0"/>
          <w:szCs w:val="20"/>
          <w:lang w:val="en-US"/>
        </w:rPr>
        <w:t>,</w:t>
      </w:r>
      <w:r w:rsidR="00E76B2D" w:rsidRPr="004542B5">
        <w:rPr>
          <w:rStyle w:val="FootnoteReference"/>
          <w:noProof w:val="0"/>
          <w:lang w:val="en-US"/>
        </w:rPr>
        <w:footnoteReference w:id="286"/>
      </w:r>
      <w:r w:rsidR="00E76B2D" w:rsidRPr="004542B5">
        <w:rPr>
          <w:noProof w:val="0"/>
          <w:szCs w:val="20"/>
          <w:lang w:val="en-US"/>
        </w:rPr>
        <w:t xml:space="preserve"> </w:t>
      </w:r>
      <w:r w:rsidR="00B84783" w:rsidRPr="004542B5">
        <w:rPr>
          <w:noProof w:val="0"/>
          <w:szCs w:val="20"/>
          <w:lang w:val="en-US"/>
        </w:rPr>
        <w:t xml:space="preserve">a </w:t>
      </w:r>
      <w:r w:rsidR="00E76B2D" w:rsidRPr="004542B5">
        <w:rPr>
          <w:noProof w:val="0"/>
          <w:szCs w:val="20"/>
          <w:lang w:val="en-US"/>
        </w:rPr>
        <w:t>salar</w:t>
      </w:r>
      <w:r w:rsidR="00B84783" w:rsidRPr="004542B5">
        <w:rPr>
          <w:noProof w:val="0"/>
          <w:szCs w:val="20"/>
          <w:lang w:val="en-US"/>
        </w:rPr>
        <w:t>y scale system,</w:t>
      </w:r>
      <w:r w:rsidR="00E76B2D" w:rsidRPr="004542B5">
        <w:rPr>
          <w:rStyle w:val="FootnoteReference"/>
          <w:noProof w:val="0"/>
          <w:lang w:val="en-US"/>
        </w:rPr>
        <w:footnoteReference w:id="287"/>
      </w:r>
      <w:r w:rsidR="00E76B2D" w:rsidRPr="004542B5">
        <w:rPr>
          <w:noProof w:val="0"/>
          <w:szCs w:val="20"/>
          <w:lang w:val="en-US"/>
        </w:rPr>
        <w:t xml:space="preserve"> s</w:t>
      </w:r>
      <w:r w:rsidR="00B84783" w:rsidRPr="004542B5">
        <w:rPr>
          <w:noProof w:val="0"/>
          <w:szCs w:val="20"/>
          <w:lang w:val="en-US"/>
        </w:rPr>
        <w:t>eizure and destruction of possessions,</w:t>
      </w:r>
      <w:r w:rsidR="00E76B2D" w:rsidRPr="004542B5">
        <w:rPr>
          <w:rStyle w:val="FootnoteReference"/>
          <w:noProof w:val="0"/>
          <w:lang w:val="en-US"/>
        </w:rPr>
        <w:footnoteReference w:id="288"/>
      </w:r>
      <w:r w:rsidR="00E76B2D" w:rsidRPr="004542B5">
        <w:rPr>
          <w:noProof w:val="0"/>
          <w:szCs w:val="20"/>
          <w:lang w:val="en-US"/>
        </w:rPr>
        <w:t xml:space="preserve"> </w:t>
      </w:r>
      <w:r w:rsidR="00B84783" w:rsidRPr="004542B5">
        <w:rPr>
          <w:noProof w:val="0"/>
          <w:szCs w:val="20"/>
          <w:lang w:val="en-US"/>
        </w:rPr>
        <w:t>payment of compensation,</w:t>
      </w:r>
      <w:r w:rsidR="00E76B2D" w:rsidRPr="004542B5">
        <w:rPr>
          <w:rStyle w:val="FootnoteReference"/>
          <w:noProof w:val="0"/>
          <w:lang w:val="en-US"/>
        </w:rPr>
        <w:footnoteReference w:id="289"/>
      </w:r>
      <w:r w:rsidR="00E76B2D" w:rsidRPr="004542B5">
        <w:rPr>
          <w:noProof w:val="0"/>
          <w:szCs w:val="20"/>
          <w:lang w:val="en-US"/>
        </w:rPr>
        <w:t xml:space="preserve"> </w:t>
      </w:r>
      <w:r w:rsidR="00B84783" w:rsidRPr="004542B5">
        <w:rPr>
          <w:noProof w:val="0"/>
          <w:szCs w:val="20"/>
          <w:lang w:val="en-US"/>
        </w:rPr>
        <w:t>loss of property owing to displacement,</w:t>
      </w:r>
      <w:r w:rsidR="00E76B2D" w:rsidRPr="004542B5">
        <w:rPr>
          <w:rStyle w:val="FootnoteReference"/>
          <w:noProof w:val="0"/>
          <w:lang w:val="en-US"/>
        </w:rPr>
        <w:footnoteReference w:id="290"/>
      </w:r>
      <w:r w:rsidR="00E76B2D" w:rsidRPr="004542B5">
        <w:rPr>
          <w:noProof w:val="0"/>
          <w:szCs w:val="20"/>
          <w:lang w:val="en-US"/>
        </w:rPr>
        <w:t xml:space="preserve"> </w:t>
      </w:r>
      <w:r w:rsidR="00B84783" w:rsidRPr="004542B5">
        <w:rPr>
          <w:noProof w:val="0"/>
          <w:szCs w:val="20"/>
          <w:lang w:val="en-US"/>
        </w:rPr>
        <w:t xml:space="preserve">property </w:t>
      </w:r>
      <w:r w:rsidR="00E76B2D" w:rsidRPr="004542B5">
        <w:rPr>
          <w:noProof w:val="0"/>
          <w:szCs w:val="20"/>
          <w:lang w:val="en-US"/>
        </w:rPr>
        <w:t>embarg</w:t>
      </w:r>
      <w:r w:rsidR="00B84783" w:rsidRPr="004542B5">
        <w:rPr>
          <w:noProof w:val="0"/>
          <w:szCs w:val="20"/>
          <w:lang w:val="en-US"/>
        </w:rPr>
        <w:t>o</w:t>
      </w:r>
      <w:r w:rsidR="00E76B2D" w:rsidRPr="004542B5">
        <w:rPr>
          <w:rStyle w:val="FootnoteReference"/>
          <w:noProof w:val="0"/>
          <w:lang w:val="en-US"/>
        </w:rPr>
        <w:footnoteReference w:id="291"/>
      </w:r>
      <w:r w:rsidR="00CD2B90" w:rsidRPr="004542B5">
        <w:rPr>
          <w:noProof w:val="0"/>
          <w:szCs w:val="20"/>
          <w:lang w:val="en-US"/>
        </w:rPr>
        <w:t xml:space="preserve"> and </w:t>
      </w:r>
      <w:r w:rsidR="00B84783" w:rsidRPr="004542B5">
        <w:rPr>
          <w:noProof w:val="0"/>
          <w:szCs w:val="20"/>
          <w:lang w:val="en-US"/>
        </w:rPr>
        <w:t>the collective property of indigenous and tribal peoples.</w:t>
      </w:r>
      <w:r w:rsidR="00E76B2D" w:rsidRPr="004542B5">
        <w:rPr>
          <w:rStyle w:val="FootnoteReference"/>
          <w:noProof w:val="0"/>
          <w:lang w:val="en-US"/>
        </w:rPr>
        <w:footnoteReference w:id="292"/>
      </w:r>
      <w:r w:rsidR="00E76B2D" w:rsidRPr="004542B5">
        <w:rPr>
          <w:noProof w:val="0"/>
          <w:szCs w:val="20"/>
          <w:lang w:val="en-US"/>
        </w:rPr>
        <w:t xml:space="preserve"> </w:t>
      </w:r>
    </w:p>
    <w:p w14:paraId="04E52285" w14:textId="77777777" w:rsidR="00E76B2D" w:rsidRPr="004542B5" w:rsidRDefault="00E76B2D" w:rsidP="00E76B2D">
      <w:pPr>
        <w:pStyle w:val="ListParagraph"/>
        <w:ind w:hanging="720"/>
        <w:rPr>
          <w:b/>
          <w:noProof w:val="0"/>
          <w:color w:val="FF0000"/>
          <w:szCs w:val="20"/>
          <w:lang w:val="en-US"/>
        </w:rPr>
      </w:pPr>
    </w:p>
    <w:p w14:paraId="6569EF6D" w14:textId="3407CEBA" w:rsidR="00E76B2D" w:rsidRPr="004542B5" w:rsidRDefault="00AC6BE0" w:rsidP="00AC6BE0">
      <w:pPr>
        <w:pStyle w:val="ListParagraph"/>
        <w:numPr>
          <w:ilvl w:val="0"/>
          <w:numId w:val="60"/>
        </w:numPr>
        <w:ind w:left="0" w:firstLine="0"/>
        <w:rPr>
          <w:b/>
          <w:noProof w:val="0"/>
          <w:color w:val="FF0000"/>
          <w:szCs w:val="20"/>
          <w:lang w:val="en-US"/>
        </w:rPr>
      </w:pPr>
      <w:r w:rsidRPr="004542B5">
        <w:rPr>
          <w:noProof w:val="0"/>
          <w:szCs w:val="20"/>
          <w:lang w:val="en-US"/>
        </w:rPr>
        <w:lastRenderedPageBreak/>
        <w:t>T</w:t>
      </w:r>
      <w:r w:rsidR="00B84783" w:rsidRPr="004542B5">
        <w:rPr>
          <w:noProof w:val="0"/>
          <w:szCs w:val="20"/>
          <w:lang w:val="en-US"/>
        </w:rPr>
        <w:t>he Court</w:t>
      </w:r>
      <w:r w:rsidRPr="004542B5">
        <w:rPr>
          <w:noProof w:val="0"/>
          <w:szCs w:val="20"/>
          <w:lang w:val="en-US"/>
        </w:rPr>
        <w:t xml:space="preserve">’s case law with regard to the latter has been extensively developed within the framework of the inter-American system, and the Court </w:t>
      </w:r>
      <w:r w:rsidR="00F631FD" w:rsidRPr="004542B5">
        <w:rPr>
          <w:noProof w:val="0"/>
          <w:szCs w:val="20"/>
          <w:lang w:val="en-US"/>
        </w:rPr>
        <w:t>has found it necessary</w:t>
      </w:r>
      <w:r w:rsidRPr="004542B5">
        <w:rPr>
          <w:noProof w:val="0"/>
          <w:szCs w:val="20"/>
          <w:lang w:val="en-US"/>
        </w:rPr>
        <w:t xml:space="preserve"> to make some clarifications concerning the concept of “property” whe</w:t>
      </w:r>
      <w:r w:rsidR="00F631FD" w:rsidRPr="004542B5">
        <w:rPr>
          <w:noProof w:val="0"/>
          <w:szCs w:val="20"/>
          <w:lang w:val="en-US"/>
        </w:rPr>
        <w:t>re</w:t>
      </w:r>
      <w:r w:rsidRPr="004542B5">
        <w:rPr>
          <w:noProof w:val="0"/>
          <w:szCs w:val="20"/>
          <w:lang w:val="en-US"/>
        </w:rPr>
        <w:t xml:space="preserve"> indigenous </w:t>
      </w:r>
      <w:r w:rsidR="006110CB" w:rsidRPr="004542B5">
        <w:rPr>
          <w:noProof w:val="0"/>
          <w:szCs w:val="20"/>
          <w:lang w:val="en-US"/>
        </w:rPr>
        <w:t>communities</w:t>
      </w:r>
      <w:r w:rsidRPr="004542B5">
        <w:rPr>
          <w:noProof w:val="0"/>
          <w:szCs w:val="20"/>
          <w:lang w:val="en-US"/>
        </w:rPr>
        <w:t xml:space="preserve"> were concerned. Thus, it considered that:</w:t>
      </w:r>
    </w:p>
    <w:p w14:paraId="2C1321C2" w14:textId="77777777" w:rsidR="00E76B2D" w:rsidRPr="004542B5" w:rsidRDefault="00E76B2D" w:rsidP="00E76B2D">
      <w:pPr>
        <w:pStyle w:val="ListParagraph"/>
        <w:rPr>
          <w:b/>
          <w:noProof w:val="0"/>
          <w:color w:val="FF0000"/>
          <w:szCs w:val="20"/>
          <w:lang w:val="en-US"/>
        </w:rPr>
      </w:pPr>
    </w:p>
    <w:p w14:paraId="7502DE4C" w14:textId="22CC3B11" w:rsidR="00E76B2D" w:rsidRPr="004542B5" w:rsidRDefault="00E76B2D" w:rsidP="00E13F56">
      <w:pPr>
        <w:ind w:left="360" w:right="558"/>
        <w:rPr>
          <w:iCs/>
          <w:noProof w:val="0"/>
          <w:sz w:val="18"/>
          <w:szCs w:val="18"/>
          <w:lang w:val="en-US"/>
        </w:rPr>
      </w:pPr>
      <w:r w:rsidRPr="004542B5">
        <w:rPr>
          <w:iCs/>
          <w:noProof w:val="0"/>
          <w:sz w:val="18"/>
          <w:szCs w:val="18"/>
          <w:lang w:val="en-US"/>
        </w:rPr>
        <w:t>“[…].</w:t>
      </w:r>
      <w:r w:rsidR="00AC6BE0" w:rsidRPr="004542B5">
        <w:rPr>
          <w:iCs/>
          <w:noProof w:val="0"/>
          <w:sz w:val="18"/>
          <w:szCs w:val="18"/>
          <w:lang w:val="en-US"/>
        </w:rPr>
        <w:t xml:space="preserve"> </w:t>
      </w:r>
      <w:r w:rsidR="00AC6BE0" w:rsidRPr="004542B5">
        <w:rPr>
          <w:rFonts w:cs="Arial"/>
          <w:iCs/>
          <w:noProof w:val="0"/>
          <w:sz w:val="18"/>
          <w:szCs w:val="18"/>
          <w:lang w:val="en-US"/>
        </w:rPr>
        <w:t xml:space="preserve">The indigenous peoples have a community-based tradition related to a communal form of collective land ownership; thus, land is not owned by the individual but rather by the group and </w:t>
      </w:r>
      <w:r w:rsidR="004412CF" w:rsidRPr="004542B5">
        <w:rPr>
          <w:rFonts w:cs="Arial"/>
          <w:iCs/>
          <w:noProof w:val="0"/>
          <w:sz w:val="18"/>
          <w:szCs w:val="18"/>
          <w:lang w:val="en-US"/>
        </w:rPr>
        <w:t>its</w:t>
      </w:r>
      <w:r w:rsidR="00AC6BE0" w:rsidRPr="004542B5">
        <w:rPr>
          <w:rFonts w:cs="Arial"/>
          <w:iCs/>
          <w:noProof w:val="0"/>
          <w:sz w:val="18"/>
          <w:szCs w:val="18"/>
          <w:lang w:val="en-US"/>
        </w:rPr>
        <w:t xml:space="preserve"> community</w:t>
      </w:r>
      <w:r w:rsidRPr="004542B5">
        <w:rPr>
          <w:iCs/>
          <w:noProof w:val="0"/>
          <w:sz w:val="18"/>
          <w:szCs w:val="18"/>
          <w:lang w:val="en-US"/>
        </w:rPr>
        <w:t xml:space="preserve"> […]</w:t>
      </w:r>
      <w:r w:rsidR="00AC6BE0" w:rsidRPr="004542B5">
        <w:rPr>
          <w:iCs/>
          <w:noProof w:val="0"/>
          <w:sz w:val="18"/>
          <w:szCs w:val="18"/>
          <w:lang w:val="en-US"/>
        </w:rPr>
        <w:t>.</w:t>
      </w:r>
      <w:r w:rsidRPr="004542B5">
        <w:rPr>
          <w:iCs/>
          <w:noProof w:val="0"/>
          <w:sz w:val="18"/>
          <w:szCs w:val="18"/>
          <w:lang w:val="en-US"/>
        </w:rPr>
        <w:t>”</w:t>
      </w:r>
      <w:r w:rsidRPr="004542B5">
        <w:rPr>
          <w:rStyle w:val="FootnoteReference"/>
          <w:iCs/>
          <w:noProof w:val="0"/>
          <w:sz w:val="18"/>
          <w:szCs w:val="18"/>
          <w:lang w:val="en-US"/>
        </w:rPr>
        <w:footnoteReference w:id="293"/>
      </w:r>
      <w:r w:rsidRPr="004542B5">
        <w:rPr>
          <w:iCs/>
          <w:noProof w:val="0"/>
          <w:sz w:val="18"/>
          <w:szCs w:val="18"/>
          <w:lang w:val="en-US"/>
        </w:rPr>
        <w:t xml:space="preserve"> </w:t>
      </w:r>
    </w:p>
    <w:p w14:paraId="0A170D1D" w14:textId="77777777" w:rsidR="00E76B2D" w:rsidRPr="004542B5" w:rsidRDefault="00E76B2D" w:rsidP="00E76B2D">
      <w:pPr>
        <w:rPr>
          <w:b/>
          <w:i/>
          <w:noProof w:val="0"/>
          <w:color w:val="FF0000"/>
          <w:szCs w:val="20"/>
          <w:lang w:val="en-US"/>
        </w:rPr>
      </w:pPr>
    </w:p>
    <w:p w14:paraId="315EBC9F" w14:textId="73D39AF2" w:rsidR="00E76B2D" w:rsidRPr="004542B5" w:rsidRDefault="00AC6BE0" w:rsidP="00D72794">
      <w:pPr>
        <w:pStyle w:val="BodyText"/>
        <w:numPr>
          <w:ilvl w:val="0"/>
          <w:numId w:val="60"/>
        </w:numPr>
        <w:overflowPunct w:val="0"/>
        <w:autoSpaceDE w:val="0"/>
        <w:autoSpaceDN w:val="0"/>
        <w:adjustRightInd w:val="0"/>
        <w:ind w:left="0" w:firstLine="0"/>
        <w:textAlignment w:val="baseline"/>
        <w:rPr>
          <w:rFonts w:ascii="Verdana" w:hAnsi="Verdana"/>
          <w:noProof w:val="0"/>
          <w:sz w:val="20"/>
          <w:lang w:val="en-US"/>
        </w:rPr>
      </w:pPr>
      <w:r w:rsidRPr="004542B5">
        <w:rPr>
          <w:rFonts w:ascii="Verdana" w:hAnsi="Verdana"/>
          <w:noProof w:val="0"/>
          <w:sz w:val="20"/>
          <w:lang w:val="en-US"/>
        </w:rPr>
        <w:t>Using an evolutive interpretation, the Court has indicated that</w:t>
      </w:r>
      <w:r w:rsidR="00E76B2D" w:rsidRPr="004542B5">
        <w:rPr>
          <w:rFonts w:ascii="Verdana" w:hAnsi="Verdana"/>
          <w:noProof w:val="0"/>
          <w:sz w:val="20"/>
          <w:lang w:val="en-US"/>
        </w:rPr>
        <w:t xml:space="preserve"> “[</w:t>
      </w:r>
      <w:r w:rsidR="00D72794" w:rsidRPr="004542B5">
        <w:rPr>
          <w:rFonts w:ascii="Verdana" w:hAnsi="Verdana"/>
          <w:noProof w:val="0"/>
          <w:sz w:val="20"/>
          <w:lang w:val="en-US"/>
        </w:rPr>
        <w:t>t</w:t>
      </w:r>
      <w:r w:rsidR="00E76B2D" w:rsidRPr="004542B5">
        <w:rPr>
          <w:rFonts w:ascii="Verdana" w:hAnsi="Verdana"/>
          <w:noProof w:val="0"/>
          <w:sz w:val="20"/>
          <w:lang w:val="en-US"/>
        </w:rPr>
        <w:t>]</w:t>
      </w:r>
      <w:r w:rsidR="00D72794" w:rsidRPr="004542B5">
        <w:rPr>
          <w:rFonts w:ascii="Verdana" w:hAnsi="Verdana"/>
          <w:noProof w:val="0"/>
          <w:sz w:val="20"/>
          <w:lang w:val="en-US"/>
        </w:rPr>
        <w:t xml:space="preserve">he terms of an international human rights treaty have an autonomous </w:t>
      </w:r>
      <w:r w:rsidR="00F631FD" w:rsidRPr="004542B5">
        <w:rPr>
          <w:rFonts w:ascii="Verdana" w:hAnsi="Verdana"/>
          <w:noProof w:val="0"/>
          <w:sz w:val="20"/>
          <w:lang w:val="en-US"/>
        </w:rPr>
        <w:t>meaning</w:t>
      </w:r>
      <w:r w:rsidR="00D72794" w:rsidRPr="004542B5">
        <w:rPr>
          <w:rFonts w:ascii="Verdana" w:hAnsi="Verdana"/>
          <w:noProof w:val="0"/>
          <w:sz w:val="20"/>
          <w:lang w:val="en-US"/>
        </w:rPr>
        <w:t xml:space="preserve">, so that they cannot be compared to the </w:t>
      </w:r>
      <w:r w:rsidR="00F631FD" w:rsidRPr="004542B5">
        <w:rPr>
          <w:rFonts w:ascii="Verdana" w:hAnsi="Verdana"/>
          <w:noProof w:val="0"/>
          <w:sz w:val="20"/>
          <w:lang w:val="en-US"/>
        </w:rPr>
        <w:t>meaning</w:t>
      </w:r>
      <w:r w:rsidR="00D72794" w:rsidRPr="004542B5">
        <w:rPr>
          <w:rFonts w:ascii="Verdana" w:hAnsi="Verdana"/>
          <w:noProof w:val="0"/>
          <w:sz w:val="20"/>
          <w:lang w:val="en-US"/>
        </w:rPr>
        <w:t xml:space="preserve"> attributed to them under domestic law</w:t>
      </w:r>
      <w:r w:rsidR="00E76B2D" w:rsidRPr="004542B5">
        <w:rPr>
          <w:rFonts w:ascii="Verdana" w:hAnsi="Verdana"/>
          <w:noProof w:val="0"/>
          <w:sz w:val="20"/>
          <w:lang w:val="en-US"/>
        </w:rPr>
        <w:t xml:space="preserve">.  </w:t>
      </w:r>
      <w:r w:rsidR="00D72794" w:rsidRPr="004542B5">
        <w:rPr>
          <w:rFonts w:ascii="Verdana" w:hAnsi="Verdana"/>
          <w:noProof w:val="0"/>
          <w:sz w:val="20"/>
          <w:lang w:val="en-US"/>
        </w:rPr>
        <w:t>Moreover, such human rights treaties are living instruments whose interpre</w:t>
      </w:r>
      <w:r w:rsidR="004412CF" w:rsidRPr="004542B5">
        <w:rPr>
          <w:rFonts w:ascii="Verdana" w:hAnsi="Verdana"/>
          <w:noProof w:val="0"/>
          <w:sz w:val="20"/>
          <w:lang w:val="en-US"/>
        </w:rPr>
        <w:t>t</w:t>
      </w:r>
      <w:r w:rsidR="00D72794" w:rsidRPr="004542B5">
        <w:rPr>
          <w:rFonts w:ascii="Verdana" w:hAnsi="Verdana"/>
          <w:noProof w:val="0"/>
          <w:sz w:val="20"/>
          <w:lang w:val="en-US"/>
        </w:rPr>
        <w:t>ation must evolve with the time and, in particular, with present day conditions.</w:t>
      </w:r>
      <w:r w:rsidR="00E76B2D" w:rsidRPr="004542B5">
        <w:rPr>
          <w:rFonts w:ascii="Verdana" w:hAnsi="Verdana"/>
          <w:noProof w:val="0"/>
          <w:sz w:val="20"/>
          <w:lang w:val="en-US"/>
        </w:rPr>
        <w:t>”</w:t>
      </w:r>
      <w:r w:rsidR="00E76B2D" w:rsidRPr="004542B5">
        <w:rPr>
          <w:rStyle w:val="FootnoteReference"/>
          <w:rFonts w:ascii="Verdana" w:hAnsi="Verdana"/>
          <w:noProof w:val="0"/>
          <w:sz w:val="20"/>
          <w:lang w:val="en-US"/>
        </w:rPr>
        <w:footnoteReference w:id="294"/>
      </w:r>
      <w:r w:rsidR="00E76B2D" w:rsidRPr="004542B5">
        <w:rPr>
          <w:rFonts w:ascii="Verdana" w:hAnsi="Verdana"/>
          <w:noProof w:val="0"/>
          <w:sz w:val="20"/>
          <w:lang w:val="en-US"/>
        </w:rPr>
        <w:t xml:space="preserve"> </w:t>
      </w:r>
      <w:r w:rsidR="00D72794" w:rsidRPr="004542B5">
        <w:rPr>
          <w:rFonts w:ascii="Verdana" w:hAnsi="Verdana"/>
          <w:noProof w:val="0"/>
          <w:sz w:val="20"/>
          <w:lang w:val="en-US"/>
        </w:rPr>
        <w:t xml:space="preserve">In addition, </w:t>
      </w:r>
      <w:r w:rsidR="00E76B2D" w:rsidRPr="004542B5">
        <w:rPr>
          <w:rFonts w:ascii="Verdana" w:hAnsi="Verdana"/>
          <w:noProof w:val="0"/>
          <w:sz w:val="20"/>
          <w:lang w:val="en-US"/>
        </w:rPr>
        <w:t>“</w:t>
      </w:r>
      <w:r w:rsidR="00562CBB" w:rsidRPr="004542B5">
        <w:rPr>
          <w:rFonts w:ascii="Verdana" w:hAnsi="Verdana"/>
          <w:noProof w:val="0"/>
          <w:sz w:val="20"/>
          <w:lang w:val="en-US"/>
        </w:rPr>
        <w:t>Article</w:t>
      </w:r>
      <w:r w:rsidR="00E76B2D" w:rsidRPr="004542B5">
        <w:rPr>
          <w:rFonts w:ascii="Verdana" w:hAnsi="Verdana"/>
          <w:noProof w:val="0"/>
          <w:sz w:val="20"/>
          <w:lang w:val="en-US"/>
        </w:rPr>
        <w:t xml:space="preserve"> 29</w:t>
      </w:r>
      <w:r w:rsidR="00D72794" w:rsidRPr="004542B5">
        <w:rPr>
          <w:rFonts w:ascii="Verdana" w:hAnsi="Verdana"/>
          <w:noProof w:val="0"/>
          <w:sz w:val="20"/>
          <w:lang w:val="en-US"/>
        </w:rPr>
        <w:t>(</w:t>
      </w:r>
      <w:r w:rsidR="00E76B2D" w:rsidRPr="004542B5">
        <w:rPr>
          <w:rFonts w:ascii="Verdana" w:hAnsi="Verdana"/>
          <w:noProof w:val="0"/>
          <w:sz w:val="20"/>
          <w:lang w:val="en-US"/>
        </w:rPr>
        <w:t>b</w:t>
      </w:r>
      <w:r w:rsidR="00D72794" w:rsidRPr="004542B5">
        <w:rPr>
          <w:rFonts w:ascii="Verdana" w:hAnsi="Verdana"/>
          <w:noProof w:val="0"/>
          <w:sz w:val="20"/>
          <w:lang w:val="en-US"/>
        </w:rPr>
        <w:t>)</w:t>
      </w:r>
      <w:r w:rsidR="008A56D7" w:rsidRPr="004542B5">
        <w:rPr>
          <w:rFonts w:ascii="Verdana" w:hAnsi="Verdana"/>
          <w:noProof w:val="0"/>
          <w:sz w:val="20"/>
          <w:lang w:val="en-US"/>
        </w:rPr>
        <w:t xml:space="preserve"> of the </w:t>
      </w:r>
      <w:r w:rsidR="00562CBB" w:rsidRPr="004542B5">
        <w:rPr>
          <w:rFonts w:ascii="Verdana" w:hAnsi="Verdana"/>
          <w:noProof w:val="0"/>
          <w:sz w:val="20"/>
          <w:lang w:val="en-US"/>
        </w:rPr>
        <w:t>Convention</w:t>
      </w:r>
      <w:r w:rsidR="00E76B2D" w:rsidRPr="004542B5">
        <w:rPr>
          <w:rFonts w:ascii="Verdana" w:hAnsi="Verdana"/>
          <w:noProof w:val="0"/>
          <w:sz w:val="20"/>
          <w:lang w:val="en-US"/>
        </w:rPr>
        <w:t xml:space="preserve"> establ</w:t>
      </w:r>
      <w:r w:rsidR="00D72794" w:rsidRPr="004542B5">
        <w:rPr>
          <w:rFonts w:ascii="Verdana" w:hAnsi="Verdana"/>
          <w:noProof w:val="0"/>
          <w:sz w:val="20"/>
          <w:lang w:val="en-US"/>
        </w:rPr>
        <w:t>ishes that</w:t>
      </w:r>
      <w:r w:rsidR="008C0C7D" w:rsidRPr="004542B5">
        <w:rPr>
          <w:rFonts w:ascii="Verdana" w:hAnsi="Verdana"/>
          <w:noProof w:val="0"/>
          <w:sz w:val="20"/>
          <w:lang w:val="en-US"/>
        </w:rPr>
        <w:t xml:space="preserve"> no provision shall be interpreted as “restricting </w:t>
      </w:r>
      <w:r w:rsidR="008C0C7D" w:rsidRPr="004542B5">
        <w:rPr>
          <w:rFonts w:ascii="Verdana" w:hAnsi="Verdana"/>
          <w:noProof w:val="0"/>
          <w:spacing w:val="-3"/>
          <w:sz w:val="20"/>
          <w:lang w:val="en-US"/>
        </w:rPr>
        <w:t>the enjoyment or exercise of any right or freedom recognized by virtue of the laws of any State Party or by virtue of another convention to which one of the said States is a party</w:t>
      </w:r>
      <w:r w:rsidR="008C0C7D" w:rsidRPr="004542B5">
        <w:rPr>
          <w:rFonts w:ascii="Verdana" w:hAnsi="Verdana"/>
          <w:noProof w:val="0"/>
          <w:sz w:val="20"/>
          <w:lang w:val="en-US"/>
        </w:rPr>
        <w:t>.</w:t>
      </w:r>
      <w:r w:rsidR="00E76B2D" w:rsidRPr="004542B5">
        <w:rPr>
          <w:rFonts w:ascii="Verdana" w:hAnsi="Verdana"/>
          <w:noProof w:val="0"/>
          <w:sz w:val="20"/>
          <w:lang w:val="en-US"/>
        </w:rPr>
        <w:t>”</w:t>
      </w:r>
      <w:r w:rsidR="00E76B2D" w:rsidRPr="004542B5">
        <w:rPr>
          <w:rStyle w:val="FootnoteReference"/>
          <w:rFonts w:ascii="Verdana" w:hAnsi="Verdana"/>
          <w:noProof w:val="0"/>
          <w:sz w:val="20"/>
          <w:lang w:val="en-US"/>
        </w:rPr>
        <w:footnoteReference w:id="295"/>
      </w:r>
      <w:r w:rsidR="00E76B2D" w:rsidRPr="004542B5">
        <w:rPr>
          <w:rFonts w:ascii="Verdana" w:hAnsi="Verdana"/>
          <w:noProof w:val="0"/>
          <w:sz w:val="20"/>
          <w:lang w:val="en-US"/>
        </w:rPr>
        <w:t xml:space="preserve"> </w:t>
      </w:r>
      <w:r w:rsidR="008C0C7D" w:rsidRPr="004542B5">
        <w:rPr>
          <w:rFonts w:ascii="Verdana" w:hAnsi="Verdana"/>
          <w:noProof w:val="0"/>
          <w:sz w:val="20"/>
          <w:lang w:val="en-US"/>
        </w:rPr>
        <w:t>In sum,</w:t>
      </w:r>
      <w:r w:rsidR="00E76B2D" w:rsidRPr="004542B5">
        <w:rPr>
          <w:rFonts w:ascii="Verdana" w:hAnsi="Verdana"/>
          <w:noProof w:val="0"/>
          <w:sz w:val="20"/>
          <w:lang w:val="en-US"/>
        </w:rPr>
        <w:t xml:space="preserve"> </w:t>
      </w:r>
      <w:r w:rsidR="00562CBB" w:rsidRPr="004542B5">
        <w:rPr>
          <w:rFonts w:ascii="Verdana" w:hAnsi="Verdana"/>
          <w:noProof w:val="0"/>
          <w:sz w:val="20"/>
          <w:lang w:val="en-US"/>
        </w:rPr>
        <w:t>the Court</w:t>
      </w:r>
      <w:r w:rsidR="00E76B2D" w:rsidRPr="004542B5">
        <w:rPr>
          <w:rFonts w:ascii="Verdana" w:hAnsi="Verdana"/>
          <w:noProof w:val="0"/>
          <w:sz w:val="20"/>
          <w:lang w:val="en-US"/>
        </w:rPr>
        <w:t xml:space="preserve"> </w:t>
      </w:r>
      <w:r w:rsidR="008C0C7D" w:rsidRPr="004542B5">
        <w:rPr>
          <w:rFonts w:ascii="Verdana" w:hAnsi="Verdana"/>
          <w:noProof w:val="0"/>
          <w:sz w:val="20"/>
          <w:lang w:val="en-US"/>
        </w:rPr>
        <w:t>reached the conclusion that</w:t>
      </w:r>
      <w:r w:rsidR="00E76B2D" w:rsidRPr="004542B5">
        <w:rPr>
          <w:rFonts w:ascii="Verdana" w:hAnsi="Verdana"/>
          <w:noProof w:val="0"/>
          <w:sz w:val="20"/>
          <w:lang w:val="en-US"/>
        </w:rPr>
        <w:t xml:space="preserve"> “</w:t>
      </w:r>
      <w:r w:rsidR="00562CBB" w:rsidRPr="004542B5">
        <w:rPr>
          <w:rFonts w:ascii="Verdana" w:hAnsi="Verdana"/>
          <w:noProof w:val="0"/>
          <w:sz w:val="20"/>
          <w:lang w:val="en-US"/>
        </w:rPr>
        <w:t>Article</w:t>
      </w:r>
      <w:r w:rsidR="00E76B2D" w:rsidRPr="004542B5">
        <w:rPr>
          <w:rFonts w:ascii="Verdana" w:hAnsi="Verdana"/>
          <w:noProof w:val="0"/>
          <w:sz w:val="20"/>
          <w:lang w:val="en-US"/>
        </w:rPr>
        <w:t xml:space="preserve"> 21</w:t>
      </w:r>
      <w:r w:rsidR="008A56D7" w:rsidRPr="004542B5">
        <w:rPr>
          <w:rFonts w:ascii="Verdana" w:hAnsi="Verdana"/>
          <w:noProof w:val="0"/>
          <w:sz w:val="20"/>
          <w:lang w:val="en-US"/>
        </w:rPr>
        <w:t xml:space="preserve"> of the </w:t>
      </w:r>
      <w:r w:rsidR="00562CBB" w:rsidRPr="004542B5">
        <w:rPr>
          <w:rFonts w:ascii="Verdana" w:hAnsi="Verdana"/>
          <w:noProof w:val="0"/>
          <w:sz w:val="20"/>
          <w:lang w:val="en-US"/>
        </w:rPr>
        <w:t>Convention</w:t>
      </w:r>
      <w:r w:rsidR="00E76B2D" w:rsidRPr="004542B5">
        <w:rPr>
          <w:rFonts w:ascii="Verdana" w:hAnsi="Verdana"/>
          <w:noProof w:val="0"/>
          <w:sz w:val="20"/>
          <w:lang w:val="en-US"/>
        </w:rPr>
        <w:t xml:space="preserve"> prote</w:t>
      </w:r>
      <w:r w:rsidR="008C0C7D" w:rsidRPr="004542B5">
        <w:rPr>
          <w:rFonts w:ascii="Verdana" w:hAnsi="Verdana"/>
          <w:noProof w:val="0"/>
          <w:sz w:val="20"/>
          <w:lang w:val="en-US"/>
        </w:rPr>
        <w:t xml:space="preserve">cts the right to </w:t>
      </w:r>
      <w:r w:rsidR="006110CB" w:rsidRPr="004542B5">
        <w:rPr>
          <w:rFonts w:ascii="Verdana" w:hAnsi="Verdana"/>
          <w:noProof w:val="0"/>
          <w:sz w:val="20"/>
          <w:lang w:val="en-US"/>
        </w:rPr>
        <w:t>property</w:t>
      </w:r>
      <w:r w:rsidR="008C0C7D" w:rsidRPr="004542B5">
        <w:rPr>
          <w:rFonts w:ascii="Verdana" w:hAnsi="Verdana"/>
          <w:noProof w:val="0"/>
          <w:sz w:val="20"/>
          <w:lang w:val="en-US"/>
        </w:rPr>
        <w:t xml:space="preserve"> in the sense that it includes, among other matters, the right</w:t>
      </w:r>
      <w:r w:rsidR="005B7167" w:rsidRPr="004542B5">
        <w:rPr>
          <w:rFonts w:ascii="Verdana" w:hAnsi="Verdana"/>
          <w:noProof w:val="0"/>
          <w:sz w:val="20"/>
          <w:lang w:val="en-US"/>
        </w:rPr>
        <w:t>s</w:t>
      </w:r>
      <w:r w:rsidR="008C0C7D" w:rsidRPr="004542B5">
        <w:rPr>
          <w:rFonts w:ascii="Verdana" w:hAnsi="Verdana"/>
          <w:noProof w:val="0"/>
          <w:sz w:val="20"/>
          <w:lang w:val="en-US"/>
        </w:rPr>
        <w:t xml:space="preserve"> of</w:t>
      </w:r>
      <w:r w:rsidR="00E76B2D" w:rsidRPr="004542B5">
        <w:rPr>
          <w:rFonts w:ascii="Verdana" w:hAnsi="Verdana"/>
          <w:noProof w:val="0"/>
          <w:sz w:val="20"/>
          <w:lang w:val="en-US"/>
        </w:rPr>
        <w:t xml:space="preserve"> </w:t>
      </w:r>
      <w:r w:rsidR="003234E7" w:rsidRPr="004542B5">
        <w:rPr>
          <w:rFonts w:ascii="Verdana" w:hAnsi="Verdana"/>
          <w:noProof w:val="0"/>
          <w:sz w:val="20"/>
          <w:lang w:val="en-US"/>
        </w:rPr>
        <w:t>the members</w:t>
      </w:r>
      <w:r w:rsidR="00E76B2D" w:rsidRPr="004542B5">
        <w:rPr>
          <w:rFonts w:ascii="Verdana" w:hAnsi="Verdana"/>
          <w:noProof w:val="0"/>
          <w:sz w:val="20"/>
          <w:lang w:val="en-US"/>
        </w:rPr>
        <w:t xml:space="preserve"> </w:t>
      </w:r>
      <w:r w:rsidR="008C0C7D" w:rsidRPr="004542B5">
        <w:rPr>
          <w:rFonts w:ascii="Verdana" w:hAnsi="Verdana"/>
          <w:noProof w:val="0"/>
          <w:sz w:val="20"/>
          <w:lang w:val="en-US"/>
        </w:rPr>
        <w:t>of indigenous communities within the framework of communal ownership.</w:t>
      </w:r>
      <w:r w:rsidR="00E76B2D" w:rsidRPr="004542B5">
        <w:rPr>
          <w:rFonts w:ascii="Verdana" w:hAnsi="Verdana"/>
          <w:noProof w:val="0"/>
          <w:sz w:val="20"/>
          <w:lang w:val="en-US"/>
        </w:rPr>
        <w:t>”</w:t>
      </w:r>
      <w:r w:rsidR="00E76B2D" w:rsidRPr="004542B5">
        <w:rPr>
          <w:rStyle w:val="FootnoteReference"/>
          <w:rFonts w:ascii="Verdana" w:hAnsi="Verdana"/>
          <w:noProof w:val="0"/>
          <w:sz w:val="20"/>
          <w:lang w:val="en-US"/>
        </w:rPr>
        <w:footnoteReference w:id="296"/>
      </w:r>
      <w:r w:rsidR="00E76B2D" w:rsidRPr="004542B5">
        <w:rPr>
          <w:rFonts w:ascii="Verdana" w:hAnsi="Verdana"/>
          <w:noProof w:val="0"/>
          <w:sz w:val="20"/>
          <w:lang w:val="en-US"/>
        </w:rPr>
        <w:t xml:space="preserve"> </w:t>
      </w:r>
    </w:p>
    <w:p w14:paraId="1A76E440" w14:textId="77777777" w:rsidR="00E76B2D" w:rsidRPr="004542B5" w:rsidRDefault="00E76B2D" w:rsidP="00E76B2D">
      <w:pPr>
        <w:pStyle w:val="BodyText"/>
        <w:rPr>
          <w:rFonts w:ascii="Verdana" w:hAnsi="Verdana"/>
          <w:noProof w:val="0"/>
          <w:sz w:val="20"/>
          <w:lang w:val="en-US"/>
        </w:rPr>
      </w:pPr>
    </w:p>
    <w:p w14:paraId="5E1F1F79" w14:textId="4907C4D7" w:rsidR="00E76B2D" w:rsidRPr="004542B5" w:rsidRDefault="00342385" w:rsidP="008C0C7D">
      <w:pPr>
        <w:pStyle w:val="BodyText"/>
        <w:numPr>
          <w:ilvl w:val="0"/>
          <w:numId w:val="60"/>
        </w:numPr>
        <w:overflowPunct w:val="0"/>
        <w:autoSpaceDE w:val="0"/>
        <w:autoSpaceDN w:val="0"/>
        <w:adjustRightInd w:val="0"/>
        <w:ind w:left="0" w:firstLine="0"/>
        <w:textAlignment w:val="baseline"/>
        <w:rPr>
          <w:rFonts w:ascii="Verdana" w:hAnsi="Verdana"/>
          <w:noProof w:val="0"/>
          <w:sz w:val="20"/>
          <w:lang w:val="en-US"/>
        </w:rPr>
      </w:pPr>
      <w:r w:rsidRPr="004542B5">
        <w:rPr>
          <w:rFonts w:ascii="Verdana" w:hAnsi="Verdana"/>
          <w:noProof w:val="0"/>
          <w:sz w:val="20"/>
          <w:lang w:val="en-US"/>
        </w:rPr>
        <w:t>Article</w:t>
      </w:r>
      <w:r w:rsidR="00E76B2D" w:rsidRPr="004542B5">
        <w:rPr>
          <w:rFonts w:ascii="Verdana" w:hAnsi="Verdana"/>
          <w:noProof w:val="0"/>
          <w:sz w:val="20"/>
          <w:lang w:val="en-US"/>
        </w:rPr>
        <w:t xml:space="preserve"> 21</w:t>
      </w:r>
      <w:r w:rsidR="008A56D7" w:rsidRPr="004542B5">
        <w:rPr>
          <w:rFonts w:ascii="Verdana" w:hAnsi="Verdana"/>
          <w:noProof w:val="0"/>
          <w:sz w:val="20"/>
          <w:lang w:val="en-US"/>
        </w:rPr>
        <w:t xml:space="preserve"> of the </w:t>
      </w:r>
      <w:r w:rsidR="00562CBB" w:rsidRPr="004542B5">
        <w:rPr>
          <w:rFonts w:ascii="Verdana" w:hAnsi="Verdana"/>
          <w:noProof w:val="0"/>
          <w:sz w:val="20"/>
          <w:lang w:val="en-US"/>
        </w:rPr>
        <w:t>American Convention</w:t>
      </w:r>
      <w:r w:rsidR="00E76B2D" w:rsidRPr="004542B5">
        <w:rPr>
          <w:rFonts w:ascii="Verdana" w:hAnsi="Verdana"/>
          <w:noProof w:val="0"/>
          <w:sz w:val="20"/>
          <w:lang w:val="en-US"/>
        </w:rPr>
        <w:t xml:space="preserve"> </w:t>
      </w:r>
      <w:r w:rsidR="008C0C7D" w:rsidRPr="004542B5">
        <w:rPr>
          <w:rFonts w:ascii="Verdana" w:hAnsi="Verdana"/>
          <w:noProof w:val="0"/>
          <w:sz w:val="20"/>
          <w:lang w:val="en-US"/>
        </w:rPr>
        <w:t xml:space="preserve">does not explicitly mention collective property and, in particular, indigenous property. In this understanding, when </w:t>
      </w:r>
      <w:r w:rsidR="006110CB" w:rsidRPr="004542B5">
        <w:rPr>
          <w:rFonts w:ascii="Verdana" w:hAnsi="Verdana"/>
          <w:noProof w:val="0"/>
          <w:sz w:val="20"/>
          <w:lang w:val="en-US"/>
        </w:rPr>
        <w:t>examining</w:t>
      </w:r>
      <w:r w:rsidR="008C0C7D" w:rsidRPr="004542B5">
        <w:rPr>
          <w:rFonts w:ascii="Verdana" w:hAnsi="Verdana"/>
          <w:noProof w:val="0"/>
          <w:sz w:val="20"/>
          <w:lang w:val="en-US"/>
        </w:rPr>
        <w:t xml:space="preserve"> the scope of </w:t>
      </w:r>
      <w:r w:rsidR="006110CB" w:rsidRPr="004542B5">
        <w:rPr>
          <w:rFonts w:ascii="Verdana" w:hAnsi="Verdana"/>
          <w:noProof w:val="0"/>
          <w:sz w:val="20"/>
          <w:lang w:val="en-US"/>
        </w:rPr>
        <w:t>Article</w:t>
      </w:r>
      <w:r w:rsidR="008C0C7D" w:rsidRPr="004542B5">
        <w:rPr>
          <w:rFonts w:ascii="Verdana" w:hAnsi="Verdana"/>
          <w:noProof w:val="0"/>
          <w:sz w:val="20"/>
          <w:lang w:val="en-US"/>
        </w:rPr>
        <w:t xml:space="preserve"> 21 of the Pact of San José, the Court has found it useful and appropriate to use international treaties other than the American Convention, such as Convention No. 169 of the International Labour Organization</w:t>
      </w:r>
      <w:r w:rsidR="00E76B2D" w:rsidRPr="004542B5">
        <w:rPr>
          <w:rFonts w:ascii="Verdana" w:hAnsi="Verdana"/>
          <w:noProof w:val="0"/>
          <w:sz w:val="20"/>
          <w:lang w:val="en-US"/>
        </w:rPr>
        <w:t xml:space="preserve"> (</w:t>
      </w:r>
      <w:r w:rsidR="00562CBB" w:rsidRPr="004542B5">
        <w:rPr>
          <w:rFonts w:ascii="Verdana" w:hAnsi="Verdana"/>
          <w:noProof w:val="0"/>
          <w:sz w:val="20"/>
          <w:lang w:val="en-US"/>
        </w:rPr>
        <w:t>hereinafter</w:t>
      </w:r>
      <w:r w:rsidR="00E76B2D" w:rsidRPr="004542B5">
        <w:rPr>
          <w:rFonts w:ascii="Verdana" w:hAnsi="Verdana"/>
          <w:noProof w:val="0"/>
          <w:sz w:val="20"/>
          <w:lang w:val="en-US"/>
        </w:rPr>
        <w:t xml:space="preserve"> “</w:t>
      </w:r>
      <w:r w:rsidR="008C0C7D" w:rsidRPr="004542B5">
        <w:rPr>
          <w:rFonts w:ascii="Verdana" w:hAnsi="Verdana"/>
          <w:noProof w:val="0"/>
          <w:sz w:val="20"/>
          <w:lang w:val="en-US"/>
        </w:rPr>
        <w:t>ILO Convention</w:t>
      </w:r>
      <w:r w:rsidR="00656AF2" w:rsidRPr="004542B5">
        <w:rPr>
          <w:rFonts w:ascii="Verdana" w:hAnsi="Verdana"/>
          <w:noProof w:val="0"/>
          <w:sz w:val="20"/>
          <w:lang w:val="en-US"/>
        </w:rPr>
        <w:t xml:space="preserve"> No.</w:t>
      </w:r>
      <w:r w:rsidR="00E76B2D" w:rsidRPr="004542B5">
        <w:rPr>
          <w:rFonts w:ascii="Verdana" w:hAnsi="Verdana"/>
          <w:noProof w:val="0"/>
          <w:sz w:val="20"/>
          <w:lang w:val="en-US"/>
        </w:rPr>
        <w:t xml:space="preserve"> 169”)</w:t>
      </w:r>
      <w:r w:rsidR="008C0C7D" w:rsidRPr="004542B5">
        <w:rPr>
          <w:rFonts w:ascii="Verdana" w:hAnsi="Verdana"/>
          <w:noProof w:val="0"/>
          <w:sz w:val="20"/>
          <w:lang w:val="en-US"/>
        </w:rPr>
        <w:t>,</w:t>
      </w:r>
      <w:r w:rsidR="00E76B2D" w:rsidRPr="004542B5">
        <w:rPr>
          <w:rStyle w:val="FootnoteReference"/>
          <w:rFonts w:ascii="Verdana" w:hAnsi="Verdana"/>
          <w:noProof w:val="0"/>
          <w:sz w:val="20"/>
          <w:lang w:val="en-US"/>
        </w:rPr>
        <w:footnoteReference w:id="297"/>
      </w:r>
      <w:r w:rsidR="00E76B2D" w:rsidRPr="004542B5">
        <w:rPr>
          <w:rFonts w:ascii="Verdana" w:hAnsi="Verdana"/>
          <w:noProof w:val="0"/>
          <w:sz w:val="20"/>
          <w:lang w:val="en-US"/>
        </w:rPr>
        <w:t xml:space="preserve"> </w:t>
      </w:r>
      <w:r w:rsidR="008C0C7D" w:rsidRPr="004542B5">
        <w:rPr>
          <w:rFonts w:ascii="Verdana" w:hAnsi="Verdana"/>
          <w:noProof w:val="0"/>
          <w:sz w:val="20"/>
          <w:lang w:val="en-US"/>
        </w:rPr>
        <w:t>the International Covenant on Civil and Political Rights and the International Covenant on Economic, Social and Cultural Rights,</w:t>
      </w:r>
      <w:r w:rsidR="00E76B2D" w:rsidRPr="004542B5">
        <w:rPr>
          <w:rStyle w:val="FootnoteReference"/>
          <w:rFonts w:ascii="Verdana" w:hAnsi="Verdana"/>
          <w:noProof w:val="0"/>
          <w:sz w:val="20"/>
          <w:lang w:val="en-US"/>
        </w:rPr>
        <w:footnoteReference w:id="298"/>
      </w:r>
      <w:r w:rsidR="008C0C7D" w:rsidRPr="004542B5">
        <w:rPr>
          <w:rFonts w:ascii="Verdana" w:hAnsi="Verdana"/>
          <w:noProof w:val="0"/>
          <w:sz w:val="20"/>
          <w:lang w:val="en-US"/>
        </w:rPr>
        <w:t xml:space="preserve"> to interpret their provisions based on the evolution of the inter-American system.</w:t>
      </w:r>
    </w:p>
    <w:p w14:paraId="6B0755F2" w14:textId="77777777" w:rsidR="00E76B2D" w:rsidRPr="004542B5" w:rsidRDefault="00E76B2D" w:rsidP="00E76B2D">
      <w:pPr>
        <w:pStyle w:val="BodyText"/>
        <w:rPr>
          <w:rFonts w:ascii="Verdana" w:hAnsi="Verdana"/>
          <w:noProof w:val="0"/>
          <w:sz w:val="20"/>
          <w:lang w:val="en-US"/>
        </w:rPr>
      </w:pPr>
    </w:p>
    <w:p w14:paraId="137921D3" w14:textId="6EC0F0FA" w:rsidR="00E76B2D" w:rsidRPr="004542B5" w:rsidRDefault="00562CBB" w:rsidP="00E76B2D">
      <w:pPr>
        <w:pStyle w:val="BodyText"/>
        <w:numPr>
          <w:ilvl w:val="0"/>
          <w:numId w:val="60"/>
        </w:numPr>
        <w:overflowPunct w:val="0"/>
        <w:autoSpaceDE w:val="0"/>
        <w:autoSpaceDN w:val="0"/>
        <w:adjustRightInd w:val="0"/>
        <w:ind w:left="0" w:firstLine="0"/>
        <w:textAlignment w:val="baseline"/>
        <w:rPr>
          <w:rFonts w:ascii="Verdana" w:hAnsi="Verdana"/>
          <w:noProof w:val="0"/>
          <w:sz w:val="20"/>
          <w:lang w:val="en-US"/>
        </w:rPr>
      </w:pPr>
      <w:r w:rsidRPr="004542B5">
        <w:rPr>
          <w:rFonts w:ascii="Verdana" w:hAnsi="Verdana"/>
          <w:noProof w:val="0"/>
          <w:sz w:val="20"/>
          <w:lang w:val="en-US"/>
        </w:rPr>
        <w:lastRenderedPageBreak/>
        <w:t>The Court</w:t>
      </w:r>
      <w:r w:rsidR="00E76B2D" w:rsidRPr="004542B5">
        <w:rPr>
          <w:rFonts w:ascii="Verdana" w:hAnsi="Verdana"/>
          <w:noProof w:val="0"/>
          <w:sz w:val="20"/>
          <w:lang w:val="en-US"/>
        </w:rPr>
        <w:t xml:space="preserve"> </w:t>
      </w:r>
      <w:r w:rsidR="008C0C7D" w:rsidRPr="004542B5">
        <w:rPr>
          <w:rFonts w:ascii="Verdana" w:hAnsi="Verdana"/>
          <w:noProof w:val="0"/>
          <w:sz w:val="20"/>
          <w:lang w:val="en-US"/>
        </w:rPr>
        <w:t xml:space="preserve">has </w:t>
      </w:r>
      <w:r w:rsidR="00E76B2D" w:rsidRPr="004542B5">
        <w:rPr>
          <w:rFonts w:ascii="Verdana" w:hAnsi="Verdana"/>
          <w:noProof w:val="0"/>
          <w:sz w:val="20"/>
          <w:lang w:val="en-US"/>
        </w:rPr>
        <w:t>consider</w:t>
      </w:r>
      <w:r w:rsidR="008C0C7D" w:rsidRPr="004542B5">
        <w:rPr>
          <w:rFonts w:ascii="Verdana" w:hAnsi="Verdana"/>
          <w:noProof w:val="0"/>
          <w:sz w:val="20"/>
          <w:lang w:val="en-US"/>
        </w:rPr>
        <w:t>ed</w:t>
      </w:r>
      <w:r w:rsidR="00E76B2D" w:rsidRPr="004542B5">
        <w:rPr>
          <w:rFonts w:ascii="Verdana" w:hAnsi="Verdana"/>
          <w:noProof w:val="0"/>
          <w:sz w:val="20"/>
          <w:lang w:val="en-US"/>
        </w:rPr>
        <w:t xml:space="preserve"> “</w:t>
      </w:r>
      <w:r w:rsidR="008C0C7D" w:rsidRPr="004542B5">
        <w:rPr>
          <w:rFonts w:ascii="Verdana" w:hAnsi="Verdana"/>
          <w:noProof w:val="0"/>
          <w:sz w:val="20"/>
          <w:lang w:val="en-US"/>
        </w:rPr>
        <w:t>that, in indigenous communities, the concepts of property and possession may have a collective significance</w:t>
      </w:r>
      <w:r w:rsidR="004412CF" w:rsidRPr="004542B5">
        <w:rPr>
          <w:rFonts w:ascii="Verdana" w:hAnsi="Verdana"/>
          <w:noProof w:val="0"/>
          <w:sz w:val="20"/>
          <w:lang w:val="en-US"/>
        </w:rPr>
        <w:t>,</w:t>
      </w:r>
      <w:r w:rsidR="008C0C7D" w:rsidRPr="004542B5">
        <w:rPr>
          <w:rFonts w:ascii="Verdana" w:hAnsi="Verdana"/>
          <w:noProof w:val="0"/>
          <w:sz w:val="20"/>
          <w:lang w:val="en-US"/>
        </w:rPr>
        <w:t xml:space="preserve"> in the sense that</w:t>
      </w:r>
      <w:r w:rsidR="004412CF" w:rsidRPr="004542B5">
        <w:rPr>
          <w:rFonts w:ascii="Verdana" w:hAnsi="Verdana"/>
          <w:noProof w:val="0"/>
          <w:sz w:val="20"/>
          <w:lang w:val="en-US"/>
        </w:rPr>
        <w:t xml:space="preserve"> possession is ‘not focused on individuals, but on the group and its community.</w:t>
      </w:r>
      <w:r w:rsidR="00E76B2D" w:rsidRPr="004542B5">
        <w:rPr>
          <w:rFonts w:ascii="Verdana" w:hAnsi="Verdana"/>
          <w:noProof w:val="0"/>
          <w:sz w:val="20"/>
          <w:lang w:val="en-US"/>
        </w:rPr>
        <w:t>”</w:t>
      </w:r>
      <w:r w:rsidR="00E76B2D" w:rsidRPr="004542B5">
        <w:rPr>
          <w:rStyle w:val="FootnoteReference"/>
          <w:rFonts w:ascii="Verdana" w:hAnsi="Verdana"/>
          <w:noProof w:val="0"/>
          <w:sz w:val="20"/>
          <w:lang w:val="en-US"/>
        </w:rPr>
        <w:footnoteReference w:id="299"/>
      </w:r>
      <w:r w:rsidR="00E76B2D" w:rsidRPr="004542B5">
        <w:rPr>
          <w:rFonts w:ascii="Verdana" w:hAnsi="Verdana"/>
          <w:noProof w:val="0"/>
          <w:sz w:val="20"/>
          <w:lang w:val="en-US"/>
        </w:rPr>
        <w:t xml:space="preserve">  </w:t>
      </w:r>
      <w:r w:rsidR="004412CF" w:rsidRPr="004542B5">
        <w:rPr>
          <w:rFonts w:ascii="Verdana" w:hAnsi="Verdana"/>
          <w:noProof w:val="0"/>
          <w:sz w:val="20"/>
          <w:lang w:val="en-US"/>
        </w:rPr>
        <w:t xml:space="preserve">The Inter-American Court has also indicated that “both the private property of individuals and the communal property of the members of indigenous communities are covered by the protection granted by </w:t>
      </w:r>
      <w:r w:rsidRPr="004542B5">
        <w:rPr>
          <w:rFonts w:ascii="Verdana" w:hAnsi="Verdana"/>
          <w:noProof w:val="0"/>
          <w:sz w:val="20"/>
          <w:lang w:val="en-US"/>
        </w:rPr>
        <w:t>Article</w:t>
      </w:r>
      <w:r w:rsidR="00E76B2D" w:rsidRPr="004542B5">
        <w:rPr>
          <w:rFonts w:ascii="Verdana" w:hAnsi="Verdana"/>
          <w:noProof w:val="0"/>
          <w:sz w:val="20"/>
          <w:lang w:val="en-US"/>
        </w:rPr>
        <w:t xml:space="preserve"> 21</w:t>
      </w:r>
      <w:r w:rsidR="008A56D7" w:rsidRPr="004542B5">
        <w:rPr>
          <w:rFonts w:ascii="Verdana" w:hAnsi="Verdana"/>
          <w:noProof w:val="0"/>
          <w:sz w:val="20"/>
          <w:lang w:val="en-US"/>
        </w:rPr>
        <w:t xml:space="preserve"> of the </w:t>
      </w:r>
      <w:r w:rsidRPr="004542B5">
        <w:rPr>
          <w:rFonts w:ascii="Verdana" w:hAnsi="Verdana"/>
          <w:noProof w:val="0"/>
          <w:sz w:val="20"/>
          <w:lang w:val="en-US"/>
        </w:rPr>
        <w:t>American Convention</w:t>
      </w:r>
      <w:r w:rsidR="004412CF" w:rsidRPr="004542B5">
        <w:rPr>
          <w:rFonts w:ascii="Verdana" w:hAnsi="Verdana"/>
          <w:noProof w:val="0"/>
          <w:sz w:val="20"/>
          <w:lang w:val="en-US"/>
        </w:rPr>
        <w:t>.</w:t>
      </w:r>
      <w:r w:rsidR="00E76B2D" w:rsidRPr="004542B5">
        <w:rPr>
          <w:rFonts w:ascii="Verdana" w:hAnsi="Verdana"/>
          <w:noProof w:val="0"/>
          <w:sz w:val="20"/>
          <w:lang w:val="en-US"/>
        </w:rPr>
        <w:t>”</w:t>
      </w:r>
      <w:r w:rsidR="00E76B2D" w:rsidRPr="004542B5">
        <w:rPr>
          <w:rStyle w:val="FootnoteReference"/>
          <w:rFonts w:ascii="Verdana" w:hAnsi="Verdana"/>
          <w:noProof w:val="0"/>
          <w:sz w:val="20"/>
          <w:lang w:val="en-US"/>
        </w:rPr>
        <w:footnoteReference w:id="300"/>
      </w:r>
      <w:r w:rsidR="004412CF" w:rsidRPr="004542B5">
        <w:rPr>
          <w:rFonts w:ascii="Verdana" w:hAnsi="Verdana"/>
          <w:noProof w:val="0"/>
          <w:sz w:val="20"/>
          <w:lang w:val="en-US"/>
        </w:rPr>
        <w:t xml:space="preserve"> This concept of the ownership and possession of the land does not necessarily correspond to the classic concept of property, but it deserves equal protection under</w:t>
      </w:r>
      <w:r w:rsidR="00E76B2D" w:rsidRPr="004542B5">
        <w:rPr>
          <w:rFonts w:ascii="Verdana" w:hAnsi="Verdana"/>
          <w:noProof w:val="0"/>
          <w:sz w:val="20"/>
          <w:lang w:val="en-US"/>
        </w:rPr>
        <w:t xml:space="preserve"> </w:t>
      </w:r>
      <w:r w:rsidR="00E04132" w:rsidRPr="004542B5">
        <w:rPr>
          <w:rFonts w:ascii="Verdana" w:hAnsi="Verdana"/>
          <w:noProof w:val="0"/>
          <w:sz w:val="20"/>
          <w:lang w:val="en-US"/>
        </w:rPr>
        <w:t>Article</w:t>
      </w:r>
      <w:r w:rsidR="00E76B2D" w:rsidRPr="004542B5">
        <w:rPr>
          <w:rFonts w:ascii="Verdana" w:hAnsi="Verdana"/>
          <w:noProof w:val="0"/>
          <w:sz w:val="20"/>
          <w:lang w:val="en-US"/>
        </w:rPr>
        <w:t xml:space="preserve"> 21</w:t>
      </w:r>
      <w:r w:rsidR="008A56D7" w:rsidRPr="004542B5">
        <w:rPr>
          <w:rFonts w:ascii="Verdana" w:hAnsi="Verdana"/>
          <w:noProof w:val="0"/>
          <w:sz w:val="20"/>
          <w:lang w:val="en-US"/>
        </w:rPr>
        <w:t xml:space="preserve"> of the </w:t>
      </w:r>
      <w:r w:rsidRPr="004542B5">
        <w:rPr>
          <w:rFonts w:ascii="Verdana" w:hAnsi="Verdana"/>
          <w:noProof w:val="0"/>
          <w:sz w:val="20"/>
          <w:lang w:val="en-US"/>
        </w:rPr>
        <w:t>American Convention</w:t>
      </w:r>
      <w:r w:rsidR="00E76B2D" w:rsidRPr="004542B5">
        <w:rPr>
          <w:rFonts w:ascii="Verdana" w:hAnsi="Verdana"/>
          <w:noProof w:val="0"/>
          <w:sz w:val="20"/>
          <w:lang w:val="en-US"/>
        </w:rPr>
        <w:t>.</w:t>
      </w:r>
      <w:r w:rsidR="004412CF" w:rsidRPr="004542B5">
        <w:rPr>
          <w:rFonts w:ascii="Verdana" w:hAnsi="Verdana"/>
          <w:noProof w:val="0"/>
          <w:sz w:val="20"/>
          <w:lang w:val="en-US"/>
        </w:rPr>
        <w:t xml:space="preserve"> Failing to recognize the specific versions of the right to use and enjoyment of property that derive from the culture, practices, customs and beliefs of each people, would be </w:t>
      </w:r>
      <w:r w:rsidR="006110CB" w:rsidRPr="004542B5">
        <w:rPr>
          <w:rFonts w:ascii="Verdana" w:hAnsi="Verdana"/>
          <w:noProof w:val="0"/>
          <w:sz w:val="20"/>
          <w:lang w:val="en-US"/>
        </w:rPr>
        <w:t>equivalent</w:t>
      </w:r>
      <w:r w:rsidR="004412CF" w:rsidRPr="004542B5">
        <w:rPr>
          <w:rFonts w:ascii="Verdana" w:hAnsi="Verdana"/>
          <w:noProof w:val="0"/>
          <w:sz w:val="20"/>
          <w:lang w:val="en-US"/>
        </w:rPr>
        <w:t xml:space="preserve"> to maintaining that there is only one way of using and enjoying property and this, in turn, would make the protection granted by that provision meaningless for millions of individuals.</w:t>
      </w:r>
      <w:r w:rsidR="00E76B2D" w:rsidRPr="004542B5">
        <w:rPr>
          <w:rStyle w:val="FootnoteReference"/>
          <w:rFonts w:ascii="Verdana" w:hAnsi="Verdana"/>
          <w:noProof w:val="0"/>
          <w:sz w:val="20"/>
          <w:lang w:val="en-US"/>
        </w:rPr>
        <w:footnoteReference w:id="301"/>
      </w:r>
    </w:p>
    <w:p w14:paraId="29134756" w14:textId="77777777" w:rsidR="00E76B2D" w:rsidRPr="004542B5" w:rsidRDefault="00E76B2D" w:rsidP="00E76B2D">
      <w:pPr>
        <w:pStyle w:val="BodyText"/>
        <w:rPr>
          <w:rFonts w:ascii="Verdana" w:hAnsi="Verdana"/>
          <w:noProof w:val="0"/>
          <w:sz w:val="20"/>
          <w:lang w:val="en-US"/>
        </w:rPr>
      </w:pPr>
    </w:p>
    <w:p w14:paraId="63A4841C" w14:textId="2F17523B" w:rsidR="00E76B2D" w:rsidRPr="004542B5" w:rsidRDefault="00656AF2" w:rsidP="00E76B2D">
      <w:pPr>
        <w:pStyle w:val="BodyText"/>
        <w:numPr>
          <w:ilvl w:val="0"/>
          <w:numId w:val="60"/>
        </w:numPr>
        <w:overflowPunct w:val="0"/>
        <w:autoSpaceDE w:val="0"/>
        <w:autoSpaceDN w:val="0"/>
        <w:adjustRightInd w:val="0"/>
        <w:ind w:left="0" w:firstLine="0"/>
        <w:textAlignment w:val="baseline"/>
        <w:rPr>
          <w:rFonts w:ascii="Verdana" w:hAnsi="Verdana"/>
          <w:noProof w:val="0"/>
          <w:sz w:val="20"/>
          <w:lang w:val="en-US"/>
        </w:rPr>
      </w:pPr>
      <w:r w:rsidRPr="004542B5">
        <w:rPr>
          <w:rFonts w:ascii="Verdana" w:hAnsi="Verdana"/>
          <w:noProof w:val="0"/>
          <w:sz w:val="20"/>
          <w:lang w:val="en-US"/>
        </w:rPr>
        <w:t>Based on the above criteria, the Court has emphasized that the close relationship that indigenous peoples have with the land must be recognized and understood as the fundamental basis of their culture, spiritual life, integrity, economic survival, and the preservation and transmission of these to future generations.</w:t>
      </w:r>
      <w:r w:rsidR="00E76B2D" w:rsidRPr="004542B5">
        <w:rPr>
          <w:rStyle w:val="FootnoteReference"/>
          <w:rFonts w:ascii="Verdana" w:hAnsi="Verdana"/>
          <w:noProof w:val="0"/>
          <w:sz w:val="20"/>
          <w:lang w:val="en-US"/>
        </w:rPr>
        <w:footnoteReference w:id="302"/>
      </w:r>
    </w:p>
    <w:p w14:paraId="396D0628" w14:textId="77777777" w:rsidR="00E76B2D" w:rsidRPr="004542B5" w:rsidRDefault="00E76B2D" w:rsidP="00E76B2D">
      <w:pPr>
        <w:pStyle w:val="ListParagraph"/>
        <w:rPr>
          <w:noProof w:val="0"/>
          <w:szCs w:val="20"/>
          <w:lang w:val="en-US"/>
        </w:rPr>
      </w:pPr>
    </w:p>
    <w:p w14:paraId="2691FA29" w14:textId="562D8ED7" w:rsidR="00E76B2D" w:rsidRPr="004542B5" w:rsidRDefault="00656AF2" w:rsidP="00656AF2">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noProof w:val="0"/>
          <w:szCs w:val="20"/>
          <w:lang w:val="en-US"/>
        </w:rPr>
      </w:pPr>
      <w:r w:rsidRPr="004542B5">
        <w:rPr>
          <w:noProof w:val="0"/>
          <w:szCs w:val="20"/>
          <w:lang w:val="en-US"/>
        </w:rPr>
        <w:t>The foregoing is related to a</w:t>
      </w:r>
      <w:r w:rsidR="00562CBB" w:rsidRPr="004542B5">
        <w:rPr>
          <w:noProof w:val="0"/>
          <w:szCs w:val="20"/>
          <w:lang w:val="en-US"/>
        </w:rPr>
        <w:t>rticle</w:t>
      </w:r>
      <w:r w:rsidR="00E76B2D" w:rsidRPr="004542B5">
        <w:rPr>
          <w:noProof w:val="0"/>
          <w:szCs w:val="20"/>
          <w:lang w:val="en-US"/>
        </w:rPr>
        <w:t xml:space="preserve"> 13 </w:t>
      </w:r>
      <w:r w:rsidRPr="004542B5">
        <w:rPr>
          <w:noProof w:val="0"/>
          <w:szCs w:val="20"/>
          <w:lang w:val="en-US"/>
        </w:rPr>
        <w:t>of</w:t>
      </w:r>
      <w:r w:rsidR="00E76B2D" w:rsidRPr="004542B5">
        <w:rPr>
          <w:noProof w:val="0"/>
          <w:szCs w:val="20"/>
          <w:lang w:val="en-US"/>
        </w:rPr>
        <w:t xml:space="preserve"> </w:t>
      </w:r>
      <w:r w:rsidRPr="004542B5">
        <w:rPr>
          <w:noProof w:val="0"/>
          <w:szCs w:val="20"/>
          <w:lang w:val="en-US"/>
        </w:rPr>
        <w:t>ILO Convention No. 169</w:t>
      </w:r>
      <w:r w:rsidR="00E76B2D" w:rsidRPr="004542B5">
        <w:rPr>
          <w:noProof w:val="0"/>
          <w:szCs w:val="20"/>
          <w:lang w:val="en-US"/>
        </w:rPr>
        <w:t xml:space="preserve">, </w:t>
      </w:r>
      <w:r w:rsidRPr="004542B5">
        <w:rPr>
          <w:noProof w:val="0"/>
          <w:szCs w:val="20"/>
          <w:lang w:val="en-US"/>
        </w:rPr>
        <w:t xml:space="preserve">in the sense that the State must respect “the special importance for the cultures and spiritual values of the peoples </w:t>
      </w:r>
      <w:r w:rsidR="006110CB" w:rsidRPr="004542B5">
        <w:rPr>
          <w:noProof w:val="0"/>
          <w:szCs w:val="20"/>
          <w:lang w:val="en-US"/>
        </w:rPr>
        <w:t>concerned</w:t>
      </w:r>
      <w:r w:rsidRPr="004542B5">
        <w:rPr>
          <w:noProof w:val="0"/>
          <w:szCs w:val="20"/>
          <w:lang w:val="en-US"/>
        </w:rPr>
        <w:t xml:space="preserve"> of their relationship with the lands or territories, or both as applicable, which they occupy or otherwise use, and in particular the collective aspects of this relationship.</w:t>
      </w:r>
      <w:r w:rsidR="00E76B2D" w:rsidRPr="004542B5">
        <w:rPr>
          <w:noProof w:val="0"/>
          <w:szCs w:val="20"/>
          <w:lang w:val="en-US"/>
        </w:rPr>
        <w:t>”</w:t>
      </w:r>
      <w:r w:rsidR="00E76B2D" w:rsidRPr="004542B5">
        <w:rPr>
          <w:rStyle w:val="FootnoteReference"/>
          <w:noProof w:val="0"/>
          <w:lang w:val="en-US"/>
        </w:rPr>
        <w:footnoteReference w:id="303"/>
      </w:r>
    </w:p>
    <w:p w14:paraId="4936B143" w14:textId="77777777" w:rsidR="00E76B2D" w:rsidRPr="004542B5" w:rsidRDefault="00E76B2D" w:rsidP="00E76B2D">
      <w:pPr>
        <w:pStyle w:val="ListParagraph"/>
        <w:rPr>
          <w:rFonts w:cs="Arial"/>
          <w:noProof w:val="0"/>
          <w:szCs w:val="20"/>
          <w:lang w:val="en-US" w:eastAsia="es-MX"/>
        </w:rPr>
      </w:pPr>
    </w:p>
    <w:p w14:paraId="523B4449" w14:textId="7409CC09" w:rsidR="00E76B2D" w:rsidRPr="004542B5" w:rsidRDefault="00656AF2" w:rsidP="00656AF2">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51" w:firstLine="0"/>
        <w:rPr>
          <w:noProof w:val="0"/>
          <w:szCs w:val="20"/>
          <w:lang w:val="en-US"/>
        </w:rPr>
      </w:pPr>
      <w:r w:rsidRPr="004542B5">
        <w:rPr>
          <w:rFonts w:cs="Arial"/>
          <w:noProof w:val="0"/>
          <w:szCs w:val="20"/>
          <w:lang w:val="en-US" w:eastAsia="es-MX"/>
        </w:rPr>
        <w:t>The main mechanism to guarantee the right to indigenous land ownership that has been identified by the organs of the inter-American system is the delimitation and demarcation of the lands that belong to the indigenous peoples. As the Court has explained: “</w:t>
      </w:r>
      <w:r w:rsidR="004A09DF" w:rsidRPr="004542B5">
        <w:rPr>
          <w:rFonts w:cs="Arial"/>
          <w:noProof w:val="0"/>
          <w:szCs w:val="20"/>
          <w:lang w:val="en-US" w:eastAsia="es-MX"/>
        </w:rPr>
        <w:t>to obtain this title, the territory that the members of the [respective] people have traditionally occupied and used must first be demarcated and delimited, following consultations with this people and with the neighboring peoples.</w:t>
      </w:r>
      <w:r w:rsidR="00E76B2D" w:rsidRPr="004542B5">
        <w:rPr>
          <w:rFonts w:cs="Arial"/>
          <w:noProof w:val="0"/>
          <w:szCs w:val="20"/>
          <w:lang w:val="en-US"/>
        </w:rPr>
        <w:t>”</w:t>
      </w:r>
      <w:r w:rsidR="00E76B2D" w:rsidRPr="004542B5">
        <w:rPr>
          <w:rStyle w:val="FootnoteReference"/>
          <w:rFonts w:cs="Arial"/>
          <w:noProof w:val="0"/>
          <w:lang w:val="en-US" w:eastAsia="es-MX"/>
        </w:rPr>
        <w:footnoteReference w:id="304"/>
      </w:r>
      <w:r w:rsidR="004A09DF" w:rsidRPr="004542B5">
        <w:rPr>
          <w:rFonts w:cs="Arial"/>
          <w:noProof w:val="0"/>
          <w:szCs w:val="20"/>
          <w:lang w:val="en-US"/>
        </w:rPr>
        <w:t xml:space="preserve"> The Court </w:t>
      </w:r>
      <w:r w:rsidR="004A09DF" w:rsidRPr="004542B5">
        <w:rPr>
          <w:rFonts w:cs="Arial"/>
          <w:noProof w:val="0"/>
          <w:szCs w:val="20"/>
          <w:lang w:val="en-US"/>
        </w:rPr>
        <w:lastRenderedPageBreak/>
        <w:t>has also established that one of the basic rights related to the right to collective ownership of the indigenous peoples is the permanent enjoyment of their ancestral territory, to which end, they require title to th</w:t>
      </w:r>
      <w:r w:rsidR="005C548B" w:rsidRPr="004542B5">
        <w:rPr>
          <w:rFonts w:cs="Arial"/>
          <w:noProof w:val="0"/>
          <w:szCs w:val="20"/>
          <w:lang w:val="en-US"/>
        </w:rPr>
        <w:t>at</w:t>
      </w:r>
      <w:r w:rsidR="004A09DF" w:rsidRPr="004542B5">
        <w:rPr>
          <w:rFonts w:cs="Arial"/>
          <w:noProof w:val="0"/>
          <w:szCs w:val="20"/>
          <w:lang w:val="en-US"/>
        </w:rPr>
        <w:t xml:space="preserve"> territory.</w:t>
      </w:r>
      <w:r w:rsidR="00E76B2D" w:rsidRPr="004542B5">
        <w:rPr>
          <w:rStyle w:val="FootnoteReference"/>
          <w:rFonts w:cs="Arial"/>
          <w:noProof w:val="0"/>
          <w:lang w:val="en-US"/>
        </w:rPr>
        <w:footnoteReference w:id="305"/>
      </w:r>
      <w:r w:rsidR="00E76B2D" w:rsidRPr="004542B5">
        <w:rPr>
          <w:rFonts w:cs="Arial"/>
          <w:noProof w:val="0"/>
          <w:szCs w:val="20"/>
          <w:lang w:val="en-US"/>
        </w:rPr>
        <w:t xml:space="preserve"> </w:t>
      </w:r>
    </w:p>
    <w:p w14:paraId="46B78268" w14:textId="77777777" w:rsidR="00E76B2D" w:rsidRPr="004542B5" w:rsidRDefault="00E76B2D" w:rsidP="00E76B2D">
      <w:pPr>
        <w:rPr>
          <w:noProof w:val="0"/>
          <w:szCs w:val="20"/>
          <w:lang w:val="en-US"/>
        </w:rPr>
      </w:pPr>
    </w:p>
    <w:p w14:paraId="09129A1D" w14:textId="62DB295C" w:rsidR="00E76B2D" w:rsidRPr="004542B5" w:rsidRDefault="00F8691C" w:rsidP="00F8691C">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noProof w:val="0"/>
          <w:szCs w:val="20"/>
          <w:lang w:val="en-US"/>
        </w:rPr>
      </w:pPr>
      <w:r w:rsidRPr="004542B5">
        <w:rPr>
          <w:noProof w:val="0"/>
          <w:szCs w:val="20"/>
          <w:lang w:val="en-US"/>
        </w:rPr>
        <w:t xml:space="preserve">The culture of </w:t>
      </w:r>
      <w:r w:rsidR="003234E7" w:rsidRPr="004542B5">
        <w:rPr>
          <w:noProof w:val="0"/>
          <w:szCs w:val="20"/>
          <w:lang w:val="en-US"/>
        </w:rPr>
        <w:t>the members</w:t>
      </w:r>
      <w:r w:rsidR="00E76B2D" w:rsidRPr="004542B5">
        <w:rPr>
          <w:noProof w:val="0"/>
          <w:szCs w:val="20"/>
          <w:lang w:val="en-US"/>
        </w:rPr>
        <w:t xml:space="preserve"> </w:t>
      </w:r>
      <w:r w:rsidRPr="004542B5">
        <w:rPr>
          <w:noProof w:val="0"/>
          <w:szCs w:val="20"/>
          <w:lang w:val="en-US"/>
        </w:rPr>
        <w:t>of indigenous communities corresponds to a particular way of life and of being, seeing and acting in the world based on their close relationship with their traditional territories and the resources found on the</w:t>
      </w:r>
      <w:r w:rsidR="005C548B" w:rsidRPr="004542B5">
        <w:rPr>
          <w:noProof w:val="0"/>
          <w:szCs w:val="20"/>
          <w:lang w:val="en-US"/>
        </w:rPr>
        <w:t>se</w:t>
      </w:r>
      <w:r w:rsidRPr="004542B5">
        <w:rPr>
          <w:noProof w:val="0"/>
          <w:szCs w:val="20"/>
          <w:lang w:val="en-US"/>
        </w:rPr>
        <w:t>, not only because the</w:t>
      </w:r>
      <w:r w:rsidR="005C548B" w:rsidRPr="004542B5">
        <w:rPr>
          <w:noProof w:val="0"/>
          <w:szCs w:val="20"/>
          <w:lang w:val="en-US"/>
        </w:rPr>
        <w:t>se territories</w:t>
      </w:r>
      <w:r w:rsidRPr="004542B5">
        <w:rPr>
          <w:noProof w:val="0"/>
          <w:szCs w:val="20"/>
          <w:lang w:val="en-US"/>
        </w:rPr>
        <w:t xml:space="preserve"> constitutes their principal means of subsistence, but also because they constitute an element that is part of their world view, religion and, consequently, their cultural identity.</w:t>
      </w:r>
      <w:r w:rsidR="00E76B2D" w:rsidRPr="004542B5">
        <w:rPr>
          <w:rStyle w:val="FootnoteReference"/>
          <w:noProof w:val="0"/>
          <w:lang w:val="en-US"/>
        </w:rPr>
        <w:footnoteReference w:id="306"/>
      </w:r>
      <w:r w:rsidRPr="004542B5">
        <w:rPr>
          <w:noProof w:val="0"/>
          <w:szCs w:val="20"/>
          <w:lang w:val="en-US"/>
        </w:rPr>
        <w:t xml:space="preserve"> Therefore, the close relationship of the indigenous peoples with their traditional territories and the natural resources connected to their culture that are found on those territories, as well as the incorporeal elements derived from them, must be safeguarded by </w:t>
      </w:r>
      <w:r w:rsidR="00562CBB" w:rsidRPr="004542B5">
        <w:rPr>
          <w:noProof w:val="0"/>
          <w:szCs w:val="20"/>
          <w:lang w:val="en-US"/>
        </w:rPr>
        <w:t>Article</w:t>
      </w:r>
      <w:r w:rsidR="00E76B2D" w:rsidRPr="004542B5">
        <w:rPr>
          <w:noProof w:val="0"/>
          <w:szCs w:val="20"/>
          <w:lang w:val="en-US"/>
        </w:rPr>
        <w:t xml:space="preserve"> 21</w:t>
      </w:r>
      <w:r w:rsidR="008A56D7" w:rsidRPr="004542B5">
        <w:rPr>
          <w:noProof w:val="0"/>
          <w:szCs w:val="20"/>
          <w:lang w:val="en-US"/>
        </w:rPr>
        <w:t xml:space="preserve"> of the </w:t>
      </w:r>
      <w:r w:rsidR="00562CBB" w:rsidRPr="004542B5">
        <w:rPr>
          <w:noProof w:val="0"/>
          <w:szCs w:val="20"/>
          <w:lang w:val="en-US"/>
        </w:rPr>
        <w:t>American Convention</w:t>
      </w:r>
      <w:r w:rsidRPr="004542B5">
        <w:rPr>
          <w:noProof w:val="0"/>
          <w:szCs w:val="20"/>
          <w:lang w:val="en-US"/>
        </w:rPr>
        <w:t>.</w:t>
      </w:r>
      <w:r w:rsidR="00E76B2D" w:rsidRPr="004542B5">
        <w:rPr>
          <w:rStyle w:val="FootnoteReference"/>
          <w:noProof w:val="0"/>
          <w:lang w:val="en-US"/>
        </w:rPr>
        <w:footnoteReference w:id="307"/>
      </w:r>
      <w:r w:rsidR="00E76B2D" w:rsidRPr="004542B5">
        <w:rPr>
          <w:noProof w:val="0"/>
          <w:szCs w:val="20"/>
          <w:lang w:val="en-US"/>
        </w:rPr>
        <w:t xml:space="preserve"> </w:t>
      </w:r>
    </w:p>
    <w:p w14:paraId="29AF0535" w14:textId="77777777" w:rsidR="00E76B2D" w:rsidRPr="004542B5" w:rsidRDefault="00E76B2D" w:rsidP="00E76B2D">
      <w:pPr>
        <w:pStyle w:val="ListParagraph"/>
        <w:rPr>
          <w:noProof w:val="0"/>
          <w:szCs w:val="20"/>
          <w:lang w:val="en-US"/>
        </w:rPr>
      </w:pPr>
    </w:p>
    <w:p w14:paraId="3A677E59" w14:textId="12191B18" w:rsidR="00E76B2D" w:rsidRPr="004542B5" w:rsidRDefault="00F8691C"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noProof w:val="0"/>
          <w:szCs w:val="20"/>
          <w:lang w:val="en-US"/>
        </w:rPr>
      </w:pPr>
      <w:r w:rsidRPr="004542B5">
        <w:rPr>
          <w:noProof w:val="0"/>
          <w:szCs w:val="20"/>
          <w:lang w:val="en-US"/>
        </w:rPr>
        <w:t xml:space="preserve">Failing to recognize the ancestral right of </w:t>
      </w:r>
      <w:r w:rsidR="003234E7" w:rsidRPr="004542B5">
        <w:rPr>
          <w:noProof w:val="0"/>
          <w:szCs w:val="20"/>
          <w:lang w:val="en-US"/>
        </w:rPr>
        <w:t>members</w:t>
      </w:r>
      <w:r w:rsidR="00E76B2D" w:rsidRPr="004542B5">
        <w:rPr>
          <w:noProof w:val="0"/>
          <w:szCs w:val="20"/>
          <w:lang w:val="en-US"/>
        </w:rPr>
        <w:t xml:space="preserve"> </w:t>
      </w:r>
      <w:r w:rsidRPr="004542B5">
        <w:rPr>
          <w:noProof w:val="0"/>
          <w:szCs w:val="20"/>
          <w:lang w:val="en-US"/>
        </w:rPr>
        <w:t xml:space="preserve">of indigenous communities </w:t>
      </w:r>
      <w:r w:rsidR="005C548B" w:rsidRPr="004542B5">
        <w:rPr>
          <w:noProof w:val="0"/>
          <w:szCs w:val="20"/>
          <w:lang w:val="en-US"/>
        </w:rPr>
        <w:t>to</w:t>
      </w:r>
      <w:r w:rsidRPr="004542B5">
        <w:rPr>
          <w:noProof w:val="0"/>
          <w:szCs w:val="20"/>
          <w:lang w:val="en-US"/>
        </w:rPr>
        <w:t xml:space="preserve"> their territories could violate other basic rights, such as the right to cultural identity and the very survival of the indigenous communities and </w:t>
      </w:r>
      <w:r w:rsidR="006110CB" w:rsidRPr="004542B5">
        <w:rPr>
          <w:noProof w:val="0"/>
          <w:szCs w:val="20"/>
          <w:lang w:val="en-US"/>
        </w:rPr>
        <w:t>their members</w:t>
      </w:r>
      <w:r w:rsidRPr="004542B5">
        <w:rPr>
          <w:noProof w:val="0"/>
          <w:szCs w:val="20"/>
          <w:lang w:val="en-US"/>
        </w:rPr>
        <w:t>.</w:t>
      </w:r>
      <w:r w:rsidR="00E76B2D" w:rsidRPr="004542B5">
        <w:rPr>
          <w:rStyle w:val="FootnoteReference"/>
          <w:noProof w:val="0"/>
          <w:lang w:val="en-US"/>
        </w:rPr>
        <w:footnoteReference w:id="308"/>
      </w:r>
    </w:p>
    <w:p w14:paraId="2F66E9BC" w14:textId="77777777" w:rsidR="00E76B2D" w:rsidRPr="004542B5" w:rsidRDefault="00E76B2D" w:rsidP="00E76B2D">
      <w:pPr>
        <w:pStyle w:val="ListParagraph"/>
        <w:rPr>
          <w:noProof w:val="0"/>
          <w:szCs w:val="20"/>
          <w:lang w:val="en-US"/>
        </w:rPr>
      </w:pPr>
    </w:p>
    <w:p w14:paraId="1A219D20" w14:textId="0C289870" w:rsidR="00E76B2D" w:rsidRPr="004542B5" w:rsidRDefault="00F8691C" w:rsidP="00D2507C">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noProof w:val="0"/>
          <w:szCs w:val="20"/>
          <w:lang w:val="en-US"/>
        </w:rPr>
      </w:pPr>
      <w:r w:rsidRPr="004542B5">
        <w:rPr>
          <w:noProof w:val="0"/>
          <w:szCs w:val="20"/>
          <w:lang w:val="en-US"/>
        </w:rPr>
        <w:t>The Court has determined that “</w:t>
      </w:r>
      <w:r w:rsidR="00D2507C" w:rsidRPr="004542B5">
        <w:rPr>
          <w:noProof w:val="0"/>
          <w:szCs w:val="20"/>
          <w:lang w:val="en-US"/>
        </w:rPr>
        <w:t>[i]ndigenous groups, by the fact of their very existence, have the right to live freely in their own territory; the close ties of indigenous people with the land must be recognized and understood as the fundamental basis of their cultures, their spiritual life, their integrity, and their economic survival. For indigenous communities, relations to the land are not merely a matter of possession and production but a material and spiritual element which they must fully enjoy, even to preserve their cultural legacy and transmit it to future generations.</w:t>
      </w:r>
      <w:r w:rsidR="00E76B2D" w:rsidRPr="004542B5">
        <w:rPr>
          <w:noProof w:val="0"/>
          <w:szCs w:val="20"/>
          <w:lang w:val="en-US"/>
        </w:rPr>
        <w:t>”</w:t>
      </w:r>
      <w:r w:rsidR="00E76B2D" w:rsidRPr="004542B5">
        <w:rPr>
          <w:rStyle w:val="FootnoteReference"/>
          <w:noProof w:val="0"/>
          <w:lang w:val="en-US"/>
        </w:rPr>
        <w:footnoteReference w:id="309"/>
      </w:r>
    </w:p>
    <w:p w14:paraId="1695A793" w14:textId="71118E59" w:rsidR="00E76B2D" w:rsidRPr="004542B5" w:rsidRDefault="00E76B2D" w:rsidP="00E76B2D">
      <w:pPr>
        <w:pStyle w:val="ListParagraph"/>
        <w:widowControl w:val="0"/>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ight="51"/>
        <w:rPr>
          <w:b/>
          <w:i/>
          <w:noProof w:val="0"/>
          <w:szCs w:val="20"/>
          <w:lang w:val="en-US"/>
        </w:rPr>
      </w:pPr>
    </w:p>
    <w:p w14:paraId="498EED49" w14:textId="0B31D43A" w:rsidR="00D57D3F" w:rsidRPr="004542B5" w:rsidRDefault="00D57D3F" w:rsidP="00E76B2D">
      <w:pPr>
        <w:pStyle w:val="ListParagraph"/>
        <w:widowControl w:val="0"/>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ight="51"/>
        <w:rPr>
          <w:b/>
          <w:i/>
          <w:noProof w:val="0"/>
          <w:szCs w:val="20"/>
          <w:lang w:val="en-US"/>
        </w:rPr>
      </w:pPr>
    </w:p>
    <w:p w14:paraId="11A76C38" w14:textId="77777777" w:rsidR="00D57D3F" w:rsidRPr="004542B5" w:rsidRDefault="00D57D3F" w:rsidP="00E76B2D">
      <w:pPr>
        <w:pStyle w:val="ListParagraph"/>
        <w:widowControl w:val="0"/>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right="51"/>
        <w:rPr>
          <w:b/>
          <w:i/>
          <w:noProof w:val="0"/>
          <w:szCs w:val="20"/>
          <w:lang w:val="en-US"/>
        </w:rPr>
      </w:pPr>
    </w:p>
    <w:p w14:paraId="064A68CE" w14:textId="60C06A77" w:rsidR="00E76B2D" w:rsidRPr="004542B5" w:rsidRDefault="00E76B2D" w:rsidP="00E76B2D">
      <w:pPr>
        <w:pStyle w:val="ListParagraph"/>
        <w:widowControl w:val="0"/>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51"/>
        <w:jc w:val="center"/>
        <w:rPr>
          <w:b/>
          <w:bCs/>
          <w:caps/>
          <w:noProof w:val="0"/>
          <w:szCs w:val="20"/>
          <w:lang w:val="en-US"/>
        </w:rPr>
      </w:pPr>
      <w:r w:rsidRPr="004542B5">
        <w:rPr>
          <w:b/>
          <w:bCs/>
          <w:caps/>
          <w:noProof w:val="0"/>
          <w:szCs w:val="20"/>
          <w:lang w:val="en-US"/>
        </w:rPr>
        <w:lastRenderedPageBreak/>
        <w:t xml:space="preserve">II. </w:t>
      </w:r>
      <w:r w:rsidR="00517C7D" w:rsidRPr="004542B5">
        <w:rPr>
          <w:b/>
          <w:bCs/>
          <w:caps/>
          <w:noProof w:val="0"/>
          <w:szCs w:val="20"/>
          <w:lang w:val="en-US"/>
        </w:rPr>
        <w:t xml:space="preserve">THE </w:t>
      </w:r>
      <w:r w:rsidR="00D21F9E" w:rsidRPr="004542B5">
        <w:rPr>
          <w:b/>
          <w:bCs/>
          <w:caps/>
          <w:noProof w:val="0"/>
          <w:szCs w:val="20"/>
          <w:lang w:val="en-US"/>
        </w:rPr>
        <w:t>LIMITS TO THE RIGHT TO COLLECTIVE OWNERSHIP BY</w:t>
      </w:r>
      <w:r w:rsidR="00517C7D" w:rsidRPr="004542B5">
        <w:rPr>
          <w:b/>
          <w:bCs/>
          <w:caps/>
          <w:noProof w:val="0"/>
          <w:szCs w:val="20"/>
          <w:lang w:val="en-US"/>
        </w:rPr>
        <w:t xml:space="preserve"> INDIGENOUS PEOPLES UNDER THE INTER-AMERICAN SYSTEM</w:t>
      </w:r>
    </w:p>
    <w:p w14:paraId="6FA3555D" w14:textId="77777777" w:rsidR="00E76B2D" w:rsidRPr="004542B5" w:rsidRDefault="00E76B2D" w:rsidP="00E76B2D">
      <w:pPr>
        <w:pStyle w:val="ListParagraph"/>
        <w:rPr>
          <w:noProof w:val="0"/>
          <w:szCs w:val="20"/>
          <w:lang w:val="en-US"/>
        </w:rPr>
      </w:pPr>
    </w:p>
    <w:p w14:paraId="680EC945" w14:textId="68DEBE84" w:rsidR="00E76B2D" w:rsidRPr="004542B5" w:rsidRDefault="00D2507C" w:rsidP="004E44D1">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noProof w:val="0"/>
          <w:szCs w:val="20"/>
          <w:lang w:val="en-US"/>
        </w:rPr>
      </w:pPr>
      <w:r w:rsidRPr="004542B5">
        <w:rPr>
          <w:noProof w:val="0"/>
          <w:szCs w:val="20"/>
          <w:lang w:val="en-US"/>
        </w:rPr>
        <w:t xml:space="preserve">When </w:t>
      </w:r>
      <w:r w:rsidR="004E44D1" w:rsidRPr="004542B5">
        <w:rPr>
          <w:noProof w:val="0"/>
          <w:szCs w:val="20"/>
          <w:lang w:val="en-US"/>
        </w:rPr>
        <w:t xml:space="preserve">there are real or apparent clashes between </w:t>
      </w:r>
      <w:r w:rsidRPr="004542B5">
        <w:rPr>
          <w:noProof w:val="0"/>
          <w:szCs w:val="20"/>
          <w:lang w:val="en-US"/>
        </w:rPr>
        <w:t xml:space="preserve">indigenous communal property </w:t>
      </w:r>
      <w:r w:rsidR="00CD2B90" w:rsidRPr="004542B5">
        <w:rPr>
          <w:noProof w:val="0"/>
          <w:szCs w:val="20"/>
          <w:lang w:val="en-US"/>
        </w:rPr>
        <w:t xml:space="preserve">and </w:t>
      </w:r>
      <w:r w:rsidR="004E44D1" w:rsidRPr="004542B5">
        <w:rPr>
          <w:noProof w:val="0"/>
          <w:szCs w:val="20"/>
          <w:lang w:val="en-US"/>
        </w:rPr>
        <w:t xml:space="preserve">the property of private individuals, the American Convention and the case law </w:t>
      </w:r>
      <w:r w:rsidR="008A56D7" w:rsidRPr="004542B5">
        <w:rPr>
          <w:noProof w:val="0"/>
          <w:szCs w:val="20"/>
          <w:lang w:val="en-US"/>
        </w:rPr>
        <w:t xml:space="preserve">of the </w:t>
      </w:r>
      <w:r w:rsidR="004E44D1" w:rsidRPr="004542B5">
        <w:rPr>
          <w:noProof w:val="0"/>
          <w:szCs w:val="20"/>
          <w:lang w:val="en-US"/>
        </w:rPr>
        <w:t xml:space="preserve">Inter-American Court provide the standards to define the admissible restrictions to the use and enjoyment of those rights, namely: (a) they must be established by law; (b) they must be necessary; (c) they must be proportionate, and (d) they must be addressed at achieving a legitimate purpose in a </w:t>
      </w:r>
      <w:r w:rsidR="006110CB" w:rsidRPr="004542B5">
        <w:rPr>
          <w:noProof w:val="0"/>
          <w:szCs w:val="20"/>
          <w:lang w:val="en-US"/>
        </w:rPr>
        <w:t>democratic</w:t>
      </w:r>
      <w:r w:rsidR="004E44D1" w:rsidRPr="004542B5">
        <w:rPr>
          <w:noProof w:val="0"/>
          <w:szCs w:val="20"/>
          <w:lang w:val="en-US"/>
        </w:rPr>
        <w:t xml:space="preserve"> society.</w:t>
      </w:r>
      <w:r w:rsidR="00E76B2D" w:rsidRPr="004542B5">
        <w:rPr>
          <w:rStyle w:val="FootnoteReference"/>
          <w:noProof w:val="0"/>
          <w:lang w:val="en-US"/>
        </w:rPr>
        <w:footnoteReference w:id="310"/>
      </w:r>
    </w:p>
    <w:p w14:paraId="1A4C38E8" w14:textId="77777777" w:rsidR="00E76B2D" w:rsidRPr="004542B5" w:rsidRDefault="00E76B2D" w:rsidP="00E76B2D">
      <w:pPr>
        <w:pStyle w:val="ListParagraph"/>
        <w:rPr>
          <w:noProof w:val="0"/>
          <w:szCs w:val="20"/>
          <w:lang w:val="en-US"/>
        </w:rPr>
      </w:pPr>
    </w:p>
    <w:p w14:paraId="792FD1C7" w14:textId="6B51EDF1" w:rsidR="00E76B2D" w:rsidRPr="004542B5" w:rsidRDefault="00342385" w:rsidP="004E44D1">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noProof w:val="0"/>
          <w:szCs w:val="20"/>
          <w:lang w:val="en-US"/>
        </w:rPr>
      </w:pPr>
      <w:r w:rsidRPr="004542B5">
        <w:rPr>
          <w:noProof w:val="0"/>
          <w:szCs w:val="20"/>
          <w:lang w:val="en-US"/>
        </w:rPr>
        <w:t>Article</w:t>
      </w:r>
      <w:r w:rsidR="00E76B2D" w:rsidRPr="004542B5">
        <w:rPr>
          <w:noProof w:val="0"/>
          <w:szCs w:val="20"/>
          <w:lang w:val="en-US"/>
        </w:rPr>
        <w:t xml:space="preserve"> 21</w:t>
      </w:r>
      <w:r w:rsidR="004E44D1" w:rsidRPr="004542B5">
        <w:rPr>
          <w:noProof w:val="0"/>
          <w:szCs w:val="20"/>
          <w:lang w:val="en-US"/>
        </w:rPr>
        <w:t>(</w:t>
      </w:r>
      <w:r w:rsidR="00E76B2D" w:rsidRPr="004542B5">
        <w:rPr>
          <w:noProof w:val="0"/>
          <w:szCs w:val="20"/>
          <w:lang w:val="en-US"/>
        </w:rPr>
        <w:t>1</w:t>
      </w:r>
      <w:r w:rsidR="004E44D1" w:rsidRPr="004542B5">
        <w:rPr>
          <w:noProof w:val="0"/>
          <w:szCs w:val="20"/>
          <w:lang w:val="en-US"/>
        </w:rPr>
        <w:t xml:space="preserve">) </w:t>
      </w:r>
      <w:r w:rsidR="008A56D7" w:rsidRPr="004542B5">
        <w:rPr>
          <w:noProof w:val="0"/>
          <w:szCs w:val="20"/>
          <w:lang w:val="en-US"/>
        </w:rPr>
        <w:t xml:space="preserve">of the </w:t>
      </w:r>
      <w:r w:rsidR="00562CBB" w:rsidRPr="004542B5">
        <w:rPr>
          <w:noProof w:val="0"/>
          <w:szCs w:val="20"/>
          <w:lang w:val="en-US"/>
        </w:rPr>
        <w:t>Convention</w:t>
      </w:r>
      <w:r w:rsidR="00E76B2D" w:rsidRPr="004542B5">
        <w:rPr>
          <w:noProof w:val="0"/>
          <w:szCs w:val="20"/>
          <w:lang w:val="en-US"/>
        </w:rPr>
        <w:t xml:space="preserve"> </w:t>
      </w:r>
      <w:r w:rsidR="004E44D1" w:rsidRPr="004542B5">
        <w:rPr>
          <w:noProof w:val="0"/>
          <w:szCs w:val="20"/>
          <w:lang w:val="en-US"/>
        </w:rPr>
        <w:t>establishes that</w:t>
      </w:r>
      <w:r w:rsidR="00E76B2D" w:rsidRPr="004542B5">
        <w:rPr>
          <w:noProof w:val="0"/>
          <w:szCs w:val="20"/>
          <w:lang w:val="en-US"/>
        </w:rPr>
        <w:t xml:space="preserve"> “</w:t>
      </w:r>
      <w:r w:rsidR="004E44D1" w:rsidRPr="004542B5">
        <w:rPr>
          <w:noProof w:val="0"/>
          <w:szCs w:val="20"/>
          <w:lang w:val="en-US"/>
        </w:rPr>
        <w:t>[t]</w:t>
      </w:r>
      <w:r w:rsidR="004E44D1" w:rsidRPr="004542B5">
        <w:rPr>
          <w:noProof w:val="0"/>
          <w:spacing w:val="-3"/>
          <w:szCs w:val="20"/>
          <w:lang w:val="en-US"/>
        </w:rPr>
        <w:t xml:space="preserve">he law may subordinate such use and enjoyment to the interest of society.” The need for legally established restrictions will depend on </w:t>
      </w:r>
      <w:r w:rsidR="00D57D3F" w:rsidRPr="004542B5">
        <w:rPr>
          <w:noProof w:val="0"/>
          <w:spacing w:val="-3"/>
          <w:szCs w:val="20"/>
          <w:lang w:val="en-US"/>
        </w:rPr>
        <w:t>their</w:t>
      </w:r>
      <w:r w:rsidR="004E44D1" w:rsidRPr="004542B5">
        <w:rPr>
          <w:noProof w:val="0"/>
          <w:spacing w:val="-3"/>
          <w:szCs w:val="20"/>
          <w:lang w:val="en-US"/>
        </w:rPr>
        <w:t xml:space="preserve"> aim</w:t>
      </w:r>
      <w:r w:rsidR="00D57D3F" w:rsidRPr="004542B5">
        <w:rPr>
          <w:noProof w:val="0"/>
          <w:spacing w:val="-3"/>
          <w:szCs w:val="20"/>
          <w:lang w:val="en-US"/>
        </w:rPr>
        <w:t xml:space="preserve"> being to</w:t>
      </w:r>
      <w:r w:rsidR="004E44D1" w:rsidRPr="004542B5">
        <w:rPr>
          <w:noProof w:val="0"/>
          <w:spacing w:val="-3"/>
          <w:szCs w:val="20"/>
          <w:lang w:val="en-US"/>
        </w:rPr>
        <w:t xml:space="preserve"> satisfy</w:t>
      </w:r>
      <w:r w:rsidR="00D57D3F" w:rsidRPr="004542B5">
        <w:rPr>
          <w:noProof w:val="0"/>
          <w:spacing w:val="-3"/>
          <w:szCs w:val="20"/>
          <w:lang w:val="en-US"/>
        </w:rPr>
        <w:t xml:space="preserve"> </w:t>
      </w:r>
      <w:r w:rsidR="004E44D1" w:rsidRPr="004542B5">
        <w:rPr>
          <w:noProof w:val="0"/>
          <w:spacing w:val="-3"/>
          <w:szCs w:val="20"/>
          <w:lang w:val="en-US"/>
        </w:rPr>
        <w:t xml:space="preserve">an essential public interest, and it is not sufficient </w:t>
      </w:r>
      <w:r w:rsidR="00D57D3F" w:rsidRPr="004542B5">
        <w:rPr>
          <w:noProof w:val="0"/>
          <w:spacing w:val="-3"/>
          <w:szCs w:val="20"/>
          <w:lang w:val="en-US"/>
        </w:rPr>
        <w:t>to</w:t>
      </w:r>
      <w:r w:rsidR="004E44D1" w:rsidRPr="004542B5">
        <w:rPr>
          <w:noProof w:val="0"/>
          <w:spacing w:val="-3"/>
          <w:szCs w:val="20"/>
          <w:lang w:val="en-US"/>
        </w:rPr>
        <w:t xml:space="preserve"> prove, for example, that the law has a useful and timely purpose. The proportionality stems from the fact that the restriction must be closely adapted to the achievement of a legitimate purpose, interfering as little as possible in the effective exercise of the restricted rights. Lastly, to be compatible with the Convention, restrictions must be justified by collective objectives that, owing to their importance, clearly </w:t>
      </w:r>
      <w:r w:rsidR="006110CB" w:rsidRPr="004542B5">
        <w:rPr>
          <w:noProof w:val="0"/>
          <w:spacing w:val="-3"/>
          <w:szCs w:val="20"/>
          <w:lang w:val="en-US"/>
        </w:rPr>
        <w:t>outweigh</w:t>
      </w:r>
      <w:r w:rsidR="004E44D1" w:rsidRPr="004542B5">
        <w:rPr>
          <w:noProof w:val="0"/>
          <w:spacing w:val="-3"/>
          <w:szCs w:val="20"/>
          <w:lang w:val="en-US"/>
        </w:rPr>
        <w:t xml:space="preserve"> the need for the full enjoyment of the restricted right.</w:t>
      </w:r>
      <w:r w:rsidR="00E76B2D" w:rsidRPr="004542B5">
        <w:rPr>
          <w:rStyle w:val="FootnoteReference"/>
          <w:noProof w:val="0"/>
          <w:lang w:val="en-US"/>
        </w:rPr>
        <w:footnoteReference w:id="311"/>
      </w:r>
      <w:r w:rsidR="00E76B2D" w:rsidRPr="004542B5">
        <w:rPr>
          <w:noProof w:val="0"/>
          <w:szCs w:val="20"/>
          <w:lang w:val="en-US"/>
        </w:rPr>
        <w:t xml:space="preserve"> </w:t>
      </w:r>
    </w:p>
    <w:p w14:paraId="3A8FB3A8" w14:textId="77777777" w:rsidR="00E76B2D" w:rsidRPr="004542B5" w:rsidRDefault="00E76B2D" w:rsidP="00E76B2D">
      <w:pPr>
        <w:pStyle w:val="ListParagraph"/>
        <w:rPr>
          <w:noProof w:val="0"/>
          <w:szCs w:val="20"/>
          <w:lang w:val="en-US"/>
        </w:rPr>
      </w:pPr>
    </w:p>
    <w:p w14:paraId="35EC1151" w14:textId="6E631159" w:rsidR="00E76B2D" w:rsidRPr="004542B5" w:rsidRDefault="00562CBB"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noProof w:val="0"/>
          <w:szCs w:val="20"/>
          <w:lang w:val="en-US"/>
        </w:rPr>
      </w:pPr>
      <w:r w:rsidRPr="004542B5">
        <w:rPr>
          <w:noProof w:val="0"/>
          <w:szCs w:val="20"/>
          <w:lang w:val="en-US"/>
        </w:rPr>
        <w:t>The Court</w:t>
      </w:r>
      <w:r w:rsidR="00E76B2D" w:rsidRPr="004542B5">
        <w:rPr>
          <w:noProof w:val="0"/>
          <w:szCs w:val="20"/>
          <w:lang w:val="en-US"/>
        </w:rPr>
        <w:t xml:space="preserve"> ha</w:t>
      </w:r>
      <w:r w:rsidR="004E44D1" w:rsidRPr="004542B5">
        <w:rPr>
          <w:noProof w:val="0"/>
          <w:szCs w:val="20"/>
          <w:lang w:val="en-US"/>
        </w:rPr>
        <w:t>s observed that the right to property is not absolute and, therefore, it may be subject to restrictions and limitations,</w:t>
      </w:r>
      <w:r w:rsidR="00E76B2D" w:rsidRPr="004542B5">
        <w:rPr>
          <w:rStyle w:val="FootnoteReference"/>
          <w:rFonts w:eastAsiaTheme="minorHAnsi" w:cs="Verdana"/>
          <w:noProof w:val="0"/>
          <w:lang w:val="en-US"/>
        </w:rPr>
        <w:footnoteReference w:id="312"/>
      </w:r>
      <w:r w:rsidR="004E44D1" w:rsidRPr="004542B5">
        <w:rPr>
          <w:rFonts w:eastAsiaTheme="minorHAnsi" w:cs="Verdana"/>
          <w:noProof w:val="0"/>
          <w:szCs w:val="20"/>
          <w:lang w:val="en-US"/>
        </w:rPr>
        <w:t xml:space="preserve"> provided the</w:t>
      </w:r>
      <w:r w:rsidR="00201460" w:rsidRPr="004542B5">
        <w:rPr>
          <w:rFonts w:eastAsiaTheme="minorHAnsi" w:cs="Verdana"/>
          <w:noProof w:val="0"/>
          <w:szCs w:val="20"/>
          <w:lang w:val="en-US"/>
        </w:rPr>
        <w:t>se</w:t>
      </w:r>
      <w:r w:rsidR="004E44D1" w:rsidRPr="004542B5">
        <w:rPr>
          <w:rFonts w:eastAsiaTheme="minorHAnsi" w:cs="Verdana"/>
          <w:noProof w:val="0"/>
          <w:szCs w:val="20"/>
          <w:lang w:val="en-US"/>
        </w:rPr>
        <w:t xml:space="preserve"> are imposed </w:t>
      </w:r>
      <w:r w:rsidR="00201460" w:rsidRPr="004542B5">
        <w:rPr>
          <w:rFonts w:eastAsiaTheme="minorHAnsi" w:cs="Verdana"/>
          <w:noProof w:val="0"/>
          <w:szCs w:val="20"/>
          <w:lang w:val="en-US"/>
        </w:rPr>
        <w:t xml:space="preserve">using </w:t>
      </w:r>
      <w:r w:rsidR="004E44D1" w:rsidRPr="004542B5">
        <w:rPr>
          <w:rFonts w:eastAsiaTheme="minorHAnsi" w:cs="Verdana"/>
          <w:noProof w:val="0"/>
          <w:szCs w:val="20"/>
          <w:lang w:val="en-US"/>
        </w:rPr>
        <w:t>the appropriate legal</w:t>
      </w:r>
      <w:r w:rsidR="00201460" w:rsidRPr="004542B5">
        <w:rPr>
          <w:rFonts w:eastAsiaTheme="minorHAnsi" w:cs="Verdana"/>
          <w:noProof w:val="0"/>
          <w:szCs w:val="20"/>
          <w:lang w:val="en-US"/>
        </w:rPr>
        <w:t xml:space="preserve"> mechanisms and in accordance with the parameters established in the said </w:t>
      </w:r>
      <w:r w:rsidRPr="004542B5">
        <w:rPr>
          <w:rFonts w:eastAsiaTheme="minorHAnsi" w:cs="Verdana"/>
          <w:noProof w:val="0"/>
          <w:szCs w:val="20"/>
          <w:lang w:val="en-US"/>
        </w:rPr>
        <w:t>Article</w:t>
      </w:r>
      <w:r w:rsidR="00E76B2D" w:rsidRPr="004542B5">
        <w:rPr>
          <w:rFonts w:eastAsiaTheme="minorHAnsi" w:cs="Verdana"/>
          <w:noProof w:val="0"/>
          <w:szCs w:val="20"/>
          <w:lang w:val="en-US"/>
        </w:rPr>
        <w:t xml:space="preserve"> 21</w:t>
      </w:r>
      <w:r w:rsidR="008A56D7" w:rsidRPr="004542B5">
        <w:rPr>
          <w:rFonts w:eastAsiaTheme="minorHAnsi" w:cs="Verdana"/>
          <w:noProof w:val="0"/>
          <w:szCs w:val="20"/>
          <w:lang w:val="en-US"/>
        </w:rPr>
        <w:t xml:space="preserve"> of the </w:t>
      </w:r>
      <w:r w:rsidRPr="004542B5">
        <w:rPr>
          <w:rFonts w:eastAsiaTheme="minorHAnsi" w:cs="Verdana"/>
          <w:noProof w:val="0"/>
          <w:szCs w:val="20"/>
          <w:lang w:val="en-US"/>
        </w:rPr>
        <w:t>Convention</w:t>
      </w:r>
      <w:r w:rsidR="00201460" w:rsidRPr="004542B5">
        <w:rPr>
          <w:rFonts w:eastAsiaTheme="minorHAnsi" w:cs="Verdana"/>
          <w:noProof w:val="0"/>
          <w:szCs w:val="20"/>
          <w:lang w:val="en-US"/>
        </w:rPr>
        <w:t>.</w:t>
      </w:r>
      <w:r w:rsidR="00E76B2D" w:rsidRPr="004542B5">
        <w:rPr>
          <w:rStyle w:val="FootnoteReference"/>
          <w:rFonts w:eastAsiaTheme="minorHAnsi" w:cs="Verdana"/>
          <w:noProof w:val="0"/>
          <w:lang w:val="en-US"/>
        </w:rPr>
        <w:footnoteReference w:id="313"/>
      </w:r>
      <w:r w:rsidR="00E76B2D" w:rsidRPr="004542B5">
        <w:rPr>
          <w:noProof w:val="0"/>
          <w:szCs w:val="20"/>
          <w:lang w:val="en-US"/>
        </w:rPr>
        <w:t xml:space="preserve"> </w:t>
      </w:r>
      <w:r w:rsidR="00201460" w:rsidRPr="004542B5">
        <w:rPr>
          <w:noProof w:val="0"/>
          <w:szCs w:val="20"/>
          <w:lang w:val="en-US"/>
        </w:rPr>
        <w:t xml:space="preserve">The Court has established that, when examining a possible violation of the right to property, it should not </w:t>
      </w:r>
      <w:r w:rsidR="006110CB" w:rsidRPr="004542B5">
        <w:rPr>
          <w:noProof w:val="0"/>
          <w:szCs w:val="20"/>
          <w:lang w:val="en-US"/>
        </w:rPr>
        <w:t>restrict</w:t>
      </w:r>
      <w:r w:rsidR="00201460" w:rsidRPr="004542B5">
        <w:rPr>
          <w:noProof w:val="0"/>
          <w:szCs w:val="20"/>
          <w:lang w:val="en-US"/>
        </w:rPr>
        <w:t xml:space="preserve"> itself to merely examining whether a formal expropriation or dispossession occurred, but also verify, over and above appearances, the real situation behind the situation denounced.</w:t>
      </w:r>
      <w:r w:rsidR="00E76B2D" w:rsidRPr="004542B5">
        <w:rPr>
          <w:rStyle w:val="FootnoteReference"/>
          <w:rFonts w:eastAsiaTheme="minorHAnsi" w:cs="Verdana"/>
          <w:noProof w:val="0"/>
          <w:lang w:val="en-US"/>
        </w:rPr>
        <w:footnoteReference w:id="314"/>
      </w:r>
    </w:p>
    <w:p w14:paraId="3C612FBC" w14:textId="77777777" w:rsidR="00E76B2D" w:rsidRPr="004542B5" w:rsidRDefault="00E76B2D" w:rsidP="00E76B2D">
      <w:pPr>
        <w:pStyle w:val="ListParagraph"/>
        <w:rPr>
          <w:noProof w:val="0"/>
          <w:szCs w:val="20"/>
          <w:lang w:val="en-US"/>
        </w:rPr>
      </w:pPr>
    </w:p>
    <w:p w14:paraId="77711AEE" w14:textId="2EFAB3AA" w:rsidR="00E76B2D" w:rsidRPr="004542B5" w:rsidRDefault="00342385" w:rsidP="00201460">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noProof w:val="0"/>
          <w:szCs w:val="20"/>
          <w:lang w:val="en-US"/>
        </w:rPr>
      </w:pPr>
      <w:r w:rsidRPr="004542B5">
        <w:rPr>
          <w:noProof w:val="0"/>
          <w:szCs w:val="20"/>
          <w:lang w:val="en-US"/>
        </w:rPr>
        <w:t>Article</w:t>
      </w:r>
      <w:r w:rsidR="00E76B2D" w:rsidRPr="004542B5">
        <w:rPr>
          <w:noProof w:val="0"/>
          <w:szCs w:val="20"/>
          <w:lang w:val="en-US"/>
        </w:rPr>
        <w:t xml:space="preserve"> 21</w:t>
      </w:r>
      <w:r w:rsidR="00201460" w:rsidRPr="004542B5">
        <w:rPr>
          <w:noProof w:val="0"/>
          <w:szCs w:val="20"/>
          <w:lang w:val="en-US"/>
        </w:rPr>
        <w:t>(</w:t>
      </w:r>
      <w:r w:rsidR="00E76B2D" w:rsidRPr="004542B5">
        <w:rPr>
          <w:noProof w:val="0"/>
          <w:szCs w:val="20"/>
          <w:lang w:val="en-US"/>
        </w:rPr>
        <w:t>2</w:t>
      </w:r>
      <w:r w:rsidR="00201460" w:rsidRPr="004542B5">
        <w:rPr>
          <w:noProof w:val="0"/>
          <w:szCs w:val="20"/>
          <w:lang w:val="en-US"/>
        </w:rPr>
        <w:t>)</w:t>
      </w:r>
      <w:r w:rsidR="008A56D7" w:rsidRPr="004542B5">
        <w:rPr>
          <w:noProof w:val="0"/>
          <w:szCs w:val="20"/>
          <w:lang w:val="en-US"/>
        </w:rPr>
        <w:t xml:space="preserve"> of the </w:t>
      </w:r>
      <w:r w:rsidR="00562CBB" w:rsidRPr="004542B5">
        <w:rPr>
          <w:noProof w:val="0"/>
          <w:szCs w:val="20"/>
          <w:lang w:val="en-US"/>
        </w:rPr>
        <w:t>Convention</w:t>
      </w:r>
      <w:r w:rsidR="00E76B2D" w:rsidRPr="004542B5">
        <w:rPr>
          <w:noProof w:val="0"/>
          <w:szCs w:val="20"/>
          <w:lang w:val="en-US"/>
        </w:rPr>
        <w:t xml:space="preserve"> establ</w:t>
      </w:r>
      <w:r w:rsidR="00201460" w:rsidRPr="004542B5">
        <w:rPr>
          <w:noProof w:val="0"/>
          <w:szCs w:val="20"/>
          <w:lang w:val="en-US"/>
        </w:rPr>
        <w:t xml:space="preserve">ishes that, for the deprivation of someone[s property to be compatible with the right to property established in the Convention, it must be based on reasons of </w:t>
      </w:r>
      <w:r w:rsidR="006110CB" w:rsidRPr="004542B5">
        <w:rPr>
          <w:noProof w:val="0"/>
          <w:szCs w:val="20"/>
          <w:lang w:val="en-US"/>
        </w:rPr>
        <w:t>public</w:t>
      </w:r>
      <w:r w:rsidR="00201460" w:rsidRPr="004542B5">
        <w:rPr>
          <w:noProof w:val="0"/>
          <w:szCs w:val="20"/>
          <w:lang w:val="en-US"/>
        </w:rPr>
        <w:t xml:space="preserve"> utility or social interest, subject to payment of just compensation, and be limited to the case and according to the forms established by law.</w:t>
      </w:r>
      <w:r w:rsidR="00E76B2D" w:rsidRPr="004542B5">
        <w:rPr>
          <w:rStyle w:val="FootnoteReference"/>
          <w:noProof w:val="0"/>
          <w:lang w:val="en-US"/>
        </w:rPr>
        <w:footnoteReference w:id="315"/>
      </w:r>
      <w:r w:rsidR="00201460" w:rsidRPr="004542B5">
        <w:rPr>
          <w:noProof w:val="0"/>
          <w:szCs w:val="20"/>
          <w:lang w:val="en-US"/>
        </w:rPr>
        <w:t xml:space="preserve"> It may be necessary to </w:t>
      </w:r>
      <w:r w:rsidR="006110CB" w:rsidRPr="004542B5">
        <w:rPr>
          <w:noProof w:val="0"/>
          <w:szCs w:val="20"/>
          <w:lang w:val="en-US"/>
        </w:rPr>
        <w:t>restrict</w:t>
      </w:r>
      <w:r w:rsidR="00201460" w:rsidRPr="004542B5">
        <w:rPr>
          <w:noProof w:val="0"/>
          <w:szCs w:val="20"/>
          <w:lang w:val="en-US"/>
        </w:rPr>
        <w:t xml:space="preserve"> </w:t>
      </w:r>
      <w:r w:rsidR="006110CB" w:rsidRPr="004542B5">
        <w:rPr>
          <w:noProof w:val="0"/>
          <w:szCs w:val="20"/>
          <w:lang w:val="en-US"/>
        </w:rPr>
        <w:t>the</w:t>
      </w:r>
      <w:r w:rsidR="00201460" w:rsidRPr="004542B5">
        <w:rPr>
          <w:noProof w:val="0"/>
          <w:szCs w:val="20"/>
          <w:lang w:val="en-US"/>
        </w:rPr>
        <w:t xml:space="preserve"> right to property of private individuals in order to achieve the collective purpose of preserving cultural identities in a democratic and pluralist society in the sense of the American Convention; and proportionate, if a just compensation is paid to those who are prejudiced, pursuant to </w:t>
      </w:r>
      <w:r w:rsidR="00562CBB" w:rsidRPr="004542B5">
        <w:rPr>
          <w:noProof w:val="0"/>
          <w:szCs w:val="20"/>
          <w:lang w:val="en-US"/>
        </w:rPr>
        <w:t>Article</w:t>
      </w:r>
      <w:r w:rsidR="00E76B2D" w:rsidRPr="004542B5">
        <w:rPr>
          <w:noProof w:val="0"/>
          <w:szCs w:val="20"/>
          <w:lang w:val="en-US"/>
        </w:rPr>
        <w:t xml:space="preserve"> 21</w:t>
      </w:r>
      <w:r w:rsidR="00201460" w:rsidRPr="004542B5">
        <w:rPr>
          <w:noProof w:val="0"/>
          <w:szCs w:val="20"/>
          <w:lang w:val="en-US"/>
        </w:rPr>
        <w:t>(</w:t>
      </w:r>
      <w:r w:rsidR="00E76B2D" w:rsidRPr="004542B5">
        <w:rPr>
          <w:noProof w:val="0"/>
          <w:szCs w:val="20"/>
          <w:lang w:val="en-US"/>
        </w:rPr>
        <w:t>2</w:t>
      </w:r>
      <w:r w:rsidR="00201460" w:rsidRPr="004542B5">
        <w:rPr>
          <w:noProof w:val="0"/>
          <w:szCs w:val="20"/>
          <w:lang w:val="en-US"/>
        </w:rPr>
        <w:t>)</w:t>
      </w:r>
      <w:r w:rsidR="008A56D7" w:rsidRPr="004542B5">
        <w:rPr>
          <w:noProof w:val="0"/>
          <w:szCs w:val="20"/>
          <w:lang w:val="en-US"/>
        </w:rPr>
        <w:t xml:space="preserve"> of the </w:t>
      </w:r>
      <w:r w:rsidR="00562CBB" w:rsidRPr="004542B5">
        <w:rPr>
          <w:noProof w:val="0"/>
          <w:szCs w:val="20"/>
          <w:lang w:val="en-US"/>
        </w:rPr>
        <w:t>Convention</w:t>
      </w:r>
      <w:r w:rsidR="00201460" w:rsidRPr="004542B5">
        <w:rPr>
          <w:noProof w:val="0"/>
          <w:szCs w:val="20"/>
          <w:lang w:val="en-US"/>
        </w:rPr>
        <w:t>.</w:t>
      </w:r>
      <w:r w:rsidR="00E76B2D" w:rsidRPr="004542B5">
        <w:rPr>
          <w:rStyle w:val="FootnoteReference"/>
          <w:noProof w:val="0"/>
          <w:lang w:val="en-US"/>
        </w:rPr>
        <w:footnoteReference w:id="316"/>
      </w:r>
    </w:p>
    <w:p w14:paraId="49232248" w14:textId="77777777" w:rsidR="00E76B2D" w:rsidRPr="004542B5" w:rsidRDefault="00E76B2D" w:rsidP="00E76B2D">
      <w:pPr>
        <w:pStyle w:val="ListParagraph"/>
        <w:rPr>
          <w:noProof w:val="0"/>
          <w:szCs w:val="20"/>
          <w:lang w:val="en-US"/>
        </w:rPr>
      </w:pPr>
    </w:p>
    <w:p w14:paraId="63E70DE1" w14:textId="730EF41D" w:rsidR="00E76B2D" w:rsidRPr="004542B5" w:rsidRDefault="00201460" w:rsidP="00312760">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noProof w:val="0"/>
          <w:szCs w:val="20"/>
          <w:lang w:val="en-US"/>
        </w:rPr>
      </w:pPr>
      <w:r w:rsidRPr="004542B5">
        <w:rPr>
          <w:noProof w:val="0"/>
          <w:szCs w:val="20"/>
          <w:lang w:val="en-US"/>
        </w:rPr>
        <w:t>This does</w:t>
      </w:r>
      <w:r w:rsidR="00312760" w:rsidRPr="004542B5">
        <w:rPr>
          <w:noProof w:val="0"/>
          <w:szCs w:val="20"/>
          <w:lang w:val="en-US"/>
        </w:rPr>
        <w:t xml:space="preserve"> </w:t>
      </w:r>
      <w:r w:rsidRPr="004542B5">
        <w:rPr>
          <w:noProof w:val="0"/>
          <w:szCs w:val="20"/>
          <w:lang w:val="en-US"/>
        </w:rPr>
        <w:t>not mean that whenever there is a conflict between the territorial interests of private individual</w:t>
      </w:r>
      <w:r w:rsidR="00312760" w:rsidRPr="004542B5">
        <w:rPr>
          <w:noProof w:val="0"/>
          <w:szCs w:val="20"/>
          <w:lang w:val="en-US"/>
        </w:rPr>
        <w:t xml:space="preserve">s </w:t>
      </w:r>
      <w:r w:rsidRPr="004542B5">
        <w:rPr>
          <w:noProof w:val="0"/>
          <w:szCs w:val="20"/>
          <w:lang w:val="en-US"/>
        </w:rPr>
        <w:t>or</w:t>
      </w:r>
      <w:r w:rsidR="00312760" w:rsidRPr="004542B5">
        <w:rPr>
          <w:noProof w:val="0"/>
          <w:szCs w:val="20"/>
          <w:lang w:val="en-US"/>
        </w:rPr>
        <w:t xml:space="preserve"> of</w:t>
      </w:r>
      <w:r w:rsidRPr="004542B5">
        <w:rPr>
          <w:noProof w:val="0"/>
          <w:szCs w:val="20"/>
          <w:lang w:val="en-US"/>
        </w:rPr>
        <w:t xml:space="preserve"> the State and the territorial interests of the members of indigenous communities, the latter should prevail over the former. </w:t>
      </w:r>
      <w:r w:rsidRPr="004542B5">
        <w:rPr>
          <w:noProof w:val="0"/>
          <w:szCs w:val="20"/>
          <w:u w:val="single"/>
          <w:lang w:val="en-US"/>
        </w:rPr>
        <w:t>When States are unable, for specific</w:t>
      </w:r>
      <w:r w:rsidR="00312760" w:rsidRPr="004542B5">
        <w:rPr>
          <w:noProof w:val="0"/>
          <w:szCs w:val="20"/>
          <w:u w:val="single"/>
          <w:lang w:val="en-US"/>
        </w:rPr>
        <w:t xml:space="preserve"> and</w:t>
      </w:r>
      <w:r w:rsidRPr="004542B5">
        <w:rPr>
          <w:noProof w:val="0"/>
          <w:szCs w:val="20"/>
          <w:u w:val="single"/>
          <w:lang w:val="en-US"/>
        </w:rPr>
        <w:t xml:space="preserve"> justified reasons, to take measures to return the traditional territory and communal resources </w:t>
      </w:r>
      <w:r w:rsidR="00312760" w:rsidRPr="004542B5">
        <w:rPr>
          <w:noProof w:val="0"/>
          <w:szCs w:val="20"/>
          <w:u w:val="single"/>
          <w:lang w:val="en-US"/>
        </w:rPr>
        <w:t>to</w:t>
      </w:r>
      <w:r w:rsidRPr="004542B5">
        <w:rPr>
          <w:noProof w:val="0"/>
          <w:szCs w:val="20"/>
          <w:u w:val="single"/>
          <w:lang w:val="en-US"/>
        </w:rPr>
        <w:t xml:space="preserve"> indigenous populations,</w:t>
      </w:r>
      <w:r w:rsidR="00312760" w:rsidRPr="004542B5">
        <w:rPr>
          <w:noProof w:val="0"/>
          <w:szCs w:val="20"/>
          <w:u w:val="single"/>
          <w:lang w:val="en-US"/>
        </w:rPr>
        <w:t xml:space="preserve"> the compensation granted must be guided primarily by the significance that the land has for them</w:t>
      </w:r>
      <w:r w:rsidR="00E76B2D" w:rsidRPr="004542B5">
        <w:rPr>
          <w:rStyle w:val="FootnoteReference"/>
          <w:noProof w:val="0"/>
          <w:lang w:val="en-US"/>
        </w:rPr>
        <w:footnoteReference w:id="317"/>
      </w:r>
      <w:r w:rsidR="00E76B2D" w:rsidRPr="004542B5">
        <w:rPr>
          <w:noProof w:val="0"/>
          <w:szCs w:val="20"/>
          <w:lang w:val="en-US"/>
        </w:rPr>
        <w:t xml:space="preserve"> (</w:t>
      </w:r>
      <w:r w:rsidR="00312760" w:rsidRPr="004542B5">
        <w:rPr>
          <w:noProof w:val="0"/>
          <w:szCs w:val="20"/>
          <w:lang w:val="en-US"/>
        </w:rPr>
        <w:t>underlining added).</w:t>
      </w:r>
    </w:p>
    <w:p w14:paraId="320C55E5" w14:textId="77777777" w:rsidR="00E76B2D" w:rsidRPr="004542B5" w:rsidRDefault="00E76B2D" w:rsidP="00E76B2D">
      <w:pPr>
        <w:pStyle w:val="ListParagraph"/>
        <w:rPr>
          <w:noProof w:val="0"/>
          <w:szCs w:val="20"/>
          <w:lang w:val="en-US"/>
        </w:rPr>
      </w:pPr>
    </w:p>
    <w:p w14:paraId="1E47EDE9" w14:textId="6F276BA6" w:rsidR="00E76B2D" w:rsidRPr="004542B5" w:rsidRDefault="00312760" w:rsidP="00312760">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51" w:firstLine="0"/>
        <w:rPr>
          <w:noProof w:val="0"/>
          <w:szCs w:val="20"/>
          <w:lang w:val="en-US"/>
        </w:rPr>
      </w:pPr>
      <w:r w:rsidRPr="004542B5">
        <w:rPr>
          <w:noProof w:val="0"/>
          <w:szCs w:val="20"/>
          <w:lang w:val="en-US"/>
        </w:rPr>
        <w:t>In the context of major development projects or for exploration, extraction or exploitation of resources and minerals, the Inter-American Court has determined a series of right</w:t>
      </w:r>
      <w:r w:rsidR="001D402B" w:rsidRPr="004542B5">
        <w:rPr>
          <w:noProof w:val="0"/>
          <w:szCs w:val="20"/>
          <w:lang w:val="en-US"/>
        </w:rPr>
        <w:t>s</w:t>
      </w:r>
      <w:r w:rsidRPr="004542B5">
        <w:rPr>
          <w:noProof w:val="0"/>
          <w:szCs w:val="20"/>
          <w:lang w:val="en-US"/>
        </w:rPr>
        <w:t xml:space="preserve"> of indigenous and tribal peoples</w:t>
      </w:r>
      <w:r w:rsidR="00DE3979" w:rsidRPr="004542B5">
        <w:rPr>
          <w:noProof w:val="0"/>
          <w:szCs w:val="20"/>
          <w:lang w:val="en-US"/>
        </w:rPr>
        <w:t xml:space="preserve"> in relation the restrictions to communal property</w:t>
      </w:r>
      <w:r w:rsidRPr="004542B5">
        <w:rPr>
          <w:noProof w:val="0"/>
          <w:szCs w:val="20"/>
          <w:lang w:val="en-US"/>
        </w:rPr>
        <w:t>: (a)</w:t>
      </w:r>
      <w:r w:rsidR="00DE3979" w:rsidRPr="004542B5">
        <w:rPr>
          <w:noProof w:val="0"/>
          <w:szCs w:val="20"/>
          <w:lang w:val="en-US"/>
        </w:rPr>
        <w:t xml:space="preserve"> participation of the respective people in decision making with regard to the project that it is intended to develop on their ancestral territory; (b) the indigenous or tribal people must benefit from the project that it is intended to develop on their territory, and (c) environmental and social impact assessments must be made.</w:t>
      </w:r>
      <w:r w:rsidR="00E76B2D" w:rsidRPr="004542B5">
        <w:rPr>
          <w:rStyle w:val="FootnoteReference"/>
          <w:noProof w:val="0"/>
          <w:lang w:val="en-US"/>
        </w:rPr>
        <w:footnoteReference w:id="318"/>
      </w:r>
      <w:r w:rsidR="00E76B2D" w:rsidRPr="004542B5">
        <w:rPr>
          <w:noProof w:val="0"/>
          <w:szCs w:val="20"/>
          <w:lang w:val="en-US"/>
        </w:rPr>
        <w:t xml:space="preserve"> </w:t>
      </w:r>
    </w:p>
    <w:p w14:paraId="487ED491" w14:textId="77777777" w:rsidR="00E76B2D" w:rsidRPr="004542B5" w:rsidRDefault="00E76B2D" w:rsidP="00E76B2D">
      <w:pPr>
        <w:pStyle w:val="ListParagraph"/>
        <w:widowControl w:val="0"/>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51"/>
        <w:rPr>
          <w:noProof w:val="0"/>
          <w:szCs w:val="20"/>
          <w:lang w:val="en-US"/>
        </w:rPr>
      </w:pPr>
    </w:p>
    <w:p w14:paraId="44AD9F1C" w14:textId="53CB9031" w:rsidR="00E76B2D" w:rsidRPr="004542B5" w:rsidRDefault="00DE3979" w:rsidP="00CA208E">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noProof w:val="0"/>
          <w:szCs w:val="20"/>
          <w:lang w:val="en-US"/>
        </w:rPr>
      </w:pPr>
      <w:r w:rsidRPr="004542B5">
        <w:rPr>
          <w:noProof w:val="0"/>
          <w:szCs w:val="20"/>
          <w:lang w:val="en-US"/>
        </w:rPr>
        <w:t xml:space="preserve">When applying these standards to conflicts that occur </w:t>
      </w:r>
      <w:r w:rsidR="00CA208E" w:rsidRPr="004542B5">
        <w:rPr>
          <w:noProof w:val="0"/>
          <w:szCs w:val="20"/>
          <w:lang w:val="en-US"/>
        </w:rPr>
        <w:t xml:space="preserve">between private property and the claims of the members of indigenous communities over their ancestral property, States must assess, on a case by case basis, the restriction that would result from the recognition of one right over another. Thus, for example, States must take into account that indigenous territorial rights encompass a broader and different concept that is related to the collective right to their </w:t>
      </w:r>
      <w:r w:rsidR="006110CB" w:rsidRPr="004542B5">
        <w:rPr>
          <w:noProof w:val="0"/>
          <w:szCs w:val="20"/>
          <w:lang w:val="en-US"/>
        </w:rPr>
        <w:t>survival</w:t>
      </w:r>
      <w:r w:rsidR="00CA208E" w:rsidRPr="004542B5">
        <w:rPr>
          <w:noProof w:val="0"/>
          <w:szCs w:val="20"/>
          <w:lang w:val="en-US"/>
        </w:rPr>
        <w:t xml:space="preserve"> as an organized people, with control over their habitat as a necessary condition for the reproduction of their culture, for their very development and to carry out their life projects. The ownership of the land guarantees that </w:t>
      </w:r>
      <w:r w:rsidR="003234E7" w:rsidRPr="004542B5">
        <w:rPr>
          <w:noProof w:val="0"/>
          <w:szCs w:val="20"/>
          <w:lang w:val="en-US"/>
        </w:rPr>
        <w:t>the members</w:t>
      </w:r>
      <w:r w:rsidR="00E76B2D" w:rsidRPr="004542B5">
        <w:rPr>
          <w:noProof w:val="0"/>
          <w:szCs w:val="20"/>
          <w:lang w:val="en-US"/>
        </w:rPr>
        <w:t xml:space="preserve"> </w:t>
      </w:r>
      <w:r w:rsidR="00CA208E" w:rsidRPr="004542B5">
        <w:rPr>
          <w:noProof w:val="0"/>
          <w:szCs w:val="20"/>
          <w:lang w:val="en-US"/>
        </w:rPr>
        <w:t>of indigenous communities can conserve their cultural heritage.</w:t>
      </w:r>
      <w:r w:rsidR="00E76B2D" w:rsidRPr="004542B5">
        <w:rPr>
          <w:rStyle w:val="FootnoteReference"/>
          <w:noProof w:val="0"/>
          <w:lang w:val="en-US"/>
        </w:rPr>
        <w:footnoteReference w:id="319"/>
      </w:r>
      <w:r w:rsidR="00E76B2D" w:rsidRPr="004542B5">
        <w:rPr>
          <w:noProof w:val="0"/>
          <w:szCs w:val="20"/>
          <w:lang w:val="en-US"/>
        </w:rPr>
        <w:t xml:space="preserve"> </w:t>
      </w:r>
    </w:p>
    <w:p w14:paraId="53BDC63E" w14:textId="77777777" w:rsidR="00E76B2D" w:rsidRPr="004542B5" w:rsidRDefault="00E76B2D" w:rsidP="00E76B2D">
      <w:pPr>
        <w:pStyle w:val="ListParagraph"/>
        <w:rPr>
          <w:noProof w:val="0"/>
          <w:szCs w:val="20"/>
          <w:lang w:val="en-US"/>
        </w:rPr>
      </w:pPr>
    </w:p>
    <w:p w14:paraId="326B26E5" w14:textId="3AE63942" w:rsidR="00E76B2D" w:rsidRPr="004542B5" w:rsidRDefault="00CA208E" w:rsidP="00E76B2D">
      <w:pPr>
        <w:pStyle w:val="ListParagraph"/>
        <w:widowControl w:val="0"/>
        <w:numPr>
          <w:ilvl w:val="0"/>
          <w:numId w:val="60"/>
        </w:numPr>
        <w:tabs>
          <w:tab w:val="left" w:pos="0"/>
          <w:tab w:val="left" w:pos="709"/>
          <w:tab w:val="left" w:pos="851"/>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49" w:firstLine="0"/>
        <w:rPr>
          <w:noProof w:val="0"/>
          <w:szCs w:val="20"/>
          <w:lang w:val="en-US"/>
        </w:rPr>
      </w:pPr>
      <w:r w:rsidRPr="004542B5">
        <w:rPr>
          <w:noProof w:val="0"/>
          <w:szCs w:val="20"/>
          <w:lang w:val="en-US"/>
        </w:rPr>
        <w:t>In this regard</w:t>
      </w:r>
      <w:r w:rsidR="00E76B2D" w:rsidRPr="004542B5">
        <w:rPr>
          <w:noProof w:val="0"/>
          <w:szCs w:val="20"/>
          <w:lang w:val="en-US"/>
        </w:rPr>
        <w:t xml:space="preserve">, </w:t>
      </w:r>
      <w:r w:rsidR="00562CBB" w:rsidRPr="004542B5">
        <w:rPr>
          <w:noProof w:val="0"/>
          <w:szCs w:val="20"/>
          <w:lang w:val="en-US"/>
        </w:rPr>
        <w:t>Article</w:t>
      </w:r>
      <w:r w:rsidR="00E76B2D" w:rsidRPr="004542B5">
        <w:rPr>
          <w:noProof w:val="0"/>
          <w:szCs w:val="20"/>
          <w:lang w:val="en-US"/>
        </w:rPr>
        <w:t xml:space="preserve"> 16</w:t>
      </w:r>
      <w:r w:rsidRPr="004542B5">
        <w:rPr>
          <w:noProof w:val="0"/>
          <w:szCs w:val="20"/>
          <w:lang w:val="en-US"/>
        </w:rPr>
        <w:t>(</w:t>
      </w:r>
      <w:r w:rsidR="00E76B2D" w:rsidRPr="004542B5">
        <w:rPr>
          <w:noProof w:val="0"/>
          <w:szCs w:val="20"/>
          <w:lang w:val="en-US"/>
        </w:rPr>
        <w:t>4</w:t>
      </w:r>
      <w:r w:rsidRPr="004542B5">
        <w:rPr>
          <w:noProof w:val="0"/>
          <w:szCs w:val="20"/>
          <w:lang w:val="en-US"/>
        </w:rPr>
        <w:t>) of</w:t>
      </w:r>
      <w:r w:rsidR="00E76B2D" w:rsidRPr="004542B5">
        <w:rPr>
          <w:noProof w:val="0"/>
          <w:szCs w:val="20"/>
          <w:lang w:val="en-US"/>
        </w:rPr>
        <w:t xml:space="preserve"> </w:t>
      </w:r>
      <w:r w:rsidR="00656AF2" w:rsidRPr="004542B5">
        <w:rPr>
          <w:noProof w:val="0"/>
          <w:szCs w:val="20"/>
          <w:lang w:val="en-US"/>
        </w:rPr>
        <w:t>ILO Convention No. 169</w:t>
      </w:r>
      <w:r w:rsidR="00E76B2D" w:rsidRPr="004542B5">
        <w:rPr>
          <w:noProof w:val="0"/>
          <w:szCs w:val="20"/>
          <w:lang w:val="en-US"/>
        </w:rPr>
        <w:t xml:space="preserve">, </w:t>
      </w:r>
      <w:r w:rsidRPr="004542B5">
        <w:rPr>
          <w:noProof w:val="0"/>
          <w:szCs w:val="20"/>
          <w:lang w:val="en-US"/>
        </w:rPr>
        <w:t xml:space="preserve">when referring to the return of the indigenous peoples to the territories from which they have been </w:t>
      </w:r>
      <w:r w:rsidRPr="004542B5">
        <w:rPr>
          <w:noProof w:val="0"/>
          <w:szCs w:val="20"/>
          <w:lang w:val="en-US"/>
        </w:rPr>
        <w:lastRenderedPageBreak/>
        <w:t xml:space="preserve">displaced, indicates that: </w:t>
      </w:r>
    </w:p>
    <w:p w14:paraId="53BFE805" w14:textId="77777777" w:rsidR="00E76B2D" w:rsidRPr="004542B5" w:rsidRDefault="00E76B2D" w:rsidP="00E76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rPr>
          <w:noProof w:val="0"/>
          <w:szCs w:val="20"/>
          <w:lang w:val="en-US"/>
        </w:rPr>
      </w:pPr>
    </w:p>
    <w:p w14:paraId="0434F6F0" w14:textId="06929339" w:rsidR="00E76B2D" w:rsidRPr="004542B5" w:rsidRDefault="00CA208E" w:rsidP="00E13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558"/>
        <w:rPr>
          <w:noProof w:val="0"/>
          <w:sz w:val="18"/>
          <w:szCs w:val="18"/>
          <w:lang w:val="en-US"/>
        </w:rPr>
      </w:pPr>
      <w:r w:rsidRPr="004542B5">
        <w:rPr>
          <w:noProof w:val="0"/>
          <w:sz w:val="18"/>
          <w:szCs w:val="18"/>
          <w:lang w:val="en-US"/>
        </w:rPr>
        <w:t>When such return is not possible, […] these peoples shall be provided in all possible cases with lands of quality and legal status at least equal to that of the lands previously occupied by them, suitable to provide for their present needs and future development. Where the peoples concerned express a preference for compensation in money or in kind, they shall be so compensated under appropriate guarantees.</w:t>
      </w:r>
      <w:r w:rsidR="00E76B2D" w:rsidRPr="004542B5">
        <w:rPr>
          <w:rStyle w:val="FootnoteReference"/>
          <w:noProof w:val="0"/>
          <w:sz w:val="18"/>
          <w:szCs w:val="18"/>
          <w:lang w:val="en-US"/>
        </w:rPr>
        <w:footnoteReference w:id="320"/>
      </w:r>
    </w:p>
    <w:p w14:paraId="7EF216F9" w14:textId="77777777" w:rsidR="00E76B2D" w:rsidRPr="004542B5" w:rsidRDefault="00E76B2D" w:rsidP="00E76B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rPr>
          <w:noProof w:val="0"/>
          <w:sz w:val="16"/>
          <w:szCs w:val="16"/>
          <w:lang w:val="en-US"/>
        </w:rPr>
      </w:pPr>
    </w:p>
    <w:p w14:paraId="28683ABB" w14:textId="747AE708" w:rsidR="00E76B2D" w:rsidRPr="004542B5" w:rsidRDefault="00CA208E" w:rsidP="00A63C1B">
      <w:pPr>
        <w:pStyle w:val="ListParagraph"/>
        <w:widowControl w:val="0"/>
        <w:numPr>
          <w:ilvl w:val="0"/>
          <w:numId w:val="60"/>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360" w:firstLine="0"/>
        <w:rPr>
          <w:noProof w:val="0"/>
          <w:szCs w:val="20"/>
          <w:lang w:val="en-US"/>
        </w:rPr>
      </w:pPr>
      <w:r w:rsidRPr="004542B5">
        <w:rPr>
          <w:noProof w:val="0"/>
          <w:szCs w:val="20"/>
          <w:lang w:val="en-US"/>
        </w:rPr>
        <w:t>The choice of, and the awarding of, alternative lands, the payment of just compensation</w:t>
      </w:r>
      <w:r w:rsidR="001D402B" w:rsidRPr="004542B5">
        <w:rPr>
          <w:noProof w:val="0"/>
          <w:szCs w:val="20"/>
          <w:lang w:val="en-US"/>
        </w:rPr>
        <w:t>,</w:t>
      </w:r>
      <w:r w:rsidRPr="004542B5">
        <w:rPr>
          <w:noProof w:val="0"/>
          <w:szCs w:val="20"/>
          <w:lang w:val="en-US"/>
        </w:rPr>
        <w:t xml:space="preserve"> or both</w:t>
      </w:r>
      <w:r w:rsidR="001D402B" w:rsidRPr="004542B5">
        <w:rPr>
          <w:noProof w:val="0"/>
          <w:szCs w:val="20"/>
          <w:lang w:val="en-US"/>
        </w:rPr>
        <w:t>,</w:t>
      </w:r>
      <w:r w:rsidRPr="004542B5">
        <w:rPr>
          <w:noProof w:val="0"/>
          <w:szCs w:val="20"/>
          <w:lang w:val="en-US"/>
        </w:rPr>
        <w:t xml:space="preserve"> are not subject merely to the State’s discretion, but pursuant to a comprehensive interpretation of ILO Convention No. 169 and the American Convention, must be agreed with the peoples concerned, in keeping with their own consultation procedures, values, practices and customary law.</w:t>
      </w:r>
      <w:r w:rsidR="00E76B2D" w:rsidRPr="004542B5">
        <w:rPr>
          <w:rStyle w:val="FootnoteReference"/>
          <w:noProof w:val="0"/>
          <w:lang w:val="en-US"/>
        </w:rPr>
        <w:footnoteReference w:id="321"/>
      </w:r>
    </w:p>
    <w:p w14:paraId="41A1DD8B" w14:textId="77777777" w:rsidR="00E76B2D" w:rsidRPr="004542B5" w:rsidRDefault="00E76B2D" w:rsidP="00E76B2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360"/>
        <w:rPr>
          <w:noProof w:val="0"/>
          <w:szCs w:val="20"/>
          <w:lang w:val="en-US"/>
        </w:rPr>
      </w:pPr>
    </w:p>
    <w:p w14:paraId="79BCED84" w14:textId="2ED5FC53" w:rsidR="00E76B2D" w:rsidRPr="004542B5" w:rsidRDefault="00B066BA" w:rsidP="00A63C1B">
      <w:pPr>
        <w:pStyle w:val="ListParagraph"/>
        <w:widowControl w:val="0"/>
        <w:numPr>
          <w:ilvl w:val="0"/>
          <w:numId w:val="60"/>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360" w:firstLine="0"/>
        <w:rPr>
          <w:noProof w:val="0"/>
          <w:szCs w:val="20"/>
          <w:lang w:val="en-US"/>
        </w:rPr>
      </w:pPr>
      <w:r w:rsidRPr="004542B5">
        <w:rPr>
          <w:noProof w:val="0"/>
          <w:szCs w:val="20"/>
          <w:lang w:val="en-US"/>
        </w:rPr>
        <w:t xml:space="preserve">It should be recalled that based on </w:t>
      </w:r>
      <w:r w:rsidR="00E04132" w:rsidRPr="004542B5">
        <w:rPr>
          <w:noProof w:val="0"/>
          <w:szCs w:val="20"/>
          <w:lang w:val="en-US"/>
        </w:rPr>
        <w:t>Article 1(1)</w:t>
      </w:r>
      <w:r w:rsidR="008A56D7" w:rsidRPr="004542B5">
        <w:rPr>
          <w:noProof w:val="0"/>
          <w:szCs w:val="20"/>
          <w:lang w:val="en-US"/>
        </w:rPr>
        <w:t xml:space="preserve"> of the </w:t>
      </w:r>
      <w:r w:rsidR="00562CBB" w:rsidRPr="004542B5">
        <w:rPr>
          <w:noProof w:val="0"/>
          <w:szCs w:val="20"/>
          <w:lang w:val="en-US"/>
        </w:rPr>
        <w:t>Convention</w:t>
      </w:r>
      <w:r w:rsidR="00E76B2D" w:rsidRPr="004542B5">
        <w:rPr>
          <w:noProof w:val="0"/>
          <w:szCs w:val="20"/>
          <w:lang w:val="en-US"/>
        </w:rPr>
        <w:t xml:space="preserve">, </w:t>
      </w:r>
      <w:r w:rsidR="00562CBB" w:rsidRPr="004542B5">
        <w:rPr>
          <w:noProof w:val="0"/>
          <w:szCs w:val="20"/>
          <w:lang w:val="en-US"/>
        </w:rPr>
        <w:t>the State</w:t>
      </w:r>
      <w:r w:rsidR="00E76B2D" w:rsidRPr="004542B5">
        <w:rPr>
          <w:noProof w:val="0"/>
          <w:szCs w:val="20"/>
          <w:lang w:val="en-US"/>
        </w:rPr>
        <w:t xml:space="preserve"> </w:t>
      </w:r>
      <w:r w:rsidRPr="004542B5">
        <w:rPr>
          <w:noProof w:val="0"/>
          <w:szCs w:val="20"/>
          <w:lang w:val="en-US"/>
        </w:rPr>
        <w:t xml:space="preserve">is obliged to respect the rights recognized in the Pact of San José and to organize the public powers to ensure </w:t>
      </w:r>
      <w:r w:rsidRPr="004542B5">
        <w:rPr>
          <w:noProof w:val="0"/>
          <w:spacing w:val="-3"/>
          <w:szCs w:val="20"/>
          <w:lang w:val="en-US"/>
        </w:rPr>
        <w:t>to all persons subject to its jurisdiction the free and full exercise of those human rights.</w:t>
      </w:r>
      <w:r w:rsidR="00E76B2D" w:rsidRPr="004542B5">
        <w:rPr>
          <w:rStyle w:val="FootnoteReference"/>
          <w:noProof w:val="0"/>
          <w:lang w:val="en-US"/>
        </w:rPr>
        <w:footnoteReference w:id="322"/>
      </w:r>
      <w:r w:rsidR="00E76B2D" w:rsidRPr="004542B5">
        <w:rPr>
          <w:noProof w:val="0"/>
          <w:szCs w:val="20"/>
          <w:lang w:val="en-US"/>
        </w:rPr>
        <w:t xml:space="preserve"> </w:t>
      </w:r>
    </w:p>
    <w:p w14:paraId="5FF0E0DB" w14:textId="77777777" w:rsidR="00E76B2D" w:rsidRPr="004542B5" w:rsidRDefault="00E76B2D" w:rsidP="00A63C1B">
      <w:pPr>
        <w:pStyle w:val="ListParagraph"/>
        <w:tabs>
          <w:tab w:val="left" w:pos="720"/>
        </w:tabs>
        <w:rPr>
          <w:noProof w:val="0"/>
          <w:szCs w:val="20"/>
          <w:lang w:val="en-US"/>
        </w:rPr>
      </w:pPr>
    </w:p>
    <w:p w14:paraId="2AED92C8" w14:textId="29FE1CB0" w:rsidR="00E76B2D" w:rsidRPr="004542B5" w:rsidRDefault="00B066BA" w:rsidP="00A63C1B">
      <w:pPr>
        <w:pStyle w:val="ListParagraph"/>
        <w:widowControl w:val="0"/>
        <w:numPr>
          <w:ilvl w:val="0"/>
          <w:numId w:val="60"/>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ight="360" w:firstLine="0"/>
        <w:rPr>
          <w:noProof w:val="0"/>
          <w:szCs w:val="20"/>
          <w:lang w:val="en-US"/>
        </w:rPr>
      </w:pPr>
      <w:r w:rsidRPr="004542B5">
        <w:rPr>
          <w:noProof w:val="0"/>
          <w:szCs w:val="20"/>
          <w:lang w:val="en-US"/>
        </w:rPr>
        <w:t>The guarantee of the right to communal property of the indigenous peoples should take into account that the land is closely related to their traditions and oral expression, their customs and languages, their arts and rituals, their knowledge and practices related to nature, their culinary arts, their customary law, clothing, philosophy and values. Owing to their surroundings, their integration with nature and their own history, the members of indigenous communities transmit this immaterial cultural heritage from generation to generation, and it is constantly recreated by members of the indigenous communities and groups.</w:t>
      </w:r>
      <w:r w:rsidR="00E76B2D" w:rsidRPr="004542B5">
        <w:rPr>
          <w:rStyle w:val="FootnoteReference"/>
          <w:noProof w:val="0"/>
          <w:lang w:val="en-US"/>
        </w:rPr>
        <w:footnoteReference w:id="323"/>
      </w:r>
    </w:p>
    <w:p w14:paraId="7724C770" w14:textId="77777777" w:rsidR="00E76B2D" w:rsidRPr="004542B5" w:rsidRDefault="00E76B2D" w:rsidP="00E76B2D">
      <w:pPr>
        <w:spacing w:line="360" w:lineRule="auto"/>
        <w:jc w:val="center"/>
        <w:rPr>
          <w:i/>
          <w:noProof w:val="0"/>
          <w:szCs w:val="20"/>
          <w:lang w:val="en-US"/>
        </w:rPr>
      </w:pPr>
    </w:p>
    <w:p w14:paraId="59040A26" w14:textId="424E06D5" w:rsidR="00E76B2D" w:rsidRPr="004542B5" w:rsidRDefault="00E76B2D" w:rsidP="00E76B2D">
      <w:pPr>
        <w:jc w:val="center"/>
        <w:rPr>
          <w:b/>
          <w:bCs/>
          <w:caps/>
          <w:noProof w:val="0"/>
          <w:szCs w:val="20"/>
          <w:lang w:val="en-US"/>
        </w:rPr>
      </w:pPr>
      <w:r w:rsidRPr="004542B5">
        <w:rPr>
          <w:b/>
          <w:bCs/>
          <w:caps/>
          <w:noProof w:val="0"/>
          <w:szCs w:val="20"/>
          <w:lang w:val="en-US"/>
        </w:rPr>
        <w:t xml:space="preserve">III. </w:t>
      </w:r>
      <w:r w:rsidR="00517C7D" w:rsidRPr="004542B5">
        <w:rPr>
          <w:b/>
          <w:bCs/>
          <w:caps/>
          <w:noProof w:val="0"/>
          <w:szCs w:val="20"/>
          <w:lang w:val="en-US"/>
        </w:rPr>
        <w:t>THE RIGHT TO PAYMENT OF JUST COMPENSATION IN CASES OF EXPROPRIATION AS A CONTINU</w:t>
      </w:r>
      <w:r w:rsidR="00583B9D" w:rsidRPr="004542B5">
        <w:rPr>
          <w:b/>
          <w:bCs/>
          <w:caps/>
          <w:noProof w:val="0"/>
          <w:szCs w:val="20"/>
          <w:lang w:val="en-US"/>
        </w:rPr>
        <w:t>ING</w:t>
      </w:r>
      <w:r w:rsidR="00517C7D" w:rsidRPr="004542B5">
        <w:rPr>
          <w:b/>
          <w:bCs/>
          <w:caps/>
          <w:noProof w:val="0"/>
          <w:szCs w:val="20"/>
          <w:lang w:val="en-US"/>
        </w:rPr>
        <w:t xml:space="preserve"> VIOLATION </w:t>
      </w:r>
    </w:p>
    <w:p w14:paraId="0B063464" w14:textId="77777777" w:rsidR="00E76B2D" w:rsidRPr="004542B5" w:rsidRDefault="00E76B2D" w:rsidP="00E76B2D">
      <w:pPr>
        <w:rPr>
          <w:b/>
          <w:noProof w:val="0"/>
          <w:szCs w:val="20"/>
          <w:lang w:val="en-US"/>
        </w:rPr>
      </w:pPr>
    </w:p>
    <w:p w14:paraId="081498FA" w14:textId="33AEBA34" w:rsidR="00E76B2D" w:rsidRPr="004542B5" w:rsidRDefault="00E76B2D" w:rsidP="00E76B2D">
      <w:pPr>
        <w:rPr>
          <w:noProof w:val="0"/>
          <w:szCs w:val="20"/>
          <w:lang w:val="en-US"/>
        </w:rPr>
      </w:pPr>
      <w:r w:rsidRPr="004542B5">
        <w:rPr>
          <w:noProof w:val="0"/>
          <w:szCs w:val="20"/>
          <w:lang w:val="en-US"/>
        </w:rPr>
        <w:t xml:space="preserve">31. </w:t>
      </w:r>
      <w:r w:rsidRPr="004542B5">
        <w:rPr>
          <w:noProof w:val="0"/>
          <w:szCs w:val="20"/>
          <w:lang w:val="en-US"/>
        </w:rPr>
        <w:tab/>
      </w:r>
      <w:r w:rsidR="00B066BA" w:rsidRPr="004542B5">
        <w:rPr>
          <w:noProof w:val="0"/>
          <w:szCs w:val="20"/>
          <w:lang w:val="en-US"/>
        </w:rPr>
        <w:t xml:space="preserve">It should be emphasized that this case was submitted by </w:t>
      </w:r>
      <w:r w:rsidR="00562CBB" w:rsidRPr="004542B5">
        <w:rPr>
          <w:noProof w:val="0"/>
          <w:szCs w:val="20"/>
          <w:lang w:val="en-US"/>
        </w:rPr>
        <w:t>the Inter-American Commission on Human Rights</w:t>
      </w:r>
      <w:r w:rsidRPr="004542B5">
        <w:rPr>
          <w:noProof w:val="0"/>
          <w:szCs w:val="20"/>
          <w:lang w:val="en-US"/>
        </w:rPr>
        <w:t xml:space="preserve"> </w:t>
      </w:r>
      <w:r w:rsidR="00B066BA" w:rsidRPr="004542B5">
        <w:rPr>
          <w:noProof w:val="0"/>
          <w:szCs w:val="20"/>
          <w:lang w:val="en-US"/>
        </w:rPr>
        <w:t xml:space="preserve">for the Court to determine the alleged responsibility of the State for, </w:t>
      </w:r>
      <w:r w:rsidRPr="004542B5">
        <w:rPr>
          <w:i/>
          <w:noProof w:val="0"/>
          <w:szCs w:val="20"/>
          <w:lang w:val="en-US"/>
        </w:rPr>
        <w:t xml:space="preserve">inter alia, </w:t>
      </w:r>
      <w:r w:rsidRPr="004542B5">
        <w:rPr>
          <w:noProof w:val="0"/>
          <w:szCs w:val="20"/>
          <w:lang w:val="en-US"/>
        </w:rPr>
        <w:t>“</w:t>
      </w:r>
      <w:r w:rsidR="00B066BA" w:rsidRPr="004542B5">
        <w:rPr>
          <w:noProof w:val="0"/>
          <w:szCs w:val="20"/>
          <w:lang w:val="en-US"/>
        </w:rPr>
        <w:t xml:space="preserve">the </w:t>
      </w:r>
      <w:r w:rsidR="009C0C4D" w:rsidRPr="004542B5">
        <w:rPr>
          <w:noProof w:val="0"/>
          <w:szCs w:val="20"/>
          <w:lang w:val="en-US"/>
        </w:rPr>
        <w:t>ongoing</w:t>
      </w:r>
      <w:r w:rsidR="00B066BA" w:rsidRPr="004542B5">
        <w:rPr>
          <w:noProof w:val="0"/>
          <w:szCs w:val="20"/>
          <w:lang w:val="en-US"/>
        </w:rPr>
        <w:t xml:space="preserve"> violation of the right to collective property of the </w:t>
      </w:r>
      <w:r w:rsidRPr="004542B5">
        <w:rPr>
          <w:noProof w:val="0"/>
          <w:szCs w:val="20"/>
          <w:lang w:val="en-US"/>
        </w:rPr>
        <w:t xml:space="preserve">Kuna </w:t>
      </w:r>
      <w:r w:rsidR="00B066BA" w:rsidRPr="004542B5">
        <w:rPr>
          <w:noProof w:val="0"/>
          <w:szCs w:val="20"/>
          <w:lang w:val="en-US"/>
        </w:rPr>
        <w:t>indigenous people of</w:t>
      </w:r>
      <w:r w:rsidRPr="004542B5">
        <w:rPr>
          <w:noProof w:val="0"/>
          <w:szCs w:val="20"/>
          <w:lang w:val="en-US"/>
        </w:rPr>
        <w:t xml:space="preserve"> Madungandí</w:t>
      </w:r>
      <w:r w:rsidR="00CD2B90" w:rsidRPr="004542B5">
        <w:rPr>
          <w:noProof w:val="0"/>
          <w:szCs w:val="20"/>
          <w:lang w:val="en-US"/>
        </w:rPr>
        <w:t xml:space="preserve"> and </w:t>
      </w:r>
      <w:r w:rsidR="00B066BA" w:rsidRPr="004542B5">
        <w:rPr>
          <w:noProof w:val="0"/>
          <w:szCs w:val="20"/>
          <w:lang w:val="en-US"/>
        </w:rPr>
        <w:t xml:space="preserve">the </w:t>
      </w:r>
      <w:r w:rsidRPr="004542B5">
        <w:rPr>
          <w:noProof w:val="0"/>
          <w:szCs w:val="20"/>
          <w:lang w:val="en-US"/>
        </w:rPr>
        <w:t xml:space="preserve">Emberá </w:t>
      </w:r>
      <w:r w:rsidR="00B066BA" w:rsidRPr="004542B5">
        <w:rPr>
          <w:noProof w:val="0"/>
          <w:szCs w:val="20"/>
          <w:lang w:val="en-US"/>
        </w:rPr>
        <w:t xml:space="preserve">indigenous people of </w:t>
      </w:r>
      <w:r w:rsidRPr="004542B5">
        <w:rPr>
          <w:noProof w:val="0"/>
          <w:szCs w:val="20"/>
          <w:lang w:val="en-US"/>
        </w:rPr>
        <w:t>Bayano</w:t>
      </w:r>
      <w:r w:rsidR="00CD2B90" w:rsidRPr="004542B5">
        <w:rPr>
          <w:noProof w:val="0"/>
          <w:szCs w:val="20"/>
          <w:lang w:val="en-US"/>
        </w:rPr>
        <w:t xml:space="preserve"> and </w:t>
      </w:r>
      <w:r w:rsidR="00B066BA" w:rsidRPr="004542B5">
        <w:rPr>
          <w:noProof w:val="0"/>
          <w:szCs w:val="20"/>
          <w:lang w:val="en-US"/>
        </w:rPr>
        <w:t xml:space="preserve">their members, </w:t>
      </w:r>
      <w:r w:rsidR="009C0C4D" w:rsidRPr="004542B5">
        <w:rPr>
          <w:noProof w:val="0"/>
          <w:szCs w:val="20"/>
          <w:lang w:val="en-US"/>
        </w:rPr>
        <w:t>based on the</w:t>
      </w:r>
      <w:r w:rsidR="00B066BA" w:rsidRPr="004542B5">
        <w:rPr>
          <w:noProof w:val="0"/>
          <w:szCs w:val="20"/>
          <w:lang w:val="en-US"/>
        </w:rPr>
        <w:t xml:space="preserve"> alleged failure to pay compensation </w:t>
      </w:r>
      <w:r w:rsidR="009C0C4D" w:rsidRPr="004542B5">
        <w:rPr>
          <w:noProof w:val="0"/>
          <w:szCs w:val="20"/>
          <w:lang w:val="en-US"/>
        </w:rPr>
        <w:t>owing to</w:t>
      </w:r>
      <w:r w:rsidR="00B066BA" w:rsidRPr="004542B5">
        <w:rPr>
          <w:noProof w:val="0"/>
          <w:szCs w:val="20"/>
          <w:lang w:val="en-US"/>
        </w:rPr>
        <w:t xml:space="preserve"> the </w:t>
      </w:r>
      <w:r w:rsidR="006110CB" w:rsidRPr="004542B5">
        <w:rPr>
          <w:noProof w:val="0"/>
          <w:szCs w:val="20"/>
          <w:lang w:val="en-US"/>
        </w:rPr>
        <w:t>dispossession</w:t>
      </w:r>
      <w:r w:rsidR="00B066BA" w:rsidRPr="004542B5">
        <w:rPr>
          <w:noProof w:val="0"/>
          <w:szCs w:val="20"/>
          <w:lang w:val="en-US"/>
        </w:rPr>
        <w:t xml:space="preserve"> and flooding of their ancestral territories as a result of the construction of the Bayano Hydroelectric Dam from 1972 to</w:t>
      </w:r>
      <w:r w:rsidR="00CD2B90" w:rsidRPr="004542B5">
        <w:rPr>
          <w:noProof w:val="0"/>
          <w:szCs w:val="20"/>
          <w:lang w:val="en-US"/>
        </w:rPr>
        <w:t xml:space="preserve"> </w:t>
      </w:r>
      <w:r w:rsidRPr="004542B5">
        <w:rPr>
          <w:noProof w:val="0"/>
          <w:szCs w:val="20"/>
          <w:lang w:val="en-US"/>
        </w:rPr>
        <w:t>1976</w:t>
      </w:r>
      <w:r w:rsidR="00B066BA" w:rsidRPr="004542B5">
        <w:rPr>
          <w:noProof w:val="0"/>
          <w:szCs w:val="20"/>
          <w:lang w:val="en-US"/>
        </w:rPr>
        <w:t>.</w:t>
      </w:r>
      <w:r w:rsidRPr="004542B5">
        <w:rPr>
          <w:noProof w:val="0"/>
          <w:szCs w:val="20"/>
          <w:lang w:val="en-US"/>
        </w:rPr>
        <w:t>”</w:t>
      </w:r>
      <w:r w:rsidRPr="004542B5">
        <w:rPr>
          <w:rStyle w:val="FootnoteReference"/>
          <w:noProof w:val="0"/>
          <w:lang w:val="en-US"/>
        </w:rPr>
        <w:footnoteReference w:id="324"/>
      </w:r>
      <w:r w:rsidR="00B066BA" w:rsidRPr="004542B5">
        <w:rPr>
          <w:noProof w:val="0"/>
          <w:szCs w:val="20"/>
          <w:lang w:val="en-US"/>
        </w:rPr>
        <w:t xml:space="preserve"> However, among its different considerations when deciding on</w:t>
      </w:r>
      <w:r w:rsidRPr="004542B5">
        <w:rPr>
          <w:noProof w:val="0"/>
          <w:szCs w:val="20"/>
          <w:lang w:val="en-US"/>
        </w:rPr>
        <w:t xml:space="preserve"> </w:t>
      </w:r>
      <w:r w:rsidR="00DE6766" w:rsidRPr="004542B5">
        <w:rPr>
          <w:noProof w:val="0"/>
          <w:szCs w:val="20"/>
          <w:lang w:val="en-US"/>
        </w:rPr>
        <w:t>the preliminary objection</w:t>
      </w:r>
      <w:r w:rsidRPr="004542B5">
        <w:rPr>
          <w:noProof w:val="0"/>
          <w:szCs w:val="20"/>
          <w:lang w:val="en-US"/>
        </w:rPr>
        <w:t xml:space="preserve"> </w:t>
      </w:r>
      <w:r w:rsidR="00B066BA" w:rsidRPr="004542B5">
        <w:rPr>
          <w:noProof w:val="0"/>
          <w:szCs w:val="20"/>
          <w:lang w:val="en-US"/>
        </w:rPr>
        <w:t>in relation to the alleged</w:t>
      </w:r>
      <w:r w:rsidRPr="004542B5">
        <w:rPr>
          <w:noProof w:val="0"/>
          <w:szCs w:val="20"/>
          <w:lang w:val="en-US"/>
        </w:rPr>
        <w:t xml:space="preserve"> “</w:t>
      </w:r>
      <w:r w:rsidR="0063510B" w:rsidRPr="004542B5">
        <w:rPr>
          <w:noProof w:val="0"/>
          <w:szCs w:val="20"/>
          <w:lang w:val="en-US"/>
        </w:rPr>
        <w:t>lack of jurisdiction</w:t>
      </w:r>
      <w:r w:rsidRPr="004542B5">
        <w:rPr>
          <w:noProof w:val="0"/>
          <w:szCs w:val="20"/>
          <w:lang w:val="en-US"/>
        </w:rPr>
        <w:t xml:space="preserve"> </w:t>
      </w:r>
      <w:r w:rsidRPr="004542B5">
        <w:rPr>
          <w:i/>
          <w:noProof w:val="0"/>
          <w:szCs w:val="20"/>
          <w:lang w:val="en-US"/>
        </w:rPr>
        <w:t>ratione temporis</w:t>
      </w:r>
      <w:r w:rsidR="009C0C4D" w:rsidRPr="004542B5">
        <w:rPr>
          <w:i/>
          <w:noProof w:val="0"/>
          <w:szCs w:val="20"/>
          <w:lang w:val="en-US"/>
        </w:rPr>
        <w:t>,</w:t>
      </w:r>
      <w:r w:rsidRPr="004542B5">
        <w:rPr>
          <w:noProof w:val="0"/>
          <w:szCs w:val="20"/>
          <w:lang w:val="en-US"/>
        </w:rPr>
        <w:t>”</w:t>
      </w:r>
      <w:r w:rsidR="009C0C4D" w:rsidRPr="004542B5">
        <w:rPr>
          <w:noProof w:val="0"/>
          <w:szCs w:val="20"/>
          <w:lang w:val="en-US"/>
        </w:rPr>
        <w:t xml:space="preserve"> the Court</w:t>
      </w:r>
      <w:r w:rsidRPr="004542B5">
        <w:rPr>
          <w:noProof w:val="0"/>
          <w:szCs w:val="20"/>
          <w:lang w:val="en-US"/>
        </w:rPr>
        <w:t xml:space="preserve"> </w:t>
      </w:r>
      <w:r w:rsidRPr="004542B5">
        <w:rPr>
          <w:noProof w:val="0"/>
          <w:szCs w:val="20"/>
          <w:u w:val="single"/>
          <w:lang w:val="en-US"/>
        </w:rPr>
        <w:t>deci</w:t>
      </w:r>
      <w:r w:rsidR="00A63C1B" w:rsidRPr="004542B5">
        <w:rPr>
          <w:noProof w:val="0"/>
          <w:szCs w:val="20"/>
          <w:u w:val="single"/>
          <w:lang w:val="en-US"/>
        </w:rPr>
        <w:t>ded not to examine the central aspect of this issue</w:t>
      </w:r>
      <w:r w:rsidRPr="004542B5">
        <w:rPr>
          <w:noProof w:val="0"/>
          <w:szCs w:val="20"/>
          <w:lang w:val="en-US"/>
        </w:rPr>
        <w:t xml:space="preserve">, </w:t>
      </w:r>
      <w:r w:rsidR="00A63C1B" w:rsidRPr="004542B5">
        <w:rPr>
          <w:noProof w:val="0"/>
          <w:szCs w:val="20"/>
          <w:lang w:val="en-US"/>
        </w:rPr>
        <w:t xml:space="preserve">in the sense of defining the meaning and scope of the international </w:t>
      </w:r>
      <w:r w:rsidR="00A63C1B" w:rsidRPr="004542B5">
        <w:rPr>
          <w:noProof w:val="0"/>
          <w:szCs w:val="20"/>
          <w:lang w:val="en-US"/>
        </w:rPr>
        <w:lastRenderedPageBreak/>
        <w:t xml:space="preserve">standards </w:t>
      </w:r>
      <w:r w:rsidR="006110CB" w:rsidRPr="004542B5">
        <w:rPr>
          <w:noProof w:val="0"/>
          <w:szCs w:val="20"/>
          <w:lang w:val="en-US"/>
        </w:rPr>
        <w:t>concerning</w:t>
      </w:r>
      <w:r w:rsidR="00A63C1B" w:rsidRPr="004542B5">
        <w:rPr>
          <w:noProof w:val="0"/>
          <w:szCs w:val="20"/>
          <w:lang w:val="en-US"/>
        </w:rPr>
        <w:t xml:space="preserve"> what constitutes a continuing violation and how those standards were applicable in the instant case.</w:t>
      </w:r>
      <w:r w:rsidRPr="004542B5">
        <w:rPr>
          <w:rStyle w:val="FootnoteReference"/>
          <w:noProof w:val="0"/>
          <w:lang w:val="en-US"/>
        </w:rPr>
        <w:footnoteReference w:id="325"/>
      </w:r>
    </w:p>
    <w:p w14:paraId="193D6E96" w14:textId="77777777" w:rsidR="00E76B2D" w:rsidRPr="004542B5" w:rsidRDefault="00E76B2D" w:rsidP="00E76B2D">
      <w:pPr>
        <w:rPr>
          <w:noProof w:val="0"/>
          <w:szCs w:val="20"/>
          <w:lang w:val="en-US"/>
        </w:rPr>
      </w:pPr>
    </w:p>
    <w:p w14:paraId="7238D9B3" w14:textId="1DD5C9ED" w:rsidR="00A63C1B" w:rsidRPr="004542B5" w:rsidRDefault="00E76B2D" w:rsidP="00E76B2D">
      <w:pPr>
        <w:rPr>
          <w:noProof w:val="0"/>
          <w:szCs w:val="20"/>
          <w:lang w:val="en-US"/>
        </w:rPr>
      </w:pPr>
      <w:r w:rsidRPr="004542B5">
        <w:rPr>
          <w:noProof w:val="0"/>
          <w:szCs w:val="20"/>
          <w:lang w:val="en-US"/>
        </w:rPr>
        <w:t xml:space="preserve">32. </w:t>
      </w:r>
      <w:r w:rsidRPr="004542B5">
        <w:rPr>
          <w:noProof w:val="0"/>
          <w:szCs w:val="20"/>
          <w:lang w:val="en-US"/>
        </w:rPr>
        <w:tab/>
      </w:r>
      <w:r w:rsidR="00A63C1B" w:rsidRPr="004542B5">
        <w:rPr>
          <w:noProof w:val="0"/>
          <w:szCs w:val="20"/>
          <w:lang w:val="en-US"/>
        </w:rPr>
        <w:t xml:space="preserve">In this section, I will explain the definition of a continuing violation under international law, considering: (a) the definition of a continuing violation, and (b) the elements of continuing violations in relation to the right to property. Then, in the last section, I </w:t>
      </w:r>
      <w:r w:rsidR="006110CB" w:rsidRPr="004542B5">
        <w:rPr>
          <w:noProof w:val="0"/>
          <w:szCs w:val="20"/>
          <w:lang w:val="en-US"/>
        </w:rPr>
        <w:t>will</w:t>
      </w:r>
      <w:r w:rsidR="00A63C1B" w:rsidRPr="004542B5">
        <w:rPr>
          <w:noProof w:val="0"/>
          <w:szCs w:val="20"/>
          <w:lang w:val="en-US"/>
        </w:rPr>
        <w:t xml:space="preserve"> analyze, specifically, the failure to pay compensation as a continuing violation in the case of the Kuna indigenous people of Madungandí and the Emberá indigenous people of Bayano.</w:t>
      </w:r>
    </w:p>
    <w:p w14:paraId="7068AC9D" w14:textId="77777777" w:rsidR="00E76B2D" w:rsidRPr="004542B5" w:rsidRDefault="00E76B2D" w:rsidP="00E76B2D">
      <w:pPr>
        <w:rPr>
          <w:b/>
          <w:noProof w:val="0"/>
          <w:szCs w:val="20"/>
          <w:lang w:val="en-US"/>
        </w:rPr>
      </w:pPr>
    </w:p>
    <w:p w14:paraId="7AB2E856" w14:textId="0BD0E54C" w:rsidR="00E76B2D" w:rsidRPr="004542B5" w:rsidRDefault="00A63C1B" w:rsidP="00E76B2D">
      <w:pPr>
        <w:pStyle w:val="ListParagraph"/>
        <w:numPr>
          <w:ilvl w:val="0"/>
          <w:numId w:val="57"/>
        </w:numPr>
        <w:rPr>
          <w:i/>
          <w:noProof w:val="0"/>
          <w:szCs w:val="20"/>
          <w:lang w:val="en-US"/>
        </w:rPr>
      </w:pPr>
      <w:r w:rsidRPr="004542B5">
        <w:rPr>
          <w:i/>
          <w:noProof w:val="0"/>
          <w:szCs w:val="20"/>
          <w:lang w:val="en-US"/>
        </w:rPr>
        <w:t>The d</w:t>
      </w:r>
      <w:r w:rsidR="00E76B2D" w:rsidRPr="004542B5">
        <w:rPr>
          <w:i/>
          <w:noProof w:val="0"/>
          <w:szCs w:val="20"/>
          <w:lang w:val="en-US"/>
        </w:rPr>
        <w:t>efini</w:t>
      </w:r>
      <w:r w:rsidRPr="004542B5">
        <w:rPr>
          <w:i/>
          <w:noProof w:val="0"/>
          <w:szCs w:val="20"/>
          <w:lang w:val="en-US"/>
        </w:rPr>
        <w:t>tion of a continuing violation under international law</w:t>
      </w:r>
    </w:p>
    <w:p w14:paraId="3C881B43" w14:textId="77777777" w:rsidR="00E76B2D" w:rsidRPr="004542B5" w:rsidRDefault="00E76B2D" w:rsidP="00E76B2D">
      <w:pPr>
        <w:tabs>
          <w:tab w:val="left" w:pos="5147"/>
        </w:tabs>
        <w:rPr>
          <w:noProof w:val="0"/>
          <w:szCs w:val="20"/>
          <w:lang w:val="en-US"/>
        </w:rPr>
      </w:pPr>
    </w:p>
    <w:p w14:paraId="4C8AA218" w14:textId="5B578D49" w:rsidR="00E76B2D" w:rsidRPr="004542B5" w:rsidRDefault="00E76B2D" w:rsidP="00E76B2D">
      <w:pPr>
        <w:rPr>
          <w:noProof w:val="0"/>
          <w:szCs w:val="20"/>
          <w:lang w:val="en-US"/>
        </w:rPr>
      </w:pPr>
      <w:r w:rsidRPr="004542B5">
        <w:rPr>
          <w:noProof w:val="0"/>
          <w:szCs w:val="20"/>
          <w:lang w:val="en-US"/>
        </w:rPr>
        <w:t xml:space="preserve">33. </w:t>
      </w:r>
      <w:r w:rsidRPr="004542B5">
        <w:rPr>
          <w:noProof w:val="0"/>
          <w:szCs w:val="20"/>
          <w:lang w:val="en-US"/>
        </w:rPr>
        <w:tab/>
        <w:t>A</w:t>
      </w:r>
      <w:r w:rsidR="00BF1055" w:rsidRPr="004542B5">
        <w:rPr>
          <w:noProof w:val="0"/>
          <w:szCs w:val="20"/>
          <w:lang w:val="en-US"/>
        </w:rPr>
        <w:t>t the</w:t>
      </w:r>
      <w:r w:rsidRPr="004542B5">
        <w:rPr>
          <w:noProof w:val="0"/>
          <w:szCs w:val="20"/>
          <w:lang w:val="en-US"/>
        </w:rPr>
        <w:t xml:space="preserve"> interna</w:t>
      </w:r>
      <w:r w:rsidR="00BF1055" w:rsidRPr="004542B5">
        <w:rPr>
          <w:noProof w:val="0"/>
          <w:szCs w:val="20"/>
          <w:lang w:val="en-US"/>
        </w:rPr>
        <w:t>t</w:t>
      </w:r>
      <w:r w:rsidRPr="004542B5">
        <w:rPr>
          <w:noProof w:val="0"/>
          <w:szCs w:val="20"/>
          <w:lang w:val="en-US"/>
        </w:rPr>
        <w:t xml:space="preserve">ional </w:t>
      </w:r>
      <w:r w:rsidR="00BF1055" w:rsidRPr="004542B5">
        <w:rPr>
          <w:noProof w:val="0"/>
          <w:szCs w:val="20"/>
          <w:lang w:val="en-US"/>
        </w:rPr>
        <w:t>level there is not a standardized definition of what constitutes a continuing violation or a violation of a continuous nature. However, in general, it has been recognized that “a continuing violation is the breach of an international obligation by an act of a subject of international law extending in time and causing a duration of continuance in time of that breach.</w:t>
      </w:r>
      <w:r w:rsidRPr="004542B5">
        <w:rPr>
          <w:noProof w:val="0"/>
          <w:szCs w:val="20"/>
          <w:lang w:val="en-US"/>
        </w:rPr>
        <w:t>”</w:t>
      </w:r>
      <w:r w:rsidRPr="004542B5">
        <w:rPr>
          <w:rStyle w:val="FootnoteReference"/>
          <w:noProof w:val="0"/>
          <w:lang w:val="en-US"/>
        </w:rPr>
        <w:footnoteReference w:id="326"/>
      </w:r>
      <w:r w:rsidR="00BF1055" w:rsidRPr="004542B5">
        <w:rPr>
          <w:rStyle w:val="BodyTextChar"/>
          <w:rFonts w:ascii="Verdana" w:hAnsi="Verdana"/>
          <w:noProof w:val="0"/>
          <w:lang w:val="en-US"/>
        </w:rPr>
        <w:t xml:space="preserve"> In addition, if the act </w:t>
      </w:r>
      <w:r w:rsidR="001E54C1" w:rsidRPr="004542B5">
        <w:rPr>
          <w:rStyle w:val="BodyTextChar"/>
          <w:rFonts w:ascii="Verdana" w:hAnsi="Verdana"/>
          <w:noProof w:val="0"/>
          <w:lang w:val="en-US"/>
        </w:rPr>
        <w:t>affects</w:t>
      </w:r>
      <w:r w:rsidR="00BF1055" w:rsidRPr="004542B5">
        <w:rPr>
          <w:rStyle w:val="BodyTextChar"/>
          <w:rFonts w:ascii="Verdana" w:hAnsi="Verdana"/>
          <w:noProof w:val="0"/>
          <w:lang w:val="en-US"/>
        </w:rPr>
        <w:t xml:space="preserve"> the legal status of a </w:t>
      </w:r>
      <w:r w:rsidR="009C0C4D" w:rsidRPr="004542B5">
        <w:rPr>
          <w:rStyle w:val="BodyTextChar"/>
          <w:rFonts w:ascii="Verdana" w:hAnsi="Verdana"/>
          <w:noProof w:val="0"/>
          <w:lang w:val="en-US"/>
        </w:rPr>
        <w:t xml:space="preserve">person </w:t>
      </w:r>
      <w:r w:rsidR="00BF1055" w:rsidRPr="004542B5">
        <w:rPr>
          <w:rStyle w:val="BodyTextChar"/>
          <w:rFonts w:ascii="Verdana" w:hAnsi="Verdana"/>
          <w:noProof w:val="0"/>
          <w:lang w:val="en-US"/>
        </w:rPr>
        <w:t>over a certain period of time, it should be considered a continuing act.</w:t>
      </w:r>
      <w:r w:rsidRPr="004542B5">
        <w:rPr>
          <w:rStyle w:val="FootnoteReference"/>
          <w:noProof w:val="0"/>
          <w:lang w:val="en-US"/>
        </w:rPr>
        <w:footnoteReference w:id="327"/>
      </w:r>
      <w:r w:rsidR="00BF1055" w:rsidRPr="004542B5">
        <w:rPr>
          <w:noProof w:val="0"/>
          <w:szCs w:val="20"/>
          <w:lang w:val="en-US"/>
        </w:rPr>
        <w:t xml:space="preserve"> To the contrary, if “the </w:t>
      </w:r>
      <w:r w:rsidR="001E54C1" w:rsidRPr="004542B5">
        <w:rPr>
          <w:noProof w:val="0"/>
          <w:szCs w:val="20"/>
          <w:lang w:val="en-US"/>
        </w:rPr>
        <w:t xml:space="preserve">breach </w:t>
      </w:r>
      <w:r w:rsidR="00BF1055" w:rsidRPr="004542B5">
        <w:rPr>
          <w:noProof w:val="0"/>
          <w:szCs w:val="20"/>
          <w:lang w:val="en-US"/>
        </w:rPr>
        <w:t>is completed once and for all at a certain moment in time without continuing harmful effects</w:t>
      </w:r>
      <w:r w:rsidRPr="004542B5">
        <w:rPr>
          <w:noProof w:val="0"/>
          <w:szCs w:val="20"/>
          <w:lang w:val="en-US"/>
        </w:rPr>
        <w:t>”</w:t>
      </w:r>
      <w:r w:rsidRPr="004542B5">
        <w:rPr>
          <w:rStyle w:val="FootnoteReference"/>
          <w:noProof w:val="0"/>
          <w:lang w:val="en-US"/>
        </w:rPr>
        <w:footnoteReference w:id="328"/>
      </w:r>
      <w:r w:rsidRPr="004542B5">
        <w:rPr>
          <w:noProof w:val="0"/>
          <w:szCs w:val="20"/>
          <w:lang w:val="en-US"/>
        </w:rPr>
        <w:t xml:space="preserve"> </w:t>
      </w:r>
      <w:r w:rsidR="001E54C1" w:rsidRPr="004542B5">
        <w:rPr>
          <w:noProof w:val="0"/>
          <w:szCs w:val="20"/>
          <w:lang w:val="en-US"/>
        </w:rPr>
        <w:t>it cannot be of a continuing nature.</w:t>
      </w:r>
      <w:r w:rsidRPr="004542B5">
        <w:rPr>
          <w:rStyle w:val="FootnoteReference"/>
          <w:noProof w:val="0"/>
          <w:lang w:val="en-US"/>
        </w:rPr>
        <w:footnoteReference w:id="329"/>
      </w:r>
    </w:p>
    <w:p w14:paraId="7D795ADE" w14:textId="77777777" w:rsidR="00E76B2D" w:rsidRPr="004542B5" w:rsidRDefault="00E76B2D" w:rsidP="00E76B2D">
      <w:pPr>
        <w:rPr>
          <w:noProof w:val="0"/>
          <w:szCs w:val="20"/>
          <w:lang w:val="en-US"/>
        </w:rPr>
      </w:pPr>
    </w:p>
    <w:p w14:paraId="3BEE8030" w14:textId="145D0EF0" w:rsidR="001E54C1" w:rsidRPr="004542B5" w:rsidRDefault="00E76B2D" w:rsidP="00E76B2D">
      <w:pPr>
        <w:rPr>
          <w:noProof w:val="0"/>
          <w:szCs w:val="20"/>
          <w:lang w:val="en-US"/>
        </w:rPr>
      </w:pPr>
      <w:r w:rsidRPr="004542B5">
        <w:rPr>
          <w:noProof w:val="0"/>
          <w:szCs w:val="20"/>
          <w:lang w:val="en-US"/>
        </w:rPr>
        <w:t xml:space="preserve">34. </w:t>
      </w:r>
      <w:r w:rsidRPr="004542B5">
        <w:rPr>
          <w:noProof w:val="0"/>
          <w:szCs w:val="20"/>
          <w:lang w:val="en-US"/>
        </w:rPr>
        <w:tab/>
      </w:r>
      <w:r w:rsidR="001E54C1" w:rsidRPr="004542B5">
        <w:rPr>
          <w:noProof w:val="0"/>
          <w:szCs w:val="20"/>
          <w:lang w:val="en-US"/>
        </w:rPr>
        <w:t xml:space="preserve">The Articles on Responsibility of States for Internationally Wrongful Acts </w:t>
      </w:r>
      <w:r w:rsidR="008A56D7" w:rsidRPr="004542B5">
        <w:rPr>
          <w:noProof w:val="0"/>
          <w:szCs w:val="20"/>
          <w:lang w:val="en-US"/>
        </w:rPr>
        <w:t xml:space="preserve">of the </w:t>
      </w:r>
      <w:r w:rsidR="00D5368D" w:rsidRPr="004542B5">
        <w:rPr>
          <w:noProof w:val="0"/>
          <w:szCs w:val="20"/>
          <w:lang w:val="en-US"/>
        </w:rPr>
        <w:t>International Law Commission</w:t>
      </w:r>
      <w:r w:rsidRPr="004542B5">
        <w:rPr>
          <w:noProof w:val="0"/>
          <w:szCs w:val="20"/>
          <w:lang w:val="en-US"/>
        </w:rPr>
        <w:t xml:space="preserve"> </w:t>
      </w:r>
      <w:r w:rsidR="001E54C1" w:rsidRPr="004542B5">
        <w:rPr>
          <w:noProof w:val="0"/>
          <w:szCs w:val="20"/>
          <w:lang w:val="en-US"/>
        </w:rPr>
        <w:t xml:space="preserve">make a distinction between instantaneous acts and acts of a continuing </w:t>
      </w:r>
      <w:r w:rsidR="009C0C4D" w:rsidRPr="004542B5">
        <w:rPr>
          <w:noProof w:val="0"/>
          <w:szCs w:val="20"/>
          <w:lang w:val="en-US"/>
        </w:rPr>
        <w:t>character</w:t>
      </w:r>
      <w:r w:rsidR="001E54C1" w:rsidRPr="004542B5">
        <w:rPr>
          <w:noProof w:val="0"/>
          <w:szCs w:val="20"/>
          <w:lang w:val="en-US"/>
        </w:rPr>
        <w:t xml:space="preserve">. Thus, </w:t>
      </w:r>
      <w:r w:rsidR="00562CBB" w:rsidRPr="004542B5">
        <w:rPr>
          <w:noProof w:val="0"/>
          <w:szCs w:val="20"/>
          <w:lang w:val="en-US"/>
        </w:rPr>
        <w:t>Article</w:t>
      </w:r>
      <w:r w:rsidRPr="004542B5">
        <w:rPr>
          <w:noProof w:val="0"/>
          <w:szCs w:val="20"/>
          <w:lang w:val="en-US"/>
        </w:rPr>
        <w:t xml:space="preserve"> 14</w:t>
      </w:r>
      <w:r w:rsidR="001E54C1" w:rsidRPr="004542B5">
        <w:rPr>
          <w:noProof w:val="0"/>
          <w:szCs w:val="20"/>
          <w:lang w:val="en-US"/>
        </w:rPr>
        <w:t>(</w:t>
      </w:r>
      <w:r w:rsidRPr="004542B5">
        <w:rPr>
          <w:noProof w:val="0"/>
          <w:szCs w:val="20"/>
          <w:lang w:val="en-US"/>
        </w:rPr>
        <w:t>1</w:t>
      </w:r>
      <w:r w:rsidR="001E54C1" w:rsidRPr="004542B5">
        <w:rPr>
          <w:noProof w:val="0"/>
          <w:szCs w:val="20"/>
          <w:lang w:val="en-US"/>
        </w:rPr>
        <w:t>)</w:t>
      </w:r>
      <w:r w:rsidRPr="004542B5">
        <w:rPr>
          <w:noProof w:val="0"/>
          <w:szCs w:val="20"/>
          <w:lang w:val="en-US"/>
        </w:rPr>
        <w:t xml:space="preserve"> </w:t>
      </w:r>
      <w:r w:rsidR="001E54C1" w:rsidRPr="004542B5">
        <w:rPr>
          <w:noProof w:val="0"/>
          <w:szCs w:val="20"/>
          <w:lang w:val="en-US"/>
        </w:rPr>
        <w:t>establishes that: “</w:t>
      </w:r>
      <w:r w:rsidR="001E54C1" w:rsidRPr="004542B5">
        <w:rPr>
          <w:noProof w:val="0"/>
          <w:lang w:val="en-US"/>
        </w:rPr>
        <w:t xml:space="preserve">The breach of an international obligation by an act of a State not having a continuing character occurs at the moment when the act is performed, even if its </w:t>
      </w:r>
      <w:r w:rsidR="001E54C1" w:rsidRPr="004542B5">
        <w:rPr>
          <w:noProof w:val="0"/>
          <w:u w:val="single"/>
          <w:lang w:val="en-US"/>
        </w:rPr>
        <w:t>effects</w:t>
      </w:r>
      <w:r w:rsidR="001E54C1" w:rsidRPr="004542B5">
        <w:rPr>
          <w:noProof w:val="0"/>
          <w:lang w:val="en-US"/>
        </w:rPr>
        <w:t xml:space="preserve"> continue.” Meanwhile, paragraph 2 of this article stipulates that: “The breach of an international obligation by an act of a State having a continuing character extends over the entire period during which the act continues and remains not in conformity with the international obligation.” And, finally, Article 14(3) establishes that: “The breach of an international obligation requiring a State to prevent a given event occurs when the event occurs and extends over the entire period during which the event continues and remains not in conformity with that obligation.”</w:t>
      </w:r>
    </w:p>
    <w:p w14:paraId="17D13D58" w14:textId="77777777" w:rsidR="00E76B2D" w:rsidRPr="004542B5" w:rsidRDefault="00E76B2D" w:rsidP="00E76B2D">
      <w:pPr>
        <w:rPr>
          <w:noProof w:val="0"/>
          <w:szCs w:val="20"/>
          <w:lang w:val="en-US"/>
        </w:rPr>
      </w:pPr>
    </w:p>
    <w:p w14:paraId="512B28FE" w14:textId="60545B06" w:rsidR="00E76B2D" w:rsidRPr="004542B5" w:rsidRDefault="00E76B2D" w:rsidP="001E54C1">
      <w:pPr>
        <w:tabs>
          <w:tab w:val="left" w:pos="720"/>
        </w:tabs>
        <w:rPr>
          <w:noProof w:val="0"/>
          <w:szCs w:val="20"/>
          <w:lang w:val="en-US"/>
        </w:rPr>
      </w:pPr>
      <w:r w:rsidRPr="004542B5">
        <w:rPr>
          <w:noProof w:val="0"/>
          <w:szCs w:val="20"/>
          <w:lang w:val="en-US"/>
        </w:rPr>
        <w:t xml:space="preserve">35. </w:t>
      </w:r>
      <w:r w:rsidR="001E54C1" w:rsidRPr="004542B5">
        <w:rPr>
          <w:noProof w:val="0"/>
          <w:szCs w:val="20"/>
          <w:lang w:val="en-US"/>
        </w:rPr>
        <w:tab/>
        <w:t xml:space="preserve">It is important to point out that </w:t>
      </w:r>
      <w:r w:rsidR="00955D7F" w:rsidRPr="004542B5">
        <w:rPr>
          <w:noProof w:val="0"/>
          <w:szCs w:val="20"/>
          <w:lang w:val="en-US"/>
        </w:rPr>
        <w:t xml:space="preserve">according to the logic of the analysis made by </w:t>
      </w:r>
      <w:r w:rsidR="008A56D7" w:rsidRPr="004542B5">
        <w:rPr>
          <w:noProof w:val="0"/>
          <w:szCs w:val="20"/>
          <w:lang w:val="en-US"/>
        </w:rPr>
        <w:t xml:space="preserve">the </w:t>
      </w:r>
      <w:r w:rsidR="00D5368D" w:rsidRPr="004542B5">
        <w:rPr>
          <w:noProof w:val="0"/>
          <w:szCs w:val="20"/>
          <w:lang w:val="en-US"/>
        </w:rPr>
        <w:t>International Law Commission</w:t>
      </w:r>
      <w:r w:rsidRPr="004542B5">
        <w:rPr>
          <w:noProof w:val="0"/>
          <w:szCs w:val="20"/>
          <w:lang w:val="en-US"/>
        </w:rPr>
        <w:t xml:space="preserve"> </w:t>
      </w:r>
      <w:r w:rsidR="00955D7F" w:rsidRPr="004542B5">
        <w:rPr>
          <w:noProof w:val="0"/>
          <w:szCs w:val="20"/>
          <w:lang w:val="en-US"/>
        </w:rPr>
        <w:t xml:space="preserve">it is possible to classify a violation of an international obligation as a </w:t>
      </w:r>
      <w:r w:rsidR="00955D7F" w:rsidRPr="004542B5">
        <w:rPr>
          <w:noProof w:val="0"/>
          <w:szCs w:val="20"/>
          <w:u w:val="single"/>
          <w:lang w:val="en-US"/>
        </w:rPr>
        <w:t>composite act</w:t>
      </w:r>
      <w:r w:rsidR="00955D7F" w:rsidRPr="004542B5">
        <w:rPr>
          <w:noProof w:val="0"/>
          <w:szCs w:val="20"/>
          <w:lang w:val="en-US"/>
        </w:rPr>
        <w:t>, which could be defined as “</w:t>
      </w:r>
      <w:r w:rsidR="00955D7F" w:rsidRPr="004542B5">
        <w:rPr>
          <w:noProof w:val="0"/>
          <w:lang w:val="en-US"/>
        </w:rPr>
        <w:t>The breach of an international obligation by a State through a series of actions or omissions defined in aggregate as wrongful occurs when the action or omission occurs which, taken with the other actions or omissions, is sufficient to constitute the wrongful act</w:t>
      </w:r>
      <w:r w:rsidRPr="004542B5">
        <w:rPr>
          <w:noProof w:val="0"/>
          <w:szCs w:val="20"/>
          <w:lang w:val="en-US"/>
        </w:rPr>
        <w:t>” (</w:t>
      </w:r>
      <w:r w:rsidR="00562CBB" w:rsidRPr="004542B5">
        <w:rPr>
          <w:noProof w:val="0"/>
          <w:szCs w:val="20"/>
          <w:lang w:val="en-US"/>
        </w:rPr>
        <w:t>Article</w:t>
      </w:r>
      <w:r w:rsidRPr="004542B5">
        <w:rPr>
          <w:noProof w:val="0"/>
          <w:szCs w:val="20"/>
          <w:lang w:val="en-US"/>
        </w:rPr>
        <w:t xml:space="preserve"> 15</w:t>
      </w:r>
      <w:r w:rsidR="00955D7F" w:rsidRPr="004542B5">
        <w:rPr>
          <w:noProof w:val="0"/>
          <w:szCs w:val="20"/>
          <w:lang w:val="en-US"/>
        </w:rPr>
        <w:t>(</w:t>
      </w:r>
      <w:r w:rsidRPr="004542B5">
        <w:rPr>
          <w:noProof w:val="0"/>
          <w:szCs w:val="20"/>
          <w:lang w:val="en-US"/>
        </w:rPr>
        <w:t>1</w:t>
      </w:r>
      <w:r w:rsidR="00955D7F" w:rsidRPr="004542B5">
        <w:rPr>
          <w:noProof w:val="0"/>
          <w:szCs w:val="20"/>
          <w:lang w:val="en-US"/>
        </w:rPr>
        <w:t>)</w:t>
      </w:r>
      <w:r w:rsidRPr="004542B5">
        <w:rPr>
          <w:noProof w:val="0"/>
          <w:szCs w:val="20"/>
          <w:lang w:val="en-US"/>
        </w:rPr>
        <w:t xml:space="preserve">). </w:t>
      </w:r>
      <w:r w:rsidR="00955D7F" w:rsidRPr="004542B5">
        <w:rPr>
          <w:noProof w:val="0"/>
          <w:szCs w:val="20"/>
          <w:lang w:val="en-US"/>
        </w:rPr>
        <w:t>Thus</w:t>
      </w:r>
      <w:r w:rsidRPr="004542B5">
        <w:rPr>
          <w:noProof w:val="0"/>
          <w:szCs w:val="20"/>
          <w:lang w:val="en-US"/>
        </w:rPr>
        <w:t>, “</w:t>
      </w:r>
      <w:r w:rsidR="00955D7F" w:rsidRPr="004542B5">
        <w:rPr>
          <w:noProof w:val="0"/>
          <w:lang w:val="en-US"/>
        </w:rPr>
        <w:t xml:space="preserve">In such a case, the breach extends over the entire period starting with </w:t>
      </w:r>
      <w:r w:rsidR="00955D7F" w:rsidRPr="004542B5">
        <w:rPr>
          <w:noProof w:val="0"/>
          <w:lang w:val="en-US"/>
        </w:rPr>
        <w:lastRenderedPageBreak/>
        <w:t>the first of the actions or omissions of the series and lasts for as long as these actions or omissions are repeated and remain not in conformity with the international obligation</w:t>
      </w:r>
      <w:r w:rsidRPr="004542B5">
        <w:rPr>
          <w:noProof w:val="0"/>
          <w:szCs w:val="20"/>
          <w:lang w:val="en-US"/>
        </w:rPr>
        <w:t>” (</w:t>
      </w:r>
      <w:r w:rsidR="00562CBB" w:rsidRPr="004542B5">
        <w:rPr>
          <w:noProof w:val="0"/>
          <w:szCs w:val="20"/>
          <w:lang w:val="en-US"/>
        </w:rPr>
        <w:t>Article</w:t>
      </w:r>
      <w:r w:rsidRPr="004542B5">
        <w:rPr>
          <w:noProof w:val="0"/>
          <w:szCs w:val="20"/>
          <w:lang w:val="en-US"/>
        </w:rPr>
        <w:t xml:space="preserve"> 15</w:t>
      </w:r>
      <w:r w:rsidR="00955D7F" w:rsidRPr="004542B5">
        <w:rPr>
          <w:noProof w:val="0"/>
          <w:szCs w:val="20"/>
          <w:lang w:val="en-US"/>
        </w:rPr>
        <w:t>(</w:t>
      </w:r>
      <w:r w:rsidRPr="004542B5">
        <w:rPr>
          <w:noProof w:val="0"/>
          <w:szCs w:val="20"/>
          <w:lang w:val="en-US"/>
        </w:rPr>
        <w:t>2</w:t>
      </w:r>
      <w:r w:rsidR="00955D7F" w:rsidRPr="004542B5">
        <w:rPr>
          <w:noProof w:val="0"/>
          <w:szCs w:val="20"/>
          <w:lang w:val="en-US"/>
        </w:rPr>
        <w:t>)</w:t>
      </w:r>
      <w:r w:rsidRPr="004542B5">
        <w:rPr>
          <w:noProof w:val="0"/>
          <w:szCs w:val="20"/>
          <w:lang w:val="en-US"/>
        </w:rPr>
        <w:t>)</w:t>
      </w:r>
      <w:r w:rsidR="00955D7F" w:rsidRPr="004542B5">
        <w:rPr>
          <w:noProof w:val="0"/>
          <w:szCs w:val="20"/>
          <w:lang w:val="en-US"/>
        </w:rPr>
        <w:t xml:space="preserve">. Composite acts always consist of </w:t>
      </w:r>
      <w:r w:rsidR="00B86495" w:rsidRPr="004542B5">
        <w:rPr>
          <w:noProof w:val="0"/>
          <w:szCs w:val="20"/>
          <w:lang w:val="en-US"/>
        </w:rPr>
        <w:t>“</w:t>
      </w:r>
      <w:r w:rsidR="00955D7F" w:rsidRPr="004542B5">
        <w:rPr>
          <w:noProof w:val="0"/>
          <w:szCs w:val="20"/>
          <w:lang w:val="en-US"/>
        </w:rPr>
        <w:t xml:space="preserve">a series of individual acts of the State </w:t>
      </w:r>
      <w:r w:rsidR="00B86495" w:rsidRPr="004542B5">
        <w:rPr>
          <w:noProof w:val="0"/>
          <w:szCs w:val="20"/>
          <w:lang w:val="en-US"/>
        </w:rPr>
        <w:t>succeeding each</w:t>
      </w:r>
      <w:r w:rsidR="00955D7F" w:rsidRPr="004542B5">
        <w:rPr>
          <w:noProof w:val="0"/>
          <w:szCs w:val="20"/>
          <w:lang w:val="en-US"/>
        </w:rPr>
        <w:t xml:space="preserve"> other in a sequence of </w:t>
      </w:r>
      <w:r w:rsidR="00B86495" w:rsidRPr="004542B5">
        <w:rPr>
          <w:noProof w:val="0"/>
          <w:szCs w:val="20"/>
          <w:lang w:val="en-US"/>
        </w:rPr>
        <w:t xml:space="preserve">separate courses of </w:t>
      </w:r>
      <w:r w:rsidR="00955D7F" w:rsidRPr="004542B5">
        <w:rPr>
          <w:noProof w:val="0"/>
          <w:szCs w:val="20"/>
          <w:lang w:val="en-US"/>
        </w:rPr>
        <w:t>conduct, actions or omissions</w:t>
      </w:r>
      <w:r w:rsidR="00B86495" w:rsidRPr="004542B5">
        <w:rPr>
          <w:noProof w:val="0"/>
          <w:szCs w:val="20"/>
          <w:lang w:val="en-US"/>
        </w:rPr>
        <w:t>, adopted</w:t>
      </w:r>
      <w:r w:rsidR="00955D7F" w:rsidRPr="004542B5">
        <w:rPr>
          <w:noProof w:val="0"/>
          <w:szCs w:val="20"/>
          <w:lang w:val="en-US"/>
        </w:rPr>
        <w:t xml:space="preserve"> in separate cases</w:t>
      </w:r>
      <w:r w:rsidR="00B86495" w:rsidRPr="004542B5">
        <w:rPr>
          <w:noProof w:val="0"/>
          <w:szCs w:val="20"/>
          <w:lang w:val="en-US"/>
        </w:rPr>
        <w:t xml:space="preserve">, </w:t>
      </w:r>
      <w:r w:rsidR="00955D7F" w:rsidRPr="004542B5">
        <w:rPr>
          <w:noProof w:val="0"/>
          <w:szCs w:val="20"/>
          <w:lang w:val="en-US"/>
        </w:rPr>
        <w:t xml:space="preserve">but </w:t>
      </w:r>
      <w:r w:rsidR="00B86495" w:rsidRPr="004542B5">
        <w:rPr>
          <w:noProof w:val="0"/>
          <w:szCs w:val="20"/>
          <w:lang w:val="en-US"/>
        </w:rPr>
        <w:t>all</w:t>
      </w:r>
      <w:r w:rsidR="00955D7F" w:rsidRPr="004542B5">
        <w:rPr>
          <w:noProof w:val="0"/>
          <w:szCs w:val="20"/>
          <w:lang w:val="en-US"/>
        </w:rPr>
        <w:t xml:space="preserve"> contribut</w:t>
      </w:r>
      <w:r w:rsidR="00B86495" w:rsidRPr="004542B5">
        <w:rPr>
          <w:noProof w:val="0"/>
          <w:szCs w:val="20"/>
          <w:lang w:val="en-US"/>
        </w:rPr>
        <w:t>ing</w:t>
      </w:r>
      <w:r w:rsidR="00955D7F" w:rsidRPr="004542B5">
        <w:rPr>
          <w:noProof w:val="0"/>
          <w:szCs w:val="20"/>
          <w:lang w:val="en-US"/>
        </w:rPr>
        <w:t xml:space="preserve"> to the commission of the </w:t>
      </w:r>
      <w:r w:rsidR="00B86495" w:rsidRPr="004542B5">
        <w:rPr>
          <w:noProof w:val="0"/>
          <w:szCs w:val="20"/>
          <w:lang w:val="en-US"/>
        </w:rPr>
        <w:t xml:space="preserve">aggregate </w:t>
      </w:r>
      <w:r w:rsidR="00955D7F" w:rsidRPr="004542B5">
        <w:rPr>
          <w:noProof w:val="0"/>
          <w:szCs w:val="20"/>
          <w:lang w:val="en-US"/>
        </w:rPr>
        <w:t>act in question.</w:t>
      </w:r>
      <w:r w:rsidR="00B86495" w:rsidRPr="004542B5">
        <w:rPr>
          <w:noProof w:val="0"/>
          <w:szCs w:val="20"/>
          <w:lang w:val="en-US"/>
        </w:rPr>
        <w:t>”</w:t>
      </w:r>
      <w:r w:rsidRPr="004542B5">
        <w:rPr>
          <w:rStyle w:val="FootnoteReference"/>
          <w:noProof w:val="0"/>
          <w:lang w:val="en-US"/>
        </w:rPr>
        <w:footnoteReference w:id="330"/>
      </w:r>
      <w:r w:rsidRPr="004542B5">
        <w:rPr>
          <w:noProof w:val="0"/>
          <w:szCs w:val="20"/>
          <w:lang w:val="en-US"/>
        </w:rPr>
        <w:t xml:space="preserve"> </w:t>
      </w:r>
      <w:r w:rsidR="00B86495" w:rsidRPr="004542B5">
        <w:rPr>
          <w:noProof w:val="0"/>
          <w:szCs w:val="20"/>
          <w:lang w:val="en-US"/>
        </w:rPr>
        <w:t xml:space="preserve">These acts, “taken separately, may be lawful or unlawful, but […] are interrelated by having the same intention, content and </w:t>
      </w:r>
      <w:r w:rsidR="00B86495" w:rsidRPr="004542B5">
        <w:rPr>
          <w:noProof w:val="0"/>
          <w:szCs w:val="20"/>
          <w:u w:val="single"/>
          <w:lang w:val="en-US"/>
        </w:rPr>
        <w:t>effects</w:t>
      </w:r>
      <w:r w:rsidR="00B86495" w:rsidRPr="004542B5">
        <w:rPr>
          <w:noProof w:val="0"/>
          <w:szCs w:val="20"/>
          <w:lang w:val="en-US"/>
        </w:rPr>
        <w:t>.”</w:t>
      </w:r>
      <w:r w:rsidRPr="004542B5">
        <w:rPr>
          <w:rStyle w:val="FootnoteReference"/>
          <w:noProof w:val="0"/>
          <w:lang w:val="en-US"/>
        </w:rPr>
        <w:footnoteReference w:id="331"/>
      </w:r>
    </w:p>
    <w:p w14:paraId="7FD071CF" w14:textId="3D820902" w:rsidR="00E76B2D" w:rsidRPr="004542B5" w:rsidRDefault="00E76B2D" w:rsidP="00E76B2D">
      <w:pPr>
        <w:rPr>
          <w:noProof w:val="0"/>
          <w:szCs w:val="20"/>
          <w:lang w:val="en-US"/>
        </w:rPr>
      </w:pPr>
    </w:p>
    <w:p w14:paraId="7AAB14B9" w14:textId="5BF1EE8A" w:rsidR="00E76B2D" w:rsidRPr="004542B5" w:rsidRDefault="00E76B2D" w:rsidP="00E76B2D">
      <w:pPr>
        <w:rPr>
          <w:noProof w:val="0"/>
          <w:szCs w:val="20"/>
          <w:lang w:val="en-US"/>
        </w:rPr>
      </w:pPr>
      <w:r w:rsidRPr="004542B5">
        <w:rPr>
          <w:noProof w:val="0"/>
          <w:szCs w:val="20"/>
          <w:lang w:val="en-US"/>
        </w:rPr>
        <w:t xml:space="preserve">36. </w:t>
      </w:r>
      <w:r w:rsidRPr="004542B5">
        <w:rPr>
          <w:noProof w:val="0"/>
          <w:szCs w:val="20"/>
          <w:lang w:val="en-US"/>
        </w:rPr>
        <w:tab/>
      </w:r>
      <w:r w:rsidR="00A766E9" w:rsidRPr="004542B5">
        <w:rPr>
          <w:noProof w:val="0"/>
          <w:szCs w:val="20"/>
          <w:lang w:val="en-US"/>
        </w:rPr>
        <w:t>Under t</w:t>
      </w:r>
      <w:r w:rsidR="00B86495" w:rsidRPr="004542B5">
        <w:rPr>
          <w:noProof w:val="0"/>
          <w:szCs w:val="20"/>
          <w:lang w:val="en-US"/>
        </w:rPr>
        <w:t>he European system of human rights</w:t>
      </w:r>
      <w:r w:rsidR="00A766E9" w:rsidRPr="004542B5">
        <w:rPr>
          <w:noProof w:val="0"/>
          <w:szCs w:val="20"/>
          <w:lang w:val="en-US"/>
        </w:rPr>
        <w:t>,</w:t>
      </w:r>
      <w:r w:rsidR="00B86495" w:rsidRPr="004542B5">
        <w:rPr>
          <w:noProof w:val="0"/>
          <w:szCs w:val="20"/>
          <w:lang w:val="en-US"/>
        </w:rPr>
        <w:t xml:space="preserve"> a general definition of what a continuing violation consists of</w:t>
      </w:r>
      <w:r w:rsidR="00A766E9" w:rsidRPr="004542B5">
        <w:rPr>
          <w:noProof w:val="0"/>
          <w:szCs w:val="20"/>
          <w:lang w:val="en-US"/>
        </w:rPr>
        <w:t xml:space="preserve"> was adopted,</w:t>
      </w:r>
      <w:r w:rsidR="00B86495" w:rsidRPr="004542B5">
        <w:rPr>
          <w:noProof w:val="0"/>
          <w:szCs w:val="20"/>
          <w:lang w:val="en-US"/>
        </w:rPr>
        <w:t xml:space="preserve"> first, b</w:t>
      </w:r>
      <w:r w:rsidR="00A766E9" w:rsidRPr="004542B5">
        <w:rPr>
          <w:noProof w:val="0"/>
          <w:szCs w:val="20"/>
          <w:lang w:val="en-US"/>
        </w:rPr>
        <w:t>y</w:t>
      </w:r>
      <w:r w:rsidR="00B86495" w:rsidRPr="004542B5">
        <w:rPr>
          <w:noProof w:val="0"/>
          <w:szCs w:val="20"/>
          <w:lang w:val="en-US"/>
        </w:rPr>
        <w:t xml:space="preserve"> the former European Commission on Human Rights and later ratified by the</w:t>
      </w:r>
      <w:r w:rsidR="00562CBB" w:rsidRPr="004542B5">
        <w:rPr>
          <w:noProof w:val="0"/>
          <w:szCs w:val="20"/>
          <w:lang w:val="en-US"/>
        </w:rPr>
        <w:t xml:space="preserve"> </w:t>
      </w:r>
      <w:r w:rsidR="00517C7D" w:rsidRPr="004542B5">
        <w:rPr>
          <w:noProof w:val="0"/>
          <w:szCs w:val="20"/>
          <w:lang w:val="en-US"/>
        </w:rPr>
        <w:t>European Court of Human Rights</w:t>
      </w:r>
      <w:r w:rsidRPr="004542B5">
        <w:rPr>
          <w:noProof w:val="0"/>
          <w:szCs w:val="20"/>
          <w:lang w:val="en-US"/>
        </w:rPr>
        <w:t xml:space="preserve">. </w:t>
      </w:r>
      <w:r w:rsidR="00A766E9" w:rsidRPr="004542B5">
        <w:rPr>
          <w:noProof w:val="0"/>
          <w:szCs w:val="20"/>
          <w:lang w:val="en-US"/>
        </w:rPr>
        <w:t>Thus, a continuing situation refers to “a</w:t>
      </w:r>
      <w:r w:rsidR="00A766E9" w:rsidRPr="004542B5">
        <w:rPr>
          <w:noProof w:val="0"/>
          <w:szCs w:val="16"/>
          <w:lang w:val="en-US"/>
        </w:rPr>
        <w:t xml:space="preserve"> state of affairs which operates by continuous activities by or on the part of the State to render the applicants victims.</w:t>
      </w:r>
      <w:r w:rsidRPr="004542B5">
        <w:rPr>
          <w:noProof w:val="0"/>
          <w:szCs w:val="20"/>
          <w:lang w:val="en-US"/>
        </w:rPr>
        <w:t>”</w:t>
      </w:r>
      <w:r w:rsidRPr="004542B5">
        <w:rPr>
          <w:rStyle w:val="FootnoteReference"/>
          <w:noProof w:val="0"/>
          <w:lang w:val="en-US"/>
        </w:rPr>
        <w:footnoteReference w:id="332"/>
      </w:r>
      <w:r w:rsidR="00A766E9" w:rsidRPr="004542B5">
        <w:rPr>
          <w:noProof w:val="0"/>
          <w:szCs w:val="20"/>
          <w:lang w:val="en-US"/>
        </w:rPr>
        <w:t xml:space="preserve"> It is also important to point out that there is no clear differentiation between the expressions “continuous” or “continuing” violation, and the European Court uses the two expressions indistinctly.</w:t>
      </w:r>
      <w:r w:rsidRPr="004542B5">
        <w:rPr>
          <w:rStyle w:val="FootnoteReference"/>
          <w:noProof w:val="0"/>
          <w:lang w:val="en-US"/>
        </w:rPr>
        <w:footnoteReference w:id="333"/>
      </w:r>
    </w:p>
    <w:p w14:paraId="1046E73C" w14:textId="77777777" w:rsidR="00E76B2D" w:rsidRPr="004542B5" w:rsidRDefault="00E76B2D" w:rsidP="00E76B2D">
      <w:pPr>
        <w:rPr>
          <w:noProof w:val="0"/>
          <w:szCs w:val="20"/>
          <w:lang w:val="en-US"/>
        </w:rPr>
      </w:pPr>
    </w:p>
    <w:p w14:paraId="0B219D2D" w14:textId="48A520FD" w:rsidR="00E76B2D" w:rsidRPr="004542B5" w:rsidRDefault="00E76B2D" w:rsidP="00E76B2D">
      <w:pPr>
        <w:rPr>
          <w:noProof w:val="0"/>
          <w:szCs w:val="20"/>
          <w:lang w:val="en-US"/>
        </w:rPr>
      </w:pPr>
      <w:r w:rsidRPr="004542B5">
        <w:rPr>
          <w:noProof w:val="0"/>
          <w:szCs w:val="20"/>
          <w:lang w:val="en-US"/>
        </w:rPr>
        <w:t xml:space="preserve">37. </w:t>
      </w:r>
      <w:r w:rsidRPr="004542B5">
        <w:rPr>
          <w:noProof w:val="0"/>
          <w:szCs w:val="20"/>
          <w:lang w:val="en-US"/>
        </w:rPr>
        <w:tab/>
      </w:r>
      <w:r w:rsidR="00A766E9" w:rsidRPr="004542B5">
        <w:rPr>
          <w:noProof w:val="0"/>
          <w:szCs w:val="20"/>
          <w:lang w:val="en-US"/>
        </w:rPr>
        <w:t>Under</w:t>
      </w:r>
      <w:r w:rsidR="00517C7D" w:rsidRPr="004542B5">
        <w:rPr>
          <w:noProof w:val="0"/>
          <w:szCs w:val="20"/>
          <w:lang w:val="en-US"/>
        </w:rPr>
        <w:t xml:space="preserve"> the inter-American system of human rights</w:t>
      </w:r>
      <w:r w:rsidR="00A766E9" w:rsidRPr="004542B5">
        <w:rPr>
          <w:noProof w:val="0"/>
          <w:szCs w:val="20"/>
          <w:lang w:val="en-US"/>
        </w:rPr>
        <w:t xml:space="preserve">, this Court has indicated the continuing nature of different human rights violations on different occasions. Perhaps the most significant case is that of the forced disappearance of persons. In this type of human rights violation, the Inter-American Court has repeatedly asserted that “[t]he forced disappearance of persons is a multiple and continuing violation of numerous </w:t>
      </w:r>
      <w:r w:rsidR="004223D9" w:rsidRPr="004542B5">
        <w:rPr>
          <w:noProof w:val="0"/>
          <w:szCs w:val="20"/>
          <w:lang w:val="en-US"/>
        </w:rPr>
        <w:t xml:space="preserve">Convention-based </w:t>
      </w:r>
      <w:r w:rsidR="00F2239D" w:rsidRPr="004542B5">
        <w:rPr>
          <w:noProof w:val="0"/>
          <w:szCs w:val="20"/>
          <w:lang w:val="en-US"/>
        </w:rPr>
        <w:t>rights that the States Parties are obliged to respect and guarantee.</w:t>
      </w:r>
      <w:r w:rsidRPr="004542B5">
        <w:rPr>
          <w:i/>
          <w:noProof w:val="0"/>
          <w:lang w:val="en-US"/>
        </w:rPr>
        <w:t>”</w:t>
      </w:r>
      <w:r w:rsidRPr="004542B5">
        <w:rPr>
          <w:rStyle w:val="FootnoteReference"/>
          <w:noProof w:val="0"/>
          <w:lang w:val="en-US"/>
        </w:rPr>
        <w:footnoteReference w:id="334"/>
      </w:r>
    </w:p>
    <w:p w14:paraId="2397798D" w14:textId="77777777" w:rsidR="00E76B2D" w:rsidRPr="004542B5" w:rsidRDefault="00E76B2D" w:rsidP="00E76B2D">
      <w:pPr>
        <w:rPr>
          <w:noProof w:val="0"/>
          <w:lang w:val="en-US"/>
        </w:rPr>
      </w:pPr>
    </w:p>
    <w:p w14:paraId="051EE487" w14:textId="01EF57D7" w:rsidR="00E76B2D" w:rsidRPr="004542B5" w:rsidRDefault="00E76B2D" w:rsidP="00E76B2D">
      <w:pPr>
        <w:rPr>
          <w:noProof w:val="0"/>
          <w:szCs w:val="20"/>
          <w:lang w:val="en-US"/>
        </w:rPr>
      </w:pPr>
      <w:r w:rsidRPr="004542B5">
        <w:rPr>
          <w:noProof w:val="0"/>
          <w:lang w:val="en-US"/>
        </w:rPr>
        <w:t xml:space="preserve">38. </w:t>
      </w:r>
      <w:r w:rsidR="00F2239D" w:rsidRPr="004542B5">
        <w:rPr>
          <w:noProof w:val="0"/>
          <w:lang w:val="en-US"/>
        </w:rPr>
        <w:tab/>
        <w:t>The Court has also repeatedly recognized the continuing nature of various human rights violations such as the lack of access to justice in relation to extrajudicial execution and massacres,</w:t>
      </w:r>
      <w:r w:rsidRPr="004542B5">
        <w:rPr>
          <w:rStyle w:val="FootnoteReference"/>
          <w:noProof w:val="0"/>
          <w:lang w:val="en-US"/>
        </w:rPr>
        <w:footnoteReference w:id="335"/>
      </w:r>
      <w:r w:rsidR="00F2239D" w:rsidRPr="004542B5">
        <w:rPr>
          <w:noProof w:val="0"/>
          <w:lang w:val="en-US"/>
        </w:rPr>
        <w:t xml:space="preserve"> </w:t>
      </w:r>
      <w:r w:rsidRPr="004542B5">
        <w:rPr>
          <w:noProof w:val="0"/>
          <w:szCs w:val="20"/>
          <w:lang w:val="en-US"/>
        </w:rPr>
        <w:t xml:space="preserve"> </w:t>
      </w:r>
      <w:r w:rsidR="00F2239D" w:rsidRPr="004542B5">
        <w:rPr>
          <w:noProof w:val="0"/>
          <w:szCs w:val="20"/>
          <w:lang w:val="en-US"/>
        </w:rPr>
        <w:t>as well as in contexts of forced displacement and persecution with regard to the rights of the child and the rights of the family and to personal integrity.</w:t>
      </w:r>
      <w:r w:rsidRPr="004542B5">
        <w:rPr>
          <w:rStyle w:val="FootnoteReference"/>
          <w:noProof w:val="0"/>
          <w:lang w:val="en-US"/>
        </w:rPr>
        <w:footnoteReference w:id="336"/>
      </w:r>
      <w:r w:rsidRPr="004542B5">
        <w:rPr>
          <w:noProof w:val="0"/>
          <w:szCs w:val="20"/>
          <w:lang w:val="en-US"/>
        </w:rPr>
        <w:t xml:space="preserve"> </w:t>
      </w:r>
    </w:p>
    <w:p w14:paraId="0D31BB67" w14:textId="77777777" w:rsidR="00E76B2D" w:rsidRPr="004542B5" w:rsidRDefault="00E76B2D" w:rsidP="00E76B2D">
      <w:pPr>
        <w:rPr>
          <w:noProof w:val="0"/>
          <w:szCs w:val="20"/>
          <w:lang w:val="en-US"/>
        </w:rPr>
      </w:pPr>
    </w:p>
    <w:p w14:paraId="3C9C2CB0" w14:textId="76045221" w:rsidR="00E76B2D" w:rsidRPr="004542B5" w:rsidRDefault="00E76B2D" w:rsidP="00E76B2D">
      <w:pPr>
        <w:pStyle w:val="ListParagraph"/>
        <w:ind w:left="0"/>
        <w:contextualSpacing w:val="0"/>
        <w:rPr>
          <w:noProof w:val="0"/>
          <w:lang w:val="en-US"/>
        </w:rPr>
      </w:pPr>
      <w:r w:rsidRPr="004542B5">
        <w:rPr>
          <w:noProof w:val="0"/>
          <w:szCs w:val="20"/>
          <w:lang w:val="en-US"/>
        </w:rPr>
        <w:t xml:space="preserve">39. </w:t>
      </w:r>
      <w:r w:rsidR="00F2239D" w:rsidRPr="004542B5">
        <w:rPr>
          <w:noProof w:val="0"/>
          <w:szCs w:val="20"/>
          <w:lang w:val="en-US"/>
        </w:rPr>
        <w:tab/>
      </w:r>
      <w:r w:rsidRPr="004542B5">
        <w:rPr>
          <w:noProof w:val="0"/>
          <w:szCs w:val="20"/>
          <w:lang w:val="en-US"/>
        </w:rPr>
        <w:t>Rec</w:t>
      </w:r>
      <w:r w:rsidR="00F2239D" w:rsidRPr="004542B5">
        <w:rPr>
          <w:noProof w:val="0"/>
          <w:szCs w:val="20"/>
          <w:lang w:val="en-US"/>
        </w:rPr>
        <w:t>ently</w:t>
      </w:r>
      <w:r w:rsidRPr="004542B5">
        <w:rPr>
          <w:noProof w:val="0"/>
          <w:szCs w:val="20"/>
          <w:lang w:val="en-US"/>
        </w:rPr>
        <w:t xml:space="preserve">, </w:t>
      </w:r>
      <w:r w:rsidR="00F2239D" w:rsidRPr="004542B5">
        <w:rPr>
          <w:noProof w:val="0"/>
          <w:szCs w:val="20"/>
          <w:lang w:val="en-US"/>
        </w:rPr>
        <w:t>in the</w:t>
      </w:r>
      <w:r w:rsidRPr="004542B5">
        <w:rPr>
          <w:noProof w:val="0"/>
          <w:szCs w:val="20"/>
          <w:lang w:val="en-US"/>
        </w:rPr>
        <w:t xml:space="preserve"> </w:t>
      </w:r>
      <w:r w:rsidR="004A09DF" w:rsidRPr="004542B5">
        <w:rPr>
          <w:i/>
          <w:noProof w:val="0"/>
          <w:szCs w:val="20"/>
          <w:lang w:val="en-US"/>
        </w:rPr>
        <w:t>Case of</w:t>
      </w:r>
      <w:r w:rsidRPr="004542B5">
        <w:rPr>
          <w:i/>
          <w:noProof w:val="0"/>
          <w:szCs w:val="20"/>
          <w:lang w:val="en-US"/>
        </w:rPr>
        <w:t xml:space="preserve"> García Lucero </w:t>
      </w:r>
      <w:r w:rsidR="00562CBB" w:rsidRPr="004542B5">
        <w:rPr>
          <w:i/>
          <w:noProof w:val="0"/>
          <w:szCs w:val="20"/>
          <w:lang w:val="en-US"/>
        </w:rPr>
        <w:t>v.</w:t>
      </w:r>
      <w:r w:rsidRPr="004542B5">
        <w:rPr>
          <w:i/>
          <w:noProof w:val="0"/>
          <w:szCs w:val="20"/>
          <w:lang w:val="en-US"/>
        </w:rPr>
        <w:t xml:space="preserve"> Chile</w:t>
      </w:r>
      <w:r w:rsidR="00F2239D" w:rsidRPr="004542B5">
        <w:rPr>
          <w:i/>
          <w:noProof w:val="0"/>
          <w:szCs w:val="20"/>
          <w:lang w:val="en-US"/>
        </w:rPr>
        <w:t>,</w:t>
      </w:r>
      <w:r w:rsidRPr="004542B5">
        <w:rPr>
          <w:noProof w:val="0"/>
          <w:szCs w:val="20"/>
          <w:lang w:val="en-US"/>
        </w:rPr>
        <w:t xml:space="preserve"> </w:t>
      </w:r>
      <w:r w:rsidR="00562CBB" w:rsidRPr="004542B5">
        <w:rPr>
          <w:noProof w:val="0"/>
          <w:szCs w:val="20"/>
          <w:lang w:val="en-US"/>
        </w:rPr>
        <w:t>the Inter-American Court</w:t>
      </w:r>
      <w:r w:rsidRPr="004542B5">
        <w:rPr>
          <w:noProof w:val="0"/>
          <w:szCs w:val="20"/>
          <w:lang w:val="en-US"/>
        </w:rPr>
        <w:t xml:space="preserve"> </w:t>
      </w:r>
      <w:r w:rsidR="00F2239D" w:rsidRPr="004542B5">
        <w:rPr>
          <w:noProof w:val="0"/>
          <w:szCs w:val="20"/>
          <w:lang w:val="en-US"/>
        </w:rPr>
        <w:t>referred to violations of a non-continuing nature and whether their effects could be examined by the Court when they f</w:t>
      </w:r>
      <w:r w:rsidR="004223D9" w:rsidRPr="004542B5">
        <w:rPr>
          <w:noProof w:val="0"/>
          <w:szCs w:val="20"/>
          <w:lang w:val="en-US"/>
        </w:rPr>
        <w:t>al</w:t>
      </w:r>
      <w:r w:rsidR="00F2239D" w:rsidRPr="004542B5">
        <w:rPr>
          <w:noProof w:val="0"/>
          <w:szCs w:val="20"/>
          <w:lang w:val="en-US"/>
        </w:rPr>
        <w:t xml:space="preserve">l outside its temporal </w:t>
      </w:r>
      <w:r w:rsidR="0020681C" w:rsidRPr="004542B5">
        <w:rPr>
          <w:noProof w:val="0"/>
          <w:szCs w:val="20"/>
          <w:lang w:val="en-US"/>
        </w:rPr>
        <w:t>jurisdiction</w:t>
      </w:r>
      <w:r w:rsidRPr="004542B5">
        <w:rPr>
          <w:noProof w:val="0"/>
          <w:szCs w:val="20"/>
          <w:lang w:val="en-US"/>
        </w:rPr>
        <w:t xml:space="preserve">. </w:t>
      </w:r>
      <w:r w:rsidR="00F2239D" w:rsidRPr="004542B5">
        <w:rPr>
          <w:noProof w:val="0"/>
          <w:szCs w:val="20"/>
          <w:lang w:val="en-US"/>
        </w:rPr>
        <w:t xml:space="preserve">In this regard, in that case, the Court determined that, even though it was unable to examine the acts of torture owing to its temporal </w:t>
      </w:r>
      <w:r w:rsidR="0020681C" w:rsidRPr="004542B5">
        <w:rPr>
          <w:noProof w:val="0"/>
          <w:szCs w:val="20"/>
          <w:lang w:val="en-US"/>
        </w:rPr>
        <w:t>jurisdiction</w:t>
      </w:r>
      <w:r w:rsidR="00F2239D" w:rsidRPr="004542B5">
        <w:rPr>
          <w:noProof w:val="0"/>
          <w:szCs w:val="20"/>
          <w:lang w:val="en-US"/>
        </w:rPr>
        <w:t>,</w:t>
      </w:r>
      <w:r w:rsidRPr="004542B5">
        <w:rPr>
          <w:noProof w:val="0"/>
          <w:szCs w:val="20"/>
          <w:lang w:val="en-US"/>
        </w:rPr>
        <w:t xml:space="preserve"> “</w:t>
      </w:r>
      <w:r w:rsidR="00F2239D" w:rsidRPr="004542B5">
        <w:rPr>
          <w:rFonts w:cs="Arial"/>
          <w:noProof w:val="0"/>
          <w:szCs w:val="20"/>
          <w:lang w:val="en-US"/>
        </w:rPr>
        <w:t xml:space="preserve">the integral nature or individualization of </w:t>
      </w:r>
      <w:r w:rsidR="00F2239D" w:rsidRPr="004542B5">
        <w:rPr>
          <w:rFonts w:cs="Arial"/>
          <w:noProof w:val="0"/>
          <w:szCs w:val="20"/>
          <w:lang w:val="en-US"/>
        </w:rPr>
        <w:lastRenderedPageBreak/>
        <w:t xml:space="preserve">the reparation can only be evaluated based on an examination of the facts that gave rise to the harm and their effects, and they are excluded from the Court’s temporal </w:t>
      </w:r>
      <w:r w:rsidR="0020681C" w:rsidRPr="004542B5">
        <w:rPr>
          <w:noProof w:val="0"/>
          <w:szCs w:val="20"/>
          <w:lang w:val="en-US"/>
        </w:rPr>
        <w:t>jurisdiction</w:t>
      </w:r>
      <w:r w:rsidR="00F2239D" w:rsidRPr="004542B5">
        <w:rPr>
          <w:rFonts w:cs="Arial"/>
          <w:noProof w:val="0"/>
          <w:szCs w:val="20"/>
          <w:lang w:val="en-US"/>
        </w:rPr>
        <w:t>.”</w:t>
      </w:r>
      <w:r w:rsidRPr="004542B5">
        <w:rPr>
          <w:rStyle w:val="FootnoteReference"/>
          <w:noProof w:val="0"/>
          <w:lang w:val="en-US"/>
        </w:rPr>
        <w:footnoteReference w:id="337"/>
      </w:r>
      <w:r w:rsidRPr="004542B5">
        <w:rPr>
          <w:noProof w:val="0"/>
          <w:lang w:val="en-US"/>
        </w:rPr>
        <w:t xml:space="preserve"> </w:t>
      </w:r>
      <w:r w:rsidR="00FD378E" w:rsidRPr="004542B5">
        <w:rPr>
          <w:noProof w:val="0"/>
          <w:lang w:val="en-US"/>
        </w:rPr>
        <w:t>In addition, it indicated that although it was unable to examine all the facts, the Court was able “</w:t>
      </w:r>
      <w:r w:rsidR="00FD378E" w:rsidRPr="004542B5">
        <w:rPr>
          <w:rFonts w:cs="Arial"/>
          <w:noProof w:val="0"/>
          <w:szCs w:val="20"/>
          <w:lang w:val="en-US"/>
        </w:rPr>
        <w:t xml:space="preserve">to examine whether, based on autonomous facts that occurred within its temporal </w:t>
      </w:r>
      <w:r w:rsidR="00511F9F" w:rsidRPr="004542B5">
        <w:rPr>
          <w:rFonts w:cs="Arial"/>
          <w:noProof w:val="0"/>
          <w:szCs w:val="20"/>
          <w:lang w:val="en-US"/>
        </w:rPr>
        <w:t>jurisdiction</w:t>
      </w:r>
      <w:r w:rsidR="00FD378E" w:rsidRPr="004542B5">
        <w:rPr>
          <w:rFonts w:cs="Arial"/>
          <w:noProof w:val="0"/>
          <w:szCs w:val="20"/>
          <w:lang w:val="en-US"/>
        </w:rPr>
        <w:t>, the State complied with its obligation to investigate and whether it provided the appropriate remedies for claims to be filed for measures of reparation pursuant to the American Convention, and also the Inter-American Convention against Torture.</w:t>
      </w:r>
      <w:r w:rsidRPr="004542B5">
        <w:rPr>
          <w:noProof w:val="0"/>
          <w:lang w:val="en-US"/>
        </w:rPr>
        <w:t>”</w:t>
      </w:r>
      <w:r w:rsidRPr="004542B5">
        <w:rPr>
          <w:rStyle w:val="FootnoteReference"/>
          <w:noProof w:val="0"/>
          <w:lang w:val="en-US"/>
        </w:rPr>
        <w:footnoteReference w:id="338"/>
      </w:r>
      <w:r w:rsidR="00FD378E" w:rsidRPr="004542B5">
        <w:rPr>
          <w:noProof w:val="0"/>
          <w:lang w:val="en-US"/>
        </w:rPr>
        <w:t xml:space="preserve"> This precedent did not change the Court’s case law in any way in relation to the nature of continuing violations, or present additional elements to analyze this.</w:t>
      </w:r>
    </w:p>
    <w:p w14:paraId="4E6B2CEF" w14:textId="77777777" w:rsidR="00E76B2D" w:rsidRPr="004542B5" w:rsidRDefault="00E76B2D" w:rsidP="00E76B2D">
      <w:pPr>
        <w:pStyle w:val="ListParagraph"/>
        <w:ind w:left="0"/>
        <w:contextualSpacing w:val="0"/>
        <w:rPr>
          <w:noProof w:val="0"/>
          <w:lang w:val="en-US"/>
        </w:rPr>
      </w:pPr>
    </w:p>
    <w:p w14:paraId="00A7B43B" w14:textId="74B6355C" w:rsidR="00E76B2D" w:rsidRPr="004542B5" w:rsidRDefault="00FD378E" w:rsidP="00E76B2D">
      <w:pPr>
        <w:pStyle w:val="ListParagraph"/>
        <w:numPr>
          <w:ilvl w:val="0"/>
          <w:numId w:val="58"/>
        </w:numPr>
        <w:rPr>
          <w:i/>
          <w:noProof w:val="0"/>
          <w:szCs w:val="20"/>
          <w:lang w:val="en-US"/>
        </w:rPr>
      </w:pPr>
      <w:r w:rsidRPr="004542B5">
        <w:rPr>
          <w:i/>
          <w:noProof w:val="0"/>
          <w:szCs w:val="20"/>
          <w:lang w:val="en-US"/>
        </w:rPr>
        <w:t>The elements of continuing violations with regard to the right to property</w:t>
      </w:r>
    </w:p>
    <w:p w14:paraId="3CB9E206" w14:textId="77777777" w:rsidR="00E76B2D" w:rsidRPr="004542B5" w:rsidRDefault="00E76B2D" w:rsidP="00E76B2D">
      <w:pPr>
        <w:pStyle w:val="ListParagraph"/>
        <w:ind w:left="0"/>
        <w:rPr>
          <w:rFonts w:cs="Arial"/>
          <w:noProof w:val="0"/>
          <w:szCs w:val="20"/>
          <w:lang w:val="en-US" w:eastAsia="de-DE"/>
        </w:rPr>
      </w:pPr>
    </w:p>
    <w:p w14:paraId="4220C890" w14:textId="39C2135A" w:rsidR="00E76B2D" w:rsidRPr="004542B5" w:rsidRDefault="00E76B2D" w:rsidP="00E76B2D">
      <w:pPr>
        <w:pStyle w:val="ListParagraph"/>
        <w:ind w:left="0"/>
        <w:rPr>
          <w:rFonts w:cs="Arial"/>
          <w:noProof w:val="0"/>
          <w:szCs w:val="20"/>
          <w:lang w:val="en-US" w:eastAsia="de-DE"/>
        </w:rPr>
      </w:pPr>
      <w:r w:rsidRPr="004542B5">
        <w:rPr>
          <w:rFonts w:cs="Arial"/>
          <w:noProof w:val="0"/>
          <w:szCs w:val="20"/>
          <w:lang w:val="en-US" w:eastAsia="de-DE"/>
        </w:rPr>
        <w:t>40.</w:t>
      </w:r>
      <w:r w:rsidRPr="004542B5">
        <w:rPr>
          <w:rFonts w:cs="Arial"/>
          <w:noProof w:val="0"/>
          <w:szCs w:val="20"/>
          <w:lang w:val="en-US" w:eastAsia="de-DE"/>
        </w:rPr>
        <w:tab/>
      </w:r>
      <w:r w:rsidR="00562CBB" w:rsidRPr="004542B5">
        <w:rPr>
          <w:rFonts w:cs="Arial"/>
          <w:noProof w:val="0"/>
          <w:szCs w:val="20"/>
          <w:lang w:val="en-US" w:eastAsia="de-DE"/>
        </w:rPr>
        <w:t xml:space="preserve">The </w:t>
      </w:r>
      <w:r w:rsidR="00517C7D" w:rsidRPr="004542B5">
        <w:rPr>
          <w:rFonts w:cs="Arial"/>
          <w:noProof w:val="0"/>
          <w:szCs w:val="20"/>
          <w:lang w:val="en-US" w:eastAsia="de-DE"/>
        </w:rPr>
        <w:t>European Court of Human Rights</w:t>
      </w:r>
      <w:r w:rsidRPr="004542B5">
        <w:rPr>
          <w:rFonts w:cs="Arial"/>
          <w:noProof w:val="0"/>
          <w:szCs w:val="20"/>
          <w:lang w:val="en-US" w:eastAsia="de-DE"/>
        </w:rPr>
        <w:t xml:space="preserve"> ha</w:t>
      </w:r>
      <w:r w:rsidR="00614B9C" w:rsidRPr="004542B5">
        <w:rPr>
          <w:rFonts w:cs="Arial"/>
          <w:noProof w:val="0"/>
          <w:szCs w:val="20"/>
          <w:lang w:val="en-US" w:eastAsia="de-DE"/>
        </w:rPr>
        <w:t>s determined in its case law that</w:t>
      </w:r>
      <w:r w:rsidR="004223D9" w:rsidRPr="004542B5">
        <w:rPr>
          <w:rFonts w:cs="Arial"/>
          <w:noProof w:val="0"/>
          <w:szCs w:val="20"/>
          <w:lang w:val="en-US" w:eastAsia="de-DE"/>
        </w:rPr>
        <w:t xml:space="preserve"> </w:t>
      </w:r>
      <w:r w:rsidR="00614B9C" w:rsidRPr="004542B5">
        <w:rPr>
          <w:rFonts w:cs="Arial"/>
          <w:noProof w:val="0"/>
          <w:szCs w:val="20"/>
          <w:lang w:val="en-US" w:eastAsia="de-DE"/>
        </w:rPr>
        <w:t>“</w:t>
      </w:r>
      <w:r w:rsidR="00614B9C" w:rsidRPr="004542B5">
        <w:rPr>
          <w:noProof w:val="0"/>
          <w:szCs w:val="16"/>
          <w:lang w:val="en-US"/>
        </w:rPr>
        <w:t>the deprivation of an individual’s home or property is in principle an instantaneous</w:t>
      </w:r>
      <w:r w:rsidR="00614B9C" w:rsidRPr="004542B5">
        <w:rPr>
          <w:rFonts w:cs="Arial"/>
          <w:noProof w:val="0"/>
          <w:szCs w:val="20"/>
          <w:lang w:val="en-US" w:eastAsia="de-DE"/>
        </w:rPr>
        <w:t xml:space="preserve"> </w:t>
      </w:r>
      <w:r w:rsidR="00614B9C" w:rsidRPr="004542B5">
        <w:rPr>
          <w:noProof w:val="0"/>
          <w:szCs w:val="16"/>
          <w:lang w:val="en-US"/>
        </w:rPr>
        <w:t>act and does not produce a continuing situation of ‘deprivation’ in respect of the rights concerned.”</w:t>
      </w:r>
      <w:r w:rsidRPr="004542B5">
        <w:rPr>
          <w:rStyle w:val="FootnoteReference"/>
          <w:rFonts w:cs="Arial"/>
          <w:noProof w:val="0"/>
          <w:lang w:val="en-US" w:eastAsia="de-DE"/>
        </w:rPr>
        <w:footnoteReference w:id="339"/>
      </w:r>
      <w:r w:rsidR="00614B9C" w:rsidRPr="004542B5">
        <w:rPr>
          <w:noProof w:val="0"/>
          <w:szCs w:val="16"/>
          <w:lang w:val="en-US"/>
        </w:rPr>
        <w:t xml:space="preserve"> However, there are times when a deprivation of property may be considered to be continuing, if there is a continuation of acts or omissions of if there are successive acts or a series of acts that </w:t>
      </w:r>
      <w:r w:rsidR="004223D9" w:rsidRPr="004542B5">
        <w:rPr>
          <w:noProof w:val="0"/>
          <w:szCs w:val="16"/>
          <w:lang w:val="en-US"/>
        </w:rPr>
        <w:t>endow it with</w:t>
      </w:r>
      <w:r w:rsidR="00614B9C" w:rsidRPr="004542B5">
        <w:rPr>
          <w:noProof w:val="0"/>
          <w:szCs w:val="16"/>
          <w:lang w:val="en-US"/>
        </w:rPr>
        <w:t xml:space="preserve"> this </w:t>
      </w:r>
      <w:r w:rsidR="004223D9" w:rsidRPr="004542B5">
        <w:rPr>
          <w:noProof w:val="0"/>
          <w:szCs w:val="16"/>
          <w:lang w:val="en-US"/>
        </w:rPr>
        <w:t>character</w:t>
      </w:r>
      <w:r w:rsidR="00614B9C" w:rsidRPr="004542B5">
        <w:rPr>
          <w:noProof w:val="0"/>
          <w:szCs w:val="16"/>
          <w:lang w:val="en-US"/>
        </w:rPr>
        <w:t>.</w:t>
      </w:r>
    </w:p>
    <w:p w14:paraId="7EBB0D15" w14:textId="77777777" w:rsidR="00E76B2D" w:rsidRPr="004542B5" w:rsidRDefault="00E76B2D" w:rsidP="00E76B2D">
      <w:pPr>
        <w:pStyle w:val="ListParagraph"/>
        <w:ind w:left="0"/>
        <w:rPr>
          <w:rFonts w:cs="Arial"/>
          <w:noProof w:val="0"/>
          <w:szCs w:val="20"/>
          <w:lang w:val="en-US" w:eastAsia="de-DE"/>
        </w:rPr>
      </w:pPr>
    </w:p>
    <w:p w14:paraId="68F1D77C" w14:textId="440A06B4" w:rsidR="00E76B2D" w:rsidRPr="004542B5" w:rsidRDefault="00E76B2D" w:rsidP="00E76B2D">
      <w:pPr>
        <w:pStyle w:val="ListParagraph"/>
        <w:ind w:left="0"/>
        <w:rPr>
          <w:rFonts w:cs="Arial"/>
          <w:noProof w:val="0"/>
          <w:szCs w:val="20"/>
          <w:lang w:val="en-US" w:eastAsia="de-DE"/>
        </w:rPr>
      </w:pPr>
      <w:r w:rsidRPr="004542B5">
        <w:rPr>
          <w:rFonts w:cs="Arial"/>
          <w:noProof w:val="0"/>
          <w:szCs w:val="20"/>
          <w:lang w:val="en-US" w:eastAsia="de-DE"/>
        </w:rPr>
        <w:t>41.</w:t>
      </w:r>
      <w:r w:rsidRPr="004542B5">
        <w:rPr>
          <w:rFonts w:cs="Arial"/>
          <w:noProof w:val="0"/>
          <w:szCs w:val="20"/>
          <w:lang w:val="en-US" w:eastAsia="de-DE"/>
        </w:rPr>
        <w:tab/>
      </w:r>
      <w:r w:rsidR="00614B9C" w:rsidRPr="004542B5">
        <w:rPr>
          <w:rFonts w:cs="Arial"/>
          <w:noProof w:val="0"/>
          <w:szCs w:val="20"/>
          <w:lang w:val="en-US" w:eastAsia="de-DE"/>
        </w:rPr>
        <w:t>Based on the provisions of Article 1 of the Additional Protocol to the Convention for the Protection of Human Rights and Fundamental Freedoms on the protection of property, the European Court of Human Rights has determined the existence of continuing situations in cases in which impediments existed for the</w:t>
      </w:r>
      <w:r w:rsidR="004223D9" w:rsidRPr="004542B5">
        <w:rPr>
          <w:rFonts w:cs="Arial"/>
          <w:noProof w:val="0"/>
          <w:szCs w:val="20"/>
          <w:lang w:val="en-US" w:eastAsia="de-DE"/>
        </w:rPr>
        <w:t xml:space="preserve"> property</w:t>
      </w:r>
      <w:r w:rsidR="00614B9C" w:rsidRPr="004542B5">
        <w:rPr>
          <w:rFonts w:cs="Arial"/>
          <w:noProof w:val="0"/>
          <w:szCs w:val="20"/>
          <w:lang w:val="en-US" w:eastAsia="de-DE"/>
        </w:rPr>
        <w:t xml:space="preserve"> owner to be able to use and dispose of </w:t>
      </w:r>
      <w:r w:rsidR="004223D9" w:rsidRPr="004542B5">
        <w:rPr>
          <w:rFonts w:cs="Arial"/>
          <w:noProof w:val="0"/>
          <w:szCs w:val="20"/>
          <w:lang w:val="en-US" w:eastAsia="de-DE"/>
        </w:rPr>
        <w:t xml:space="preserve">the </w:t>
      </w:r>
      <w:r w:rsidR="00614B9C" w:rsidRPr="004542B5">
        <w:rPr>
          <w:rFonts w:cs="Arial"/>
          <w:noProof w:val="0"/>
          <w:szCs w:val="20"/>
          <w:lang w:val="en-US" w:eastAsia="de-DE"/>
        </w:rPr>
        <w:t>property,</w:t>
      </w:r>
      <w:r w:rsidRPr="004542B5">
        <w:rPr>
          <w:rStyle w:val="FootnoteReference"/>
          <w:noProof w:val="0"/>
          <w:lang w:val="en-US"/>
        </w:rPr>
        <w:footnoteReference w:id="340"/>
      </w:r>
      <w:r w:rsidR="00614B9C" w:rsidRPr="004542B5">
        <w:rPr>
          <w:rFonts w:cs="Arial"/>
          <w:noProof w:val="0"/>
          <w:szCs w:val="20"/>
          <w:lang w:val="en-US" w:eastAsia="de-DE"/>
        </w:rPr>
        <w:t xml:space="preserve"> lack of access to property,</w:t>
      </w:r>
      <w:r w:rsidRPr="004542B5">
        <w:rPr>
          <w:rStyle w:val="FootnoteReference"/>
          <w:noProof w:val="0"/>
          <w:lang w:val="en-US"/>
        </w:rPr>
        <w:footnoteReference w:id="341"/>
      </w:r>
      <w:r w:rsidR="00614B9C" w:rsidRPr="004542B5">
        <w:rPr>
          <w:rFonts w:cs="Arial"/>
          <w:noProof w:val="0"/>
          <w:szCs w:val="20"/>
          <w:lang w:val="en-US" w:eastAsia="de-DE"/>
        </w:rPr>
        <w:t xml:space="preserve"> </w:t>
      </w:r>
      <w:r w:rsidRPr="004542B5">
        <w:rPr>
          <w:rFonts w:cs="Arial"/>
          <w:i/>
          <w:iCs/>
          <w:noProof w:val="0"/>
          <w:szCs w:val="20"/>
          <w:lang w:val="en-US" w:eastAsia="de-DE"/>
        </w:rPr>
        <w:t>de facto</w:t>
      </w:r>
      <w:r w:rsidR="00F17528" w:rsidRPr="004542B5">
        <w:rPr>
          <w:rFonts w:cs="Arial"/>
          <w:i/>
          <w:iCs/>
          <w:noProof w:val="0"/>
          <w:szCs w:val="20"/>
          <w:lang w:val="en-US" w:eastAsia="de-DE"/>
        </w:rPr>
        <w:t xml:space="preserve"> </w:t>
      </w:r>
      <w:r w:rsidR="00F17528" w:rsidRPr="004542B5">
        <w:rPr>
          <w:rFonts w:cs="Arial"/>
          <w:noProof w:val="0"/>
          <w:szCs w:val="20"/>
          <w:lang w:val="en-US" w:eastAsia="de-DE"/>
        </w:rPr>
        <w:t>expropriation</w:t>
      </w:r>
      <w:r w:rsidR="00614B9C" w:rsidRPr="004542B5">
        <w:rPr>
          <w:rFonts w:cs="Arial"/>
          <w:i/>
          <w:iCs/>
          <w:noProof w:val="0"/>
          <w:szCs w:val="20"/>
          <w:lang w:val="en-US" w:eastAsia="de-DE"/>
        </w:rPr>
        <w:t>,</w:t>
      </w:r>
      <w:r w:rsidRPr="004542B5">
        <w:rPr>
          <w:rStyle w:val="FootnoteReference"/>
          <w:noProof w:val="0"/>
          <w:lang w:val="en-US"/>
        </w:rPr>
        <w:footnoteReference w:id="342"/>
      </w:r>
      <w:r w:rsidRPr="004542B5">
        <w:rPr>
          <w:rFonts w:cs="Arial"/>
          <w:noProof w:val="0"/>
          <w:szCs w:val="20"/>
          <w:lang w:val="en-US" w:eastAsia="de-DE"/>
        </w:rPr>
        <w:t xml:space="preserve"> </w:t>
      </w:r>
      <w:r w:rsidR="00614B9C" w:rsidRPr="004542B5">
        <w:rPr>
          <w:rFonts w:cs="Arial"/>
          <w:noProof w:val="0"/>
          <w:szCs w:val="20"/>
          <w:lang w:val="en-US" w:eastAsia="de-DE"/>
        </w:rPr>
        <w:t>and failure to pay compensation owing to the loss of property when this was established in domestic law.</w:t>
      </w:r>
      <w:r w:rsidRPr="004542B5">
        <w:rPr>
          <w:rStyle w:val="FootnoteReference"/>
          <w:noProof w:val="0"/>
          <w:lang w:val="en-US"/>
        </w:rPr>
        <w:footnoteReference w:id="343"/>
      </w:r>
      <w:r w:rsidRPr="004542B5">
        <w:rPr>
          <w:rFonts w:cs="Arial"/>
          <w:noProof w:val="0"/>
          <w:szCs w:val="20"/>
          <w:lang w:val="en-US" w:eastAsia="de-DE"/>
        </w:rPr>
        <w:t xml:space="preserve"> </w:t>
      </w:r>
      <w:r w:rsidR="00614B9C" w:rsidRPr="004542B5">
        <w:rPr>
          <w:rFonts w:cs="Arial"/>
          <w:noProof w:val="0"/>
          <w:szCs w:val="20"/>
          <w:lang w:val="en-US" w:eastAsia="de-DE"/>
        </w:rPr>
        <w:t>In this regard, it should be taken into account that there are instantaneous acts that, even though they have subsequent effects, do not create a continuing situation under international law; this could be the case, for example, of the physical destruction of property.</w:t>
      </w:r>
      <w:r w:rsidRPr="004542B5">
        <w:rPr>
          <w:rStyle w:val="FootnoteReference"/>
          <w:noProof w:val="0"/>
          <w:lang w:val="en-US"/>
        </w:rPr>
        <w:footnoteReference w:id="344"/>
      </w:r>
      <w:r w:rsidR="00614B9C" w:rsidRPr="004542B5">
        <w:rPr>
          <w:rFonts w:cs="Arial"/>
          <w:noProof w:val="0"/>
          <w:szCs w:val="20"/>
          <w:lang w:val="en-US" w:eastAsia="de-DE"/>
        </w:rPr>
        <w:t xml:space="preserve"> However, in that situation, if there is an obligation to provide compensation, the failure to do so could become a continuing situation</w:t>
      </w:r>
      <w:r w:rsidRPr="004542B5">
        <w:rPr>
          <w:rFonts w:cs="Arial"/>
          <w:noProof w:val="0"/>
          <w:szCs w:val="20"/>
          <w:lang w:val="en-US" w:eastAsia="de-DE"/>
        </w:rPr>
        <w:t>.</w:t>
      </w:r>
      <w:r w:rsidRPr="004542B5">
        <w:rPr>
          <w:rStyle w:val="FootnoteReference"/>
          <w:rFonts w:cs="Arial"/>
          <w:noProof w:val="0"/>
          <w:lang w:val="en-US" w:eastAsia="de-DE"/>
        </w:rPr>
        <w:footnoteReference w:id="345"/>
      </w:r>
    </w:p>
    <w:p w14:paraId="20E4AFCD" w14:textId="77777777" w:rsidR="00E76B2D" w:rsidRPr="004542B5" w:rsidRDefault="00E76B2D" w:rsidP="00E76B2D">
      <w:pPr>
        <w:pStyle w:val="ListParagraph"/>
        <w:ind w:left="0"/>
        <w:rPr>
          <w:rFonts w:cs="Arial"/>
          <w:noProof w:val="0"/>
          <w:szCs w:val="20"/>
          <w:lang w:val="en-US" w:eastAsia="de-DE"/>
        </w:rPr>
      </w:pPr>
    </w:p>
    <w:p w14:paraId="003919B4" w14:textId="2BA68728" w:rsidR="00E76B2D" w:rsidRPr="004542B5" w:rsidRDefault="00E76B2D" w:rsidP="00E76B2D">
      <w:pPr>
        <w:pStyle w:val="ListParagraph"/>
        <w:ind w:left="0"/>
        <w:rPr>
          <w:rFonts w:cs="Arial"/>
          <w:noProof w:val="0"/>
          <w:szCs w:val="20"/>
          <w:lang w:val="en-US" w:eastAsia="de-DE"/>
        </w:rPr>
      </w:pPr>
      <w:r w:rsidRPr="004542B5">
        <w:rPr>
          <w:rFonts w:cs="Arial"/>
          <w:noProof w:val="0"/>
          <w:szCs w:val="20"/>
          <w:lang w:val="en-US" w:eastAsia="de-DE"/>
        </w:rPr>
        <w:t>42.</w:t>
      </w:r>
      <w:r w:rsidRPr="004542B5">
        <w:rPr>
          <w:rFonts w:cs="Arial"/>
          <w:noProof w:val="0"/>
          <w:szCs w:val="20"/>
          <w:lang w:val="en-US" w:eastAsia="de-DE"/>
        </w:rPr>
        <w:tab/>
        <w:t>Probabl</w:t>
      </w:r>
      <w:r w:rsidR="00614B9C" w:rsidRPr="004542B5">
        <w:rPr>
          <w:rFonts w:cs="Arial"/>
          <w:noProof w:val="0"/>
          <w:szCs w:val="20"/>
          <w:lang w:val="en-US" w:eastAsia="de-DE"/>
        </w:rPr>
        <w:t xml:space="preserve">y the </w:t>
      </w:r>
      <w:r w:rsidR="0020681C" w:rsidRPr="004542B5">
        <w:rPr>
          <w:rFonts w:cs="Arial"/>
          <w:noProof w:val="0"/>
          <w:szCs w:val="20"/>
          <w:lang w:val="en-US" w:eastAsia="de-DE"/>
        </w:rPr>
        <w:t>best</w:t>
      </w:r>
      <w:r w:rsidR="00614B9C" w:rsidRPr="004542B5">
        <w:rPr>
          <w:rFonts w:cs="Arial"/>
          <w:noProof w:val="0"/>
          <w:szCs w:val="20"/>
          <w:lang w:val="en-US" w:eastAsia="de-DE"/>
        </w:rPr>
        <w:t>-known cases on this issue – deprivation of property rights as a continuing situation – are the cases of</w:t>
      </w:r>
      <w:r w:rsidRPr="004542B5">
        <w:rPr>
          <w:rFonts w:cs="Arial"/>
          <w:noProof w:val="0"/>
          <w:szCs w:val="20"/>
          <w:lang w:val="en-US" w:eastAsia="de-DE"/>
        </w:rPr>
        <w:t xml:space="preserve"> </w:t>
      </w:r>
      <w:r w:rsidRPr="004542B5">
        <w:rPr>
          <w:rFonts w:cs="Arial"/>
          <w:i/>
          <w:noProof w:val="0"/>
          <w:szCs w:val="20"/>
          <w:lang w:val="en-US" w:eastAsia="de-DE"/>
        </w:rPr>
        <w:t xml:space="preserve">Loizidou v. </w:t>
      </w:r>
      <w:r w:rsidR="00614B9C" w:rsidRPr="004542B5">
        <w:rPr>
          <w:rFonts w:cs="Arial"/>
          <w:i/>
          <w:noProof w:val="0"/>
          <w:szCs w:val="20"/>
          <w:lang w:val="en-US" w:eastAsia="de-DE"/>
        </w:rPr>
        <w:t>Turkey</w:t>
      </w:r>
      <w:r w:rsidR="00CD2B90" w:rsidRPr="004542B5">
        <w:rPr>
          <w:rFonts w:cs="Arial"/>
          <w:noProof w:val="0"/>
          <w:szCs w:val="20"/>
          <w:lang w:val="en-US" w:eastAsia="de-DE"/>
        </w:rPr>
        <w:t xml:space="preserve"> and </w:t>
      </w:r>
      <w:r w:rsidR="00614B9C" w:rsidRPr="004542B5">
        <w:rPr>
          <w:rFonts w:cs="Arial"/>
          <w:i/>
          <w:noProof w:val="0"/>
          <w:szCs w:val="20"/>
          <w:lang w:val="en-US" w:eastAsia="de-DE"/>
        </w:rPr>
        <w:t>Cyprus</w:t>
      </w:r>
      <w:r w:rsidRPr="004542B5">
        <w:rPr>
          <w:rFonts w:cs="Arial"/>
          <w:i/>
          <w:noProof w:val="0"/>
          <w:szCs w:val="20"/>
          <w:lang w:val="en-US" w:eastAsia="de-DE"/>
        </w:rPr>
        <w:t xml:space="preserve"> v. </w:t>
      </w:r>
      <w:r w:rsidR="00614B9C" w:rsidRPr="004542B5">
        <w:rPr>
          <w:rFonts w:cs="Arial"/>
          <w:i/>
          <w:noProof w:val="0"/>
          <w:szCs w:val="20"/>
          <w:lang w:val="en-US" w:eastAsia="de-DE"/>
        </w:rPr>
        <w:t>Turkey</w:t>
      </w:r>
      <w:r w:rsidRPr="004542B5">
        <w:rPr>
          <w:rFonts w:cs="Arial"/>
          <w:noProof w:val="0"/>
          <w:szCs w:val="20"/>
          <w:lang w:val="en-US" w:eastAsia="de-DE"/>
        </w:rPr>
        <w:t xml:space="preserve">. </w:t>
      </w:r>
    </w:p>
    <w:p w14:paraId="299BB3C8" w14:textId="77777777" w:rsidR="00E76B2D" w:rsidRPr="004542B5" w:rsidRDefault="00E76B2D" w:rsidP="00E76B2D">
      <w:pPr>
        <w:pStyle w:val="ListParagraph"/>
        <w:ind w:left="0"/>
        <w:rPr>
          <w:rFonts w:cs="Arial"/>
          <w:noProof w:val="0"/>
          <w:szCs w:val="20"/>
          <w:lang w:val="en-US" w:eastAsia="de-DE"/>
        </w:rPr>
      </w:pPr>
    </w:p>
    <w:p w14:paraId="554CCBA2" w14:textId="1F932A9C" w:rsidR="00E76B2D" w:rsidRPr="004542B5" w:rsidRDefault="00E76B2D" w:rsidP="00E76B2D">
      <w:pPr>
        <w:pStyle w:val="ListParagraph"/>
        <w:ind w:left="0"/>
        <w:rPr>
          <w:rFonts w:cs="Arial"/>
          <w:noProof w:val="0"/>
          <w:szCs w:val="20"/>
          <w:lang w:val="en-US" w:eastAsia="de-DE"/>
        </w:rPr>
      </w:pPr>
      <w:r w:rsidRPr="004542B5">
        <w:rPr>
          <w:noProof w:val="0"/>
          <w:szCs w:val="20"/>
          <w:lang w:val="en-US"/>
        </w:rPr>
        <w:t>43.</w:t>
      </w:r>
      <w:r w:rsidRPr="004542B5">
        <w:rPr>
          <w:noProof w:val="0"/>
          <w:szCs w:val="20"/>
          <w:lang w:val="en-US"/>
        </w:rPr>
        <w:tab/>
      </w:r>
      <w:r w:rsidR="00614B9C" w:rsidRPr="004542B5">
        <w:rPr>
          <w:noProof w:val="0"/>
          <w:szCs w:val="20"/>
          <w:lang w:val="en-US"/>
        </w:rPr>
        <w:t>The</w:t>
      </w:r>
      <w:r w:rsidRPr="004542B5">
        <w:rPr>
          <w:noProof w:val="0"/>
          <w:szCs w:val="20"/>
          <w:lang w:val="en-US"/>
        </w:rPr>
        <w:t xml:space="preserve"> </w:t>
      </w:r>
      <w:r w:rsidR="004A09DF" w:rsidRPr="004542B5">
        <w:rPr>
          <w:i/>
          <w:noProof w:val="0"/>
          <w:szCs w:val="20"/>
          <w:lang w:val="en-US"/>
        </w:rPr>
        <w:t>Case of</w:t>
      </w:r>
      <w:r w:rsidRPr="004542B5">
        <w:rPr>
          <w:i/>
          <w:noProof w:val="0"/>
          <w:szCs w:val="20"/>
          <w:lang w:val="en-US"/>
        </w:rPr>
        <w:t xml:space="preserve"> Loizidou </w:t>
      </w:r>
      <w:r w:rsidR="00562CBB" w:rsidRPr="004542B5">
        <w:rPr>
          <w:i/>
          <w:noProof w:val="0"/>
          <w:szCs w:val="20"/>
          <w:lang w:val="en-US"/>
        </w:rPr>
        <w:t>v.</w:t>
      </w:r>
      <w:r w:rsidRPr="004542B5">
        <w:rPr>
          <w:i/>
          <w:noProof w:val="0"/>
          <w:szCs w:val="20"/>
          <w:lang w:val="en-US"/>
        </w:rPr>
        <w:t xml:space="preserve"> </w:t>
      </w:r>
      <w:r w:rsidR="00614B9C" w:rsidRPr="004542B5">
        <w:rPr>
          <w:i/>
          <w:noProof w:val="0"/>
          <w:szCs w:val="20"/>
          <w:lang w:val="en-US"/>
        </w:rPr>
        <w:t>Turkey</w:t>
      </w:r>
      <w:r w:rsidRPr="004542B5">
        <w:rPr>
          <w:rStyle w:val="FootnoteReference"/>
          <w:noProof w:val="0"/>
          <w:lang w:val="en-US"/>
        </w:rPr>
        <w:footnoteReference w:id="346"/>
      </w:r>
      <w:r w:rsidRPr="004542B5">
        <w:rPr>
          <w:noProof w:val="0"/>
          <w:szCs w:val="20"/>
          <w:lang w:val="en-US"/>
        </w:rPr>
        <w:t xml:space="preserve"> </w:t>
      </w:r>
      <w:r w:rsidR="00614B9C" w:rsidRPr="004542B5">
        <w:rPr>
          <w:noProof w:val="0"/>
          <w:szCs w:val="20"/>
          <w:lang w:val="en-US"/>
        </w:rPr>
        <w:t>relates to the Turkish invasion of the north of</w:t>
      </w:r>
      <w:r w:rsidRPr="004542B5">
        <w:rPr>
          <w:noProof w:val="0"/>
          <w:szCs w:val="20"/>
          <w:lang w:val="en-US"/>
        </w:rPr>
        <w:t xml:space="preserve"> </w:t>
      </w:r>
      <w:r w:rsidR="00614B9C" w:rsidRPr="004542B5">
        <w:rPr>
          <w:noProof w:val="0"/>
          <w:szCs w:val="20"/>
          <w:lang w:val="en-US"/>
        </w:rPr>
        <w:t>Cyprus</w:t>
      </w:r>
      <w:r w:rsidRPr="004542B5">
        <w:rPr>
          <w:noProof w:val="0"/>
          <w:szCs w:val="20"/>
          <w:lang w:val="en-US"/>
        </w:rPr>
        <w:t xml:space="preserve"> </w:t>
      </w:r>
      <w:r w:rsidR="00614B9C" w:rsidRPr="004542B5">
        <w:rPr>
          <w:noProof w:val="0"/>
          <w:szCs w:val="20"/>
          <w:lang w:val="en-US"/>
        </w:rPr>
        <w:t>i</w:t>
      </w:r>
      <w:r w:rsidRPr="004542B5">
        <w:rPr>
          <w:noProof w:val="0"/>
          <w:szCs w:val="20"/>
          <w:lang w:val="en-US"/>
        </w:rPr>
        <w:t xml:space="preserve">n 1974, </w:t>
      </w:r>
      <w:r w:rsidR="00614B9C" w:rsidRPr="004542B5">
        <w:rPr>
          <w:noProof w:val="0"/>
          <w:szCs w:val="20"/>
          <w:lang w:val="en-US"/>
        </w:rPr>
        <w:t>which resulted in the denial of the plaintiff’s</w:t>
      </w:r>
      <w:r w:rsidR="00737C86" w:rsidRPr="004542B5">
        <w:rPr>
          <w:noProof w:val="0"/>
          <w:szCs w:val="20"/>
          <w:lang w:val="en-US"/>
        </w:rPr>
        <w:t xml:space="preserve"> access to her</w:t>
      </w:r>
      <w:r w:rsidR="00614B9C" w:rsidRPr="004542B5">
        <w:rPr>
          <w:noProof w:val="0"/>
          <w:szCs w:val="20"/>
          <w:lang w:val="en-US"/>
        </w:rPr>
        <w:t xml:space="preserve"> property. In its defense, Turkey had argued that, according to article 159 of the Constitution of the Turkish Republic of Northern Cyprus,</w:t>
      </w:r>
      <w:r w:rsidR="00737C86" w:rsidRPr="004542B5">
        <w:rPr>
          <w:noProof w:val="0"/>
          <w:szCs w:val="20"/>
          <w:lang w:val="en-US"/>
        </w:rPr>
        <w:t xml:space="preserve"> the property had been expropriated before Turkey’s acceptance of the compulsory jurisdiction </w:t>
      </w:r>
      <w:r w:rsidR="008A56D7" w:rsidRPr="004542B5">
        <w:rPr>
          <w:noProof w:val="0"/>
          <w:szCs w:val="20"/>
          <w:lang w:val="en-US"/>
        </w:rPr>
        <w:t xml:space="preserve">of the </w:t>
      </w:r>
      <w:r w:rsidR="00517C7D" w:rsidRPr="004542B5">
        <w:rPr>
          <w:noProof w:val="0"/>
          <w:szCs w:val="20"/>
          <w:lang w:val="en-US"/>
        </w:rPr>
        <w:t>European Court of Human Rights</w:t>
      </w:r>
      <w:r w:rsidR="00737C86" w:rsidRPr="004542B5">
        <w:rPr>
          <w:noProof w:val="0"/>
          <w:szCs w:val="20"/>
          <w:lang w:val="en-US"/>
        </w:rPr>
        <w:t>.</w:t>
      </w:r>
      <w:r w:rsidRPr="004542B5">
        <w:rPr>
          <w:rStyle w:val="FootnoteReference"/>
          <w:noProof w:val="0"/>
          <w:lang w:val="en-US"/>
        </w:rPr>
        <w:footnoteReference w:id="347"/>
      </w:r>
      <w:r w:rsidRPr="004542B5">
        <w:rPr>
          <w:noProof w:val="0"/>
          <w:szCs w:val="20"/>
          <w:lang w:val="en-US"/>
        </w:rPr>
        <w:t xml:space="preserve"> </w:t>
      </w:r>
      <w:r w:rsidR="00737C86" w:rsidRPr="004542B5">
        <w:rPr>
          <w:noProof w:val="0"/>
          <w:szCs w:val="20"/>
          <w:lang w:val="en-US"/>
        </w:rPr>
        <w:t xml:space="preserve">In this case, the applicant was </w:t>
      </w:r>
      <w:r w:rsidR="006110CB" w:rsidRPr="004542B5">
        <w:rPr>
          <w:noProof w:val="0"/>
          <w:szCs w:val="20"/>
          <w:lang w:val="en-US"/>
        </w:rPr>
        <w:t>confronted</w:t>
      </w:r>
      <w:r w:rsidR="00737C86" w:rsidRPr="004542B5">
        <w:rPr>
          <w:noProof w:val="0"/>
          <w:szCs w:val="20"/>
          <w:lang w:val="en-US"/>
        </w:rPr>
        <w:t xml:space="preserve"> with a continuing denial of access to her property that was located in territory occupied by the Turkish army since </w:t>
      </w:r>
      <w:r w:rsidRPr="004542B5">
        <w:rPr>
          <w:rFonts w:cs="Arial"/>
          <w:noProof w:val="0"/>
          <w:szCs w:val="20"/>
          <w:lang w:val="en-US" w:eastAsia="de-DE"/>
        </w:rPr>
        <w:t xml:space="preserve">1974. </w:t>
      </w:r>
      <w:r w:rsidR="00737C86" w:rsidRPr="004542B5">
        <w:rPr>
          <w:rFonts w:cs="Arial"/>
          <w:noProof w:val="0"/>
          <w:szCs w:val="20"/>
          <w:lang w:val="en-US" w:eastAsia="de-DE"/>
        </w:rPr>
        <w:t xml:space="preserve">Owing to this situation, the applicant was unable to use, </w:t>
      </w:r>
      <w:r w:rsidR="006110CB" w:rsidRPr="004542B5">
        <w:rPr>
          <w:rFonts w:cs="Arial"/>
          <w:noProof w:val="0"/>
          <w:szCs w:val="20"/>
          <w:lang w:val="en-US" w:eastAsia="de-DE"/>
        </w:rPr>
        <w:t>control</w:t>
      </w:r>
      <w:r w:rsidR="00737C86" w:rsidRPr="004542B5">
        <w:rPr>
          <w:rFonts w:cs="Arial"/>
          <w:noProof w:val="0"/>
          <w:szCs w:val="20"/>
          <w:lang w:val="en-US" w:eastAsia="de-DE"/>
        </w:rPr>
        <w:t xml:space="preserve"> or dispose of her property. In this regard, the European Court considered that it was not possible to attribute legal effects to that Constitution.</w:t>
      </w:r>
      <w:r w:rsidRPr="004542B5">
        <w:rPr>
          <w:rStyle w:val="FootnoteReference"/>
          <w:noProof w:val="0"/>
          <w:lang w:val="en-US"/>
        </w:rPr>
        <w:footnoteReference w:id="348"/>
      </w:r>
      <w:r w:rsidR="00737C86" w:rsidRPr="004542B5">
        <w:rPr>
          <w:noProof w:val="0"/>
          <w:szCs w:val="20"/>
          <w:lang w:val="en-US"/>
        </w:rPr>
        <w:t xml:space="preserve"> </w:t>
      </w:r>
      <w:r w:rsidR="00F17528" w:rsidRPr="004542B5">
        <w:rPr>
          <w:noProof w:val="0"/>
          <w:szCs w:val="20"/>
          <w:lang w:val="en-US"/>
        </w:rPr>
        <w:t>Therefore</w:t>
      </w:r>
      <w:r w:rsidR="00737C86" w:rsidRPr="004542B5">
        <w:rPr>
          <w:noProof w:val="0"/>
          <w:szCs w:val="20"/>
          <w:lang w:val="en-US"/>
        </w:rPr>
        <w:t>,</w:t>
      </w:r>
      <w:r w:rsidR="00F17528" w:rsidRPr="004542B5">
        <w:rPr>
          <w:noProof w:val="0"/>
          <w:szCs w:val="20"/>
          <w:lang w:val="en-US"/>
        </w:rPr>
        <w:t xml:space="preserve"> the property had not been directly </w:t>
      </w:r>
      <w:r w:rsidR="006110CB" w:rsidRPr="004542B5">
        <w:rPr>
          <w:noProof w:val="0"/>
          <w:szCs w:val="20"/>
          <w:lang w:val="en-US"/>
        </w:rPr>
        <w:t>expropriated</w:t>
      </w:r>
      <w:r w:rsidR="00F17528" w:rsidRPr="004542B5">
        <w:rPr>
          <w:noProof w:val="0"/>
          <w:szCs w:val="20"/>
          <w:lang w:val="en-US"/>
        </w:rPr>
        <w:t xml:space="preserve"> and continued to belong to the applicant</w:t>
      </w:r>
      <w:r w:rsidRPr="004542B5">
        <w:rPr>
          <w:noProof w:val="0"/>
          <w:szCs w:val="20"/>
          <w:lang w:val="en-US"/>
        </w:rPr>
        <w:t>.</w:t>
      </w:r>
      <w:r w:rsidRPr="004542B5">
        <w:rPr>
          <w:rStyle w:val="FootnoteReference"/>
          <w:noProof w:val="0"/>
          <w:lang w:val="en-US"/>
        </w:rPr>
        <w:footnoteReference w:id="349"/>
      </w:r>
      <w:r w:rsidRPr="004542B5">
        <w:rPr>
          <w:noProof w:val="0"/>
          <w:szCs w:val="20"/>
          <w:lang w:val="en-US"/>
        </w:rPr>
        <w:t xml:space="preserve"> </w:t>
      </w:r>
      <w:r w:rsidR="00F17528" w:rsidRPr="004542B5">
        <w:rPr>
          <w:noProof w:val="0"/>
          <w:szCs w:val="20"/>
          <w:lang w:val="en-US"/>
        </w:rPr>
        <w:t>Consequently</w:t>
      </w:r>
      <w:r w:rsidRPr="004542B5">
        <w:rPr>
          <w:noProof w:val="0"/>
          <w:szCs w:val="20"/>
          <w:lang w:val="en-US"/>
        </w:rPr>
        <w:t xml:space="preserve">, </w:t>
      </w:r>
      <w:r w:rsidR="00F17528" w:rsidRPr="004542B5">
        <w:rPr>
          <w:noProof w:val="0"/>
          <w:szCs w:val="20"/>
          <w:lang w:val="en-US"/>
        </w:rPr>
        <w:t xml:space="preserve">with regard to the concept of a continuing violation of the Convention, the facts of the case constituted violations of a continuing nature. This case eventually resulted in the case of </w:t>
      </w:r>
      <w:r w:rsidR="00614B9C" w:rsidRPr="004542B5">
        <w:rPr>
          <w:rFonts w:cs="Arial"/>
          <w:i/>
          <w:noProof w:val="0"/>
          <w:szCs w:val="20"/>
          <w:lang w:val="en-US" w:eastAsia="de-DE"/>
        </w:rPr>
        <w:t>Cyprus</w:t>
      </w:r>
      <w:r w:rsidRPr="004542B5">
        <w:rPr>
          <w:rFonts w:cs="Arial"/>
          <w:i/>
          <w:noProof w:val="0"/>
          <w:szCs w:val="20"/>
          <w:lang w:val="en-US" w:eastAsia="de-DE"/>
        </w:rPr>
        <w:t xml:space="preserve"> v. </w:t>
      </w:r>
      <w:r w:rsidR="00614B9C" w:rsidRPr="004542B5">
        <w:rPr>
          <w:rFonts w:cs="Arial"/>
          <w:i/>
          <w:noProof w:val="0"/>
          <w:szCs w:val="20"/>
          <w:lang w:val="en-US" w:eastAsia="de-DE"/>
        </w:rPr>
        <w:t>Turkey</w:t>
      </w:r>
      <w:r w:rsidRPr="004542B5">
        <w:rPr>
          <w:rFonts w:cs="Arial"/>
          <w:noProof w:val="0"/>
          <w:szCs w:val="20"/>
          <w:lang w:val="en-US" w:eastAsia="de-DE"/>
        </w:rPr>
        <w:t xml:space="preserve">, </w:t>
      </w:r>
      <w:r w:rsidR="00F17528" w:rsidRPr="004542B5">
        <w:rPr>
          <w:rFonts w:cs="Arial"/>
          <w:noProof w:val="0"/>
          <w:szCs w:val="20"/>
          <w:lang w:val="en-US" w:eastAsia="de-DE"/>
        </w:rPr>
        <w:t>in the form of an inter-State petition.</w:t>
      </w:r>
    </w:p>
    <w:p w14:paraId="7E2CF51E" w14:textId="77777777" w:rsidR="00E76B2D" w:rsidRPr="004542B5" w:rsidRDefault="00E76B2D" w:rsidP="00E76B2D">
      <w:pPr>
        <w:pStyle w:val="ListParagraph"/>
        <w:ind w:left="0"/>
        <w:rPr>
          <w:noProof w:val="0"/>
          <w:szCs w:val="20"/>
          <w:lang w:val="en-US"/>
        </w:rPr>
      </w:pPr>
    </w:p>
    <w:p w14:paraId="1DC475FD" w14:textId="73BB76FA" w:rsidR="00E76B2D" w:rsidRPr="004542B5" w:rsidRDefault="00E76B2D" w:rsidP="00E76B2D">
      <w:pPr>
        <w:pStyle w:val="ListParagraph"/>
        <w:ind w:left="0"/>
        <w:rPr>
          <w:noProof w:val="0"/>
          <w:szCs w:val="20"/>
          <w:lang w:val="en-US"/>
        </w:rPr>
      </w:pPr>
      <w:r w:rsidRPr="004542B5">
        <w:rPr>
          <w:rFonts w:cs="Arial"/>
          <w:noProof w:val="0"/>
          <w:szCs w:val="20"/>
          <w:lang w:val="en-US" w:eastAsia="de-DE"/>
        </w:rPr>
        <w:t>44.</w:t>
      </w:r>
      <w:r w:rsidRPr="004542B5">
        <w:rPr>
          <w:rFonts w:cs="Arial"/>
          <w:noProof w:val="0"/>
          <w:szCs w:val="20"/>
          <w:lang w:val="en-US" w:eastAsia="de-DE"/>
        </w:rPr>
        <w:tab/>
      </w:r>
      <w:r w:rsidR="00F17528" w:rsidRPr="004542B5">
        <w:rPr>
          <w:rFonts w:cs="Arial"/>
          <w:noProof w:val="0"/>
          <w:szCs w:val="20"/>
          <w:lang w:val="en-US" w:eastAsia="de-DE"/>
        </w:rPr>
        <w:t>In the</w:t>
      </w:r>
      <w:r w:rsidRPr="004542B5">
        <w:rPr>
          <w:noProof w:val="0"/>
          <w:szCs w:val="20"/>
          <w:lang w:val="en-US"/>
        </w:rPr>
        <w:t xml:space="preserve"> </w:t>
      </w:r>
      <w:r w:rsidR="004A09DF" w:rsidRPr="004542B5">
        <w:rPr>
          <w:i/>
          <w:noProof w:val="0"/>
          <w:szCs w:val="20"/>
          <w:lang w:val="en-US"/>
        </w:rPr>
        <w:t>Case of</w:t>
      </w:r>
      <w:r w:rsidRPr="004542B5">
        <w:rPr>
          <w:i/>
          <w:noProof w:val="0"/>
          <w:szCs w:val="20"/>
          <w:lang w:val="en-US"/>
        </w:rPr>
        <w:t xml:space="preserve"> Papamichalopoulos</w:t>
      </w:r>
      <w:r w:rsidR="00CD2B90" w:rsidRPr="004542B5">
        <w:rPr>
          <w:i/>
          <w:noProof w:val="0"/>
          <w:szCs w:val="20"/>
          <w:lang w:val="en-US"/>
        </w:rPr>
        <w:t xml:space="preserve"> and </w:t>
      </w:r>
      <w:r w:rsidR="00F17528" w:rsidRPr="004542B5">
        <w:rPr>
          <w:i/>
          <w:noProof w:val="0"/>
          <w:szCs w:val="20"/>
          <w:lang w:val="en-US"/>
        </w:rPr>
        <w:t>Other</w:t>
      </w:r>
      <w:r w:rsidR="0020681C" w:rsidRPr="004542B5">
        <w:rPr>
          <w:i/>
          <w:noProof w:val="0"/>
          <w:szCs w:val="20"/>
          <w:lang w:val="en-US"/>
        </w:rPr>
        <w:t>s</w:t>
      </w:r>
      <w:r w:rsidRPr="004542B5">
        <w:rPr>
          <w:i/>
          <w:noProof w:val="0"/>
          <w:szCs w:val="20"/>
          <w:lang w:val="en-US"/>
        </w:rPr>
        <w:t xml:space="preserve"> </w:t>
      </w:r>
      <w:r w:rsidR="00562CBB" w:rsidRPr="004542B5">
        <w:rPr>
          <w:i/>
          <w:noProof w:val="0"/>
          <w:szCs w:val="20"/>
          <w:lang w:val="en-US"/>
        </w:rPr>
        <w:t>v.</w:t>
      </w:r>
      <w:r w:rsidRPr="004542B5">
        <w:rPr>
          <w:i/>
          <w:noProof w:val="0"/>
          <w:szCs w:val="20"/>
          <w:lang w:val="en-US"/>
        </w:rPr>
        <w:t xml:space="preserve"> Gre</w:t>
      </w:r>
      <w:r w:rsidR="00F17528" w:rsidRPr="004542B5">
        <w:rPr>
          <w:i/>
          <w:noProof w:val="0"/>
          <w:szCs w:val="20"/>
          <w:lang w:val="en-US"/>
        </w:rPr>
        <w:t>ece,</w:t>
      </w:r>
      <w:r w:rsidRPr="004542B5">
        <w:rPr>
          <w:rStyle w:val="FootnoteReference"/>
          <w:noProof w:val="0"/>
          <w:lang w:val="en-US"/>
        </w:rPr>
        <w:footnoteReference w:id="350"/>
      </w:r>
      <w:r w:rsidRPr="004542B5">
        <w:rPr>
          <w:noProof w:val="0"/>
          <w:szCs w:val="20"/>
          <w:lang w:val="en-US"/>
        </w:rPr>
        <w:t xml:space="preserve"> </w:t>
      </w:r>
      <w:r w:rsidR="00562CBB" w:rsidRPr="004542B5">
        <w:rPr>
          <w:noProof w:val="0"/>
          <w:szCs w:val="20"/>
          <w:lang w:val="en-US"/>
        </w:rPr>
        <w:t xml:space="preserve">the </w:t>
      </w:r>
      <w:r w:rsidR="00517C7D" w:rsidRPr="004542B5">
        <w:rPr>
          <w:noProof w:val="0"/>
          <w:szCs w:val="20"/>
          <w:lang w:val="en-US"/>
        </w:rPr>
        <w:t>European Court of Human Rights</w:t>
      </w:r>
      <w:r w:rsidRPr="004542B5">
        <w:rPr>
          <w:noProof w:val="0"/>
          <w:szCs w:val="20"/>
          <w:lang w:val="en-US"/>
        </w:rPr>
        <w:t xml:space="preserve"> </w:t>
      </w:r>
      <w:r w:rsidR="00F17528" w:rsidRPr="004542B5">
        <w:rPr>
          <w:noProof w:val="0"/>
          <w:szCs w:val="20"/>
          <w:lang w:val="en-US"/>
        </w:rPr>
        <w:t xml:space="preserve">indicated that the alleged violation began in 1967 with the </w:t>
      </w:r>
      <w:r w:rsidR="006110CB" w:rsidRPr="004542B5">
        <w:rPr>
          <w:noProof w:val="0"/>
          <w:szCs w:val="20"/>
          <w:lang w:val="en-US"/>
        </w:rPr>
        <w:t>enactment</w:t>
      </w:r>
      <w:r w:rsidR="00F17528" w:rsidRPr="004542B5">
        <w:rPr>
          <w:noProof w:val="0"/>
          <w:szCs w:val="20"/>
          <w:lang w:val="en-US"/>
        </w:rPr>
        <w:t xml:space="preserve"> of </w:t>
      </w:r>
      <w:r w:rsidR="0033788F" w:rsidRPr="004542B5">
        <w:rPr>
          <w:noProof w:val="0"/>
          <w:szCs w:val="20"/>
          <w:lang w:val="en-US"/>
        </w:rPr>
        <w:t>Law</w:t>
      </w:r>
      <w:r w:rsidRPr="004542B5">
        <w:rPr>
          <w:noProof w:val="0"/>
          <w:szCs w:val="20"/>
          <w:lang w:val="en-US"/>
        </w:rPr>
        <w:t xml:space="preserve"> No. 109/1967. </w:t>
      </w:r>
      <w:r w:rsidR="00F17528" w:rsidRPr="004542B5">
        <w:rPr>
          <w:noProof w:val="0"/>
          <w:szCs w:val="20"/>
          <w:lang w:val="en-US"/>
        </w:rPr>
        <w:t xml:space="preserve">Under this law, the military government at the time took possession of the land of the applicants, without transferring the ownership of this land to the State. The European Court considered that this was an act of </w:t>
      </w:r>
      <w:r w:rsidR="0020681C" w:rsidRPr="004542B5">
        <w:rPr>
          <w:noProof w:val="0"/>
          <w:szCs w:val="20"/>
          <w:lang w:val="en-US"/>
        </w:rPr>
        <w:t>“</w:t>
      </w:r>
      <w:r w:rsidR="00F17528" w:rsidRPr="004542B5">
        <w:rPr>
          <w:i/>
          <w:iCs/>
          <w:noProof w:val="0"/>
          <w:szCs w:val="20"/>
          <w:lang w:val="en-US"/>
        </w:rPr>
        <w:t>de facto</w:t>
      </w:r>
      <w:r w:rsidR="00F17528" w:rsidRPr="004542B5">
        <w:rPr>
          <w:noProof w:val="0"/>
          <w:szCs w:val="20"/>
          <w:lang w:val="en-US"/>
        </w:rPr>
        <w:t xml:space="preserve"> expropriation</w:t>
      </w:r>
      <w:r w:rsidR="00A628EA" w:rsidRPr="004542B5">
        <w:rPr>
          <w:noProof w:val="0"/>
          <w:szCs w:val="20"/>
          <w:lang w:val="en-US"/>
        </w:rPr>
        <w:t>.</w:t>
      </w:r>
      <w:r w:rsidRPr="004542B5">
        <w:rPr>
          <w:noProof w:val="0"/>
          <w:szCs w:val="20"/>
          <w:lang w:val="en-US"/>
        </w:rPr>
        <w:t>”</w:t>
      </w:r>
      <w:r w:rsidRPr="004542B5">
        <w:rPr>
          <w:rStyle w:val="FootnoteReference"/>
          <w:noProof w:val="0"/>
          <w:lang w:val="en-US"/>
        </w:rPr>
        <w:footnoteReference w:id="351"/>
      </w:r>
      <w:r w:rsidR="00A628EA" w:rsidRPr="004542B5">
        <w:rPr>
          <w:noProof w:val="0"/>
          <w:szCs w:val="20"/>
          <w:lang w:val="en-US"/>
        </w:rPr>
        <w:t xml:space="preserve"> Following the restoration of democracy, the State, seeking a way to provide reparation for the harm caused to the applicants, enacted </w:t>
      </w:r>
      <w:r w:rsidR="0033788F" w:rsidRPr="004542B5">
        <w:rPr>
          <w:noProof w:val="0"/>
          <w:szCs w:val="20"/>
          <w:lang w:val="en-US"/>
        </w:rPr>
        <w:t>Law</w:t>
      </w:r>
      <w:r w:rsidRPr="004542B5">
        <w:rPr>
          <w:noProof w:val="0"/>
          <w:szCs w:val="20"/>
          <w:lang w:val="en-US"/>
        </w:rPr>
        <w:t xml:space="preserve"> No. 1341/1983</w:t>
      </w:r>
      <w:r w:rsidR="00023218" w:rsidRPr="004542B5">
        <w:rPr>
          <w:noProof w:val="0"/>
          <w:szCs w:val="20"/>
          <w:lang w:val="en-US"/>
        </w:rPr>
        <w:t xml:space="preserve"> to resolve the situation created in </w:t>
      </w:r>
      <w:r w:rsidRPr="004542B5">
        <w:rPr>
          <w:noProof w:val="0"/>
          <w:szCs w:val="20"/>
          <w:lang w:val="en-US"/>
        </w:rPr>
        <w:t xml:space="preserve">1967. </w:t>
      </w:r>
      <w:r w:rsidR="00023218" w:rsidRPr="004542B5">
        <w:rPr>
          <w:noProof w:val="0"/>
          <w:szCs w:val="20"/>
          <w:lang w:val="en-US"/>
        </w:rPr>
        <w:t xml:space="preserve">Despite the fact that the domestic courts ordered that new land should be assigned to the applicants, they had to wait until 1992. Regarding this situation, </w:t>
      </w:r>
      <w:r w:rsidR="00562CBB" w:rsidRPr="004542B5">
        <w:rPr>
          <w:noProof w:val="0"/>
          <w:szCs w:val="20"/>
          <w:lang w:val="en-US"/>
        </w:rPr>
        <w:t xml:space="preserve">the </w:t>
      </w:r>
      <w:r w:rsidR="00517C7D" w:rsidRPr="004542B5">
        <w:rPr>
          <w:noProof w:val="0"/>
          <w:szCs w:val="20"/>
          <w:lang w:val="en-US"/>
        </w:rPr>
        <w:t>European Court of Human Rights</w:t>
      </w:r>
      <w:r w:rsidRPr="004542B5">
        <w:rPr>
          <w:noProof w:val="0"/>
          <w:szCs w:val="20"/>
          <w:lang w:val="en-US"/>
        </w:rPr>
        <w:t xml:space="preserve"> conclu</w:t>
      </w:r>
      <w:r w:rsidR="00023218" w:rsidRPr="004542B5">
        <w:rPr>
          <w:noProof w:val="0"/>
          <w:szCs w:val="20"/>
          <w:lang w:val="en-US"/>
        </w:rPr>
        <w:t>ded that “</w:t>
      </w:r>
      <w:r w:rsidR="00023218" w:rsidRPr="004542B5">
        <w:rPr>
          <w:rFonts w:cs="Arial"/>
          <w:noProof w:val="0"/>
          <w:szCs w:val="20"/>
          <w:lang w:val="en-US"/>
        </w:rPr>
        <w:t xml:space="preserve">the loss of all ability to dispose of the land in issue, taken together with the failure of the attempts made so far to remedy the situation complained of, entailed sufficiently serious consequences for the applicants </w:t>
      </w:r>
      <w:r w:rsidR="00023218" w:rsidRPr="004542B5">
        <w:rPr>
          <w:rFonts w:cs="Arial"/>
          <w:i/>
          <w:iCs/>
          <w:noProof w:val="0"/>
          <w:szCs w:val="20"/>
          <w:lang w:val="en-US"/>
        </w:rPr>
        <w:t>de facto</w:t>
      </w:r>
      <w:r w:rsidR="00023218" w:rsidRPr="004542B5">
        <w:rPr>
          <w:rFonts w:cs="Arial"/>
          <w:noProof w:val="0"/>
          <w:szCs w:val="20"/>
          <w:lang w:val="en-US"/>
        </w:rPr>
        <w:t xml:space="preserve"> to have been expropriated in a manner incompatible with their right to the peaceful enjoyment of their possessions.</w:t>
      </w:r>
      <w:r w:rsidR="00023218" w:rsidRPr="004542B5">
        <w:rPr>
          <w:noProof w:val="0"/>
          <w:szCs w:val="20"/>
          <w:lang w:val="en-US"/>
        </w:rPr>
        <w:t xml:space="preserve"> </w:t>
      </w:r>
      <w:r w:rsidR="00023218" w:rsidRPr="004542B5">
        <w:rPr>
          <w:rFonts w:cs="Arial"/>
          <w:noProof w:val="0"/>
          <w:szCs w:val="20"/>
          <w:lang w:val="en-US"/>
        </w:rPr>
        <w:t>In conclusion, there has been and there continues to be a breach of [the right to property.</w:t>
      </w:r>
      <w:r w:rsidRPr="004542B5">
        <w:rPr>
          <w:noProof w:val="0"/>
          <w:szCs w:val="20"/>
          <w:lang w:val="en-US"/>
        </w:rPr>
        <w:t>]”</w:t>
      </w:r>
      <w:r w:rsidRPr="004542B5">
        <w:rPr>
          <w:rStyle w:val="FootnoteReference"/>
          <w:noProof w:val="0"/>
          <w:lang w:val="en-US"/>
        </w:rPr>
        <w:footnoteReference w:id="352"/>
      </w:r>
    </w:p>
    <w:p w14:paraId="14EF2894" w14:textId="77777777" w:rsidR="00E76B2D" w:rsidRPr="004542B5" w:rsidRDefault="00E76B2D" w:rsidP="00E76B2D">
      <w:pPr>
        <w:pStyle w:val="ListParagraph"/>
        <w:ind w:left="0"/>
        <w:rPr>
          <w:rFonts w:cs="Arial"/>
          <w:noProof w:val="0"/>
          <w:szCs w:val="20"/>
          <w:lang w:val="en-US" w:eastAsia="de-DE"/>
        </w:rPr>
      </w:pPr>
    </w:p>
    <w:p w14:paraId="35F47C0D" w14:textId="7FC95D15" w:rsidR="00E76B2D" w:rsidRPr="004542B5" w:rsidRDefault="00E76B2D" w:rsidP="00E76B2D">
      <w:pPr>
        <w:pStyle w:val="ju-005fpara"/>
        <w:spacing w:before="0" w:beforeAutospacing="0" w:after="0" w:afterAutospacing="0"/>
        <w:jc w:val="both"/>
        <w:rPr>
          <w:rFonts w:ascii="Verdana" w:hAnsi="Verdana" w:cs="Arial"/>
          <w:sz w:val="20"/>
          <w:szCs w:val="20"/>
          <w:lang w:val="en-US"/>
        </w:rPr>
      </w:pPr>
      <w:r w:rsidRPr="004542B5">
        <w:rPr>
          <w:rFonts w:ascii="Verdana" w:hAnsi="Verdana"/>
          <w:sz w:val="20"/>
          <w:szCs w:val="20"/>
          <w:lang w:val="en-US"/>
        </w:rPr>
        <w:t>45.</w:t>
      </w:r>
      <w:r w:rsidRPr="004542B5">
        <w:rPr>
          <w:rFonts w:ascii="Verdana" w:hAnsi="Verdana"/>
          <w:sz w:val="20"/>
          <w:szCs w:val="20"/>
          <w:lang w:val="en-US"/>
        </w:rPr>
        <w:tab/>
      </w:r>
      <w:r w:rsidR="00023218" w:rsidRPr="004542B5">
        <w:rPr>
          <w:rFonts w:ascii="Verdana" w:hAnsi="Verdana"/>
          <w:sz w:val="20"/>
          <w:szCs w:val="20"/>
          <w:lang w:val="en-US"/>
        </w:rPr>
        <w:t>In the</w:t>
      </w:r>
      <w:r w:rsidRPr="004542B5">
        <w:rPr>
          <w:rFonts w:ascii="Verdana" w:hAnsi="Verdana"/>
          <w:sz w:val="20"/>
          <w:szCs w:val="20"/>
          <w:lang w:val="en-US"/>
        </w:rPr>
        <w:t xml:space="preserve"> </w:t>
      </w:r>
      <w:r w:rsidR="004A09DF" w:rsidRPr="004542B5">
        <w:rPr>
          <w:rFonts w:ascii="Verdana" w:hAnsi="Verdana"/>
          <w:i/>
          <w:sz w:val="20"/>
          <w:szCs w:val="20"/>
          <w:lang w:val="en-US"/>
        </w:rPr>
        <w:t>Case of</w:t>
      </w:r>
      <w:r w:rsidRPr="004542B5">
        <w:rPr>
          <w:rFonts w:ascii="Verdana" w:hAnsi="Verdana"/>
          <w:i/>
          <w:sz w:val="20"/>
          <w:szCs w:val="20"/>
          <w:lang w:val="en-US"/>
        </w:rPr>
        <w:t xml:space="preserve"> </w:t>
      </w:r>
      <w:r w:rsidRPr="004542B5">
        <w:rPr>
          <w:rFonts w:ascii="Verdana" w:hAnsi="Verdana" w:cs="Arial"/>
          <w:i/>
          <w:sz w:val="20"/>
          <w:szCs w:val="20"/>
          <w:lang w:val="en-US"/>
        </w:rPr>
        <w:t>Almeida Garrett, Mascarenhas Falcão</w:t>
      </w:r>
      <w:r w:rsidR="00CD2B90" w:rsidRPr="004542B5">
        <w:rPr>
          <w:rFonts w:ascii="Verdana" w:hAnsi="Verdana" w:cs="Arial"/>
          <w:i/>
          <w:sz w:val="20"/>
          <w:szCs w:val="20"/>
          <w:lang w:val="en-US"/>
        </w:rPr>
        <w:t xml:space="preserve"> and </w:t>
      </w:r>
      <w:r w:rsidR="00023218" w:rsidRPr="004542B5">
        <w:rPr>
          <w:rFonts w:ascii="Verdana" w:hAnsi="Verdana" w:cs="Arial"/>
          <w:i/>
          <w:sz w:val="20"/>
          <w:szCs w:val="20"/>
          <w:lang w:val="en-US"/>
        </w:rPr>
        <w:t>Others</w:t>
      </w:r>
      <w:r w:rsidRPr="004542B5">
        <w:rPr>
          <w:rFonts w:ascii="Verdana" w:hAnsi="Verdana" w:cs="Arial"/>
          <w:i/>
          <w:sz w:val="20"/>
          <w:szCs w:val="20"/>
          <w:lang w:val="en-US"/>
        </w:rPr>
        <w:t xml:space="preserve"> </w:t>
      </w:r>
      <w:r w:rsidR="00562CBB" w:rsidRPr="004542B5">
        <w:rPr>
          <w:rFonts w:ascii="Verdana" w:hAnsi="Verdana" w:cs="Arial"/>
          <w:i/>
          <w:sz w:val="20"/>
          <w:szCs w:val="20"/>
          <w:lang w:val="en-US"/>
        </w:rPr>
        <w:t>v.</w:t>
      </w:r>
      <w:r w:rsidRPr="004542B5">
        <w:rPr>
          <w:rFonts w:ascii="Verdana" w:hAnsi="Verdana" w:cs="Arial"/>
          <w:i/>
          <w:sz w:val="20"/>
          <w:szCs w:val="20"/>
          <w:lang w:val="en-US"/>
        </w:rPr>
        <w:t xml:space="preserve"> Portugal</w:t>
      </w:r>
      <w:r w:rsidRPr="004542B5">
        <w:rPr>
          <w:rFonts w:ascii="Verdana" w:hAnsi="Verdana" w:cs="Arial"/>
          <w:sz w:val="20"/>
          <w:szCs w:val="20"/>
          <w:lang w:val="en-US"/>
        </w:rPr>
        <w:t xml:space="preserve">, </w:t>
      </w:r>
      <w:r w:rsidR="00023218" w:rsidRPr="004542B5">
        <w:rPr>
          <w:rFonts w:ascii="Verdana" w:hAnsi="Verdana" w:cs="Arial"/>
          <w:sz w:val="20"/>
          <w:szCs w:val="20"/>
          <w:lang w:val="en-US"/>
        </w:rPr>
        <w:t xml:space="preserve">the facts related to the nationalization and formal expropriation of properties of the </w:t>
      </w:r>
      <w:r w:rsidR="00023218" w:rsidRPr="004542B5">
        <w:rPr>
          <w:rFonts w:ascii="Verdana" w:hAnsi="Verdana" w:cs="Arial"/>
          <w:sz w:val="20"/>
          <w:szCs w:val="20"/>
          <w:lang w:val="en-US"/>
        </w:rPr>
        <w:lastRenderedPageBreak/>
        <w:t xml:space="preserve">applicants by the Portuguese Government in </w:t>
      </w:r>
      <w:r w:rsidRPr="004542B5">
        <w:rPr>
          <w:rFonts w:ascii="Verdana" w:hAnsi="Verdana" w:cs="Arial"/>
          <w:sz w:val="20"/>
          <w:szCs w:val="20"/>
          <w:lang w:val="en-US"/>
        </w:rPr>
        <w:t>1975</w:t>
      </w:r>
      <w:r w:rsidR="00CD2B90" w:rsidRPr="004542B5">
        <w:rPr>
          <w:rFonts w:ascii="Verdana" w:hAnsi="Verdana" w:cs="Arial"/>
          <w:sz w:val="20"/>
          <w:szCs w:val="20"/>
          <w:lang w:val="en-US"/>
        </w:rPr>
        <w:t xml:space="preserve"> and </w:t>
      </w:r>
      <w:r w:rsidRPr="004542B5">
        <w:rPr>
          <w:rFonts w:ascii="Verdana" w:hAnsi="Verdana" w:cs="Arial"/>
          <w:sz w:val="20"/>
          <w:szCs w:val="20"/>
          <w:lang w:val="en-US"/>
        </w:rPr>
        <w:t>1976</w:t>
      </w:r>
      <w:r w:rsidR="00023218" w:rsidRPr="004542B5">
        <w:rPr>
          <w:rFonts w:ascii="Verdana" w:hAnsi="Verdana" w:cs="Arial"/>
          <w:sz w:val="20"/>
          <w:szCs w:val="20"/>
          <w:lang w:val="en-US"/>
        </w:rPr>
        <w:t>.</w:t>
      </w:r>
      <w:r w:rsidRPr="004542B5">
        <w:rPr>
          <w:rStyle w:val="FootnoteReference"/>
          <w:rFonts w:ascii="Verdana" w:hAnsi="Verdana" w:cs="Arial"/>
          <w:lang w:val="en-US"/>
        </w:rPr>
        <w:footnoteReference w:id="353"/>
      </w:r>
      <w:r w:rsidRPr="004542B5">
        <w:rPr>
          <w:rFonts w:ascii="Verdana" w:hAnsi="Verdana" w:cs="Arial"/>
          <w:sz w:val="20"/>
          <w:szCs w:val="20"/>
          <w:lang w:val="en-US"/>
        </w:rPr>
        <w:t xml:space="preserve"> </w:t>
      </w:r>
      <w:r w:rsidR="00023218" w:rsidRPr="004542B5">
        <w:rPr>
          <w:rFonts w:ascii="Verdana" w:hAnsi="Verdana" w:cs="Arial"/>
          <w:sz w:val="20"/>
          <w:szCs w:val="20"/>
          <w:lang w:val="en-US"/>
        </w:rPr>
        <w:t xml:space="preserve">In this case, the State failed to pay the compensation established by a decree issued following the entry into force of the European Convention on Human Rights and it was determined that </w:t>
      </w:r>
      <w:r w:rsidR="00D23968" w:rsidRPr="004542B5">
        <w:rPr>
          <w:rFonts w:ascii="Verdana" w:hAnsi="Verdana" w:cs="Arial"/>
          <w:sz w:val="20"/>
          <w:szCs w:val="20"/>
          <w:lang w:val="en-US"/>
        </w:rPr>
        <w:t>“while</w:t>
      </w:r>
      <w:r w:rsidR="00023218" w:rsidRPr="004542B5">
        <w:rPr>
          <w:rFonts w:ascii="Verdana" w:hAnsi="Verdana" w:cs="Arial"/>
          <w:sz w:val="20"/>
          <w:szCs w:val="20"/>
          <w:lang w:val="en-US"/>
        </w:rPr>
        <w:t xml:space="preserve"> it was true that the Court </w:t>
      </w:r>
      <w:r w:rsidR="00D23968" w:rsidRPr="004542B5">
        <w:rPr>
          <w:rFonts w:ascii="Verdana" w:hAnsi="Verdana" w:cs="Arial"/>
          <w:sz w:val="20"/>
          <w:szCs w:val="20"/>
          <w:lang w:val="en-US"/>
        </w:rPr>
        <w:t>[</w:t>
      </w:r>
      <w:r w:rsidR="00023218" w:rsidRPr="004542B5">
        <w:rPr>
          <w:rFonts w:ascii="Verdana" w:hAnsi="Verdana" w:cs="Arial"/>
          <w:sz w:val="20"/>
          <w:szCs w:val="20"/>
          <w:lang w:val="en-US"/>
        </w:rPr>
        <w:t>was</w:t>
      </w:r>
      <w:r w:rsidR="00D23968" w:rsidRPr="004542B5">
        <w:rPr>
          <w:rFonts w:ascii="Verdana" w:hAnsi="Verdana" w:cs="Arial"/>
          <w:sz w:val="20"/>
          <w:szCs w:val="20"/>
          <w:lang w:val="en-US"/>
        </w:rPr>
        <w:t>]</w:t>
      </w:r>
      <w:r w:rsidR="00023218" w:rsidRPr="004542B5">
        <w:rPr>
          <w:rFonts w:ascii="Verdana" w:hAnsi="Verdana" w:cs="Arial"/>
          <w:sz w:val="20"/>
          <w:szCs w:val="20"/>
          <w:lang w:val="en-US"/>
        </w:rPr>
        <w:t xml:space="preserve"> not </w:t>
      </w:r>
      <w:r w:rsidR="00D23968" w:rsidRPr="004542B5">
        <w:rPr>
          <w:rFonts w:ascii="Verdana" w:hAnsi="Verdana" w:cs="Arial"/>
          <w:sz w:val="20"/>
          <w:szCs w:val="20"/>
          <w:lang w:val="en-US"/>
        </w:rPr>
        <w:t xml:space="preserve">empowered </w:t>
      </w:r>
      <w:r w:rsidR="00023218" w:rsidRPr="004542B5">
        <w:rPr>
          <w:rFonts w:ascii="Verdana" w:hAnsi="Verdana" w:cs="Arial"/>
          <w:sz w:val="20"/>
          <w:szCs w:val="20"/>
          <w:lang w:val="en-US"/>
        </w:rPr>
        <w:t xml:space="preserve">to examine </w:t>
      </w:r>
      <w:r w:rsidR="00D23968" w:rsidRPr="004542B5">
        <w:rPr>
          <w:rFonts w:ascii="Verdana" w:hAnsi="Verdana" w:cs="Arial"/>
          <w:sz w:val="20"/>
          <w:szCs w:val="20"/>
          <w:lang w:val="en-US"/>
        </w:rPr>
        <w:t>questions linked</w:t>
      </w:r>
      <w:r w:rsidR="00023218" w:rsidRPr="004542B5">
        <w:rPr>
          <w:rFonts w:ascii="Verdana" w:hAnsi="Verdana" w:cs="Arial"/>
          <w:sz w:val="20"/>
          <w:szCs w:val="20"/>
          <w:lang w:val="en-US"/>
        </w:rPr>
        <w:t xml:space="preserve"> to the deprivation of </w:t>
      </w:r>
      <w:r w:rsidR="00D23968" w:rsidRPr="004542B5">
        <w:rPr>
          <w:rFonts w:ascii="Verdana" w:hAnsi="Verdana" w:cs="Arial"/>
          <w:sz w:val="20"/>
          <w:szCs w:val="20"/>
          <w:lang w:val="en-US"/>
        </w:rPr>
        <w:t xml:space="preserve">the </w:t>
      </w:r>
      <w:r w:rsidR="00023218" w:rsidRPr="004542B5">
        <w:rPr>
          <w:rFonts w:ascii="Verdana" w:hAnsi="Verdana" w:cs="Arial"/>
          <w:sz w:val="20"/>
          <w:szCs w:val="20"/>
          <w:lang w:val="en-US"/>
        </w:rPr>
        <w:t xml:space="preserve">property, </w:t>
      </w:r>
      <w:r w:rsidR="00D23968" w:rsidRPr="004542B5">
        <w:rPr>
          <w:rFonts w:ascii="Verdana" w:hAnsi="Verdana" w:cs="Arial"/>
          <w:sz w:val="20"/>
          <w:szCs w:val="20"/>
          <w:lang w:val="en-US"/>
        </w:rPr>
        <w:t xml:space="preserve">such questions clearly being beyond its jurisdiction </w:t>
      </w:r>
      <w:r w:rsidRPr="004542B5">
        <w:rPr>
          <w:rFonts w:ascii="Verdana" w:hAnsi="Verdana" w:cs="Arial"/>
          <w:i/>
          <w:sz w:val="20"/>
          <w:szCs w:val="20"/>
          <w:lang w:val="en-US"/>
        </w:rPr>
        <w:t>ratione temporis</w:t>
      </w:r>
      <w:r w:rsidRPr="004542B5">
        <w:rPr>
          <w:rFonts w:ascii="Verdana" w:hAnsi="Verdana" w:cs="Arial"/>
          <w:sz w:val="20"/>
          <w:szCs w:val="20"/>
          <w:lang w:val="en-US"/>
        </w:rPr>
        <w:t xml:space="preserve">, </w:t>
      </w:r>
      <w:r w:rsidR="00D23968" w:rsidRPr="004542B5">
        <w:rPr>
          <w:rFonts w:ascii="Verdana" w:hAnsi="Verdana" w:cs="Arial"/>
          <w:sz w:val="20"/>
          <w:szCs w:val="20"/>
          <w:lang w:val="en-US"/>
        </w:rPr>
        <w:t>the same d[id] not apply to the delays in the assessment and payment of final compensation,” especially taking into consideration “that the Government continued to legislate on the subject after ratifying the [European] Convention,” so that the right to property was violated due to the unreasonable delay in providing the said compensation</w:t>
      </w:r>
      <w:r w:rsidRPr="004542B5">
        <w:rPr>
          <w:rFonts w:ascii="Verdana" w:hAnsi="Verdana" w:cs="Arial"/>
          <w:sz w:val="20"/>
          <w:szCs w:val="20"/>
          <w:lang w:val="en-US"/>
        </w:rPr>
        <w:t>.</w:t>
      </w:r>
      <w:r w:rsidRPr="004542B5">
        <w:rPr>
          <w:rStyle w:val="FootnoteReference"/>
          <w:rFonts w:ascii="Verdana" w:hAnsi="Verdana" w:cs="Arial"/>
          <w:sz w:val="20"/>
          <w:lang w:val="en-US"/>
        </w:rPr>
        <w:footnoteReference w:id="354"/>
      </w:r>
    </w:p>
    <w:p w14:paraId="7F47C0BB" w14:textId="77777777" w:rsidR="00E76B2D" w:rsidRPr="004542B5" w:rsidRDefault="00E76B2D" w:rsidP="00E76B2D">
      <w:pPr>
        <w:pStyle w:val="ListParagraph"/>
        <w:ind w:left="0"/>
        <w:rPr>
          <w:rFonts w:cs="Arial"/>
          <w:noProof w:val="0"/>
          <w:szCs w:val="20"/>
          <w:lang w:val="en-US" w:eastAsia="de-DE"/>
        </w:rPr>
      </w:pPr>
    </w:p>
    <w:p w14:paraId="7EB9C71B" w14:textId="200FBA34" w:rsidR="00E76B2D" w:rsidRPr="004542B5" w:rsidRDefault="00E76B2D" w:rsidP="00E76B2D">
      <w:pPr>
        <w:pStyle w:val="ListParagraph"/>
        <w:ind w:left="0"/>
        <w:rPr>
          <w:rFonts w:cs="Arial"/>
          <w:noProof w:val="0"/>
          <w:szCs w:val="20"/>
          <w:lang w:val="en-US" w:eastAsia="de-DE"/>
        </w:rPr>
      </w:pPr>
      <w:r w:rsidRPr="004542B5">
        <w:rPr>
          <w:rFonts w:cs="Arial"/>
          <w:noProof w:val="0"/>
          <w:szCs w:val="20"/>
          <w:lang w:val="en-US" w:eastAsia="de-DE"/>
        </w:rPr>
        <w:t>46.</w:t>
      </w:r>
      <w:r w:rsidRPr="004542B5">
        <w:rPr>
          <w:rFonts w:cs="Arial"/>
          <w:noProof w:val="0"/>
          <w:szCs w:val="20"/>
          <w:lang w:val="en-US" w:eastAsia="de-DE"/>
        </w:rPr>
        <w:tab/>
      </w:r>
      <w:r w:rsidR="00D23968" w:rsidRPr="004542B5">
        <w:rPr>
          <w:rFonts w:cs="Arial"/>
          <w:noProof w:val="0"/>
          <w:szCs w:val="20"/>
          <w:lang w:val="en-US" w:eastAsia="de-DE"/>
        </w:rPr>
        <w:t>In the case of</w:t>
      </w:r>
      <w:r w:rsidRPr="004542B5">
        <w:rPr>
          <w:rFonts w:cs="Arial"/>
          <w:noProof w:val="0"/>
          <w:szCs w:val="20"/>
          <w:lang w:val="en-US" w:eastAsia="de-DE"/>
        </w:rPr>
        <w:t xml:space="preserve"> </w:t>
      </w:r>
      <w:r w:rsidRPr="004542B5">
        <w:rPr>
          <w:rFonts w:cs="Arial"/>
          <w:i/>
          <w:noProof w:val="0"/>
          <w:szCs w:val="20"/>
          <w:lang w:val="en-US" w:eastAsia="de-DE"/>
        </w:rPr>
        <w:t xml:space="preserve">Broniowski </w:t>
      </w:r>
      <w:r w:rsidR="00562CBB" w:rsidRPr="004542B5">
        <w:rPr>
          <w:rFonts w:cs="Arial"/>
          <w:i/>
          <w:noProof w:val="0"/>
          <w:szCs w:val="20"/>
          <w:lang w:val="en-US" w:eastAsia="de-DE"/>
        </w:rPr>
        <w:t>v.</w:t>
      </w:r>
      <w:r w:rsidRPr="004542B5">
        <w:rPr>
          <w:rFonts w:cs="Arial"/>
          <w:i/>
          <w:noProof w:val="0"/>
          <w:szCs w:val="20"/>
          <w:lang w:val="en-US" w:eastAsia="de-DE"/>
        </w:rPr>
        <w:t xml:space="preserve"> </w:t>
      </w:r>
      <w:r w:rsidR="006110CB" w:rsidRPr="004542B5">
        <w:rPr>
          <w:rFonts w:cs="Arial"/>
          <w:i/>
          <w:noProof w:val="0"/>
          <w:szCs w:val="20"/>
          <w:lang w:val="en-US" w:eastAsia="de-DE"/>
        </w:rPr>
        <w:t>Poland</w:t>
      </w:r>
      <w:r w:rsidR="00D23968" w:rsidRPr="004542B5">
        <w:rPr>
          <w:rFonts w:cs="Arial"/>
          <w:i/>
          <w:noProof w:val="0"/>
          <w:szCs w:val="20"/>
          <w:lang w:val="en-US" w:eastAsia="de-DE"/>
        </w:rPr>
        <w:t>,</w:t>
      </w:r>
      <w:r w:rsidRPr="004542B5">
        <w:rPr>
          <w:rFonts w:cs="Arial"/>
          <w:noProof w:val="0"/>
          <w:szCs w:val="20"/>
          <w:lang w:val="en-US" w:eastAsia="de-DE"/>
        </w:rPr>
        <w:t xml:space="preserve"> </w:t>
      </w:r>
      <w:r w:rsidR="00562CBB" w:rsidRPr="004542B5">
        <w:rPr>
          <w:rFonts w:cs="Arial"/>
          <w:noProof w:val="0"/>
          <w:szCs w:val="20"/>
          <w:lang w:val="en-US" w:eastAsia="de-DE"/>
        </w:rPr>
        <w:t xml:space="preserve">the </w:t>
      </w:r>
      <w:r w:rsidR="00517C7D" w:rsidRPr="004542B5">
        <w:rPr>
          <w:rFonts w:cs="Arial"/>
          <w:noProof w:val="0"/>
          <w:szCs w:val="20"/>
          <w:lang w:val="en-US" w:eastAsia="de-DE"/>
        </w:rPr>
        <w:t>European Court of Human Rights</w:t>
      </w:r>
      <w:r w:rsidRPr="004542B5">
        <w:rPr>
          <w:rFonts w:cs="Arial"/>
          <w:noProof w:val="0"/>
          <w:szCs w:val="20"/>
          <w:lang w:val="en-US" w:eastAsia="de-DE"/>
        </w:rPr>
        <w:t xml:space="preserve"> reco</w:t>
      </w:r>
      <w:r w:rsidR="00D23968" w:rsidRPr="004542B5">
        <w:rPr>
          <w:rFonts w:cs="Arial"/>
          <w:noProof w:val="0"/>
          <w:szCs w:val="20"/>
          <w:lang w:val="en-US" w:eastAsia="de-DE"/>
        </w:rPr>
        <w:t>gnized that the failure to provide adequate compensation based on domestic law constituted a continuing situation. In this case, the Court found it necessary to weigh the excessive time that the State had taken to provide compensation</w:t>
      </w:r>
      <w:r w:rsidRPr="004542B5">
        <w:rPr>
          <w:rStyle w:val="BodyTextChar"/>
          <w:rFonts w:ascii="Verdana" w:hAnsi="Verdana"/>
          <w:noProof w:val="0"/>
          <w:lang w:val="en-US"/>
        </w:rPr>
        <w:t>.</w:t>
      </w:r>
      <w:r w:rsidRPr="004542B5">
        <w:rPr>
          <w:rStyle w:val="FootnoteReference"/>
          <w:noProof w:val="0"/>
          <w:lang w:val="en-US"/>
        </w:rPr>
        <w:footnoteReference w:id="355"/>
      </w:r>
      <w:r w:rsidRPr="004542B5">
        <w:rPr>
          <w:rStyle w:val="BodyTextChar"/>
          <w:rFonts w:ascii="Verdana" w:hAnsi="Verdana"/>
          <w:noProof w:val="0"/>
          <w:lang w:val="en-US"/>
        </w:rPr>
        <w:t xml:space="preserve"> </w:t>
      </w:r>
      <w:r w:rsidR="00D23968" w:rsidRPr="004542B5">
        <w:rPr>
          <w:rStyle w:val="BodyTextChar"/>
          <w:rFonts w:ascii="Verdana" w:hAnsi="Verdana"/>
          <w:noProof w:val="0"/>
          <w:lang w:val="en-US"/>
        </w:rPr>
        <w:t>The</w:t>
      </w:r>
      <w:r w:rsidR="00562CBB" w:rsidRPr="004542B5">
        <w:rPr>
          <w:rStyle w:val="BodyTextChar"/>
          <w:rFonts w:ascii="Verdana" w:hAnsi="Verdana"/>
          <w:noProof w:val="0"/>
          <w:lang w:val="en-US"/>
        </w:rPr>
        <w:t xml:space="preserve"> </w:t>
      </w:r>
      <w:r w:rsidR="00517C7D" w:rsidRPr="004542B5">
        <w:rPr>
          <w:rStyle w:val="BodyTextChar"/>
          <w:rFonts w:ascii="Verdana" w:hAnsi="Verdana"/>
          <w:noProof w:val="0"/>
          <w:lang w:val="en-US"/>
        </w:rPr>
        <w:t>European Court of Human Rights</w:t>
      </w:r>
      <w:r w:rsidRPr="004542B5">
        <w:rPr>
          <w:rStyle w:val="BodyTextChar"/>
          <w:rFonts w:ascii="Verdana" w:hAnsi="Verdana"/>
          <w:noProof w:val="0"/>
          <w:lang w:val="en-US"/>
        </w:rPr>
        <w:t xml:space="preserve"> ha</w:t>
      </w:r>
      <w:r w:rsidR="00D23968" w:rsidRPr="004542B5">
        <w:rPr>
          <w:rStyle w:val="BodyTextChar"/>
          <w:rFonts w:ascii="Verdana" w:hAnsi="Verdana"/>
          <w:noProof w:val="0"/>
          <w:lang w:val="en-US"/>
        </w:rPr>
        <w:t>s consistently recognized that different legislative acts, including those imposing restrictions, may give rise to a situation of a continuing character</w:t>
      </w:r>
      <w:r w:rsidRPr="004542B5">
        <w:rPr>
          <w:rStyle w:val="BodyTextChar"/>
          <w:rFonts w:ascii="Verdana" w:hAnsi="Verdana"/>
          <w:noProof w:val="0"/>
          <w:lang w:val="en-US"/>
        </w:rPr>
        <w:t>.</w:t>
      </w:r>
      <w:r w:rsidRPr="004542B5">
        <w:rPr>
          <w:rStyle w:val="FootnoteReference"/>
          <w:noProof w:val="0"/>
          <w:lang w:val="en-US"/>
        </w:rPr>
        <w:footnoteReference w:id="356"/>
      </w:r>
      <w:r w:rsidRPr="004542B5">
        <w:rPr>
          <w:rStyle w:val="BodyTextChar"/>
          <w:rFonts w:ascii="Verdana" w:hAnsi="Verdana"/>
          <w:noProof w:val="0"/>
          <w:lang w:val="en-US"/>
        </w:rPr>
        <w:t xml:space="preserve"> </w:t>
      </w:r>
    </w:p>
    <w:p w14:paraId="38185CB5" w14:textId="77777777" w:rsidR="00E76B2D" w:rsidRPr="004542B5" w:rsidRDefault="00E76B2D" w:rsidP="00E76B2D">
      <w:pPr>
        <w:pStyle w:val="ListParagraph"/>
        <w:ind w:left="0"/>
        <w:rPr>
          <w:rFonts w:cs="Arial"/>
          <w:noProof w:val="0"/>
          <w:szCs w:val="20"/>
          <w:lang w:val="en-US" w:eastAsia="de-DE"/>
        </w:rPr>
      </w:pPr>
    </w:p>
    <w:p w14:paraId="7ACD9BCF" w14:textId="662CC619" w:rsidR="000A3A71" w:rsidRPr="004542B5" w:rsidRDefault="00E76B2D" w:rsidP="00E76B2D">
      <w:pPr>
        <w:pStyle w:val="ListParagraph"/>
        <w:ind w:left="0"/>
        <w:rPr>
          <w:rFonts w:cs="Arial"/>
          <w:iCs/>
          <w:noProof w:val="0"/>
          <w:szCs w:val="20"/>
          <w:lang w:val="en-US" w:eastAsia="de-DE"/>
        </w:rPr>
      </w:pPr>
      <w:r w:rsidRPr="004542B5">
        <w:rPr>
          <w:rFonts w:cs="Arial"/>
          <w:noProof w:val="0"/>
          <w:szCs w:val="20"/>
          <w:lang w:val="en-US" w:eastAsia="de-DE"/>
        </w:rPr>
        <w:t>47.</w:t>
      </w:r>
      <w:r w:rsidRPr="004542B5">
        <w:rPr>
          <w:rFonts w:cs="Arial"/>
          <w:noProof w:val="0"/>
          <w:szCs w:val="20"/>
          <w:lang w:val="en-US" w:eastAsia="de-DE"/>
        </w:rPr>
        <w:tab/>
      </w:r>
      <w:r w:rsidR="000A3A71" w:rsidRPr="004542B5">
        <w:rPr>
          <w:rFonts w:cs="Arial"/>
          <w:noProof w:val="0"/>
          <w:szCs w:val="20"/>
          <w:lang w:val="en-US" w:eastAsia="de-DE"/>
        </w:rPr>
        <w:t xml:space="preserve">It has also determined that a series of acts may result in the creation of a continuing situation. For example, in the case of </w:t>
      </w:r>
      <w:r w:rsidRPr="004542B5">
        <w:rPr>
          <w:rFonts w:cs="Arial"/>
          <w:i/>
          <w:noProof w:val="0"/>
          <w:szCs w:val="20"/>
          <w:lang w:val="en-US" w:eastAsia="de-DE"/>
        </w:rPr>
        <w:t>McFeely</w:t>
      </w:r>
      <w:r w:rsidR="00CD2B90" w:rsidRPr="004542B5">
        <w:rPr>
          <w:rFonts w:cs="Arial"/>
          <w:i/>
          <w:noProof w:val="0"/>
          <w:szCs w:val="20"/>
          <w:lang w:val="en-US" w:eastAsia="de-DE"/>
        </w:rPr>
        <w:t xml:space="preserve"> and </w:t>
      </w:r>
      <w:r w:rsidR="000A3A71" w:rsidRPr="004542B5">
        <w:rPr>
          <w:rFonts w:cs="Arial"/>
          <w:i/>
          <w:noProof w:val="0"/>
          <w:szCs w:val="20"/>
          <w:lang w:val="en-US" w:eastAsia="de-DE"/>
        </w:rPr>
        <w:t>Others v. The United Kingdom,</w:t>
      </w:r>
      <w:r w:rsidRPr="004542B5">
        <w:rPr>
          <w:rFonts w:cs="Arial"/>
          <w:noProof w:val="0"/>
          <w:szCs w:val="20"/>
          <w:lang w:val="en-US" w:eastAsia="de-DE"/>
        </w:rPr>
        <w:t xml:space="preserve"> </w:t>
      </w:r>
      <w:r w:rsidR="000A3A71" w:rsidRPr="004542B5">
        <w:rPr>
          <w:rFonts w:cs="Arial"/>
          <w:noProof w:val="0"/>
          <w:szCs w:val="20"/>
          <w:lang w:val="en-US" w:eastAsia="de-DE"/>
        </w:rPr>
        <w:t>the former European Commission on Human Rights determined that different acts related to detention conditions may create a “</w:t>
      </w:r>
      <w:r w:rsidR="00D308D2" w:rsidRPr="004542B5">
        <w:rPr>
          <w:rFonts w:cs="Arial"/>
          <w:noProof w:val="0"/>
          <w:szCs w:val="20"/>
          <w:lang w:val="en-US" w:eastAsia="de-DE"/>
        </w:rPr>
        <w:t>p</w:t>
      </w:r>
      <w:r w:rsidR="00D308D2" w:rsidRPr="004542B5">
        <w:rPr>
          <w:rStyle w:val="highlight"/>
          <w:noProof w:val="0"/>
          <w:szCs w:val="20"/>
          <w:lang w:val="en-US"/>
        </w:rPr>
        <w:t>ermanent</w:t>
      </w:r>
      <w:r w:rsidR="00D308D2" w:rsidRPr="004542B5">
        <w:rPr>
          <w:noProof w:val="0"/>
          <w:szCs w:val="20"/>
          <w:lang w:val="en-US"/>
        </w:rPr>
        <w:t xml:space="preserve"> state of affairs which is still continuing.” Based on this precedent, </w:t>
      </w:r>
      <w:r w:rsidR="00D308D2" w:rsidRPr="004542B5">
        <w:rPr>
          <w:rFonts w:cs="Arial"/>
          <w:noProof w:val="0"/>
          <w:szCs w:val="20"/>
          <w:lang w:val="en-US" w:eastAsia="de-DE"/>
        </w:rPr>
        <w:t xml:space="preserve">in the case of </w:t>
      </w:r>
      <w:r w:rsidR="00D308D2" w:rsidRPr="004542B5">
        <w:rPr>
          <w:rFonts w:cs="Arial"/>
          <w:i/>
          <w:noProof w:val="0"/>
          <w:szCs w:val="20"/>
          <w:lang w:val="en-US" w:eastAsia="de-DE"/>
        </w:rPr>
        <w:t xml:space="preserve">Agrotexim and Others v. Greece, </w:t>
      </w:r>
      <w:r w:rsidR="00D308D2" w:rsidRPr="004542B5">
        <w:rPr>
          <w:rFonts w:cs="Arial"/>
          <w:iCs/>
          <w:noProof w:val="0"/>
          <w:szCs w:val="20"/>
          <w:lang w:val="en-US" w:eastAsia="de-DE"/>
        </w:rPr>
        <w:t>the European Court held that different acts of the Municipal Council of Athens could be considered a series of steps that constituted a continuing situation.</w:t>
      </w:r>
    </w:p>
    <w:p w14:paraId="105564CB" w14:textId="77777777" w:rsidR="00E76B2D" w:rsidRPr="004542B5" w:rsidRDefault="00E76B2D" w:rsidP="00E76B2D">
      <w:pPr>
        <w:pStyle w:val="ListParagraph"/>
        <w:ind w:left="0"/>
        <w:rPr>
          <w:rFonts w:cs="Arial"/>
          <w:noProof w:val="0"/>
          <w:szCs w:val="20"/>
          <w:lang w:val="en-US" w:eastAsia="de-DE"/>
        </w:rPr>
      </w:pPr>
    </w:p>
    <w:p w14:paraId="37087FF6" w14:textId="375F958D" w:rsidR="00E76B2D" w:rsidRPr="004542B5" w:rsidRDefault="00E76B2D" w:rsidP="00E76B2D">
      <w:pPr>
        <w:pStyle w:val="ListParagraph"/>
        <w:ind w:left="0"/>
        <w:rPr>
          <w:rFonts w:cs="Arial"/>
          <w:noProof w:val="0"/>
          <w:szCs w:val="20"/>
          <w:lang w:val="en-US" w:eastAsia="de-DE"/>
        </w:rPr>
      </w:pPr>
      <w:r w:rsidRPr="004542B5">
        <w:rPr>
          <w:rFonts w:cs="Arial"/>
          <w:noProof w:val="0"/>
          <w:szCs w:val="20"/>
          <w:lang w:val="en-US" w:eastAsia="de-DE"/>
        </w:rPr>
        <w:t>48.</w:t>
      </w:r>
      <w:r w:rsidRPr="004542B5">
        <w:rPr>
          <w:rFonts w:cs="Arial"/>
          <w:noProof w:val="0"/>
          <w:szCs w:val="20"/>
          <w:lang w:val="en-US" w:eastAsia="de-DE"/>
        </w:rPr>
        <w:tab/>
      </w:r>
      <w:r w:rsidR="00D308D2" w:rsidRPr="004542B5">
        <w:rPr>
          <w:rFonts w:cs="Arial"/>
          <w:noProof w:val="0"/>
          <w:szCs w:val="20"/>
          <w:lang w:val="en-US" w:eastAsia="de-DE"/>
        </w:rPr>
        <w:t xml:space="preserve">In the case of </w:t>
      </w:r>
      <w:r w:rsidRPr="004542B5">
        <w:rPr>
          <w:rFonts w:cs="Arial"/>
          <w:i/>
          <w:noProof w:val="0"/>
          <w:szCs w:val="20"/>
          <w:lang w:val="en-US" w:eastAsia="de-DE"/>
        </w:rPr>
        <w:t xml:space="preserve">Phocas </w:t>
      </w:r>
      <w:r w:rsidR="00562CBB" w:rsidRPr="004542B5">
        <w:rPr>
          <w:rFonts w:cs="Arial"/>
          <w:i/>
          <w:noProof w:val="0"/>
          <w:szCs w:val="20"/>
          <w:lang w:val="en-US" w:eastAsia="de-DE"/>
        </w:rPr>
        <w:t>v.</w:t>
      </w:r>
      <w:r w:rsidRPr="004542B5">
        <w:rPr>
          <w:rFonts w:cs="Arial"/>
          <w:i/>
          <w:noProof w:val="0"/>
          <w:szCs w:val="20"/>
          <w:lang w:val="en-US" w:eastAsia="de-DE"/>
        </w:rPr>
        <w:t xml:space="preserve"> </w:t>
      </w:r>
      <w:r w:rsidR="00D308D2" w:rsidRPr="004542B5">
        <w:rPr>
          <w:rFonts w:cs="Arial"/>
          <w:i/>
          <w:noProof w:val="0"/>
          <w:szCs w:val="20"/>
          <w:lang w:val="en-US" w:eastAsia="de-DE"/>
        </w:rPr>
        <w:t>France</w:t>
      </w:r>
      <w:r w:rsidRPr="004542B5">
        <w:rPr>
          <w:rFonts w:cs="Arial"/>
          <w:noProof w:val="0"/>
          <w:szCs w:val="20"/>
          <w:lang w:val="en-US" w:eastAsia="de-DE"/>
        </w:rPr>
        <w:t xml:space="preserve">, </w:t>
      </w:r>
      <w:r w:rsidR="00562CBB" w:rsidRPr="004542B5">
        <w:rPr>
          <w:rFonts w:cs="Arial"/>
          <w:noProof w:val="0"/>
          <w:szCs w:val="20"/>
          <w:lang w:val="en-US" w:eastAsia="de-DE"/>
        </w:rPr>
        <w:t xml:space="preserve">the </w:t>
      </w:r>
      <w:r w:rsidR="00D308D2" w:rsidRPr="004542B5">
        <w:rPr>
          <w:rFonts w:cs="Arial"/>
          <w:noProof w:val="0"/>
          <w:szCs w:val="20"/>
          <w:lang w:val="en-US" w:eastAsia="de-DE"/>
        </w:rPr>
        <w:t>European Court</w:t>
      </w:r>
      <w:r w:rsidRPr="004542B5">
        <w:rPr>
          <w:rFonts w:cs="Arial"/>
          <w:noProof w:val="0"/>
          <w:szCs w:val="20"/>
          <w:lang w:val="en-US" w:eastAsia="de-DE"/>
        </w:rPr>
        <w:t xml:space="preserve"> examin</w:t>
      </w:r>
      <w:r w:rsidR="00D308D2" w:rsidRPr="004542B5">
        <w:rPr>
          <w:rFonts w:cs="Arial"/>
          <w:noProof w:val="0"/>
          <w:szCs w:val="20"/>
          <w:lang w:val="en-US" w:eastAsia="de-DE"/>
        </w:rPr>
        <w:t xml:space="preserve">ed a case in which the applicant alleged a continuing situation owing to an expropriation process that lasted from July 31, </w:t>
      </w:r>
      <w:r w:rsidRPr="004542B5">
        <w:rPr>
          <w:rFonts w:cs="Arial"/>
          <w:noProof w:val="0"/>
          <w:szCs w:val="20"/>
          <w:lang w:val="en-US" w:eastAsia="de-DE"/>
        </w:rPr>
        <w:t>1965</w:t>
      </w:r>
      <w:r w:rsidR="00D308D2" w:rsidRPr="004542B5">
        <w:rPr>
          <w:rFonts w:cs="Arial"/>
          <w:noProof w:val="0"/>
          <w:szCs w:val="20"/>
          <w:lang w:val="en-US" w:eastAsia="de-DE"/>
        </w:rPr>
        <w:t xml:space="preserve">, to January 22, </w:t>
      </w:r>
      <w:r w:rsidRPr="004542B5">
        <w:rPr>
          <w:rFonts w:cs="Arial"/>
          <w:noProof w:val="0"/>
          <w:szCs w:val="20"/>
          <w:lang w:val="en-US" w:eastAsia="de-DE"/>
        </w:rPr>
        <w:t>1982</w:t>
      </w:r>
      <w:r w:rsidR="00D308D2" w:rsidRPr="004542B5">
        <w:rPr>
          <w:rFonts w:cs="Arial"/>
          <w:noProof w:val="0"/>
          <w:szCs w:val="20"/>
          <w:lang w:val="en-US" w:eastAsia="de-DE"/>
        </w:rPr>
        <w:t>.</w:t>
      </w:r>
      <w:r w:rsidRPr="004542B5">
        <w:rPr>
          <w:rStyle w:val="FootnoteReference"/>
          <w:noProof w:val="0"/>
          <w:lang w:val="en-US"/>
        </w:rPr>
        <w:footnoteReference w:id="357"/>
      </w:r>
      <w:r w:rsidR="00D308D2" w:rsidRPr="004542B5">
        <w:rPr>
          <w:rFonts w:cs="Arial"/>
          <w:noProof w:val="0"/>
          <w:szCs w:val="20"/>
          <w:lang w:val="en-US" w:eastAsia="de-DE"/>
        </w:rPr>
        <w:t xml:space="preserve"> This continuing situation in expropriation procedures was also analyzed by </w:t>
      </w:r>
      <w:r w:rsidR="00562CBB" w:rsidRPr="004542B5">
        <w:rPr>
          <w:rFonts w:cs="Arial"/>
          <w:noProof w:val="0"/>
          <w:szCs w:val="20"/>
          <w:lang w:val="en-US" w:eastAsia="de-DE"/>
        </w:rPr>
        <w:t xml:space="preserve">the </w:t>
      </w:r>
      <w:r w:rsidR="00D308D2" w:rsidRPr="004542B5">
        <w:rPr>
          <w:rFonts w:cs="Arial"/>
          <w:noProof w:val="0"/>
          <w:szCs w:val="20"/>
          <w:lang w:val="en-US" w:eastAsia="de-DE"/>
        </w:rPr>
        <w:t>European Court</w:t>
      </w:r>
      <w:r w:rsidRPr="004542B5">
        <w:rPr>
          <w:rFonts w:cs="Arial"/>
          <w:noProof w:val="0"/>
          <w:szCs w:val="20"/>
          <w:lang w:val="en-US" w:eastAsia="de-DE"/>
        </w:rPr>
        <w:t xml:space="preserve"> </w:t>
      </w:r>
      <w:r w:rsidR="00D308D2" w:rsidRPr="004542B5">
        <w:rPr>
          <w:rFonts w:cs="Arial"/>
          <w:noProof w:val="0"/>
          <w:szCs w:val="20"/>
          <w:lang w:val="en-US" w:eastAsia="de-DE"/>
        </w:rPr>
        <w:t>in the cases of</w:t>
      </w:r>
      <w:r w:rsidRPr="004542B5">
        <w:rPr>
          <w:rFonts w:cs="Arial"/>
          <w:noProof w:val="0"/>
          <w:szCs w:val="20"/>
          <w:lang w:val="en-US" w:eastAsia="de-DE"/>
        </w:rPr>
        <w:t xml:space="preserve"> </w:t>
      </w:r>
      <w:r w:rsidRPr="004542B5">
        <w:rPr>
          <w:rFonts w:cs="Arial"/>
          <w:i/>
          <w:noProof w:val="0"/>
          <w:szCs w:val="20"/>
          <w:lang w:val="en-US" w:eastAsia="de-DE"/>
        </w:rPr>
        <w:t xml:space="preserve">Cviject </w:t>
      </w:r>
      <w:r w:rsidR="00562CBB" w:rsidRPr="004542B5">
        <w:rPr>
          <w:rFonts w:cs="Arial"/>
          <w:i/>
          <w:noProof w:val="0"/>
          <w:szCs w:val="20"/>
          <w:lang w:val="en-US" w:eastAsia="de-DE"/>
        </w:rPr>
        <w:t>v.</w:t>
      </w:r>
      <w:r w:rsidRPr="004542B5">
        <w:rPr>
          <w:rFonts w:cs="Arial"/>
          <w:i/>
          <w:noProof w:val="0"/>
          <w:szCs w:val="20"/>
          <w:lang w:val="en-US" w:eastAsia="de-DE"/>
        </w:rPr>
        <w:t xml:space="preserve"> Croa</w:t>
      </w:r>
      <w:r w:rsidR="00D308D2" w:rsidRPr="004542B5">
        <w:rPr>
          <w:rFonts w:cs="Arial"/>
          <w:i/>
          <w:noProof w:val="0"/>
          <w:szCs w:val="20"/>
          <w:lang w:val="en-US" w:eastAsia="de-DE"/>
        </w:rPr>
        <w:t>t</w:t>
      </w:r>
      <w:r w:rsidRPr="004542B5">
        <w:rPr>
          <w:rFonts w:cs="Arial"/>
          <w:i/>
          <w:noProof w:val="0"/>
          <w:szCs w:val="20"/>
          <w:lang w:val="en-US" w:eastAsia="de-DE"/>
        </w:rPr>
        <w:t>ia</w:t>
      </w:r>
      <w:r w:rsidRPr="004542B5">
        <w:rPr>
          <w:rStyle w:val="FootnoteReference"/>
          <w:noProof w:val="0"/>
          <w:lang w:val="en-US"/>
        </w:rPr>
        <w:footnoteReference w:id="358"/>
      </w:r>
      <w:r w:rsidR="00CD2B90" w:rsidRPr="004542B5">
        <w:rPr>
          <w:rFonts w:cs="Arial"/>
          <w:noProof w:val="0"/>
          <w:szCs w:val="20"/>
          <w:lang w:val="en-US" w:eastAsia="de-DE"/>
        </w:rPr>
        <w:t xml:space="preserve"> and </w:t>
      </w:r>
      <w:r w:rsidRPr="004542B5">
        <w:rPr>
          <w:rFonts w:cs="Arial"/>
          <w:i/>
          <w:noProof w:val="0"/>
          <w:szCs w:val="20"/>
          <w:lang w:val="en-US" w:eastAsia="de-DE"/>
        </w:rPr>
        <w:t xml:space="preserve">Crnojevic </w:t>
      </w:r>
      <w:r w:rsidR="00562CBB" w:rsidRPr="004542B5">
        <w:rPr>
          <w:rFonts w:cs="Arial"/>
          <w:i/>
          <w:noProof w:val="0"/>
          <w:szCs w:val="20"/>
          <w:lang w:val="en-US" w:eastAsia="de-DE"/>
        </w:rPr>
        <w:t>v.</w:t>
      </w:r>
      <w:r w:rsidRPr="004542B5">
        <w:rPr>
          <w:rFonts w:cs="Arial"/>
          <w:i/>
          <w:noProof w:val="0"/>
          <w:szCs w:val="20"/>
          <w:lang w:val="en-US" w:eastAsia="de-DE"/>
        </w:rPr>
        <w:t xml:space="preserve"> Croa</w:t>
      </w:r>
      <w:r w:rsidR="00D308D2" w:rsidRPr="004542B5">
        <w:rPr>
          <w:rFonts w:cs="Arial"/>
          <w:i/>
          <w:noProof w:val="0"/>
          <w:szCs w:val="20"/>
          <w:lang w:val="en-US" w:eastAsia="de-DE"/>
        </w:rPr>
        <w:t>t</w:t>
      </w:r>
      <w:r w:rsidRPr="004542B5">
        <w:rPr>
          <w:rFonts w:cs="Arial"/>
          <w:i/>
          <w:noProof w:val="0"/>
          <w:szCs w:val="20"/>
          <w:lang w:val="en-US" w:eastAsia="de-DE"/>
        </w:rPr>
        <w:t>ia</w:t>
      </w:r>
      <w:r w:rsidR="00D308D2" w:rsidRPr="004542B5">
        <w:rPr>
          <w:rFonts w:cs="Arial"/>
          <w:i/>
          <w:noProof w:val="0"/>
          <w:szCs w:val="20"/>
          <w:lang w:val="en-US" w:eastAsia="de-DE"/>
        </w:rPr>
        <w:t>.</w:t>
      </w:r>
      <w:r w:rsidRPr="004542B5">
        <w:rPr>
          <w:rStyle w:val="FootnoteReference"/>
          <w:noProof w:val="0"/>
          <w:lang w:val="en-US"/>
        </w:rPr>
        <w:footnoteReference w:id="359"/>
      </w:r>
    </w:p>
    <w:p w14:paraId="5C21CD64" w14:textId="77777777" w:rsidR="00E76B2D" w:rsidRPr="004542B5" w:rsidRDefault="00E76B2D" w:rsidP="00E76B2D">
      <w:pPr>
        <w:pStyle w:val="Default"/>
        <w:jc w:val="both"/>
        <w:rPr>
          <w:rFonts w:cs="Times New Roman"/>
          <w:sz w:val="20"/>
          <w:szCs w:val="20"/>
          <w:lang w:eastAsia="de-DE"/>
        </w:rPr>
      </w:pPr>
    </w:p>
    <w:p w14:paraId="3C0A1E65" w14:textId="720205C6" w:rsidR="006437DC" w:rsidRPr="004542B5" w:rsidRDefault="00E76B2D" w:rsidP="00E76B2D">
      <w:pPr>
        <w:pStyle w:val="Default"/>
        <w:jc w:val="both"/>
        <w:rPr>
          <w:rFonts w:cs="Times New Roman"/>
          <w:bCs/>
          <w:color w:val="auto"/>
          <w:sz w:val="20"/>
          <w:szCs w:val="20"/>
        </w:rPr>
      </w:pPr>
      <w:r w:rsidRPr="004542B5">
        <w:rPr>
          <w:rFonts w:cs="Times New Roman"/>
          <w:sz w:val="20"/>
          <w:szCs w:val="20"/>
          <w:lang w:eastAsia="de-DE"/>
        </w:rPr>
        <w:t>49.</w:t>
      </w:r>
      <w:r w:rsidRPr="004542B5">
        <w:rPr>
          <w:rFonts w:cs="Times New Roman"/>
          <w:sz w:val="20"/>
          <w:szCs w:val="20"/>
          <w:lang w:eastAsia="de-DE"/>
        </w:rPr>
        <w:tab/>
      </w:r>
      <w:r w:rsidR="00D308D2" w:rsidRPr="004542B5">
        <w:rPr>
          <w:rFonts w:cs="Times New Roman"/>
          <w:sz w:val="20"/>
          <w:szCs w:val="20"/>
          <w:lang w:eastAsia="de-DE"/>
        </w:rPr>
        <w:t xml:space="preserve">Under the inter-American system, in the </w:t>
      </w:r>
      <w:r w:rsidR="00E8448B" w:rsidRPr="004542B5">
        <w:rPr>
          <w:rFonts w:cs="Times New Roman"/>
          <w:i/>
          <w:sz w:val="20"/>
          <w:szCs w:val="20"/>
          <w:lang w:eastAsia="de-DE"/>
        </w:rPr>
        <w:t>c</w:t>
      </w:r>
      <w:r w:rsidR="004A09DF" w:rsidRPr="004542B5">
        <w:rPr>
          <w:rFonts w:cs="Times New Roman"/>
          <w:i/>
          <w:sz w:val="20"/>
          <w:szCs w:val="20"/>
          <w:lang w:eastAsia="de-DE"/>
        </w:rPr>
        <w:t>ase of</w:t>
      </w:r>
      <w:r w:rsidRPr="004542B5">
        <w:rPr>
          <w:rFonts w:cs="Times New Roman"/>
          <w:i/>
          <w:sz w:val="20"/>
          <w:szCs w:val="20"/>
          <w:lang w:eastAsia="de-DE"/>
        </w:rPr>
        <w:t xml:space="preserve"> </w:t>
      </w:r>
      <w:r w:rsidR="00D308D2" w:rsidRPr="004542B5">
        <w:rPr>
          <w:rFonts w:cs="Times New Roman"/>
          <w:i/>
          <w:sz w:val="20"/>
          <w:szCs w:val="20"/>
          <w:lang w:eastAsia="de-DE"/>
        </w:rPr>
        <w:t>the</w:t>
      </w:r>
      <w:r w:rsidRPr="004542B5">
        <w:rPr>
          <w:rFonts w:cs="Times New Roman"/>
          <w:i/>
          <w:sz w:val="20"/>
          <w:szCs w:val="20"/>
          <w:lang w:eastAsia="de-DE"/>
        </w:rPr>
        <w:t xml:space="preserve"> </w:t>
      </w:r>
      <w:r w:rsidR="00D652FF" w:rsidRPr="004542B5">
        <w:rPr>
          <w:rFonts w:cs="Times New Roman"/>
          <w:i/>
          <w:sz w:val="20"/>
          <w:szCs w:val="20"/>
          <w:lang w:eastAsia="de-DE"/>
        </w:rPr>
        <w:t>Moiwana Community</w:t>
      </w:r>
      <w:r w:rsidRPr="004542B5">
        <w:rPr>
          <w:rFonts w:cs="Times New Roman"/>
          <w:i/>
          <w:sz w:val="20"/>
          <w:szCs w:val="20"/>
          <w:lang w:eastAsia="de-DE"/>
        </w:rPr>
        <w:t xml:space="preserve"> v Suriname</w:t>
      </w:r>
      <w:r w:rsidR="00D308D2" w:rsidRPr="004542B5">
        <w:rPr>
          <w:rFonts w:cs="Times New Roman"/>
          <w:i/>
          <w:sz w:val="20"/>
          <w:szCs w:val="20"/>
          <w:lang w:eastAsia="de-DE"/>
        </w:rPr>
        <w:t xml:space="preserve">, </w:t>
      </w:r>
      <w:r w:rsidR="00D308D2" w:rsidRPr="004542B5">
        <w:rPr>
          <w:rFonts w:cs="Times New Roman"/>
          <w:sz w:val="20"/>
          <w:szCs w:val="20"/>
          <w:lang w:eastAsia="de-DE"/>
        </w:rPr>
        <w:t>this Court recognized the existence of continuing effects based on different human rights violations. As in the instant judgment,</w:t>
      </w:r>
      <w:r w:rsidRPr="004542B5">
        <w:rPr>
          <w:rStyle w:val="FootnoteReference"/>
          <w:sz w:val="20"/>
          <w:lang w:eastAsia="de-DE"/>
        </w:rPr>
        <w:footnoteReference w:id="360"/>
      </w:r>
      <w:r w:rsidRPr="004542B5">
        <w:rPr>
          <w:rFonts w:cs="Times New Roman"/>
          <w:sz w:val="20"/>
          <w:szCs w:val="20"/>
          <w:lang w:eastAsia="de-DE"/>
        </w:rPr>
        <w:t xml:space="preserve"> </w:t>
      </w:r>
      <w:r w:rsidR="00D308D2" w:rsidRPr="004542B5">
        <w:rPr>
          <w:rFonts w:cs="Times New Roman"/>
          <w:sz w:val="20"/>
          <w:szCs w:val="20"/>
          <w:lang w:eastAsia="de-DE"/>
        </w:rPr>
        <w:t xml:space="preserve">that case related to members of a tribal community who had been forcibly displaced from their territories without being able to return to them owing to the situation </w:t>
      </w:r>
      <w:r w:rsidR="00D308D2" w:rsidRPr="004542B5">
        <w:rPr>
          <w:rFonts w:cs="Times New Roman"/>
          <w:bCs/>
          <w:color w:val="auto"/>
          <w:sz w:val="20"/>
          <w:szCs w:val="20"/>
        </w:rPr>
        <w:t xml:space="preserve">of continuing violence. In that case, the </w:t>
      </w:r>
      <w:r w:rsidR="00D308D2" w:rsidRPr="004542B5">
        <w:rPr>
          <w:rFonts w:cs="Times New Roman"/>
          <w:bCs/>
          <w:color w:val="auto"/>
          <w:sz w:val="20"/>
          <w:szCs w:val="20"/>
        </w:rPr>
        <w:lastRenderedPageBreak/>
        <w:t>Court indicated that although the forced displacement had occurred prior to acceptance of the Court</w:t>
      </w:r>
      <w:r w:rsidR="00E8448B" w:rsidRPr="004542B5">
        <w:rPr>
          <w:rFonts w:cs="Times New Roman"/>
          <w:bCs/>
          <w:color w:val="auto"/>
          <w:sz w:val="20"/>
          <w:szCs w:val="20"/>
        </w:rPr>
        <w:t>’</w:t>
      </w:r>
      <w:r w:rsidR="00D308D2" w:rsidRPr="004542B5">
        <w:rPr>
          <w:rFonts w:cs="Times New Roman"/>
          <w:bCs/>
          <w:color w:val="auto"/>
          <w:sz w:val="20"/>
          <w:szCs w:val="20"/>
        </w:rPr>
        <w:t>s contentious jurisdiction,</w:t>
      </w:r>
      <w:r w:rsidRPr="004542B5">
        <w:rPr>
          <w:rFonts w:cs="Times New Roman"/>
          <w:bCs/>
          <w:color w:val="auto"/>
          <w:sz w:val="20"/>
          <w:szCs w:val="20"/>
        </w:rPr>
        <w:t xml:space="preserve"> “</w:t>
      </w:r>
      <w:r w:rsidR="00D308D2" w:rsidRPr="004542B5">
        <w:rPr>
          <w:rFonts w:cs="Times New Roman"/>
          <w:bCs/>
          <w:i/>
          <w:color w:val="auto"/>
          <w:sz w:val="20"/>
          <w:szCs w:val="20"/>
        </w:rPr>
        <w:t xml:space="preserve">the </w:t>
      </w:r>
      <w:r w:rsidR="00873D12" w:rsidRPr="004542B5">
        <w:rPr>
          <w:rFonts w:cs="Times New Roman"/>
          <w:bCs/>
          <w:i/>
          <w:color w:val="auto"/>
          <w:sz w:val="20"/>
          <w:szCs w:val="20"/>
        </w:rPr>
        <w:t>inability to return</w:t>
      </w:r>
      <w:r w:rsidR="00D308D2" w:rsidRPr="004542B5">
        <w:rPr>
          <w:rFonts w:cs="Times New Roman"/>
          <w:bCs/>
          <w:i/>
          <w:color w:val="auto"/>
          <w:sz w:val="20"/>
          <w:szCs w:val="20"/>
        </w:rPr>
        <w:t xml:space="preserve"> to those </w:t>
      </w:r>
      <w:r w:rsidR="00873D12" w:rsidRPr="004542B5">
        <w:rPr>
          <w:rFonts w:cs="Times New Roman"/>
          <w:bCs/>
          <w:i/>
          <w:color w:val="auto"/>
          <w:sz w:val="20"/>
          <w:szCs w:val="20"/>
        </w:rPr>
        <w:t>territories</w:t>
      </w:r>
      <w:r w:rsidR="00D308D2" w:rsidRPr="004542B5">
        <w:rPr>
          <w:rFonts w:cs="Times New Roman"/>
          <w:bCs/>
          <w:i/>
          <w:color w:val="auto"/>
          <w:sz w:val="20"/>
          <w:szCs w:val="20"/>
        </w:rPr>
        <w:t xml:space="preserve"> ha</w:t>
      </w:r>
      <w:r w:rsidR="00873D12" w:rsidRPr="004542B5">
        <w:rPr>
          <w:rFonts w:cs="Times New Roman"/>
          <w:bCs/>
          <w:i/>
          <w:color w:val="auto"/>
          <w:sz w:val="20"/>
          <w:szCs w:val="20"/>
        </w:rPr>
        <w:t>s</w:t>
      </w:r>
      <w:r w:rsidR="00D308D2" w:rsidRPr="004542B5">
        <w:rPr>
          <w:rFonts w:cs="Times New Roman"/>
          <w:bCs/>
          <w:i/>
          <w:color w:val="auto"/>
          <w:sz w:val="20"/>
          <w:szCs w:val="20"/>
        </w:rPr>
        <w:t xml:space="preserve"> </w:t>
      </w:r>
      <w:r w:rsidR="00873D12" w:rsidRPr="004542B5">
        <w:rPr>
          <w:rFonts w:cs="Times New Roman"/>
          <w:bCs/>
          <w:i/>
          <w:color w:val="auto"/>
          <w:sz w:val="20"/>
          <w:szCs w:val="20"/>
        </w:rPr>
        <w:t>allegedly continued</w:t>
      </w:r>
      <w:r w:rsidR="00D308D2" w:rsidRPr="004542B5">
        <w:rPr>
          <w:rFonts w:cs="Times New Roman"/>
          <w:bCs/>
          <w:i/>
          <w:color w:val="auto"/>
          <w:sz w:val="20"/>
          <w:szCs w:val="20"/>
        </w:rPr>
        <w:t>”</w:t>
      </w:r>
      <w:r w:rsidRPr="004542B5">
        <w:rPr>
          <w:rFonts w:cs="Times New Roman"/>
          <w:bCs/>
          <w:i/>
          <w:color w:val="auto"/>
          <w:sz w:val="20"/>
          <w:szCs w:val="20"/>
        </w:rPr>
        <w:t xml:space="preserve"> </w:t>
      </w:r>
      <w:r w:rsidR="00D308D2" w:rsidRPr="004542B5">
        <w:rPr>
          <w:rFonts w:cs="Times New Roman"/>
          <w:bCs/>
          <w:color w:val="auto"/>
          <w:sz w:val="20"/>
          <w:szCs w:val="20"/>
        </w:rPr>
        <w:t xml:space="preserve">and, therefore, </w:t>
      </w:r>
      <w:r w:rsidR="00562CBB" w:rsidRPr="004542B5">
        <w:rPr>
          <w:rFonts w:cs="Times New Roman"/>
          <w:bCs/>
          <w:color w:val="auto"/>
          <w:sz w:val="20"/>
          <w:szCs w:val="20"/>
        </w:rPr>
        <w:t>the Court</w:t>
      </w:r>
      <w:r w:rsidRPr="004542B5">
        <w:rPr>
          <w:rFonts w:cs="Times New Roman"/>
          <w:bCs/>
          <w:color w:val="auto"/>
          <w:sz w:val="20"/>
          <w:szCs w:val="20"/>
        </w:rPr>
        <w:t xml:space="preserve"> “</w:t>
      </w:r>
      <w:r w:rsidR="00873D12" w:rsidRPr="004542B5">
        <w:rPr>
          <w:rFonts w:cs="Times New Roman"/>
          <w:bCs/>
          <w:i/>
          <w:color w:val="auto"/>
          <w:sz w:val="20"/>
          <w:szCs w:val="20"/>
        </w:rPr>
        <w:t xml:space="preserve">may properly exercise </w:t>
      </w:r>
      <w:r w:rsidR="00D308D2" w:rsidRPr="004542B5">
        <w:rPr>
          <w:rFonts w:cs="Times New Roman"/>
          <w:bCs/>
          <w:i/>
          <w:color w:val="auto"/>
          <w:sz w:val="20"/>
          <w:szCs w:val="20"/>
        </w:rPr>
        <w:t>jurisdiction</w:t>
      </w:r>
      <w:r w:rsidR="00873D12" w:rsidRPr="004542B5">
        <w:rPr>
          <w:rFonts w:cs="Times New Roman"/>
          <w:bCs/>
          <w:i/>
          <w:color w:val="auto"/>
          <w:sz w:val="20"/>
          <w:szCs w:val="20"/>
        </w:rPr>
        <w:t xml:space="preserve"> over </w:t>
      </w:r>
      <w:r w:rsidR="006437DC" w:rsidRPr="004542B5">
        <w:rPr>
          <w:rFonts w:cs="Times New Roman"/>
          <w:bCs/>
          <w:i/>
          <w:color w:val="auto"/>
          <w:sz w:val="20"/>
          <w:szCs w:val="20"/>
        </w:rPr>
        <w:t>those presumed facts and over their legal definition.</w:t>
      </w:r>
      <w:r w:rsidRPr="004542B5">
        <w:rPr>
          <w:rFonts w:cs="Times New Roman"/>
          <w:bCs/>
          <w:color w:val="auto"/>
          <w:sz w:val="20"/>
          <w:szCs w:val="20"/>
        </w:rPr>
        <w:t>”</w:t>
      </w:r>
      <w:r w:rsidRPr="004542B5">
        <w:rPr>
          <w:rStyle w:val="FootnoteReference"/>
          <w:bCs/>
          <w:color w:val="auto"/>
          <w:sz w:val="20"/>
        </w:rPr>
        <w:footnoteReference w:id="361"/>
      </w:r>
      <w:r w:rsidRPr="004542B5">
        <w:rPr>
          <w:rFonts w:cs="Times New Roman"/>
          <w:bCs/>
          <w:color w:val="auto"/>
          <w:sz w:val="20"/>
          <w:szCs w:val="20"/>
        </w:rPr>
        <w:t xml:space="preserve"> </w:t>
      </w:r>
      <w:r w:rsidR="006437DC" w:rsidRPr="004542B5">
        <w:rPr>
          <w:rFonts w:cs="Times New Roman"/>
          <w:bCs/>
          <w:color w:val="auto"/>
          <w:sz w:val="20"/>
          <w:szCs w:val="20"/>
        </w:rPr>
        <w:t>The</w:t>
      </w:r>
      <w:r w:rsidR="00562CBB" w:rsidRPr="004542B5">
        <w:rPr>
          <w:rFonts w:cs="Times New Roman"/>
          <w:bCs/>
          <w:color w:val="auto"/>
          <w:sz w:val="20"/>
          <w:szCs w:val="20"/>
        </w:rPr>
        <w:t xml:space="preserve"> Court</w:t>
      </w:r>
      <w:r w:rsidRPr="004542B5">
        <w:rPr>
          <w:rFonts w:cs="Times New Roman"/>
          <w:bCs/>
          <w:color w:val="auto"/>
          <w:sz w:val="20"/>
          <w:szCs w:val="20"/>
        </w:rPr>
        <w:t xml:space="preserve"> </w:t>
      </w:r>
      <w:r w:rsidR="006437DC" w:rsidRPr="004542B5">
        <w:rPr>
          <w:rFonts w:cs="Times New Roman"/>
          <w:bCs/>
          <w:color w:val="auto"/>
          <w:sz w:val="20"/>
          <w:szCs w:val="20"/>
        </w:rPr>
        <w:t>also noted that the said case</w:t>
      </w:r>
      <w:r w:rsidR="00E8448B" w:rsidRPr="004542B5">
        <w:rPr>
          <w:rFonts w:cs="Times New Roman"/>
          <w:bCs/>
          <w:color w:val="auto"/>
          <w:sz w:val="20"/>
          <w:szCs w:val="20"/>
        </w:rPr>
        <w:t xml:space="preserve">, in which the State was declared responsible, </w:t>
      </w:r>
      <w:r w:rsidR="006437DC" w:rsidRPr="004542B5">
        <w:rPr>
          <w:rFonts w:cs="Times New Roman"/>
          <w:bCs/>
          <w:color w:val="auto"/>
          <w:sz w:val="20"/>
          <w:szCs w:val="20"/>
        </w:rPr>
        <w:t>referred to a situation of forced displacement of a tribal community owing to a situation of violence and insecurity and in which th</w:t>
      </w:r>
      <w:r w:rsidR="00E8448B" w:rsidRPr="004542B5">
        <w:rPr>
          <w:rFonts w:cs="Times New Roman"/>
          <w:bCs/>
          <w:color w:val="auto"/>
          <w:sz w:val="20"/>
          <w:szCs w:val="20"/>
        </w:rPr>
        <w:t>at</w:t>
      </w:r>
      <w:r w:rsidR="006437DC" w:rsidRPr="004542B5">
        <w:rPr>
          <w:rFonts w:cs="Times New Roman"/>
          <w:bCs/>
          <w:color w:val="auto"/>
          <w:sz w:val="20"/>
          <w:szCs w:val="20"/>
        </w:rPr>
        <w:t xml:space="preserve"> community had not been relocated to alternative lands</w:t>
      </w:r>
      <w:r w:rsidR="00E8448B" w:rsidRPr="004542B5">
        <w:rPr>
          <w:rFonts w:cs="Times New Roman"/>
          <w:bCs/>
          <w:color w:val="auto"/>
          <w:sz w:val="20"/>
          <w:szCs w:val="20"/>
        </w:rPr>
        <w:t>.</w:t>
      </w:r>
      <w:r w:rsidR="006437DC" w:rsidRPr="004542B5">
        <w:rPr>
          <w:rFonts w:cs="Times New Roman"/>
          <w:bCs/>
          <w:color w:val="auto"/>
          <w:sz w:val="20"/>
          <w:szCs w:val="20"/>
        </w:rPr>
        <w:t xml:space="preserve"> In that case, the Court declared the violation of the right to free</w:t>
      </w:r>
      <w:r w:rsidR="00A912C5" w:rsidRPr="004542B5">
        <w:rPr>
          <w:rFonts w:cs="Times New Roman"/>
          <w:bCs/>
          <w:color w:val="auto"/>
          <w:sz w:val="20"/>
          <w:szCs w:val="20"/>
        </w:rPr>
        <w:t>dom of movement and residence contain in Article 22 of the Convention and, consequently, also declared a violation of the right to property contain in Article 21 of this instrument because the situation of violence had deprived them of the communal use and enjoyment of their traditional property.</w:t>
      </w:r>
    </w:p>
    <w:p w14:paraId="5804462F" w14:textId="77777777" w:rsidR="00E76B2D" w:rsidRPr="004542B5" w:rsidRDefault="00E76B2D" w:rsidP="00E76B2D">
      <w:pPr>
        <w:pStyle w:val="Default"/>
        <w:jc w:val="both"/>
        <w:rPr>
          <w:rFonts w:cs="Times New Roman"/>
          <w:bCs/>
          <w:color w:val="auto"/>
          <w:sz w:val="20"/>
          <w:szCs w:val="20"/>
        </w:rPr>
      </w:pPr>
    </w:p>
    <w:p w14:paraId="2B7FD99C" w14:textId="4911743E" w:rsidR="00A912C5" w:rsidRPr="004542B5" w:rsidRDefault="00E76B2D" w:rsidP="00E76B2D">
      <w:pPr>
        <w:rPr>
          <w:noProof w:val="0"/>
          <w:szCs w:val="20"/>
          <w:lang w:val="en-US"/>
        </w:rPr>
      </w:pPr>
      <w:r w:rsidRPr="004542B5">
        <w:rPr>
          <w:noProof w:val="0"/>
          <w:szCs w:val="20"/>
          <w:lang w:val="en-US"/>
        </w:rPr>
        <w:t>50.</w:t>
      </w:r>
      <w:r w:rsidRPr="004542B5">
        <w:rPr>
          <w:noProof w:val="0"/>
          <w:szCs w:val="20"/>
          <w:lang w:val="en-US"/>
        </w:rPr>
        <w:tab/>
      </w:r>
      <w:r w:rsidR="00A912C5" w:rsidRPr="004542B5">
        <w:rPr>
          <w:noProof w:val="0"/>
          <w:szCs w:val="20"/>
          <w:lang w:val="en-US"/>
        </w:rPr>
        <w:t>To determine whether or not a fact that violates human rights can be classified as continuing, it is essential, according to the Human Rights Committee, to determine whether the said violations continue or have effects which themselves constitute a violations.</w:t>
      </w:r>
      <w:r w:rsidRPr="004542B5">
        <w:rPr>
          <w:rStyle w:val="FootnoteReference"/>
          <w:noProof w:val="0"/>
          <w:lang w:val="en-US"/>
        </w:rPr>
        <w:footnoteReference w:id="362"/>
      </w:r>
      <w:r w:rsidR="00A912C5" w:rsidRPr="004542B5">
        <w:rPr>
          <w:noProof w:val="0"/>
          <w:szCs w:val="20"/>
          <w:lang w:val="en-US"/>
        </w:rPr>
        <w:t xml:space="preserve"> Thus, for example, in the cases analyzed above, the breach of the right to private property of the applicants occurred </w:t>
      </w:r>
      <w:r w:rsidR="006110CB" w:rsidRPr="004542B5">
        <w:rPr>
          <w:noProof w:val="0"/>
          <w:szCs w:val="20"/>
          <w:lang w:val="en-US"/>
        </w:rPr>
        <w:t>continuously</w:t>
      </w:r>
      <w:r w:rsidR="00A912C5" w:rsidRPr="004542B5">
        <w:rPr>
          <w:noProof w:val="0"/>
          <w:szCs w:val="20"/>
          <w:lang w:val="en-US"/>
        </w:rPr>
        <w:t xml:space="preserve"> because they had not lost their ownership rights legally or as beneficiaries of compensation; to the contrary, they had been victims of continuing effects in relation to the possibility of disposing of their property or receiving compensation for it.</w:t>
      </w:r>
    </w:p>
    <w:p w14:paraId="6272EADE" w14:textId="77777777" w:rsidR="00E76B2D" w:rsidRPr="004542B5" w:rsidRDefault="00E76B2D" w:rsidP="00E76B2D">
      <w:pPr>
        <w:pStyle w:val="ListParagraph"/>
        <w:ind w:left="0"/>
        <w:rPr>
          <w:noProof w:val="0"/>
          <w:szCs w:val="20"/>
          <w:lang w:val="en-US" w:eastAsia="de-DE"/>
        </w:rPr>
      </w:pPr>
    </w:p>
    <w:p w14:paraId="0F190D03" w14:textId="0F1330C9" w:rsidR="00E76B2D" w:rsidRPr="004542B5" w:rsidRDefault="00E76B2D" w:rsidP="00DD5F6E">
      <w:pPr>
        <w:pStyle w:val="ListParagraph"/>
        <w:ind w:left="0"/>
        <w:rPr>
          <w:noProof w:val="0"/>
          <w:szCs w:val="20"/>
          <w:lang w:val="en-US" w:eastAsia="de-DE"/>
        </w:rPr>
      </w:pPr>
      <w:r w:rsidRPr="004542B5">
        <w:rPr>
          <w:noProof w:val="0"/>
          <w:szCs w:val="20"/>
          <w:lang w:val="en-US" w:eastAsia="de-DE"/>
        </w:rPr>
        <w:t>51.</w:t>
      </w:r>
      <w:r w:rsidRPr="004542B5">
        <w:rPr>
          <w:noProof w:val="0"/>
          <w:szCs w:val="20"/>
          <w:lang w:val="en-US" w:eastAsia="de-DE"/>
        </w:rPr>
        <w:tab/>
      </w:r>
      <w:r w:rsidR="00A912C5" w:rsidRPr="004542B5">
        <w:rPr>
          <w:noProof w:val="0"/>
          <w:szCs w:val="20"/>
          <w:lang w:val="en-US" w:eastAsia="de-DE"/>
        </w:rPr>
        <w:t xml:space="preserve">The precedents cited above reveal that the determination of when we are faced with a continuing situation must be made on a case-by-case basis. To this end, it is important to consider, among other aspects: the applicable legal norms at both the national and the international level; the nature of the facts (such as, the type, duration, scope) and, lastly, the effects </w:t>
      </w:r>
      <w:r w:rsidR="00DD5F6E" w:rsidRPr="004542B5">
        <w:rPr>
          <w:noProof w:val="0"/>
          <w:szCs w:val="20"/>
          <w:lang w:val="en-US" w:eastAsia="de-DE"/>
        </w:rPr>
        <w:t xml:space="preserve">it has </w:t>
      </w:r>
      <w:r w:rsidR="00A912C5" w:rsidRPr="004542B5">
        <w:rPr>
          <w:noProof w:val="0"/>
          <w:szCs w:val="20"/>
          <w:lang w:val="en-US" w:eastAsia="de-DE"/>
        </w:rPr>
        <w:t xml:space="preserve">on the rights </w:t>
      </w:r>
      <w:r w:rsidR="00DD5F6E" w:rsidRPr="004542B5">
        <w:rPr>
          <w:noProof w:val="0"/>
          <w:szCs w:val="20"/>
          <w:lang w:val="en-US" w:eastAsia="de-DE"/>
        </w:rPr>
        <w:t xml:space="preserve">of those who </w:t>
      </w:r>
      <w:r w:rsidR="00E8448B" w:rsidRPr="004542B5">
        <w:rPr>
          <w:noProof w:val="0"/>
          <w:szCs w:val="20"/>
          <w:lang w:val="en-US" w:eastAsia="de-DE"/>
        </w:rPr>
        <w:t>have recourse</w:t>
      </w:r>
      <w:r w:rsidR="00DD5F6E" w:rsidRPr="004542B5">
        <w:rPr>
          <w:noProof w:val="0"/>
          <w:szCs w:val="20"/>
          <w:lang w:val="en-US" w:eastAsia="de-DE"/>
        </w:rPr>
        <w:t xml:space="preserve"> to the inter-American system of human rights as presumed victims.</w:t>
      </w:r>
    </w:p>
    <w:p w14:paraId="4F14ED0D" w14:textId="77777777" w:rsidR="00E76B2D" w:rsidRPr="004542B5" w:rsidRDefault="00E76B2D" w:rsidP="00E76B2D">
      <w:pPr>
        <w:rPr>
          <w:b/>
          <w:noProof w:val="0"/>
          <w:szCs w:val="20"/>
          <w:lang w:val="en-US"/>
        </w:rPr>
      </w:pPr>
    </w:p>
    <w:p w14:paraId="70D6F811" w14:textId="15F8E061" w:rsidR="00E76B2D" w:rsidRPr="004542B5" w:rsidRDefault="00E76B2D" w:rsidP="00DD5F6E">
      <w:pPr>
        <w:spacing w:before="120" w:after="120"/>
        <w:jc w:val="center"/>
        <w:rPr>
          <w:b/>
          <w:caps/>
          <w:noProof w:val="0"/>
          <w:szCs w:val="20"/>
          <w:lang w:val="en-US"/>
        </w:rPr>
      </w:pPr>
      <w:r w:rsidRPr="004542B5">
        <w:rPr>
          <w:b/>
          <w:caps/>
          <w:noProof w:val="0"/>
          <w:szCs w:val="20"/>
          <w:lang w:val="en-US"/>
        </w:rPr>
        <w:t xml:space="preserve">IV. </w:t>
      </w:r>
      <w:r w:rsidR="00F66B76" w:rsidRPr="004542B5">
        <w:rPr>
          <w:b/>
          <w:bCs/>
          <w:noProof w:val="0"/>
          <w:szCs w:val="20"/>
          <w:lang w:val="en-US"/>
        </w:rPr>
        <w:t>THE FAILURE TO PAY COMPENSATION AS A CONTINU</w:t>
      </w:r>
      <w:r w:rsidR="00DD5F6E" w:rsidRPr="004542B5">
        <w:rPr>
          <w:b/>
          <w:bCs/>
          <w:noProof w:val="0"/>
          <w:szCs w:val="20"/>
          <w:lang w:val="en-US"/>
        </w:rPr>
        <w:t>ING</w:t>
      </w:r>
      <w:r w:rsidR="00F66B76" w:rsidRPr="004542B5">
        <w:rPr>
          <w:b/>
          <w:bCs/>
          <w:noProof w:val="0"/>
          <w:szCs w:val="20"/>
          <w:lang w:val="en-US"/>
        </w:rPr>
        <w:t xml:space="preserve"> VIOLATION IN THE CASE OF THE KUNA INDIGENOUS COMMUNITIES OF MADUNGANDÍ AND THE EMBERÁ INDIGENOUS COMMUNITIES OF BAYANO</w:t>
      </w:r>
    </w:p>
    <w:p w14:paraId="01F7970C" w14:textId="77777777" w:rsidR="00E76B2D" w:rsidRPr="004542B5" w:rsidRDefault="00E76B2D" w:rsidP="00E76B2D">
      <w:pPr>
        <w:pStyle w:val="ListParagraph"/>
        <w:ind w:left="0"/>
        <w:rPr>
          <w:b/>
          <w:noProof w:val="0"/>
          <w:szCs w:val="20"/>
          <w:lang w:val="en-US"/>
        </w:rPr>
      </w:pPr>
    </w:p>
    <w:p w14:paraId="126A4602" w14:textId="23E8047E" w:rsidR="00E76B2D" w:rsidRPr="004542B5" w:rsidRDefault="00E76B2D" w:rsidP="00E76B2D">
      <w:pPr>
        <w:pStyle w:val="ListParagraph"/>
        <w:ind w:left="0"/>
        <w:rPr>
          <w:noProof w:val="0"/>
          <w:szCs w:val="20"/>
          <w:lang w:val="en-US" w:eastAsia="de-DE"/>
        </w:rPr>
      </w:pPr>
      <w:r w:rsidRPr="004542B5">
        <w:rPr>
          <w:noProof w:val="0"/>
          <w:szCs w:val="20"/>
          <w:lang w:val="en-US"/>
        </w:rPr>
        <w:t>52.</w:t>
      </w:r>
      <w:r w:rsidRPr="004542B5">
        <w:rPr>
          <w:noProof w:val="0"/>
          <w:szCs w:val="20"/>
          <w:lang w:val="en-US"/>
        </w:rPr>
        <w:tab/>
      </w:r>
      <w:r w:rsidR="00DD5F6E" w:rsidRPr="004542B5">
        <w:rPr>
          <w:noProof w:val="0"/>
          <w:szCs w:val="20"/>
          <w:lang w:val="en-US"/>
        </w:rPr>
        <w:t>To determine whether the failure to pay compensation in this case constitute</w:t>
      </w:r>
      <w:r w:rsidR="00E8448B" w:rsidRPr="004542B5">
        <w:rPr>
          <w:noProof w:val="0"/>
          <w:szCs w:val="20"/>
          <w:lang w:val="en-US"/>
        </w:rPr>
        <w:t>s</w:t>
      </w:r>
      <w:r w:rsidR="00DD5F6E" w:rsidRPr="004542B5">
        <w:rPr>
          <w:noProof w:val="0"/>
          <w:szCs w:val="20"/>
          <w:lang w:val="en-US"/>
        </w:rPr>
        <w:t xml:space="preserve"> a continuing violation, I will examine:</w:t>
      </w:r>
      <w:r w:rsidRPr="004542B5">
        <w:rPr>
          <w:noProof w:val="0"/>
          <w:szCs w:val="20"/>
          <w:lang w:val="en-US"/>
        </w:rPr>
        <w:t xml:space="preserve"> </w:t>
      </w:r>
      <w:r w:rsidRPr="004542B5">
        <w:rPr>
          <w:iCs/>
          <w:noProof w:val="0"/>
          <w:szCs w:val="20"/>
          <w:lang w:val="en-US"/>
        </w:rPr>
        <w:t>(i)</w:t>
      </w:r>
      <w:r w:rsidRPr="004542B5">
        <w:rPr>
          <w:noProof w:val="0"/>
          <w:szCs w:val="20"/>
          <w:lang w:val="en-US"/>
        </w:rPr>
        <w:t xml:space="preserve"> </w:t>
      </w:r>
      <w:r w:rsidR="00DD5F6E" w:rsidRPr="004542B5">
        <w:rPr>
          <w:noProof w:val="0"/>
          <w:szCs w:val="20"/>
          <w:lang w:val="en-US"/>
        </w:rPr>
        <w:t xml:space="preserve">the scope of the content of </w:t>
      </w:r>
      <w:r w:rsidR="00342385" w:rsidRPr="004542B5">
        <w:rPr>
          <w:noProof w:val="0"/>
          <w:szCs w:val="20"/>
          <w:lang w:val="en-US"/>
        </w:rPr>
        <w:t>Article</w:t>
      </w:r>
      <w:r w:rsidRPr="004542B5">
        <w:rPr>
          <w:noProof w:val="0"/>
          <w:szCs w:val="20"/>
          <w:lang w:val="en-US"/>
        </w:rPr>
        <w:t xml:space="preserve"> 21</w:t>
      </w:r>
      <w:r w:rsidR="008A56D7" w:rsidRPr="004542B5">
        <w:rPr>
          <w:noProof w:val="0"/>
          <w:szCs w:val="20"/>
          <w:lang w:val="en-US"/>
        </w:rPr>
        <w:t xml:space="preserve"> of the </w:t>
      </w:r>
      <w:r w:rsidR="00562CBB" w:rsidRPr="004542B5">
        <w:rPr>
          <w:noProof w:val="0"/>
          <w:szCs w:val="20"/>
          <w:lang w:val="en-US"/>
        </w:rPr>
        <w:t>American Convention on Human Rights</w:t>
      </w:r>
      <w:r w:rsidR="00CD2B90" w:rsidRPr="004542B5">
        <w:rPr>
          <w:noProof w:val="0"/>
          <w:szCs w:val="20"/>
          <w:lang w:val="en-US"/>
        </w:rPr>
        <w:t xml:space="preserve"> and </w:t>
      </w:r>
      <w:r w:rsidR="00DD5F6E" w:rsidRPr="004542B5">
        <w:rPr>
          <w:noProof w:val="0"/>
          <w:szCs w:val="20"/>
          <w:lang w:val="en-US"/>
        </w:rPr>
        <w:t xml:space="preserve">its interpretation by the inter-American Court in cases of indigenous peoples, and </w:t>
      </w:r>
      <w:r w:rsidRPr="004542B5">
        <w:rPr>
          <w:iCs/>
          <w:noProof w:val="0"/>
          <w:szCs w:val="20"/>
          <w:lang w:val="en-US"/>
        </w:rPr>
        <w:t>(</w:t>
      </w:r>
      <w:r w:rsidR="00DD5F6E" w:rsidRPr="004542B5">
        <w:rPr>
          <w:iCs/>
          <w:noProof w:val="0"/>
          <w:szCs w:val="20"/>
          <w:lang w:val="en-US"/>
        </w:rPr>
        <w:t>i</w:t>
      </w:r>
      <w:r w:rsidRPr="004542B5">
        <w:rPr>
          <w:iCs/>
          <w:noProof w:val="0"/>
          <w:szCs w:val="20"/>
          <w:lang w:val="en-US"/>
        </w:rPr>
        <w:t>i)</w:t>
      </w:r>
      <w:r w:rsidRPr="004542B5">
        <w:rPr>
          <w:noProof w:val="0"/>
          <w:szCs w:val="20"/>
          <w:lang w:val="en-US"/>
        </w:rPr>
        <w:t xml:space="preserve"> </w:t>
      </w:r>
      <w:r w:rsidR="00DD5F6E" w:rsidRPr="004542B5">
        <w:rPr>
          <w:noProof w:val="0"/>
          <w:szCs w:val="20"/>
          <w:lang w:val="en-US" w:eastAsia="de-DE"/>
        </w:rPr>
        <w:t>the fact of this case, the applicable domestic law, and the effects on the rights of the failure to pay compensation.</w:t>
      </w:r>
    </w:p>
    <w:p w14:paraId="120C795F" w14:textId="77777777" w:rsidR="00E76B2D" w:rsidRPr="004542B5" w:rsidRDefault="00E76B2D" w:rsidP="00E76B2D">
      <w:pPr>
        <w:pStyle w:val="ListParagraph"/>
        <w:ind w:left="0"/>
        <w:rPr>
          <w:b/>
          <w:noProof w:val="0"/>
          <w:szCs w:val="20"/>
          <w:lang w:val="en-US"/>
        </w:rPr>
      </w:pPr>
    </w:p>
    <w:p w14:paraId="0398F64D" w14:textId="7FFCBB1A" w:rsidR="00E76B2D" w:rsidRPr="004542B5" w:rsidRDefault="004934EB" w:rsidP="00E76B2D">
      <w:pPr>
        <w:pStyle w:val="ListParagraph"/>
        <w:numPr>
          <w:ilvl w:val="0"/>
          <w:numId w:val="59"/>
        </w:numPr>
        <w:rPr>
          <w:i/>
          <w:noProof w:val="0"/>
          <w:szCs w:val="20"/>
          <w:lang w:val="en-US"/>
        </w:rPr>
      </w:pPr>
      <w:r w:rsidRPr="004542B5">
        <w:rPr>
          <w:i/>
          <w:noProof w:val="0"/>
          <w:szCs w:val="20"/>
          <w:lang w:val="en-US"/>
        </w:rPr>
        <w:t xml:space="preserve">The scope of </w:t>
      </w:r>
      <w:r w:rsidR="00342385" w:rsidRPr="004542B5">
        <w:rPr>
          <w:i/>
          <w:noProof w:val="0"/>
          <w:szCs w:val="20"/>
          <w:lang w:val="en-US"/>
        </w:rPr>
        <w:t>Article</w:t>
      </w:r>
      <w:r w:rsidR="00E76B2D" w:rsidRPr="004542B5">
        <w:rPr>
          <w:i/>
          <w:noProof w:val="0"/>
          <w:szCs w:val="20"/>
          <w:lang w:val="en-US"/>
        </w:rPr>
        <w:t xml:space="preserve"> 21</w:t>
      </w:r>
      <w:r w:rsidR="008A56D7" w:rsidRPr="004542B5">
        <w:rPr>
          <w:i/>
          <w:noProof w:val="0"/>
          <w:szCs w:val="20"/>
          <w:lang w:val="en-US"/>
        </w:rPr>
        <w:t xml:space="preserve"> of the </w:t>
      </w:r>
      <w:r w:rsidR="00562CBB" w:rsidRPr="004542B5">
        <w:rPr>
          <w:i/>
          <w:noProof w:val="0"/>
          <w:szCs w:val="20"/>
          <w:lang w:val="en-US"/>
        </w:rPr>
        <w:t>American Convention on Human Rights</w:t>
      </w:r>
      <w:r w:rsidR="00E76B2D" w:rsidRPr="004542B5">
        <w:rPr>
          <w:i/>
          <w:noProof w:val="0"/>
          <w:szCs w:val="20"/>
          <w:lang w:val="en-US"/>
        </w:rPr>
        <w:t>.</w:t>
      </w:r>
    </w:p>
    <w:p w14:paraId="1E2D91B6" w14:textId="77777777" w:rsidR="00E76B2D" w:rsidRPr="004542B5" w:rsidRDefault="00E76B2D" w:rsidP="00E76B2D">
      <w:pPr>
        <w:pStyle w:val="ListParagraph"/>
        <w:ind w:left="0"/>
        <w:rPr>
          <w:noProof w:val="0"/>
          <w:szCs w:val="20"/>
          <w:lang w:val="en-US"/>
        </w:rPr>
      </w:pPr>
    </w:p>
    <w:p w14:paraId="2B7F07CF" w14:textId="55978BA9" w:rsidR="00DD5F6E" w:rsidRPr="004542B5" w:rsidRDefault="00E76B2D" w:rsidP="00DD5F6E">
      <w:pPr>
        <w:pStyle w:val="ListParagraph"/>
        <w:ind w:left="0"/>
        <w:rPr>
          <w:noProof w:val="0"/>
          <w:spacing w:val="-3"/>
          <w:szCs w:val="20"/>
          <w:lang w:val="en-US"/>
        </w:rPr>
      </w:pPr>
      <w:r w:rsidRPr="004542B5">
        <w:rPr>
          <w:bCs/>
          <w:noProof w:val="0"/>
          <w:color w:val="000000"/>
          <w:szCs w:val="20"/>
          <w:lang w:val="en-US" w:eastAsia="de-DE"/>
        </w:rPr>
        <w:t>53.</w:t>
      </w:r>
      <w:r w:rsidRPr="004542B5">
        <w:rPr>
          <w:bCs/>
          <w:noProof w:val="0"/>
          <w:color w:val="000000"/>
          <w:szCs w:val="20"/>
          <w:lang w:val="en-US" w:eastAsia="de-DE"/>
        </w:rPr>
        <w:tab/>
      </w:r>
      <w:r w:rsidR="00DD5F6E" w:rsidRPr="004542B5">
        <w:rPr>
          <w:bCs/>
          <w:noProof w:val="0"/>
          <w:color w:val="000000"/>
          <w:szCs w:val="20"/>
          <w:lang w:val="en-US" w:eastAsia="de-DE"/>
        </w:rPr>
        <w:t xml:space="preserve">The second paragraph of </w:t>
      </w:r>
      <w:r w:rsidR="00342385" w:rsidRPr="004542B5">
        <w:rPr>
          <w:bCs/>
          <w:noProof w:val="0"/>
          <w:color w:val="000000"/>
          <w:szCs w:val="20"/>
          <w:lang w:val="en-US" w:eastAsia="de-DE"/>
        </w:rPr>
        <w:t>Article</w:t>
      </w:r>
      <w:r w:rsidRPr="004542B5">
        <w:rPr>
          <w:bCs/>
          <w:noProof w:val="0"/>
          <w:color w:val="000000"/>
          <w:szCs w:val="20"/>
          <w:lang w:val="en-US" w:eastAsia="de-DE"/>
        </w:rPr>
        <w:t xml:space="preserve"> 21</w:t>
      </w:r>
      <w:r w:rsidR="008A56D7" w:rsidRPr="004542B5">
        <w:rPr>
          <w:bCs/>
          <w:noProof w:val="0"/>
          <w:color w:val="000000"/>
          <w:szCs w:val="20"/>
          <w:lang w:val="en-US" w:eastAsia="de-DE"/>
        </w:rPr>
        <w:t xml:space="preserve"> of the </w:t>
      </w:r>
      <w:r w:rsidR="00562CBB" w:rsidRPr="004542B5">
        <w:rPr>
          <w:bCs/>
          <w:noProof w:val="0"/>
          <w:color w:val="000000"/>
          <w:szCs w:val="20"/>
          <w:lang w:val="en-US" w:eastAsia="de-DE"/>
        </w:rPr>
        <w:t>American Convention on Human Rights</w:t>
      </w:r>
      <w:r w:rsidRPr="004542B5">
        <w:rPr>
          <w:bCs/>
          <w:noProof w:val="0"/>
          <w:color w:val="000000"/>
          <w:szCs w:val="20"/>
          <w:lang w:val="en-US" w:eastAsia="de-DE"/>
        </w:rPr>
        <w:t xml:space="preserve"> </w:t>
      </w:r>
      <w:r w:rsidR="00DD5F6E" w:rsidRPr="004542B5">
        <w:rPr>
          <w:bCs/>
          <w:noProof w:val="0"/>
          <w:color w:val="000000"/>
          <w:szCs w:val="20"/>
          <w:lang w:val="en-US" w:eastAsia="de-DE"/>
        </w:rPr>
        <w:t>on the right to property establishes that: “</w:t>
      </w:r>
      <w:r w:rsidR="00DD5F6E" w:rsidRPr="004542B5">
        <w:rPr>
          <w:noProof w:val="0"/>
          <w:spacing w:val="-3"/>
          <w:szCs w:val="20"/>
          <w:lang w:val="en-US"/>
        </w:rPr>
        <w:t xml:space="preserve">No one shall be deprived of his property except upon payment of just compensation, for reasons of public utility or social interest, and in the cases and according to the forms established by law.” Consequently, </w:t>
      </w:r>
      <w:r w:rsidR="00DD5F6E" w:rsidRPr="004542B5">
        <w:rPr>
          <w:noProof w:val="0"/>
          <w:spacing w:val="-3"/>
          <w:szCs w:val="20"/>
          <w:lang w:val="en-US"/>
        </w:rPr>
        <w:lastRenderedPageBreak/>
        <w:t xml:space="preserve">expropriation </w:t>
      </w:r>
      <w:r w:rsidR="00E8448B" w:rsidRPr="004542B5">
        <w:rPr>
          <w:noProof w:val="0"/>
          <w:spacing w:val="-3"/>
          <w:szCs w:val="20"/>
          <w:lang w:val="en-US"/>
        </w:rPr>
        <w:t>may not be</w:t>
      </w:r>
      <w:r w:rsidR="00DD5F6E" w:rsidRPr="004542B5">
        <w:rPr>
          <w:noProof w:val="0"/>
          <w:spacing w:val="-3"/>
          <w:szCs w:val="20"/>
          <w:lang w:val="en-US"/>
        </w:rPr>
        <w:t xml:space="preserve"> carried out, even respecting the principles of public utility and social interest, without the existence of the “payment of just compensation.”</w:t>
      </w:r>
    </w:p>
    <w:p w14:paraId="6D72BB61" w14:textId="77777777" w:rsidR="00E76B2D" w:rsidRPr="004542B5" w:rsidRDefault="00E76B2D" w:rsidP="00E76B2D">
      <w:pPr>
        <w:pStyle w:val="ListParagraph"/>
        <w:ind w:left="0"/>
        <w:rPr>
          <w:noProof w:val="0"/>
          <w:szCs w:val="20"/>
          <w:lang w:val="en-US"/>
        </w:rPr>
      </w:pPr>
    </w:p>
    <w:p w14:paraId="658B627C" w14:textId="2114F798" w:rsidR="00E76B2D" w:rsidRPr="004542B5" w:rsidRDefault="00E76B2D" w:rsidP="00E76B2D">
      <w:pPr>
        <w:pStyle w:val="ListParagraph"/>
        <w:ind w:left="0"/>
        <w:rPr>
          <w:noProof w:val="0"/>
          <w:szCs w:val="20"/>
          <w:lang w:val="en-US"/>
        </w:rPr>
      </w:pPr>
      <w:r w:rsidRPr="004542B5">
        <w:rPr>
          <w:noProof w:val="0"/>
          <w:szCs w:val="20"/>
          <w:lang w:val="en-US"/>
        </w:rPr>
        <w:t>54.</w:t>
      </w:r>
      <w:r w:rsidRPr="004542B5">
        <w:rPr>
          <w:noProof w:val="0"/>
          <w:szCs w:val="20"/>
          <w:lang w:val="en-US"/>
        </w:rPr>
        <w:tab/>
      </w:r>
      <w:r w:rsidR="005D0493" w:rsidRPr="004542B5">
        <w:rPr>
          <w:noProof w:val="0"/>
          <w:szCs w:val="20"/>
          <w:lang w:val="en-US"/>
        </w:rPr>
        <w:t>In the case of</w:t>
      </w:r>
      <w:r w:rsidRPr="004542B5">
        <w:rPr>
          <w:noProof w:val="0"/>
          <w:szCs w:val="20"/>
          <w:lang w:val="en-US"/>
        </w:rPr>
        <w:t xml:space="preserve"> </w:t>
      </w:r>
      <w:r w:rsidRPr="004542B5">
        <w:rPr>
          <w:i/>
          <w:noProof w:val="0"/>
          <w:szCs w:val="20"/>
          <w:lang w:val="en-US"/>
        </w:rPr>
        <w:t xml:space="preserve">Salvador Chiriboga </w:t>
      </w:r>
      <w:r w:rsidR="00562CBB" w:rsidRPr="004542B5">
        <w:rPr>
          <w:i/>
          <w:noProof w:val="0"/>
          <w:szCs w:val="20"/>
          <w:lang w:val="en-US"/>
        </w:rPr>
        <w:t>v.</w:t>
      </w:r>
      <w:r w:rsidRPr="004542B5">
        <w:rPr>
          <w:i/>
          <w:noProof w:val="0"/>
          <w:szCs w:val="20"/>
          <w:lang w:val="en-US"/>
        </w:rPr>
        <w:t xml:space="preserve"> Ecuador</w:t>
      </w:r>
      <w:r w:rsidRPr="004542B5">
        <w:rPr>
          <w:noProof w:val="0"/>
          <w:szCs w:val="20"/>
          <w:lang w:val="en-US"/>
        </w:rPr>
        <w:t xml:space="preserve"> </w:t>
      </w:r>
      <w:r w:rsidR="00562CBB" w:rsidRPr="004542B5">
        <w:rPr>
          <w:noProof w:val="0"/>
          <w:szCs w:val="20"/>
          <w:lang w:val="en-US"/>
        </w:rPr>
        <w:t xml:space="preserve">the </w:t>
      </w:r>
      <w:r w:rsidR="00E8448B" w:rsidRPr="004542B5">
        <w:rPr>
          <w:noProof w:val="0"/>
          <w:szCs w:val="20"/>
          <w:lang w:val="en-US"/>
        </w:rPr>
        <w:t xml:space="preserve">Inter-American </w:t>
      </w:r>
      <w:r w:rsidR="00562CBB" w:rsidRPr="004542B5">
        <w:rPr>
          <w:noProof w:val="0"/>
          <w:szCs w:val="20"/>
          <w:lang w:val="en-US"/>
        </w:rPr>
        <w:t>Court</w:t>
      </w:r>
      <w:r w:rsidRPr="004542B5">
        <w:rPr>
          <w:noProof w:val="0"/>
          <w:szCs w:val="20"/>
          <w:lang w:val="en-US"/>
        </w:rPr>
        <w:t xml:space="preserve"> determin</w:t>
      </w:r>
      <w:r w:rsidR="005D0493" w:rsidRPr="004542B5">
        <w:rPr>
          <w:noProof w:val="0"/>
          <w:szCs w:val="20"/>
          <w:lang w:val="en-US"/>
        </w:rPr>
        <w:t>ed that “</w:t>
      </w:r>
      <w:r w:rsidR="00562CBB" w:rsidRPr="004542B5">
        <w:rPr>
          <w:noProof w:val="0"/>
          <w:szCs w:val="20"/>
          <w:lang w:val="en-US"/>
        </w:rPr>
        <w:t>Article</w:t>
      </w:r>
      <w:r w:rsidRPr="004542B5">
        <w:rPr>
          <w:noProof w:val="0"/>
          <w:szCs w:val="20"/>
          <w:lang w:val="en-US"/>
        </w:rPr>
        <w:t xml:space="preserve"> 21</w:t>
      </w:r>
      <w:r w:rsidR="005D0493" w:rsidRPr="004542B5">
        <w:rPr>
          <w:noProof w:val="0"/>
          <w:szCs w:val="20"/>
          <w:lang w:val="en-US"/>
        </w:rPr>
        <w:t>(</w:t>
      </w:r>
      <w:r w:rsidRPr="004542B5">
        <w:rPr>
          <w:noProof w:val="0"/>
          <w:szCs w:val="20"/>
          <w:lang w:val="en-US"/>
        </w:rPr>
        <w:t>2</w:t>
      </w:r>
      <w:r w:rsidR="005D0493" w:rsidRPr="004542B5">
        <w:rPr>
          <w:noProof w:val="0"/>
          <w:szCs w:val="20"/>
          <w:lang w:val="en-US"/>
        </w:rPr>
        <w:t>)</w:t>
      </w:r>
      <w:r w:rsidR="008A56D7" w:rsidRPr="004542B5">
        <w:rPr>
          <w:noProof w:val="0"/>
          <w:szCs w:val="20"/>
          <w:lang w:val="en-US"/>
        </w:rPr>
        <w:t xml:space="preserve"> of the </w:t>
      </w:r>
      <w:r w:rsidR="00562CBB" w:rsidRPr="004542B5">
        <w:rPr>
          <w:noProof w:val="0"/>
          <w:szCs w:val="20"/>
          <w:lang w:val="en-US"/>
        </w:rPr>
        <w:t>American Convention</w:t>
      </w:r>
      <w:r w:rsidRPr="004542B5">
        <w:rPr>
          <w:noProof w:val="0"/>
          <w:szCs w:val="20"/>
          <w:lang w:val="en-US"/>
        </w:rPr>
        <w:t xml:space="preserve"> expres</w:t>
      </w:r>
      <w:r w:rsidR="005D0493" w:rsidRPr="004542B5">
        <w:rPr>
          <w:noProof w:val="0"/>
          <w:szCs w:val="20"/>
          <w:lang w:val="en-US"/>
        </w:rPr>
        <w:t xml:space="preserve">sly </w:t>
      </w:r>
      <w:r w:rsidR="006110CB" w:rsidRPr="004542B5">
        <w:rPr>
          <w:noProof w:val="0"/>
          <w:szCs w:val="20"/>
          <w:lang w:val="en-US"/>
        </w:rPr>
        <w:t>establishes</w:t>
      </w:r>
      <w:r w:rsidR="005D0493" w:rsidRPr="004542B5">
        <w:rPr>
          <w:noProof w:val="0"/>
          <w:szCs w:val="20"/>
          <w:lang w:val="en-US"/>
        </w:rPr>
        <w:t xml:space="preserve"> that the payment of just compensation is a requirement to be able to carry out a deprivation of property.</w:t>
      </w:r>
      <w:r w:rsidRPr="004542B5">
        <w:rPr>
          <w:noProof w:val="0"/>
          <w:szCs w:val="20"/>
          <w:lang w:val="en-US"/>
        </w:rPr>
        <w:t>”</w:t>
      </w:r>
      <w:r w:rsidRPr="004542B5">
        <w:rPr>
          <w:rStyle w:val="FootnoteReference"/>
          <w:noProof w:val="0"/>
          <w:lang w:val="en-US"/>
        </w:rPr>
        <w:footnoteReference w:id="363"/>
      </w:r>
      <w:r w:rsidRPr="004542B5">
        <w:rPr>
          <w:noProof w:val="0"/>
          <w:szCs w:val="20"/>
          <w:lang w:val="en-US"/>
        </w:rPr>
        <w:t xml:space="preserve"> </w:t>
      </w:r>
      <w:r w:rsidR="00E8448B" w:rsidRPr="004542B5">
        <w:rPr>
          <w:noProof w:val="0"/>
          <w:szCs w:val="20"/>
          <w:lang w:val="en-US"/>
        </w:rPr>
        <w:t>Moreover,</w:t>
      </w:r>
      <w:r w:rsidRPr="004542B5">
        <w:rPr>
          <w:noProof w:val="0"/>
          <w:szCs w:val="20"/>
          <w:lang w:val="en-US"/>
        </w:rPr>
        <w:t xml:space="preserve"> </w:t>
      </w:r>
      <w:r w:rsidR="00562CBB" w:rsidRPr="004542B5">
        <w:rPr>
          <w:noProof w:val="0"/>
          <w:szCs w:val="20"/>
          <w:lang w:val="en-US"/>
        </w:rPr>
        <w:t xml:space="preserve">the </w:t>
      </w:r>
      <w:r w:rsidR="004E44D1" w:rsidRPr="004542B5">
        <w:rPr>
          <w:noProof w:val="0"/>
          <w:szCs w:val="20"/>
          <w:lang w:val="en-US"/>
        </w:rPr>
        <w:t>Court</w:t>
      </w:r>
      <w:r w:rsidRPr="004542B5">
        <w:rPr>
          <w:noProof w:val="0"/>
          <w:szCs w:val="20"/>
          <w:lang w:val="en-US"/>
        </w:rPr>
        <w:t xml:space="preserve"> determin</w:t>
      </w:r>
      <w:r w:rsidR="005D0493" w:rsidRPr="004542B5">
        <w:rPr>
          <w:noProof w:val="0"/>
          <w:szCs w:val="20"/>
          <w:lang w:val="en-US"/>
        </w:rPr>
        <w:t>ed that “in cases of expropriation, the payment of compensation constitutes a general principle of international law,</w:t>
      </w:r>
      <w:r w:rsidRPr="004542B5">
        <w:rPr>
          <w:rStyle w:val="FootnoteReference"/>
          <w:noProof w:val="0"/>
          <w:lang w:val="en-US"/>
        </w:rPr>
        <w:footnoteReference w:id="364"/>
      </w:r>
      <w:r w:rsidRPr="004542B5">
        <w:rPr>
          <w:noProof w:val="0"/>
          <w:szCs w:val="20"/>
          <w:lang w:val="en-US"/>
        </w:rPr>
        <w:t xml:space="preserve"> </w:t>
      </w:r>
      <w:r w:rsidR="005D0493" w:rsidRPr="004542B5">
        <w:rPr>
          <w:noProof w:val="0"/>
          <w:szCs w:val="20"/>
          <w:lang w:val="en-US"/>
        </w:rPr>
        <w:t xml:space="preserve">derived from the need to seek a balance between the general interest and the owner’s interest. This principle is reflected in Article 21 of </w:t>
      </w:r>
      <w:r w:rsidR="00562CBB" w:rsidRPr="004542B5">
        <w:rPr>
          <w:noProof w:val="0"/>
          <w:szCs w:val="20"/>
          <w:lang w:val="en-US"/>
        </w:rPr>
        <w:t>the American Convention</w:t>
      </w:r>
      <w:r w:rsidR="005D0493" w:rsidRPr="004542B5">
        <w:rPr>
          <w:noProof w:val="0"/>
          <w:szCs w:val="20"/>
          <w:lang w:val="en-US"/>
        </w:rPr>
        <w:t xml:space="preserve"> when referring to the payment of “just compensation” which should be “adequate, prompt and effective.</w:t>
      </w:r>
      <w:r w:rsidRPr="004542B5">
        <w:rPr>
          <w:noProof w:val="0"/>
          <w:szCs w:val="20"/>
          <w:lang w:val="en-US"/>
        </w:rPr>
        <w:t>”</w:t>
      </w:r>
      <w:r w:rsidRPr="004542B5">
        <w:rPr>
          <w:rStyle w:val="FootnoteReference"/>
          <w:noProof w:val="0"/>
          <w:lang w:val="en-US"/>
        </w:rPr>
        <w:footnoteReference w:id="365"/>
      </w:r>
    </w:p>
    <w:p w14:paraId="2F4E1EC4" w14:textId="77777777" w:rsidR="00E76B2D" w:rsidRPr="004542B5" w:rsidRDefault="00E76B2D" w:rsidP="00E76B2D">
      <w:pPr>
        <w:pStyle w:val="ListParagraph"/>
        <w:ind w:left="0"/>
        <w:rPr>
          <w:noProof w:val="0"/>
          <w:szCs w:val="20"/>
          <w:lang w:val="en-US"/>
        </w:rPr>
      </w:pPr>
    </w:p>
    <w:p w14:paraId="62FF185F" w14:textId="3C34B3BD" w:rsidR="00E76B2D" w:rsidRPr="004542B5" w:rsidRDefault="00E76B2D" w:rsidP="00E76B2D">
      <w:pPr>
        <w:pStyle w:val="BodyText"/>
        <w:tabs>
          <w:tab w:val="left" w:pos="709"/>
          <w:tab w:val="left" w:pos="851"/>
        </w:tabs>
        <w:rPr>
          <w:rFonts w:ascii="Verdana" w:hAnsi="Verdana"/>
          <w:noProof w:val="0"/>
          <w:sz w:val="20"/>
          <w:lang w:val="en-US"/>
        </w:rPr>
      </w:pPr>
      <w:r w:rsidRPr="004542B5">
        <w:rPr>
          <w:rFonts w:ascii="Verdana" w:hAnsi="Verdana"/>
          <w:noProof w:val="0"/>
          <w:sz w:val="20"/>
          <w:lang w:val="en-US"/>
        </w:rPr>
        <w:t>55.</w:t>
      </w:r>
      <w:r w:rsidRPr="004542B5">
        <w:rPr>
          <w:rFonts w:ascii="Verdana" w:hAnsi="Verdana"/>
          <w:noProof w:val="0"/>
          <w:sz w:val="20"/>
          <w:lang w:val="en-US"/>
        </w:rPr>
        <w:tab/>
      </w:r>
      <w:r w:rsidR="005D0493" w:rsidRPr="004542B5">
        <w:rPr>
          <w:rFonts w:ascii="Verdana" w:hAnsi="Verdana"/>
          <w:noProof w:val="0"/>
          <w:sz w:val="20"/>
          <w:lang w:val="en-US"/>
        </w:rPr>
        <w:t xml:space="preserve">Similarly, the European Court of Human Rights has interpreted the rule contained in Article 1 of Protocol </w:t>
      </w:r>
      <w:r w:rsidRPr="004542B5">
        <w:rPr>
          <w:rFonts w:ascii="Verdana" w:hAnsi="Verdana"/>
          <w:noProof w:val="0"/>
          <w:sz w:val="20"/>
          <w:lang w:val="en-US"/>
        </w:rPr>
        <w:t>No. 1, consid</w:t>
      </w:r>
      <w:r w:rsidR="005D0493" w:rsidRPr="004542B5">
        <w:rPr>
          <w:rFonts w:ascii="Verdana" w:hAnsi="Verdana"/>
          <w:noProof w:val="0"/>
          <w:sz w:val="20"/>
          <w:lang w:val="en-US"/>
        </w:rPr>
        <w:t>ering that there is an intrinsic right to receive compensation for the deprivation of property.</w:t>
      </w:r>
      <w:r w:rsidRPr="004542B5">
        <w:rPr>
          <w:rStyle w:val="FootnoteReference"/>
          <w:rFonts w:ascii="Verdana" w:hAnsi="Verdana"/>
          <w:noProof w:val="0"/>
          <w:sz w:val="20"/>
          <w:lang w:val="en-US"/>
        </w:rPr>
        <w:footnoteReference w:id="366"/>
      </w:r>
      <w:r w:rsidR="005D0493" w:rsidRPr="004542B5">
        <w:rPr>
          <w:rFonts w:ascii="Verdana" w:hAnsi="Verdana"/>
          <w:noProof w:val="0"/>
          <w:sz w:val="20"/>
          <w:lang w:val="en-US"/>
        </w:rPr>
        <w:t xml:space="preserve"> </w:t>
      </w:r>
      <w:r w:rsidR="00651104" w:rsidRPr="004542B5">
        <w:rPr>
          <w:rFonts w:ascii="Verdana" w:hAnsi="Verdana"/>
          <w:noProof w:val="0"/>
          <w:sz w:val="20"/>
          <w:lang w:val="en-US"/>
        </w:rPr>
        <w:t>Also</w:t>
      </w:r>
      <w:r w:rsidR="005D0493" w:rsidRPr="004542B5">
        <w:rPr>
          <w:rFonts w:ascii="Verdana" w:hAnsi="Verdana"/>
          <w:noProof w:val="0"/>
          <w:sz w:val="20"/>
          <w:lang w:val="en-US"/>
        </w:rPr>
        <w:t>, the United Nations General Assembly, in Resolution</w:t>
      </w:r>
      <w:r w:rsidRPr="004542B5">
        <w:rPr>
          <w:rFonts w:ascii="Verdana" w:hAnsi="Verdana"/>
          <w:noProof w:val="0"/>
          <w:sz w:val="20"/>
          <w:lang w:val="en-US"/>
        </w:rPr>
        <w:t xml:space="preserve"> 1803</w:t>
      </w:r>
      <w:r w:rsidR="005D0493" w:rsidRPr="004542B5">
        <w:rPr>
          <w:rFonts w:ascii="Verdana" w:hAnsi="Verdana"/>
          <w:noProof w:val="0"/>
          <w:sz w:val="20"/>
          <w:lang w:val="en-US"/>
        </w:rPr>
        <w:t>, indicated that</w:t>
      </w:r>
      <w:r w:rsidR="00651104" w:rsidRPr="004542B5">
        <w:rPr>
          <w:rFonts w:ascii="Verdana" w:hAnsi="Verdana"/>
          <w:noProof w:val="0"/>
          <w:sz w:val="20"/>
          <w:lang w:val="en-US"/>
        </w:rPr>
        <w:t xml:space="preserve"> the State’s sovereignty to expropriate for reasons of public utility included its obligation to pay the owner appropriate compensation.</w:t>
      </w:r>
      <w:r w:rsidRPr="004542B5">
        <w:rPr>
          <w:rStyle w:val="FootnoteReference"/>
          <w:rFonts w:ascii="Verdana" w:hAnsi="Verdana"/>
          <w:noProof w:val="0"/>
          <w:sz w:val="20"/>
          <w:lang w:val="en-US"/>
        </w:rPr>
        <w:footnoteReference w:id="367"/>
      </w:r>
      <w:r w:rsidRPr="004542B5">
        <w:rPr>
          <w:rFonts w:ascii="Verdana" w:hAnsi="Verdana"/>
          <w:noProof w:val="0"/>
          <w:sz w:val="20"/>
          <w:lang w:val="en-US"/>
        </w:rPr>
        <w:t xml:space="preserve"> </w:t>
      </w:r>
      <w:r w:rsidR="00651104" w:rsidRPr="004542B5">
        <w:rPr>
          <w:rFonts w:ascii="Verdana" w:hAnsi="Verdana"/>
          <w:noProof w:val="0"/>
          <w:sz w:val="20"/>
          <w:lang w:val="en-US"/>
        </w:rPr>
        <w:t>Moreover, the principle according to which compensation is required in case of expropriation has been reaffirmed by international case law.</w:t>
      </w:r>
      <w:r w:rsidRPr="004542B5">
        <w:rPr>
          <w:rStyle w:val="FootnoteReference"/>
          <w:rFonts w:ascii="Verdana" w:hAnsi="Verdana"/>
          <w:noProof w:val="0"/>
          <w:sz w:val="20"/>
          <w:lang w:val="en-US"/>
        </w:rPr>
        <w:footnoteReference w:id="368"/>
      </w:r>
      <w:r w:rsidRPr="004542B5">
        <w:rPr>
          <w:rFonts w:ascii="Verdana" w:hAnsi="Verdana"/>
          <w:noProof w:val="0"/>
          <w:sz w:val="20"/>
          <w:lang w:val="en-US"/>
        </w:rPr>
        <w:t xml:space="preserve"> </w:t>
      </w:r>
    </w:p>
    <w:p w14:paraId="6F56E62D" w14:textId="7E91315F" w:rsidR="00E76B2D" w:rsidRPr="004542B5" w:rsidRDefault="00E76B2D" w:rsidP="00E76B2D">
      <w:pPr>
        <w:pStyle w:val="ListParagraph"/>
        <w:ind w:left="0"/>
        <w:rPr>
          <w:noProof w:val="0"/>
          <w:szCs w:val="20"/>
          <w:lang w:val="en-US"/>
        </w:rPr>
      </w:pPr>
    </w:p>
    <w:p w14:paraId="73C93B3D" w14:textId="09D5A7E2" w:rsidR="00E76B2D" w:rsidRPr="004542B5" w:rsidRDefault="00E76B2D" w:rsidP="00E76B2D">
      <w:pPr>
        <w:pStyle w:val="BodyText"/>
        <w:tabs>
          <w:tab w:val="left" w:pos="709"/>
          <w:tab w:val="left" w:pos="851"/>
        </w:tabs>
        <w:rPr>
          <w:rFonts w:ascii="Verdana" w:hAnsi="Verdana"/>
          <w:noProof w:val="0"/>
          <w:sz w:val="20"/>
          <w:lang w:val="en-US"/>
        </w:rPr>
      </w:pPr>
      <w:r w:rsidRPr="004542B5">
        <w:rPr>
          <w:rFonts w:ascii="Verdana" w:hAnsi="Verdana"/>
          <w:noProof w:val="0"/>
          <w:sz w:val="20"/>
          <w:lang w:val="en-US"/>
        </w:rPr>
        <w:t>56.</w:t>
      </w:r>
      <w:r w:rsidRPr="004542B5">
        <w:rPr>
          <w:rFonts w:ascii="Verdana" w:hAnsi="Verdana"/>
          <w:noProof w:val="0"/>
          <w:sz w:val="20"/>
          <w:lang w:val="en-US"/>
        </w:rPr>
        <w:tab/>
      </w:r>
      <w:r w:rsidR="00651104" w:rsidRPr="004542B5">
        <w:rPr>
          <w:rFonts w:ascii="Verdana" w:hAnsi="Verdana"/>
          <w:noProof w:val="0"/>
          <w:sz w:val="20"/>
          <w:lang w:val="en-US"/>
        </w:rPr>
        <w:t>Furthermore, in the case of indigenous and tribal peoples, this Court, in the case of the</w:t>
      </w:r>
      <w:r w:rsidRPr="004542B5">
        <w:rPr>
          <w:rFonts w:ascii="Verdana" w:hAnsi="Verdana"/>
          <w:noProof w:val="0"/>
          <w:sz w:val="20"/>
          <w:lang w:val="en-US"/>
        </w:rPr>
        <w:t xml:space="preserve"> </w:t>
      </w:r>
      <w:r w:rsidRPr="004542B5">
        <w:rPr>
          <w:rFonts w:ascii="Verdana" w:hAnsi="Verdana"/>
          <w:i/>
          <w:noProof w:val="0"/>
          <w:sz w:val="20"/>
          <w:lang w:val="en-US"/>
        </w:rPr>
        <w:t>Saramaka</w:t>
      </w:r>
      <w:r w:rsidR="00651104" w:rsidRPr="004542B5">
        <w:rPr>
          <w:rFonts w:ascii="Verdana" w:hAnsi="Verdana"/>
          <w:i/>
          <w:noProof w:val="0"/>
          <w:sz w:val="20"/>
          <w:lang w:val="en-US"/>
        </w:rPr>
        <w:t xml:space="preserve"> People</w:t>
      </w:r>
      <w:r w:rsidRPr="004542B5">
        <w:rPr>
          <w:rFonts w:ascii="Verdana" w:hAnsi="Verdana"/>
          <w:i/>
          <w:noProof w:val="0"/>
          <w:sz w:val="20"/>
          <w:lang w:val="en-US"/>
        </w:rPr>
        <w:t xml:space="preserve"> </w:t>
      </w:r>
      <w:r w:rsidR="00562CBB" w:rsidRPr="004542B5">
        <w:rPr>
          <w:rFonts w:ascii="Verdana" w:hAnsi="Verdana"/>
          <w:i/>
          <w:noProof w:val="0"/>
          <w:sz w:val="20"/>
          <w:lang w:val="en-US"/>
        </w:rPr>
        <w:t>v.</w:t>
      </w:r>
      <w:r w:rsidRPr="004542B5">
        <w:rPr>
          <w:rFonts w:ascii="Verdana" w:hAnsi="Verdana"/>
          <w:i/>
          <w:noProof w:val="0"/>
          <w:sz w:val="20"/>
          <w:lang w:val="en-US"/>
        </w:rPr>
        <w:t xml:space="preserve"> Surinam</w:t>
      </w:r>
      <w:r w:rsidR="00651104" w:rsidRPr="004542B5">
        <w:rPr>
          <w:rFonts w:ascii="Verdana" w:hAnsi="Verdana"/>
          <w:i/>
          <w:noProof w:val="0"/>
          <w:sz w:val="20"/>
          <w:lang w:val="en-US"/>
        </w:rPr>
        <w:t>e,</w:t>
      </w:r>
      <w:r w:rsidRPr="004542B5">
        <w:rPr>
          <w:rFonts w:ascii="Verdana" w:hAnsi="Verdana"/>
          <w:noProof w:val="0"/>
          <w:sz w:val="20"/>
          <w:lang w:val="en-US"/>
        </w:rPr>
        <w:t xml:space="preserve"> consider</w:t>
      </w:r>
      <w:r w:rsidR="00651104" w:rsidRPr="004542B5">
        <w:rPr>
          <w:rFonts w:ascii="Verdana" w:hAnsi="Verdana"/>
          <w:noProof w:val="0"/>
          <w:sz w:val="20"/>
          <w:lang w:val="en-US"/>
        </w:rPr>
        <w:t xml:space="preserve">ed that “the right to receive payment of compensation pursuant to </w:t>
      </w:r>
      <w:r w:rsidR="00562CBB" w:rsidRPr="004542B5">
        <w:rPr>
          <w:rFonts w:ascii="Verdana" w:hAnsi="Verdana"/>
          <w:noProof w:val="0"/>
          <w:sz w:val="20"/>
          <w:lang w:val="en-US"/>
        </w:rPr>
        <w:t>Article</w:t>
      </w:r>
      <w:r w:rsidRPr="004542B5">
        <w:rPr>
          <w:rFonts w:ascii="Verdana" w:hAnsi="Verdana"/>
          <w:noProof w:val="0"/>
          <w:sz w:val="20"/>
          <w:lang w:val="en-US"/>
        </w:rPr>
        <w:t xml:space="preserve"> 21</w:t>
      </w:r>
      <w:r w:rsidR="00651104" w:rsidRPr="004542B5">
        <w:rPr>
          <w:rFonts w:ascii="Verdana" w:hAnsi="Verdana"/>
          <w:noProof w:val="0"/>
          <w:sz w:val="20"/>
          <w:lang w:val="en-US"/>
        </w:rPr>
        <w:t>(</w:t>
      </w:r>
      <w:r w:rsidRPr="004542B5">
        <w:rPr>
          <w:rFonts w:ascii="Verdana" w:hAnsi="Verdana"/>
          <w:noProof w:val="0"/>
          <w:sz w:val="20"/>
          <w:lang w:val="en-US"/>
        </w:rPr>
        <w:t>2</w:t>
      </w:r>
      <w:r w:rsidR="00651104" w:rsidRPr="004542B5">
        <w:rPr>
          <w:rFonts w:ascii="Verdana" w:hAnsi="Verdana"/>
          <w:noProof w:val="0"/>
          <w:sz w:val="20"/>
          <w:lang w:val="en-US"/>
        </w:rPr>
        <w:t>)</w:t>
      </w:r>
      <w:r w:rsidR="008A56D7" w:rsidRPr="004542B5">
        <w:rPr>
          <w:rFonts w:ascii="Verdana" w:hAnsi="Verdana"/>
          <w:noProof w:val="0"/>
          <w:sz w:val="20"/>
          <w:lang w:val="en-US"/>
        </w:rPr>
        <w:t xml:space="preserve"> of the </w:t>
      </w:r>
      <w:r w:rsidR="00562CBB" w:rsidRPr="004542B5">
        <w:rPr>
          <w:rFonts w:ascii="Verdana" w:hAnsi="Verdana"/>
          <w:noProof w:val="0"/>
          <w:sz w:val="20"/>
          <w:lang w:val="en-US"/>
        </w:rPr>
        <w:t>Convention</w:t>
      </w:r>
      <w:r w:rsidR="00651104" w:rsidRPr="004542B5">
        <w:rPr>
          <w:rFonts w:ascii="Verdana" w:hAnsi="Verdana"/>
          <w:noProof w:val="0"/>
          <w:sz w:val="20"/>
          <w:lang w:val="en-US"/>
        </w:rPr>
        <w:t xml:space="preserve"> extended not only to total deprivation of a property title owing to expropriation by the State, for example, but also included deprivation of the regular use and enjoyment of that property.</w:t>
      </w:r>
      <w:r w:rsidRPr="004542B5">
        <w:rPr>
          <w:rFonts w:ascii="Verdana" w:hAnsi="Verdana"/>
          <w:noProof w:val="0"/>
          <w:sz w:val="20"/>
          <w:lang w:val="en-US"/>
        </w:rPr>
        <w:t>”</w:t>
      </w:r>
      <w:r w:rsidRPr="004542B5">
        <w:rPr>
          <w:rStyle w:val="FootnoteReference"/>
          <w:rFonts w:ascii="Verdana" w:hAnsi="Verdana"/>
          <w:noProof w:val="0"/>
          <w:sz w:val="20"/>
          <w:lang w:val="en-US"/>
        </w:rPr>
        <w:footnoteReference w:id="369"/>
      </w:r>
      <w:r w:rsidRPr="004542B5">
        <w:rPr>
          <w:rFonts w:ascii="Verdana" w:hAnsi="Verdana"/>
          <w:noProof w:val="0"/>
          <w:sz w:val="20"/>
          <w:lang w:val="en-US"/>
        </w:rPr>
        <w:t xml:space="preserve"> </w:t>
      </w:r>
    </w:p>
    <w:p w14:paraId="09F28CC6" w14:textId="77777777" w:rsidR="00E76B2D" w:rsidRPr="004542B5" w:rsidRDefault="00E76B2D" w:rsidP="00E76B2D">
      <w:pPr>
        <w:pStyle w:val="ListParagraph"/>
        <w:ind w:left="0"/>
        <w:rPr>
          <w:bCs/>
          <w:noProof w:val="0"/>
          <w:color w:val="000000"/>
          <w:szCs w:val="20"/>
          <w:lang w:val="en-US" w:eastAsia="de-DE"/>
        </w:rPr>
      </w:pPr>
    </w:p>
    <w:p w14:paraId="390F33EA" w14:textId="156A9BD3" w:rsidR="00E76B2D" w:rsidRPr="004542B5" w:rsidRDefault="00E76B2D" w:rsidP="00E76B2D">
      <w:pPr>
        <w:pStyle w:val="ListParagraph"/>
        <w:ind w:left="0"/>
        <w:rPr>
          <w:noProof w:val="0"/>
          <w:szCs w:val="20"/>
          <w:lang w:val="en-US"/>
        </w:rPr>
      </w:pPr>
      <w:r w:rsidRPr="004542B5">
        <w:rPr>
          <w:noProof w:val="0"/>
          <w:szCs w:val="20"/>
          <w:lang w:val="en-US"/>
        </w:rPr>
        <w:lastRenderedPageBreak/>
        <w:t>57.</w:t>
      </w:r>
      <w:r w:rsidRPr="004542B5">
        <w:rPr>
          <w:noProof w:val="0"/>
          <w:szCs w:val="20"/>
          <w:lang w:val="en-US"/>
        </w:rPr>
        <w:tab/>
      </w:r>
      <w:r w:rsidR="00AC771F" w:rsidRPr="004542B5">
        <w:rPr>
          <w:noProof w:val="0"/>
          <w:szCs w:val="20"/>
          <w:lang w:val="en-US"/>
        </w:rPr>
        <w:t xml:space="preserve">In this regard, </w:t>
      </w:r>
      <w:r w:rsidR="00562CBB" w:rsidRPr="004542B5">
        <w:rPr>
          <w:noProof w:val="0"/>
          <w:szCs w:val="20"/>
          <w:lang w:val="en-US"/>
        </w:rPr>
        <w:t>Judge</w:t>
      </w:r>
      <w:r w:rsidRPr="004542B5">
        <w:rPr>
          <w:noProof w:val="0"/>
          <w:szCs w:val="20"/>
          <w:lang w:val="en-US"/>
        </w:rPr>
        <w:t xml:space="preserve"> Manuel Ventura Robles</w:t>
      </w:r>
      <w:r w:rsidR="00AC771F" w:rsidRPr="004542B5">
        <w:rPr>
          <w:noProof w:val="0"/>
          <w:szCs w:val="20"/>
          <w:lang w:val="en-US"/>
        </w:rPr>
        <w:t xml:space="preserve">, in his concurring opinion </w:t>
      </w:r>
      <w:r w:rsidR="00E13F56" w:rsidRPr="004542B5">
        <w:rPr>
          <w:noProof w:val="0"/>
          <w:szCs w:val="20"/>
          <w:lang w:val="en-US"/>
        </w:rPr>
        <w:t xml:space="preserve">in </w:t>
      </w:r>
      <w:r w:rsidR="00AC771F" w:rsidRPr="004542B5">
        <w:rPr>
          <w:noProof w:val="0"/>
          <w:szCs w:val="20"/>
          <w:lang w:val="en-US"/>
        </w:rPr>
        <w:t xml:space="preserve">the case of </w:t>
      </w:r>
      <w:r w:rsidRPr="004542B5">
        <w:rPr>
          <w:i/>
          <w:noProof w:val="0"/>
          <w:szCs w:val="20"/>
          <w:lang w:val="en-US"/>
        </w:rPr>
        <w:t xml:space="preserve">Salvador Chiriboga </w:t>
      </w:r>
      <w:r w:rsidR="00562CBB" w:rsidRPr="004542B5">
        <w:rPr>
          <w:i/>
          <w:noProof w:val="0"/>
          <w:szCs w:val="20"/>
          <w:lang w:val="en-US"/>
        </w:rPr>
        <w:t>v.</w:t>
      </w:r>
      <w:r w:rsidRPr="004542B5">
        <w:rPr>
          <w:i/>
          <w:noProof w:val="0"/>
          <w:szCs w:val="20"/>
          <w:lang w:val="en-US"/>
        </w:rPr>
        <w:t xml:space="preserve"> </w:t>
      </w:r>
      <w:r w:rsidR="006110CB" w:rsidRPr="004542B5">
        <w:rPr>
          <w:i/>
          <w:noProof w:val="0"/>
          <w:szCs w:val="20"/>
          <w:lang w:val="en-US"/>
        </w:rPr>
        <w:t>Ecuador</w:t>
      </w:r>
      <w:r w:rsidR="00AC771F" w:rsidRPr="004542B5">
        <w:rPr>
          <w:i/>
          <w:noProof w:val="0"/>
          <w:szCs w:val="20"/>
          <w:lang w:val="en-US"/>
        </w:rPr>
        <w:t>, determined that</w:t>
      </w:r>
      <w:r w:rsidRPr="004542B5">
        <w:rPr>
          <w:noProof w:val="0"/>
          <w:szCs w:val="20"/>
          <w:lang w:val="en-US"/>
        </w:rPr>
        <w:t xml:space="preserve">: </w:t>
      </w:r>
    </w:p>
    <w:p w14:paraId="17476363" w14:textId="77777777" w:rsidR="00E76B2D" w:rsidRPr="004542B5" w:rsidRDefault="00E76B2D" w:rsidP="00E76B2D">
      <w:pPr>
        <w:pStyle w:val="ListParagraph"/>
        <w:ind w:left="0" w:right="360"/>
        <w:rPr>
          <w:noProof w:val="0"/>
          <w:sz w:val="18"/>
          <w:szCs w:val="18"/>
          <w:u w:val="single"/>
          <w:lang w:val="en-US"/>
        </w:rPr>
      </w:pPr>
    </w:p>
    <w:p w14:paraId="28BC9C77" w14:textId="5870E26A" w:rsidR="00E76B2D" w:rsidRPr="004542B5" w:rsidRDefault="00AC771F" w:rsidP="00E13F56">
      <w:pPr>
        <w:ind w:left="360" w:right="558"/>
        <w:rPr>
          <w:rFonts w:cs="Arial"/>
          <w:noProof w:val="0"/>
          <w:sz w:val="18"/>
          <w:szCs w:val="18"/>
          <w:lang w:val="en-US"/>
        </w:rPr>
      </w:pPr>
      <w:r w:rsidRPr="004542B5">
        <w:rPr>
          <w:rFonts w:cs="Arial"/>
          <w:noProof w:val="0"/>
          <w:sz w:val="18"/>
          <w:szCs w:val="18"/>
          <w:lang w:val="en-US"/>
        </w:rPr>
        <w:t xml:space="preserve">Article 21 of the Convention refers to the payment of a just compensation, which, according to this Court, must be adequate, prompt and effective, since compensation is one of the measures </w:t>
      </w:r>
      <w:r w:rsidR="00E13F56" w:rsidRPr="004542B5">
        <w:rPr>
          <w:rFonts w:cs="Arial"/>
          <w:noProof w:val="0"/>
          <w:sz w:val="18"/>
          <w:szCs w:val="18"/>
          <w:lang w:val="en-US"/>
        </w:rPr>
        <w:t>by</w:t>
      </w:r>
      <w:r w:rsidRPr="004542B5">
        <w:rPr>
          <w:rFonts w:cs="Arial"/>
          <w:noProof w:val="0"/>
          <w:sz w:val="18"/>
          <w:szCs w:val="18"/>
          <w:lang w:val="en-US"/>
        </w:rPr>
        <w:t xml:space="preserve"> which the State can comply with the goal of achieving a fair balance between the general interest and the individual interest. </w:t>
      </w:r>
      <w:r w:rsidRPr="004542B5">
        <w:rPr>
          <w:rFonts w:cs="Arial"/>
          <w:noProof w:val="0"/>
          <w:sz w:val="18"/>
          <w:szCs w:val="18"/>
          <w:u w:val="single"/>
          <w:lang w:val="en-US"/>
        </w:rPr>
        <w:t>Thus, the Court consider</w:t>
      </w:r>
      <w:r w:rsidR="00E13F56" w:rsidRPr="004542B5">
        <w:rPr>
          <w:rFonts w:cs="Arial"/>
          <w:noProof w:val="0"/>
          <w:sz w:val="18"/>
          <w:szCs w:val="18"/>
          <w:u w:val="single"/>
          <w:lang w:val="en-US"/>
        </w:rPr>
        <w:t>ed</w:t>
      </w:r>
      <w:r w:rsidRPr="004542B5">
        <w:rPr>
          <w:rFonts w:cs="Arial"/>
          <w:noProof w:val="0"/>
          <w:sz w:val="18"/>
          <w:szCs w:val="18"/>
          <w:u w:val="single"/>
          <w:lang w:val="en-US"/>
        </w:rPr>
        <w:t xml:space="preserve"> that in order to analyze whether there was a fair balance in this case, it </w:t>
      </w:r>
      <w:r w:rsidR="00E13F56" w:rsidRPr="004542B5">
        <w:rPr>
          <w:rFonts w:cs="Arial"/>
          <w:noProof w:val="0"/>
          <w:sz w:val="18"/>
          <w:szCs w:val="18"/>
          <w:u w:val="single"/>
          <w:lang w:val="en-US"/>
        </w:rPr>
        <w:t>wa</w:t>
      </w:r>
      <w:r w:rsidRPr="004542B5">
        <w:rPr>
          <w:rFonts w:cs="Arial"/>
          <w:noProof w:val="0"/>
          <w:sz w:val="18"/>
          <w:szCs w:val="18"/>
          <w:u w:val="single"/>
          <w:lang w:val="en-US"/>
        </w:rPr>
        <w:t>s necessary to note whether just compensation was granted</w:t>
      </w:r>
      <w:r w:rsidRPr="004542B5">
        <w:rPr>
          <w:rFonts w:cs="Arial"/>
          <w:noProof w:val="0"/>
          <w:sz w:val="18"/>
          <w:szCs w:val="18"/>
          <w:lang w:val="en-US"/>
        </w:rPr>
        <w:t>, as well as other relevant factors such as the passage of excessive time, disproportionate burdens or situations of uncertainty regarding the rights of the owner, that infringe</w:t>
      </w:r>
      <w:r w:rsidR="00FB7E0F" w:rsidRPr="004542B5">
        <w:rPr>
          <w:rFonts w:cs="Arial"/>
          <w:noProof w:val="0"/>
          <w:sz w:val="18"/>
          <w:szCs w:val="18"/>
          <w:lang w:val="en-US"/>
        </w:rPr>
        <w:t>d</w:t>
      </w:r>
      <w:r w:rsidRPr="004542B5">
        <w:rPr>
          <w:rFonts w:cs="Arial"/>
          <w:noProof w:val="0"/>
          <w:sz w:val="18"/>
          <w:szCs w:val="18"/>
          <w:lang w:val="en-US"/>
        </w:rPr>
        <w:t xml:space="preserve"> the fair balance that Article 21 seeks to protect, as well as the object and purpose of the Convention.</w:t>
      </w:r>
      <w:r w:rsidR="00E76B2D" w:rsidRPr="004542B5">
        <w:rPr>
          <w:rStyle w:val="FootnoteReference"/>
          <w:noProof w:val="0"/>
          <w:sz w:val="18"/>
          <w:szCs w:val="18"/>
          <w:lang w:val="en-US"/>
        </w:rPr>
        <w:footnoteReference w:id="370"/>
      </w:r>
      <w:r w:rsidR="00E76B2D" w:rsidRPr="004542B5">
        <w:rPr>
          <w:b/>
          <w:noProof w:val="0"/>
          <w:sz w:val="18"/>
          <w:szCs w:val="18"/>
          <w:lang w:val="en-US"/>
        </w:rPr>
        <w:t xml:space="preserve"> </w:t>
      </w:r>
    </w:p>
    <w:p w14:paraId="66CB505A" w14:textId="77777777" w:rsidR="00E76B2D" w:rsidRPr="004542B5" w:rsidRDefault="00E76B2D" w:rsidP="00E76B2D">
      <w:pPr>
        <w:pStyle w:val="ListParagraph"/>
        <w:ind w:left="0"/>
        <w:rPr>
          <w:bCs/>
          <w:noProof w:val="0"/>
          <w:color w:val="000000"/>
          <w:szCs w:val="20"/>
          <w:lang w:val="en-US" w:eastAsia="de-DE"/>
        </w:rPr>
      </w:pPr>
    </w:p>
    <w:p w14:paraId="20D685B5" w14:textId="4A7EC531" w:rsidR="00E76B2D" w:rsidRPr="004542B5" w:rsidRDefault="00E76B2D" w:rsidP="00E76B2D">
      <w:pPr>
        <w:pStyle w:val="ListParagraph"/>
        <w:ind w:left="0"/>
        <w:rPr>
          <w:noProof w:val="0"/>
          <w:szCs w:val="20"/>
          <w:lang w:val="en-US"/>
        </w:rPr>
      </w:pPr>
      <w:r w:rsidRPr="004542B5">
        <w:rPr>
          <w:noProof w:val="0"/>
          <w:szCs w:val="20"/>
          <w:lang w:val="en-US"/>
        </w:rPr>
        <w:t>58.</w:t>
      </w:r>
      <w:r w:rsidRPr="004542B5">
        <w:rPr>
          <w:noProof w:val="0"/>
          <w:szCs w:val="20"/>
          <w:lang w:val="en-US"/>
        </w:rPr>
        <w:tab/>
      </w:r>
      <w:r w:rsidR="00AC771F" w:rsidRPr="004542B5">
        <w:rPr>
          <w:noProof w:val="0"/>
          <w:szCs w:val="20"/>
          <w:lang w:val="en-US"/>
        </w:rPr>
        <w:t>In the</w:t>
      </w:r>
      <w:r w:rsidRPr="004542B5">
        <w:rPr>
          <w:noProof w:val="0"/>
          <w:szCs w:val="20"/>
          <w:lang w:val="en-US"/>
        </w:rPr>
        <w:t xml:space="preserve"> </w:t>
      </w:r>
      <w:r w:rsidRPr="004542B5">
        <w:rPr>
          <w:i/>
          <w:noProof w:val="0"/>
          <w:szCs w:val="20"/>
          <w:lang w:val="en-US"/>
        </w:rPr>
        <w:t>Sawhoyamaxa</w:t>
      </w:r>
      <w:r w:rsidR="00CD2B90" w:rsidRPr="004542B5">
        <w:rPr>
          <w:noProof w:val="0"/>
          <w:szCs w:val="20"/>
          <w:lang w:val="en-US"/>
        </w:rPr>
        <w:t xml:space="preserve"> and </w:t>
      </w:r>
      <w:r w:rsidRPr="004542B5">
        <w:rPr>
          <w:i/>
          <w:noProof w:val="0"/>
          <w:szCs w:val="20"/>
          <w:lang w:val="en-US"/>
        </w:rPr>
        <w:t>Xakmók Kasek</w:t>
      </w:r>
      <w:r w:rsidRPr="004542B5">
        <w:rPr>
          <w:noProof w:val="0"/>
          <w:szCs w:val="20"/>
          <w:lang w:val="en-US"/>
        </w:rPr>
        <w:t xml:space="preserve"> </w:t>
      </w:r>
      <w:r w:rsidR="00AC771F" w:rsidRPr="004542B5">
        <w:rPr>
          <w:noProof w:val="0"/>
          <w:szCs w:val="20"/>
          <w:lang w:val="en-US"/>
        </w:rPr>
        <w:t xml:space="preserve">cases, both against the Paraguayan State, as part of the violation of Article 21, the Court determined the absence of a </w:t>
      </w:r>
      <w:r w:rsidR="00E229CE" w:rsidRPr="004542B5">
        <w:rPr>
          <w:noProof w:val="0"/>
          <w:szCs w:val="20"/>
          <w:lang w:val="en-US"/>
        </w:rPr>
        <w:t>guarantee of the right</w:t>
      </w:r>
      <w:r w:rsidR="00AC771F" w:rsidRPr="004542B5">
        <w:rPr>
          <w:noProof w:val="0"/>
          <w:szCs w:val="20"/>
          <w:lang w:val="en-US"/>
        </w:rPr>
        <w:t xml:space="preserve"> </w:t>
      </w:r>
      <w:r w:rsidR="00E229CE" w:rsidRPr="004542B5">
        <w:rPr>
          <w:noProof w:val="0"/>
          <w:szCs w:val="20"/>
          <w:lang w:val="en-US"/>
        </w:rPr>
        <w:t>to</w:t>
      </w:r>
      <w:r w:rsidR="00AC771F" w:rsidRPr="004542B5">
        <w:rPr>
          <w:noProof w:val="0"/>
          <w:szCs w:val="20"/>
          <w:lang w:val="en-US"/>
        </w:rPr>
        <w:t xml:space="preserve"> the ancestral territories of these communities. In order to decide these cases, the Court took into account that “</w:t>
      </w:r>
      <w:r w:rsidR="00E229CE" w:rsidRPr="004542B5">
        <w:rPr>
          <w:noProof w:val="0"/>
          <w:szCs w:val="20"/>
          <w:lang w:val="en-US"/>
        </w:rPr>
        <w:t xml:space="preserve">the spiritual and physical foundation of the identity of the indigenous peoples is based, above all, on their unique relationship with their traditional lands, so that as long as this relationship </w:t>
      </w:r>
      <w:r w:rsidR="006110CB" w:rsidRPr="004542B5">
        <w:rPr>
          <w:noProof w:val="0"/>
          <w:szCs w:val="20"/>
          <w:lang w:val="en-US"/>
        </w:rPr>
        <w:t>exists</w:t>
      </w:r>
      <w:r w:rsidR="00E229CE" w:rsidRPr="004542B5">
        <w:rPr>
          <w:noProof w:val="0"/>
          <w:szCs w:val="20"/>
          <w:lang w:val="en-US"/>
        </w:rPr>
        <w:t>, the right to claim those lands remains in force. If the relationship ceases to exist, so would this right.</w:t>
      </w:r>
      <w:r w:rsidRPr="004542B5">
        <w:rPr>
          <w:noProof w:val="0"/>
          <w:szCs w:val="20"/>
          <w:lang w:val="en-US"/>
        </w:rPr>
        <w:t>”</w:t>
      </w:r>
      <w:r w:rsidRPr="004542B5">
        <w:rPr>
          <w:rStyle w:val="FootnoteReference"/>
          <w:noProof w:val="0"/>
          <w:lang w:val="en-US"/>
        </w:rPr>
        <w:footnoteReference w:id="371"/>
      </w:r>
      <w:r w:rsidR="00E229CE" w:rsidRPr="004542B5">
        <w:rPr>
          <w:noProof w:val="0"/>
          <w:szCs w:val="20"/>
          <w:lang w:val="en-US"/>
        </w:rPr>
        <w:t xml:space="preserve"> It added that “[t]his relationship may be expressed </w:t>
      </w:r>
      <w:r w:rsidR="00FB7E0F" w:rsidRPr="004542B5">
        <w:rPr>
          <w:noProof w:val="0"/>
          <w:szCs w:val="20"/>
          <w:lang w:val="en-US"/>
        </w:rPr>
        <w:t xml:space="preserve">in different ways </w:t>
      </w:r>
      <w:r w:rsidR="00E229CE" w:rsidRPr="004542B5">
        <w:rPr>
          <w:noProof w:val="0"/>
          <w:szCs w:val="20"/>
          <w:lang w:val="en-US"/>
        </w:rPr>
        <w:t>by each indigenous people</w:t>
      </w:r>
      <w:r w:rsidR="00FB7E0F" w:rsidRPr="004542B5">
        <w:rPr>
          <w:noProof w:val="0"/>
          <w:szCs w:val="20"/>
          <w:lang w:val="en-US"/>
        </w:rPr>
        <w:t xml:space="preserve"> </w:t>
      </w:r>
      <w:r w:rsidR="00E229CE" w:rsidRPr="004542B5">
        <w:rPr>
          <w:noProof w:val="0"/>
          <w:szCs w:val="20"/>
          <w:lang w:val="en-US"/>
        </w:rPr>
        <w:t>and according to their specific circumstances, and may include traditional use or presence, either by spiritual or ceremonial links; sporadic settlements or crops; hunting, fishing or seasonal or nomadic gathering; use of natural resources linked to their customs, and an</w:t>
      </w:r>
      <w:r w:rsidR="00FB7E0F" w:rsidRPr="004542B5">
        <w:rPr>
          <w:noProof w:val="0"/>
          <w:szCs w:val="20"/>
          <w:lang w:val="en-US"/>
        </w:rPr>
        <w:t xml:space="preserve">y </w:t>
      </w:r>
      <w:r w:rsidR="00E229CE" w:rsidRPr="004542B5">
        <w:rPr>
          <w:noProof w:val="0"/>
          <w:szCs w:val="20"/>
          <w:lang w:val="en-US"/>
        </w:rPr>
        <w:t>other element characteristic of their culture.</w:t>
      </w:r>
      <w:r w:rsidRPr="004542B5">
        <w:rPr>
          <w:noProof w:val="0"/>
          <w:szCs w:val="20"/>
          <w:lang w:val="en-US"/>
        </w:rPr>
        <w:t>”</w:t>
      </w:r>
      <w:r w:rsidRPr="004542B5">
        <w:rPr>
          <w:rStyle w:val="FootnoteReference"/>
          <w:noProof w:val="0"/>
          <w:lang w:val="en-US"/>
        </w:rPr>
        <w:footnoteReference w:id="372"/>
      </w:r>
      <w:r w:rsidRPr="004542B5">
        <w:rPr>
          <w:noProof w:val="0"/>
          <w:szCs w:val="20"/>
          <w:lang w:val="en-US"/>
        </w:rPr>
        <w:t xml:space="preserve"> </w:t>
      </w:r>
    </w:p>
    <w:p w14:paraId="60D431A4" w14:textId="77777777" w:rsidR="00E76B2D" w:rsidRPr="004542B5" w:rsidRDefault="00E76B2D" w:rsidP="00E76B2D">
      <w:pPr>
        <w:pStyle w:val="ListParagraph"/>
        <w:ind w:left="0"/>
        <w:rPr>
          <w:noProof w:val="0"/>
          <w:szCs w:val="20"/>
          <w:lang w:val="en-US"/>
        </w:rPr>
      </w:pPr>
    </w:p>
    <w:p w14:paraId="456598A0" w14:textId="7947235F" w:rsidR="00E76B2D" w:rsidRPr="004542B5" w:rsidRDefault="00E76B2D" w:rsidP="00E76B2D">
      <w:pPr>
        <w:pStyle w:val="ListParagraph"/>
        <w:ind w:left="0"/>
        <w:rPr>
          <w:noProof w:val="0"/>
          <w:szCs w:val="20"/>
          <w:lang w:val="en-US"/>
        </w:rPr>
      </w:pPr>
      <w:r w:rsidRPr="004542B5">
        <w:rPr>
          <w:noProof w:val="0"/>
          <w:szCs w:val="20"/>
          <w:lang w:val="en-US"/>
        </w:rPr>
        <w:t>59.</w:t>
      </w:r>
      <w:r w:rsidRPr="004542B5">
        <w:rPr>
          <w:noProof w:val="0"/>
          <w:szCs w:val="20"/>
          <w:lang w:val="en-US"/>
        </w:rPr>
        <w:tab/>
      </w:r>
      <w:r w:rsidR="00E229CE" w:rsidRPr="004542B5">
        <w:rPr>
          <w:noProof w:val="0"/>
          <w:szCs w:val="20"/>
          <w:lang w:val="en-US"/>
        </w:rPr>
        <w:t>However, the relationship with the land must be possible.</w:t>
      </w:r>
      <w:r w:rsidRPr="004542B5">
        <w:rPr>
          <w:noProof w:val="0"/>
          <w:szCs w:val="20"/>
          <w:vertAlign w:val="superscript"/>
          <w:lang w:val="en-US"/>
        </w:rPr>
        <w:footnoteReference w:id="373"/>
      </w:r>
      <w:r w:rsidRPr="004542B5">
        <w:rPr>
          <w:noProof w:val="0"/>
          <w:szCs w:val="20"/>
          <w:lang w:val="en-US"/>
        </w:rPr>
        <w:t xml:space="preserve"> </w:t>
      </w:r>
      <w:r w:rsidR="00E229CE" w:rsidRPr="004542B5">
        <w:rPr>
          <w:noProof w:val="0"/>
          <w:szCs w:val="20"/>
          <w:lang w:val="en-US"/>
        </w:rPr>
        <w:t xml:space="preserve">This element signifies that </w:t>
      </w:r>
      <w:r w:rsidR="003234E7" w:rsidRPr="004542B5">
        <w:rPr>
          <w:noProof w:val="0"/>
          <w:szCs w:val="20"/>
          <w:lang w:val="en-US"/>
        </w:rPr>
        <w:t>the members</w:t>
      </w:r>
      <w:r w:rsidR="00E229CE" w:rsidRPr="004542B5">
        <w:rPr>
          <w:noProof w:val="0"/>
          <w:szCs w:val="20"/>
          <w:lang w:val="en-US"/>
        </w:rPr>
        <w:t xml:space="preserve"> of the community</w:t>
      </w:r>
      <w:r w:rsidR="002B366C" w:rsidRPr="004542B5">
        <w:rPr>
          <w:noProof w:val="0"/>
          <w:szCs w:val="20"/>
          <w:lang w:val="en-US"/>
        </w:rPr>
        <w:t xml:space="preserve"> should </w:t>
      </w:r>
      <w:r w:rsidR="00E229CE" w:rsidRPr="004542B5">
        <w:rPr>
          <w:noProof w:val="0"/>
          <w:szCs w:val="20"/>
          <w:lang w:val="en-US"/>
        </w:rPr>
        <w:t xml:space="preserve">not </w:t>
      </w:r>
      <w:r w:rsidR="002B366C" w:rsidRPr="004542B5">
        <w:rPr>
          <w:noProof w:val="0"/>
          <w:szCs w:val="20"/>
          <w:lang w:val="en-US"/>
        </w:rPr>
        <w:t xml:space="preserve">be </w:t>
      </w:r>
      <w:r w:rsidR="00E229CE" w:rsidRPr="004542B5">
        <w:rPr>
          <w:noProof w:val="0"/>
          <w:szCs w:val="20"/>
          <w:lang w:val="en-US"/>
        </w:rPr>
        <w:t xml:space="preserve">prevented </w:t>
      </w:r>
      <w:r w:rsidR="002B366C" w:rsidRPr="004542B5">
        <w:rPr>
          <w:noProof w:val="0"/>
          <w:szCs w:val="20"/>
          <w:lang w:val="en-US"/>
        </w:rPr>
        <w:t>by factors</w:t>
      </w:r>
      <w:r w:rsidR="00E229CE" w:rsidRPr="004542B5">
        <w:rPr>
          <w:noProof w:val="0"/>
          <w:szCs w:val="20"/>
          <w:lang w:val="en-US"/>
        </w:rPr>
        <w:t xml:space="preserve"> beyond their control from carrying out those activities that reveal the </w:t>
      </w:r>
      <w:r w:rsidR="002B366C" w:rsidRPr="004542B5">
        <w:rPr>
          <w:noProof w:val="0"/>
          <w:szCs w:val="20"/>
          <w:lang w:val="en-US"/>
        </w:rPr>
        <w:t>persistence of the relationship with their traditional land.</w:t>
      </w:r>
      <w:r w:rsidRPr="004542B5">
        <w:rPr>
          <w:rStyle w:val="FootnoteReference"/>
          <w:noProof w:val="0"/>
          <w:lang w:val="en-US"/>
        </w:rPr>
        <w:footnoteReference w:id="374"/>
      </w:r>
      <w:r w:rsidR="002B366C" w:rsidRPr="004542B5">
        <w:rPr>
          <w:noProof w:val="0"/>
          <w:szCs w:val="20"/>
          <w:lang w:val="en-US"/>
        </w:rPr>
        <w:t xml:space="preserve"> In other words, the Court has already recognized that, in light of the provisions of Article 21 of the Convention, violations which have a direct impact on the territory of the indigenous peoples must be analyzed considering this special relationship, which evidently does not exist under ordinary circumstances with non-indigenous individuals or groups of individuals.</w:t>
      </w:r>
    </w:p>
    <w:p w14:paraId="659D1D0C" w14:textId="77777777" w:rsidR="00E76B2D" w:rsidRPr="004542B5" w:rsidRDefault="00E76B2D" w:rsidP="00E76B2D">
      <w:pPr>
        <w:pStyle w:val="ListParagraph"/>
        <w:ind w:left="0"/>
        <w:rPr>
          <w:noProof w:val="0"/>
          <w:szCs w:val="20"/>
          <w:lang w:val="en-US"/>
        </w:rPr>
      </w:pPr>
    </w:p>
    <w:p w14:paraId="577036EA" w14:textId="226D09EB" w:rsidR="00E76B2D" w:rsidRPr="004542B5" w:rsidRDefault="002B366C" w:rsidP="00E76B2D">
      <w:pPr>
        <w:pStyle w:val="ListParagraph"/>
        <w:numPr>
          <w:ilvl w:val="0"/>
          <w:numId w:val="59"/>
        </w:numPr>
        <w:rPr>
          <w:i/>
          <w:noProof w:val="0"/>
          <w:szCs w:val="20"/>
          <w:lang w:val="en-US"/>
        </w:rPr>
      </w:pPr>
      <w:r w:rsidRPr="004542B5">
        <w:rPr>
          <w:i/>
          <w:noProof w:val="0"/>
          <w:szCs w:val="20"/>
          <w:lang w:val="en-US"/>
        </w:rPr>
        <w:t xml:space="preserve">The failure to pay compensation as a continuing violation in the case of the Kuna indigenous community of </w:t>
      </w:r>
      <w:r w:rsidR="00E76B2D" w:rsidRPr="004542B5">
        <w:rPr>
          <w:i/>
          <w:noProof w:val="0"/>
          <w:szCs w:val="20"/>
          <w:lang w:val="en-US"/>
        </w:rPr>
        <w:t>Madungandí</w:t>
      </w:r>
      <w:r w:rsidR="00CD2B90" w:rsidRPr="004542B5">
        <w:rPr>
          <w:i/>
          <w:noProof w:val="0"/>
          <w:szCs w:val="20"/>
          <w:lang w:val="en-US"/>
        </w:rPr>
        <w:t xml:space="preserve"> and </w:t>
      </w:r>
      <w:r w:rsidRPr="004542B5">
        <w:rPr>
          <w:i/>
          <w:noProof w:val="0"/>
          <w:szCs w:val="20"/>
          <w:lang w:val="en-US"/>
        </w:rPr>
        <w:t xml:space="preserve">the </w:t>
      </w:r>
      <w:r w:rsidR="00E76B2D" w:rsidRPr="004542B5">
        <w:rPr>
          <w:i/>
          <w:noProof w:val="0"/>
          <w:szCs w:val="20"/>
          <w:lang w:val="en-US"/>
        </w:rPr>
        <w:t xml:space="preserve">Emberá </w:t>
      </w:r>
      <w:r w:rsidRPr="004542B5">
        <w:rPr>
          <w:i/>
          <w:noProof w:val="0"/>
          <w:szCs w:val="20"/>
          <w:lang w:val="en-US"/>
        </w:rPr>
        <w:t>indigenous community of</w:t>
      </w:r>
      <w:r w:rsidR="00E76B2D" w:rsidRPr="004542B5">
        <w:rPr>
          <w:i/>
          <w:noProof w:val="0"/>
          <w:szCs w:val="20"/>
          <w:lang w:val="en-US"/>
        </w:rPr>
        <w:t xml:space="preserve"> Bayano</w:t>
      </w:r>
    </w:p>
    <w:p w14:paraId="06F79BE2" w14:textId="77777777" w:rsidR="00E76B2D" w:rsidRPr="004542B5" w:rsidRDefault="00E76B2D" w:rsidP="00E76B2D">
      <w:pPr>
        <w:ind w:left="360"/>
        <w:rPr>
          <w:noProof w:val="0"/>
          <w:lang w:val="en-US"/>
        </w:rPr>
      </w:pPr>
    </w:p>
    <w:p w14:paraId="6423DDA7" w14:textId="42F28F45" w:rsidR="00E76B2D" w:rsidRPr="004542B5" w:rsidRDefault="00E76B2D" w:rsidP="00E76B2D">
      <w:pPr>
        <w:rPr>
          <w:noProof w:val="0"/>
          <w:szCs w:val="20"/>
          <w:lang w:val="en-US"/>
        </w:rPr>
      </w:pPr>
      <w:r w:rsidRPr="004542B5">
        <w:rPr>
          <w:noProof w:val="0"/>
          <w:szCs w:val="20"/>
          <w:lang w:val="en-US"/>
        </w:rPr>
        <w:t>60.</w:t>
      </w:r>
      <w:r w:rsidRPr="004542B5">
        <w:rPr>
          <w:noProof w:val="0"/>
          <w:szCs w:val="20"/>
          <w:lang w:val="en-US"/>
        </w:rPr>
        <w:tab/>
      </w:r>
      <w:r w:rsidR="002B366C" w:rsidRPr="004542B5">
        <w:rPr>
          <w:noProof w:val="0"/>
          <w:szCs w:val="20"/>
          <w:lang w:val="en-US"/>
        </w:rPr>
        <w:t xml:space="preserve">As indicated in the judgment, the </w:t>
      </w:r>
      <w:r w:rsidR="00AD34D8" w:rsidRPr="004542B5">
        <w:rPr>
          <w:noProof w:val="0"/>
          <w:szCs w:val="20"/>
          <w:lang w:val="en-US"/>
        </w:rPr>
        <w:t>Kuna indigenous people</w:t>
      </w:r>
      <w:r w:rsidRPr="004542B5">
        <w:rPr>
          <w:noProof w:val="0"/>
          <w:szCs w:val="20"/>
          <w:lang w:val="en-US"/>
        </w:rPr>
        <w:t xml:space="preserve"> ha</w:t>
      </w:r>
      <w:r w:rsidR="00174DA6" w:rsidRPr="004542B5">
        <w:rPr>
          <w:noProof w:val="0"/>
          <w:szCs w:val="20"/>
          <w:lang w:val="en-US"/>
        </w:rPr>
        <w:t>ve inhabited the region of the Bayano since at least the sixteenth century. Traditionally, the Kuna practice slash and burn agriculture and depend for their subsistence almost exclusively on agriculture, hunting and fishing.</w:t>
      </w:r>
      <w:r w:rsidRPr="004542B5">
        <w:rPr>
          <w:rStyle w:val="FootnoteReference"/>
          <w:noProof w:val="0"/>
          <w:lang w:val="en-US"/>
        </w:rPr>
        <w:footnoteReference w:id="375"/>
      </w:r>
      <w:r w:rsidR="00174DA6" w:rsidRPr="004542B5">
        <w:rPr>
          <w:noProof w:val="0"/>
          <w:szCs w:val="20"/>
          <w:lang w:val="en-US"/>
        </w:rPr>
        <w:t xml:space="preserve"> Meanwhile, between the seventeenth and eighteenth centuries, some of the</w:t>
      </w:r>
      <w:r w:rsidRPr="004542B5">
        <w:rPr>
          <w:noProof w:val="0"/>
          <w:szCs w:val="20"/>
          <w:lang w:val="en-US"/>
        </w:rPr>
        <w:t xml:space="preserve"> </w:t>
      </w:r>
      <w:r w:rsidR="00AD34D8" w:rsidRPr="004542B5">
        <w:rPr>
          <w:noProof w:val="0"/>
          <w:szCs w:val="20"/>
          <w:lang w:val="en-US"/>
        </w:rPr>
        <w:t>Emberá indigenous people</w:t>
      </w:r>
      <w:r w:rsidRPr="004542B5">
        <w:rPr>
          <w:noProof w:val="0"/>
          <w:szCs w:val="20"/>
          <w:lang w:val="en-US"/>
        </w:rPr>
        <w:t xml:space="preserve"> migr</w:t>
      </w:r>
      <w:r w:rsidR="00174DA6" w:rsidRPr="004542B5">
        <w:rPr>
          <w:noProof w:val="0"/>
          <w:szCs w:val="20"/>
          <w:lang w:val="en-US"/>
        </w:rPr>
        <w:t xml:space="preserve">ated from the Chocó region in </w:t>
      </w:r>
      <w:r w:rsidRPr="004542B5">
        <w:rPr>
          <w:noProof w:val="0"/>
          <w:szCs w:val="20"/>
          <w:lang w:val="en-US"/>
        </w:rPr>
        <w:t xml:space="preserve">Colombia </w:t>
      </w:r>
      <w:r w:rsidR="00174DA6" w:rsidRPr="004542B5">
        <w:rPr>
          <w:noProof w:val="0"/>
          <w:szCs w:val="20"/>
          <w:lang w:val="en-US"/>
        </w:rPr>
        <w:t xml:space="preserve">to territory that today belongs to Panama, settling on river banks in what is now the </w:t>
      </w:r>
      <w:r w:rsidR="00372741" w:rsidRPr="004542B5">
        <w:rPr>
          <w:noProof w:val="0"/>
          <w:szCs w:val="20"/>
          <w:lang w:val="en-US"/>
        </w:rPr>
        <w:t>province of</w:t>
      </w:r>
      <w:r w:rsidRPr="004542B5">
        <w:rPr>
          <w:noProof w:val="0"/>
          <w:szCs w:val="20"/>
          <w:lang w:val="en-US"/>
        </w:rPr>
        <w:t xml:space="preserve"> </w:t>
      </w:r>
      <w:r w:rsidR="00982EC9" w:rsidRPr="004542B5">
        <w:rPr>
          <w:noProof w:val="0"/>
          <w:szCs w:val="20"/>
          <w:lang w:val="en-US"/>
        </w:rPr>
        <w:t>Darien</w:t>
      </w:r>
      <w:r w:rsidRPr="004542B5">
        <w:rPr>
          <w:noProof w:val="0"/>
          <w:szCs w:val="20"/>
          <w:lang w:val="en-US"/>
        </w:rPr>
        <w:t xml:space="preserve">. </w:t>
      </w:r>
      <w:r w:rsidR="00174DA6" w:rsidRPr="004542B5">
        <w:rPr>
          <w:noProof w:val="0"/>
          <w:szCs w:val="20"/>
          <w:lang w:val="en-US"/>
        </w:rPr>
        <w:t xml:space="preserve">In the early nineteenth century, some of the </w:t>
      </w:r>
      <w:r w:rsidR="006110CB" w:rsidRPr="004542B5">
        <w:rPr>
          <w:noProof w:val="0"/>
          <w:szCs w:val="20"/>
          <w:lang w:val="en-US"/>
        </w:rPr>
        <w:t>Emberá</w:t>
      </w:r>
      <w:r w:rsidR="00174DA6" w:rsidRPr="004542B5">
        <w:rPr>
          <w:noProof w:val="0"/>
          <w:szCs w:val="20"/>
          <w:lang w:val="en-US"/>
        </w:rPr>
        <w:t xml:space="preserve"> people moved to the Bayano region. The traditional activities of the Emberá people are </w:t>
      </w:r>
      <w:r w:rsidR="006110CB" w:rsidRPr="004542B5">
        <w:rPr>
          <w:noProof w:val="0"/>
          <w:szCs w:val="20"/>
          <w:lang w:val="en-US"/>
        </w:rPr>
        <w:t>hunting</w:t>
      </w:r>
      <w:r w:rsidR="00174DA6" w:rsidRPr="004542B5">
        <w:rPr>
          <w:noProof w:val="0"/>
          <w:szCs w:val="20"/>
          <w:lang w:val="en-US"/>
        </w:rPr>
        <w:t>, fishing and handcrafts.</w:t>
      </w:r>
      <w:r w:rsidRPr="004542B5">
        <w:rPr>
          <w:rStyle w:val="FootnoteReference"/>
          <w:noProof w:val="0"/>
          <w:lang w:val="en-US"/>
        </w:rPr>
        <w:footnoteReference w:id="376"/>
      </w:r>
      <w:r w:rsidRPr="004542B5">
        <w:rPr>
          <w:noProof w:val="0"/>
          <w:szCs w:val="20"/>
          <w:lang w:val="en-US"/>
        </w:rPr>
        <w:t xml:space="preserve"> </w:t>
      </w:r>
    </w:p>
    <w:p w14:paraId="4EFB447B" w14:textId="77777777" w:rsidR="00E76B2D" w:rsidRPr="004542B5" w:rsidRDefault="00E76B2D" w:rsidP="00E76B2D">
      <w:pPr>
        <w:rPr>
          <w:noProof w:val="0"/>
          <w:szCs w:val="20"/>
          <w:lang w:val="en-US"/>
        </w:rPr>
      </w:pPr>
    </w:p>
    <w:p w14:paraId="187F0358" w14:textId="434D5553" w:rsidR="00E76B2D" w:rsidRPr="004542B5" w:rsidRDefault="00E76B2D" w:rsidP="00E76B2D">
      <w:pPr>
        <w:pStyle w:val="ListParagraph"/>
        <w:ind w:left="0"/>
        <w:contextualSpacing w:val="0"/>
        <w:rPr>
          <w:noProof w:val="0"/>
          <w:szCs w:val="20"/>
          <w:lang w:val="en-US"/>
        </w:rPr>
      </w:pPr>
      <w:r w:rsidRPr="004542B5">
        <w:rPr>
          <w:noProof w:val="0"/>
          <w:szCs w:val="20"/>
          <w:lang w:val="en-US"/>
        </w:rPr>
        <w:t>61.</w:t>
      </w:r>
      <w:r w:rsidRPr="004542B5">
        <w:rPr>
          <w:noProof w:val="0"/>
          <w:szCs w:val="20"/>
          <w:lang w:val="en-US"/>
        </w:rPr>
        <w:tab/>
        <w:t>A</w:t>
      </w:r>
      <w:r w:rsidR="007001D1" w:rsidRPr="004542B5">
        <w:rPr>
          <w:noProof w:val="0"/>
          <w:szCs w:val="20"/>
          <w:lang w:val="en-US"/>
        </w:rPr>
        <w:t xml:space="preserve">lso, the section of the judgment on the facts indicates that, in 1963, the State proposed to construct a hydroelectric dam (known as the </w:t>
      </w:r>
      <w:r w:rsidRPr="004542B5">
        <w:rPr>
          <w:noProof w:val="0"/>
          <w:szCs w:val="20"/>
          <w:lang w:val="en-US"/>
        </w:rPr>
        <w:t xml:space="preserve">Ascanio Villalaz </w:t>
      </w:r>
      <w:r w:rsidR="007001D1" w:rsidRPr="004542B5">
        <w:rPr>
          <w:noProof w:val="0"/>
          <w:szCs w:val="20"/>
          <w:lang w:val="en-US"/>
        </w:rPr>
        <w:t xml:space="preserve">Hydroelectric Complex or the Bayano Hydroelectric Complex) in the region of the Bayano, which involved the creation of an artificial lake and reservoir that would cover approximately </w:t>
      </w:r>
      <w:r w:rsidRPr="004542B5">
        <w:rPr>
          <w:noProof w:val="0"/>
          <w:szCs w:val="20"/>
          <w:lang w:val="en-US"/>
        </w:rPr>
        <w:t>350 km</w:t>
      </w:r>
      <w:r w:rsidRPr="004542B5">
        <w:rPr>
          <w:noProof w:val="0"/>
          <w:szCs w:val="20"/>
          <w:vertAlign w:val="superscript"/>
          <w:lang w:val="en-US"/>
        </w:rPr>
        <w:t>2</w:t>
      </w:r>
      <w:r w:rsidRPr="004542B5">
        <w:rPr>
          <w:noProof w:val="0"/>
          <w:szCs w:val="20"/>
          <w:lang w:val="en-US"/>
        </w:rPr>
        <w:t xml:space="preserve"> </w:t>
      </w:r>
      <w:r w:rsidR="007001D1" w:rsidRPr="004542B5">
        <w:rPr>
          <w:noProof w:val="0"/>
          <w:szCs w:val="20"/>
          <w:lang w:val="en-US"/>
        </w:rPr>
        <w:t xml:space="preserve">of the area. Subsequently, on May 8, </w:t>
      </w:r>
      <w:r w:rsidRPr="004542B5">
        <w:rPr>
          <w:noProof w:val="0"/>
          <w:szCs w:val="20"/>
          <w:lang w:val="en-US"/>
        </w:rPr>
        <w:t>1969</w:t>
      </w:r>
      <w:r w:rsidR="007001D1" w:rsidRPr="004542B5">
        <w:rPr>
          <w:noProof w:val="0"/>
          <w:szCs w:val="20"/>
          <w:lang w:val="en-US"/>
        </w:rPr>
        <w:t>,</w:t>
      </w:r>
      <w:r w:rsidRPr="004542B5">
        <w:rPr>
          <w:noProof w:val="0"/>
          <w:szCs w:val="20"/>
          <w:lang w:val="en-US"/>
        </w:rPr>
        <w:t xml:space="preserve"> </w:t>
      </w:r>
      <w:r w:rsidR="00562CBB" w:rsidRPr="004542B5">
        <w:rPr>
          <w:noProof w:val="0"/>
          <w:szCs w:val="20"/>
          <w:lang w:val="en-US"/>
        </w:rPr>
        <w:t>the State</w:t>
      </w:r>
      <w:r w:rsidRPr="004542B5">
        <w:rPr>
          <w:noProof w:val="0"/>
          <w:szCs w:val="20"/>
          <w:lang w:val="en-US"/>
        </w:rPr>
        <w:t xml:space="preserve"> adopt</w:t>
      </w:r>
      <w:r w:rsidR="007001D1" w:rsidRPr="004542B5">
        <w:rPr>
          <w:noProof w:val="0"/>
          <w:szCs w:val="20"/>
          <w:lang w:val="en-US"/>
        </w:rPr>
        <w:t>ed</w:t>
      </w:r>
      <w:r w:rsidRPr="004542B5">
        <w:rPr>
          <w:noProof w:val="0"/>
          <w:szCs w:val="20"/>
          <w:lang w:val="en-US"/>
        </w:rPr>
        <w:t xml:space="preserve"> </w:t>
      </w:r>
      <w:r w:rsidR="00C06694" w:rsidRPr="004542B5">
        <w:rPr>
          <w:noProof w:val="0"/>
          <w:szCs w:val="20"/>
          <w:lang w:val="en-US"/>
        </w:rPr>
        <w:t>Executive Decree</w:t>
      </w:r>
      <w:r w:rsidRPr="004542B5">
        <w:rPr>
          <w:noProof w:val="0"/>
          <w:szCs w:val="20"/>
          <w:lang w:val="en-US"/>
        </w:rPr>
        <w:t xml:space="preserve"> No. 123 </w:t>
      </w:r>
      <w:r w:rsidR="007001D1" w:rsidRPr="004542B5">
        <w:rPr>
          <w:noProof w:val="0"/>
          <w:szCs w:val="20"/>
          <w:lang w:val="en-US"/>
        </w:rPr>
        <w:t xml:space="preserve">which </w:t>
      </w:r>
      <w:r w:rsidR="00FB7E0F" w:rsidRPr="004542B5">
        <w:rPr>
          <w:noProof w:val="0"/>
          <w:szCs w:val="20"/>
          <w:lang w:val="en-US"/>
        </w:rPr>
        <w:t>establish</w:t>
      </w:r>
      <w:r w:rsidR="007001D1" w:rsidRPr="004542B5">
        <w:rPr>
          <w:noProof w:val="0"/>
          <w:szCs w:val="20"/>
          <w:lang w:val="en-US"/>
        </w:rPr>
        <w:t>ed that</w:t>
      </w:r>
      <w:r w:rsidR="00FB7E0F" w:rsidRPr="004542B5">
        <w:rPr>
          <w:noProof w:val="0"/>
          <w:szCs w:val="20"/>
          <w:lang w:val="en-US"/>
        </w:rPr>
        <w:t>,</w:t>
      </w:r>
      <w:r w:rsidR="007001D1" w:rsidRPr="004542B5">
        <w:rPr>
          <w:noProof w:val="0"/>
          <w:szCs w:val="20"/>
          <w:lang w:val="en-US"/>
        </w:rPr>
        <w:t xml:space="preserve"> “owing to the construction of the Bayano River Project, part of the actual </w:t>
      </w:r>
      <w:r w:rsidR="00FB7E0F" w:rsidRPr="004542B5">
        <w:rPr>
          <w:noProof w:val="0"/>
          <w:szCs w:val="20"/>
          <w:lang w:val="en-US"/>
        </w:rPr>
        <w:t>I</w:t>
      </w:r>
      <w:r w:rsidR="007001D1" w:rsidRPr="004542B5">
        <w:rPr>
          <w:noProof w:val="0"/>
          <w:szCs w:val="20"/>
          <w:lang w:val="en-US"/>
        </w:rPr>
        <w:t xml:space="preserve">ndigenous </w:t>
      </w:r>
      <w:r w:rsidR="00FB7E0F" w:rsidRPr="004542B5">
        <w:rPr>
          <w:noProof w:val="0"/>
          <w:szCs w:val="20"/>
          <w:lang w:val="en-US"/>
        </w:rPr>
        <w:t>R</w:t>
      </w:r>
      <w:r w:rsidR="007001D1" w:rsidRPr="004542B5">
        <w:rPr>
          <w:noProof w:val="0"/>
          <w:szCs w:val="20"/>
          <w:lang w:val="en-US"/>
        </w:rPr>
        <w:t xml:space="preserve">eserve in the Alto Bayano will be flooded to create the reservoir” and that it was the “State’s obligation to provide the necessary area for the relocation of the inhabitants of the said reserve forced from their land owing to the creation of the reservoir.” In compensation for the “area of the actual </w:t>
      </w:r>
      <w:r w:rsidR="00FB7E0F" w:rsidRPr="004542B5">
        <w:rPr>
          <w:noProof w:val="0"/>
          <w:szCs w:val="20"/>
          <w:lang w:val="en-US"/>
        </w:rPr>
        <w:t>I</w:t>
      </w:r>
      <w:r w:rsidR="007001D1" w:rsidRPr="004542B5">
        <w:rPr>
          <w:noProof w:val="0"/>
          <w:szCs w:val="20"/>
          <w:lang w:val="en-US"/>
        </w:rPr>
        <w:t xml:space="preserve">ndigenous </w:t>
      </w:r>
      <w:r w:rsidR="00FB7E0F" w:rsidRPr="004542B5">
        <w:rPr>
          <w:noProof w:val="0"/>
          <w:szCs w:val="20"/>
          <w:lang w:val="en-US"/>
        </w:rPr>
        <w:t>R</w:t>
      </w:r>
      <w:r w:rsidR="007001D1" w:rsidRPr="004542B5">
        <w:rPr>
          <w:noProof w:val="0"/>
          <w:szCs w:val="20"/>
          <w:lang w:val="en-US"/>
        </w:rPr>
        <w:t>eserve that will be flooded” by this project, it established the award of new lands (located adjacent to and to the east of the indigenous reserve) that were declared “non-adjudicable.</w:t>
      </w:r>
      <w:r w:rsidRPr="004542B5">
        <w:rPr>
          <w:noProof w:val="0"/>
          <w:szCs w:val="20"/>
          <w:lang w:val="en-US"/>
        </w:rPr>
        <w:t>”</w:t>
      </w:r>
      <w:r w:rsidRPr="004542B5">
        <w:rPr>
          <w:rStyle w:val="FootnoteReference"/>
          <w:noProof w:val="0"/>
          <w:lang w:val="en-US"/>
        </w:rPr>
        <w:footnoteReference w:id="377"/>
      </w:r>
    </w:p>
    <w:p w14:paraId="5BB00695" w14:textId="77777777" w:rsidR="00E76B2D" w:rsidRPr="004542B5" w:rsidRDefault="00E76B2D" w:rsidP="00E76B2D">
      <w:pPr>
        <w:pStyle w:val="ListParagraph"/>
        <w:ind w:left="0"/>
        <w:contextualSpacing w:val="0"/>
        <w:rPr>
          <w:noProof w:val="0"/>
          <w:szCs w:val="20"/>
          <w:lang w:val="en-US"/>
        </w:rPr>
      </w:pPr>
    </w:p>
    <w:p w14:paraId="0AF96424" w14:textId="4F321BE6" w:rsidR="00E76B2D" w:rsidRPr="004542B5" w:rsidRDefault="00E76B2D" w:rsidP="00E76B2D">
      <w:pPr>
        <w:pStyle w:val="ListParagraph"/>
        <w:ind w:left="0"/>
        <w:contextualSpacing w:val="0"/>
        <w:rPr>
          <w:rFonts w:cs="Tahoma"/>
          <w:noProof w:val="0"/>
          <w:szCs w:val="20"/>
          <w:lang w:val="en-US"/>
        </w:rPr>
      </w:pPr>
      <w:r w:rsidRPr="004542B5">
        <w:rPr>
          <w:noProof w:val="0"/>
          <w:szCs w:val="20"/>
          <w:lang w:val="en-US"/>
        </w:rPr>
        <w:t>62.</w:t>
      </w:r>
      <w:r w:rsidRPr="004542B5">
        <w:rPr>
          <w:noProof w:val="0"/>
          <w:szCs w:val="20"/>
          <w:lang w:val="en-US"/>
        </w:rPr>
        <w:tab/>
      </w:r>
      <w:r w:rsidR="007001D1" w:rsidRPr="004542B5">
        <w:rPr>
          <w:noProof w:val="0"/>
          <w:szCs w:val="20"/>
          <w:lang w:val="en-US"/>
        </w:rPr>
        <w:t xml:space="preserve">The Court also found that it had been proved that, on July 8, 1971, </w:t>
      </w:r>
      <w:r w:rsidR="00C06694" w:rsidRPr="004542B5">
        <w:rPr>
          <w:noProof w:val="0"/>
          <w:szCs w:val="20"/>
          <w:lang w:val="en-US"/>
        </w:rPr>
        <w:t>Executive Decree</w:t>
      </w:r>
      <w:r w:rsidRPr="004542B5">
        <w:rPr>
          <w:noProof w:val="0"/>
          <w:szCs w:val="20"/>
          <w:lang w:val="en-US"/>
        </w:rPr>
        <w:t xml:space="preserve"> No. 156 </w:t>
      </w:r>
      <w:r w:rsidR="00B35420" w:rsidRPr="004542B5">
        <w:rPr>
          <w:rFonts w:cs="Tahoma"/>
          <w:noProof w:val="0"/>
          <w:szCs w:val="20"/>
          <w:lang w:val="en-US"/>
        </w:rPr>
        <w:t>had been issued establishing a “Special Compensation Fund to Assist the Indigenous Peoples of the Bayano,” for the relocation of the indigenous peoples who inhabited the Bayano Indigenous Reserve in the areas established as non-adjudicable land by Executive Decree No. 123.” This decree considered that “the indigenous groups who inhabit the actual Bayano Indigenous Reserve will have to abandon the lands they occupy owing to the execution of the Bayano Hydroelectric Project” and that “these groups will have to relocate in the areas established as non-adjudicable land by Executive Decree No. 123.” The said decree also recognized that “the transfer to new areas entails major efforts for the indigenous peoples as well as considerable financial disbursements, all of which justifies, for reasons of humanity, the assistance that the State has decided in their favor” and established that the “Forestry Service of the Ministry of Agriculture and Livestock shall deliver to the official representatives of the indigenous peoples the sum that, pursuant to article [2], forms part of the special compensation and assistance fund established by this Executive Decree.</w:t>
      </w:r>
      <w:r w:rsidRPr="004542B5">
        <w:rPr>
          <w:noProof w:val="0"/>
          <w:szCs w:val="20"/>
          <w:lang w:val="en-US"/>
        </w:rPr>
        <w:t>”</w:t>
      </w:r>
      <w:r w:rsidRPr="004542B5">
        <w:rPr>
          <w:rStyle w:val="FootnoteReference"/>
          <w:noProof w:val="0"/>
          <w:lang w:val="en-US"/>
        </w:rPr>
        <w:footnoteReference w:id="378"/>
      </w:r>
    </w:p>
    <w:p w14:paraId="1C835CAC" w14:textId="77777777" w:rsidR="00E76B2D" w:rsidRPr="004542B5" w:rsidRDefault="00E76B2D" w:rsidP="00E76B2D">
      <w:pPr>
        <w:pStyle w:val="ListParagraph"/>
        <w:ind w:left="0"/>
        <w:contextualSpacing w:val="0"/>
        <w:rPr>
          <w:noProof w:val="0"/>
          <w:szCs w:val="20"/>
          <w:lang w:val="en-US"/>
        </w:rPr>
      </w:pPr>
    </w:p>
    <w:p w14:paraId="7686F0AC" w14:textId="5EE57F68" w:rsidR="00E76B2D" w:rsidRPr="004542B5" w:rsidRDefault="00E76B2D" w:rsidP="00E76B2D">
      <w:pPr>
        <w:pStyle w:val="ListParagraph"/>
        <w:ind w:left="0"/>
        <w:contextualSpacing w:val="0"/>
        <w:rPr>
          <w:noProof w:val="0"/>
          <w:szCs w:val="20"/>
          <w:lang w:val="en-US"/>
        </w:rPr>
      </w:pPr>
      <w:r w:rsidRPr="004542B5">
        <w:rPr>
          <w:noProof w:val="0"/>
          <w:szCs w:val="20"/>
          <w:lang w:val="en-US"/>
        </w:rPr>
        <w:lastRenderedPageBreak/>
        <w:t>63.</w:t>
      </w:r>
      <w:r w:rsidRPr="004542B5">
        <w:rPr>
          <w:noProof w:val="0"/>
          <w:szCs w:val="20"/>
          <w:lang w:val="en-US"/>
        </w:rPr>
        <w:tab/>
      </w:r>
      <w:r w:rsidR="00562CBB" w:rsidRPr="004542B5">
        <w:rPr>
          <w:noProof w:val="0"/>
          <w:szCs w:val="20"/>
          <w:lang w:val="en-US"/>
        </w:rPr>
        <w:t>The State</w:t>
      </w:r>
      <w:r w:rsidR="00164137" w:rsidRPr="004542B5">
        <w:rPr>
          <w:noProof w:val="0"/>
          <w:szCs w:val="20"/>
          <w:lang w:val="en-US"/>
        </w:rPr>
        <w:t xml:space="preserve"> began construction of the hydroelectric project in 1972. It created the Bayano Integral Development Project by</w:t>
      </w:r>
      <w:r w:rsidRPr="004542B5">
        <w:rPr>
          <w:noProof w:val="0"/>
          <w:szCs w:val="20"/>
          <w:lang w:val="en-US"/>
        </w:rPr>
        <w:t xml:space="preserve"> </w:t>
      </w:r>
      <w:r w:rsidR="00673288" w:rsidRPr="004542B5">
        <w:rPr>
          <w:noProof w:val="0"/>
          <w:szCs w:val="20"/>
          <w:lang w:val="en-US"/>
        </w:rPr>
        <w:t>Decree</w:t>
      </w:r>
      <w:r w:rsidRPr="004542B5">
        <w:rPr>
          <w:noProof w:val="0"/>
          <w:szCs w:val="20"/>
          <w:lang w:val="en-US"/>
        </w:rPr>
        <w:t xml:space="preserve"> No. 112 </w:t>
      </w:r>
      <w:r w:rsidR="00164137" w:rsidRPr="004542B5">
        <w:rPr>
          <w:noProof w:val="0"/>
          <w:szCs w:val="20"/>
          <w:lang w:val="en-US"/>
        </w:rPr>
        <w:t>of November 15,</w:t>
      </w:r>
      <w:r w:rsidRPr="004542B5">
        <w:rPr>
          <w:noProof w:val="0"/>
          <w:szCs w:val="20"/>
          <w:lang w:val="en-US"/>
        </w:rPr>
        <w:t xml:space="preserve"> 1973, </w:t>
      </w:r>
      <w:r w:rsidR="00164137" w:rsidRPr="004542B5">
        <w:rPr>
          <w:noProof w:val="0"/>
          <w:szCs w:val="20"/>
          <w:lang w:val="en-US"/>
        </w:rPr>
        <w:t>which required</w:t>
      </w:r>
      <w:r w:rsidRPr="004542B5">
        <w:rPr>
          <w:noProof w:val="0"/>
          <w:szCs w:val="20"/>
          <w:lang w:val="en-US"/>
        </w:rPr>
        <w:t xml:space="preserve"> “</w:t>
      </w:r>
      <w:r w:rsidR="00164137" w:rsidRPr="004542B5">
        <w:rPr>
          <w:noProof w:val="0"/>
          <w:szCs w:val="20"/>
          <w:lang w:val="en-US"/>
        </w:rPr>
        <w:t>the transfer and relocation of the communities located in the areas of the reservoir [and other areas].” From</w:t>
      </w:r>
      <w:r w:rsidRPr="004542B5">
        <w:rPr>
          <w:noProof w:val="0"/>
          <w:szCs w:val="20"/>
          <w:lang w:val="en-US"/>
        </w:rPr>
        <w:t xml:space="preserve"> 1973 </w:t>
      </w:r>
      <w:r w:rsidR="00164137" w:rsidRPr="004542B5">
        <w:rPr>
          <w:noProof w:val="0"/>
          <w:szCs w:val="20"/>
          <w:lang w:val="en-US"/>
        </w:rPr>
        <w:t>to</w:t>
      </w:r>
      <w:r w:rsidRPr="004542B5">
        <w:rPr>
          <w:noProof w:val="0"/>
          <w:szCs w:val="20"/>
          <w:lang w:val="en-US"/>
        </w:rPr>
        <w:t xml:space="preserve"> 1975</w:t>
      </w:r>
      <w:r w:rsidR="00164137" w:rsidRPr="004542B5">
        <w:rPr>
          <w:noProof w:val="0"/>
          <w:szCs w:val="20"/>
          <w:lang w:val="en-US"/>
        </w:rPr>
        <w:t xml:space="preserve">, </w:t>
      </w:r>
      <w:r w:rsidR="004D0B27" w:rsidRPr="004542B5">
        <w:rPr>
          <w:noProof w:val="0"/>
          <w:szCs w:val="20"/>
          <w:lang w:val="en-US"/>
        </w:rPr>
        <w:t xml:space="preserve">the </w:t>
      </w:r>
      <w:r w:rsidR="003C263F" w:rsidRPr="004542B5">
        <w:rPr>
          <w:noProof w:val="0"/>
          <w:szCs w:val="20"/>
          <w:lang w:val="en-US"/>
        </w:rPr>
        <w:t xml:space="preserve">Kuna and </w:t>
      </w:r>
      <w:r w:rsidR="00164137" w:rsidRPr="004542B5">
        <w:rPr>
          <w:noProof w:val="0"/>
          <w:szCs w:val="20"/>
          <w:lang w:val="en-US"/>
        </w:rPr>
        <w:t xml:space="preserve">the </w:t>
      </w:r>
      <w:r w:rsidR="003C263F" w:rsidRPr="004542B5">
        <w:rPr>
          <w:noProof w:val="0"/>
          <w:szCs w:val="20"/>
          <w:lang w:val="en-US"/>
        </w:rPr>
        <w:t>Emberá peoples</w:t>
      </w:r>
      <w:r w:rsidR="00164137" w:rsidRPr="004542B5">
        <w:rPr>
          <w:noProof w:val="0"/>
          <w:szCs w:val="20"/>
          <w:lang w:val="en-US"/>
        </w:rPr>
        <w:t xml:space="preserve"> were moved from the</w:t>
      </w:r>
      <w:r w:rsidRPr="004542B5">
        <w:rPr>
          <w:noProof w:val="0"/>
          <w:szCs w:val="20"/>
          <w:lang w:val="en-US"/>
        </w:rPr>
        <w:t xml:space="preserve"> Alto Bayano. </w:t>
      </w:r>
      <w:r w:rsidR="00164137" w:rsidRPr="004542B5">
        <w:rPr>
          <w:noProof w:val="0"/>
          <w:szCs w:val="20"/>
          <w:lang w:val="en-US"/>
        </w:rPr>
        <w:t>Initially, the</w:t>
      </w:r>
      <w:r w:rsidRPr="004542B5">
        <w:rPr>
          <w:noProof w:val="0"/>
          <w:szCs w:val="20"/>
          <w:lang w:val="en-US"/>
        </w:rPr>
        <w:t xml:space="preserve"> Emberá </w:t>
      </w:r>
      <w:r w:rsidR="00164137" w:rsidRPr="004542B5">
        <w:rPr>
          <w:noProof w:val="0"/>
          <w:szCs w:val="20"/>
          <w:lang w:val="en-US"/>
        </w:rPr>
        <w:t>communities were moved to sites that were inadequate; they were therefore relocated a second time to their actual lands. The construction of the hydroelectric project ended on March 16, 1976. As a result of the construction several indigenous villages were flooded and their inhabitants were relocated.</w:t>
      </w:r>
      <w:r w:rsidRPr="004542B5">
        <w:rPr>
          <w:rStyle w:val="FootnoteReference"/>
          <w:noProof w:val="0"/>
          <w:lang w:val="en-US"/>
        </w:rPr>
        <w:footnoteReference w:id="379"/>
      </w:r>
    </w:p>
    <w:p w14:paraId="31CBED8C" w14:textId="77777777" w:rsidR="00E76B2D" w:rsidRPr="004542B5" w:rsidRDefault="00E76B2D" w:rsidP="00E76B2D">
      <w:pPr>
        <w:pStyle w:val="ListParagraph"/>
        <w:ind w:left="0"/>
        <w:contextualSpacing w:val="0"/>
        <w:rPr>
          <w:noProof w:val="0"/>
          <w:szCs w:val="20"/>
          <w:lang w:val="en-US"/>
        </w:rPr>
      </w:pPr>
    </w:p>
    <w:p w14:paraId="7764DF75" w14:textId="5197C540" w:rsidR="00E76B2D" w:rsidRPr="004542B5" w:rsidRDefault="00E76B2D" w:rsidP="00E76B2D">
      <w:pPr>
        <w:pStyle w:val="ListParagraph"/>
        <w:ind w:left="0"/>
        <w:contextualSpacing w:val="0"/>
        <w:rPr>
          <w:rFonts w:cs="Tahoma"/>
          <w:noProof w:val="0"/>
          <w:szCs w:val="20"/>
          <w:lang w:val="en-US"/>
        </w:rPr>
      </w:pPr>
      <w:r w:rsidRPr="004542B5">
        <w:rPr>
          <w:noProof w:val="0"/>
          <w:szCs w:val="20"/>
          <w:lang w:val="en-US"/>
        </w:rPr>
        <w:t>64.</w:t>
      </w:r>
      <w:r w:rsidRPr="004542B5">
        <w:rPr>
          <w:noProof w:val="0"/>
          <w:szCs w:val="20"/>
          <w:lang w:val="en-US"/>
        </w:rPr>
        <w:tab/>
      </w:r>
      <w:r w:rsidR="00562CBB" w:rsidRPr="004542B5">
        <w:rPr>
          <w:noProof w:val="0"/>
          <w:szCs w:val="20"/>
          <w:lang w:val="en-US"/>
        </w:rPr>
        <w:t>The Court</w:t>
      </w:r>
      <w:r w:rsidRPr="004542B5">
        <w:rPr>
          <w:noProof w:val="0"/>
          <w:szCs w:val="20"/>
          <w:lang w:val="en-US"/>
        </w:rPr>
        <w:t xml:space="preserve"> determin</w:t>
      </w:r>
      <w:r w:rsidR="00C57BC7" w:rsidRPr="004542B5">
        <w:rPr>
          <w:noProof w:val="0"/>
          <w:szCs w:val="20"/>
          <w:lang w:val="en-US"/>
        </w:rPr>
        <w:t>ed that, between</w:t>
      </w:r>
      <w:r w:rsidRPr="004542B5">
        <w:rPr>
          <w:noProof w:val="0"/>
          <w:szCs w:val="20"/>
          <w:lang w:val="en-US"/>
        </w:rPr>
        <w:t xml:space="preserve"> 1975</w:t>
      </w:r>
      <w:r w:rsidR="00CD2B90" w:rsidRPr="004542B5">
        <w:rPr>
          <w:noProof w:val="0"/>
          <w:szCs w:val="20"/>
          <w:lang w:val="en-US"/>
        </w:rPr>
        <w:t xml:space="preserve"> and </w:t>
      </w:r>
      <w:r w:rsidRPr="004542B5">
        <w:rPr>
          <w:noProof w:val="0"/>
          <w:szCs w:val="20"/>
          <w:lang w:val="en-US"/>
        </w:rPr>
        <w:t>1980</w:t>
      </w:r>
      <w:r w:rsidR="00C57BC7" w:rsidRPr="004542B5">
        <w:rPr>
          <w:noProof w:val="0"/>
          <w:szCs w:val="20"/>
          <w:lang w:val="en-US"/>
        </w:rPr>
        <w:t>,</w:t>
      </w:r>
      <w:r w:rsidRPr="004542B5">
        <w:rPr>
          <w:noProof w:val="0"/>
          <w:szCs w:val="20"/>
          <w:lang w:val="en-US"/>
        </w:rPr>
        <w:t xml:space="preserve"> </w:t>
      </w:r>
      <w:r w:rsidR="00E15EC0" w:rsidRPr="004542B5">
        <w:rPr>
          <w:noProof w:val="0"/>
          <w:szCs w:val="20"/>
          <w:lang w:val="en-US"/>
        </w:rPr>
        <w:t xml:space="preserve">the </w:t>
      </w:r>
      <w:r w:rsidR="00442127" w:rsidRPr="004542B5">
        <w:rPr>
          <w:noProof w:val="0"/>
          <w:szCs w:val="20"/>
          <w:lang w:val="en-US"/>
        </w:rPr>
        <w:t>state authorities</w:t>
      </w:r>
      <w:r w:rsidRPr="004542B5">
        <w:rPr>
          <w:noProof w:val="0"/>
          <w:szCs w:val="20"/>
          <w:lang w:val="en-US"/>
        </w:rPr>
        <w:t xml:space="preserve"> </w:t>
      </w:r>
      <w:r w:rsidR="00C57BC7" w:rsidRPr="004542B5">
        <w:rPr>
          <w:rFonts w:cs="Tahoma"/>
          <w:noProof w:val="0"/>
          <w:szCs w:val="20"/>
          <w:lang w:val="en-US"/>
        </w:rPr>
        <w:t xml:space="preserve">signed four main agreement with indigenous representatives. First, the 1975 Majecito Agreement signed by the Emberá, which </w:t>
      </w:r>
      <w:r w:rsidR="00F54968" w:rsidRPr="004542B5">
        <w:rPr>
          <w:rFonts w:cs="Tahoma"/>
          <w:noProof w:val="0"/>
          <w:szCs w:val="20"/>
          <w:lang w:val="en-US"/>
        </w:rPr>
        <w:t>established</w:t>
      </w:r>
      <w:r w:rsidR="00C57BC7" w:rsidRPr="004542B5">
        <w:rPr>
          <w:rFonts w:cs="Tahoma"/>
          <w:noProof w:val="0"/>
          <w:szCs w:val="20"/>
          <w:lang w:val="en-US"/>
        </w:rPr>
        <w:t xml:space="preserve"> the general guidelines for the relocation of this community and, subsequently, the agreements of Farallón in 1976, Fuerte Cimarrón in 1977, and La Espriella in 1980 with the Kuna of Madungandí, which referred to the compensation supposedly agreed by the parties for the flooding of the indigenous</w:t>
      </w:r>
      <w:r w:rsidR="00F54968" w:rsidRPr="004542B5">
        <w:rPr>
          <w:rFonts w:cs="Tahoma"/>
          <w:noProof w:val="0"/>
          <w:szCs w:val="20"/>
          <w:lang w:val="en-US"/>
        </w:rPr>
        <w:t xml:space="preserve"> peoples’</w:t>
      </w:r>
      <w:r w:rsidR="00C57BC7" w:rsidRPr="004542B5">
        <w:rPr>
          <w:rFonts w:cs="Tahoma"/>
          <w:noProof w:val="0"/>
          <w:szCs w:val="20"/>
          <w:lang w:val="en-US"/>
        </w:rPr>
        <w:t xml:space="preserve"> lands and their displacement. Over the years following these agreements, several meetings were held between the parties in order, above all, to seek a solution to the land disputes between the indigenous peoples and the settlers, and to recognize the land rights of the Kuna and Emberá peoples.</w:t>
      </w:r>
      <w:r w:rsidRPr="004542B5">
        <w:rPr>
          <w:rStyle w:val="FootnoteReference"/>
          <w:bCs/>
          <w:noProof w:val="0"/>
          <w:lang w:val="en-US"/>
        </w:rPr>
        <w:footnoteReference w:id="380"/>
      </w:r>
    </w:p>
    <w:p w14:paraId="73DD9645" w14:textId="77777777" w:rsidR="00E76B2D" w:rsidRPr="004542B5" w:rsidRDefault="00E76B2D" w:rsidP="00E76B2D">
      <w:pPr>
        <w:pStyle w:val="ListParagraph"/>
        <w:ind w:left="0"/>
        <w:contextualSpacing w:val="0"/>
        <w:rPr>
          <w:bCs/>
          <w:noProof w:val="0"/>
          <w:szCs w:val="20"/>
          <w:lang w:val="en-US"/>
        </w:rPr>
      </w:pPr>
    </w:p>
    <w:p w14:paraId="16DABE32" w14:textId="3D267950" w:rsidR="00E76B2D" w:rsidRPr="004542B5" w:rsidRDefault="00E76B2D" w:rsidP="00E76B2D">
      <w:pPr>
        <w:pStyle w:val="ListParagraph"/>
        <w:ind w:left="0"/>
        <w:contextualSpacing w:val="0"/>
        <w:rPr>
          <w:noProof w:val="0"/>
          <w:szCs w:val="20"/>
          <w:lang w:val="en-US"/>
        </w:rPr>
      </w:pPr>
      <w:r w:rsidRPr="004542B5">
        <w:rPr>
          <w:bCs/>
          <w:noProof w:val="0"/>
          <w:szCs w:val="20"/>
          <w:lang w:val="en-US"/>
        </w:rPr>
        <w:t>65.</w:t>
      </w:r>
      <w:r w:rsidRPr="004542B5">
        <w:rPr>
          <w:bCs/>
          <w:noProof w:val="0"/>
          <w:szCs w:val="20"/>
          <w:lang w:val="en-US"/>
        </w:rPr>
        <w:tab/>
      </w:r>
      <w:r w:rsidR="00C57BC7" w:rsidRPr="004542B5">
        <w:rPr>
          <w:bCs/>
          <w:noProof w:val="0"/>
          <w:szCs w:val="20"/>
          <w:lang w:val="en-US"/>
        </w:rPr>
        <w:t xml:space="preserve">In the early 1980s, an interinstitutional commission was set up responsible for the “Organization and </w:t>
      </w:r>
      <w:r w:rsidR="006D15E9" w:rsidRPr="004542B5">
        <w:rPr>
          <w:bCs/>
          <w:noProof w:val="0"/>
          <w:szCs w:val="20"/>
          <w:lang w:val="en-US"/>
        </w:rPr>
        <w:t>Integral</w:t>
      </w:r>
      <w:r w:rsidR="00C57BC7" w:rsidRPr="004542B5">
        <w:rPr>
          <w:bCs/>
          <w:noProof w:val="0"/>
          <w:szCs w:val="20"/>
          <w:lang w:val="en-US"/>
        </w:rPr>
        <w:t xml:space="preserve"> Management of the Alto Bayano Watershed” with the task, </w:t>
      </w:r>
      <w:r w:rsidR="00F54968" w:rsidRPr="004542B5">
        <w:rPr>
          <w:bCs/>
          <w:i/>
          <w:iCs/>
          <w:noProof w:val="0"/>
          <w:szCs w:val="20"/>
          <w:lang w:val="en-US"/>
        </w:rPr>
        <w:t>inter alia</w:t>
      </w:r>
      <w:r w:rsidR="00C57BC7" w:rsidRPr="004542B5">
        <w:rPr>
          <w:bCs/>
          <w:noProof w:val="0"/>
          <w:szCs w:val="20"/>
          <w:lang w:val="en-US"/>
        </w:rPr>
        <w:t xml:space="preserve">, of making an initial study of the situation of land tenure in some of the areas that were considered to be conflictive, and defining the </w:t>
      </w:r>
      <w:r w:rsidR="00C57BC7" w:rsidRPr="004542B5">
        <w:rPr>
          <w:noProof w:val="0"/>
          <w:szCs w:val="20"/>
          <w:lang w:val="en-US"/>
        </w:rPr>
        <w:t>b</w:t>
      </w:r>
      <w:r w:rsidR="00C57BC7" w:rsidRPr="004542B5">
        <w:rPr>
          <w:rFonts w:cs="Tahoma"/>
          <w:noProof w:val="0"/>
          <w:szCs w:val="20"/>
          <w:lang w:val="en-US"/>
        </w:rPr>
        <w:t>oundaries</w:t>
      </w:r>
      <w:r w:rsidR="00C57BC7" w:rsidRPr="004542B5">
        <w:rPr>
          <w:bCs/>
          <w:noProof w:val="0"/>
          <w:szCs w:val="20"/>
          <w:lang w:val="en-US"/>
        </w:rPr>
        <w:t xml:space="preserve"> between the Madungandí Reserve and the </w:t>
      </w:r>
      <w:r w:rsidR="00C57BC7" w:rsidRPr="004542B5">
        <w:rPr>
          <w:noProof w:val="0"/>
          <w:szCs w:val="20"/>
          <w:lang w:val="en-US"/>
        </w:rPr>
        <w:t xml:space="preserve">settlers. </w:t>
      </w:r>
      <w:r w:rsidR="00C57BC7" w:rsidRPr="004542B5">
        <w:rPr>
          <w:rFonts w:eastAsia="Times New Roman" w:cs="Tahoma"/>
          <w:noProof w:val="0"/>
          <w:szCs w:val="18"/>
          <w:lang w:val="en-US"/>
        </w:rPr>
        <w:t>On April 23,</w:t>
      </w:r>
      <w:r w:rsidR="00C57BC7" w:rsidRPr="004542B5">
        <w:rPr>
          <w:noProof w:val="0"/>
          <w:szCs w:val="20"/>
          <w:lang w:val="en-US"/>
        </w:rPr>
        <w:t xml:space="preserve"> 1982, the Government issued Decree </w:t>
      </w:r>
      <w:r w:rsidR="00C57BC7" w:rsidRPr="004542B5">
        <w:rPr>
          <w:rFonts w:cs="Tahoma"/>
          <w:noProof w:val="0"/>
          <w:szCs w:val="20"/>
          <w:lang w:val="en-US"/>
        </w:rPr>
        <w:t xml:space="preserve">No. </w:t>
      </w:r>
      <w:r w:rsidR="00C57BC7" w:rsidRPr="004542B5">
        <w:rPr>
          <w:noProof w:val="0"/>
          <w:szCs w:val="20"/>
          <w:lang w:val="en-US"/>
        </w:rPr>
        <w:t xml:space="preserve">5-A which regulated the adjudication, for sale, </w:t>
      </w:r>
      <w:r w:rsidR="006110CB" w:rsidRPr="004542B5">
        <w:rPr>
          <w:noProof w:val="0"/>
          <w:szCs w:val="20"/>
          <w:lang w:val="en-US"/>
        </w:rPr>
        <w:t>of parcels</w:t>
      </w:r>
      <w:r w:rsidR="007F3C2B" w:rsidRPr="004542B5">
        <w:rPr>
          <w:noProof w:val="0"/>
          <w:szCs w:val="20"/>
          <w:lang w:val="en-US"/>
        </w:rPr>
        <w:t xml:space="preserve"> of </w:t>
      </w:r>
      <w:r w:rsidR="00C57BC7" w:rsidRPr="004542B5">
        <w:rPr>
          <w:noProof w:val="0"/>
          <w:szCs w:val="20"/>
          <w:lang w:val="en-US"/>
        </w:rPr>
        <w:t xml:space="preserve">rural lands </w:t>
      </w:r>
      <w:r w:rsidR="007F3C2B" w:rsidRPr="004542B5">
        <w:rPr>
          <w:noProof w:val="0"/>
          <w:szCs w:val="20"/>
          <w:lang w:val="en-US"/>
        </w:rPr>
        <w:t xml:space="preserve">that had been declared the property of the State, </w:t>
      </w:r>
      <w:r w:rsidR="00C57BC7" w:rsidRPr="004542B5">
        <w:rPr>
          <w:noProof w:val="0"/>
          <w:szCs w:val="20"/>
          <w:lang w:val="en-US"/>
        </w:rPr>
        <w:t>excluding the areas of the lands of the Kuna and Emberá indigenous people</w:t>
      </w:r>
      <w:r w:rsidR="007F3C2B" w:rsidRPr="004542B5">
        <w:rPr>
          <w:noProof w:val="0"/>
          <w:szCs w:val="20"/>
          <w:lang w:val="en-US"/>
        </w:rPr>
        <w:t>s. Subsequently, on August 3, 1984, representatives of the State, the Kuna people and the Bayano Corporation signed a “</w:t>
      </w:r>
      <w:r w:rsidR="00F54968" w:rsidRPr="004542B5">
        <w:rPr>
          <w:noProof w:val="0"/>
          <w:szCs w:val="20"/>
          <w:lang w:val="en-US"/>
        </w:rPr>
        <w:t>m</w:t>
      </w:r>
      <w:r w:rsidR="007F3C2B" w:rsidRPr="004542B5">
        <w:rPr>
          <w:noProof w:val="0"/>
          <w:szCs w:val="20"/>
          <w:lang w:val="en-US"/>
        </w:rPr>
        <w:t xml:space="preserve">emorandum of </w:t>
      </w:r>
      <w:r w:rsidR="00F54968" w:rsidRPr="004542B5">
        <w:rPr>
          <w:noProof w:val="0"/>
          <w:szCs w:val="20"/>
          <w:lang w:val="en-US"/>
        </w:rPr>
        <w:t>u</w:t>
      </w:r>
      <w:r w:rsidR="007F3C2B" w:rsidRPr="004542B5">
        <w:rPr>
          <w:noProof w:val="0"/>
          <w:szCs w:val="20"/>
          <w:lang w:val="en-US"/>
        </w:rPr>
        <w:t xml:space="preserve">nderstanding” which established, </w:t>
      </w:r>
      <w:bookmarkStart w:id="275" w:name="_Hlk44833880"/>
      <w:r w:rsidR="007F3C2B" w:rsidRPr="004542B5">
        <w:rPr>
          <w:i/>
          <w:iCs/>
          <w:noProof w:val="0"/>
          <w:szCs w:val="20"/>
          <w:lang w:val="en-US"/>
        </w:rPr>
        <w:t>inter alia</w:t>
      </w:r>
      <w:r w:rsidR="007F3C2B" w:rsidRPr="004542B5">
        <w:rPr>
          <w:noProof w:val="0"/>
          <w:szCs w:val="20"/>
          <w:lang w:val="en-US"/>
        </w:rPr>
        <w:t xml:space="preserve">, </w:t>
      </w:r>
      <w:bookmarkEnd w:id="275"/>
      <w:r w:rsidR="007F3C2B" w:rsidRPr="004542B5">
        <w:rPr>
          <w:noProof w:val="0"/>
          <w:szCs w:val="20"/>
          <w:lang w:val="en-US"/>
        </w:rPr>
        <w:t>that it was “</w:t>
      </w:r>
      <w:r w:rsidR="007F3C2B" w:rsidRPr="004542B5">
        <w:rPr>
          <w:i/>
          <w:iCs/>
          <w:noProof w:val="0"/>
          <w:szCs w:val="20"/>
          <w:lang w:val="en-US"/>
        </w:rPr>
        <w:t>obligatory to comply with the commitments made by the National Government towards the Kuna indigenous communities located in the area</w:t>
      </w:r>
      <w:r w:rsidR="007F3C2B" w:rsidRPr="004542B5">
        <w:rPr>
          <w:noProof w:val="0"/>
          <w:szCs w:val="20"/>
          <w:lang w:val="en-US"/>
        </w:rPr>
        <w:t>” and that “one of the commitments made refers to the creation of the Kuna Comarca of Madungandí.</w:t>
      </w:r>
      <w:r w:rsidRPr="004542B5">
        <w:rPr>
          <w:noProof w:val="0"/>
          <w:szCs w:val="20"/>
          <w:lang w:val="en-US"/>
        </w:rPr>
        <w:t>”</w:t>
      </w:r>
      <w:r w:rsidRPr="004542B5">
        <w:rPr>
          <w:rStyle w:val="FootnoteReference"/>
          <w:noProof w:val="0"/>
          <w:lang w:val="en-US"/>
        </w:rPr>
        <w:footnoteReference w:id="381"/>
      </w:r>
    </w:p>
    <w:p w14:paraId="60BF31A5" w14:textId="77777777" w:rsidR="00E76B2D" w:rsidRPr="004542B5" w:rsidRDefault="00E76B2D" w:rsidP="00E76B2D">
      <w:pPr>
        <w:rPr>
          <w:noProof w:val="0"/>
          <w:szCs w:val="20"/>
          <w:lang w:val="en-US"/>
        </w:rPr>
      </w:pPr>
    </w:p>
    <w:p w14:paraId="21E06A99" w14:textId="48B5A0A4" w:rsidR="00E76B2D" w:rsidRPr="004542B5" w:rsidRDefault="00E76B2D" w:rsidP="00E76B2D">
      <w:pPr>
        <w:rPr>
          <w:noProof w:val="0"/>
          <w:szCs w:val="20"/>
          <w:lang w:val="en-US"/>
        </w:rPr>
      </w:pPr>
      <w:r w:rsidRPr="004542B5">
        <w:rPr>
          <w:noProof w:val="0"/>
          <w:szCs w:val="20"/>
          <w:lang w:val="en-US"/>
        </w:rPr>
        <w:t>66.</w:t>
      </w:r>
      <w:r w:rsidRPr="004542B5">
        <w:rPr>
          <w:noProof w:val="0"/>
          <w:szCs w:val="20"/>
          <w:lang w:val="en-US"/>
        </w:rPr>
        <w:tab/>
      </w:r>
      <w:r w:rsidR="007F3C2B" w:rsidRPr="004542B5">
        <w:rPr>
          <w:noProof w:val="0"/>
          <w:szCs w:val="20"/>
          <w:lang w:val="en-US"/>
        </w:rPr>
        <w:t xml:space="preserve">Subsequently, </w:t>
      </w:r>
      <w:r w:rsidR="007F3C2B" w:rsidRPr="004542B5">
        <w:rPr>
          <w:rFonts w:cs="Tahoma"/>
          <w:noProof w:val="0"/>
          <w:szCs w:val="20"/>
          <w:lang w:val="en-US"/>
        </w:rPr>
        <w:t xml:space="preserve">in the early 1990s, the incursion of non-indigenous persons into the lands of the Kuna and Emberá communities increased and tensions rose in the area, which resulted in numerous responses by the State, such as the creation of </w:t>
      </w:r>
      <w:r w:rsidR="00F54968" w:rsidRPr="004542B5">
        <w:rPr>
          <w:rFonts w:cs="Tahoma"/>
          <w:noProof w:val="0"/>
          <w:szCs w:val="20"/>
          <w:lang w:val="en-US"/>
        </w:rPr>
        <w:t xml:space="preserve">a </w:t>
      </w:r>
      <w:r w:rsidR="007F3C2B" w:rsidRPr="004542B5">
        <w:rPr>
          <w:rFonts w:cs="Tahoma"/>
          <w:noProof w:val="0"/>
          <w:szCs w:val="20"/>
          <w:lang w:val="en-US"/>
        </w:rPr>
        <w:t xml:space="preserve">“Governmental Interdisciplinary Team” composed of several state entities which prepared an </w:t>
      </w:r>
      <w:r w:rsidR="006110CB" w:rsidRPr="004542B5">
        <w:rPr>
          <w:rFonts w:cs="Tahoma"/>
          <w:noProof w:val="0"/>
          <w:szCs w:val="20"/>
          <w:lang w:val="en-US"/>
        </w:rPr>
        <w:t>agreement</w:t>
      </w:r>
      <w:r w:rsidR="007F3C2B" w:rsidRPr="004542B5">
        <w:rPr>
          <w:rFonts w:cs="Tahoma"/>
          <w:noProof w:val="0"/>
          <w:szCs w:val="20"/>
          <w:lang w:val="en-US"/>
        </w:rPr>
        <w:t xml:space="preserve"> that was signed on </w:t>
      </w:r>
      <w:r w:rsidR="00816749" w:rsidRPr="004542B5">
        <w:rPr>
          <w:noProof w:val="0"/>
          <w:szCs w:val="20"/>
          <w:lang w:val="en-US"/>
        </w:rPr>
        <w:t>March 23,</w:t>
      </w:r>
      <w:r w:rsidRPr="004542B5">
        <w:rPr>
          <w:noProof w:val="0"/>
          <w:szCs w:val="20"/>
          <w:lang w:val="en-US"/>
        </w:rPr>
        <w:t xml:space="preserve"> 1990</w:t>
      </w:r>
      <w:r w:rsidR="007F3C2B" w:rsidRPr="004542B5">
        <w:rPr>
          <w:noProof w:val="0"/>
          <w:szCs w:val="20"/>
          <w:lang w:val="en-US"/>
        </w:rPr>
        <w:t xml:space="preserve">, </w:t>
      </w:r>
      <w:r w:rsidR="007F3C2B" w:rsidRPr="004542B5">
        <w:rPr>
          <w:rFonts w:cs="Tahoma"/>
          <w:noProof w:val="0"/>
          <w:szCs w:val="20"/>
          <w:lang w:val="en-US"/>
        </w:rPr>
        <w:t>by those entities and two official representatives of the indigenous peoples of the Bayano</w:t>
      </w:r>
      <w:r w:rsidR="00931DA4" w:rsidRPr="004542B5">
        <w:rPr>
          <w:rFonts w:cs="Tahoma"/>
          <w:noProof w:val="0"/>
          <w:szCs w:val="20"/>
          <w:lang w:val="en-US"/>
        </w:rPr>
        <w:t>. The</w:t>
      </w:r>
      <w:r w:rsidR="00F54968" w:rsidRPr="004542B5">
        <w:rPr>
          <w:rFonts w:cs="Tahoma"/>
          <w:noProof w:val="0"/>
          <w:szCs w:val="20"/>
          <w:lang w:val="en-US"/>
        </w:rPr>
        <w:t xml:space="preserve"> following year, the</w:t>
      </w:r>
      <w:r w:rsidR="00931DA4" w:rsidRPr="004542B5">
        <w:rPr>
          <w:rFonts w:cs="Tahoma"/>
          <w:noProof w:val="0"/>
          <w:szCs w:val="20"/>
          <w:lang w:val="en-US"/>
        </w:rPr>
        <w:t xml:space="preserve"> “Working Agreement for the Territorial Reorganization of Alto Bayano” was signed on July 16, 1991</w:t>
      </w:r>
      <w:r w:rsidRPr="004542B5">
        <w:rPr>
          <w:noProof w:val="0"/>
          <w:szCs w:val="20"/>
          <w:lang w:val="en-US"/>
        </w:rPr>
        <w:t>.</w:t>
      </w:r>
      <w:r w:rsidRPr="004542B5">
        <w:rPr>
          <w:rStyle w:val="FootnoteReference"/>
          <w:noProof w:val="0"/>
          <w:lang w:val="en-US"/>
        </w:rPr>
        <w:footnoteReference w:id="382"/>
      </w:r>
    </w:p>
    <w:p w14:paraId="39663963" w14:textId="77777777" w:rsidR="00E76B2D" w:rsidRPr="004542B5" w:rsidRDefault="00E76B2D" w:rsidP="00E76B2D">
      <w:pPr>
        <w:pStyle w:val="ListParagraph"/>
        <w:ind w:left="0"/>
        <w:contextualSpacing w:val="0"/>
        <w:rPr>
          <w:noProof w:val="0"/>
          <w:szCs w:val="20"/>
          <w:lang w:val="en-US"/>
        </w:rPr>
      </w:pPr>
    </w:p>
    <w:p w14:paraId="21B46196" w14:textId="69383635" w:rsidR="00E76B2D" w:rsidRPr="004542B5" w:rsidRDefault="00E76B2D" w:rsidP="00E76B2D">
      <w:pPr>
        <w:pStyle w:val="ListParagraph"/>
        <w:ind w:left="0"/>
        <w:contextualSpacing w:val="0"/>
        <w:rPr>
          <w:rFonts w:cs="Tahoma"/>
          <w:noProof w:val="0"/>
          <w:szCs w:val="20"/>
          <w:lang w:val="en-US"/>
        </w:rPr>
      </w:pPr>
      <w:r w:rsidRPr="004542B5">
        <w:rPr>
          <w:noProof w:val="0"/>
          <w:szCs w:val="20"/>
          <w:lang w:val="en-US"/>
        </w:rPr>
        <w:t>67.</w:t>
      </w:r>
      <w:r w:rsidRPr="004542B5">
        <w:rPr>
          <w:noProof w:val="0"/>
          <w:szCs w:val="20"/>
          <w:lang w:val="en-US"/>
        </w:rPr>
        <w:tab/>
      </w:r>
      <w:r w:rsidR="00D11EC4" w:rsidRPr="004542B5">
        <w:rPr>
          <w:noProof w:val="0"/>
          <w:szCs w:val="20"/>
          <w:lang w:val="en-US"/>
        </w:rPr>
        <w:t>On January 24,</w:t>
      </w:r>
      <w:r w:rsidRPr="004542B5">
        <w:rPr>
          <w:noProof w:val="0"/>
          <w:szCs w:val="20"/>
          <w:lang w:val="en-US"/>
        </w:rPr>
        <w:t xml:space="preserve"> 1992</w:t>
      </w:r>
      <w:r w:rsidR="00D11EC4" w:rsidRPr="004542B5">
        <w:rPr>
          <w:noProof w:val="0"/>
          <w:szCs w:val="20"/>
          <w:lang w:val="en-US"/>
        </w:rPr>
        <w:t>,</w:t>
      </w:r>
      <w:r w:rsidRPr="004542B5">
        <w:rPr>
          <w:noProof w:val="0"/>
          <w:szCs w:val="20"/>
          <w:lang w:val="en-US"/>
        </w:rPr>
        <w:t xml:space="preserve"> </w:t>
      </w:r>
      <w:r w:rsidR="00D11EC4" w:rsidRPr="004542B5">
        <w:rPr>
          <w:rFonts w:cs="Tahoma"/>
          <w:noProof w:val="0"/>
          <w:szCs w:val="20"/>
          <w:lang w:val="en-US"/>
        </w:rPr>
        <w:t xml:space="preserve">the Director General of the Corporation for the Integral Development of the Bayano issued Resolution No. 002 deciding to recover the said lands and “[t]o establish a land management program in order to settle the existing </w:t>
      </w:r>
      <w:r w:rsidR="00D11EC4" w:rsidRPr="004542B5">
        <w:rPr>
          <w:rFonts w:cs="Tahoma"/>
          <w:noProof w:val="0"/>
          <w:szCs w:val="20"/>
          <w:lang w:val="en-US"/>
        </w:rPr>
        <w:lastRenderedPageBreak/>
        <w:t xml:space="preserve">conflicts permanently.” On March 17, 1992, the Ministry of the Interior and Justice issued Resolution No. 63, which referred to the </w:t>
      </w:r>
      <w:r w:rsidR="00F54968" w:rsidRPr="004542B5">
        <w:rPr>
          <w:rFonts w:cs="Tahoma"/>
          <w:noProof w:val="0"/>
          <w:szCs w:val="20"/>
          <w:lang w:val="en-US"/>
        </w:rPr>
        <w:t>afore</w:t>
      </w:r>
      <w:r w:rsidR="00D11EC4" w:rsidRPr="004542B5">
        <w:rPr>
          <w:rFonts w:cs="Tahoma"/>
          <w:noProof w:val="0"/>
          <w:szCs w:val="20"/>
          <w:lang w:val="en-US"/>
        </w:rPr>
        <w:t>mentioned Resolution No. 002 and granted the provincial governor and the Chepo mayor the necessary authority “to order the relocation of the settlers who had invaded the conflict areas.</w:t>
      </w:r>
      <w:r w:rsidRPr="004542B5">
        <w:rPr>
          <w:noProof w:val="0"/>
          <w:szCs w:val="20"/>
          <w:lang w:val="en-US"/>
        </w:rPr>
        <w:t>”</w:t>
      </w:r>
      <w:r w:rsidRPr="004542B5">
        <w:rPr>
          <w:rStyle w:val="FootnoteReference"/>
          <w:noProof w:val="0"/>
          <w:lang w:val="en-US"/>
        </w:rPr>
        <w:footnoteReference w:id="383"/>
      </w:r>
    </w:p>
    <w:p w14:paraId="20106A12" w14:textId="77777777" w:rsidR="00E76B2D" w:rsidRPr="004542B5" w:rsidRDefault="00E76B2D" w:rsidP="00E76B2D">
      <w:pPr>
        <w:rPr>
          <w:noProof w:val="0"/>
          <w:szCs w:val="20"/>
          <w:lang w:val="en-US"/>
        </w:rPr>
      </w:pPr>
    </w:p>
    <w:p w14:paraId="30C1FF52" w14:textId="7F8E19CA" w:rsidR="00E76B2D" w:rsidRPr="004542B5" w:rsidRDefault="00E76B2D" w:rsidP="00E76B2D">
      <w:pPr>
        <w:rPr>
          <w:noProof w:val="0"/>
          <w:szCs w:val="20"/>
          <w:lang w:val="en-US"/>
        </w:rPr>
      </w:pPr>
      <w:r w:rsidRPr="004542B5">
        <w:rPr>
          <w:noProof w:val="0"/>
          <w:szCs w:val="20"/>
          <w:lang w:val="en-US"/>
        </w:rPr>
        <w:t>68.</w:t>
      </w:r>
      <w:r w:rsidRPr="004542B5">
        <w:rPr>
          <w:noProof w:val="0"/>
          <w:szCs w:val="20"/>
          <w:lang w:val="en-US"/>
        </w:rPr>
        <w:tab/>
      </w:r>
      <w:r w:rsidR="006110CB" w:rsidRPr="004542B5">
        <w:rPr>
          <w:noProof w:val="0"/>
          <w:szCs w:val="20"/>
          <w:lang w:val="en-US"/>
        </w:rPr>
        <w:t>Subsequently</w:t>
      </w:r>
      <w:r w:rsidR="000426DA" w:rsidRPr="004542B5">
        <w:rPr>
          <w:noProof w:val="0"/>
          <w:szCs w:val="20"/>
          <w:lang w:val="en-US"/>
        </w:rPr>
        <w:t xml:space="preserve"> the State took </w:t>
      </w:r>
      <w:r w:rsidR="006110CB" w:rsidRPr="004542B5">
        <w:rPr>
          <w:noProof w:val="0"/>
          <w:szCs w:val="20"/>
          <w:lang w:val="en-US"/>
        </w:rPr>
        <w:t>various</w:t>
      </w:r>
      <w:r w:rsidR="000426DA" w:rsidRPr="004542B5">
        <w:rPr>
          <w:noProof w:val="0"/>
          <w:szCs w:val="20"/>
          <w:lang w:val="en-US"/>
        </w:rPr>
        <w:t xml:space="preserve"> measures such as establishing a Joint Commission composed of state and indigenous </w:t>
      </w:r>
      <w:r w:rsidR="00FD22C3" w:rsidRPr="004542B5">
        <w:rPr>
          <w:noProof w:val="0"/>
          <w:szCs w:val="20"/>
          <w:lang w:val="en-US"/>
        </w:rPr>
        <w:t>representatives</w:t>
      </w:r>
      <w:r w:rsidR="00F54968" w:rsidRPr="004542B5">
        <w:rPr>
          <w:noProof w:val="0"/>
          <w:szCs w:val="20"/>
          <w:lang w:val="en-US"/>
        </w:rPr>
        <w:t xml:space="preserve"> that</w:t>
      </w:r>
      <w:r w:rsidR="000426DA" w:rsidRPr="004542B5">
        <w:rPr>
          <w:noProof w:val="0"/>
          <w:szCs w:val="20"/>
          <w:lang w:val="en-US"/>
        </w:rPr>
        <w:t xml:space="preserve"> prepared a study on the creation of a comarca for the Kuna and the </w:t>
      </w:r>
      <w:r w:rsidR="006110CB" w:rsidRPr="004542B5">
        <w:rPr>
          <w:noProof w:val="0"/>
          <w:szCs w:val="20"/>
          <w:lang w:val="en-US"/>
        </w:rPr>
        <w:t>demarcation</w:t>
      </w:r>
      <w:r w:rsidR="000426DA" w:rsidRPr="004542B5">
        <w:rPr>
          <w:noProof w:val="0"/>
          <w:szCs w:val="20"/>
          <w:lang w:val="en-US"/>
        </w:rPr>
        <w:t xml:space="preserve"> of the collective lands of the 42 Emberá </w:t>
      </w:r>
      <w:r w:rsidR="006110CB" w:rsidRPr="004542B5">
        <w:rPr>
          <w:noProof w:val="0"/>
          <w:szCs w:val="20"/>
          <w:lang w:val="en-US"/>
        </w:rPr>
        <w:t>communities</w:t>
      </w:r>
      <w:r w:rsidR="000426DA" w:rsidRPr="004542B5">
        <w:rPr>
          <w:noProof w:val="0"/>
          <w:szCs w:val="20"/>
          <w:lang w:val="en-US"/>
        </w:rPr>
        <w:t>.</w:t>
      </w:r>
      <w:r w:rsidRPr="004542B5">
        <w:rPr>
          <w:rStyle w:val="FootnoteReference"/>
          <w:noProof w:val="0"/>
          <w:lang w:val="en-US"/>
        </w:rPr>
        <w:footnoteReference w:id="384"/>
      </w:r>
      <w:r w:rsidRPr="004542B5">
        <w:rPr>
          <w:noProof w:val="0"/>
          <w:szCs w:val="20"/>
          <w:lang w:val="en-US"/>
        </w:rPr>
        <w:t xml:space="preserve"> </w:t>
      </w:r>
      <w:r w:rsidR="000426DA" w:rsidRPr="004542B5">
        <w:rPr>
          <w:noProof w:val="0"/>
          <w:szCs w:val="20"/>
          <w:lang w:val="en-US"/>
        </w:rPr>
        <w:t>On January 31,</w:t>
      </w:r>
      <w:r w:rsidRPr="004542B5">
        <w:rPr>
          <w:noProof w:val="0"/>
          <w:szCs w:val="20"/>
          <w:lang w:val="en-US"/>
        </w:rPr>
        <w:t xml:space="preserve"> 1995</w:t>
      </w:r>
      <w:r w:rsidR="000426DA" w:rsidRPr="004542B5">
        <w:rPr>
          <w:noProof w:val="0"/>
          <w:szCs w:val="20"/>
          <w:lang w:val="en-US"/>
        </w:rPr>
        <w:t>,</w:t>
      </w:r>
      <w:r w:rsidRPr="004542B5">
        <w:rPr>
          <w:noProof w:val="0"/>
          <w:szCs w:val="20"/>
          <w:lang w:val="en-US"/>
        </w:rPr>
        <w:t xml:space="preserve"> </w:t>
      </w:r>
      <w:r w:rsidR="000426DA" w:rsidRPr="004542B5">
        <w:rPr>
          <w:noProof w:val="0"/>
          <w:szCs w:val="20"/>
          <w:lang w:val="en-US"/>
        </w:rPr>
        <w:t>a meeting was held between state authorities, the</w:t>
      </w:r>
      <w:r w:rsidRPr="004542B5">
        <w:rPr>
          <w:noProof w:val="0"/>
          <w:szCs w:val="20"/>
          <w:lang w:val="en-US"/>
        </w:rPr>
        <w:t xml:space="preserve"> Cacique General </w:t>
      </w:r>
      <w:r w:rsidR="000426DA" w:rsidRPr="004542B5">
        <w:rPr>
          <w:noProof w:val="0"/>
          <w:szCs w:val="20"/>
          <w:lang w:val="en-US"/>
        </w:rPr>
        <w:t xml:space="preserve">of </w:t>
      </w:r>
      <w:r w:rsidRPr="004542B5">
        <w:rPr>
          <w:noProof w:val="0"/>
          <w:szCs w:val="20"/>
          <w:lang w:val="en-US"/>
        </w:rPr>
        <w:t>Madungandí</w:t>
      </w:r>
      <w:r w:rsidR="00CD2B90" w:rsidRPr="004542B5">
        <w:rPr>
          <w:noProof w:val="0"/>
          <w:szCs w:val="20"/>
          <w:lang w:val="en-US"/>
        </w:rPr>
        <w:t xml:space="preserve"> and </w:t>
      </w:r>
      <w:r w:rsidR="00FD22C3" w:rsidRPr="004542B5">
        <w:rPr>
          <w:noProof w:val="0"/>
          <w:szCs w:val="20"/>
          <w:lang w:val="en-US"/>
        </w:rPr>
        <w:t>representatives</w:t>
      </w:r>
      <w:r w:rsidR="000426DA" w:rsidRPr="004542B5">
        <w:rPr>
          <w:noProof w:val="0"/>
          <w:szCs w:val="20"/>
          <w:lang w:val="en-US"/>
        </w:rPr>
        <w:t xml:space="preserve"> of the peasants from the different communities where there was conflict and an agreement was signed. Also, on December 29, </w:t>
      </w:r>
      <w:r w:rsidRPr="004542B5">
        <w:rPr>
          <w:noProof w:val="0"/>
          <w:szCs w:val="20"/>
          <w:lang w:val="en-US"/>
        </w:rPr>
        <w:t>1995</w:t>
      </w:r>
      <w:r w:rsidR="000426DA" w:rsidRPr="004542B5">
        <w:rPr>
          <w:noProof w:val="0"/>
          <w:szCs w:val="20"/>
          <w:lang w:val="en-US"/>
        </w:rPr>
        <w:t xml:space="preserve">, a law was approved creating the </w:t>
      </w:r>
      <w:r w:rsidR="00045DC1" w:rsidRPr="004542B5">
        <w:rPr>
          <w:noProof w:val="0"/>
          <w:szCs w:val="20"/>
          <w:lang w:val="en-US"/>
        </w:rPr>
        <w:t xml:space="preserve">Kuna Comarca </w:t>
      </w:r>
      <w:r w:rsidR="000426DA" w:rsidRPr="004542B5">
        <w:rPr>
          <w:noProof w:val="0"/>
          <w:szCs w:val="20"/>
          <w:lang w:val="en-US"/>
        </w:rPr>
        <w:t xml:space="preserve">with an area of approximately </w:t>
      </w:r>
      <w:r w:rsidRPr="004542B5">
        <w:rPr>
          <w:noProof w:val="0"/>
          <w:szCs w:val="20"/>
          <w:lang w:val="en-US"/>
        </w:rPr>
        <w:t xml:space="preserve">1,800 km2, </w:t>
      </w:r>
      <w:r w:rsidR="000426DA" w:rsidRPr="004542B5">
        <w:rPr>
          <w:noProof w:val="0"/>
          <w:szCs w:val="20"/>
          <w:lang w:val="en-US"/>
        </w:rPr>
        <w:t>and this was ratified by</w:t>
      </w:r>
      <w:r w:rsidRPr="004542B5">
        <w:rPr>
          <w:noProof w:val="0"/>
          <w:szCs w:val="20"/>
          <w:lang w:val="en-US"/>
        </w:rPr>
        <w:t xml:space="preserve"> </w:t>
      </w:r>
      <w:r w:rsidR="0033788F" w:rsidRPr="004542B5">
        <w:rPr>
          <w:noProof w:val="0"/>
          <w:szCs w:val="20"/>
          <w:lang w:val="en-US"/>
        </w:rPr>
        <w:t>Law</w:t>
      </w:r>
      <w:r w:rsidRPr="004542B5">
        <w:rPr>
          <w:noProof w:val="0"/>
          <w:szCs w:val="20"/>
          <w:lang w:val="en-US"/>
        </w:rPr>
        <w:t xml:space="preserve"> No. 24 </w:t>
      </w:r>
      <w:r w:rsidR="000426DA" w:rsidRPr="004542B5">
        <w:rPr>
          <w:noProof w:val="0"/>
          <w:szCs w:val="20"/>
          <w:lang w:val="en-US"/>
        </w:rPr>
        <w:t>of January 12,</w:t>
      </w:r>
      <w:r w:rsidRPr="004542B5">
        <w:rPr>
          <w:noProof w:val="0"/>
          <w:szCs w:val="20"/>
          <w:lang w:val="en-US"/>
        </w:rPr>
        <w:t xml:space="preserve"> 1996</w:t>
      </w:r>
      <w:r w:rsidR="000426DA" w:rsidRPr="004542B5">
        <w:rPr>
          <w:noProof w:val="0"/>
          <w:szCs w:val="20"/>
          <w:lang w:val="en-US"/>
        </w:rPr>
        <w:t>.</w:t>
      </w:r>
      <w:r w:rsidRPr="004542B5">
        <w:rPr>
          <w:rStyle w:val="FootnoteReference"/>
          <w:noProof w:val="0"/>
          <w:lang w:val="en-US"/>
        </w:rPr>
        <w:footnoteReference w:id="385"/>
      </w:r>
      <w:r w:rsidRPr="004542B5">
        <w:rPr>
          <w:noProof w:val="0"/>
          <w:szCs w:val="20"/>
          <w:lang w:val="en-US"/>
        </w:rPr>
        <w:t xml:space="preserve"> </w:t>
      </w:r>
      <w:bookmarkStart w:id="276" w:name="_Toc401217439"/>
    </w:p>
    <w:p w14:paraId="1D6CAAE8" w14:textId="77777777" w:rsidR="00E76B2D" w:rsidRPr="004542B5" w:rsidRDefault="00E76B2D" w:rsidP="00E76B2D">
      <w:pPr>
        <w:rPr>
          <w:noProof w:val="0"/>
          <w:szCs w:val="20"/>
          <w:lang w:val="en-US"/>
        </w:rPr>
      </w:pPr>
    </w:p>
    <w:p w14:paraId="6CE55002" w14:textId="36AD84E1" w:rsidR="00E76B2D" w:rsidRPr="004542B5" w:rsidRDefault="00E76B2D" w:rsidP="00E76B2D">
      <w:pPr>
        <w:rPr>
          <w:noProof w:val="0"/>
          <w:szCs w:val="20"/>
          <w:lang w:val="en-US"/>
        </w:rPr>
      </w:pPr>
      <w:r w:rsidRPr="004542B5">
        <w:rPr>
          <w:noProof w:val="0"/>
          <w:szCs w:val="20"/>
          <w:lang w:val="en-US"/>
        </w:rPr>
        <w:t>69.</w:t>
      </w:r>
      <w:r w:rsidRPr="004542B5">
        <w:rPr>
          <w:noProof w:val="0"/>
          <w:szCs w:val="20"/>
          <w:lang w:val="en-US"/>
        </w:rPr>
        <w:tab/>
      </w:r>
      <w:r w:rsidR="000426DA" w:rsidRPr="004542B5">
        <w:rPr>
          <w:noProof w:val="0"/>
          <w:szCs w:val="20"/>
          <w:lang w:val="en-US"/>
        </w:rPr>
        <w:t xml:space="preserve">According to the facts of the case, as a result of diverse problems that arose owing to conflicts with </w:t>
      </w:r>
      <w:r w:rsidRPr="004542B5">
        <w:rPr>
          <w:noProof w:val="0"/>
          <w:szCs w:val="20"/>
          <w:lang w:val="en-US"/>
        </w:rPr>
        <w:t>“</w:t>
      </w:r>
      <w:r w:rsidR="00776FF0" w:rsidRPr="004542B5">
        <w:rPr>
          <w:noProof w:val="0"/>
          <w:szCs w:val="20"/>
          <w:lang w:val="en-US"/>
        </w:rPr>
        <w:t>settlers</w:t>
      </w:r>
      <w:r w:rsidRPr="004542B5">
        <w:rPr>
          <w:noProof w:val="0"/>
          <w:szCs w:val="20"/>
          <w:lang w:val="en-US"/>
        </w:rPr>
        <w:t xml:space="preserve">” </w:t>
      </w:r>
      <w:r w:rsidR="000426DA" w:rsidRPr="004542B5">
        <w:rPr>
          <w:noProof w:val="0"/>
          <w:szCs w:val="20"/>
          <w:lang w:val="en-US"/>
        </w:rPr>
        <w:t xml:space="preserve">in the area, </w:t>
      </w:r>
      <w:r w:rsidR="00CF265B" w:rsidRPr="004542B5">
        <w:rPr>
          <w:noProof w:val="0"/>
          <w:szCs w:val="20"/>
          <w:lang w:val="en-US"/>
        </w:rPr>
        <w:t>starting in 1996, n</w:t>
      </w:r>
      <w:r w:rsidR="005115A6" w:rsidRPr="004542B5">
        <w:rPr>
          <w:noProof w:val="0"/>
          <w:szCs w:val="20"/>
          <w:lang w:val="en-US"/>
        </w:rPr>
        <w:t xml:space="preserve">egotiation </w:t>
      </w:r>
      <w:r w:rsidR="00CF265B" w:rsidRPr="004542B5">
        <w:rPr>
          <w:noProof w:val="0"/>
          <w:szCs w:val="20"/>
          <w:lang w:val="en-US"/>
        </w:rPr>
        <w:t>ta</w:t>
      </w:r>
      <w:r w:rsidR="005115A6" w:rsidRPr="004542B5">
        <w:rPr>
          <w:noProof w:val="0"/>
          <w:szCs w:val="20"/>
          <w:lang w:val="en-US"/>
        </w:rPr>
        <w:t>bles</w:t>
      </w:r>
      <w:r w:rsidRPr="004542B5">
        <w:rPr>
          <w:noProof w:val="0"/>
          <w:szCs w:val="20"/>
          <w:lang w:val="en-US"/>
        </w:rPr>
        <w:t xml:space="preserve"> </w:t>
      </w:r>
      <w:r w:rsidR="00CF265B" w:rsidRPr="004542B5">
        <w:rPr>
          <w:noProof w:val="0"/>
          <w:szCs w:val="20"/>
          <w:lang w:val="en-US"/>
        </w:rPr>
        <w:t xml:space="preserve">were established under the </w:t>
      </w:r>
      <w:r w:rsidR="00982EC9" w:rsidRPr="004542B5">
        <w:rPr>
          <w:noProof w:val="0"/>
          <w:szCs w:val="20"/>
          <w:lang w:val="en-US"/>
        </w:rPr>
        <w:t>Darien</w:t>
      </w:r>
      <w:r w:rsidR="00CF265B" w:rsidRPr="004542B5">
        <w:rPr>
          <w:noProof w:val="0"/>
          <w:szCs w:val="20"/>
          <w:lang w:val="en-US"/>
        </w:rPr>
        <w:t xml:space="preserve"> Sustainable Development Program, which led to the physical demarcation of the Kuna Comarca between April and June 2000, a process that was carried out in coordination with the indigenous representatives.</w:t>
      </w:r>
      <w:bookmarkEnd w:id="276"/>
      <w:r w:rsidRPr="004542B5">
        <w:rPr>
          <w:rStyle w:val="FootnoteReference"/>
          <w:noProof w:val="0"/>
          <w:lang w:val="en-US"/>
        </w:rPr>
        <w:footnoteReference w:id="386"/>
      </w:r>
      <w:r w:rsidRPr="004542B5">
        <w:rPr>
          <w:noProof w:val="0"/>
          <w:szCs w:val="20"/>
          <w:lang w:val="en-US"/>
        </w:rPr>
        <w:t xml:space="preserve"> </w:t>
      </w:r>
      <w:r w:rsidR="00CF265B" w:rsidRPr="004542B5">
        <w:rPr>
          <w:noProof w:val="0"/>
          <w:szCs w:val="20"/>
          <w:lang w:val="en-US"/>
        </w:rPr>
        <w:t>In addition, various efforts were made to seek a friendly settlement to this situation under the inter-American system</w:t>
      </w:r>
      <w:r w:rsidRPr="004542B5">
        <w:rPr>
          <w:noProof w:val="0"/>
          <w:szCs w:val="20"/>
          <w:lang w:val="en-US"/>
        </w:rPr>
        <w:t>,</w:t>
      </w:r>
      <w:r w:rsidRPr="004542B5">
        <w:rPr>
          <w:rStyle w:val="FootnoteReference"/>
          <w:noProof w:val="0"/>
          <w:lang w:val="en-US"/>
        </w:rPr>
        <w:footnoteReference w:id="387"/>
      </w:r>
      <w:r w:rsidR="00CD2B90" w:rsidRPr="004542B5">
        <w:rPr>
          <w:noProof w:val="0"/>
          <w:szCs w:val="20"/>
          <w:lang w:val="en-US"/>
        </w:rPr>
        <w:t xml:space="preserve"> and </w:t>
      </w:r>
      <w:r w:rsidR="00CF265B" w:rsidRPr="004542B5">
        <w:rPr>
          <w:noProof w:val="0"/>
          <w:szCs w:val="20"/>
          <w:lang w:val="en-US"/>
        </w:rPr>
        <w:t xml:space="preserve">a High-level Presidential Commission was established, as well as a procedure for the adjudication of collective ownership of indigenous lands and the delimitation </w:t>
      </w:r>
      <w:r w:rsidR="00B201CC" w:rsidRPr="004542B5">
        <w:rPr>
          <w:noProof w:val="0"/>
          <w:szCs w:val="20"/>
          <w:lang w:val="en-US"/>
        </w:rPr>
        <w:t>of Emberá lands</w:t>
      </w:r>
      <w:r w:rsidR="00CF265B" w:rsidRPr="004542B5">
        <w:rPr>
          <w:noProof w:val="0"/>
          <w:szCs w:val="20"/>
          <w:lang w:val="en-US"/>
        </w:rPr>
        <w:t>.</w:t>
      </w:r>
      <w:r w:rsidRPr="004542B5">
        <w:rPr>
          <w:rStyle w:val="FootnoteReference"/>
          <w:noProof w:val="0"/>
          <w:lang w:val="en-US"/>
        </w:rPr>
        <w:footnoteReference w:id="388"/>
      </w:r>
    </w:p>
    <w:p w14:paraId="343B52BD" w14:textId="77777777" w:rsidR="00E76B2D" w:rsidRPr="004542B5" w:rsidRDefault="00E76B2D" w:rsidP="00E76B2D">
      <w:pPr>
        <w:rPr>
          <w:noProof w:val="0"/>
          <w:szCs w:val="20"/>
          <w:lang w:val="en-US"/>
        </w:rPr>
      </w:pPr>
    </w:p>
    <w:p w14:paraId="62E1F9CB" w14:textId="6539BC4D" w:rsidR="00E76B2D" w:rsidRPr="004542B5" w:rsidRDefault="00E76B2D" w:rsidP="00E76B2D">
      <w:pPr>
        <w:rPr>
          <w:noProof w:val="0"/>
          <w:szCs w:val="20"/>
          <w:lang w:val="en-US"/>
        </w:rPr>
      </w:pPr>
      <w:r w:rsidRPr="004542B5">
        <w:rPr>
          <w:noProof w:val="0"/>
          <w:szCs w:val="20"/>
          <w:lang w:val="en-US"/>
        </w:rPr>
        <w:t>70.</w:t>
      </w:r>
      <w:r w:rsidRPr="004542B5">
        <w:rPr>
          <w:noProof w:val="0"/>
          <w:szCs w:val="20"/>
          <w:lang w:val="en-US"/>
        </w:rPr>
        <w:tab/>
      </w:r>
      <w:r w:rsidR="00CF265B" w:rsidRPr="004542B5">
        <w:rPr>
          <w:noProof w:val="0"/>
          <w:szCs w:val="20"/>
          <w:lang w:val="en-US"/>
        </w:rPr>
        <w:t xml:space="preserve">Here, it should be recalled that </w:t>
      </w:r>
      <w:r w:rsidRPr="004542B5">
        <w:rPr>
          <w:noProof w:val="0"/>
          <w:szCs w:val="20"/>
          <w:lang w:val="en-US"/>
        </w:rPr>
        <w:t>“</w:t>
      </w:r>
      <w:r w:rsidR="00CF265B" w:rsidRPr="004542B5">
        <w:rPr>
          <w:noProof w:val="0"/>
          <w:szCs w:val="20"/>
          <w:lang w:val="en-US"/>
        </w:rPr>
        <w:t>a continuing violation is the breach of an international obligation by an act of a subject of international law extending in time and causing a duration of continuance in time of that breach.</w:t>
      </w:r>
      <w:r w:rsidRPr="004542B5">
        <w:rPr>
          <w:noProof w:val="0"/>
          <w:szCs w:val="20"/>
          <w:lang w:val="en-US"/>
        </w:rPr>
        <w:t>”</w:t>
      </w:r>
      <w:r w:rsidRPr="004542B5">
        <w:rPr>
          <w:rStyle w:val="FootnoteReference"/>
          <w:noProof w:val="0"/>
          <w:lang w:val="en-US"/>
        </w:rPr>
        <w:footnoteReference w:id="389"/>
      </w:r>
      <w:r w:rsidR="00CF265B" w:rsidRPr="004542B5">
        <w:rPr>
          <w:noProof w:val="0"/>
          <w:szCs w:val="20"/>
          <w:lang w:val="en-US"/>
        </w:rPr>
        <w:t xml:space="preserve"> In this regard,</w:t>
      </w:r>
      <w:r w:rsidRPr="004542B5">
        <w:rPr>
          <w:rStyle w:val="BodyTextChar"/>
          <w:rFonts w:ascii="Verdana" w:hAnsi="Verdana"/>
          <w:noProof w:val="0"/>
          <w:lang w:val="en-US"/>
        </w:rPr>
        <w:t xml:space="preserve"> </w:t>
      </w:r>
      <w:r w:rsidR="00562CBB" w:rsidRPr="004542B5">
        <w:rPr>
          <w:noProof w:val="0"/>
          <w:szCs w:val="20"/>
          <w:lang w:val="en-US"/>
        </w:rPr>
        <w:t xml:space="preserve">the </w:t>
      </w:r>
      <w:r w:rsidR="00D5368D" w:rsidRPr="004542B5">
        <w:rPr>
          <w:noProof w:val="0"/>
          <w:szCs w:val="20"/>
          <w:lang w:val="en-US"/>
        </w:rPr>
        <w:t>International Law Commission</w:t>
      </w:r>
      <w:r w:rsidR="00CF265B" w:rsidRPr="004542B5">
        <w:rPr>
          <w:noProof w:val="0"/>
          <w:szCs w:val="20"/>
          <w:lang w:val="en-US"/>
        </w:rPr>
        <w:t xml:space="preserve"> has established that:</w:t>
      </w:r>
      <w:r w:rsidRPr="004542B5">
        <w:rPr>
          <w:noProof w:val="0"/>
          <w:szCs w:val="20"/>
          <w:lang w:val="en-US"/>
        </w:rPr>
        <w:t xml:space="preserve"> “</w:t>
      </w:r>
      <w:r w:rsidR="00CF265B" w:rsidRPr="004542B5">
        <w:rPr>
          <w:noProof w:val="0"/>
          <w:szCs w:val="20"/>
          <w:lang w:val="en-US"/>
        </w:rPr>
        <w:t>T</w:t>
      </w:r>
      <w:r w:rsidR="00CF265B" w:rsidRPr="004542B5">
        <w:rPr>
          <w:noProof w:val="0"/>
          <w:lang w:val="en-US"/>
        </w:rPr>
        <w:t>he breach of an international obligation by an act of a State having a continuing character extends over the entire period during which the act continues and remains not in conformity with the international obligation.</w:t>
      </w:r>
      <w:r w:rsidRPr="004542B5">
        <w:rPr>
          <w:noProof w:val="0"/>
          <w:szCs w:val="20"/>
          <w:lang w:val="en-US"/>
        </w:rPr>
        <w:t>”</w:t>
      </w:r>
      <w:r w:rsidRPr="004542B5">
        <w:rPr>
          <w:rStyle w:val="FootnoteReference"/>
          <w:noProof w:val="0"/>
          <w:lang w:val="en-US"/>
        </w:rPr>
        <w:footnoteReference w:id="390"/>
      </w:r>
      <w:r w:rsidR="00CF265B" w:rsidRPr="004542B5">
        <w:rPr>
          <w:noProof w:val="0"/>
          <w:szCs w:val="20"/>
          <w:lang w:val="en-US"/>
        </w:rPr>
        <w:t xml:space="preserve"> It has also established that:</w:t>
      </w:r>
      <w:r w:rsidRPr="004542B5">
        <w:rPr>
          <w:noProof w:val="0"/>
          <w:szCs w:val="20"/>
          <w:lang w:val="en-US"/>
        </w:rPr>
        <w:t xml:space="preserve"> “</w:t>
      </w:r>
      <w:r w:rsidR="00CF265B" w:rsidRPr="004542B5">
        <w:rPr>
          <w:noProof w:val="0"/>
          <w:lang w:val="en-US"/>
        </w:rPr>
        <w:t>The breach of an international obligation requiring a State to prevent a given event occurs when the event occurs and extends over the entire period during which the event continues and remains not in conformity with that obligation.</w:t>
      </w:r>
      <w:r w:rsidRPr="004542B5">
        <w:rPr>
          <w:noProof w:val="0"/>
          <w:szCs w:val="20"/>
          <w:lang w:val="en-US"/>
        </w:rPr>
        <w:t>”</w:t>
      </w:r>
      <w:r w:rsidRPr="004542B5">
        <w:rPr>
          <w:rStyle w:val="FootnoteReference"/>
          <w:noProof w:val="0"/>
          <w:lang w:val="en-US"/>
        </w:rPr>
        <w:footnoteReference w:id="391"/>
      </w:r>
    </w:p>
    <w:p w14:paraId="1238D87C" w14:textId="77777777" w:rsidR="00E76B2D" w:rsidRPr="004542B5" w:rsidRDefault="00E76B2D" w:rsidP="00E76B2D">
      <w:pPr>
        <w:rPr>
          <w:noProof w:val="0"/>
          <w:szCs w:val="20"/>
          <w:lang w:val="en-US"/>
        </w:rPr>
      </w:pPr>
    </w:p>
    <w:p w14:paraId="29D5CA91" w14:textId="5A6797F9" w:rsidR="00E76B2D" w:rsidRPr="004542B5" w:rsidRDefault="00E76B2D" w:rsidP="00E76B2D">
      <w:pPr>
        <w:rPr>
          <w:noProof w:val="0"/>
          <w:szCs w:val="20"/>
          <w:lang w:val="en-US"/>
        </w:rPr>
      </w:pPr>
      <w:r w:rsidRPr="004542B5">
        <w:rPr>
          <w:noProof w:val="0"/>
          <w:szCs w:val="20"/>
          <w:lang w:val="en-US"/>
        </w:rPr>
        <w:t xml:space="preserve">71. </w:t>
      </w:r>
      <w:r w:rsidRPr="004542B5">
        <w:rPr>
          <w:noProof w:val="0"/>
          <w:szCs w:val="20"/>
          <w:lang w:val="en-US"/>
        </w:rPr>
        <w:tab/>
      </w:r>
      <w:r w:rsidR="00CF265B" w:rsidRPr="004542B5">
        <w:rPr>
          <w:noProof w:val="0"/>
          <w:szCs w:val="20"/>
          <w:lang w:val="en-US"/>
        </w:rPr>
        <w:t xml:space="preserve">In the instant case, it is clear that the </w:t>
      </w:r>
      <w:r w:rsidR="00230C0E" w:rsidRPr="004542B5">
        <w:rPr>
          <w:noProof w:val="0"/>
          <w:szCs w:val="20"/>
          <w:lang w:val="en-US"/>
        </w:rPr>
        <w:t xml:space="preserve">obligation breached is the presumed lack of compensation, which should have been granted based on the provisions of </w:t>
      </w:r>
      <w:r w:rsidR="00342385" w:rsidRPr="004542B5">
        <w:rPr>
          <w:noProof w:val="0"/>
          <w:szCs w:val="20"/>
          <w:lang w:val="en-US"/>
        </w:rPr>
        <w:t>Article</w:t>
      </w:r>
      <w:r w:rsidRPr="004542B5">
        <w:rPr>
          <w:noProof w:val="0"/>
          <w:szCs w:val="20"/>
          <w:lang w:val="en-US"/>
        </w:rPr>
        <w:t xml:space="preserve"> </w:t>
      </w:r>
      <w:r w:rsidRPr="004542B5">
        <w:rPr>
          <w:noProof w:val="0"/>
          <w:szCs w:val="20"/>
          <w:lang w:val="en-US"/>
        </w:rPr>
        <w:lastRenderedPageBreak/>
        <w:t>21</w:t>
      </w:r>
      <w:r w:rsidR="00230C0E" w:rsidRPr="004542B5">
        <w:rPr>
          <w:noProof w:val="0"/>
          <w:szCs w:val="20"/>
          <w:lang w:val="en-US"/>
        </w:rPr>
        <w:t>(</w:t>
      </w:r>
      <w:r w:rsidRPr="004542B5">
        <w:rPr>
          <w:noProof w:val="0"/>
          <w:szCs w:val="20"/>
          <w:lang w:val="en-US"/>
        </w:rPr>
        <w:t>2</w:t>
      </w:r>
      <w:r w:rsidR="00230C0E" w:rsidRPr="004542B5">
        <w:rPr>
          <w:noProof w:val="0"/>
          <w:szCs w:val="20"/>
          <w:lang w:val="en-US"/>
        </w:rPr>
        <w:t xml:space="preserve">) of the Convention, which establishes the payment of “just </w:t>
      </w:r>
      <w:r w:rsidR="006110CB" w:rsidRPr="004542B5">
        <w:rPr>
          <w:noProof w:val="0"/>
          <w:szCs w:val="20"/>
          <w:lang w:val="en-US"/>
        </w:rPr>
        <w:t>compensation</w:t>
      </w:r>
      <w:r w:rsidR="00230C0E" w:rsidRPr="004542B5">
        <w:rPr>
          <w:noProof w:val="0"/>
          <w:szCs w:val="20"/>
          <w:lang w:val="en-US"/>
        </w:rPr>
        <w:t xml:space="preserve">” which, in the opinion of this Court, should be </w:t>
      </w:r>
      <w:r w:rsidRPr="004542B5">
        <w:rPr>
          <w:noProof w:val="0"/>
          <w:szCs w:val="20"/>
          <w:lang w:val="en-US"/>
        </w:rPr>
        <w:t>“</w:t>
      </w:r>
      <w:r w:rsidR="00230C0E" w:rsidRPr="004542B5">
        <w:rPr>
          <w:noProof w:val="0"/>
          <w:szCs w:val="20"/>
          <w:lang w:val="en-US"/>
        </w:rPr>
        <w:t>adequate, prompt and effective.</w:t>
      </w:r>
      <w:r w:rsidRPr="004542B5">
        <w:rPr>
          <w:noProof w:val="0"/>
          <w:szCs w:val="20"/>
          <w:lang w:val="en-US"/>
        </w:rPr>
        <w:t>”</w:t>
      </w:r>
    </w:p>
    <w:p w14:paraId="09C8D507" w14:textId="77777777" w:rsidR="00E76B2D" w:rsidRPr="004542B5" w:rsidRDefault="00E76B2D" w:rsidP="00E76B2D">
      <w:pPr>
        <w:rPr>
          <w:noProof w:val="0"/>
          <w:szCs w:val="20"/>
          <w:lang w:val="en-US"/>
        </w:rPr>
      </w:pPr>
    </w:p>
    <w:p w14:paraId="78A1116E" w14:textId="0DFE44A3" w:rsidR="00E76B2D" w:rsidRPr="004542B5" w:rsidRDefault="00E76B2D" w:rsidP="00E76B2D">
      <w:pPr>
        <w:rPr>
          <w:noProof w:val="0"/>
          <w:szCs w:val="20"/>
          <w:lang w:val="en-US"/>
        </w:rPr>
      </w:pPr>
      <w:r w:rsidRPr="004542B5">
        <w:rPr>
          <w:noProof w:val="0"/>
          <w:szCs w:val="20"/>
          <w:lang w:val="en-US"/>
        </w:rPr>
        <w:t>72.</w:t>
      </w:r>
      <w:r w:rsidRPr="004542B5">
        <w:rPr>
          <w:noProof w:val="0"/>
          <w:szCs w:val="20"/>
          <w:lang w:val="en-US"/>
        </w:rPr>
        <w:tab/>
      </w:r>
      <w:r w:rsidR="00230C0E" w:rsidRPr="004542B5">
        <w:rPr>
          <w:noProof w:val="0"/>
          <w:szCs w:val="20"/>
          <w:lang w:val="en-US"/>
        </w:rPr>
        <w:t xml:space="preserve">Additionally, in light of international law, the different facts of this case could be classified as a </w:t>
      </w:r>
      <w:r w:rsidR="00230C0E" w:rsidRPr="004542B5">
        <w:rPr>
          <w:i/>
          <w:iCs/>
          <w:noProof w:val="0"/>
          <w:szCs w:val="20"/>
          <w:lang w:val="en-US"/>
        </w:rPr>
        <w:t>composite fact,</w:t>
      </w:r>
      <w:r w:rsidR="00230C0E" w:rsidRPr="004542B5">
        <w:rPr>
          <w:noProof w:val="0"/>
          <w:szCs w:val="20"/>
          <w:lang w:val="en-US"/>
        </w:rPr>
        <w:t xml:space="preserve"> which can be defined as “</w:t>
      </w:r>
      <w:r w:rsidR="00230C0E" w:rsidRPr="004542B5">
        <w:rPr>
          <w:noProof w:val="0"/>
          <w:lang w:val="en-US"/>
        </w:rPr>
        <w:t>The breach of an international obligation by a State through a series of actions or omissions defined in aggregate as wrongful occurs when the action or omission occurs which, taken with the other actions or omissions, is sufficient to constitute the wrongful act</w:t>
      </w:r>
      <w:r w:rsidR="00230C0E" w:rsidRPr="004542B5">
        <w:rPr>
          <w:noProof w:val="0"/>
          <w:szCs w:val="20"/>
          <w:lang w:val="en-US"/>
        </w:rPr>
        <w:t>.</w:t>
      </w:r>
      <w:r w:rsidRPr="004542B5">
        <w:rPr>
          <w:noProof w:val="0"/>
          <w:szCs w:val="20"/>
          <w:lang w:val="en-US"/>
        </w:rPr>
        <w:t>”</w:t>
      </w:r>
      <w:r w:rsidRPr="004542B5">
        <w:rPr>
          <w:rStyle w:val="FootnoteReference"/>
          <w:noProof w:val="0"/>
          <w:lang w:val="en-US"/>
        </w:rPr>
        <w:footnoteReference w:id="392"/>
      </w:r>
      <w:r w:rsidRPr="004542B5">
        <w:rPr>
          <w:noProof w:val="0"/>
          <w:szCs w:val="20"/>
          <w:lang w:val="en-US"/>
        </w:rPr>
        <w:t xml:space="preserve"> </w:t>
      </w:r>
      <w:r w:rsidR="00230C0E" w:rsidRPr="004542B5">
        <w:rPr>
          <w:noProof w:val="0"/>
          <w:szCs w:val="20"/>
          <w:lang w:val="en-US"/>
        </w:rPr>
        <w:t>Thus,</w:t>
      </w:r>
      <w:r w:rsidRPr="004542B5">
        <w:rPr>
          <w:noProof w:val="0"/>
          <w:szCs w:val="20"/>
          <w:lang w:val="en-US"/>
        </w:rPr>
        <w:t xml:space="preserve"> “</w:t>
      </w:r>
      <w:r w:rsidR="00230C0E" w:rsidRPr="004542B5">
        <w:rPr>
          <w:noProof w:val="0"/>
          <w:lang w:val="en-US"/>
        </w:rPr>
        <w:t>the breach extends over the entire period starting with the first of the actions or omissions of the series and lasts for as long as these actions or omissions are repeated and remain not in conformity with the international obligation.</w:t>
      </w:r>
      <w:r w:rsidRPr="004542B5">
        <w:rPr>
          <w:noProof w:val="0"/>
          <w:szCs w:val="20"/>
          <w:lang w:val="en-US"/>
        </w:rPr>
        <w:t>”</w:t>
      </w:r>
      <w:r w:rsidRPr="004542B5">
        <w:rPr>
          <w:rStyle w:val="FootnoteReference"/>
          <w:noProof w:val="0"/>
          <w:lang w:val="en-US"/>
        </w:rPr>
        <w:footnoteReference w:id="393"/>
      </w:r>
      <w:r w:rsidRPr="004542B5">
        <w:rPr>
          <w:noProof w:val="0"/>
          <w:szCs w:val="20"/>
          <w:lang w:val="en-US"/>
        </w:rPr>
        <w:t xml:space="preserve"> </w:t>
      </w:r>
      <w:r w:rsidR="00230C0E" w:rsidRPr="004542B5">
        <w:rPr>
          <w:noProof w:val="0"/>
          <w:szCs w:val="20"/>
          <w:lang w:val="en-US"/>
        </w:rPr>
        <w:t>Composite facts always consist of a series of individual acts of the State succeeding each other, that is to say, a sequence of separate courses of conduct, actions or omissions, adopted in separate cases, but all contributing to the commission of the aggregate act in question.</w:t>
      </w:r>
      <w:r w:rsidRPr="004542B5">
        <w:rPr>
          <w:rStyle w:val="FootnoteReference"/>
          <w:noProof w:val="0"/>
          <w:lang w:val="en-US"/>
        </w:rPr>
        <w:footnoteReference w:id="394"/>
      </w:r>
      <w:r w:rsidRPr="004542B5">
        <w:rPr>
          <w:noProof w:val="0"/>
          <w:szCs w:val="20"/>
          <w:lang w:val="en-US"/>
        </w:rPr>
        <w:t xml:space="preserve"> </w:t>
      </w:r>
      <w:r w:rsidR="00230C0E" w:rsidRPr="004542B5">
        <w:rPr>
          <w:noProof w:val="0"/>
          <w:szCs w:val="20"/>
          <w:lang w:val="en-US"/>
        </w:rPr>
        <w:t>T</w:t>
      </w:r>
      <w:r w:rsidR="0031184C" w:rsidRPr="004542B5">
        <w:rPr>
          <w:noProof w:val="0"/>
          <w:szCs w:val="20"/>
          <w:lang w:val="en-US"/>
        </w:rPr>
        <w:t>hese acts, “</w:t>
      </w:r>
      <w:r w:rsidR="00230C0E" w:rsidRPr="004542B5">
        <w:rPr>
          <w:noProof w:val="0"/>
          <w:szCs w:val="20"/>
          <w:lang w:val="en-US"/>
        </w:rPr>
        <w:t>taken separately, may be lawful or unlawful, but are interrelated by having the same intention, content and effects</w:t>
      </w:r>
      <w:r w:rsidR="0031184C" w:rsidRPr="004542B5">
        <w:rPr>
          <w:noProof w:val="0"/>
          <w:szCs w:val="20"/>
          <w:lang w:val="en-US"/>
        </w:rPr>
        <w:t>.”</w:t>
      </w:r>
      <w:r w:rsidRPr="004542B5">
        <w:rPr>
          <w:rStyle w:val="FootnoteReference"/>
          <w:noProof w:val="0"/>
          <w:lang w:val="en-US"/>
        </w:rPr>
        <w:footnoteReference w:id="395"/>
      </w:r>
    </w:p>
    <w:p w14:paraId="5626A963" w14:textId="77777777" w:rsidR="00E76B2D" w:rsidRPr="004542B5" w:rsidRDefault="00E76B2D" w:rsidP="00E76B2D">
      <w:pPr>
        <w:pStyle w:val="ListParagraph"/>
        <w:ind w:left="0"/>
        <w:rPr>
          <w:noProof w:val="0"/>
          <w:szCs w:val="20"/>
          <w:lang w:val="en-US"/>
        </w:rPr>
      </w:pPr>
    </w:p>
    <w:p w14:paraId="243D21B2" w14:textId="0167767C" w:rsidR="00E76B2D" w:rsidRPr="004542B5" w:rsidRDefault="00E76B2D" w:rsidP="00E76B2D">
      <w:pPr>
        <w:pStyle w:val="ListParagraph"/>
        <w:ind w:left="0"/>
        <w:rPr>
          <w:noProof w:val="0"/>
          <w:szCs w:val="20"/>
          <w:lang w:val="en-US"/>
        </w:rPr>
      </w:pPr>
      <w:r w:rsidRPr="004542B5">
        <w:rPr>
          <w:noProof w:val="0"/>
          <w:szCs w:val="20"/>
          <w:lang w:val="en-US"/>
        </w:rPr>
        <w:t>73.</w:t>
      </w:r>
      <w:r w:rsidRPr="004542B5">
        <w:rPr>
          <w:noProof w:val="0"/>
          <w:szCs w:val="20"/>
          <w:lang w:val="en-US"/>
        </w:rPr>
        <w:tab/>
      </w:r>
      <w:r w:rsidR="00F04045" w:rsidRPr="004542B5">
        <w:rPr>
          <w:noProof w:val="0"/>
          <w:szCs w:val="20"/>
          <w:lang w:val="en-US"/>
        </w:rPr>
        <w:t>In the instant case, the problem that has affected the Kuna and Emberá indigenous communities has been consistently recognized by the State at both the political and administrative level, as well as by legislation, all of this accompanied by a categorical affirmation in Executive Decree 156 of July 8, 1971, that “</w:t>
      </w:r>
      <w:r w:rsidR="00F04045" w:rsidRPr="004542B5">
        <w:rPr>
          <w:rFonts w:cs="Tahoma"/>
          <w:noProof w:val="0"/>
          <w:szCs w:val="20"/>
          <w:lang w:val="en-US"/>
        </w:rPr>
        <w:t>the transfer to new areas entails major efforts for the indigenous peoples as well as considerable financial disbursements, all of which justifies, for reasons of humanity, the assistance that the State has decided in their favor.</w:t>
      </w:r>
      <w:r w:rsidRPr="004542B5">
        <w:rPr>
          <w:noProof w:val="0"/>
          <w:szCs w:val="20"/>
          <w:lang w:val="en-US"/>
        </w:rPr>
        <w:t>”</w:t>
      </w:r>
      <w:r w:rsidR="00F04045" w:rsidRPr="004542B5">
        <w:rPr>
          <w:noProof w:val="0"/>
          <w:szCs w:val="20"/>
          <w:lang w:val="en-US"/>
        </w:rPr>
        <w:t xml:space="preserve"> The diverse actions taken by the State at different times recognizing the disadvantaged situation of the victims in this case following the expropriation of their territories reveals the continuing nature of the facts.</w:t>
      </w:r>
    </w:p>
    <w:p w14:paraId="58425E43" w14:textId="77777777" w:rsidR="00E76B2D" w:rsidRPr="004542B5" w:rsidRDefault="00E76B2D" w:rsidP="00E76B2D">
      <w:pPr>
        <w:pStyle w:val="ListParagraph"/>
        <w:ind w:left="0"/>
        <w:rPr>
          <w:noProof w:val="0"/>
          <w:szCs w:val="20"/>
          <w:lang w:val="en-US"/>
        </w:rPr>
      </w:pPr>
    </w:p>
    <w:p w14:paraId="05271DD0" w14:textId="5B406570" w:rsidR="00E76B2D" w:rsidRPr="004542B5" w:rsidRDefault="00E76B2D" w:rsidP="00E76B2D">
      <w:pPr>
        <w:pStyle w:val="ListParagraph"/>
        <w:ind w:left="0"/>
        <w:rPr>
          <w:noProof w:val="0"/>
          <w:szCs w:val="20"/>
          <w:lang w:val="en-US"/>
        </w:rPr>
      </w:pPr>
      <w:r w:rsidRPr="004542B5">
        <w:rPr>
          <w:noProof w:val="0"/>
          <w:szCs w:val="20"/>
          <w:lang w:val="en-US"/>
        </w:rPr>
        <w:t>74.</w:t>
      </w:r>
      <w:r w:rsidRPr="004542B5">
        <w:rPr>
          <w:noProof w:val="0"/>
          <w:szCs w:val="20"/>
          <w:lang w:val="en-US"/>
        </w:rPr>
        <w:tab/>
      </w:r>
      <w:r w:rsidR="00F04045" w:rsidRPr="004542B5">
        <w:rPr>
          <w:noProof w:val="0"/>
          <w:szCs w:val="20"/>
          <w:lang w:val="en-US"/>
        </w:rPr>
        <w:t xml:space="preserve">The present situation has been constituted by different </w:t>
      </w:r>
      <w:r w:rsidR="006110CB" w:rsidRPr="004542B5">
        <w:rPr>
          <w:noProof w:val="0"/>
          <w:szCs w:val="20"/>
          <w:lang w:val="en-US"/>
        </w:rPr>
        <w:t>circumstances</w:t>
      </w:r>
      <w:r w:rsidR="00F04045" w:rsidRPr="004542B5">
        <w:rPr>
          <w:noProof w:val="0"/>
          <w:szCs w:val="20"/>
          <w:lang w:val="en-US"/>
        </w:rPr>
        <w:t xml:space="preserve"> that, although they started before the Inter-American Court had co</w:t>
      </w:r>
      <w:r w:rsidR="00860BD0" w:rsidRPr="004542B5">
        <w:rPr>
          <w:noProof w:val="0"/>
          <w:szCs w:val="20"/>
          <w:lang w:val="en-US"/>
        </w:rPr>
        <w:t>mpulsory</w:t>
      </w:r>
      <w:r w:rsidR="00F04045" w:rsidRPr="004542B5">
        <w:rPr>
          <w:noProof w:val="0"/>
          <w:szCs w:val="20"/>
          <w:lang w:val="en-US"/>
        </w:rPr>
        <w:t xml:space="preserve"> jurisdiction, have extended up until today. The Court observed some of these circumstances partially, in relation to the failure to delimit, demarcate and title the lands of the </w:t>
      </w:r>
      <w:r w:rsidRPr="004542B5">
        <w:rPr>
          <w:noProof w:val="0"/>
          <w:szCs w:val="20"/>
          <w:lang w:val="en-US"/>
        </w:rPr>
        <w:t>Kuna</w:t>
      </w:r>
      <w:r w:rsidR="00CD2B90" w:rsidRPr="004542B5">
        <w:rPr>
          <w:noProof w:val="0"/>
          <w:szCs w:val="20"/>
          <w:lang w:val="en-US"/>
        </w:rPr>
        <w:t xml:space="preserve"> and </w:t>
      </w:r>
      <w:r w:rsidRPr="004542B5">
        <w:rPr>
          <w:noProof w:val="0"/>
          <w:szCs w:val="20"/>
          <w:lang w:val="en-US"/>
        </w:rPr>
        <w:t>Emberá</w:t>
      </w:r>
      <w:r w:rsidR="00F04045" w:rsidRPr="004542B5">
        <w:rPr>
          <w:noProof w:val="0"/>
          <w:szCs w:val="20"/>
          <w:lang w:val="en-US"/>
        </w:rPr>
        <w:t xml:space="preserve"> indigenous peoples,</w:t>
      </w:r>
      <w:r w:rsidRPr="004542B5">
        <w:rPr>
          <w:rStyle w:val="FootnoteReference"/>
          <w:noProof w:val="0"/>
          <w:lang w:val="en-US"/>
        </w:rPr>
        <w:footnoteReference w:id="396"/>
      </w:r>
      <w:r w:rsidR="00F04045" w:rsidRPr="004542B5">
        <w:rPr>
          <w:noProof w:val="0"/>
          <w:szCs w:val="20"/>
          <w:lang w:val="en-US"/>
        </w:rPr>
        <w:t xml:space="preserve"> analyzing the merits and declaring the violation of </w:t>
      </w:r>
      <w:r w:rsidR="00562CBB" w:rsidRPr="004542B5">
        <w:rPr>
          <w:noProof w:val="0"/>
          <w:szCs w:val="20"/>
          <w:lang w:val="en-US"/>
        </w:rPr>
        <w:t>Article</w:t>
      </w:r>
      <w:r w:rsidRPr="004542B5">
        <w:rPr>
          <w:noProof w:val="0"/>
          <w:szCs w:val="20"/>
          <w:lang w:val="en-US"/>
        </w:rPr>
        <w:t xml:space="preserve"> 21</w:t>
      </w:r>
      <w:r w:rsidR="008A56D7" w:rsidRPr="004542B5">
        <w:rPr>
          <w:noProof w:val="0"/>
          <w:szCs w:val="20"/>
          <w:lang w:val="en-US"/>
        </w:rPr>
        <w:t xml:space="preserve"> of the </w:t>
      </w:r>
      <w:r w:rsidR="00562CBB" w:rsidRPr="004542B5">
        <w:rPr>
          <w:noProof w:val="0"/>
          <w:szCs w:val="20"/>
          <w:lang w:val="en-US"/>
        </w:rPr>
        <w:t>American Convention</w:t>
      </w:r>
      <w:r w:rsidR="00F04045" w:rsidRPr="004542B5">
        <w:rPr>
          <w:noProof w:val="0"/>
          <w:szCs w:val="20"/>
          <w:lang w:val="en-US"/>
        </w:rPr>
        <w:t xml:space="preserve">. However, </w:t>
      </w:r>
      <w:r w:rsidR="000F3C39" w:rsidRPr="004542B5">
        <w:rPr>
          <w:noProof w:val="0"/>
          <w:szCs w:val="20"/>
          <w:lang w:val="en-US"/>
        </w:rPr>
        <w:t xml:space="preserve">inconsistently, it did not do so with regard to the obligation to pay compensation that is also an obligation </w:t>
      </w:r>
      <w:r w:rsidR="00860BD0" w:rsidRPr="004542B5">
        <w:rPr>
          <w:noProof w:val="0"/>
          <w:szCs w:val="20"/>
          <w:lang w:val="en-US"/>
        </w:rPr>
        <w:t>which</w:t>
      </w:r>
      <w:r w:rsidR="000F3C39" w:rsidRPr="004542B5">
        <w:rPr>
          <w:noProof w:val="0"/>
          <w:szCs w:val="20"/>
          <w:lang w:val="en-US"/>
        </w:rPr>
        <w:t xml:space="preserve"> is specifically indicated in </w:t>
      </w:r>
      <w:r w:rsidR="00562CBB" w:rsidRPr="004542B5">
        <w:rPr>
          <w:noProof w:val="0"/>
          <w:szCs w:val="20"/>
          <w:lang w:val="en-US"/>
        </w:rPr>
        <w:t>Article</w:t>
      </w:r>
      <w:r w:rsidRPr="004542B5">
        <w:rPr>
          <w:noProof w:val="0"/>
          <w:szCs w:val="20"/>
          <w:lang w:val="en-US"/>
        </w:rPr>
        <w:t xml:space="preserve"> 21</w:t>
      </w:r>
      <w:r w:rsidR="000F3C39" w:rsidRPr="004542B5">
        <w:rPr>
          <w:noProof w:val="0"/>
          <w:szCs w:val="20"/>
          <w:lang w:val="en-US"/>
        </w:rPr>
        <w:t>(</w:t>
      </w:r>
      <w:r w:rsidRPr="004542B5">
        <w:rPr>
          <w:noProof w:val="0"/>
          <w:szCs w:val="20"/>
          <w:lang w:val="en-US"/>
        </w:rPr>
        <w:t>2</w:t>
      </w:r>
      <w:r w:rsidR="000F3C39" w:rsidRPr="004542B5">
        <w:rPr>
          <w:noProof w:val="0"/>
          <w:szCs w:val="20"/>
          <w:lang w:val="en-US"/>
        </w:rPr>
        <w:t>)</w:t>
      </w:r>
      <w:r w:rsidRPr="004542B5">
        <w:rPr>
          <w:noProof w:val="0"/>
          <w:szCs w:val="20"/>
          <w:lang w:val="en-US"/>
        </w:rPr>
        <w:t xml:space="preserve"> </w:t>
      </w:r>
      <w:r w:rsidR="000F3C39" w:rsidRPr="004542B5">
        <w:rPr>
          <w:noProof w:val="0"/>
          <w:szCs w:val="20"/>
          <w:lang w:val="en-US"/>
        </w:rPr>
        <w:t>of the Pact of</w:t>
      </w:r>
      <w:r w:rsidRPr="004542B5">
        <w:rPr>
          <w:noProof w:val="0"/>
          <w:szCs w:val="20"/>
          <w:lang w:val="en-US"/>
        </w:rPr>
        <w:t xml:space="preserve"> San José (“</w:t>
      </w:r>
      <w:r w:rsidR="000F3C39" w:rsidRPr="004542B5">
        <w:rPr>
          <w:noProof w:val="0"/>
          <w:szCs w:val="20"/>
          <w:lang w:val="en-US"/>
        </w:rPr>
        <w:t>just compensation</w:t>
      </w:r>
      <w:r w:rsidRPr="004542B5">
        <w:rPr>
          <w:noProof w:val="0"/>
          <w:szCs w:val="20"/>
          <w:lang w:val="en-US"/>
        </w:rPr>
        <w:t xml:space="preserve">”) </w:t>
      </w:r>
      <w:r w:rsidR="000F3C39" w:rsidRPr="004542B5">
        <w:rPr>
          <w:noProof w:val="0"/>
          <w:szCs w:val="20"/>
          <w:lang w:val="en-US"/>
        </w:rPr>
        <w:t>with regard to the right to property, as I have been analyzing in this opinion.</w:t>
      </w:r>
    </w:p>
    <w:p w14:paraId="48AF7680" w14:textId="608A8BD2" w:rsidR="00E76B2D" w:rsidRPr="004542B5" w:rsidRDefault="00E76B2D" w:rsidP="00E76B2D">
      <w:pPr>
        <w:pStyle w:val="ListParagraph"/>
        <w:ind w:left="0"/>
        <w:rPr>
          <w:noProof w:val="0"/>
          <w:szCs w:val="20"/>
          <w:lang w:val="en-US"/>
        </w:rPr>
      </w:pPr>
    </w:p>
    <w:p w14:paraId="65C7EC38" w14:textId="553A69F0" w:rsidR="000F3C39" w:rsidRPr="004542B5" w:rsidRDefault="00E76B2D" w:rsidP="00E76B2D">
      <w:pPr>
        <w:pStyle w:val="ListParagraph"/>
        <w:ind w:left="0"/>
        <w:rPr>
          <w:noProof w:val="0"/>
          <w:szCs w:val="20"/>
          <w:lang w:val="en-US"/>
        </w:rPr>
      </w:pPr>
      <w:r w:rsidRPr="004542B5">
        <w:rPr>
          <w:noProof w:val="0"/>
          <w:szCs w:val="20"/>
          <w:lang w:val="en-US"/>
        </w:rPr>
        <w:t>75.</w:t>
      </w:r>
      <w:r w:rsidRPr="004542B5">
        <w:rPr>
          <w:noProof w:val="0"/>
          <w:szCs w:val="20"/>
          <w:lang w:val="en-US"/>
        </w:rPr>
        <w:tab/>
      </w:r>
      <w:r w:rsidR="000F3C39" w:rsidRPr="004542B5">
        <w:rPr>
          <w:noProof w:val="0"/>
          <w:szCs w:val="20"/>
          <w:lang w:val="en-US"/>
        </w:rPr>
        <w:t>When examining</w:t>
      </w:r>
      <w:r w:rsidRPr="004542B5">
        <w:rPr>
          <w:noProof w:val="0"/>
          <w:szCs w:val="20"/>
          <w:lang w:val="en-US"/>
        </w:rPr>
        <w:t xml:space="preserve"> </w:t>
      </w:r>
      <w:r w:rsidR="00DE6766" w:rsidRPr="004542B5">
        <w:rPr>
          <w:noProof w:val="0"/>
          <w:szCs w:val="20"/>
          <w:lang w:val="en-US"/>
        </w:rPr>
        <w:t>the preliminary objection</w:t>
      </w:r>
      <w:r w:rsidRPr="004542B5">
        <w:rPr>
          <w:noProof w:val="0"/>
          <w:szCs w:val="20"/>
          <w:lang w:val="en-US"/>
        </w:rPr>
        <w:t xml:space="preserve"> </w:t>
      </w:r>
      <w:r w:rsidR="000F3C39" w:rsidRPr="004542B5">
        <w:rPr>
          <w:noProof w:val="0"/>
          <w:szCs w:val="20"/>
          <w:lang w:val="en-US"/>
        </w:rPr>
        <w:t>on</w:t>
      </w:r>
      <w:r w:rsidRPr="004542B5">
        <w:rPr>
          <w:noProof w:val="0"/>
          <w:szCs w:val="20"/>
          <w:lang w:val="en-US"/>
        </w:rPr>
        <w:t xml:space="preserve"> </w:t>
      </w:r>
      <w:r w:rsidR="0063510B" w:rsidRPr="004542B5">
        <w:rPr>
          <w:noProof w:val="0"/>
          <w:szCs w:val="20"/>
          <w:lang w:val="en-US"/>
        </w:rPr>
        <w:t>lack of jurisdiction</w:t>
      </w:r>
      <w:r w:rsidRPr="004542B5">
        <w:rPr>
          <w:noProof w:val="0"/>
          <w:szCs w:val="20"/>
          <w:lang w:val="en-US"/>
        </w:rPr>
        <w:t xml:space="preserve"> </w:t>
      </w:r>
      <w:r w:rsidRPr="004542B5">
        <w:rPr>
          <w:i/>
          <w:noProof w:val="0"/>
          <w:szCs w:val="20"/>
          <w:lang w:val="en-US"/>
        </w:rPr>
        <w:t>ratione temporis</w:t>
      </w:r>
      <w:r w:rsidR="000F3C39" w:rsidRPr="004542B5">
        <w:rPr>
          <w:noProof w:val="0"/>
          <w:szCs w:val="20"/>
          <w:lang w:val="en-US"/>
        </w:rPr>
        <w:t xml:space="preserve">, the Court did not discuss whether the facts of this case constituted, of </w:t>
      </w:r>
      <w:r w:rsidR="000F3C39" w:rsidRPr="004542B5">
        <w:rPr>
          <w:noProof w:val="0"/>
          <w:szCs w:val="20"/>
          <w:lang w:val="en-US"/>
        </w:rPr>
        <w:lastRenderedPageBreak/>
        <w:t>themselves, a continuing situation; to the contrary, the majority opinion chose to imply that they did not, without analyzing this delicate legal problem in detail in the specific case of the violation of the legitimate right of the indigenous peoples to obtain “just compensation” pursuant to the provisions of Article 21(2) of the Pact of San José.</w:t>
      </w:r>
    </w:p>
    <w:p w14:paraId="5BE8739F" w14:textId="77777777" w:rsidR="00E76B2D" w:rsidRPr="004542B5" w:rsidRDefault="00E76B2D" w:rsidP="00E76B2D">
      <w:pPr>
        <w:pStyle w:val="ListParagraph"/>
        <w:ind w:left="0"/>
        <w:rPr>
          <w:noProof w:val="0"/>
          <w:szCs w:val="20"/>
          <w:lang w:val="en-US"/>
        </w:rPr>
      </w:pPr>
    </w:p>
    <w:p w14:paraId="7FA88AED" w14:textId="70BEF986" w:rsidR="00E76B2D" w:rsidRPr="004542B5" w:rsidRDefault="00E76B2D" w:rsidP="00E76B2D">
      <w:pPr>
        <w:pStyle w:val="ListParagraph"/>
        <w:ind w:left="0"/>
        <w:rPr>
          <w:noProof w:val="0"/>
          <w:szCs w:val="20"/>
          <w:lang w:val="en-US"/>
        </w:rPr>
      </w:pPr>
      <w:r w:rsidRPr="004542B5">
        <w:rPr>
          <w:noProof w:val="0"/>
          <w:szCs w:val="20"/>
          <w:lang w:val="en-US"/>
        </w:rPr>
        <w:t>76.</w:t>
      </w:r>
      <w:r w:rsidRPr="004542B5">
        <w:rPr>
          <w:noProof w:val="0"/>
          <w:szCs w:val="20"/>
          <w:lang w:val="en-US"/>
        </w:rPr>
        <w:tab/>
      </w:r>
      <w:r w:rsidR="000F3C39" w:rsidRPr="004542B5">
        <w:rPr>
          <w:noProof w:val="0"/>
          <w:szCs w:val="20"/>
          <w:lang w:val="en-US"/>
        </w:rPr>
        <w:t xml:space="preserve">This explains why the majority of the Court agreed to cite the precedent in the </w:t>
      </w:r>
      <w:r w:rsidRPr="004542B5">
        <w:rPr>
          <w:i/>
          <w:noProof w:val="0"/>
          <w:szCs w:val="20"/>
          <w:lang w:val="en-US"/>
        </w:rPr>
        <w:t>cas</w:t>
      </w:r>
      <w:r w:rsidR="000F3C39" w:rsidRPr="004542B5">
        <w:rPr>
          <w:i/>
          <w:noProof w:val="0"/>
          <w:szCs w:val="20"/>
          <w:lang w:val="en-US"/>
        </w:rPr>
        <w:t>e of</w:t>
      </w:r>
      <w:r w:rsidRPr="004542B5">
        <w:rPr>
          <w:i/>
          <w:noProof w:val="0"/>
          <w:szCs w:val="20"/>
          <w:lang w:val="en-US"/>
        </w:rPr>
        <w:t xml:space="preserve"> García Lucero</w:t>
      </w:r>
      <w:r w:rsidRPr="004542B5">
        <w:rPr>
          <w:noProof w:val="0"/>
          <w:szCs w:val="20"/>
          <w:lang w:val="en-US"/>
        </w:rPr>
        <w:t xml:space="preserve"> (</w:t>
      </w:r>
      <w:r w:rsidR="000F3C39" w:rsidRPr="004542B5">
        <w:rPr>
          <w:noProof w:val="0"/>
          <w:szCs w:val="20"/>
          <w:lang w:val="en-US"/>
        </w:rPr>
        <w:t>see</w:t>
      </w:r>
      <w:r w:rsidRPr="004542B5">
        <w:rPr>
          <w:noProof w:val="0"/>
          <w:szCs w:val="20"/>
          <w:lang w:val="en-US"/>
        </w:rPr>
        <w:t xml:space="preserve"> </w:t>
      </w:r>
      <w:r w:rsidRPr="004542B5">
        <w:rPr>
          <w:i/>
          <w:noProof w:val="0"/>
          <w:szCs w:val="20"/>
          <w:lang w:val="en-US"/>
        </w:rPr>
        <w:t>supra</w:t>
      </w:r>
      <w:r w:rsidRPr="004542B5">
        <w:rPr>
          <w:noProof w:val="0"/>
          <w:szCs w:val="20"/>
          <w:lang w:val="en-US"/>
        </w:rPr>
        <w:t xml:space="preserve"> </w:t>
      </w:r>
      <w:r w:rsidR="00F66B76" w:rsidRPr="004542B5">
        <w:rPr>
          <w:noProof w:val="0"/>
          <w:szCs w:val="20"/>
          <w:lang w:val="en-US"/>
        </w:rPr>
        <w:t>para.</w:t>
      </w:r>
      <w:r w:rsidRPr="004542B5">
        <w:rPr>
          <w:noProof w:val="0"/>
          <w:szCs w:val="20"/>
          <w:lang w:val="en-US"/>
        </w:rPr>
        <w:t xml:space="preserve"> 39 </w:t>
      </w:r>
      <w:r w:rsidR="000F3C39" w:rsidRPr="004542B5">
        <w:rPr>
          <w:noProof w:val="0"/>
          <w:szCs w:val="20"/>
          <w:lang w:val="en-US"/>
        </w:rPr>
        <w:t>of this opinion</w:t>
      </w:r>
      <w:r w:rsidRPr="004542B5">
        <w:rPr>
          <w:noProof w:val="0"/>
          <w:szCs w:val="20"/>
          <w:lang w:val="en-US"/>
        </w:rPr>
        <w:t xml:space="preserve">) </w:t>
      </w:r>
      <w:r w:rsidR="000F3C39" w:rsidRPr="004542B5">
        <w:rPr>
          <w:noProof w:val="0"/>
          <w:szCs w:val="20"/>
          <w:lang w:val="en-US"/>
        </w:rPr>
        <w:t>which established that</w:t>
      </w:r>
      <w:r w:rsidRPr="004542B5">
        <w:rPr>
          <w:noProof w:val="0"/>
          <w:szCs w:val="20"/>
          <w:lang w:val="en-US"/>
        </w:rPr>
        <w:t xml:space="preserve"> “</w:t>
      </w:r>
      <w:r w:rsidR="000F3C39" w:rsidRPr="004542B5">
        <w:rPr>
          <w:rFonts w:cs="Arial"/>
          <w:noProof w:val="0"/>
          <w:szCs w:val="20"/>
          <w:lang w:val="en-US"/>
        </w:rPr>
        <w:t>the integral nature or individualization of the reparation can only be evaluated based on an examination of the facts that gave rise to the harm and their effects.</w:t>
      </w:r>
      <w:r w:rsidRPr="004542B5">
        <w:rPr>
          <w:noProof w:val="0"/>
          <w:szCs w:val="20"/>
          <w:lang w:val="en-US"/>
        </w:rPr>
        <w:t>”</w:t>
      </w:r>
      <w:r w:rsidRPr="004542B5">
        <w:rPr>
          <w:rStyle w:val="FootnoteReference"/>
          <w:noProof w:val="0"/>
          <w:lang w:val="en-US"/>
        </w:rPr>
        <w:footnoteReference w:id="397"/>
      </w:r>
      <w:r w:rsidR="000F3C39" w:rsidRPr="004542B5">
        <w:rPr>
          <w:noProof w:val="0"/>
          <w:szCs w:val="20"/>
          <w:lang w:val="en-US"/>
        </w:rPr>
        <w:t xml:space="preserve"> I consider that this precedent does not change the Court’s case law concerning the nature of continuing violations. In my opinion, this precedent is not applicable to the instant case because it constitutes a continuing situation</w:t>
      </w:r>
      <w:r w:rsidR="00CF4D0E" w:rsidRPr="004542B5">
        <w:rPr>
          <w:noProof w:val="0"/>
          <w:szCs w:val="20"/>
          <w:lang w:val="en-US"/>
        </w:rPr>
        <w:t>,</w:t>
      </w:r>
      <w:r w:rsidR="000F3C39" w:rsidRPr="004542B5">
        <w:rPr>
          <w:rStyle w:val="FootnoteReference"/>
          <w:noProof w:val="0"/>
          <w:lang w:val="en-US"/>
        </w:rPr>
        <w:footnoteReference w:id="398"/>
      </w:r>
      <w:r w:rsidR="00CF4D0E" w:rsidRPr="004542B5">
        <w:rPr>
          <w:noProof w:val="0"/>
          <w:szCs w:val="20"/>
          <w:lang w:val="en-US"/>
        </w:rPr>
        <w:t xml:space="preserve"> and the Court should have made a specific analysis of “the presumed continuing violation of the right to collective property of the </w:t>
      </w:r>
      <w:r w:rsidRPr="004542B5">
        <w:rPr>
          <w:noProof w:val="0"/>
          <w:szCs w:val="20"/>
          <w:lang w:val="en-US"/>
        </w:rPr>
        <w:t xml:space="preserve">Kuna </w:t>
      </w:r>
      <w:r w:rsidR="00CF4D0E" w:rsidRPr="004542B5">
        <w:rPr>
          <w:noProof w:val="0"/>
          <w:szCs w:val="20"/>
          <w:lang w:val="en-US"/>
        </w:rPr>
        <w:t xml:space="preserve">indigenous people of </w:t>
      </w:r>
      <w:r w:rsidRPr="004542B5">
        <w:rPr>
          <w:noProof w:val="0"/>
          <w:szCs w:val="20"/>
          <w:lang w:val="en-US"/>
        </w:rPr>
        <w:t>Madungandí (“Kuna”)</w:t>
      </w:r>
      <w:r w:rsidR="00CD2B90" w:rsidRPr="004542B5">
        <w:rPr>
          <w:noProof w:val="0"/>
          <w:szCs w:val="20"/>
          <w:lang w:val="en-US"/>
        </w:rPr>
        <w:t xml:space="preserve"> and</w:t>
      </w:r>
      <w:r w:rsidR="00CF4D0E" w:rsidRPr="004542B5">
        <w:rPr>
          <w:noProof w:val="0"/>
          <w:szCs w:val="20"/>
          <w:lang w:val="en-US"/>
        </w:rPr>
        <w:t xml:space="preserve"> the</w:t>
      </w:r>
      <w:r w:rsidR="00CD2B90" w:rsidRPr="004542B5">
        <w:rPr>
          <w:noProof w:val="0"/>
          <w:szCs w:val="20"/>
          <w:lang w:val="en-US"/>
        </w:rPr>
        <w:t xml:space="preserve"> </w:t>
      </w:r>
      <w:r w:rsidRPr="004542B5">
        <w:rPr>
          <w:noProof w:val="0"/>
          <w:szCs w:val="20"/>
          <w:lang w:val="en-US"/>
        </w:rPr>
        <w:t xml:space="preserve">Emberá </w:t>
      </w:r>
      <w:r w:rsidR="00CF4D0E" w:rsidRPr="004542B5">
        <w:rPr>
          <w:noProof w:val="0"/>
          <w:szCs w:val="20"/>
          <w:lang w:val="en-US"/>
        </w:rPr>
        <w:t>indigenous people of</w:t>
      </w:r>
      <w:r w:rsidRPr="004542B5">
        <w:rPr>
          <w:noProof w:val="0"/>
          <w:szCs w:val="20"/>
          <w:lang w:val="en-US"/>
        </w:rPr>
        <w:t xml:space="preserve"> Bayano (“Emberá”)</w:t>
      </w:r>
      <w:r w:rsidR="00CD2B90" w:rsidRPr="004542B5">
        <w:rPr>
          <w:noProof w:val="0"/>
          <w:szCs w:val="20"/>
          <w:lang w:val="en-US"/>
        </w:rPr>
        <w:t xml:space="preserve"> and </w:t>
      </w:r>
      <w:r w:rsidR="00CF4D0E" w:rsidRPr="004542B5">
        <w:rPr>
          <w:noProof w:val="0"/>
          <w:szCs w:val="20"/>
          <w:lang w:val="en-US"/>
        </w:rPr>
        <w:t>their</w:t>
      </w:r>
      <w:r w:rsidRPr="004542B5">
        <w:rPr>
          <w:noProof w:val="0"/>
          <w:szCs w:val="20"/>
          <w:lang w:val="en-US"/>
        </w:rPr>
        <w:t xml:space="preserve"> </w:t>
      </w:r>
      <w:r w:rsidR="003234E7" w:rsidRPr="004542B5">
        <w:rPr>
          <w:noProof w:val="0"/>
          <w:szCs w:val="20"/>
          <w:lang w:val="en-US"/>
        </w:rPr>
        <w:t>members</w:t>
      </w:r>
      <w:r w:rsidRPr="004542B5">
        <w:rPr>
          <w:noProof w:val="0"/>
          <w:szCs w:val="20"/>
          <w:lang w:val="en-US"/>
        </w:rPr>
        <w:t xml:space="preserve">, </w:t>
      </w:r>
      <w:r w:rsidR="00CF4D0E" w:rsidRPr="004542B5">
        <w:rPr>
          <w:noProof w:val="0"/>
          <w:szCs w:val="20"/>
          <w:lang w:val="en-US"/>
        </w:rPr>
        <w:t xml:space="preserve">based on the </w:t>
      </w:r>
      <w:r w:rsidR="00CF4D0E" w:rsidRPr="004542B5">
        <w:rPr>
          <w:noProof w:val="0"/>
          <w:szCs w:val="20"/>
          <w:u w:val="single"/>
          <w:lang w:val="en-US"/>
        </w:rPr>
        <w:t>alleged failure to comply with the payment of compensation</w:t>
      </w:r>
      <w:r w:rsidRPr="004542B5">
        <w:rPr>
          <w:noProof w:val="0"/>
          <w:szCs w:val="20"/>
          <w:lang w:val="en-US"/>
        </w:rPr>
        <w:t xml:space="preserve"> </w:t>
      </w:r>
      <w:r w:rsidR="00CF4D0E" w:rsidRPr="004542B5">
        <w:rPr>
          <w:noProof w:val="0"/>
          <w:szCs w:val="20"/>
          <w:lang w:val="en-US"/>
        </w:rPr>
        <w:t>related to the expropriation and flooding of their ancestral territories,” as the case was submitted to the Inter-American Court.</w:t>
      </w:r>
      <w:r w:rsidRPr="004542B5">
        <w:rPr>
          <w:rStyle w:val="FootnoteReference"/>
          <w:noProof w:val="0"/>
          <w:lang w:val="en-US"/>
        </w:rPr>
        <w:footnoteReference w:id="399"/>
      </w:r>
    </w:p>
    <w:p w14:paraId="7FE6A313" w14:textId="77777777" w:rsidR="00E76B2D" w:rsidRPr="004542B5" w:rsidRDefault="00E76B2D" w:rsidP="00E76B2D">
      <w:pPr>
        <w:pStyle w:val="ListParagraph"/>
        <w:ind w:left="0"/>
        <w:rPr>
          <w:noProof w:val="0"/>
          <w:szCs w:val="20"/>
          <w:lang w:val="en-US"/>
        </w:rPr>
      </w:pPr>
    </w:p>
    <w:p w14:paraId="4E0B0F34" w14:textId="79F6EA80" w:rsidR="00E76B2D" w:rsidRPr="004542B5" w:rsidRDefault="00E76B2D" w:rsidP="00E76B2D">
      <w:pPr>
        <w:pStyle w:val="ListParagraph"/>
        <w:ind w:left="0"/>
        <w:rPr>
          <w:noProof w:val="0"/>
          <w:szCs w:val="20"/>
          <w:lang w:val="en-US"/>
        </w:rPr>
      </w:pPr>
      <w:r w:rsidRPr="004542B5">
        <w:rPr>
          <w:noProof w:val="0"/>
          <w:szCs w:val="20"/>
          <w:lang w:val="en-US"/>
        </w:rPr>
        <w:t>77.</w:t>
      </w:r>
      <w:r w:rsidRPr="004542B5">
        <w:rPr>
          <w:noProof w:val="0"/>
          <w:szCs w:val="20"/>
          <w:lang w:val="en-US"/>
        </w:rPr>
        <w:tab/>
      </w:r>
      <w:r w:rsidR="00CF4D0E" w:rsidRPr="004542B5">
        <w:rPr>
          <w:noProof w:val="0"/>
          <w:szCs w:val="20"/>
          <w:lang w:val="en-US"/>
        </w:rPr>
        <w:t xml:space="preserve">Moreover, the majority opinion tried to make a distinction with the case of the </w:t>
      </w:r>
      <w:r w:rsidRPr="004542B5">
        <w:rPr>
          <w:i/>
          <w:noProof w:val="0"/>
          <w:szCs w:val="20"/>
          <w:lang w:val="en-US"/>
        </w:rPr>
        <w:t>Moiwana</w:t>
      </w:r>
      <w:r w:rsidR="00CF4D0E" w:rsidRPr="004542B5">
        <w:rPr>
          <w:i/>
          <w:noProof w:val="0"/>
          <w:szCs w:val="20"/>
          <w:lang w:val="en-US"/>
        </w:rPr>
        <w:t xml:space="preserve"> Community</w:t>
      </w:r>
      <w:r w:rsidRPr="004542B5">
        <w:rPr>
          <w:i/>
          <w:noProof w:val="0"/>
          <w:szCs w:val="20"/>
          <w:lang w:val="en-US"/>
        </w:rPr>
        <w:t xml:space="preserve"> v. Suriname</w:t>
      </w:r>
      <w:r w:rsidRPr="004542B5">
        <w:rPr>
          <w:rStyle w:val="FootnoteReference"/>
          <w:noProof w:val="0"/>
          <w:lang w:val="en-US"/>
        </w:rPr>
        <w:footnoteReference w:id="400"/>
      </w:r>
      <w:r w:rsidRPr="004542B5">
        <w:rPr>
          <w:i/>
          <w:noProof w:val="0"/>
          <w:szCs w:val="20"/>
          <w:lang w:val="en-US"/>
        </w:rPr>
        <w:t xml:space="preserve"> </w:t>
      </w:r>
      <w:r w:rsidRPr="004542B5">
        <w:rPr>
          <w:noProof w:val="0"/>
          <w:szCs w:val="20"/>
          <w:lang w:val="en-US"/>
        </w:rPr>
        <w:t>—</w:t>
      </w:r>
      <w:r w:rsidR="00CF4D0E" w:rsidRPr="004542B5">
        <w:rPr>
          <w:noProof w:val="0"/>
          <w:szCs w:val="20"/>
          <w:lang w:val="en-US"/>
        </w:rPr>
        <w:t xml:space="preserve"> a </w:t>
      </w:r>
      <w:r w:rsidRPr="004542B5">
        <w:rPr>
          <w:noProof w:val="0"/>
          <w:szCs w:val="20"/>
          <w:lang w:val="en-US"/>
        </w:rPr>
        <w:t>precedent</w:t>
      </w:r>
      <w:r w:rsidR="00CF4D0E" w:rsidRPr="004542B5">
        <w:rPr>
          <w:noProof w:val="0"/>
          <w:szCs w:val="20"/>
          <w:lang w:val="en-US"/>
        </w:rPr>
        <w:t xml:space="preserve"> that recognized the existence of continuing effects based on various human rights violations. Although it is true that th</w:t>
      </w:r>
      <w:r w:rsidR="00860BD0" w:rsidRPr="004542B5">
        <w:rPr>
          <w:noProof w:val="0"/>
          <w:szCs w:val="20"/>
          <w:lang w:val="en-US"/>
        </w:rPr>
        <w:t>e instant</w:t>
      </w:r>
      <w:r w:rsidR="00CF4D0E" w:rsidRPr="004542B5">
        <w:rPr>
          <w:noProof w:val="0"/>
          <w:szCs w:val="20"/>
          <w:lang w:val="en-US"/>
        </w:rPr>
        <w:t xml:space="preserve"> case is not exactly the same as that one, it is pertinent to clarify that, based on the proven facts in this case, </w:t>
      </w:r>
      <w:r w:rsidR="00860BD0" w:rsidRPr="004542B5">
        <w:rPr>
          <w:noProof w:val="0"/>
          <w:szCs w:val="20"/>
          <w:lang w:val="en-US"/>
        </w:rPr>
        <w:t xml:space="preserve">and </w:t>
      </w:r>
      <w:r w:rsidR="00CF4D0E" w:rsidRPr="004542B5">
        <w:rPr>
          <w:noProof w:val="0"/>
          <w:szCs w:val="20"/>
          <w:lang w:val="en-US"/>
        </w:rPr>
        <w:t xml:space="preserve">based on international law, especially international human rights law, there are sufficient precedents – which I have tried to highlight (see </w:t>
      </w:r>
      <w:r w:rsidR="00CF4D0E" w:rsidRPr="004542B5">
        <w:rPr>
          <w:i/>
          <w:noProof w:val="0"/>
          <w:szCs w:val="20"/>
          <w:lang w:val="en-US"/>
        </w:rPr>
        <w:t>supra</w:t>
      </w:r>
      <w:r w:rsidR="00CF4D0E" w:rsidRPr="004542B5">
        <w:rPr>
          <w:noProof w:val="0"/>
          <w:szCs w:val="20"/>
          <w:lang w:val="en-US"/>
        </w:rPr>
        <w:t xml:space="preserve"> paras. 40 to 51 of this opinion) – that, if they had been applied pursuant to the </w:t>
      </w:r>
      <w:r w:rsidR="00CF4D0E" w:rsidRPr="004542B5">
        <w:rPr>
          <w:i/>
          <w:noProof w:val="0"/>
          <w:szCs w:val="20"/>
          <w:lang w:val="en-US"/>
        </w:rPr>
        <w:t>pro persona</w:t>
      </w:r>
      <w:r w:rsidR="00CF4D0E" w:rsidRPr="004542B5">
        <w:rPr>
          <w:noProof w:val="0"/>
          <w:szCs w:val="20"/>
          <w:lang w:val="en-US"/>
        </w:rPr>
        <w:t xml:space="preserve"> principle, would have guided the Inter-American Court to a different decision with regard to this </w:t>
      </w:r>
      <w:r w:rsidR="00DE6766" w:rsidRPr="004542B5">
        <w:rPr>
          <w:noProof w:val="0"/>
          <w:szCs w:val="20"/>
          <w:lang w:val="en-US"/>
        </w:rPr>
        <w:t>preliminary objection</w:t>
      </w:r>
      <w:r w:rsidRPr="004542B5">
        <w:rPr>
          <w:noProof w:val="0"/>
          <w:szCs w:val="20"/>
          <w:lang w:val="en-US"/>
        </w:rPr>
        <w:t>, especial</w:t>
      </w:r>
      <w:r w:rsidR="00CF4D0E" w:rsidRPr="004542B5">
        <w:rPr>
          <w:noProof w:val="0"/>
          <w:szCs w:val="20"/>
          <w:lang w:val="en-US"/>
        </w:rPr>
        <w:t xml:space="preserve">ly considering that the alleged failure to pay compensation is related to the expropriation and flooding of ancestral territories of indigenous peoples. Consequently, if the Court had rejected </w:t>
      </w:r>
      <w:r w:rsidR="00DE6766" w:rsidRPr="004542B5">
        <w:rPr>
          <w:noProof w:val="0"/>
          <w:szCs w:val="20"/>
          <w:lang w:val="en-US"/>
        </w:rPr>
        <w:t>the preliminary objection</w:t>
      </w:r>
      <w:r w:rsidRPr="004542B5">
        <w:rPr>
          <w:noProof w:val="0"/>
          <w:szCs w:val="20"/>
          <w:lang w:val="en-US"/>
        </w:rPr>
        <w:t xml:space="preserve"> </w:t>
      </w:r>
      <w:r w:rsidR="00CF4D0E" w:rsidRPr="004542B5">
        <w:rPr>
          <w:noProof w:val="0"/>
          <w:szCs w:val="20"/>
          <w:lang w:val="en-US"/>
        </w:rPr>
        <w:t>filed by</w:t>
      </w:r>
      <w:r w:rsidRPr="004542B5">
        <w:rPr>
          <w:noProof w:val="0"/>
          <w:szCs w:val="20"/>
          <w:lang w:val="en-US"/>
        </w:rPr>
        <w:t xml:space="preserve"> </w:t>
      </w:r>
      <w:r w:rsidR="00562CBB" w:rsidRPr="004542B5">
        <w:rPr>
          <w:noProof w:val="0"/>
          <w:szCs w:val="20"/>
          <w:lang w:val="en-US"/>
        </w:rPr>
        <w:t>the State</w:t>
      </w:r>
      <w:r w:rsidRPr="004542B5">
        <w:rPr>
          <w:noProof w:val="0"/>
          <w:szCs w:val="20"/>
          <w:lang w:val="en-US"/>
        </w:rPr>
        <w:t xml:space="preserve"> </w:t>
      </w:r>
      <w:r w:rsidR="00CF4D0E" w:rsidRPr="004542B5">
        <w:rPr>
          <w:noProof w:val="0"/>
          <w:szCs w:val="20"/>
          <w:lang w:val="en-US"/>
        </w:rPr>
        <w:t xml:space="preserve">on its </w:t>
      </w:r>
      <w:r w:rsidR="0020681C" w:rsidRPr="004542B5">
        <w:rPr>
          <w:noProof w:val="0"/>
          <w:szCs w:val="20"/>
          <w:lang w:val="en-US"/>
        </w:rPr>
        <w:t>jurisdiction</w:t>
      </w:r>
      <w:r w:rsidRPr="004542B5">
        <w:rPr>
          <w:noProof w:val="0"/>
          <w:szCs w:val="20"/>
          <w:lang w:val="en-US"/>
        </w:rPr>
        <w:t xml:space="preserve"> </w:t>
      </w:r>
      <w:r w:rsidRPr="004542B5">
        <w:rPr>
          <w:i/>
          <w:noProof w:val="0"/>
          <w:szCs w:val="20"/>
          <w:lang w:val="en-US"/>
        </w:rPr>
        <w:t>ratione temporis</w:t>
      </w:r>
      <w:r w:rsidRPr="004542B5">
        <w:rPr>
          <w:noProof w:val="0"/>
          <w:szCs w:val="20"/>
          <w:lang w:val="en-US"/>
        </w:rPr>
        <w:t xml:space="preserve">, </w:t>
      </w:r>
      <w:r w:rsidR="00CF4D0E" w:rsidRPr="004542B5">
        <w:rPr>
          <w:noProof w:val="0"/>
          <w:szCs w:val="20"/>
          <w:lang w:val="en-US"/>
        </w:rPr>
        <w:t xml:space="preserve">it could </w:t>
      </w:r>
      <w:r w:rsidR="00860BD0" w:rsidRPr="004542B5">
        <w:rPr>
          <w:noProof w:val="0"/>
          <w:szCs w:val="20"/>
          <w:lang w:val="en-US"/>
        </w:rPr>
        <w:t xml:space="preserve">also </w:t>
      </w:r>
      <w:r w:rsidR="00CF4D0E" w:rsidRPr="004542B5">
        <w:rPr>
          <w:noProof w:val="0"/>
          <w:szCs w:val="20"/>
          <w:lang w:val="en-US"/>
        </w:rPr>
        <w:t xml:space="preserve">have </w:t>
      </w:r>
      <w:r w:rsidR="00235A52" w:rsidRPr="004542B5">
        <w:rPr>
          <w:noProof w:val="0"/>
          <w:szCs w:val="20"/>
          <w:lang w:val="en-US"/>
        </w:rPr>
        <w:t>undertaken to decide the issue of whether or not th</w:t>
      </w:r>
      <w:r w:rsidR="00860BD0" w:rsidRPr="004542B5">
        <w:rPr>
          <w:noProof w:val="0"/>
          <w:szCs w:val="20"/>
          <w:lang w:val="en-US"/>
        </w:rPr>
        <w:t>at</w:t>
      </w:r>
      <w:r w:rsidR="00235A52" w:rsidRPr="004542B5">
        <w:rPr>
          <w:noProof w:val="0"/>
          <w:szCs w:val="20"/>
          <w:lang w:val="en-US"/>
        </w:rPr>
        <w:t xml:space="preserve"> claim was subject to a statute of limitations.</w:t>
      </w:r>
      <w:r w:rsidRPr="004542B5">
        <w:rPr>
          <w:rStyle w:val="FootnoteReference"/>
          <w:noProof w:val="0"/>
          <w:lang w:val="en-US"/>
        </w:rPr>
        <w:footnoteReference w:id="401"/>
      </w:r>
    </w:p>
    <w:p w14:paraId="19532F1C" w14:textId="77777777" w:rsidR="00E76B2D" w:rsidRPr="004542B5" w:rsidRDefault="00E76B2D" w:rsidP="00E76B2D">
      <w:pPr>
        <w:pStyle w:val="ListParagraph"/>
        <w:ind w:left="0"/>
        <w:rPr>
          <w:noProof w:val="0"/>
          <w:szCs w:val="20"/>
          <w:lang w:val="en-US"/>
        </w:rPr>
      </w:pPr>
    </w:p>
    <w:p w14:paraId="51ED4B96" w14:textId="50DD3770" w:rsidR="00E76B2D" w:rsidRPr="004542B5" w:rsidRDefault="00E76B2D" w:rsidP="00235A52">
      <w:pPr>
        <w:pStyle w:val="ListParagraph"/>
        <w:ind w:left="0"/>
        <w:rPr>
          <w:noProof w:val="0"/>
          <w:szCs w:val="20"/>
          <w:lang w:val="en-US"/>
        </w:rPr>
      </w:pPr>
      <w:r w:rsidRPr="004542B5">
        <w:rPr>
          <w:noProof w:val="0"/>
          <w:szCs w:val="20"/>
          <w:lang w:val="en-US"/>
        </w:rPr>
        <w:t>78.</w:t>
      </w:r>
      <w:r w:rsidRPr="004542B5">
        <w:rPr>
          <w:noProof w:val="0"/>
          <w:szCs w:val="20"/>
          <w:lang w:val="en-US"/>
        </w:rPr>
        <w:tab/>
      </w:r>
      <w:r w:rsidR="00235A52" w:rsidRPr="004542B5">
        <w:rPr>
          <w:noProof w:val="0"/>
          <w:szCs w:val="20"/>
          <w:lang w:val="en-US"/>
        </w:rPr>
        <w:t xml:space="preserve">Finally, it is pertinent to note that it would be a fallacy and an </w:t>
      </w:r>
      <w:r w:rsidR="00235A52" w:rsidRPr="004542B5">
        <w:rPr>
          <w:i/>
          <w:iCs/>
          <w:noProof w:val="0"/>
          <w:szCs w:val="20"/>
          <w:lang w:val="en-US"/>
        </w:rPr>
        <w:t>a</w:t>
      </w:r>
      <w:r w:rsidR="00235A52" w:rsidRPr="004542B5">
        <w:rPr>
          <w:i/>
          <w:iCs/>
          <w:noProof w:val="0"/>
          <w:lang w:val="en-US"/>
        </w:rPr>
        <w:t>rgumentum ad absurdum</w:t>
      </w:r>
      <w:r w:rsidR="00235A52" w:rsidRPr="004542B5">
        <w:rPr>
          <w:noProof w:val="0"/>
          <w:lang w:val="en-US"/>
        </w:rPr>
        <w:t xml:space="preserve">, to claim that any type of expropriation of indigenous lands, present, future but, above all, in the past, constitutes, in itself, a continuing situation. To make this </w:t>
      </w:r>
      <w:r w:rsidR="00235A52" w:rsidRPr="004542B5">
        <w:rPr>
          <w:noProof w:val="0"/>
          <w:lang w:val="en-US"/>
        </w:rPr>
        <w:lastRenderedPageBreak/>
        <w:t xml:space="preserve">affirmation would create an absolute lack of legal certainty in relation to any property on the American continent. However, emphatically adopting the opposite position in general, without analyzing the specific circumstances of each case is disproportionate – as occurred in this case in which </w:t>
      </w:r>
      <w:r w:rsidR="00235A52" w:rsidRPr="004542B5">
        <w:rPr>
          <w:i/>
          <w:iCs/>
          <w:noProof w:val="0"/>
          <w:lang w:val="en-US"/>
        </w:rPr>
        <w:t xml:space="preserve">a continuing situation exists owing to a composite fact relating to failure to pay compensation – </w:t>
      </w:r>
      <w:r w:rsidR="00235A52" w:rsidRPr="004542B5">
        <w:rPr>
          <w:noProof w:val="0"/>
          <w:lang w:val="en-US"/>
        </w:rPr>
        <w:t>leaving at a disadvantage groups of persons and communities that this Court has recognized as possessing special protection under international human rights law.</w:t>
      </w:r>
    </w:p>
    <w:p w14:paraId="17798985" w14:textId="77777777" w:rsidR="00E76B2D" w:rsidRPr="004542B5" w:rsidRDefault="00E76B2D" w:rsidP="00E76B2D">
      <w:pPr>
        <w:pStyle w:val="NormalWeb"/>
        <w:spacing w:before="0" w:beforeAutospacing="0" w:after="0" w:afterAutospacing="0"/>
        <w:jc w:val="both"/>
        <w:rPr>
          <w:rFonts w:ascii="Verdana" w:hAnsi="Verdana"/>
          <w:noProof w:val="0"/>
          <w:lang w:val="en-US" w:eastAsia="es-ES"/>
        </w:rPr>
      </w:pPr>
    </w:p>
    <w:p w14:paraId="2C9D667E" w14:textId="77777777" w:rsidR="00E76B2D" w:rsidRPr="004542B5" w:rsidRDefault="00E76B2D" w:rsidP="00E76B2D">
      <w:pPr>
        <w:pStyle w:val="NormalWeb"/>
        <w:spacing w:before="0" w:beforeAutospacing="0" w:after="0" w:afterAutospacing="0"/>
        <w:jc w:val="both"/>
        <w:rPr>
          <w:rFonts w:ascii="Verdana" w:hAnsi="Verdana"/>
          <w:noProof w:val="0"/>
          <w:lang w:val="en-US" w:eastAsia="es-ES"/>
        </w:rPr>
      </w:pPr>
    </w:p>
    <w:p w14:paraId="2D71CBF0" w14:textId="77777777" w:rsidR="00E76B2D" w:rsidRPr="004542B5" w:rsidRDefault="00E76B2D" w:rsidP="00E76B2D">
      <w:pPr>
        <w:pStyle w:val="NormalWeb"/>
        <w:spacing w:before="0" w:beforeAutospacing="0" w:after="0" w:afterAutospacing="0"/>
        <w:jc w:val="both"/>
        <w:rPr>
          <w:rFonts w:ascii="Verdana" w:hAnsi="Verdana"/>
          <w:noProof w:val="0"/>
          <w:lang w:val="en-US" w:eastAsia="es-ES"/>
        </w:rPr>
      </w:pPr>
    </w:p>
    <w:p w14:paraId="01A979B4" w14:textId="77777777" w:rsidR="00E76B2D" w:rsidRPr="004542B5" w:rsidRDefault="00E76B2D" w:rsidP="00E76B2D">
      <w:pPr>
        <w:tabs>
          <w:tab w:val="left" w:pos="709"/>
          <w:tab w:val="left" w:pos="9356"/>
        </w:tabs>
        <w:ind w:right="-516"/>
        <w:jc w:val="center"/>
        <w:outlineLvl w:val="0"/>
        <w:rPr>
          <w:rFonts w:cs="Verdana"/>
          <w:noProof w:val="0"/>
          <w:szCs w:val="20"/>
          <w:lang w:val="en-US"/>
        </w:rPr>
      </w:pPr>
    </w:p>
    <w:p w14:paraId="5DAE94C1" w14:textId="77777777" w:rsidR="00E76B2D" w:rsidRPr="004542B5" w:rsidRDefault="00E76B2D" w:rsidP="00E76B2D">
      <w:pPr>
        <w:tabs>
          <w:tab w:val="left" w:pos="709"/>
          <w:tab w:val="left" w:pos="9356"/>
        </w:tabs>
        <w:ind w:right="-516"/>
        <w:jc w:val="center"/>
        <w:outlineLvl w:val="0"/>
        <w:rPr>
          <w:rFonts w:cs="Verdana"/>
          <w:noProof w:val="0"/>
          <w:szCs w:val="20"/>
          <w:lang w:val="en-US"/>
        </w:rPr>
      </w:pPr>
      <w:r w:rsidRPr="004542B5">
        <w:rPr>
          <w:rFonts w:cs="Verdana"/>
          <w:noProof w:val="0"/>
          <w:szCs w:val="20"/>
          <w:lang w:val="en-US"/>
        </w:rPr>
        <w:tab/>
        <w:t xml:space="preserve">                                                    </w:t>
      </w:r>
      <w:bookmarkStart w:id="277" w:name="_Toc45200915"/>
      <w:r w:rsidRPr="004542B5">
        <w:rPr>
          <w:rFonts w:cs="Verdana"/>
          <w:noProof w:val="0"/>
          <w:szCs w:val="20"/>
          <w:lang w:val="en-US"/>
        </w:rPr>
        <w:t>Eduardo Ferrer Mac-Gregor Poisot</w:t>
      </w:r>
      <w:bookmarkEnd w:id="277"/>
    </w:p>
    <w:p w14:paraId="0D8D89F5" w14:textId="7D0BFC3A" w:rsidR="00E76B2D" w:rsidRPr="004542B5" w:rsidRDefault="00E76B2D" w:rsidP="00E76B2D">
      <w:pPr>
        <w:tabs>
          <w:tab w:val="left" w:pos="709"/>
          <w:tab w:val="left" w:pos="9356"/>
        </w:tabs>
        <w:ind w:right="-516"/>
        <w:jc w:val="center"/>
        <w:outlineLvl w:val="0"/>
        <w:rPr>
          <w:rFonts w:cs="Verdana"/>
          <w:noProof w:val="0"/>
          <w:szCs w:val="20"/>
          <w:lang w:val="en-US"/>
        </w:rPr>
      </w:pPr>
      <w:r w:rsidRPr="004542B5">
        <w:rPr>
          <w:rFonts w:cs="Verdana"/>
          <w:noProof w:val="0"/>
          <w:szCs w:val="20"/>
          <w:lang w:val="en-US"/>
        </w:rPr>
        <w:t xml:space="preserve">                                                            </w:t>
      </w:r>
      <w:bookmarkStart w:id="278" w:name="_Toc45200916"/>
      <w:r w:rsidR="00562CBB" w:rsidRPr="004542B5">
        <w:rPr>
          <w:rFonts w:cs="Verdana"/>
          <w:noProof w:val="0"/>
          <w:szCs w:val="20"/>
          <w:lang w:val="en-US"/>
        </w:rPr>
        <w:t>Judge</w:t>
      </w:r>
      <w:bookmarkEnd w:id="278"/>
    </w:p>
    <w:p w14:paraId="09F232C8" w14:textId="77777777" w:rsidR="00E76B2D" w:rsidRPr="004542B5" w:rsidRDefault="00E76B2D" w:rsidP="00E76B2D">
      <w:pPr>
        <w:tabs>
          <w:tab w:val="left" w:pos="709"/>
          <w:tab w:val="left" w:pos="9356"/>
        </w:tabs>
        <w:ind w:right="-516"/>
        <w:outlineLvl w:val="0"/>
        <w:rPr>
          <w:rFonts w:cs="Verdana"/>
          <w:noProof w:val="0"/>
          <w:szCs w:val="20"/>
          <w:lang w:val="en-US"/>
        </w:rPr>
      </w:pPr>
    </w:p>
    <w:p w14:paraId="2B92CDAB" w14:textId="77777777" w:rsidR="00E76B2D" w:rsidRPr="004542B5" w:rsidRDefault="00E76B2D" w:rsidP="00E76B2D">
      <w:pPr>
        <w:tabs>
          <w:tab w:val="left" w:pos="709"/>
          <w:tab w:val="left" w:pos="9356"/>
        </w:tabs>
        <w:ind w:right="-516"/>
        <w:outlineLvl w:val="0"/>
        <w:rPr>
          <w:rFonts w:cs="Verdana"/>
          <w:noProof w:val="0"/>
          <w:szCs w:val="20"/>
          <w:lang w:val="en-US"/>
        </w:rPr>
      </w:pPr>
    </w:p>
    <w:p w14:paraId="39E8D6A3" w14:textId="77777777" w:rsidR="00E76B2D" w:rsidRPr="004542B5" w:rsidRDefault="00E76B2D" w:rsidP="00E76B2D">
      <w:pPr>
        <w:tabs>
          <w:tab w:val="left" w:pos="709"/>
          <w:tab w:val="left" w:pos="9356"/>
        </w:tabs>
        <w:ind w:right="-516"/>
        <w:outlineLvl w:val="0"/>
        <w:rPr>
          <w:rFonts w:cs="Verdana"/>
          <w:noProof w:val="0"/>
          <w:szCs w:val="20"/>
          <w:lang w:val="en-US"/>
        </w:rPr>
      </w:pPr>
    </w:p>
    <w:p w14:paraId="347F09ED" w14:textId="77777777" w:rsidR="00E76B2D" w:rsidRPr="004542B5" w:rsidRDefault="00E76B2D" w:rsidP="00E76B2D">
      <w:pPr>
        <w:tabs>
          <w:tab w:val="left" w:pos="709"/>
          <w:tab w:val="left" w:pos="9356"/>
        </w:tabs>
        <w:ind w:right="-516"/>
        <w:outlineLvl w:val="0"/>
        <w:rPr>
          <w:rFonts w:cs="Verdana"/>
          <w:noProof w:val="0"/>
          <w:szCs w:val="20"/>
          <w:lang w:val="en-US"/>
        </w:rPr>
      </w:pPr>
    </w:p>
    <w:p w14:paraId="08AC935B" w14:textId="77777777" w:rsidR="00E76B2D" w:rsidRPr="004542B5" w:rsidRDefault="00E76B2D" w:rsidP="00E76B2D">
      <w:pPr>
        <w:tabs>
          <w:tab w:val="left" w:pos="709"/>
          <w:tab w:val="left" w:pos="9356"/>
        </w:tabs>
        <w:ind w:right="-516"/>
        <w:outlineLvl w:val="0"/>
        <w:rPr>
          <w:rFonts w:cs="Verdana"/>
          <w:noProof w:val="0"/>
          <w:szCs w:val="20"/>
          <w:lang w:val="en-US"/>
        </w:rPr>
      </w:pPr>
    </w:p>
    <w:p w14:paraId="5F9DBDC2" w14:textId="77777777" w:rsidR="00E76B2D" w:rsidRPr="004542B5" w:rsidRDefault="00E76B2D" w:rsidP="00E76B2D">
      <w:pPr>
        <w:tabs>
          <w:tab w:val="left" w:pos="709"/>
          <w:tab w:val="left" w:pos="9356"/>
        </w:tabs>
        <w:ind w:right="-516"/>
        <w:outlineLvl w:val="0"/>
        <w:rPr>
          <w:rFonts w:cs="Verdana"/>
          <w:noProof w:val="0"/>
          <w:szCs w:val="20"/>
          <w:lang w:val="en-US"/>
        </w:rPr>
      </w:pPr>
      <w:bookmarkStart w:id="279" w:name="_Toc45200917"/>
      <w:r w:rsidRPr="004542B5">
        <w:rPr>
          <w:rFonts w:cs="Verdana"/>
          <w:noProof w:val="0"/>
          <w:szCs w:val="20"/>
          <w:lang w:val="en-US"/>
        </w:rPr>
        <w:t>Pablo Saavedra Alessandri</w:t>
      </w:r>
      <w:bookmarkEnd w:id="279"/>
    </w:p>
    <w:p w14:paraId="4185A20E" w14:textId="381C20DA" w:rsidR="00E76B2D" w:rsidRPr="00C043DE" w:rsidRDefault="00E76B2D" w:rsidP="00E76B2D">
      <w:pPr>
        <w:tabs>
          <w:tab w:val="left" w:pos="709"/>
          <w:tab w:val="left" w:pos="9356"/>
        </w:tabs>
        <w:ind w:right="-516"/>
        <w:rPr>
          <w:b/>
          <w:noProof w:val="0"/>
          <w:color w:val="000000"/>
          <w:szCs w:val="20"/>
          <w:lang w:val="en-US"/>
        </w:rPr>
      </w:pPr>
      <w:r w:rsidRPr="004542B5">
        <w:rPr>
          <w:rFonts w:cs="Verdana"/>
          <w:noProof w:val="0"/>
          <w:szCs w:val="20"/>
          <w:lang w:val="en-US"/>
        </w:rPr>
        <w:tab/>
      </w:r>
      <w:r w:rsidR="00562CBB" w:rsidRPr="004542B5">
        <w:rPr>
          <w:rFonts w:cs="Verdana"/>
          <w:noProof w:val="0"/>
          <w:szCs w:val="20"/>
          <w:lang w:val="en-US"/>
        </w:rPr>
        <w:t>Secretary</w:t>
      </w:r>
    </w:p>
    <w:p w14:paraId="3EA6C01D" w14:textId="77777777" w:rsidR="00B36C22" w:rsidRPr="00C043DE" w:rsidRDefault="00B36C22" w:rsidP="00552148">
      <w:pPr>
        <w:spacing w:after="200"/>
        <w:rPr>
          <w:b/>
          <w:noProof w:val="0"/>
          <w:color w:val="000000"/>
          <w:szCs w:val="20"/>
          <w:lang w:val="en-US"/>
        </w:rPr>
      </w:pPr>
    </w:p>
    <w:sectPr w:rsidR="00B36C22" w:rsidRPr="00C043DE" w:rsidSect="00E76B2D">
      <w:footerReference w:type="even" r:id="rId9"/>
      <w:footerReference w:type="default" r:id="rId10"/>
      <w:footnotePr>
        <w:numRestart w:val="eachSect"/>
      </w:footnotePr>
      <w:pgSz w:w="12240" w:h="15840" w:code="1"/>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F2208" w14:textId="77777777" w:rsidR="000137EF" w:rsidRDefault="000137EF" w:rsidP="00B17F8B">
      <w:r>
        <w:separator/>
      </w:r>
    </w:p>
  </w:endnote>
  <w:endnote w:type="continuationSeparator" w:id="0">
    <w:p w14:paraId="0F6D1531" w14:textId="77777777" w:rsidR="000137EF" w:rsidRDefault="000137EF" w:rsidP="00B1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Bold">
    <w:altName w:val="Times New Roman"/>
    <w:panose1 w:val="020B0804030504040204"/>
    <w:charset w:val="00"/>
    <w:family w:val="roman"/>
    <w:notTrueType/>
    <w:pitch w:val="default"/>
  </w:font>
  <w:font w:name="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5265D" w14:textId="77777777" w:rsidR="00F87526" w:rsidRDefault="00F87526" w:rsidP="00C66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ADBFDC" w14:textId="77777777" w:rsidR="00F87526" w:rsidRDefault="00F87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5D8C8" w14:textId="77777777" w:rsidR="00F87526" w:rsidRDefault="00F87526" w:rsidP="00E76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9F93" w14:textId="77777777" w:rsidR="000137EF" w:rsidRDefault="000137EF" w:rsidP="00B17F8B">
      <w:r>
        <w:separator/>
      </w:r>
    </w:p>
  </w:footnote>
  <w:footnote w:type="continuationSeparator" w:id="0">
    <w:p w14:paraId="1C6A00E6" w14:textId="77777777" w:rsidR="000137EF" w:rsidRDefault="000137EF" w:rsidP="00B17F8B">
      <w:r>
        <w:continuationSeparator/>
      </w:r>
    </w:p>
  </w:footnote>
  <w:footnote w:id="1">
    <w:p w14:paraId="0CAD2CE4" w14:textId="5334AEE1" w:rsidR="00F87526" w:rsidRPr="004542B5" w:rsidRDefault="00F87526" w:rsidP="00BF7853">
      <w:pPr>
        <w:pStyle w:val="FootnoteText"/>
        <w:spacing w:before="0"/>
        <w:rPr>
          <w:szCs w:val="16"/>
          <w:lang w:val="en-US"/>
        </w:rPr>
      </w:pPr>
      <w:r w:rsidRPr="004542B5">
        <w:rPr>
          <w:rStyle w:val="FootnoteReference"/>
          <w:szCs w:val="16"/>
          <w:lang w:val="en-US"/>
        </w:rPr>
        <w:t>*</w:t>
      </w:r>
      <w:r w:rsidRPr="004542B5">
        <w:rPr>
          <w:szCs w:val="16"/>
          <w:lang w:val="en-US"/>
        </w:rPr>
        <w:t xml:space="preserve"> </w:t>
      </w:r>
      <w:r w:rsidRPr="004542B5">
        <w:rPr>
          <w:szCs w:val="16"/>
          <w:lang w:val="en-US"/>
        </w:rPr>
        <w:tab/>
      </w:r>
      <w:r w:rsidRPr="004542B5">
        <w:rPr>
          <w:bCs/>
          <w:szCs w:val="16"/>
          <w:lang w:val="en-US"/>
        </w:rPr>
        <w:t>Judge Alberto Pérez Pérez was unable to take part in the deliberation of this judgment for reasons beyond his control.</w:t>
      </w:r>
    </w:p>
  </w:footnote>
  <w:footnote w:id="2">
    <w:p w14:paraId="6A9FE9E3" w14:textId="3090818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In its brief of February 26, 2013, submitting the case, the Commission indicated that “[e]ven though the factual framework established by the Inter-American Commission refers to events that occurred prior to the date of acceptance of jurisdiction, such references are made to provide context for the reporting of subsequent facts and violations.”</w:t>
      </w:r>
    </w:p>
  </w:footnote>
  <w:footnote w:id="3">
    <w:p w14:paraId="13DC991C" w14:textId="50B4938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Commission indicated in its Merits Report that “[a]s of the date of adoption of [the said] report, [it] continues to monitor the situation.”</w:t>
      </w:r>
    </w:p>
  </w:footnote>
  <w:footnote w:id="4">
    <w:p w14:paraId="10EA9361" w14:textId="67FDAA3B" w:rsidR="00F87526" w:rsidRPr="004542B5" w:rsidRDefault="00F87526" w:rsidP="00BF7853">
      <w:pPr>
        <w:autoSpaceDE w:val="0"/>
        <w:autoSpaceDN w:val="0"/>
        <w:adjustRightInd w:val="0"/>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 xml:space="preserve">The Commission established that the petition was admissible with regard to the presumed violation of Article 21 of the American Convention in connection with Article 1(1). In addition, based on the application of the </w:t>
      </w:r>
      <w:r w:rsidRPr="004542B5">
        <w:rPr>
          <w:i/>
          <w:sz w:val="16"/>
          <w:szCs w:val="16"/>
          <w:lang w:val="en-US"/>
        </w:rPr>
        <w:t>iura novit curia</w:t>
      </w:r>
      <w:r w:rsidRPr="004542B5">
        <w:rPr>
          <w:sz w:val="16"/>
          <w:szCs w:val="16"/>
          <w:lang w:val="en-US"/>
        </w:rPr>
        <w:t xml:space="preserve"> principle, it indicated that, at the merits stage, it would analyze the possible application of Articles 2, 8, 24 and 25 of the Convention.</w:t>
      </w:r>
    </w:p>
  </w:footnote>
  <w:footnote w:id="5">
    <w:p w14:paraId="1224994D" w14:textId="076FB64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Commission considered that the expropriation of the ancestral territories entailed the loss of sacred places, forests, dwellings, crops, animals and medicinal plants that had not only a material value, but were an essential element of cultural identity and the traditional way of life, so that – in addition to material losses – this entailed cultural and spirial losses that were impossible to recover, and for which compensation was due.</w:t>
      </w:r>
    </w:p>
  </w:footnote>
  <w:footnote w:id="6">
    <w:p w14:paraId="2119E721" w14:textId="7AD2FAB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szCs w:val="16"/>
          <w:lang w:val="en-US"/>
        </w:rPr>
        <w:t xml:space="preserve">Inter-American Commission on Human Rights. Merits Report 125/2012, Petition 12,354, </w:t>
      </w:r>
      <w:r w:rsidRPr="004542B5">
        <w:rPr>
          <w:i/>
          <w:szCs w:val="16"/>
          <w:lang w:val="en-US"/>
        </w:rPr>
        <w:t>Kuna Indigenous People of Madungandí and Emberá Indigenous People of Bayano and their members v. Panama</w:t>
      </w:r>
      <w:r w:rsidRPr="004542B5">
        <w:rPr>
          <w:szCs w:val="16"/>
          <w:lang w:val="en-US"/>
        </w:rPr>
        <w:t>, November 13, 2012.</w:t>
      </w:r>
    </w:p>
  </w:footnote>
  <w:footnote w:id="7">
    <w:p w14:paraId="79C4B3C1" w14:textId="3F25565C" w:rsidR="00F87526" w:rsidRPr="004542B5" w:rsidRDefault="00F87526" w:rsidP="00BF7853">
      <w:pPr>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In an electronic commnication of May 3, 2013, the Court was advised that the presumed victims’ representatives before the Court would be Alexis Oriel Alvarado Ávila and Héctor Huertas (the latter from the Centro de Asistencia Legal Popular (CEALP)) and the International Human Rights Clinic of Washington College at American University. In a communication of March 20, 2014, the presumed victims’ representatives advised that the latter would no longer be representing the presumed victims.</w:t>
      </w:r>
    </w:p>
  </w:footnote>
  <w:footnote w:id="8">
    <w:p w14:paraId="0A30D9FE" w14:textId="259F1A6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Following a request for clarification by the Secretariat, in a brief of August 8, 2013, with attachments, the representatives forwarded a missing annex and a complete version of another annex to the pleadings and motions brief.</w:t>
      </w:r>
    </w:p>
  </w:footnote>
  <w:footnote w:id="9">
    <w:p w14:paraId="0F27A7E3" w14:textId="5192EBF2" w:rsidR="00F87526" w:rsidRPr="004542B5" w:rsidRDefault="00F87526" w:rsidP="00BF7853">
      <w:pPr>
        <w:pStyle w:val="Footnotes"/>
        <w:spacing w:before="0"/>
        <w:rPr>
          <w:lang w:val="en-US"/>
        </w:rPr>
      </w:pPr>
      <w:r w:rsidRPr="004542B5">
        <w:rPr>
          <w:rStyle w:val="FootnoteReference"/>
          <w:rFonts w:eastAsia="Calibri"/>
          <w:szCs w:val="16"/>
          <w:lang w:val="en-US"/>
        </w:rPr>
        <w:footnoteRef/>
      </w:r>
      <w:r w:rsidRPr="004542B5">
        <w:rPr>
          <w:lang w:val="en-US"/>
        </w:rPr>
        <w:t xml:space="preserve"> </w:t>
      </w:r>
      <w:r w:rsidRPr="004542B5">
        <w:rPr>
          <w:lang w:val="en-US"/>
        </w:rPr>
        <w:tab/>
        <w:t xml:space="preserve">The preliminary objections filed by the State are failure to exhaust domestic remedies, lack of jurisdiction </w:t>
      </w:r>
      <w:r w:rsidRPr="004542B5">
        <w:rPr>
          <w:i/>
          <w:lang w:val="en-US"/>
        </w:rPr>
        <w:t>ratione temporis,</w:t>
      </w:r>
      <w:r w:rsidRPr="004542B5">
        <w:rPr>
          <w:lang w:val="en-US"/>
        </w:rPr>
        <w:t xml:space="preserve"> and lack of jurisdiction based on the statute of limitations. </w:t>
      </w:r>
    </w:p>
  </w:footnote>
  <w:footnote w:id="10">
    <w:p w14:paraId="7F60754B" w14:textId="76FD8219" w:rsidR="00F87526" w:rsidRPr="004542B5" w:rsidRDefault="00F87526" w:rsidP="00BF7853">
      <w:pPr>
        <w:pStyle w:val="FootnoteText"/>
        <w:spacing w:before="0"/>
        <w:rPr>
          <w:rFonts w:eastAsia="Times New Roman" w:cs="Times New Roman"/>
          <w:bCs/>
          <w:iCs/>
          <w:noProof w:val="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The annexes to the said brief were presented on October 18, 2013, with a copy of the </w:t>
      </w:r>
      <w:r w:rsidRPr="004542B5">
        <w:rPr>
          <w:rFonts w:eastAsia="Times New Roman" w:cs="Times New Roman"/>
          <w:bCs/>
          <w:iCs/>
          <w:noProof w:val="0"/>
          <w:szCs w:val="16"/>
          <w:lang w:val="en-US"/>
        </w:rPr>
        <w:t>first answering brief.</w:t>
      </w:r>
    </w:p>
  </w:footnote>
  <w:footnote w:id="11">
    <w:p w14:paraId="3280C98A" w14:textId="5064EFE2" w:rsidR="00F87526" w:rsidRPr="004542B5" w:rsidRDefault="00F87526" w:rsidP="00BF7853">
      <w:pPr>
        <w:pStyle w:val="Estilo1"/>
        <w:ind w:left="0" w:right="0" w:firstLine="0"/>
        <w:rPr>
          <w:rFonts w:eastAsia="Times New Roman" w:cs="Times New Roman"/>
          <w:bCs/>
          <w:i w:val="0"/>
          <w:iCs/>
          <w:noProof w:val="0"/>
          <w:sz w:val="16"/>
          <w:szCs w:val="16"/>
          <w:lang w:val="en-US"/>
        </w:rPr>
      </w:pPr>
      <w:r w:rsidRPr="004542B5">
        <w:rPr>
          <w:rStyle w:val="FootnoteReference"/>
          <w:i w:val="0"/>
          <w:sz w:val="16"/>
          <w:szCs w:val="16"/>
          <w:lang w:val="en-US"/>
        </w:rPr>
        <w:footnoteRef/>
      </w:r>
      <w:r w:rsidRPr="004542B5">
        <w:rPr>
          <w:rStyle w:val="FootnoteReference"/>
          <w:i w:val="0"/>
          <w:sz w:val="16"/>
          <w:szCs w:val="16"/>
          <w:lang w:val="en-US"/>
        </w:rPr>
        <w:t xml:space="preserve"> </w:t>
      </w:r>
      <w:r w:rsidRPr="004542B5">
        <w:rPr>
          <w:sz w:val="16"/>
          <w:szCs w:val="16"/>
          <w:lang w:val="en-US"/>
        </w:rPr>
        <w:tab/>
      </w:r>
      <w:r w:rsidRPr="004542B5">
        <w:rPr>
          <w:rFonts w:eastAsia="Times New Roman" w:cs="Times New Roman"/>
          <w:bCs/>
          <w:i w:val="0"/>
          <w:iCs/>
          <w:noProof w:val="0"/>
          <w:sz w:val="16"/>
          <w:szCs w:val="16"/>
          <w:lang w:val="en-US"/>
        </w:rPr>
        <w:t xml:space="preserve">In a brief of December 11, 2013, the Commission pointed out that the second answering brief only referred to the pleadings and motions brief and not to the Merits Report. </w:t>
      </w:r>
    </w:p>
  </w:footnote>
  <w:footnote w:id="12">
    <w:p w14:paraId="11C08063" w14:textId="1748F6EB" w:rsidR="00F87526" w:rsidRPr="004542B5" w:rsidRDefault="00F87526" w:rsidP="00BF7853">
      <w:pPr>
        <w:spacing w:after="120"/>
        <w:ind w:right="4"/>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 xml:space="preserve">There appeared at this hearing: (a) for </w:t>
      </w:r>
      <w:r w:rsidRPr="004542B5">
        <w:rPr>
          <w:rFonts w:eastAsia="Times New Roman" w:cs="Times New Roman"/>
          <w:bCs/>
          <w:iCs/>
          <w:noProof w:val="0"/>
          <w:sz w:val="16"/>
          <w:szCs w:val="16"/>
          <w:lang w:val="en-US"/>
        </w:rPr>
        <w:t>the Inter-American Commission:</w:t>
      </w:r>
      <w:r w:rsidRPr="004542B5">
        <w:rPr>
          <w:sz w:val="16"/>
          <w:szCs w:val="16"/>
          <w:lang w:val="en-US" w:eastAsia="es-ES"/>
        </w:rPr>
        <w:t xml:space="preserve"> Silvia Serrano Guzmán and Erick Acuña Pereda, Executive Secretariat lawyers; (b) for the representatives of the presumed victims: Alexis Oriel Alvarado Ávila and Héctor Huertas (the latter from the</w:t>
      </w:r>
      <w:r w:rsidRPr="004542B5">
        <w:rPr>
          <w:sz w:val="16"/>
          <w:szCs w:val="16"/>
          <w:lang w:val="en-US"/>
        </w:rPr>
        <w:t xml:space="preserve"> Centro de Asistencia Legal Popular (CEALP)), and (c) for the State of Panama: José Javier Mulino, Ambassador of Panama to Costa Rica; Rosario I. Brandao, Agent of the State; Vladimir Franco, Deputy Agent; Magdalena Brandao, Assistant to the State Agent, and Yarissa Montenegro, Assistant to the State Agent. </w:t>
      </w:r>
    </w:p>
  </w:footnote>
  <w:footnote w:id="13">
    <w:p w14:paraId="210A13DC" w14:textId="1CB351E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In the order of March 3, 2014, the President of the Court also called on Aníbal Pastor Nuñez, a witness proposed by the State to provide testimony. However, the State withdrew the offer of his statement during the meeting held on April 1, 2014, prior to the said public hearing. </w:t>
      </w:r>
    </w:p>
  </w:footnote>
  <w:footnote w:id="14">
    <w:p w14:paraId="1AA893C0" w14:textId="3699192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State forwarded its final written arguments and annexes by an Internet file hosting site and, the same day, forwarded the originals to the Court’s Secretariat.</w:t>
      </w:r>
    </w:p>
  </w:footnote>
  <w:footnote w:id="15">
    <w:p w14:paraId="5038E266" w14:textId="385833D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annexes to the representatives’ final written arguments were received by the Court’s Secretariat on May 5, 2014.</w:t>
      </w:r>
    </w:p>
  </w:footnote>
  <w:footnote w:id="16">
    <w:p w14:paraId="31523EFE" w14:textId="69AB524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s-CR"/>
        </w:rPr>
        <w:t xml:space="preserve"> </w:t>
      </w:r>
      <w:r w:rsidRPr="004542B5">
        <w:rPr>
          <w:szCs w:val="16"/>
          <w:lang w:val="es-CR"/>
        </w:rPr>
        <w:tab/>
      </w:r>
      <w:r w:rsidRPr="004542B5">
        <w:rPr>
          <w:i/>
          <w:szCs w:val="16"/>
          <w:lang w:val="es-CR"/>
        </w:rPr>
        <w:t>Cf.</w:t>
      </w:r>
      <w:r w:rsidRPr="004542B5">
        <w:rPr>
          <w:szCs w:val="16"/>
          <w:lang w:val="es-CR"/>
        </w:rPr>
        <w:t xml:space="preserve"> </w:t>
      </w:r>
      <w:r w:rsidRPr="004542B5">
        <w:rPr>
          <w:i/>
          <w:szCs w:val="16"/>
          <w:lang w:val="es-CR"/>
        </w:rPr>
        <w:t xml:space="preserve">Case of Las Palmeras v. Colombia. </w:t>
      </w:r>
      <w:r w:rsidRPr="004542B5">
        <w:rPr>
          <w:i/>
          <w:szCs w:val="16"/>
          <w:lang w:val="en-US"/>
        </w:rPr>
        <w:t xml:space="preserve">Preliminary objections. </w:t>
      </w:r>
      <w:r w:rsidRPr="004542B5">
        <w:rPr>
          <w:szCs w:val="16"/>
          <w:lang w:val="en-US"/>
        </w:rPr>
        <w:t>Judgmentf February 4, 2000. Series C No. 67,</w:t>
      </w:r>
      <w:r w:rsidRPr="004542B5">
        <w:rPr>
          <w:i/>
          <w:szCs w:val="16"/>
          <w:lang w:val="en-US"/>
        </w:rPr>
        <w:t xml:space="preserve"> </w:t>
      </w:r>
      <w:r w:rsidRPr="004542B5">
        <w:rPr>
          <w:szCs w:val="16"/>
          <w:lang w:val="en-US"/>
        </w:rPr>
        <w:t xml:space="preserve">para. 34, and </w:t>
      </w:r>
      <w:r w:rsidRPr="004542B5">
        <w:rPr>
          <w:i/>
          <w:szCs w:val="16"/>
          <w:lang w:val="en-US"/>
        </w:rPr>
        <w:t xml:space="preserve">Case of the Human Rights Defender et al. v. Guatemala. Preliminary objections, merits, reparations and costs. </w:t>
      </w:r>
      <w:r w:rsidRPr="004542B5">
        <w:rPr>
          <w:szCs w:val="16"/>
          <w:lang w:val="en-US"/>
        </w:rPr>
        <w:t>Judgment of August 28, 2014. Series C No. 283, para. 15.</w:t>
      </w:r>
    </w:p>
  </w:footnote>
  <w:footnote w:id="17">
    <w:p w14:paraId="3B476B3E" w14:textId="51F48C8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Case of Castañeda Gutman v. Mexico. Preliminary objections, merits, reparations and costs. </w:t>
      </w:r>
      <w:r w:rsidRPr="004542B5">
        <w:rPr>
          <w:szCs w:val="16"/>
          <w:lang w:val="en-US"/>
        </w:rPr>
        <w:t xml:space="preserve">Judgment of August 6, 2008. Series C No. 184, para. 39, and </w:t>
      </w:r>
      <w:r w:rsidRPr="004542B5">
        <w:rPr>
          <w:i/>
          <w:szCs w:val="16"/>
          <w:lang w:val="en-US"/>
        </w:rPr>
        <w:t>Case of the Human Rights Defender et al. v. Guatemala</w:t>
      </w:r>
      <w:r w:rsidRPr="004542B5">
        <w:rPr>
          <w:szCs w:val="16"/>
          <w:lang w:val="en-US"/>
        </w:rPr>
        <w:t>, para. 15</w:t>
      </w:r>
      <w:r w:rsidRPr="004542B5">
        <w:rPr>
          <w:i/>
          <w:szCs w:val="16"/>
          <w:lang w:val="en-US"/>
        </w:rPr>
        <w:t>.</w:t>
      </w:r>
    </w:p>
  </w:footnote>
  <w:footnote w:id="18">
    <w:p w14:paraId="3DEA029D" w14:textId="1D8AEF9D"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State added that some recent rulings of the Third Chamber of the Supreme Court of Justice allowed it to affirm that the domestic remedies available to the presumed victims had not been exhausted; thus, the petitioners could not resort to the Inter-American Court – going over the head of all the domestic instances – to claim compensation that had not been requested in the domestic jurisdiction. The State argued that it had not received formal notice from the competet courts (the Supreme Court of Justice or the Third Contentious Administrative Chamber) of claims or complaints filed by the Kuna Comarca of Madugandí or the Emberá Comarca of Bayano and their members, based on non-compliance with Executive Decree 156, the Majecito Agreement, the Farallón Agreement, the Fuerte Cimarron Agreement, the La Espriella Agreement, or any other agreement or administrative or legal provision regarding the displacement of indigenous groups owing to the creation of the reservoir for the hydroelectric project. It added that there had been no judicial claims, using either the executive or the regular channels, and no summons to the State based on non-compliance with subsequent agreements.</w:t>
      </w:r>
    </w:p>
  </w:footnote>
  <w:footnote w:id="19">
    <w:p w14:paraId="557319C0" w14:textId="3A4A01F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Commission indicated that the State had merely listed five remedies that have different purposes in the domestic sphere and had not specified which were the appropriate and effective remedies that had not been exhausted, had not described them or indicated how the said remedies permitted the effective exercise of collective ownership and how – in the practice – they could be effective.</w:t>
      </w:r>
    </w:p>
  </w:footnote>
  <w:footnote w:id="20">
    <w:p w14:paraId="3BAFB6FD" w14:textId="679802D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The Commission indicated that the petitioners’ arguments range from the inexistence of remedies to protect the right to communal property, the lack of geographical access to the judicial organ, the absence of assistance and obstacles </w:t>
      </w:r>
      <w:r w:rsidRPr="004542B5">
        <w:rPr>
          <w:i/>
          <w:iCs/>
          <w:szCs w:val="16"/>
          <w:lang w:val="en-US"/>
        </w:rPr>
        <w:t>de facto</w:t>
      </w:r>
      <w:r w:rsidRPr="004542B5">
        <w:rPr>
          <w:szCs w:val="16"/>
          <w:lang w:val="en-US"/>
        </w:rPr>
        <w:t>, as well as delays in the investigations into the settler invasions. It added that the State had not provided a specific answer or probative elements that contested these arguments, and had therefore failed to comply with the burden of proof. The Commission also declared that the exceptions established in Article 46(2) of the Convention were applicable.</w:t>
      </w:r>
    </w:p>
  </w:footnote>
  <w:footnote w:id="21">
    <w:p w14:paraId="5F0BD263" w14:textId="41F1823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representatives referred to: (i) communications to local, provincial and national authorities; (ii) administrative procedures to evict illegal occupants; (iii) administrative procedures based on ecological harm; (iv) administrative procedures for the adjudication of collective ownership, and (v) criminal proceedings owing to land invasion by peasants and crimes against the environment.</w:t>
      </w:r>
    </w:p>
  </w:footnote>
  <w:footnote w:id="22">
    <w:p w14:paraId="63930EEF" w14:textId="5C705AE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The representatives indicated that proceedings had been filed before and after the petition was lodged before the Commission because the violations of the Convention were permanent in nature and their effects have continued and, in some cases, began after the petition was lodged (May 11, 2000). </w:t>
      </w:r>
    </w:p>
  </w:footnote>
  <w:footnote w:id="23">
    <w:p w14:paraId="1BB0C10A" w14:textId="79626910" w:rsidR="00F87526" w:rsidRPr="004542B5" w:rsidRDefault="00F87526" w:rsidP="00BF7853">
      <w:pPr>
        <w:pStyle w:val="FootnoteText"/>
        <w:tabs>
          <w:tab w:val="left" w:pos="720"/>
          <w:tab w:val="left" w:pos="1440"/>
          <w:tab w:val="left" w:pos="2160"/>
          <w:tab w:val="left" w:pos="2894"/>
        </w:tabs>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They indicated that, even though the communities had tried to benefit from this, they still do not have the said recognition; therefore, the procedure is ineffective</w:t>
      </w:r>
    </w:p>
  </w:footnote>
  <w:footnote w:id="24">
    <w:p w14:paraId="4C5F880A" w14:textId="0673D94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They recalled that the Kuna and Emberá peoples are marginalized in Panamanian society, and this results in a general lack of access to legal services and the judicial system. The representatives indicated that the only judicial body with jurisdiction for the Comarca is the District Prosecution Service in Panama City, which is 300 kilometers away from the Comarca, and that the State does not provide legal assistance (or only in a very limited way).</w:t>
      </w:r>
    </w:p>
    <w:p w14:paraId="4A0F65CE" w14:textId="3FAC560D"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State referred to Article 46 of the Constitution which establishes, among other matters, that “the laws do not have retroactive effect, with the exception of those relating to public order or social interest when such laws so indicate.” It added that the claim for money that was supposedly owed under unfulfilled agreements or amounts that were unjust or delayed are not part of the block of constitutionality because they are not rules of public order. It also indicated that Executive Decree 156 only established the retroactivity of this norm to January 1, 1971, the date on which it determined that 30% of the amounts received from logging permits would be paid retroactively.</w:t>
      </w:r>
    </w:p>
  </w:footnote>
  <w:footnote w:id="25">
    <w:p w14:paraId="4BC15FEF" w14:textId="25EFD69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s-CR"/>
        </w:rPr>
        <w:tab/>
      </w:r>
      <w:r w:rsidRPr="004542B5">
        <w:rPr>
          <w:i/>
          <w:spacing w:val="-6"/>
          <w:szCs w:val="16"/>
          <w:lang w:val="es-CR"/>
        </w:rPr>
        <w:t xml:space="preserve">Cf. Case of Velásquez Rodríguez v. Honduras. </w:t>
      </w:r>
      <w:r w:rsidRPr="004542B5">
        <w:rPr>
          <w:i/>
          <w:spacing w:val="-6"/>
          <w:szCs w:val="16"/>
          <w:lang w:val="en-US"/>
        </w:rPr>
        <w:t xml:space="preserve">Preliminary objections. </w:t>
      </w:r>
      <w:r w:rsidRPr="004542B5">
        <w:rPr>
          <w:spacing w:val="-6"/>
          <w:szCs w:val="16"/>
          <w:lang w:val="en-US"/>
        </w:rPr>
        <w:t>Judgment of June 26, 1987. Series C No. 1</w:t>
      </w:r>
      <w:r w:rsidRPr="004542B5">
        <w:rPr>
          <w:i/>
          <w:spacing w:val="-6"/>
          <w:szCs w:val="16"/>
          <w:lang w:val="en-US"/>
        </w:rPr>
        <w:t xml:space="preserve">, </w:t>
      </w:r>
      <w:r w:rsidRPr="004542B5">
        <w:rPr>
          <w:spacing w:val="-6"/>
          <w:szCs w:val="16"/>
          <w:lang w:val="en-US"/>
        </w:rPr>
        <w:t xml:space="preserve">para. 88, and </w:t>
      </w:r>
      <w:r w:rsidRPr="004542B5">
        <w:rPr>
          <w:bCs/>
          <w:i/>
          <w:szCs w:val="16"/>
          <w:lang w:val="en-US" w:bidi="en-US"/>
        </w:rPr>
        <w:t>Case of the Landaeta Mejías Brothers et al. v. Venezuela. Preliminary objections, merits, reparations and costs</w:t>
      </w:r>
      <w:r w:rsidRPr="004542B5">
        <w:rPr>
          <w:bCs/>
          <w:szCs w:val="16"/>
          <w:lang w:val="en-US" w:bidi="en-US"/>
        </w:rPr>
        <w:t>. Judgment of August 27, 2014. Series C No. 281</w:t>
      </w:r>
      <w:r w:rsidRPr="004542B5">
        <w:rPr>
          <w:szCs w:val="16"/>
          <w:lang w:val="en-US"/>
        </w:rPr>
        <w:t>, para. 23.</w:t>
      </w:r>
    </w:p>
  </w:footnote>
  <w:footnote w:id="26">
    <w:p w14:paraId="548A3455" w14:textId="6237545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pacing w:val="-6"/>
          <w:szCs w:val="16"/>
          <w:lang w:val="en-US"/>
        </w:rPr>
        <w:t xml:space="preserve">Cf. Case of Velásquez Rodríguez v. Honduras. Preliminary objections, </w:t>
      </w:r>
      <w:r w:rsidRPr="004542B5">
        <w:rPr>
          <w:spacing w:val="-6"/>
          <w:szCs w:val="16"/>
          <w:lang w:val="en-US"/>
        </w:rPr>
        <w:t xml:space="preserve">paras. 88 and 89, and </w:t>
      </w:r>
      <w:r w:rsidRPr="004542B5">
        <w:rPr>
          <w:bCs/>
          <w:i/>
          <w:szCs w:val="16"/>
          <w:lang w:val="en-US" w:bidi="en-US"/>
        </w:rPr>
        <w:t>Case of the Landaeta Mejías Brothers et al. v. Venezuela</w:t>
      </w:r>
      <w:r w:rsidRPr="004542B5">
        <w:rPr>
          <w:szCs w:val="16"/>
          <w:lang w:val="en-US"/>
        </w:rPr>
        <w:t>, para. 23.</w:t>
      </w:r>
    </w:p>
  </w:footnote>
  <w:footnote w:id="27">
    <w:p w14:paraId="550678EB" w14:textId="2715685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Case of Furlan and family v. Argentina. Preliminary objections, merits, reparations and costs. </w:t>
      </w:r>
      <w:r w:rsidRPr="004542B5">
        <w:rPr>
          <w:szCs w:val="16"/>
          <w:lang w:val="en-US"/>
        </w:rPr>
        <w:t xml:space="preserve">Judgment of August 31, 2012 Series C No. 246, para. 29, and </w:t>
      </w:r>
      <w:r w:rsidRPr="004542B5">
        <w:rPr>
          <w:i/>
          <w:szCs w:val="16"/>
          <w:lang w:val="en-US"/>
        </w:rPr>
        <w:t>Case of Brewer Carías v. Venezuela. Preliminary objections</w:t>
      </w:r>
      <w:r w:rsidRPr="004542B5">
        <w:rPr>
          <w:szCs w:val="16"/>
          <w:lang w:val="en-US"/>
        </w:rPr>
        <w:t xml:space="preserve">. Judgment of May 26, 2014. Series C No. 278, para. 77. </w:t>
      </w:r>
    </w:p>
  </w:footnote>
  <w:footnote w:id="28">
    <w:p w14:paraId="7459B99E" w14:textId="72370E10"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State indicated this, stressing in “bold type” the remedies that it considered could have been used in this case, without any further explanation.</w:t>
      </w:r>
    </w:p>
  </w:footnote>
  <w:footnote w:id="29">
    <w:p w14:paraId="3132D1F8" w14:textId="72385D80" w:rsidR="00F87526" w:rsidRPr="004542B5" w:rsidRDefault="00F87526" w:rsidP="00BF7853">
      <w:pPr>
        <w:pStyle w:val="FootnoteText"/>
        <w:spacing w:before="0"/>
        <w:rPr>
          <w:szCs w:val="16"/>
          <w:lang w:val="en-US"/>
        </w:rPr>
      </w:pPr>
      <w:r w:rsidRPr="004542B5">
        <w:rPr>
          <w:szCs w:val="16"/>
          <w:lang w:val="en-US"/>
        </w:rPr>
        <w:t xml:space="preserve"> </w:t>
      </w: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Case of Heliodoro Portugal v. Panama. Preliminary objections, merits, reparations and costs</w:t>
      </w:r>
      <w:r w:rsidRPr="004542B5">
        <w:rPr>
          <w:szCs w:val="16"/>
          <w:lang w:val="en-US"/>
        </w:rPr>
        <w:t xml:space="preserve">. Judgment of August 12, 2008. Series C No. 186, para. 27. </w:t>
      </w:r>
    </w:p>
  </w:footnote>
  <w:footnote w:id="30">
    <w:p w14:paraId="05ADDC68" w14:textId="67046F4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Case of the Moiwana Community v. Suriname. Preliminary objections, merits, reparations and costs</w:t>
      </w:r>
      <w:r w:rsidRPr="004542B5">
        <w:rPr>
          <w:szCs w:val="16"/>
          <w:lang w:val="en-US"/>
        </w:rPr>
        <w:t>. Judgment of June 15, 2005. Series C No. 124, para. 43. See also, para. 108.</w:t>
      </w:r>
    </w:p>
  </w:footnote>
  <w:footnote w:id="31">
    <w:p w14:paraId="72BEF8D7" w14:textId="53935B6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Case of García Lucero et al. v. Chile. Preliminary objection, merits and reparations</w:t>
      </w:r>
      <w:r w:rsidRPr="004542B5">
        <w:rPr>
          <w:szCs w:val="16"/>
          <w:lang w:val="en-US"/>
        </w:rPr>
        <w:t>. Judgment of August 28, 2013. Series C No. 267, paras. 37 and 38.</w:t>
      </w:r>
    </w:p>
  </w:footnote>
  <w:footnote w:id="32">
    <w:p w14:paraId="1C3AD57D" w14:textId="1DA1D3DD"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A dispute exists between the parties regarding whether the La Espriella Agreement was signed. The State, in the </w:t>
      </w:r>
      <w:r w:rsidRPr="004542B5">
        <w:rPr>
          <w:rFonts w:cs="Tahoma"/>
          <w:szCs w:val="16"/>
          <w:lang w:val="en-US"/>
        </w:rPr>
        <w:t>proceedings before the Court, questioned whether it existed. However, during the processing of the case before the Commission, the State recognized its existence</w:t>
      </w:r>
      <w:r w:rsidRPr="004542B5">
        <w:rPr>
          <w:szCs w:val="16"/>
          <w:lang w:val="en-US"/>
        </w:rPr>
        <w:t xml:space="preserve">. </w:t>
      </w:r>
      <w:r w:rsidRPr="004542B5">
        <w:rPr>
          <w:i/>
          <w:szCs w:val="16"/>
          <w:lang w:val="en-US"/>
        </w:rPr>
        <w:t>Cf.</w:t>
      </w:r>
      <w:r w:rsidRPr="004542B5">
        <w:rPr>
          <w:szCs w:val="16"/>
          <w:lang w:val="en-US"/>
        </w:rPr>
        <w:t xml:space="preserve"> State report of March 24, 2011 (file of the processing of the case before the Commission, folio 4852). </w:t>
      </w:r>
    </w:p>
  </w:footnote>
  <w:footnote w:id="33">
    <w:p w14:paraId="181CD0CA" w14:textId="02100511" w:rsidR="00F87526" w:rsidRPr="004542B5" w:rsidRDefault="00F87526" w:rsidP="00BF7853">
      <w:pPr>
        <w:pStyle w:val="ListParagraph"/>
        <w:spacing w:after="120"/>
        <w:ind w:left="0"/>
        <w:contextualSpacing w:val="0"/>
        <w:rPr>
          <w:rFonts w:cs="Tahoma"/>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 xml:space="preserve">Regarding the payment of compensation referred to in </w:t>
      </w:r>
      <w:r w:rsidRPr="004542B5">
        <w:rPr>
          <w:rFonts w:cs="Tahoma"/>
          <w:sz w:val="16"/>
          <w:szCs w:val="16"/>
          <w:lang w:val="en-US"/>
        </w:rPr>
        <w:t>Decree No. 156 and the aforementioned agreements, the Commission alleged that the State had not paid the total amount of the compensation owed; the representatives alleged this also and added that the State had not complied with the payment of just compensation, while the State affirmed that it had made the payments and had therefore fulfilled its commitments. There is no dispute between the Commission and the parties that the State made at least some payments. What is in dispute is the exact amount of the compensation paid by the State and its beneficiaries.</w:t>
      </w:r>
    </w:p>
    <w:p w14:paraId="24828796" w14:textId="77777777" w:rsidR="00F87526" w:rsidRPr="004542B5" w:rsidRDefault="00F87526" w:rsidP="00BF7853">
      <w:pPr>
        <w:pStyle w:val="FootnoteText"/>
        <w:spacing w:before="0"/>
        <w:rPr>
          <w:szCs w:val="16"/>
          <w:lang w:val="en-US"/>
        </w:rPr>
      </w:pPr>
    </w:p>
  </w:footnote>
  <w:footnote w:id="34">
    <w:p w14:paraId="3E9853CB" w14:textId="0A679207" w:rsidR="00F87526" w:rsidRPr="004542B5" w:rsidRDefault="00F87526" w:rsidP="00BF7853">
      <w:pPr>
        <w:pStyle w:val="FootnoteText"/>
        <w:spacing w:before="0"/>
        <w:rPr>
          <w:i/>
          <w:szCs w:val="16"/>
          <w:lang w:val="en-US"/>
        </w:rPr>
      </w:pPr>
      <w:r w:rsidRPr="004542B5">
        <w:rPr>
          <w:rStyle w:val="FootnoteReference"/>
          <w:szCs w:val="16"/>
          <w:lang w:val="en-US"/>
        </w:rPr>
        <w:footnoteRef/>
      </w:r>
      <w:r w:rsidRPr="004542B5">
        <w:rPr>
          <w:szCs w:val="16"/>
          <w:lang w:val="en-US"/>
        </w:rPr>
        <w:t xml:space="preserve"> </w:t>
      </w:r>
      <w:r w:rsidRPr="004542B5">
        <w:rPr>
          <w:i/>
          <w:szCs w:val="16"/>
          <w:lang w:val="en-US"/>
        </w:rPr>
        <w:tab/>
      </w:r>
      <w:r w:rsidRPr="004542B5">
        <w:rPr>
          <w:szCs w:val="16"/>
          <w:lang w:val="en-US"/>
        </w:rPr>
        <w:t>Namely, the presumed victims</w:t>
      </w:r>
      <w:r w:rsidRPr="004542B5">
        <w:rPr>
          <w:rStyle w:val="Estilo1Car"/>
          <w:sz w:val="16"/>
          <w:szCs w:val="16"/>
          <w:lang w:val="en-US"/>
        </w:rPr>
        <w:t xml:space="preserve">: </w:t>
      </w:r>
      <w:r w:rsidRPr="004542B5">
        <w:rPr>
          <w:rStyle w:val="Estilo1Car"/>
          <w:i w:val="0"/>
          <w:iCs/>
          <w:sz w:val="16"/>
          <w:szCs w:val="16"/>
          <w:lang w:val="en-US"/>
        </w:rPr>
        <w:t>(1</w:t>
      </w:r>
      <w:r w:rsidRPr="004542B5">
        <w:rPr>
          <w:rStyle w:val="Estilo1Car"/>
          <w:i w:val="0"/>
          <w:sz w:val="16"/>
          <w:szCs w:val="16"/>
          <w:lang w:val="en-US"/>
        </w:rPr>
        <w:t>) Valentín Fausto, (2) Bolivar Jaripio, proposed by the representatives, and expert witness César Rodríguez Garavito, proposed by the Commission.</w:t>
      </w:r>
    </w:p>
  </w:footnote>
  <w:footnote w:id="35">
    <w:p w14:paraId="74D36577" w14:textId="4E8D5C0D"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i/>
          <w:szCs w:val="16"/>
          <w:lang w:val="en-US"/>
        </w:rPr>
        <w:t xml:space="preserve"> </w:t>
      </w:r>
      <w:r w:rsidRPr="004542B5">
        <w:rPr>
          <w:i/>
          <w:szCs w:val="16"/>
          <w:lang w:val="en-US"/>
        </w:rPr>
        <w:tab/>
      </w:r>
      <w:r w:rsidRPr="004542B5">
        <w:rPr>
          <w:rStyle w:val="Estilo1Car"/>
          <w:i w:val="0"/>
          <w:noProof w:val="0"/>
          <w:sz w:val="16"/>
          <w:szCs w:val="16"/>
          <w:lang w:val="en-US"/>
        </w:rPr>
        <w:t>Namely, the statements of the presumed victims Benjamín García and Bonarge Pacheco, proposed by the representatives.</w:t>
      </w:r>
    </w:p>
  </w:footnote>
  <w:footnote w:id="36">
    <w:p w14:paraId="6CE87473" w14:textId="6EEA40C2" w:rsidR="00F87526" w:rsidRPr="004542B5" w:rsidRDefault="00F87526" w:rsidP="00BF7853">
      <w:pPr>
        <w:pStyle w:val="FootnoteText"/>
        <w:tabs>
          <w:tab w:val="left" w:pos="284"/>
        </w:tabs>
        <w:spacing w:before="0"/>
        <w:rPr>
          <w:szCs w:val="16"/>
          <w:lang w:val="en-US"/>
        </w:rPr>
      </w:pPr>
      <w:r w:rsidRPr="004542B5">
        <w:rPr>
          <w:rStyle w:val="FootnoteReference"/>
          <w:szCs w:val="16"/>
          <w:lang w:val="en-US"/>
        </w:rPr>
        <w:footnoteRef/>
      </w:r>
      <w:r w:rsidRPr="004542B5">
        <w:rPr>
          <w:szCs w:val="16"/>
          <w:lang w:val="es-CR"/>
        </w:rPr>
        <w:tab/>
      </w:r>
      <w:r w:rsidRPr="004542B5">
        <w:rPr>
          <w:szCs w:val="16"/>
          <w:lang w:val="es-CR"/>
        </w:rPr>
        <w:tab/>
      </w:r>
      <w:r w:rsidRPr="004542B5">
        <w:rPr>
          <w:i/>
          <w:szCs w:val="16"/>
          <w:lang w:val="es-CR"/>
        </w:rPr>
        <w:t>Cf. Case of Velásquez Rodríguez v. Honduras.</w:t>
      </w:r>
      <w:r w:rsidRPr="004542B5">
        <w:rPr>
          <w:szCs w:val="16"/>
          <w:lang w:val="es-CR"/>
        </w:rPr>
        <w:t xml:space="preserve"> </w:t>
      </w:r>
      <w:r w:rsidRPr="004542B5">
        <w:rPr>
          <w:i/>
          <w:szCs w:val="16"/>
          <w:lang w:val="en-US"/>
        </w:rPr>
        <w:t>Merits.</w:t>
      </w:r>
      <w:r w:rsidRPr="004542B5">
        <w:rPr>
          <w:szCs w:val="16"/>
          <w:lang w:val="en-US"/>
        </w:rPr>
        <w:t xml:space="preserve"> Judgment of July 29, 1988. Series C No. 4, para. 140, and </w:t>
      </w:r>
      <w:r w:rsidRPr="004542B5">
        <w:rPr>
          <w:i/>
          <w:szCs w:val="16"/>
          <w:lang w:val="en-US"/>
        </w:rPr>
        <w:t>Case of the Human Rights Defender et al. v. Guatemala</w:t>
      </w:r>
      <w:r w:rsidRPr="004542B5">
        <w:rPr>
          <w:szCs w:val="16"/>
          <w:lang w:val="en-US"/>
        </w:rPr>
        <w:t>, para. 54.</w:t>
      </w:r>
    </w:p>
  </w:footnote>
  <w:footnote w:id="37">
    <w:p w14:paraId="2CC8411C" w14:textId="18F9E87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following newspaper articles will be referred to in the chapter on “Facts” (</w:t>
      </w:r>
      <w:r w:rsidRPr="004542B5">
        <w:rPr>
          <w:i/>
          <w:szCs w:val="16"/>
          <w:lang w:val="en-US"/>
        </w:rPr>
        <w:t>infra</w:t>
      </w:r>
      <w:r w:rsidRPr="004542B5">
        <w:rPr>
          <w:szCs w:val="16"/>
          <w:lang w:val="en-US"/>
        </w:rPr>
        <w:t xml:space="preserve"> Chapter VI): “Panama: Indians say blood will flow unless they get land rights,” Inter Press Service, May 18, 1993; “</w:t>
      </w:r>
      <w:r w:rsidRPr="004542B5">
        <w:rPr>
          <w:i/>
          <w:iCs/>
          <w:szCs w:val="16"/>
          <w:lang w:val="en-US"/>
        </w:rPr>
        <w:t>Antimotines enfrentan a los indígenas que se toman Puerto Obaldía</w:t>
      </w:r>
      <w:r w:rsidRPr="004542B5">
        <w:rPr>
          <w:szCs w:val="16"/>
          <w:lang w:val="en-US"/>
        </w:rPr>
        <w:t>” [Riot control police confront indigenous people who took over Puerto Obaldía], El Siglo, May 29, 1993, and “Panama: Tensions Between Government and Amerindians Subside”, Inter Press Service, June 3, 1993 (Annex 34 to the Merits Report, folios 533 to 537).</w:t>
      </w:r>
    </w:p>
  </w:footnote>
  <w:footnote w:id="38">
    <w:p w14:paraId="1976A737" w14:textId="335F722F" w:rsidR="00F87526" w:rsidRPr="004542B5" w:rsidRDefault="00F87526" w:rsidP="00BF7853">
      <w:pPr>
        <w:pStyle w:val="FootnoteText"/>
        <w:tabs>
          <w:tab w:val="left" w:pos="284"/>
        </w:tabs>
        <w:spacing w:before="0"/>
        <w:rPr>
          <w:szCs w:val="16"/>
          <w:lang w:val="en-US"/>
        </w:rPr>
      </w:pPr>
      <w:r w:rsidRPr="004542B5">
        <w:rPr>
          <w:rStyle w:val="FootnoteReference"/>
          <w:szCs w:val="16"/>
          <w:lang w:val="en-US"/>
        </w:rPr>
        <w:footnoteRef/>
      </w:r>
      <w:r w:rsidRPr="004542B5">
        <w:rPr>
          <w:szCs w:val="16"/>
          <w:lang w:val="es-CR"/>
        </w:rPr>
        <w:tab/>
      </w:r>
      <w:r w:rsidRPr="004542B5">
        <w:rPr>
          <w:szCs w:val="16"/>
          <w:lang w:val="es-CR"/>
        </w:rPr>
        <w:tab/>
      </w:r>
      <w:r w:rsidRPr="004542B5">
        <w:rPr>
          <w:i/>
          <w:szCs w:val="16"/>
          <w:lang w:val="es-CR"/>
        </w:rPr>
        <w:t>Cf. Case of Velásquez Rodríguez v. Honduras.</w:t>
      </w:r>
      <w:r w:rsidRPr="004542B5">
        <w:rPr>
          <w:szCs w:val="16"/>
          <w:lang w:val="es-CR"/>
        </w:rPr>
        <w:t xml:space="preserve"> </w:t>
      </w:r>
      <w:r w:rsidRPr="004542B5">
        <w:rPr>
          <w:i/>
          <w:szCs w:val="16"/>
          <w:lang w:val="en-US"/>
        </w:rPr>
        <w:t>Merits</w:t>
      </w:r>
      <w:r w:rsidRPr="004542B5">
        <w:rPr>
          <w:szCs w:val="16"/>
          <w:lang w:val="en-US"/>
        </w:rPr>
        <w:t xml:space="preserve">, para. 146, and </w:t>
      </w:r>
      <w:r w:rsidRPr="004542B5">
        <w:rPr>
          <w:i/>
          <w:szCs w:val="16"/>
          <w:lang w:val="en-US"/>
        </w:rPr>
        <w:t>Case of the Human Rights Defender et al. v. Guatemala</w:t>
      </w:r>
      <w:r w:rsidRPr="004542B5">
        <w:rPr>
          <w:szCs w:val="16"/>
          <w:lang w:val="en-US"/>
        </w:rPr>
        <w:t>, para. 55.</w:t>
      </w:r>
    </w:p>
  </w:footnote>
  <w:footnote w:id="39">
    <w:p w14:paraId="77F9ACDD" w14:textId="7D5C24F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 Case of Escué Zapata v. Colombia</w:t>
      </w:r>
      <w:r w:rsidRPr="004542B5">
        <w:rPr>
          <w:szCs w:val="16"/>
          <w:lang w:val="en-US"/>
        </w:rPr>
        <w:t xml:space="preserve">. </w:t>
      </w:r>
      <w:r w:rsidRPr="004542B5">
        <w:rPr>
          <w:i/>
          <w:szCs w:val="16"/>
          <w:lang w:val="en-US"/>
        </w:rPr>
        <w:t>Merits, reparations and costs.</w:t>
      </w:r>
      <w:r w:rsidRPr="004542B5">
        <w:rPr>
          <w:szCs w:val="16"/>
          <w:lang w:val="en-US"/>
        </w:rPr>
        <w:t xml:space="preserve"> Judgment of July 4, 2007. Series C No. 165, para. 26, and </w:t>
      </w:r>
      <w:r w:rsidRPr="004542B5">
        <w:rPr>
          <w:i/>
          <w:szCs w:val="16"/>
          <w:lang w:val="en-US"/>
        </w:rPr>
        <w:t>Case of the Human Rights Defender et al. v. Guatemala</w:t>
      </w:r>
      <w:r w:rsidRPr="004542B5">
        <w:rPr>
          <w:szCs w:val="16"/>
          <w:lang w:val="en-US"/>
        </w:rPr>
        <w:t xml:space="preserve">, para. 56. </w:t>
      </w:r>
    </w:p>
  </w:footnote>
  <w:footnote w:id="40">
    <w:p w14:paraId="406989DB" w14:textId="6306367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i/>
          <w:szCs w:val="16"/>
          <w:lang w:val="en-US"/>
        </w:rPr>
        <w:t>Case of Radilla Pacheco v. Mexico. Preliminary objections, merits, reparations and costs</w:t>
      </w:r>
      <w:r w:rsidRPr="004542B5">
        <w:rPr>
          <w:szCs w:val="16"/>
          <w:lang w:val="en-US"/>
        </w:rPr>
        <w:t xml:space="preserve">. Judgment of November 23, 2009. Series C No. 209, para. 72, and </w:t>
      </w:r>
      <w:r w:rsidRPr="004542B5">
        <w:rPr>
          <w:i/>
          <w:szCs w:val="16"/>
          <w:lang w:val="en-US"/>
        </w:rPr>
        <w:t xml:space="preserve">Case of the Afro-descendant Communities Displaced from the Río Cacarica Basin (Operation Genesis) v. Colombia, </w:t>
      </w:r>
      <w:r w:rsidRPr="004542B5">
        <w:rPr>
          <w:szCs w:val="16"/>
          <w:lang w:val="en-US"/>
        </w:rPr>
        <w:t>para. 47.</w:t>
      </w:r>
    </w:p>
  </w:footnote>
  <w:footnote w:id="41">
    <w:p w14:paraId="2BDA5BDE" w14:textId="275F339D"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The missing annex corresponded to a certification issued on March 12, 2012, by the General Administrator of the National Land Administratio Authority (“ANATI”). The annex, which was forwarded in its complete version corresponded to Judgment 16-13 of the Mixed Jurisdiction Court of </w:t>
      </w:r>
      <w:r w:rsidR="00982EC9" w:rsidRPr="004542B5">
        <w:rPr>
          <w:szCs w:val="16"/>
          <w:lang w:val="en-US"/>
        </w:rPr>
        <w:t>Darien</w:t>
      </w:r>
      <w:r w:rsidRPr="004542B5">
        <w:rPr>
          <w:szCs w:val="16"/>
          <w:lang w:val="en-US"/>
        </w:rPr>
        <w:t xml:space="preserve">. </w:t>
      </w:r>
    </w:p>
  </w:footnote>
  <w:footnote w:id="42">
    <w:p w14:paraId="73032E29" w14:textId="5C22FF8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representatives contested annex 3 forwarded by the State with its final arguments, ANATI Report on Alto Bayano and Río Piragua of October 2013, and also annex 5, Ruling of the</w:t>
      </w:r>
      <w:r w:rsidRPr="004542B5">
        <w:rPr>
          <w:iCs/>
          <w:noProof w:val="0"/>
          <w:szCs w:val="16"/>
          <w:lang w:val="en-US"/>
        </w:rPr>
        <w:t xml:space="preserve"> Third Contentious Administrative and Labor Chamber</w:t>
      </w:r>
      <w:r w:rsidRPr="004542B5">
        <w:rPr>
          <w:iCs/>
          <w:szCs w:val="16"/>
          <w:lang w:val="en-US"/>
        </w:rPr>
        <w:t xml:space="preserve"> </w:t>
      </w:r>
      <w:r w:rsidRPr="004542B5">
        <w:rPr>
          <w:szCs w:val="16"/>
          <w:lang w:val="en-US"/>
        </w:rPr>
        <w:t>of the Supreme Court of February 27, 2014.</w:t>
      </w:r>
    </w:p>
  </w:footnote>
  <w:footnote w:id="43">
    <w:p w14:paraId="5C0EC4EB" w14:textId="3068DE8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This is a communication signed by representatives of the Kuna of Madungandí General Congress addressed to the Administrator of the National Land Administration Authority (hereinafter “ANATI”) dated January 6, 2014, which includes observations on three reports that were handed over to those representatives on December 18, 2013, in ANATI. The reports refer to the Tortí Abajo sector, the Wacuco sector, Alto Bayano and Río Piragua. The representatives, in their brief of July 1, 2014, emphasized the relevance of the annex which included comments on the last report mentioned (which was forwarded by the State as an annex to its final arguments).</w:t>
      </w:r>
    </w:p>
  </w:footnote>
  <w:footnote w:id="44">
    <w:p w14:paraId="3DA5461C" w14:textId="137766F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The purpose of all these statements was established in the order of the President of the Court of March 3, 2014, first and fifth operative paragraphs. </w:t>
      </w:r>
    </w:p>
  </w:footnote>
  <w:footnote w:id="45">
    <w:p w14:paraId="087F78BE" w14:textId="5E168597" w:rsidR="00F87526" w:rsidRPr="004542B5" w:rsidRDefault="00F87526" w:rsidP="00BF7853">
      <w:pPr>
        <w:tabs>
          <w:tab w:val="left" w:pos="284"/>
          <w:tab w:val="left" w:pos="720"/>
        </w:tabs>
        <w:autoSpaceDE w:val="0"/>
        <w:autoSpaceDN w:val="0"/>
        <w:adjustRightInd w:val="0"/>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sz w:val="16"/>
          <w:szCs w:val="16"/>
          <w:lang w:val="en-US"/>
        </w:rPr>
        <w:tab/>
      </w:r>
      <w:r w:rsidRPr="004542B5">
        <w:rPr>
          <w:rFonts w:cs="Verdana"/>
          <w:i/>
          <w:sz w:val="16"/>
          <w:szCs w:val="16"/>
          <w:lang w:val="en-US"/>
        </w:rPr>
        <w:t>Cf.</w:t>
      </w:r>
      <w:r w:rsidRPr="004542B5">
        <w:rPr>
          <w:rFonts w:cs="Verdana"/>
          <w:sz w:val="16"/>
          <w:szCs w:val="16"/>
          <w:lang w:val="en-US"/>
        </w:rPr>
        <w:t xml:space="preserve"> </w:t>
      </w:r>
      <w:r w:rsidRPr="004542B5">
        <w:rPr>
          <w:rFonts w:cs="Verdana"/>
          <w:i/>
          <w:sz w:val="16"/>
          <w:szCs w:val="16"/>
          <w:lang w:val="en-US"/>
        </w:rPr>
        <w:t xml:space="preserve">Case of the “White Van” (Paniagua Morales et al.) v. Guatemala. Reparations and costs. </w:t>
      </w:r>
      <w:r w:rsidRPr="004542B5">
        <w:rPr>
          <w:sz w:val="16"/>
          <w:szCs w:val="16"/>
          <w:lang w:val="en-US"/>
        </w:rPr>
        <w:t xml:space="preserve">Judgment of May 25, 2001. Series C No. 76, para. 51, and </w:t>
      </w:r>
      <w:r w:rsidRPr="004542B5">
        <w:rPr>
          <w:i/>
          <w:sz w:val="16"/>
          <w:szCs w:val="16"/>
          <w:lang w:val="en-US"/>
        </w:rPr>
        <w:t>Case of the Landaeta Mejías Brothers</w:t>
      </w:r>
      <w:r w:rsidRPr="004542B5">
        <w:rPr>
          <w:rFonts w:cs="Verdana"/>
          <w:i/>
          <w:sz w:val="16"/>
          <w:szCs w:val="16"/>
          <w:lang w:val="en-US"/>
        </w:rPr>
        <w:t xml:space="preserve"> et al. v. Venezuela, </w:t>
      </w:r>
      <w:r w:rsidRPr="004542B5">
        <w:rPr>
          <w:rFonts w:cs="Verdana"/>
          <w:sz w:val="16"/>
          <w:szCs w:val="16"/>
          <w:lang w:val="en-US"/>
        </w:rPr>
        <w:t>para. 31</w:t>
      </w:r>
      <w:r w:rsidRPr="004542B5">
        <w:rPr>
          <w:sz w:val="16"/>
          <w:szCs w:val="16"/>
          <w:lang w:val="en-US"/>
        </w:rPr>
        <w:t>.</w:t>
      </w:r>
    </w:p>
  </w:footnote>
  <w:footnote w:id="46">
    <w:p w14:paraId="1D47B8F6" w14:textId="6BE03C4B" w:rsidR="00F87526" w:rsidRPr="004542B5" w:rsidRDefault="00F87526" w:rsidP="00BF7853">
      <w:pPr>
        <w:tabs>
          <w:tab w:val="left" w:pos="284"/>
          <w:tab w:val="left" w:pos="720"/>
        </w:tabs>
        <w:autoSpaceDE w:val="0"/>
        <w:autoSpaceDN w:val="0"/>
        <w:adjustRightInd w:val="0"/>
        <w:spacing w:after="120"/>
        <w:rPr>
          <w:sz w:val="16"/>
          <w:szCs w:val="16"/>
          <w:lang w:val="en-US"/>
        </w:rPr>
      </w:pPr>
      <w:r w:rsidRPr="004542B5">
        <w:rPr>
          <w:rStyle w:val="FootnoteReference"/>
          <w:sz w:val="16"/>
          <w:szCs w:val="16"/>
          <w:lang w:val="en-US"/>
        </w:rPr>
        <w:footnoteRef/>
      </w:r>
      <w:r w:rsidRPr="004542B5">
        <w:rPr>
          <w:rFonts w:cs="Verdana"/>
          <w:i/>
          <w:iCs/>
          <w:sz w:val="16"/>
          <w:szCs w:val="16"/>
          <w:lang w:val="en-US"/>
        </w:rPr>
        <w:t xml:space="preserve"> </w:t>
      </w:r>
      <w:r w:rsidRPr="004542B5">
        <w:rPr>
          <w:rFonts w:cs="Verdana"/>
          <w:i/>
          <w:iCs/>
          <w:sz w:val="16"/>
          <w:szCs w:val="16"/>
          <w:lang w:val="en-US"/>
        </w:rPr>
        <w:tab/>
      </w:r>
      <w:r w:rsidRPr="004542B5">
        <w:rPr>
          <w:rFonts w:cs="Verdana"/>
          <w:i/>
          <w:iCs/>
          <w:sz w:val="16"/>
          <w:szCs w:val="16"/>
          <w:lang w:val="en-US"/>
        </w:rPr>
        <w:tab/>
        <w:t>Cf.</w:t>
      </w:r>
      <w:r w:rsidRPr="004542B5">
        <w:rPr>
          <w:rFonts w:cs="Verdana"/>
          <w:sz w:val="16"/>
          <w:szCs w:val="16"/>
          <w:lang w:val="en-US"/>
        </w:rPr>
        <w:t xml:space="preserve"> </w:t>
      </w:r>
      <w:r w:rsidRPr="004542B5">
        <w:rPr>
          <w:rFonts w:cs="Verdana"/>
          <w:i/>
          <w:sz w:val="16"/>
          <w:szCs w:val="16"/>
          <w:lang w:val="en-US"/>
        </w:rPr>
        <w:t>Case of the “White Van” (Paniagua Morales et al.) v. Guatemala. Reparations and costs</w:t>
      </w:r>
      <w:r w:rsidRPr="004542B5">
        <w:rPr>
          <w:sz w:val="16"/>
          <w:szCs w:val="16"/>
          <w:lang w:val="en-US"/>
        </w:rPr>
        <w:t xml:space="preserve">, para. 76, and </w:t>
      </w:r>
      <w:r w:rsidRPr="004542B5">
        <w:rPr>
          <w:i/>
          <w:sz w:val="16"/>
          <w:szCs w:val="16"/>
          <w:lang w:val="en-US"/>
        </w:rPr>
        <w:t>Case of the Human Rights Defender et al. v. Guatemala</w:t>
      </w:r>
      <w:r w:rsidRPr="004542B5">
        <w:rPr>
          <w:sz w:val="16"/>
          <w:szCs w:val="16"/>
          <w:lang w:val="en-US"/>
        </w:rPr>
        <w:t>, para. 70.</w:t>
      </w:r>
    </w:p>
  </w:footnote>
  <w:footnote w:id="47">
    <w:p w14:paraId="638F8816" w14:textId="5642E2F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 Case of Loayza Tamayo v. Peru</w:t>
      </w:r>
      <w:r w:rsidRPr="004542B5">
        <w:rPr>
          <w:szCs w:val="16"/>
          <w:lang w:val="en-US"/>
        </w:rPr>
        <w:t xml:space="preserve">. Merits. Judgment of September 17, 1997. Series C No. 22, para. 43, and </w:t>
      </w:r>
      <w:r w:rsidRPr="004542B5">
        <w:rPr>
          <w:i/>
          <w:szCs w:val="16"/>
          <w:lang w:val="en-US"/>
        </w:rPr>
        <w:t>Case of the Human Rights Defender et al. v. Guatemala</w:t>
      </w:r>
      <w:r w:rsidRPr="004542B5">
        <w:rPr>
          <w:szCs w:val="16"/>
          <w:lang w:val="en-US"/>
        </w:rPr>
        <w:t>, para. 70.</w:t>
      </w:r>
    </w:p>
  </w:footnote>
  <w:footnote w:id="48">
    <w:p w14:paraId="1464A237" w14:textId="0AB659A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i/>
          <w:szCs w:val="16"/>
          <w:lang w:val="en-US"/>
        </w:rPr>
        <w:t>Case of Radilla Pacheco v. Mexico. Preliminary objections, merits, reparations and costs</w:t>
      </w:r>
      <w:r w:rsidRPr="004542B5">
        <w:rPr>
          <w:szCs w:val="16"/>
          <w:lang w:val="en-US"/>
        </w:rPr>
        <w:t xml:space="preserve">. Judgment of November 23, 2009. Series C No. 209, para. 72, and </w:t>
      </w:r>
      <w:r w:rsidRPr="004542B5">
        <w:rPr>
          <w:i/>
          <w:szCs w:val="16"/>
          <w:lang w:val="en-US"/>
        </w:rPr>
        <w:t xml:space="preserve">Case of the Afro-descendant Communities Displaced from the Río Cacarica Basin (Operation Genesis) v. Colombia, </w:t>
      </w:r>
      <w:r w:rsidRPr="004542B5">
        <w:rPr>
          <w:szCs w:val="16"/>
          <w:lang w:val="en-US"/>
        </w:rPr>
        <w:t>para. 47.</w:t>
      </w:r>
    </w:p>
  </w:footnote>
  <w:footnote w:id="49">
    <w:p w14:paraId="73AFD2DF" w14:textId="6431E7B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color w:val="008000"/>
          <w:szCs w:val="16"/>
          <w:lang w:val="en-US"/>
        </w:rPr>
        <w:t xml:space="preserve"> </w:t>
      </w:r>
      <w:r w:rsidRPr="004542B5">
        <w:rPr>
          <w:color w:val="008000"/>
          <w:szCs w:val="16"/>
          <w:lang w:val="en-US"/>
        </w:rPr>
        <w:tab/>
      </w:r>
      <w:r w:rsidRPr="004542B5">
        <w:rPr>
          <w:i/>
          <w:szCs w:val="16"/>
          <w:lang w:val="en-US"/>
        </w:rPr>
        <w:t>Cf.</w:t>
      </w:r>
      <w:r w:rsidRPr="004542B5">
        <w:rPr>
          <w:szCs w:val="16"/>
          <w:lang w:val="en-US"/>
        </w:rPr>
        <w:t xml:space="preserve"> Basic final results – 2010 national census of the Republic of Panama, National Statistics and Census Institute, December 15, 2010 (evidence file, folios 7903 to 8178, and 7909). </w:t>
      </w:r>
    </w:p>
  </w:footnote>
  <w:footnote w:id="50">
    <w:p w14:paraId="2E969FFD" w14:textId="7CD7FE4D" w:rsidR="00F87526" w:rsidRPr="004542B5" w:rsidRDefault="00F87526" w:rsidP="00BF7853">
      <w:pPr>
        <w:autoSpaceDE w:val="0"/>
        <w:autoSpaceDN w:val="0"/>
        <w:adjustRightInd w:val="0"/>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i/>
          <w:sz w:val="16"/>
          <w:szCs w:val="16"/>
          <w:lang w:val="en-US"/>
        </w:rPr>
        <w:t>Cf.</w:t>
      </w:r>
      <w:r w:rsidRPr="004542B5">
        <w:rPr>
          <w:sz w:val="16"/>
          <w:szCs w:val="16"/>
          <w:lang w:val="en-US"/>
        </w:rPr>
        <w:t xml:space="preserve"> State report of April 28, 2010 (evidence file, folio 3929).</w:t>
      </w:r>
    </w:p>
  </w:footnote>
  <w:footnote w:id="51">
    <w:p w14:paraId="638480D4" w14:textId="0B7FEA5E" w:rsidR="00F87526" w:rsidRPr="004542B5" w:rsidRDefault="00F87526" w:rsidP="00BF7853">
      <w:pPr>
        <w:autoSpaceDE w:val="0"/>
        <w:autoSpaceDN w:val="0"/>
        <w:adjustRightInd w:val="0"/>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i/>
          <w:sz w:val="16"/>
          <w:szCs w:val="16"/>
          <w:lang w:val="en-US"/>
        </w:rPr>
        <w:t xml:space="preserve">Cf. </w:t>
      </w:r>
      <w:r w:rsidRPr="004542B5">
        <w:rPr>
          <w:sz w:val="16"/>
          <w:szCs w:val="16"/>
          <w:lang w:val="en-US"/>
        </w:rPr>
        <w:t xml:space="preserve">State report of April 28, 2010 (evidence file, folio 3929).  </w:t>
      </w:r>
    </w:p>
  </w:footnote>
  <w:footnote w:id="52">
    <w:p w14:paraId="6D4F2FA3" w14:textId="1984B6A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Law 59 of December 12, 1930, “on indigenous reserves,” Official Gazette No. 5901 of January 7, 1931 (evidence file, folios 7314 to 7315; Law 18 of November 8, 1934, “on indigenous reserves,” Official Gazette No. 6934 of November 13, 1934 (evidence file, folios 7317 to 7318), and Law 20 of January 31, 1957 “declaring the San Blas Comarca and some lands in the province of </w:t>
      </w:r>
      <w:r w:rsidR="00982EC9" w:rsidRPr="004542B5">
        <w:rPr>
          <w:szCs w:val="16"/>
          <w:lang w:val="en-US"/>
        </w:rPr>
        <w:t>Darien</w:t>
      </w:r>
      <w:r w:rsidRPr="004542B5">
        <w:rPr>
          <w:szCs w:val="16"/>
          <w:lang w:val="en-US"/>
        </w:rPr>
        <w:t xml:space="preserve"> as indigenous reserves [and amending several laws],” Official Gazette No. 13,282 of June 28, 1957 (evidence file, folios 7342 to 7344).</w:t>
      </w:r>
    </w:p>
  </w:footnote>
  <w:footnote w:id="53">
    <w:p w14:paraId="11E36C44" w14:textId="6EC24D3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Law 18 of November 8, 1934, “on indigenous reserves”, Official Gazette No. 6934 of November 13, 1934 (evidence file, folios 7317 to 7318).</w:t>
      </w:r>
    </w:p>
  </w:footnote>
  <w:footnote w:id="54">
    <w:p w14:paraId="5CBD1D7B" w14:textId="68D5634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Bayano Region Negotiation Tables, Final diagnosis, Ministry of Economy and Finance – </w:t>
      </w:r>
      <w:r w:rsidR="00982EC9" w:rsidRPr="004542B5">
        <w:rPr>
          <w:szCs w:val="16"/>
          <w:lang w:val="en-US"/>
        </w:rPr>
        <w:t>Darien</w:t>
      </w:r>
      <w:r w:rsidRPr="004542B5">
        <w:rPr>
          <w:szCs w:val="16"/>
          <w:lang w:val="en-US"/>
        </w:rPr>
        <w:t xml:space="preserve"> Sustainable Development Program, June 30, 1999 (evidence file, folio 336); Report and recommendation of the Inter-governmental Commission (evidence file, folio 363), and Physical demarcation of the Kuna Comarca of Madungandí – Final report, National Political-Administrative B</w:t>
      </w:r>
      <w:r w:rsidRPr="004542B5">
        <w:rPr>
          <w:rFonts w:cs="Tahoma"/>
          <w:szCs w:val="16"/>
          <w:lang w:val="en-US"/>
        </w:rPr>
        <w:t>oundaries</w:t>
      </w:r>
      <w:r w:rsidRPr="004542B5">
        <w:rPr>
          <w:szCs w:val="16"/>
          <w:lang w:val="en-US"/>
        </w:rPr>
        <w:t xml:space="preserve"> Commission, 2000 (evidence file, folio 14).</w:t>
      </w:r>
      <w:r w:rsidRPr="004542B5">
        <w:rPr>
          <w:color w:val="008000"/>
          <w:szCs w:val="16"/>
          <w:lang w:val="en-US"/>
        </w:rPr>
        <w:t xml:space="preserve"> </w:t>
      </w:r>
    </w:p>
  </w:footnote>
  <w:footnote w:id="55">
    <w:p w14:paraId="5E20DB09" w14:textId="55741943" w:rsidR="00F87526" w:rsidRPr="004542B5" w:rsidRDefault="00F87526" w:rsidP="00BF7853">
      <w:pPr>
        <w:pStyle w:val="FootnoteText"/>
        <w:spacing w:before="0"/>
        <w:rPr>
          <w:szCs w:val="16"/>
          <w:lang w:val="es-CR"/>
        </w:rPr>
      </w:pPr>
      <w:r w:rsidRPr="004542B5">
        <w:rPr>
          <w:rStyle w:val="FootnoteReference"/>
          <w:szCs w:val="16"/>
          <w:lang w:val="en-US"/>
        </w:rPr>
        <w:footnoteRef/>
      </w:r>
      <w:r w:rsidRPr="004542B5">
        <w:rPr>
          <w:szCs w:val="16"/>
          <w:lang w:val="es-CR"/>
        </w:rPr>
        <w:t xml:space="preserve"> </w:t>
      </w:r>
      <w:r w:rsidRPr="004542B5">
        <w:rPr>
          <w:szCs w:val="16"/>
          <w:lang w:val="es-CR"/>
        </w:rPr>
        <w:tab/>
      </w:r>
      <w:r w:rsidRPr="004542B5">
        <w:rPr>
          <w:i/>
          <w:szCs w:val="16"/>
          <w:lang w:val="es-CR"/>
        </w:rPr>
        <w:t>Cf.</w:t>
      </w:r>
      <w:r w:rsidRPr="004542B5">
        <w:rPr>
          <w:szCs w:val="16"/>
          <w:lang w:val="es-CR"/>
        </w:rPr>
        <w:t xml:space="preserve"> E. Urieta Donoso, “</w:t>
      </w:r>
      <w:r w:rsidRPr="004542B5">
        <w:rPr>
          <w:i/>
          <w:iCs/>
          <w:szCs w:val="16"/>
          <w:lang w:val="es-CR"/>
        </w:rPr>
        <w:t>Ipetí-Choco: Una comunidad indígena de Panamá afectada por una Presa Hidroeléctrica</w:t>
      </w:r>
      <w:r w:rsidRPr="004542B5">
        <w:rPr>
          <w:szCs w:val="16"/>
          <w:lang w:val="es-CR"/>
        </w:rPr>
        <w:t>”, Universidad Veracruzana, 1994 (evidence file, folio 11).</w:t>
      </w:r>
    </w:p>
  </w:footnote>
  <w:footnote w:id="56">
    <w:p w14:paraId="2D7FE2EE" w14:textId="4D4DB22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Article 127 establishes: “[t]he State shall guarantee the indigenous communities the reserve of the necessary lands and the collective ownership thereof to ensure their economic and social well-being. The law shall regulate the procedures to be followed to achieve this objective and the corresponding delimitations within which the private appropriation of lands is prohibited.” This article was included as article 116 of the 1972 Constitution and a similar article 95(a) and (b) in the 1946 Constitution. </w:t>
      </w:r>
    </w:p>
  </w:footnote>
  <w:footnote w:id="57">
    <w:p w14:paraId="1E318534" w14:textId="50BC0EC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Law 2 of Septemebr 16, 1938, “creating the Comarcas of San Blas and Barú,” Official Gazette No. 7873, September 23, 1938 (evidence file, folios  7323 to 7326); Law 16 of February 19, 1953, “on the organization of the  Comarca of San Blas,” Official Gazette No. 12,042, April 7, 1953 (evidence file, folios 7337 to 7341); Law 20 of January 31, 1957, “declaring the San Blas Comarca and some lands in the province of </w:t>
      </w:r>
      <w:r w:rsidR="00982EC9" w:rsidRPr="004542B5">
        <w:rPr>
          <w:szCs w:val="16"/>
          <w:lang w:val="en-US"/>
        </w:rPr>
        <w:t>Darien</w:t>
      </w:r>
      <w:r w:rsidRPr="004542B5">
        <w:rPr>
          <w:szCs w:val="16"/>
          <w:lang w:val="en-US"/>
        </w:rPr>
        <w:t xml:space="preserve"> as indigenous reserves and amending [some laws],” Official Gazette No. 13,282, June 28, 1957, and Law 99 of December 23, 1998, “naming the San Blas Comarca the Kuna Yala Comarca,” Official Gazette No. 23,701, December 29, 1998 (evidence file, folios 7433 to 7435).</w:t>
      </w:r>
    </w:p>
  </w:footnote>
  <w:footnote w:id="58">
    <w:p w14:paraId="6CCFCCF7" w14:textId="5D7E38ED"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Law 22 of October 20, 1983, “creating the Emberá Comarca of </w:t>
      </w:r>
      <w:r w:rsidR="00982EC9" w:rsidRPr="004542B5">
        <w:rPr>
          <w:szCs w:val="16"/>
          <w:lang w:val="en-US"/>
        </w:rPr>
        <w:t>Darien</w:t>
      </w:r>
      <w:r w:rsidRPr="004542B5">
        <w:rPr>
          <w:szCs w:val="16"/>
          <w:lang w:val="en-US"/>
        </w:rPr>
        <w:t>,” Official Gazette No. 19,976 (evidence file, folios 7377 to 7384).</w:t>
      </w:r>
    </w:p>
  </w:footnote>
  <w:footnote w:id="59">
    <w:p w14:paraId="7AF71EF5" w14:textId="6942D3E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i/>
          <w:szCs w:val="16"/>
          <w:lang w:val="en-US"/>
        </w:rPr>
        <w:t>Cf.</w:t>
      </w:r>
      <w:r w:rsidRPr="004542B5">
        <w:rPr>
          <w:szCs w:val="16"/>
          <w:lang w:val="en-US"/>
        </w:rPr>
        <w:t xml:space="preserve"> Law 24 of January 12, 1996. “creating the Kuna Comarca of Madungandí,” Official Gazette 22,951, January 15, 1996 (evidence file, folios 138 to 142).</w:t>
      </w:r>
    </w:p>
  </w:footnote>
  <w:footnote w:id="60">
    <w:p w14:paraId="756B8753" w14:textId="7214A9FB"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Law 10 of March 7, 1997, “creating the Ngobe-Bugle Comarca and and taking other measures.” </w:t>
      </w:r>
    </w:p>
  </w:footnote>
  <w:footnote w:id="61">
    <w:p w14:paraId="393371C4" w14:textId="034B2BE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Law 34 of July 25, 2000, “creating the Kuna Comarca of Wargandi,” Official Gazette No. 24,106, July 28, 2000 (evidence file, folios 7468 to 7474).</w:t>
      </w:r>
    </w:p>
  </w:footnote>
  <w:footnote w:id="62">
    <w:p w14:paraId="05A0345D" w14:textId="196F6FAB"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Law 72 of December 23, 2008, Official Gazette No. 26,193, December 30, 2008 (evidence file, folios 7475 to  7479].</w:t>
      </w:r>
    </w:p>
  </w:footnote>
  <w:footnote w:id="63">
    <w:p w14:paraId="6E058430" w14:textId="5237B3EA"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Physical demarcation of the Kuna Comarca of Madungandí – Final report, National Political-Administrative Boundaries Commission, 2000 (evidence file, folio 14).</w:t>
      </w:r>
    </w:p>
  </w:footnote>
  <w:footnote w:id="64">
    <w:p w14:paraId="64AD0C50" w14:textId="2712B8EC" w:rsidR="00F87526" w:rsidRPr="004542B5" w:rsidRDefault="00F87526" w:rsidP="00BF7853">
      <w:pPr>
        <w:pStyle w:val="FootnoteText"/>
        <w:spacing w:before="0"/>
        <w:rPr>
          <w:szCs w:val="16"/>
          <w:lang w:val="es-CR"/>
        </w:rPr>
      </w:pPr>
      <w:r w:rsidRPr="004542B5">
        <w:rPr>
          <w:rStyle w:val="FootnoteReference"/>
          <w:szCs w:val="16"/>
          <w:lang w:val="en-US"/>
        </w:rPr>
        <w:footnoteRef/>
      </w:r>
      <w:r w:rsidRPr="004542B5">
        <w:rPr>
          <w:szCs w:val="16"/>
          <w:lang w:val="es-CR"/>
        </w:rPr>
        <w:t xml:space="preserve"> </w:t>
      </w:r>
      <w:r w:rsidRPr="004542B5">
        <w:rPr>
          <w:szCs w:val="16"/>
          <w:lang w:val="es-CR"/>
        </w:rPr>
        <w:tab/>
      </w:r>
      <w:r w:rsidRPr="004542B5">
        <w:rPr>
          <w:i/>
          <w:szCs w:val="16"/>
          <w:lang w:val="es-CR"/>
        </w:rPr>
        <w:t xml:space="preserve">Cf. </w:t>
      </w:r>
      <w:r w:rsidRPr="004542B5">
        <w:rPr>
          <w:szCs w:val="16"/>
          <w:lang w:val="es-CR"/>
        </w:rPr>
        <w:t>Petition of May 11, 2000 (evidence file, folios 1970 to 2025, folio 1979), and E. Urieta Donoso, “</w:t>
      </w:r>
      <w:r w:rsidRPr="004542B5">
        <w:rPr>
          <w:i/>
          <w:iCs/>
          <w:szCs w:val="16"/>
          <w:lang w:val="es-CR"/>
        </w:rPr>
        <w:t>Ipetí-Choco: Una comunidad indígena de Panamá afectada por una Presa Hidroeléctrica”,</w:t>
      </w:r>
      <w:r w:rsidRPr="004542B5">
        <w:rPr>
          <w:szCs w:val="16"/>
          <w:lang w:val="es-CR"/>
        </w:rPr>
        <w:t xml:space="preserve"> Universidad Veracruzana, 1994 (evidence file, folio 4121). </w:t>
      </w:r>
    </w:p>
  </w:footnote>
  <w:footnote w:id="65">
    <w:p w14:paraId="5DBE4209" w14:textId="62C4B68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Technical and economic report on collective and individual compensation and reparation for the consequences of the human rights violations of the Kuna Comarca of Madungandí, General Congress of the Kuna of Madungandí, April 2014 (evidence file, folios 8580 to 8645, and folios 8582 and 8583). </w:t>
      </w:r>
    </w:p>
  </w:footnote>
  <w:footnote w:id="66">
    <w:p w14:paraId="66F83F77" w14:textId="7BCC149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Basic final results – 2010 national census of the Republic of Panama, National Statistics and Census Institute, December 15, 2010 (evidence file, folios 7903 to 8178, and 8006).</w:t>
      </w:r>
    </w:p>
  </w:footnote>
  <w:footnote w:id="67">
    <w:p w14:paraId="5CA79D28" w14:textId="09E2BFC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A. Wali, “Kilowatts and Crisis: Hidroelectric Power and Social Dislocation in Eastern Panama,” 1989 (evidence file, folios 96 to 131, and 114), and Negotiation Tables of the Bayano region, Final diagnosis report, Ministry of Economy and Finance – </w:t>
      </w:r>
      <w:r w:rsidR="00982EC9" w:rsidRPr="004542B5">
        <w:rPr>
          <w:szCs w:val="16"/>
          <w:lang w:val="en-US"/>
        </w:rPr>
        <w:t>Darien</w:t>
      </w:r>
      <w:r w:rsidRPr="004542B5">
        <w:rPr>
          <w:szCs w:val="16"/>
          <w:lang w:val="en-US"/>
        </w:rPr>
        <w:t xml:space="preserve"> Sustainable Development Program, June 30, 1999 (evidence file, folios 317 to 357, and 322).</w:t>
      </w:r>
    </w:p>
  </w:footnote>
  <w:footnote w:id="68">
    <w:p w14:paraId="2544FB13" w14:textId="5FBB540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Law 24 of January 12, 1996. “creating the Kuna Comarca of Madungandí,” Official Gazette 22,951, January 15, 1996 (evidence file, folios 138 to 142), articles 5 to 7, and Executive Decree No. 228 of December 3, 1998, Official Gazette No. 23,687, December 8, 1998 (file of procedure before the Commission, folios 4833 to 4848), articles 10 to 13.</w:t>
      </w:r>
    </w:p>
  </w:footnote>
  <w:footnote w:id="69">
    <w:p w14:paraId="6260BED3" w14:textId="1FA8279B" w:rsidR="00F87526" w:rsidRPr="004542B5" w:rsidRDefault="00F87526" w:rsidP="00BF7853">
      <w:pPr>
        <w:pStyle w:val="FootnoteText"/>
        <w:spacing w:before="0"/>
        <w:rPr>
          <w:color w:val="00800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A. Wali, “Kilowatts and Crisis: Hidroelectric Power and Social Dislocation in Eastern Panama”, 1989 (evidence file, folios 96 to 131; folio 109 and 110). </w:t>
      </w:r>
    </w:p>
  </w:footnote>
  <w:footnote w:id="70">
    <w:p w14:paraId="348583F6" w14:textId="303F934E" w:rsidR="00F87526" w:rsidRPr="004542B5" w:rsidRDefault="00F87526" w:rsidP="00BF7853">
      <w:pPr>
        <w:pStyle w:val="FootnoteText"/>
        <w:spacing w:before="0"/>
        <w:rPr>
          <w:szCs w:val="16"/>
          <w:lang w:val="es-CR"/>
        </w:rPr>
      </w:pPr>
      <w:r w:rsidRPr="004542B5">
        <w:rPr>
          <w:rStyle w:val="FootnoteReference"/>
          <w:szCs w:val="16"/>
          <w:lang w:val="en-US"/>
        </w:rPr>
        <w:footnoteRef/>
      </w:r>
      <w:r w:rsidRPr="004542B5">
        <w:rPr>
          <w:rStyle w:val="FootnoteReference"/>
          <w:szCs w:val="16"/>
          <w:lang w:val="es-CR"/>
        </w:rPr>
        <w:t xml:space="preserve"> </w:t>
      </w:r>
      <w:r w:rsidRPr="004542B5">
        <w:rPr>
          <w:szCs w:val="16"/>
          <w:lang w:val="es-CR"/>
        </w:rPr>
        <w:t xml:space="preserve"> </w:t>
      </w:r>
      <w:r w:rsidRPr="004542B5">
        <w:rPr>
          <w:szCs w:val="16"/>
          <w:lang w:val="es-CR"/>
        </w:rPr>
        <w:tab/>
      </w:r>
      <w:r w:rsidRPr="004542B5">
        <w:rPr>
          <w:i/>
          <w:szCs w:val="16"/>
          <w:lang w:val="es-CR"/>
        </w:rPr>
        <w:t>Cf.</w:t>
      </w:r>
      <w:r w:rsidRPr="004542B5">
        <w:rPr>
          <w:szCs w:val="16"/>
          <w:lang w:val="es-CR"/>
        </w:rPr>
        <w:t xml:space="preserve"> E. Urieta Donoso, “</w:t>
      </w:r>
      <w:r w:rsidRPr="004542B5">
        <w:rPr>
          <w:i/>
          <w:iCs/>
          <w:szCs w:val="16"/>
          <w:lang w:val="es-CR"/>
        </w:rPr>
        <w:t>Ipetí-Choco: Una comunidad indígena de Panamá afectada por una Presa Hidroeléctrica”,</w:t>
      </w:r>
      <w:r w:rsidRPr="004542B5">
        <w:rPr>
          <w:szCs w:val="16"/>
          <w:lang w:val="es-CR"/>
        </w:rPr>
        <w:t xml:space="preserve"> Universidad Veracruzana, 1994 (evidence file, folio 4139).  </w:t>
      </w:r>
    </w:p>
  </w:footnote>
  <w:footnote w:id="71">
    <w:p w14:paraId="01245002" w14:textId="5F399476"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Affidavit prepared by Bolivar Jaripio, presumed victim proposed by the representatives, March 21, 2014 (evidence file, folio 8423), and Statement by Bonarge Pacheco, presumed victim proposed by the representatives, before the Inter-American Court of Human Rights during the public hearing on April 2, 2014; Petitioners’ brief of May 16, 2012 (evidence file, folio 4559).</w:t>
      </w:r>
      <w:r w:rsidRPr="004542B5">
        <w:rPr>
          <w:rFonts w:cs="Arial"/>
          <w:szCs w:val="16"/>
          <w:lang w:val="en-US"/>
        </w:rPr>
        <w:t xml:space="preserve"> </w:t>
      </w:r>
    </w:p>
  </w:footnote>
  <w:footnote w:id="72">
    <w:p w14:paraId="691E15D2" w14:textId="393E90F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Basic final results – 2010 national census of the Republic of Panama, National Statistics and Census Institute, December 15, 2010 (evidence file, folio 8008). </w:t>
      </w:r>
    </w:p>
  </w:footnote>
  <w:footnote w:id="73">
    <w:p w14:paraId="423802DD" w14:textId="7226B91A" w:rsidR="00F87526" w:rsidRPr="004542B5" w:rsidRDefault="00F87526" w:rsidP="00BF7853">
      <w:pPr>
        <w:pStyle w:val="FootnoteText"/>
        <w:spacing w:before="0"/>
        <w:rPr>
          <w:color w:val="00800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Ipetí–Piriatí and Madungandí Negotiation Tables, Conclusions and Plan of Action - Final report, Ministry of Economy and Finance – </w:t>
      </w:r>
      <w:r w:rsidR="00982EC9" w:rsidRPr="004542B5">
        <w:rPr>
          <w:szCs w:val="16"/>
          <w:lang w:val="en-US"/>
        </w:rPr>
        <w:t>Darien</w:t>
      </w:r>
      <w:r w:rsidRPr="004542B5">
        <w:rPr>
          <w:szCs w:val="16"/>
          <w:lang w:val="en-US"/>
        </w:rPr>
        <w:t xml:space="preserve"> Sustainable Development Program, August 25, 1999 (evidence file, folio 1702), and Statement by Bonarge Pacheco, presumed victim proposed by the representatives, before the Inter-American Court of Human Rights during the public hearing on April 2, 2014.  </w:t>
      </w:r>
    </w:p>
  </w:footnote>
  <w:footnote w:id="74">
    <w:p w14:paraId="79D2BAF6" w14:textId="5430AC9D" w:rsidR="00F87526" w:rsidRPr="004542B5" w:rsidRDefault="00F87526" w:rsidP="00BF7853">
      <w:pPr>
        <w:pStyle w:val="FootnoteText"/>
        <w:spacing w:before="0"/>
        <w:rPr>
          <w:rStyle w:val="FootnoteReference"/>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i/>
          <w:szCs w:val="16"/>
          <w:lang w:val="en-US"/>
        </w:rPr>
        <w:t>Cf.</w:t>
      </w:r>
      <w:r w:rsidRPr="004542B5">
        <w:rPr>
          <w:szCs w:val="16"/>
          <w:lang w:val="en-US"/>
        </w:rPr>
        <w:t xml:space="preserve"> “The problem of land invasion in the Madungandí Comarca (Alto Bayano)”, Report and recommendation of the Inter-governmental Commission (evidence file, folio 364); Physical demarcation of the Kuna Comarca of Madungandí – Final report, National Political-Administrative Boundaries Commission, 2000 (evidence file, folio 14), and A. Wali, “Kilowatts and Crisis: Hidroelectric Power and Social Dislocation in Eastern Panama”, 1989 (evidence file, folio 115).</w:t>
      </w:r>
    </w:p>
  </w:footnote>
  <w:footnote w:id="75">
    <w:p w14:paraId="245B780A" w14:textId="2D3B06F9"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Bayano Region Negotiation Tables, Final diagnosis, Ministry of Economy and Finance – </w:t>
      </w:r>
      <w:r w:rsidR="00982EC9" w:rsidRPr="004542B5">
        <w:rPr>
          <w:szCs w:val="16"/>
          <w:lang w:val="en-US"/>
        </w:rPr>
        <w:t>Darien</w:t>
      </w:r>
      <w:r w:rsidRPr="004542B5">
        <w:rPr>
          <w:szCs w:val="16"/>
          <w:lang w:val="en-US"/>
        </w:rPr>
        <w:t xml:space="preserve"> Sustainable Development Program, June 30, 1999 (evidence file, folio 331 to 335).</w:t>
      </w:r>
    </w:p>
  </w:footnote>
  <w:footnote w:id="76">
    <w:p w14:paraId="362EC81E" w14:textId="2EDB9CC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State report of March 24, 2011 (evidence file, folio 4852); See also, A. Wali, “Kilowatts and Crisis: Hidroelectric Power and Social Dislocation in Eastern Panama”, 1989 (evidence file, folios 117 and 118).</w:t>
      </w:r>
    </w:p>
  </w:footnote>
  <w:footnote w:id="77">
    <w:p w14:paraId="2800AE27" w14:textId="1CE4DB1D"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Executive Decree No. 123 of May 8, 1969 “declaring some lands non-adjudicable and suspending the processing of some adjudication requests,” Official Gazette No. 16,367, May 23, 1969 (evidence file, folio 376 to 377), Preambular paragraph and first article.</w:t>
      </w:r>
    </w:p>
  </w:footnote>
  <w:footnote w:id="78">
    <w:p w14:paraId="3D25E05D" w14:textId="0288123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Executive Decree No. 123 of May 8, 1969 “declaring some lands non-adjudicable and suspending the processing of some adjudication requests,” Official Gazette No. 16,367, May 23, 1969 (evidence file, folio 376 to 377), articles 2, 3 and paragraph.</w:t>
      </w:r>
    </w:p>
  </w:footnote>
  <w:footnote w:id="79">
    <w:p w14:paraId="711D3396" w14:textId="405C37EA" w:rsidR="00F87526" w:rsidRPr="004542B5" w:rsidRDefault="00F87526" w:rsidP="00BF7853">
      <w:pPr>
        <w:pStyle w:val="ListParagraph"/>
        <w:spacing w:after="120"/>
        <w:ind w:left="0"/>
        <w:contextualSpacing w:val="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i/>
          <w:sz w:val="16"/>
          <w:szCs w:val="16"/>
          <w:lang w:val="en-US"/>
        </w:rPr>
        <w:t>Cf.</w:t>
      </w:r>
      <w:r w:rsidRPr="004542B5">
        <w:rPr>
          <w:sz w:val="16"/>
          <w:szCs w:val="16"/>
          <w:lang w:val="en-US"/>
        </w:rPr>
        <w:t xml:space="preserve"> Executive Decree No. 156 of July 8, 1971 “establishing a Special Compensation Fund to Assist the Indigenous Peoples of the Bayano,” Official Gazette No. 16,801, July 26, 1971 (evidence file, folio 379), Preambular paragraphs, articles 1 and 3. Article 2 of the Decree established that the Fund would be formed by 30% of the total amount received by the State’s Forestry Fund following January 1, 1971, and the amounts received following the promulgation of the decree for the three following years. This referred to income from logging permits or concessions granted by the Forestry Service of the Ministry of Agriculture and Livestock in the area of the Bayano Indigenous Reserve.</w:t>
      </w:r>
    </w:p>
  </w:footnote>
  <w:footnote w:id="80">
    <w:p w14:paraId="0850FF9A" w14:textId="17D89EE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szCs w:val="16"/>
          <w:lang w:val="en-US"/>
        </w:rPr>
        <w:t>State report of March 24, 2011 (evidence file, folio 4852).</w:t>
      </w:r>
    </w:p>
  </w:footnote>
  <w:footnote w:id="81">
    <w:p w14:paraId="266A5F09" w14:textId="1910C330"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szCs w:val="16"/>
          <w:lang w:val="en-US"/>
        </w:rPr>
        <w:t xml:space="preserve">Decree No. 112 of November 15, 1973, “The Bayano Integral Development Project”, Official Gazette No. 17,621, June 24, 1974. Available on October 15, 2014 at: </w:t>
      </w:r>
      <w:hyperlink r:id="rId1" w:history="1">
        <w:r w:rsidRPr="004542B5">
          <w:rPr>
            <w:rStyle w:val="Hyperlink"/>
            <w:szCs w:val="16"/>
            <w:lang w:val="en-US"/>
          </w:rPr>
          <w:t>http://www.asamblea.gob.pa/APPS/LEGISPAN/ PDF_NORMAS/1970/1973/1973_026_2085.PDF</w:t>
        </w:r>
      </w:hyperlink>
      <w:r w:rsidRPr="004542B5">
        <w:rPr>
          <w:szCs w:val="16"/>
          <w:lang w:val="en-US"/>
        </w:rPr>
        <w:t xml:space="preserve"> (referenced in the Merits Report, merits file, folio 30), Article 5b.</w:t>
      </w:r>
    </w:p>
  </w:footnote>
  <w:footnote w:id="82">
    <w:p w14:paraId="59CC9690" w14:textId="573D47A0"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 </w:t>
      </w:r>
      <w:r w:rsidRPr="004542B5">
        <w:rPr>
          <w:i/>
          <w:szCs w:val="16"/>
          <w:lang w:val="en-US"/>
        </w:rPr>
        <w:t>Cf.</w:t>
      </w:r>
      <w:r w:rsidRPr="004542B5">
        <w:rPr>
          <w:szCs w:val="16"/>
          <w:lang w:val="en-US"/>
        </w:rPr>
        <w:t xml:space="preserve"> State report of March 24, 2011 (evidence file, folio 4852).</w:t>
      </w:r>
    </w:p>
  </w:footnote>
  <w:footnote w:id="83">
    <w:p w14:paraId="1474EA67" w14:textId="621EE366" w:rsidR="00F87526" w:rsidRPr="004542B5" w:rsidRDefault="00F87526" w:rsidP="00BF7853">
      <w:pPr>
        <w:pStyle w:val="FootnoteText"/>
        <w:spacing w:before="0"/>
        <w:rPr>
          <w:szCs w:val="16"/>
          <w:lang w:val="es-CR"/>
        </w:rPr>
      </w:pPr>
      <w:r w:rsidRPr="004542B5">
        <w:rPr>
          <w:rStyle w:val="FootnoteReference"/>
          <w:szCs w:val="16"/>
          <w:lang w:val="en-US"/>
        </w:rPr>
        <w:footnoteRef/>
      </w:r>
      <w:r w:rsidRPr="004542B5">
        <w:rPr>
          <w:szCs w:val="16"/>
          <w:lang w:val="es-CR"/>
        </w:rPr>
        <w:t xml:space="preserve"> </w:t>
      </w:r>
      <w:r w:rsidRPr="004542B5">
        <w:rPr>
          <w:szCs w:val="16"/>
          <w:lang w:val="es-CR"/>
        </w:rPr>
        <w:tab/>
      </w:r>
      <w:r w:rsidRPr="004542B5">
        <w:rPr>
          <w:color w:val="00B050"/>
          <w:szCs w:val="16"/>
          <w:lang w:val="es-CR"/>
        </w:rPr>
        <w:t xml:space="preserve"> </w:t>
      </w:r>
      <w:r w:rsidRPr="004542B5">
        <w:rPr>
          <w:i/>
          <w:szCs w:val="16"/>
          <w:lang w:val="es-CR"/>
        </w:rPr>
        <w:t>Cf.</w:t>
      </w:r>
      <w:r w:rsidRPr="004542B5">
        <w:rPr>
          <w:szCs w:val="16"/>
          <w:lang w:val="es-CR"/>
        </w:rPr>
        <w:t xml:space="preserve"> Affidavit of Bolivar Jaripio, presumed victim, proposed by the representatives of March 21, 2014 (evidence file, folio 8423), and E. Urieta Donoso, “</w:t>
      </w:r>
      <w:r w:rsidRPr="004542B5">
        <w:rPr>
          <w:i/>
          <w:iCs/>
          <w:szCs w:val="16"/>
          <w:lang w:val="es-CR"/>
        </w:rPr>
        <w:t>Ipetí-Choco: Una comunidad indígena de Panamá afectada por una Presa Hidroeléctrica”,</w:t>
      </w:r>
      <w:r w:rsidRPr="004542B5">
        <w:rPr>
          <w:szCs w:val="16"/>
          <w:lang w:val="es-CR"/>
        </w:rPr>
        <w:t xml:space="preserve"> Universidad Veracruzana, 1994 (evidence file, folio 4220). </w:t>
      </w:r>
    </w:p>
  </w:footnote>
  <w:footnote w:id="84">
    <w:p w14:paraId="0B1A10E4" w14:textId="7A9343F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Ipetí–Piriatí and Madungandí Negotiation Tables, Conclusions and Plan of Action - Final report, Ministry of Economy and Finance – </w:t>
      </w:r>
      <w:r w:rsidR="00982EC9" w:rsidRPr="004542B5">
        <w:rPr>
          <w:szCs w:val="16"/>
          <w:lang w:val="en-US"/>
        </w:rPr>
        <w:t>Darien</w:t>
      </w:r>
      <w:r w:rsidRPr="004542B5">
        <w:rPr>
          <w:szCs w:val="16"/>
          <w:lang w:val="en-US"/>
        </w:rPr>
        <w:t xml:space="preserve"> Sustainable Development Program, August 25, 1999 (evidence file, folios 1697 to 1725; folio 1702). </w:t>
      </w:r>
    </w:p>
  </w:footnote>
  <w:footnote w:id="85">
    <w:p w14:paraId="0206C4C9" w14:textId="2A5718C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szCs w:val="16"/>
          <w:lang w:val="en-US"/>
        </w:rPr>
        <w:t>Petition of May 11, 2000 (evidence file, folios 1970 to 2025, folio 1985); A. Wali, “Kilowatts and Crisis: Hidroelectric Power and Social Dislocation in Eastern Panama”, 1989 (evidence file, folios 96 to 131; folio 119), and E. Urieta Donoso, “</w:t>
      </w:r>
      <w:r w:rsidRPr="004542B5">
        <w:rPr>
          <w:i/>
          <w:iCs/>
          <w:szCs w:val="16"/>
          <w:lang w:val="en-US"/>
        </w:rPr>
        <w:t>Ipetí-Choco: Una comunidad indígena de Panamá afectada por una Presa Hidroeléctrica”,</w:t>
      </w:r>
      <w:r w:rsidRPr="004542B5">
        <w:rPr>
          <w:szCs w:val="16"/>
          <w:lang w:val="en-US"/>
        </w:rPr>
        <w:t xml:space="preserve"> Universidad Veracruzana, 1994 (evidence file, folio 4144). </w:t>
      </w:r>
    </w:p>
  </w:footnote>
  <w:footnote w:id="86">
    <w:p w14:paraId="58B81135" w14:textId="7558CF7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i/>
          <w:szCs w:val="16"/>
          <w:lang w:val="en-US"/>
        </w:rPr>
        <w:t>Cf.</w:t>
      </w:r>
      <w:r w:rsidRPr="004542B5">
        <w:rPr>
          <w:szCs w:val="16"/>
          <w:lang w:val="en-US"/>
        </w:rPr>
        <w:t xml:space="preserve"> Ipetí–Piriatí and Madungandí Negotiation Tables, Conclusions and Plan of Action - Final report, Ministry of Economy and Finance – </w:t>
      </w:r>
      <w:r w:rsidR="00982EC9" w:rsidRPr="004542B5">
        <w:rPr>
          <w:szCs w:val="16"/>
          <w:lang w:val="en-US"/>
        </w:rPr>
        <w:t>Darien</w:t>
      </w:r>
      <w:r w:rsidRPr="004542B5">
        <w:rPr>
          <w:szCs w:val="16"/>
          <w:lang w:val="en-US"/>
        </w:rPr>
        <w:t xml:space="preserve"> Sustainable Development Program, August 25, 1999 (evidence file, folios 1697 to 1725; folio 1702); State report of March 24, 2011 (evidence file, folio</w:t>
      </w:r>
      <w:r w:rsidRPr="004542B5">
        <w:rPr>
          <w:color w:val="00B050"/>
          <w:szCs w:val="16"/>
          <w:lang w:val="en-US"/>
        </w:rPr>
        <w:t xml:space="preserve"> </w:t>
      </w:r>
      <w:r w:rsidRPr="004542B5">
        <w:rPr>
          <w:szCs w:val="16"/>
          <w:lang w:val="en-US"/>
        </w:rPr>
        <w:t xml:space="preserve">4852); Affidavit of Fausto Valentín, presumed victim, proposed by the representatives, March 18, 2014 (evidence file, folios 8416 and 8417); Statement by Benjamín García, presumed victim, proposed by the representatives, before the Inter-American Court of Human Rights during the public hearing on April 2, 2014; Affidavit of Bolívar Jaripio, presumed victim, proposed by the representatives, March 21, 2014 (evidence file, folio 8423), and Statement by Bonarge Pacheco, presumed victim, proposed by the representatives, before the Inter-American Court of Human Rights during the public hearing on April 2, 2014. </w:t>
      </w:r>
    </w:p>
  </w:footnote>
  <w:footnote w:id="87">
    <w:p w14:paraId="28791552" w14:textId="2A960F9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Majecito Agreement, February 5, 1975 (evidence file, folio 8460).</w:t>
      </w:r>
    </w:p>
  </w:footnote>
  <w:footnote w:id="88">
    <w:p w14:paraId="4833A6F5" w14:textId="28E4776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Farallón Agreement, October 29, 1976 (evidence file, folios 392 to 394). </w:t>
      </w:r>
    </w:p>
  </w:footnote>
  <w:footnote w:id="89">
    <w:p w14:paraId="0098D961" w14:textId="2BCE271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Fuerte Cimarrón Agreement, January 29, 1977 (evidence file, folios 396 to 397).</w:t>
      </w:r>
    </w:p>
  </w:footnote>
  <w:footnote w:id="90">
    <w:p w14:paraId="02D7FF96" w14:textId="0C18A1A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This agreement is not included in the case file. In its final written arguments, the State indicated that it was “unaware of this agreement.” However, during the processing of the case before the Commission the State had acknowledged its existence. </w:t>
      </w:r>
      <w:r w:rsidRPr="004542B5">
        <w:rPr>
          <w:i/>
          <w:szCs w:val="16"/>
          <w:lang w:val="en-US"/>
        </w:rPr>
        <w:t>Cf.</w:t>
      </w:r>
      <w:r w:rsidRPr="004542B5">
        <w:rPr>
          <w:szCs w:val="16"/>
          <w:lang w:val="en-US"/>
        </w:rPr>
        <w:t xml:space="preserve"> State report of March 24, 2011 (evidence file, folio 4852).</w:t>
      </w:r>
    </w:p>
  </w:footnote>
  <w:footnote w:id="91">
    <w:p w14:paraId="3374CA74" w14:textId="26BFA9A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Bayano Region Negotiation Tables, Final diagnosis, Ministry of Economy and Finance – </w:t>
      </w:r>
      <w:r w:rsidR="00982EC9" w:rsidRPr="004542B5">
        <w:rPr>
          <w:szCs w:val="16"/>
          <w:lang w:val="en-US"/>
        </w:rPr>
        <w:t>Darien</w:t>
      </w:r>
      <w:r w:rsidRPr="004542B5">
        <w:rPr>
          <w:szCs w:val="16"/>
          <w:lang w:val="en-US"/>
        </w:rPr>
        <w:t xml:space="preserve"> Sustainable Development Program, June 30, 1999 </w:t>
      </w:r>
      <w:r w:rsidRPr="004542B5">
        <w:rPr>
          <w:rFonts w:cs="Arial"/>
          <w:szCs w:val="16"/>
          <w:lang w:val="en-US"/>
        </w:rPr>
        <w:t>(evidence file, folios 338 to 339).</w:t>
      </w:r>
    </w:p>
  </w:footnote>
  <w:footnote w:id="92">
    <w:p w14:paraId="37E40D0B" w14:textId="52FDCB8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Decree 5-A, April 23, 1982, “regulating the adjudication of rural state lands from Quebrada Guayabo, parallel to the Wacuco River, in the </w:t>
      </w:r>
      <w:r w:rsidRPr="004542B5">
        <w:rPr>
          <w:i/>
          <w:iCs/>
          <w:szCs w:val="16"/>
          <w:lang w:val="en-US"/>
        </w:rPr>
        <w:t xml:space="preserve">corregimiento </w:t>
      </w:r>
      <w:r w:rsidRPr="004542B5">
        <w:rPr>
          <w:szCs w:val="16"/>
          <w:lang w:val="en-US"/>
        </w:rPr>
        <w:t xml:space="preserve">of El Llano, Chepo district, to the border with Colombia,” </w:t>
      </w:r>
      <w:r w:rsidRPr="004542B5">
        <w:rPr>
          <w:rFonts w:cs="Arial"/>
          <w:szCs w:val="16"/>
          <w:lang w:val="en-US"/>
        </w:rPr>
        <w:t>articles 1 and 2(e)</w:t>
      </w:r>
      <w:r w:rsidRPr="004542B5">
        <w:rPr>
          <w:szCs w:val="16"/>
          <w:lang w:val="en-US"/>
        </w:rPr>
        <w:t xml:space="preserve"> (evidence file, folio 2490). Article 2(e) of the decree established that “[u]ntil the physical demarcation [of the areas of the Kuna and Emberá indigenous comarcas] are completed, the Kuna and Emberá communities may veto requests to adjudicate lots that invade the territories of these comarcas.”</w:t>
      </w:r>
    </w:p>
  </w:footnote>
  <w:footnote w:id="93">
    <w:p w14:paraId="43A6E040" w14:textId="2507B06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Memorandum of Understanding, August 3, 1984 (evidence file, folios 497 to 500).</w:t>
      </w:r>
    </w:p>
  </w:footnote>
  <w:footnote w:id="94">
    <w:p w14:paraId="73F5D4B8" w14:textId="678881F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Memorandum of Understanding, August 15, 1984 (evidence file, folios 505 to 506), articles 1 and 2.</w:t>
      </w:r>
    </w:p>
  </w:footnote>
  <w:footnote w:id="95">
    <w:p w14:paraId="38EE9AB8" w14:textId="2F3A6DD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Bayano Region Negotiation Tables, Final diagnosis, Ministry of Economy and Finance – </w:t>
      </w:r>
      <w:r w:rsidR="00982EC9" w:rsidRPr="004542B5">
        <w:rPr>
          <w:szCs w:val="16"/>
          <w:lang w:val="en-US"/>
        </w:rPr>
        <w:t>Darien</w:t>
      </w:r>
      <w:r w:rsidRPr="004542B5">
        <w:rPr>
          <w:szCs w:val="16"/>
          <w:lang w:val="en-US"/>
        </w:rPr>
        <w:t xml:space="preserve"> Sustainable Development Program, June 30, 1999 </w:t>
      </w:r>
      <w:r w:rsidRPr="004542B5">
        <w:rPr>
          <w:rFonts w:cs="Arial"/>
          <w:szCs w:val="16"/>
          <w:lang w:val="en-US"/>
        </w:rPr>
        <w:t xml:space="preserve">(evidence file, folio 339); </w:t>
      </w:r>
      <w:r w:rsidRPr="004542B5">
        <w:rPr>
          <w:szCs w:val="16"/>
          <w:lang w:val="en-US"/>
        </w:rPr>
        <w:t>Resolution No. 002, Corporation for the Integral Development of the Bayano, January 24, 1992 (evidence file, folio 528), and Statement by Bonarge Pacheco, presumed victim proposed by the representatives, before the Inter-American Court of Human Rights during the public hearing on April 2, 2014.</w:t>
      </w:r>
    </w:p>
  </w:footnote>
  <w:footnote w:id="96">
    <w:p w14:paraId="34B252B2" w14:textId="61339F7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i/>
          <w:szCs w:val="16"/>
          <w:lang w:val="en-US"/>
        </w:rPr>
        <w:t>Cf.</w:t>
      </w:r>
      <w:r w:rsidRPr="004542B5">
        <w:rPr>
          <w:szCs w:val="16"/>
          <w:lang w:val="en-US"/>
        </w:rPr>
        <w:t xml:space="preserve"> Bayano Region Negotiation Tables, Final diagnosis, Ministry of Economy and Finance – </w:t>
      </w:r>
      <w:r w:rsidR="00982EC9" w:rsidRPr="004542B5">
        <w:rPr>
          <w:szCs w:val="16"/>
          <w:lang w:val="en-US"/>
        </w:rPr>
        <w:t>Darien</w:t>
      </w:r>
      <w:r w:rsidRPr="004542B5">
        <w:rPr>
          <w:szCs w:val="16"/>
          <w:lang w:val="en-US"/>
        </w:rPr>
        <w:t xml:space="preserve"> Sustainable Development Program, June 30, 1999</w:t>
      </w:r>
      <w:r w:rsidRPr="004542B5">
        <w:rPr>
          <w:rFonts w:cs="Arial"/>
          <w:szCs w:val="16"/>
          <w:lang w:val="en-US"/>
        </w:rPr>
        <w:t xml:space="preserve"> (evidence file, folio 339).</w:t>
      </w:r>
    </w:p>
  </w:footnote>
  <w:footnote w:id="97">
    <w:p w14:paraId="381B45F0" w14:textId="2C2D0D48" w:rsidR="00F87526" w:rsidRPr="004542B5" w:rsidRDefault="00F87526" w:rsidP="00BF7853">
      <w:pPr>
        <w:pStyle w:val="FootnoteText"/>
        <w:spacing w:before="0"/>
        <w:rPr>
          <w:szCs w:val="16"/>
          <w:lang w:val="en-US"/>
        </w:rPr>
      </w:pPr>
      <w:r w:rsidRPr="004542B5">
        <w:rPr>
          <w:szCs w:val="16"/>
          <w:lang w:val="en-US"/>
        </w:rPr>
        <w:tab/>
      </w:r>
      <w:r w:rsidRPr="004542B5">
        <w:rPr>
          <w:i/>
          <w:szCs w:val="16"/>
          <w:lang w:val="en-US"/>
        </w:rPr>
        <w:t>Cf.</w:t>
      </w:r>
      <w:r w:rsidRPr="004542B5">
        <w:rPr>
          <w:szCs w:val="16"/>
          <w:lang w:val="en-US"/>
        </w:rPr>
        <w:t xml:space="preserve"> Agreement of March 23, 1990 (evidence file, folios 519 to 520), third preambular paragraph and article 2.</w:t>
      </w:r>
    </w:p>
  </w:footnote>
  <w:footnote w:id="98">
    <w:p w14:paraId="0956E8C6" w14:textId="7ADEC1E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Working Agreement for the Territorial Reorganization of Alto Bayano between the provincial Government of Panama and the Kuna people of Wacuco, Ipetí and other indigenous communities, July 16, 1991 (evidence file, folios 524 to 525), articles 1 and 2.</w:t>
      </w:r>
    </w:p>
  </w:footnote>
  <w:footnote w:id="99">
    <w:p w14:paraId="662CAC93" w14:textId="07AD2FCA"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Resolution No. 002,  Corporation for the Integral Development of the Bayano, January 24, 1992 (evidence file, folios 527 to 529). </w:t>
      </w:r>
    </w:p>
  </w:footnote>
  <w:footnote w:id="100">
    <w:p w14:paraId="5AE56987" w14:textId="501B538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Resolution No. 63, Ministry of the Interior and Justice, March 17, 1992 (evidence file, folios 531 to 532), </w:t>
      </w:r>
      <w:r w:rsidRPr="004542B5">
        <w:rPr>
          <w:i/>
          <w:iCs/>
          <w:szCs w:val="16"/>
          <w:lang w:val="en-US"/>
        </w:rPr>
        <w:t>considerandum</w:t>
      </w:r>
      <w:r w:rsidRPr="004542B5">
        <w:rPr>
          <w:szCs w:val="16"/>
          <w:lang w:val="en-US"/>
        </w:rPr>
        <w:t xml:space="preserve"> 3 and first and second operative paragraphs.</w:t>
      </w:r>
    </w:p>
  </w:footnote>
  <w:footnote w:id="101">
    <w:p w14:paraId="2E0E4FFD" w14:textId="6B51F9E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szCs w:val="16"/>
          <w:lang w:val="en-US"/>
        </w:rPr>
        <w:t>“Panama: Indians say blood will flow unless they get land rights”, Inter Press Service Global Information Network, May 18, 1993; “</w:t>
      </w:r>
      <w:r w:rsidRPr="004542B5">
        <w:rPr>
          <w:i/>
          <w:iCs/>
          <w:szCs w:val="16"/>
          <w:lang w:val="en-US"/>
        </w:rPr>
        <w:t>Antimotines enfrentan a los indígenas que se toman Puerto Obaldía</w:t>
      </w:r>
      <w:r w:rsidRPr="004542B5">
        <w:rPr>
          <w:szCs w:val="16"/>
          <w:lang w:val="en-US"/>
        </w:rPr>
        <w:t>”, El Siglo, May 29, 1993 (evidence file, folios 534 to 536). See also: Statement by Benjamín García, presumed victim proposed by the reresentatives, before the Inter-American Court of Human Rights during the public hearing on April 2, 2014.</w:t>
      </w:r>
    </w:p>
  </w:footnote>
  <w:footnote w:id="102">
    <w:p w14:paraId="761F5E9F" w14:textId="4EC1971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rFonts w:cs="Arial"/>
          <w:szCs w:val="16"/>
          <w:lang w:val="en-US"/>
        </w:rPr>
        <w:t xml:space="preserve">Resolution No. 1, </w:t>
      </w:r>
      <w:r w:rsidRPr="004542B5">
        <w:rPr>
          <w:szCs w:val="16"/>
          <w:lang w:val="en-US"/>
        </w:rPr>
        <w:t>Corporation for the Integral Development of the Bayano,</w:t>
      </w:r>
      <w:r w:rsidRPr="004542B5">
        <w:rPr>
          <w:rFonts w:cs="Arial"/>
          <w:szCs w:val="16"/>
          <w:lang w:val="en-US"/>
        </w:rPr>
        <w:t xml:space="preserve"> December 5, 1994, “prohibiting logging, burning, and agricultural expansion in the upper catchment area of the Bayano” (evidence file, folio 541). </w:t>
      </w:r>
    </w:p>
  </w:footnote>
  <w:footnote w:id="103">
    <w:p w14:paraId="2C7DDF11" w14:textId="57098358"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szCs w:val="16"/>
          <w:lang w:val="en-US"/>
        </w:rPr>
        <w:t>Communication of the Ministry of the Interior and Justice sent to the Mayor of Chepo district on December 13, 1994 (evidence file, folio 540).</w:t>
      </w:r>
    </w:p>
  </w:footnote>
  <w:footnote w:id="104">
    <w:p w14:paraId="73E358D4" w14:textId="7B8BE390" w:rsidR="00F87526" w:rsidRPr="004542B5" w:rsidRDefault="00F87526" w:rsidP="00BF7853">
      <w:pPr>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i/>
          <w:sz w:val="16"/>
          <w:szCs w:val="16"/>
          <w:lang w:val="en-US"/>
        </w:rPr>
        <w:t xml:space="preserve">Cf. </w:t>
      </w:r>
      <w:r w:rsidRPr="004542B5">
        <w:rPr>
          <w:sz w:val="16"/>
          <w:szCs w:val="16"/>
          <w:lang w:val="en-US"/>
        </w:rPr>
        <w:t>“Proposal for the bill to create the Kuna Comarca of Madungandí,” February 3,  1995 (evidence file, folios 673 to 674). The other special conditions mentioned for the settlers referred to: “the lands that they are using at this time may not be ceded, or exchanged, or sold to third persons [and] if they do this, or leave the area, those lands will revert to the patrimony of the Comarca.” In the annexes to its final written arguments, the State mentioned that this agreement “forms an integral part” of Law 24 creating the Kuna Comarca, referring to article 21 of that law (evidence file, folios 8475 to 8476). The representatives, in their observations on the said annexes of July 1, 2014, indicated that the “incorporation [of the said agreement in Law 24] was provisional and merely to permit the use of the land for crops, with the commitment that the beneficiaries would gradually be relocated until the land had been totally reclaimed” and that “this article has been used to justify the increased invasion of settlers in the Comarca” (merits file, folio 1164).</w:t>
      </w:r>
    </w:p>
  </w:footnote>
  <w:footnote w:id="105">
    <w:p w14:paraId="73D3AC0E" w14:textId="42FCB48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t xml:space="preserve">Telegram of July 18, 1995, from the Governor of the province of Panama to the Mayor of the Chepo district (evidence file, folio 514). </w:t>
      </w:r>
    </w:p>
  </w:footnote>
  <w:footnote w:id="106">
    <w:p w14:paraId="1A7C9CC9" w14:textId="73A6628D"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szCs w:val="16"/>
          <w:lang w:val="en-US"/>
        </w:rPr>
        <w:t>Law 24 of January 12, 1996. “creating the Kuna Comarca of Madungandí,” Official Gazette 22,951, January 15, 1996 (evidence file, folios 138 to 142).</w:t>
      </w:r>
    </w:p>
  </w:footnote>
  <w:footnote w:id="107">
    <w:p w14:paraId="39977CB3" w14:textId="1F14D8B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szCs w:val="16"/>
          <w:lang w:val="en-US"/>
        </w:rPr>
        <w:t xml:space="preserve">Bayano Region Negotiation Tables, Executive Summary, Ministry of Economy and Finance – </w:t>
      </w:r>
      <w:r w:rsidR="00982EC9" w:rsidRPr="004542B5">
        <w:rPr>
          <w:szCs w:val="16"/>
          <w:lang w:val="en-US"/>
        </w:rPr>
        <w:t>Darien</w:t>
      </w:r>
      <w:r w:rsidRPr="004542B5">
        <w:rPr>
          <w:szCs w:val="16"/>
          <w:lang w:val="en-US"/>
        </w:rPr>
        <w:t xml:space="preserve"> Sustainable Development Program, July 2, 1999 (evidence file, folio 406).</w:t>
      </w:r>
    </w:p>
  </w:footnote>
  <w:footnote w:id="108">
    <w:p w14:paraId="0397A2EB" w14:textId="5287A873"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i/>
          <w:iCs/>
          <w:szCs w:val="16"/>
          <w:lang w:val="en-US"/>
        </w:rPr>
        <w:t>Choque armado entre indios and policías</w:t>
      </w:r>
      <w:r w:rsidRPr="004542B5">
        <w:rPr>
          <w:szCs w:val="16"/>
          <w:lang w:val="en-US"/>
        </w:rPr>
        <w:t>” [Armed confrontation between indians and police], Crítica, August 7, 1996; “</w:t>
      </w:r>
      <w:r w:rsidRPr="004542B5">
        <w:rPr>
          <w:i/>
          <w:iCs/>
          <w:szCs w:val="16"/>
          <w:lang w:val="en-US"/>
        </w:rPr>
        <w:t>Defenderemos a muerte la Comarca</w:t>
      </w:r>
      <w:r w:rsidRPr="004542B5">
        <w:rPr>
          <w:szCs w:val="16"/>
          <w:lang w:val="en-US"/>
        </w:rPr>
        <w:t>” [We will defend the Comarca to the death], La Prensa, August 8, 1996; “</w:t>
      </w:r>
      <w:r w:rsidRPr="004542B5">
        <w:rPr>
          <w:i/>
          <w:iCs/>
          <w:szCs w:val="16"/>
          <w:lang w:val="en-US"/>
        </w:rPr>
        <w:t>Indígenas denuncian maltrato de policías and firman una tregua</w:t>
      </w:r>
      <w:r w:rsidRPr="004542B5">
        <w:rPr>
          <w:szCs w:val="16"/>
          <w:lang w:val="en-US"/>
        </w:rPr>
        <w:t xml:space="preserve">” [Indigenous people denounce ill-treatment by police and sign truce], El Universal de Panama (evidence file, folios 543 to 546). Affidavit of Fausto Valentín, presumed victim proposed by the representatives, March 18, 2014 (evidence file, folio 8418). </w:t>
      </w:r>
    </w:p>
  </w:footnote>
  <w:footnote w:id="109">
    <w:p w14:paraId="6B51B436" w14:textId="5F1AB05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Bayano Region Negotiation Tables, Final diagnosis, Ministry of Economy and Finance – </w:t>
      </w:r>
      <w:r w:rsidR="00982EC9" w:rsidRPr="004542B5">
        <w:rPr>
          <w:szCs w:val="16"/>
          <w:lang w:val="en-US"/>
        </w:rPr>
        <w:t>Darien</w:t>
      </w:r>
      <w:r w:rsidRPr="004542B5">
        <w:rPr>
          <w:szCs w:val="16"/>
          <w:lang w:val="en-US"/>
        </w:rPr>
        <w:t xml:space="preserve"> Sustainable Development Program, June 30, 1999</w:t>
      </w:r>
      <w:r w:rsidRPr="004542B5" w:rsidDel="00376AEC">
        <w:rPr>
          <w:rFonts w:cs="Arial"/>
          <w:szCs w:val="16"/>
          <w:lang w:val="en-US"/>
        </w:rPr>
        <w:t xml:space="preserve"> </w:t>
      </w:r>
      <w:r w:rsidRPr="004542B5">
        <w:rPr>
          <w:rFonts w:cs="Arial"/>
          <w:szCs w:val="16"/>
          <w:lang w:val="en-US"/>
        </w:rPr>
        <w:t>(</w:t>
      </w:r>
      <w:r w:rsidRPr="004542B5">
        <w:rPr>
          <w:szCs w:val="16"/>
          <w:lang w:val="en-US"/>
        </w:rPr>
        <w:t xml:space="preserve">evidence file, </w:t>
      </w:r>
      <w:r w:rsidRPr="004542B5">
        <w:rPr>
          <w:rFonts w:cs="Arial"/>
          <w:szCs w:val="16"/>
          <w:lang w:val="en-US"/>
        </w:rPr>
        <w:t>folio 344).</w:t>
      </w:r>
      <w:r w:rsidRPr="004542B5">
        <w:rPr>
          <w:szCs w:val="16"/>
          <w:lang w:val="en-US"/>
        </w:rPr>
        <w:t xml:space="preserve">  </w:t>
      </w:r>
    </w:p>
  </w:footnote>
  <w:footnote w:id="110">
    <w:p w14:paraId="387B6737" w14:textId="0991E78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Bayano Region Negotiation Tables, Final diagnosis, Ministry of Economy and Finance – </w:t>
      </w:r>
      <w:r w:rsidR="00982EC9" w:rsidRPr="004542B5">
        <w:rPr>
          <w:szCs w:val="16"/>
          <w:lang w:val="en-US"/>
        </w:rPr>
        <w:t>Darien</w:t>
      </w:r>
      <w:r w:rsidRPr="004542B5">
        <w:rPr>
          <w:szCs w:val="16"/>
          <w:lang w:val="en-US"/>
        </w:rPr>
        <w:t xml:space="preserve"> Sustainable Development Program, June 30, 1999</w:t>
      </w:r>
      <w:r w:rsidRPr="004542B5" w:rsidDel="00376AEC">
        <w:rPr>
          <w:rFonts w:cs="Arial"/>
          <w:szCs w:val="16"/>
          <w:lang w:val="en-US"/>
        </w:rPr>
        <w:t xml:space="preserve"> </w:t>
      </w:r>
      <w:r w:rsidRPr="004542B5">
        <w:rPr>
          <w:rFonts w:cs="Arial"/>
          <w:szCs w:val="16"/>
          <w:lang w:val="en-US"/>
        </w:rPr>
        <w:t>(</w:t>
      </w:r>
      <w:r w:rsidRPr="004542B5">
        <w:rPr>
          <w:szCs w:val="16"/>
          <w:lang w:val="en-US"/>
        </w:rPr>
        <w:t xml:space="preserve">evidence file, </w:t>
      </w:r>
      <w:r w:rsidRPr="004542B5">
        <w:rPr>
          <w:rFonts w:cs="Arial"/>
          <w:szCs w:val="16"/>
          <w:lang w:val="en-US"/>
        </w:rPr>
        <w:t>folio 345).</w:t>
      </w:r>
      <w:r w:rsidRPr="004542B5">
        <w:rPr>
          <w:szCs w:val="16"/>
          <w:lang w:val="en-US"/>
        </w:rPr>
        <w:t xml:space="preserve">  </w:t>
      </w:r>
    </w:p>
  </w:footnote>
  <w:footnote w:id="111">
    <w:p w14:paraId="71337C86" w14:textId="0EA4196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Resolution No. 1 of the Kuna of Madungandí Special General Congress, June 13, 1999 (evidence file, folios 548 to 549).</w:t>
      </w:r>
    </w:p>
  </w:footnote>
  <w:footnote w:id="112">
    <w:p w14:paraId="5F3D0ED3" w14:textId="3BFE2D6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 xml:space="preserve"> </w:t>
      </w:r>
      <w:r w:rsidRPr="004542B5">
        <w:rPr>
          <w:szCs w:val="16"/>
          <w:lang w:val="en-US"/>
        </w:rPr>
        <w:tab/>
        <w:t xml:space="preserve">Minutes of the meeting held in the National Indigenous Policy Directorate on July 21, 1999 (evidence file, folio 551). </w:t>
      </w:r>
    </w:p>
  </w:footnote>
  <w:footnote w:id="113">
    <w:p w14:paraId="446E8F17" w14:textId="5FE2F1FD"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Ipetí–Piriatí and Madungandí Negotiation Tables, Conclusions and Plan of Action - Final report, Ministry of Economy and Finance – </w:t>
      </w:r>
      <w:r w:rsidR="00982EC9" w:rsidRPr="004542B5">
        <w:rPr>
          <w:szCs w:val="16"/>
          <w:lang w:val="en-US"/>
        </w:rPr>
        <w:t>Darien</w:t>
      </w:r>
      <w:r w:rsidRPr="004542B5">
        <w:rPr>
          <w:szCs w:val="16"/>
          <w:lang w:val="en-US"/>
        </w:rPr>
        <w:t xml:space="preserve"> Sustainable Development Program, August 25, 1999 (evidence file, folios 1701 to 1702 and 1707).</w:t>
      </w:r>
    </w:p>
  </w:footnote>
  <w:footnote w:id="114">
    <w:p w14:paraId="60744869" w14:textId="2BF30D0A"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Ipetí–Piriatí and Madungandí Negotiation Tables, Conclusions and Plan of Action - Final report, Ministry of Economy and Finance – </w:t>
      </w:r>
      <w:r w:rsidR="00982EC9" w:rsidRPr="004542B5">
        <w:rPr>
          <w:szCs w:val="16"/>
          <w:lang w:val="en-US"/>
        </w:rPr>
        <w:t>Darien</w:t>
      </w:r>
      <w:r w:rsidRPr="004542B5">
        <w:rPr>
          <w:szCs w:val="16"/>
          <w:lang w:val="en-US"/>
        </w:rPr>
        <w:t xml:space="preserve"> Sustainable Development Program, August 25, 1999 (evidence file, folios 1697 to 1713).</w:t>
      </w:r>
    </w:p>
  </w:footnote>
  <w:footnote w:id="115">
    <w:p w14:paraId="680AC2ED" w14:textId="6FB31673"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“The problem of land invasion in the Madungandí Comarca (Alto Bayano)”, Report and recommendation of the Inter-governmental Commission (evidence file, folios 363 to 374).</w:t>
      </w:r>
    </w:p>
  </w:footnote>
  <w:footnote w:id="116">
    <w:p w14:paraId="7FE4F5AE" w14:textId="3AB2F0B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Physical demarcation of the Kuna Comarca of Madungandí – Final report, National Political-Administrative Boundaries Commission, 2000 (evidence file, folios 57 and 65). </w:t>
      </w:r>
    </w:p>
  </w:footnote>
  <w:footnote w:id="117">
    <w:p w14:paraId="0DB21085" w14:textId="5DE734B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Comumunication of the petitioners’ representatives of December 12, 2001, indicating their willingness to reach a friendly settlement agreement (evidence file, folio 2338).</w:t>
      </w:r>
    </w:p>
  </w:footnote>
  <w:footnote w:id="118">
    <w:p w14:paraId="03307EFC" w14:textId="2820514A"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Second Progress Report to the Inter-American Commission on Human Rights, Ministry of the Interior and Justice, February 18, 2002 (evidence file, folio 2267); Petitioners’ report to the Inter-American Commission on Human Rights, January 16, 2002 (evidence file, folios 2296 to 2297). </w:t>
      </w:r>
    </w:p>
  </w:footnote>
  <w:footnote w:id="119">
    <w:p w14:paraId="768433A7" w14:textId="1D82787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 xml:space="preserve"> </w:t>
      </w:r>
      <w:r w:rsidRPr="004542B5">
        <w:rPr>
          <w:szCs w:val="16"/>
          <w:lang w:val="en-US"/>
        </w:rPr>
        <w:tab/>
        <w:t>Note entitled “Warning” dated April 15, 2002 (evidence file, folio 555).</w:t>
      </w:r>
    </w:p>
  </w:footnote>
  <w:footnote w:id="120">
    <w:p w14:paraId="48BE9105" w14:textId="322976A0"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Certification issued by the National Environmental Authority, November 8, 2002 (evidence file, folio 557). </w:t>
      </w:r>
    </w:p>
  </w:footnote>
  <w:footnote w:id="121">
    <w:p w14:paraId="51CE4741" w14:textId="48E37010"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Executive Decree 267 of October 2, 2002, “extending the sphere of application of Decree 5-A of April 23, 1982, for the adjudication, by sale, of state lots in the part of national territory that extends from Quebrada Cali to Quebrada Guayabo in the </w:t>
      </w:r>
      <w:r w:rsidRPr="004542B5">
        <w:rPr>
          <w:i/>
          <w:iCs/>
          <w:szCs w:val="16"/>
          <w:lang w:val="en-US"/>
        </w:rPr>
        <w:t>corregimiento</w:t>
      </w:r>
      <w:r w:rsidRPr="004542B5">
        <w:rPr>
          <w:szCs w:val="16"/>
          <w:lang w:val="en-US"/>
        </w:rPr>
        <w:t xml:space="preserve"> of Tortí, Chepo district, province of Panama,” Official Gazette No. 24,652, October 3, 2002 (evidence file, folios 561 to 563). The Madungandí Comarca continued to be excluded from the application of the decree, and also the Emberá collective lands of Ipetí and Piriatí, and the lands declare non-adjudicable under Executive Decree No. 123.</w:t>
      </w:r>
    </w:p>
  </w:footnote>
  <w:footnote w:id="122">
    <w:p w14:paraId="71906BAA" w14:textId="558695B5" w:rsidR="00F87526" w:rsidRPr="004542B5" w:rsidRDefault="00F87526" w:rsidP="00BF7853">
      <w:pPr>
        <w:pStyle w:val="FootnoteText"/>
        <w:tabs>
          <w:tab w:val="left" w:pos="720"/>
        </w:tabs>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Communiqué of the Bayano indigenous communities in relation to the construction of the Bayano hydroelectric project, August 19, 2006 (evidence file, folios 566 to 567), </w:t>
      </w:r>
      <w:r w:rsidRPr="004542B5">
        <w:rPr>
          <w:i/>
          <w:iCs/>
          <w:szCs w:val="16"/>
          <w:lang w:val="en-US"/>
        </w:rPr>
        <w:t>considerandum</w:t>
      </w:r>
      <w:r w:rsidRPr="004542B5">
        <w:rPr>
          <w:szCs w:val="16"/>
          <w:lang w:val="en-US"/>
        </w:rPr>
        <w:t xml:space="preserve"> 5 and second operative paragraph.</w:t>
      </w:r>
    </w:p>
  </w:footnote>
  <w:footnote w:id="123">
    <w:p w14:paraId="4C7F5DE8" w14:textId="757C3A0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 xml:space="preserve"> </w:t>
      </w:r>
      <w:r w:rsidRPr="004542B5">
        <w:rPr>
          <w:szCs w:val="16"/>
          <w:lang w:val="en-US"/>
        </w:rPr>
        <w:tab/>
        <w:t>Petitioners’ brief of January 19, 2007 (evidence file, folios 2689 to 2717).</w:t>
      </w:r>
    </w:p>
  </w:footnote>
  <w:footnote w:id="124">
    <w:p w14:paraId="4D425E94" w14:textId="260FBDA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Newspaper articles, including, “</w:t>
      </w:r>
      <w:r w:rsidRPr="004542B5">
        <w:rPr>
          <w:i/>
          <w:iCs/>
          <w:szCs w:val="16"/>
          <w:lang w:val="en-US"/>
        </w:rPr>
        <w:t>Once heridos en manifestación</w:t>
      </w:r>
      <w:r w:rsidRPr="004542B5">
        <w:rPr>
          <w:szCs w:val="16"/>
          <w:lang w:val="en-US"/>
        </w:rPr>
        <w:t>” [11 people injured in protest], La Prensa, October 25, 2007; “</w:t>
      </w:r>
      <w:r w:rsidRPr="004542B5">
        <w:rPr>
          <w:i/>
          <w:iCs/>
          <w:szCs w:val="16"/>
          <w:lang w:val="en-US"/>
        </w:rPr>
        <w:t>Crece tensión por protestas de indígenas en Bayano”</w:t>
      </w:r>
      <w:r w:rsidRPr="004542B5">
        <w:rPr>
          <w:szCs w:val="16"/>
          <w:lang w:val="en-US"/>
        </w:rPr>
        <w:t xml:space="preserve"> [Tension grows due to indigenous protests in Bayano], Pánama América, October 25, 2007  (evidence file, folios 570 to 590).</w:t>
      </w:r>
    </w:p>
  </w:footnote>
  <w:footnote w:id="125">
    <w:p w14:paraId="063330AE" w14:textId="7FBCAA20"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Law No. 72 of December 23, 2008 “establishing the special procedure for the adjudication of the collective ownership of lands of the indigenous peoples outside the comarcas,” Official Gazette No. 26,193, December 30, 2008 (evidence file, folios 7475 to 7479). </w:t>
      </w:r>
    </w:p>
  </w:footnote>
  <w:footnote w:id="126">
    <w:p w14:paraId="74DF3FAD" w14:textId="33F6D995"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Executive Decree No. 1, January 26, 2009, “amending article 2 of Decree No. 5-A of April 23, 1982,” Official Gazette 26,238, March 11, 2009. Available at: </w:t>
      </w:r>
      <w:hyperlink r:id="rId2" w:history="1">
        <w:r w:rsidRPr="004542B5">
          <w:rPr>
            <w:rStyle w:val="Hyperlink"/>
            <w:szCs w:val="16"/>
            <w:lang w:val="en-US"/>
          </w:rPr>
          <w:t>http://www.asamblea.gob.pa/APPS/LEGISPAN/PDF_GACETAS/2000/ 2009/26238_2009.PDF.</w:t>
        </w:r>
        <w:r w:rsidRPr="004542B5">
          <w:rPr>
            <w:rStyle w:val="Hyperlink"/>
            <w:color w:val="auto"/>
            <w:szCs w:val="16"/>
            <w:u w:val="none"/>
            <w:lang w:val="en-US"/>
          </w:rPr>
          <w:t xml:space="preserve">  This is referenced in the Merits Report (merits file, folio 47)</w:t>
        </w:r>
      </w:hyperlink>
      <w:r w:rsidRPr="004542B5">
        <w:rPr>
          <w:szCs w:val="16"/>
          <w:lang w:val="en-US"/>
        </w:rPr>
        <w:t>. This decree maintained the prohibition to adjudicate state lands in the areas of the “Kuna and Emberá Indigenous Comarcas.”</w:t>
      </w:r>
    </w:p>
  </w:footnote>
  <w:footnote w:id="127">
    <w:p w14:paraId="339AC017" w14:textId="3106A6D9" w:rsidR="00F87526" w:rsidRPr="004542B5" w:rsidRDefault="00F87526" w:rsidP="00BF7853">
      <w:pPr>
        <w:pStyle w:val="FootnoteText"/>
        <w:tabs>
          <w:tab w:val="left" w:pos="0"/>
          <w:tab w:val="left" w:pos="720"/>
        </w:tabs>
        <w:spacing w:before="0"/>
        <w:rPr>
          <w:color w:val="00B050"/>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i/>
          <w:szCs w:val="16"/>
          <w:lang w:val="en-US"/>
        </w:rPr>
        <w:t xml:space="preserve">Cf. </w:t>
      </w:r>
      <w:r w:rsidRPr="004542B5">
        <w:rPr>
          <w:rFonts w:cs="Arial"/>
          <w:szCs w:val="16"/>
          <w:lang w:val="en-US"/>
        </w:rPr>
        <w:t xml:space="preserve">Procedure for request for free adjudication of collective ownership of lands granted in compensation to the communities of Ipetí and Piriatí due to their displacement owing to the construction of the Bayano Dam (evidence file, folios 879 to 883). </w:t>
      </w:r>
    </w:p>
  </w:footnote>
  <w:footnote w:id="128">
    <w:p w14:paraId="52C81017" w14:textId="3976C07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Communication of the National Land Administration Authority (ANATI) addressed to the Emberá Cacique General of Alto Bayano, January 26, 2011 (evidence file, folio 8276); Minutes of hearing No. 6 held before the Inter-American Commission on March 23, 2012 (evidence file, folio 4599). </w:t>
      </w:r>
    </w:p>
  </w:footnote>
  <w:footnote w:id="129">
    <w:p w14:paraId="601E251C" w14:textId="5576D1F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Decision and Action Agreement ANATI/MINGOB/People of Emberá and Wounaan Collective Lands, November 18, 2011 (evidence file, folio 597).</w:t>
      </w:r>
    </w:p>
  </w:footnote>
  <w:footnote w:id="130">
    <w:p w14:paraId="7F828C71" w14:textId="29D678E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Piriatí Emberá Agreement, February 8, 2012</w:t>
      </w:r>
      <w:r w:rsidRPr="004542B5">
        <w:rPr>
          <w:rFonts w:cs="Arial"/>
          <w:szCs w:val="16"/>
          <w:lang w:val="en-US"/>
        </w:rPr>
        <w:t xml:space="preserve"> </w:t>
      </w:r>
      <w:r w:rsidRPr="004542B5">
        <w:rPr>
          <w:szCs w:val="16"/>
          <w:lang w:val="en-US"/>
        </w:rPr>
        <w:t>(evidence file, folio 599).</w:t>
      </w:r>
    </w:p>
  </w:footnote>
  <w:footnote w:id="131">
    <w:p w14:paraId="4E52D31F" w14:textId="6638E50E" w:rsidR="00F87526" w:rsidRPr="004542B5" w:rsidRDefault="00F87526" w:rsidP="00BF7853">
      <w:pPr>
        <w:pStyle w:val="FootnoteText"/>
        <w:tabs>
          <w:tab w:val="left" w:pos="720"/>
        </w:tabs>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Certification issued by the General Administrator of the National Land Administration Authority (ANATI), March 12, 2012 (evidence file, folio 612). See also: Resolution No. ADMG-058-2011, National Land Administration Authority (ANATI), December 1, 2011 (evidence file, folio 607), and Resolution No. ADMG-[…]-2012, February 8, 2012 (evidence file, folios 609 to 610);. </w:t>
      </w:r>
    </w:p>
  </w:footnote>
  <w:footnote w:id="132">
    <w:p w14:paraId="5A7A20B4" w14:textId="42C9BA63" w:rsidR="00F87526" w:rsidRPr="004542B5" w:rsidRDefault="00F87526" w:rsidP="00BF7853">
      <w:pPr>
        <w:pStyle w:val="FootnoteText"/>
        <w:tabs>
          <w:tab w:val="left" w:pos="0"/>
          <w:tab w:val="left" w:pos="720"/>
        </w:tabs>
        <w:spacing w:before="0"/>
        <w:rPr>
          <w:rStyle w:val="FootnoteReference"/>
          <w:color w:val="00B050"/>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t xml:space="preserve">Request for adjudication by payment, January 26, 2009 (evidence file, folios 4778 to 4779). </w:t>
      </w:r>
    </w:p>
  </w:footnote>
  <w:footnote w:id="133">
    <w:p w14:paraId="1A458E6E" w14:textId="758C284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t xml:space="preserve">Communication of the Ministry of Agricultural Development addressed to the XV Prosecutor of the First Judicial Circuit of Panama, July 30, 2010 (evidence file, folio 4797); Agrarian procedure supports objection, May 25, 2010 (evidence file, folios 8699 to 8701). The XV Civil Circuit Court of the First Judicial Circuit by Order 1770 of November 17, 2011, ordered the joinder of the two petitions filed objecting to the adjudication and, in the absence of any follow-up, by Order 155 of January 30, 2012, considered that the objection had not been filed. The petitioners who had filed the objection appealed against Order 155 (evidence file, folios 8751 to 8758). </w:t>
      </w:r>
    </w:p>
  </w:footnote>
  <w:footnote w:id="134">
    <w:p w14:paraId="7975E128" w14:textId="49496A1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t>Resolution No. ANATI-8-7-1254 of August 13, 2013 (evidence file, folios 8565 to 8566</w:t>
      </w:r>
      <w:r w:rsidRPr="004542B5">
        <w:rPr>
          <w:rFonts w:cs="Arial"/>
          <w:szCs w:val="16"/>
          <w:lang w:val="en-US"/>
        </w:rPr>
        <w:t>).</w:t>
      </w:r>
    </w:p>
  </w:footnote>
  <w:footnote w:id="135">
    <w:p w14:paraId="3A4BBB82" w14:textId="20941DDF"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rFonts w:cs="Arial"/>
          <w:szCs w:val="16"/>
          <w:lang w:val="en-US"/>
        </w:rPr>
        <w:t>Alto Bayano and Río Piragua Report, National Land Administration Authority (ANATI), October 2013 (evidence file, folios 8492 to 8495). In a communication of January 6, 2014, addressed to ANATI, representatives of the Kuna General Congress noted, in relation to this ANATI report that “the purpose of this inspection was to determine whether the settlers who wish to occupy land are within or outside the Madungandí Comarca and, if they are within the Comarca, they would be occupying collective property of the Comarca” and that “indicating that it is part of the territory of the settlers is to accept that those areas are not the property of the Kuna Comarca.”</w:t>
      </w:r>
    </w:p>
  </w:footnote>
  <w:footnote w:id="136">
    <w:p w14:paraId="06654D5C" w14:textId="25AE510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rFonts w:cs="Arial"/>
          <w:szCs w:val="16"/>
          <w:lang w:val="en-US"/>
        </w:rPr>
        <w:t>Piriatí Emberá Report, National Land Administration Authority (ANATI), October 2013 (evidence file, folio 8526).</w:t>
      </w:r>
    </w:p>
  </w:footnote>
  <w:footnote w:id="137">
    <w:p w14:paraId="775581CF" w14:textId="722852BE"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rFonts w:cs="Arial"/>
          <w:szCs w:val="16"/>
          <w:lang w:val="en-US"/>
        </w:rPr>
        <w:t>Ipetí Emberá Technical Report – Congress of Alto Bayano, National Land Administration Authority (ANATI), November 2013 (evidence file, folio 8506).</w:t>
      </w:r>
    </w:p>
  </w:footnote>
  <w:footnote w:id="138">
    <w:p w14:paraId="2661D5AA" w14:textId="2C96CCE1"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rFonts w:cs="Arial"/>
          <w:szCs w:val="16"/>
          <w:lang w:val="en-US"/>
        </w:rPr>
        <w:t xml:space="preserve">Report on the Communities of the Kuna Indigenous People of Madungandí and the Emberá Indigenous People of Bayano in Panama – Current status of the request for delimitation, demarcation and titling of the Ipetí and Piriatí collective lands, National Land Administration Authority (ANATI), April 15, 2014 (evidence file, folio 8489). This document indicates that “the file of the Ipetí Community will be sent to the ANATI Regional Office tomorrow (April 16, 2014], […] for the plan or diagram to be verified and to proceed to approve it and, thus, continue the procedure for the issue of the title adjudicating collective lands.” </w:t>
      </w:r>
    </w:p>
  </w:footnote>
  <w:footnote w:id="139">
    <w:p w14:paraId="124EB127" w14:textId="1C03EB7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Court had requested a copy of this title as helpful evidence.</w:t>
      </w:r>
    </w:p>
  </w:footnote>
  <w:footnote w:id="140">
    <w:p w14:paraId="6FEEE933" w14:textId="285B4E5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i/>
          <w:szCs w:val="16"/>
          <w:lang w:val="en-US"/>
        </w:rPr>
        <w:t xml:space="preserve">Cf. </w:t>
      </w:r>
      <w:r w:rsidRPr="004542B5">
        <w:rPr>
          <w:szCs w:val="16"/>
          <w:lang w:val="en-US"/>
        </w:rPr>
        <w:t>Resolution No. ADMG 164-2014, National Land Administration Authority (ANATI), April 30, 2014 (evidence file, folios 8650D to 8650H).</w:t>
      </w:r>
    </w:p>
  </w:footnote>
  <w:footnote w:id="141">
    <w:p w14:paraId="3B754708" w14:textId="61BA1238" w:rsidR="00F87526" w:rsidRPr="004542B5" w:rsidRDefault="00F87526" w:rsidP="00BF7853">
      <w:pPr>
        <w:pStyle w:val="FootnoteText"/>
        <w:tabs>
          <w:tab w:val="left" w:pos="0"/>
          <w:tab w:val="left" w:pos="720"/>
        </w:tabs>
        <w:spacing w:before="0"/>
        <w:rPr>
          <w:rStyle w:val="FootnoteReference"/>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szCs w:val="16"/>
          <w:lang w:val="en-US"/>
        </w:rPr>
        <w:t xml:space="preserve">Agreement of November 27, 2013 (evidence file, folio 8650I). </w:t>
      </w:r>
    </w:p>
  </w:footnote>
  <w:footnote w:id="142">
    <w:p w14:paraId="1D32E157" w14:textId="19780AB3" w:rsidR="00F87526" w:rsidRPr="004542B5" w:rsidRDefault="00F87526" w:rsidP="00BF7853">
      <w:pPr>
        <w:autoSpaceDE w:val="0"/>
        <w:autoSpaceDN w:val="0"/>
        <w:adjustRightInd w:val="0"/>
        <w:spacing w:after="120"/>
        <w:ind w:right="-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In this regard, the State alleged that the agreement of November 27, 2013, “reveals a promise to annul the granting of a property title, a process that is only possible by filing a judicial action to annul a previously executed administrative act.”</w:t>
      </w:r>
    </w:p>
  </w:footnote>
  <w:footnote w:id="143">
    <w:p w14:paraId="43FB7B81" w14:textId="19994225"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rFonts w:cs="Arial"/>
          <w:i/>
          <w:szCs w:val="16"/>
          <w:lang w:val="en-US"/>
        </w:rPr>
        <w:t>Cf.</w:t>
      </w:r>
      <w:r w:rsidRPr="004542B5">
        <w:rPr>
          <w:rFonts w:cs="Arial"/>
          <w:szCs w:val="16"/>
          <w:lang w:val="en-US"/>
        </w:rPr>
        <w:t xml:space="preserve"> Undertaking, February 23, 2014 (evidence file, folio 8579).</w:t>
      </w:r>
    </w:p>
  </w:footnote>
  <w:footnote w:id="144">
    <w:p w14:paraId="21BDE6D9" w14:textId="5CC0D62A"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i/>
          <w:szCs w:val="16"/>
          <w:lang w:val="en-US"/>
        </w:rPr>
        <w:t>Cf.</w:t>
      </w:r>
      <w:r w:rsidRPr="004542B5">
        <w:rPr>
          <w:rFonts w:cs="Arial"/>
          <w:szCs w:val="16"/>
          <w:lang w:val="en-US"/>
        </w:rPr>
        <w:t xml:space="preserve"> Communication of the Kuna Regional Congress to the President of the Republic, June 11, 1990 (evidence file, folio 614)</w:t>
      </w:r>
      <w:r w:rsidRPr="004542B5">
        <w:rPr>
          <w:szCs w:val="16"/>
          <w:lang w:val="en-US"/>
        </w:rPr>
        <w:t xml:space="preserve">, and </w:t>
      </w:r>
      <w:r w:rsidRPr="004542B5">
        <w:rPr>
          <w:rFonts w:cs="Arial"/>
          <w:szCs w:val="16"/>
          <w:lang w:val="en-US"/>
        </w:rPr>
        <w:t>Communication of the Kuna Comarca Regional Congress to the President of the Republic, February 21, 2000 (evidence file, folios 810 and 811).</w:t>
      </w:r>
    </w:p>
  </w:footnote>
  <w:footnote w:id="145">
    <w:p w14:paraId="0D4DC44A" w14:textId="5B2BAD9B"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i/>
          <w:szCs w:val="16"/>
          <w:lang w:val="en-US"/>
        </w:rPr>
        <w:t>Cf.</w:t>
      </w:r>
      <w:r w:rsidRPr="004542B5">
        <w:rPr>
          <w:rFonts w:cs="Arial"/>
          <w:szCs w:val="16"/>
          <w:lang w:val="en-US"/>
        </w:rPr>
        <w:t xml:space="preserve"> Communication of the Kuna General Congress to the Minister of the Interior and Justice, March 12, 1992 (evidence file, folio 620); Request to comply with ageement addressed to the Attorney General by the representatives of the Caciques of the Kuna Comarca, April 24, 1997 (evidence file, folios 622 to 625); Communication of the Kuna General Congress to the Governor of Panama, July 8, 2003 (evidence file, folio 677), and Communication of the Kuna Comarca to the Minister of the Interior and Justice, August 14, 2003 (evidence file, folios 678 and 679);</w:t>
      </w:r>
      <w:r w:rsidRPr="004542B5">
        <w:rPr>
          <w:rFonts w:cs="Arial"/>
          <w:color w:val="00B050"/>
          <w:szCs w:val="16"/>
          <w:lang w:val="en-US"/>
        </w:rPr>
        <w:t xml:space="preserve"> </w:t>
      </w:r>
      <w:r w:rsidRPr="004542B5">
        <w:rPr>
          <w:rFonts w:cs="Arial"/>
          <w:szCs w:val="16"/>
          <w:lang w:val="en-US"/>
        </w:rPr>
        <w:t>Communication of the Kuna General Congress to the Vice Minister of the Interior and Justice, January 10, 2006 (evidence file, folios 804 and 805).</w:t>
      </w:r>
    </w:p>
  </w:footnote>
  <w:footnote w:id="146">
    <w:p w14:paraId="7B6FF9DC" w14:textId="158435E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i/>
          <w:szCs w:val="16"/>
          <w:lang w:val="en-US"/>
        </w:rPr>
        <w:t>Cf.</w:t>
      </w:r>
      <w:r w:rsidRPr="004542B5">
        <w:rPr>
          <w:rFonts w:cs="Arial"/>
          <w:szCs w:val="16"/>
          <w:lang w:val="en-US"/>
        </w:rPr>
        <w:t xml:space="preserve"> Communication of the Caciques of the Kuna Comarca to the Minister of the Interior and Justice, June 21, 1991 (evidence file, folios 616).</w:t>
      </w:r>
    </w:p>
  </w:footnote>
  <w:footnote w:id="147">
    <w:p w14:paraId="11D168DB" w14:textId="4E8011EA" w:rsidR="00F87526" w:rsidRPr="004542B5" w:rsidRDefault="00F87526" w:rsidP="00BF7853">
      <w:pPr>
        <w:pStyle w:val="FootnoteText"/>
        <w:tabs>
          <w:tab w:val="left" w:pos="0"/>
          <w:tab w:val="left" w:pos="720"/>
        </w:tabs>
        <w:spacing w:before="0"/>
        <w:rPr>
          <w:rFonts w:cs="Arial"/>
          <w:szCs w:val="16"/>
          <w:lang w:val="en-US"/>
        </w:rPr>
      </w:pPr>
      <w:r w:rsidRPr="004542B5">
        <w:rPr>
          <w:rStyle w:val="FootnoteReference"/>
          <w:szCs w:val="16"/>
          <w:lang w:val="en-US"/>
        </w:rPr>
        <w:footnoteRef/>
      </w:r>
      <w:r w:rsidRPr="004542B5">
        <w:rPr>
          <w:rFonts w:cs="Arial"/>
          <w:szCs w:val="16"/>
          <w:lang w:val="en-US"/>
        </w:rPr>
        <w:t xml:space="preserve"> </w:t>
      </w:r>
      <w:r w:rsidRPr="004542B5">
        <w:rPr>
          <w:rFonts w:cs="Arial"/>
          <w:szCs w:val="16"/>
          <w:lang w:val="en-US"/>
        </w:rPr>
        <w:tab/>
      </w:r>
      <w:r w:rsidRPr="004542B5">
        <w:rPr>
          <w:rFonts w:cs="Arial"/>
          <w:i/>
          <w:szCs w:val="16"/>
          <w:lang w:val="en-US"/>
        </w:rPr>
        <w:t>Cf.</w:t>
      </w:r>
      <w:r w:rsidRPr="004542B5">
        <w:rPr>
          <w:rFonts w:cs="Arial"/>
          <w:szCs w:val="16"/>
          <w:lang w:val="en-US"/>
        </w:rPr>
        <w:t xml:space="preserve"> Communication of the Caciques of the Kuna Comarca to the Minister of the Interior and Justice, January 20, 1992 (evidence file, folio 618); Communication of the General Congress of the Kuna Comarca to the Governor of the province of Panama, April 27, 1997 (evidence file, folios 631 to 632); Communication of the General Congress of the Kuna Comarca to several state authorities, July 19, 1998 (evidence file, folio 680 to 681); Communication of the General Congress of the Kuna Comarca to the Presidential adviser, September 28, 2002 (evidence file, folio 812), and Communication of authorities of the Kuna Comarca to the mayor of the Chepo district, October 5, 1997 (evidence file, folio 823).</w:t>
      </w:r>
    </w:p>
  </w:footnote>
  <w:footnote w:id="148">
    <w:p w14:paraId="29B05DD2" w14:textId="69FDEE8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rFonts w:cs="Tahoma"/>
          <w:szCs w:val="16"/>
          <w:lang w:val="en-US"/>
        </w:rPr>
        <w:t>Request to evict intruders, April 5, 2002 (evidence file, folios 656 to 658).</w:t>
      </w:r>
    </w:p>
  </w:footnote>
  <w:footnote w:id="149">
    <w:p w14:paraId="6E0C06F8" w14:textId="43BBE65A"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rFonts w:cs="Arial"/>
          <w:szCs w:val="16"/>
          <w:lang w:val="en-US"/>
        </w:rPr>
        <w:t>Communication of the General Congress of the Kuna Comarca to the Governor of the province of Panama, February 16, 2003 (evidence file, folios 634 to 635).</w:t>
      </w:r>
    </w:p>
  </w:footnote>
  <w:footnote w:id="150">
    <w:p w14:paraId="5E745572" w14:textId="1DD428D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i/>
          <w:szCs w:val="16"/>
          <w:lang w:val="en-US"/>
        </w:rPr>
        <w:t>Cf.</w:t>
      </w:r>
      <w:r w:rsidRPr="004542B5">
        <w:rPr>
          <w:rFonts w:cs="Arial"/>
          <w:szCs w:val="16"/>
          <w:lang w:val="en-US"/>
        </w:rPr>
        <w:t xml:space="preserve"> Eviction request, March 7, 2003 (evidence file, folio 653).</w:t>
      </w:r>
    </w:p>
  </w:footnote>
  <w:footnote w:id="151">
    <w:p w14:paraId="2FFEF246" w14:textId="3249035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Note C-No. 73, of the Attorney General, March 31, 2004 </w:t>
      </w:r>
      <w:r w:rsidRPr="004542B5">
        <w:rPr>
          <w:rFonts w:cs="Arial"/>
          <w:szCs w:val="16"/>
          <w:lang w:val="en-US"/>
        </w:rPr>
        <w:t>(evidence file, folios 682 and 684).</w:t>
      </w:r>
    </w:p>
  </w:footnote>
  <w:footnote w:id="152">
    <w:p w14:paraId="62A12492" w14:textId="1423748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See, Action to evict intruders, filed with the President of the Republic, January 24, 2005 </w:t>
      </w:r>
      <w:r w:rsidRPr="004542B5">
        <w:rPr>
          <w:rFonts w:cs="Arial"/>
          <w:szCs w:val="16"/>
          <w:lang w:val="en-US"/>
        </w:rPr>
        <w:t xml:space="preserve">(evidence file, folio 820). </w:t>
      </w:r>
    </w:p>
  </w:footnote>
  <w:footnote w:id="153">
    <w:p w14:paraId="5B04D745" w14:textId="27FF866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See, Action to evict intruders, filed with the President of the Republic, January 24, 2005 </w:t>
      </w:r>
      <w:r w:rsidRPr="004542B5">
        <w:rPr>
          <w:rFonts w:cs="Arial"/>
          <w:szCs w:val="16"/>
          <w:lang w:val="en-US"/>
        </w:rPr>
        <w:t xml:space="preserve">(evidence file, folio 820). </w:t>
      </w:r>
    </w:p>
  </w:footnote>
  <w:footnote w:id="154">
    <w:p w14:paraId="63C350EC" w14:textId="37423E1D"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Communication of the Caciques of the Kuna Comarca addressed to the President of the Republic, February 15, 2005 (evidence file, </w:t>
      </w:r>
      <w:r w:rsidRPr="004542B5">
        <w:rPr>
          <w:rFonts w:cs="Arial"/>
          <w:szCs w:val="16"/>
          <w:lang w:val="en-US"/>
        </w:rPr>
        <w:t xml:space="preserve">folio 669 ). </w:t>
      </w:r>
    </w:p>
  </w:footnote>
  <w:footnote w:id="155">
    <w:p w14:paraId="57046C4A" w14:textId="17253821"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t xml:space="preserve">Request for information, October 26, 2006 </w:t>
      </w:r>
      <w:r w:rsidRPr="004542B5">
        <w:rPr>
          <w:rFonts w:cs="Arial"/>
          <w:szCs w:val="16"/>
          <w:lang w:val="en-US"/>
        </w:rPr>
        <w:t xml:space="preserve">(evidence file, folios 831 to 832). </w:t>
      </w:r>
    </w:p>
  </w:footnote>
  <w:footnote w:id="156">
    <w:p w14:paraId="5FBB24B4" w14:textId="2CBA06F4"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rFonts w:cs="Arial"/>
          <w:szCs w:val="16"/>
          <w:lang w:val="en-US"/>
        </w:rPr>
        <w:t xml:space="preserve">Executive Decree No. 247 of June 4, 2008, “That adds articles to Executive Decree 228 of December 3, 1998,” Official Gazette No. 26,083, July 15, 2008, articles 66a and 66b (evidence file, folio 834). This Decree established that the </w:t>
      </w:r>
      <w:r w:rsidRPr="004542B5">
        <w:rPr>
          <w:rFonts w:cs="Arial"/>
          <w:i/>
          <w:szCs w:val="16"/>
          <w:lang w:val="en-US"/>
        </w:rPr>
        <w:t>Corregidor</w:t>
      </w:r>
      <w:r w:rsidRPr="004542B5">
        <w:rPr>
          <w:rFonts w:cs="Arial"/>
          <w:szCs w:val="16"/>
          <w:lang w:val="en-US"/>
        </w:rPr>
        <w:t xml:space="preserve"> “shall be appointed by the President of the Republic, together with the Minister of the Interior and Justice.” </w:t>
      </w:r>
    </w:p>
  </w:footnote>
  <w:footnote w:id="157">
    <w:p w14:paraId="297BF4B8" w14:textId="467D82D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State report of May 14, 2012 (evidence file, folio 4576); Petitioners’ brief of July 13, 2012 (evidence file, folio 5291), and Petitioners’ brief of May 16, 2012 (evidence file, folios 5593).</w:t>
      </w:r>
    </w:p>
  </w:footnote>
  <w:footnote w:id="158">
    <w:p w14:paraId="1367FCD4" w14:textId="666C538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Petitioners’ brief of July 13, 2012 (evidence file, folio 5292), and Petitioners’ brief of May 16, 2012 (evidence file, folios 5593).</w:t>
      </w:r>
    </w:p>
  </w:footnote>
  <w:footnote w:id="159">
    <w:p w14:paraId="175B1D85" w14:textId="2D76B66D"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Summary administrative proceeding – power of attorney and request, March 23, 2009 (evidence file, folios 838 to 840).</w:t>
      </w:r>
    </w:p>
  </w:footnote>
  <w:footnote w:id="160">
    <w:p w14:paraId="1D883C41" w14:textId="476F212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t xml:space="preserve">State report of May 14, 2012 (evidence file, folio 4576), and Petitioners’ brief of May 25, 2011 (evidence file, folio 4817). The parties agreed that there was no </w:t>
      </w:r>
      <w:r w:rsidRPr="004542B5">
        <w:rPr>
          <w:i/>
          <w:szCs w:val="16"/>
          <w:lang w:val="en-US"/>
        </w:rPr>
        <w:t>Corregidor</w:t>
      </w:r>
      <w:r w:rsidRPr="004542B5">
        <w:rPr>
          <w:szCs w:val="16"/>
          <w:lang w:val="en-US"/>
        </w:rPr>
        <w:t xml:space="preserve"> during a certain period in 2010, before a new </w:t>
      </w:r>
      <w:r w:rsidRPr="004542B5">
        <w:rPr>
          <w:i/>
          <w:szCs w:val="16"/>
          <w:lang w:val="en-US"/>
        </w:rPr>
        <w:t>Corregidor</w:t>
      </w:r>
      <w:r w:rsidRPr="004542B5">
        <w:rPr>
          <w:szCs w:val="16"/>
          <w:lang w:val="en-US"/>
        </w:rPr>
        <w:t xml:space="preserve"> was appointed in 2011. </w:t>
      </w:r>
    </w:p>
  </w:footnote>
  <w:footnote w:id="161">
    <w:p w14:paraId="0E7C414A" w14:textId="2798C903"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szCs w:val="16"/>
          <w:lang w:val="en-US"/>
        </w:rPr>
        <w:t xml:space="preserve">Minutes of hearing, Office of the Special </w:t>
      </w:r>
      <w:r w:rsidRPr="004542B5">
        <w:rPr>
          <w:i/>
          <w:szCs w:val="16"/>
          <w:lang w:val="en-US"/>
        </w:rPr>
        <w:t>Corregidor</w:t>
      </w:r>
      <w:r w:rsidRPr="004542B5">
        <w:rPr>
          <w:rFonts w:cs="Arial"/>
          <w:szCs w:val="16"/>
          <w:lang w:val="en-US"/>
        </w:rPr>
        <w:t xml:space="preserve"> of Madungandí</w:t>
      </w:r>
      <w:r w:rsidRPr="004542B5">
        <w:rPr>
          <w:rFonts w:cs="Arial"/>
          <w:color w:val="00B050"/>
          <w:szCs w:val="16"/>
          <w:lang w:val="en-US"/>
        </w:rPr>
        <w:t xml:space="preserve"> </w:t>
      </w:r>
      <w:r w:rsidRPr="004542B5">
        <w:rPr>
          <w:rFonts w:cs="Arial"/>
          <w:szCs w:val="16"/>
          <w:lang w:val="en-US"/>
        </w:rPr>
        <w:t xml:space="preserve">(evidence file, folios 843 to 845), and Communication of the </w:t>
      </w:r>
      <w:r w:rsidRPr="004542B5">
        <w:rPr>
          <w:rFonts w:cs="Arial"/>
          <w:i/>
          <w:szCs w:val="16"/>
          <w:lang w:val="en-US"/>
        </w:rPr>
        <w:t>Corregidor</w:t>
      </w:r>
      <w:r w:rsidRPr="004542B5">
        <w:rPr>
          <w:rFonts w:cs="Arial"/>
          <w:szCs w:val="16"/>
          <w:lang w:val="en-US"/>
        </w:rPr>
        <w:t xml:space="preserve"> of Madungandí to the Director of Local Governments, December 14, 2011 (evidence file, folio 842). </w:t>
      </w:r>
    </w:p>
  </w:footnote>
  <w:footnote w:id="162">
    <w:p w14:paraId="4FE165C9" w14:textId="70430767"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Report of field trip, </w:t>
      </w:r>
      <w:r w:rsidRPr="004542B5">
        <w:rPr>
          <w:rFonts w:cs="Arial"/>
          <w:szCs w:val="16"/>
          <w:lang w:val="en-US"/>
        </w:rPr>
        <w:t xml:space="preserve">Office of the Special </w:t>
      </w:r>
      <w:r w:rsidRPr="004542B5">
        <w:rPr>
          <w:i/>
          <w:szCs w:val="16"/>
          <w:lang w:val="en-US"/>
        </w:rPr>
        <w:t>Corregidor</w:t>
      </w:r>
      <w:r w:rsidRPr="004542B5">
        <w:rPr>
          <w:rFonts w:cs="Arial"/>
          <w:szCs w:val="16"/>
          <w:lang w:val="en-US"/>
        </w:rPr>
        <w:t xml:space="preserve"> </w:t>
      </w:r>
      <w:r w:rsidRPr="004542B5">
        <w:rPr>
          <w:szCs w:val="16"/>
          <w:lang w:val="en-US"/>
        </w:rPr>
        <w:t>of Madungandí, January 3, 2012 (evidence file, folios 5135 to 5139)</w:t>
      </w:r>
      <w:r w:rsidRPr="004542B5">
        <w:rPr>
          <w:rFonts w:cs="Arial"/>
          <w:szCs w:val="16"/>
          <w:lang w:val="en-US"/>
        </w:rPr>
        <w:t>.</w:t>
      </w:r>
    </w:p>
  </w:footnote>
  <w:footnote w:id="163">
    <w:p w14:paraId="150AA8D0" w14:textId="0448F3C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 xml:space="preserve"> </w:t>
      </w:r>
      <w:r w:rsidRPr="004542B5">
        <w:rPr>
          <w:szCs w:val="16"/>
          <w:lang w:val="en-US"/>
        </w:rPr>
        <w:tab/>
        <w:t xml:space="preserve">Minutes of hearing, </w:t>
      </w:r>
      <w:r w:rsidRPr="004542B5">
        <w:rPr>
          <w:rFonts w:cs="Arial"/>
          <w:szCs w:val="16"/>
          <w:lang w:val="en-US"/>
        </w:rPr>
        <w:t xml:space="preserve">Office of the Special </w:t>
      </w:r>
      <w:r w:rsidRPr="004542B5">
        <w:rPr>
          <w:i/>
          <w:szCs w:val="16"/>
          <w:lang w:val="en-US"/>
        </w:rPr>
        <w:t>Corregidor</w:t>
      </w:r>
      <w:r w:rsidRPr="004542B5">
        <w:rPr>
          <w:rFonts w:cs="Arial"/>
          <w:szCs w:val="16"/>
          <w:lang w:val="en-US"/>
        </w:rPr>
        <w:t xml:space="preserve"> of Madungandí,</w:t>
      </w:r>
      <w:r w:rsidRPr="004542B5">
        <w:rPr>
          <w:rFonts w:cs="Arial"/>
          <w:color w:val="00B050"/>
          <w:szCs w:val="16"/>
          <w:lang w:val="en-US"/>
        </w:rPr>
        <w:t xml:space="preserve"> </w:t>
      </w:r>
      <w:r w:rsidRPr="004542B5">
        <w:rPr>
          <w:szCs w:val="16"/>
          <w:lang w:val="en-US"/>
        </w:rPr>
        <w:t>January 31, 2012 (evidence file, folios 5124 to 5125).</w:t>
      </w:r>
    </w:p>
  </w:footnote>
  <w:footnote w:id="164">
    <w:p w14:paraId="54FAF067" w14:textId="353DBC4D"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t xml:space="preserve">Resolution No. 5, </w:t>
      </w:r>
      <w:r w:rsidRPr="004542B5">
        <w:rPr>
          <w:rFonts w:cs="Arial"/>
          <w:szCs w:val="16"/>
          <w:lang w:val="en-US"/>
        </w:rPr>
        <w:t xml:space="preserve">Office of the Special </w:t>
      </w:r>
      <w:r w:rsidRPr="004542B5">
        <w:rPr>
          <w:i/>
          <w:szCs w:val="16"/>
          <w:lang w:val="en-US"/>
        </w:rPr>
        <w:t>Corregidor</w:t>
      </w:r>
      <w:r w:rsidRPr="004542B5">
        <w:rPr>
          <w:rFonts w:cs="Arial"/>
          <w:szCs w:val="16"/>
          <w:lang w:val="en-US"/>
        </w:rPr>
        <w:t xml:space="preserve"> </w:t>
      </w:r>
      <w:r w:rsidRPr="004542B5">
        <w:rPr>
          <w:szCs w:val="16"/>
          <w:lang w:val="en-US"/>
        </w:rPr>
        <w:t>of Madungandí, April 2,</w:t>
      </w:r>
      <w:r w:rsidRPr="004542B5">
        <w:rPr>
          <w:rFonts w:cs="Arial"/>
          <w:szCs w:val="16"/>
          <w:lang w:val="en-US"/>
        </w:rPr>
        <w:t xml:space="preserve"> 2012 (evidence file, folio 849).</w:t>
      </w:r>
    </w:p>
  </w:footnote>
  <w:footnote w:id="165">
    <w:p w14:paraId="39E58C24" w14:textId="790EE4A3"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rFonts w:cs="Arial"/>
          <w:szCs w:val="16"/>
          <w:lang w:val="en-US"/>
        </w:rPr>
        <w:t xml:space="preserve">Remedy of appeal </w:t>
      </w:r>
      <w:r w:rsidRPr="004542B5">
        <w:rPr>
          <w:szCs w:val="16"/>
          <w:lang w:val="en-US"/>
        </w:rPr>
        <w:t xml:space="preserve">(evidence file, </w:t>
      </w:r>
      <w:r w:rsidRPr="004542B5">
        <w:rPr>
          <w:rFonts w:cs="Arial"/>
          <w:szCs w:val="16"/>
          <w:lang w:val="en-US"/>
        </w:rPr>
        <w:t>folio 4960).</w:t>
      </w:r>
    </w:p>
  </w:footnote>
  <w:footnote w:id="166">
    <w:p w14:paraId="363E0A0F" w14:textId="5CC834D9"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szCs w:val="16"/>
          <w:lang w:val="en-US"/>
        </w:rPr>
        <w:t>Resolution No. 197-R-63, Minister of the Interior, August 22, 2012 (evidence file, folios 852 to 853).</w:t>
      </w:r>
    </w:p>
  </w:footnote>
  <w:footnote w:id="167">
    <w:p w14:paraId="0514B825" w14:textId="25DD731B"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rFonts w:cs="Arial"/>
          <w:szCs w:val="16"/>
          <w:lang w:val="en-US"/>
        </w:rPr>
        <w:t xml:space="preserve">Resolution No. 6, Office of the Special </w:t>
      </w:r>
      <w:r w:rsidRPr="004542B5">
        <w:rPr>
          <w:i/>
          <w:szCs w:val="16"/>
          <w:lang w:val="en-US"/>
        </w:rPr>
        <w:t>Corregidor</w:t>
      </w:r>
      <w:r w:rsidRPr="004542B5">
        <w:rPr>
          <w:rFonts w:cs="Arial"/>
          <w:szCs w:val="16"/>
          <w:lang w:val="en-US"/>
        </w:rPr>
        <w:t xml:space="preserve"> </w:t>
      </w:r>
      <w:r w:rsidRPr="004542B5">
        <w:rPr>
          <w:szCs w:val="16"/>
          <w:lang w:val="en-US"/>
        </w:rPr>
        <w:t>of Madungandí, May 18, 2012 (evidence file,</w:t>
      </w:r>
      <w:r w:rsidRPr="004542B5">
        <w:rPr>
          <w:rFonts w:cs="Arial"/>
          <w:szCs w:val="16"/>
          <w:lang w:val="en-US"/>
        </w:rPr>
        <w:t xml:space="preserve"> folios 4962 to 4963).</w:t>
      </w:r>
    </w:p>
  </w:footnote>
  <w:footnote w:id="168">
    <w:p w14:paraId="06E91CFD" w14:textId="2F389E6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rFonts w:cs="Arial"/>
          <w:szCs w:val="16"/>
          <w:lang w:val="en-US"/>
        </w:rPr>
        <w:t xml:space="preserve">Resolution No. ARAPE–AGICH-030-2007. Regional Administration of the National Environmental Authority (ANAM), May 21, 2007 (evidence file, folio 860). </w:t>
      </w:r>
    </w:p>
  </w:footnote>
  <w:footnote w:id="169">
    <w:p w14:paraId="3809DC91" w14:textId="3DEFFB8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Inspection report No. 006-2007, </w:t>
      </w:r>
      <w:r w:rsidRPr="004542B5">
        <w:rPr>
          <w:rFonts w:cs="Arial"/>
          <w:szCs w:val="16"/>
          <w:lang w:val="en-US"/>
        </w:rPr>
        <w:t>Regional Administration of the National Environmental Authority (ANAM)</w:t>
      </w:r>
      <w:r w:rsidRPr="004542B5" w:rsidDel="004920F9">
        <w:rPr>
          <w:szCs w:val="16"/>
          <w:lang w:val="en-US"/>
        </w:rPr>
        <w:t xml:space="preserve"> </w:t>
      </w:r>
      <w:r w:rsidRPr="004542B5">
        <w:rPr>
          <w:szCs w:val="16"/>
          <w:lang w:val="en-US"/>
        </w:rPr>
        <w:t>(evidence file, folios 857 to 858)</w:t>
      </w:r>
      <w:r w:rsidRPr="004542B5">
        <w:rPr>
          <w:rFonts w:cs="Arial"/>
          <w:szCs w:val="16"/>
          <w:lang w:val="en-US"/>
        </w:rPr>
        <w:t>.</w:t>
      </w:r>
      <w:r w:rsidRPr="004542B5">
        <w:rPr>
          <w:szCs w:val="16"/>
          <w:lang w:val="en-US"/>
        </w:rPr>
        <w:t xml:space="preserve"> The information in the case file reveals that “</w:t>
      </w:r>
      <w:r w:rsidRPr="004542B5">
        <w:rPr>
          <w:i/>
          <w:iCs/>
          <w:szCs w:val="16"/>
          <w:lang w:val="en-US"/>
        </w:rPr>
        <w:t>socuela</w:t>
      </w:r>
      <w:r w:rsidRPr="004542B5">
        <w:rPr>
          <w:szCs w:val="16"/>
          <w:lang w:val="en-US"/>
        </w:rPr>
        <w:t>” refers to activities related to the clearing or removal of vegetation from a plot of land.</w:t>
      </w:r>
    </w:p>
  </w:footnote>
  <w:footnote w:id="170">
    <w:p w14:paraId="24F278E0" w14:textId="4773EE39" w:rsidR="00F87526" w:rsidRPr="004542B5" w:rsidRDefault="00F87526" w:rsidP="003234E7">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szCs w:val="16"/>
          <w:lang w:val="en-US"/>
        </w:rPr>
        <w:t>Resolution No. ARAPE–AGICH-030-2007, Regional Administration of the National Environmental Authority, May 21, 2007 (evidence file, folio 864 to 865).</w:t>
      </w:r>
    </w:p>
  </w:footnote>
  <w:footnote w:id="171">
    <w:p w14:paraId="0578A69E" w14:textId="55D1FCFE" w:rsidR="00F87526" w:rsidRPr="004542B5" w:rsidRDefault="00F87526" w:rsidP="00BF7853">
      <w:pPr>
        <w:pStyle w:val="FootnoteText"/>
        <w:tabs>
          <w:tab w:val="left" w:pos="0"/>
          <w:tab w:val="left" w:pos="720"/>
        </w:tabs>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szCs w:val="16"/>
          <w:lang w:val="en-US"/>
        </w:rPr>
        <w:t xml:space="preserve">Technical report No. 18, Regional Administration of the National Environmental Authority (ANAM), March 14 and 15, 2007 (evidence file, folio 867). </w:t>
      </w:r>
    </w:p>
  </w:footnote>
  <w:footnote w:id="172">
    <w:p w14:paraId="009CB685" w14:textId="4BFFC56A"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rFonts w:cs="Arial"/>
          <w:szCs w:val="16"/>
          <w:lang w:val="en-US"/>
        </w:rPr>
        <w:t xml:space="preserve">Request for the demarcation and adjudication of collective lands, June 13, 1995 (evidence file, folios 869 to 871). </w:t>
      </w:r>
    </w:p>
  </w:footnote>
  <w:footnote w:id="173">
    <w:p w14:paraId="1712CBDC" w14:textId="4FC6516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Centro de Asistencia Legal Popular (CEALP) communication to the Director </w:t>
      </w:r>
      <w:r w:rsidRPr="004542B5">
        <w:rPr>
          <w:rFonts w:cs="Tahoma"/>
          <w:szCs w:val="16"/>
          <w:lang w:val="en-US"/>
        </w:rPr>
        <w:t xml:space="preserve">of Legal Services of the Presidency </w:t>
      </w:r>
      <w:r w:rsidRPr="004542B5">
        <w:rPr>
          <w:szCs w:val="16"/>
          <w:lang w:val="en-US"/>
        </w:rPr>
        <w:t>of the Republic, September 8, 1995 (evidence file, folio 873).</w:t>
      </w:r>
    </w:p>
  </w:footnote>
  <w:footnote w:id="174">
    <w:p w14:paraId="47236B99" w14:textId="374E8E7E"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Request of January 11, 1999 (</w:t>
      </w:r>
      <w:r w:rsidRPr="004542B5">
        <w:rPr>
          <w:rFonts w:cs="Arial"/>
          <w:szCs w:val="16"/>
          <w:lang w:val="en-US"/>
        </w:rPr>
        <w:t>presented on January 27, 1999) (evidence file, folios 875 to 876). In its Merits Report, the Commission refers to a request of the same date presented by the Emberá Community of Ipetí, which does not appear in the case file.</w:t>
      </w:r>
    </w:p>
  </w:footnote>
  <w:footnote w:id="175">
    <w:p w14:paraId="34E3A629" w14:textId="5CADA676" w:rsidR="00F87526" w:rsidRPr="004542B5" w:rsidRDefault="00F87526" w:rsidP="00BF7853">
      <w:pPr>
        <w:pStyle w:val="FootnoteText"/>
        <w:tabs>
          <w:tab w:val="left" w:pos="0"/>
          <w:tab w:val="left" w:pos="720"/>
        </w:tabs>
        <w:spacing w:before="0"/>
        <w:rPr>
          <w:rFonts w:cs="Arial"/>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rFonts w:cs="Arial"/>
          <w:szCs w:val="16"/>
          <w:lang w:val="en-US"/>
        </w:rPr>
        <w:t xml:space="preserve">Request for the </w:t>
      </w:r>
      <w:r w:rsidRPr="004542B5">
        <w:rPr>
          <w:rFonts w:cs="Tahoma"/>
          <w:szCs w:val="16"/>
          <w:lang w:val="en-US"/>
        </w:rPr>
        <w:t>adjudication, free of charge, of the collective ownership of lands granted in compensation to the Ipetí and Piriatí communities</w:t>
      </w:r>
      <w:r w:rsidRPr="004542B5">
        <w:rPr>
          <w:rFonts w:cs="Arial"/>
          <w:szCs w:val="16"/>
          <w:lang w:val="en-US"/>
        </w:rPr>
        <w:t xml:space="preserve"> based on their displacement owing to the construction of the Bayano Dam (evidence file, folios 881 to 882). This request to suspend procedures referred specifically to the request for titles presented by C.C.M.</w:t>
      </w:r>
    </w:p>
  </w:footnote>
  <w:footnote w:id="176">
    <w:p w14:paraId="1C6A3F53" w14:textId="59EAC508"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Communication of the National Land Administration Authority (ANATI) addressed to the Emberá Cacique General of Alto Bayano, January 26, 2011 (evidence file, folio 8276), and Minutes of hearing No. 6, held before the Inter-American Commission on March 23, 2012 (evidence file, folio 4599). </w:t>
      </w:r>
    </w:p>
  </w:footnote>
  <w:footnote w:id="177">
    <w:p w14:paraId="330C111F" w14:textId="3666B8B7"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rFonts w:cs="Arial"/>
          <w:szCs w:val="16"/>
          <w:lang w:val="en-US"/>
        </w:rPr>
        <w:t xml:space="preserve">Technical report – Field trip to review the proposed collective lands in the province of </w:t>
      </w:r>
      <w:r w:rsidR="00982EC9" w:rsidRPr="004542B5">
        <w:rPr>
          <w:rFonts w:cs="Arial"/>
          <w:szCs w:val="16"/>
          <w:lang w:val="en-US"/>
        </w:rPr>
        <w:t>Darien</w:t>
      </w:r>
      <w:r w:rsidRPr="004542B5">
        <w:rPr>
          <w:rFonts w:cs="Arial"/>
          <w:szCs w:val="16"/>
          <w:lang w:val="en-US"/>
        </w:rPr>
        <w:t xml:space="preserve"> (evidence file, folios 4720 and 4724 to 4725).</w:t>
      </w:r>
    </w:p>
  </w:footnote>
  <w:footnote w:id="178">
    <w:p w14:paraId="70F98E0D" w14:textId="50C77EBE"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Criminal action (File 212), December 20, 2006 </w:t>
      </w:r>
      <w:r w:rsidRPr="004542B5">
        <w:rPr>
          <w:rFonts w:cs="Arial"/>
          <w:szCs w:val="16"/>
          <w:lang w:val="en-US"/>
        </w:rPr>
        <w:t xml:space="preserve">(evidence file, folios 640 to 641, 645 and 648). </w:t>
      </w:r>
    </w:p>
  </w:footnote>
  <w:footnote w:id="179">
    <w:p w14:paraId="30CB86FA" w14:textId="126D275B"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szCs w:val="16"/>
          <w:lang w:val="en-US"/>
        </w:rPr>
        <w:t xml:space="preserve">File No. 212 (evidence file, </w:t>
      </w:r>
      <w:r w:rsidRPr="004542B5">
        <w:rPr>
          <w:rFonts w:cs="Arial"/>
          <w:szCs w:val="16"/>
          <w:lang w:val="en-US"/>
        </w:rPr>
        <w:t xml:space="preserve">folios 712 to 713, and 715 to 719). </w:t>
      </w:r>
    </w:p>
  </w:footnote>
  <w:footnote w:id="180">
    <w:p w14:paraId="0B060136" w14:textId="671D8FCC"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rFonts w:cs="Arial"/>
          <w:color w:val="00B050"/>
          <w:szCs w:val="16"/>
          <w:lang w:val="en-US"/>
        </w:rPr>
        <w:tab/>
      </w:r>
      <w:r w:rsidRPr="004542B5">
        <w:rPr>
          <w:rFonts w:cs="Arial"/>
          <w:szCs w:val="16"/>
          <w:lang w:val="en-US"/>
        </w:rPr>
        <w:t xml:space="preserve">State report of September 17, 2012 (evidence file, folio 5102). </w:t>
      </w:r>
    </w:p>
  </w:footnote>
  <w:footnote w:id="181">
    <w:p w14:paraId="006926AC" w14:textId="22C3CE5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Fonts w:cs="Arial"/>
          <w:szCs w:val="16"/>
          <w:lang w:val="en-US"/>
        </w:rPr>
        <w:t xml:space="preserve"> </w:t>
      </w:r>
      <w:r w:rsidRPr="004542B5">
        <w:rPr>
          <w:rFonts w:cs="Arial"/>
          <w:szCs w:val="16"/>
          <w:lang w:val="en-US"/>
        </w:rPr>
        <w:tab/>
      </w:r>
      <w:r w:rsidRPr="004542B5">
        <w:rPr>
          <w:rFonts w:cs="Arial"/>
          <w:i/>
          <w:szCs w:val="16"/>
          <w:lang w:val="en-US"/>
        </w:rPr>
        <w:t>Cf.</w:t>
      </w:r>
      <w:r w:rsidRPr="004542B5">
        <w:rPr>
          <w:rFonts w:cs="Arial"/>
          <w:szCs w:val="16"/>
          <w:lang w:val="en-US"/>
        </w:rPr>
        <w:t xml:space="preserve"> Complaint based on an environmental offense (File No. 0118), January 16, 2007 (evidence file, folios 887 and 888).</w:t>
      </w:r>
    </w:p>
  </w:footnote>
  <w:footnote w:id="182">
    <w:p w14:paraId="5CFD54D9" w14:textId="114E53B8" w:rsidR="00F87526" w:rsidRPr="004542B5" w:rsidRDefault="00F87526" w:rsidP="00BF7853">
      <w:pPr>
        <w:pStyle w:val="FootnoteText"/>
        <w:spacing w:before="0"/>
        <w:rPr>
          <w:color w:val="00B050"/>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 xml:space="preserve"> </w:t>
      </w:r>
      <w:r w:rsidRPr="004542B5">
        <w:rPr>
          <w:szCs w:val="16"/>
          <w:lang w:val="en-US"/>
        </w:rPr>
        <w:tab/>
      </w:r>
      <w:r w:rsidRPr="004542B5">
        <w:rPr>
          <w:rFonts w:cs="Arial"/>
          <w:i/>
          <w:szCs w:val="16"/>
          <w:lang w:val="en-US"/>
        </w:rPr>
        <w:t>Cf.</w:t>
      </w:r>
      <w:r w:rsidRPr="004542B5">
        <w:rPr>
          <w:rFonts w:cs="Arial"/>
          <w:szCs w:val="16"/>
          <w:lang w:val="en-US"/>
        </w:rPr>
        <w:t xml:space="preserve"> Several communications of </w:t>
      </w:r>
      <w:r w:rsidRPr="004542B5">
        <w:rPr>
          <w:szCs w:val="16"/>
          <w:lang w:val="en-US"/>
        </w:rPr>
        <w:t xml:space="preserve">the Environmental Offenses Unit addressed to other state authorities, January 23, 2007; Communications of the Judicial Technical Police and the Communications Unit to the Environmental Offenses Unit, January 25, 2007 (evidence file, folios 898 to 911). </w:t>
      </w:r>
    </w:p>
  </w:footnote>
  <w:footnote w:id="183">
    <w:p w14:paraId="7DACE3CB" w14:textId="2D487FF0" w:rsidR="00F87526" w:rsidRPr="004542B5" w:rsidRDefault="00F87526" w:rsidP="00BF7853">
      <w:pPr>
        <w:pStyle w:val="FootnoteText"/>
        <w:spacing w:before="0"/>
        <w:rPr>
          <w:szCs w:val="16"/>
          <w:vertAlign w:val="superscript"/>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rFonts w:cs="Arial"/>
          <w:i/>
          <w:szCs w:val="16"/>
          <w:lang w:val="en-US"/>
        </w:rPr>
        <w:t>Cf.</w:t>
      </w:r>
      <w:r w:rsidRPr="004542B5">
        <w:rPr>
          <w:rFonts w:cs="Arial"/>
          <w:szCs w:val="16"/>
          <w:lang w:val="en-US"/>
        </w:rPr>
        <w:t xml:space="preserve"> File No. 0118 (evidence file</w:t>
      </w:r>
      <w:r w:rsidRPr="004542B5">
        <w:rPr>
          <w:szCs w:val="16"/>
          <w:lang w:val="en-US"/>
        </w:rPr>
        <w:t>, folio 916, 917, 924 and 930).</w:t>
      </w:r>
    </w:p>
  </w:footnote>
  <w:footnote w:id="184">
    <w:p w14:paraId="6CABDE9A" w14:textId="5E8AC99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i/>
          <w:szCs w:val="16"/>
          <w:lang w:val="en-US"/>
        </w:rPr>
        <w:t>Cf.</w:t>
      </w:r>
      <w:r w:rsidRPr="004542B5">
        <w:rPr>
          <w:rFonts w:cs="Arial"/>
          <w:szCs w:val="16"/>
          <w:lang w:val="en-US"/>
        </w:rPr>
        <w:t xml:space="preserve"> Criminal complaint (File No. 0118), February 1, 2007 (evidence file, folios 935 to 937).</w:t>
      </w:r>
    </w:p>
  </w:footnote>
  <w:footnote w:id="185">
    <w:p w14:paraId="18879D87" w14:textId="42266FB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 xml:space="preserve"> </w:t>
      </w:r>
      <w:r w:rsidRPr="004542B5">
        <w:rPr>
          <w:szCs w:val="16"/>
          <w:lang w:val="en-US"/>
        </w:rPr>
        <w:tab/>
      </w:r>
      <w:r w:rsidRPr="004542B5">
        <w:rPr>
          <w:rFonts w:cs="Arial"/>
          <w:i/>
          <w:szCs w:val="16"/>
          <w:lang w:val="en-US"/>
        </w:rPr>
        <w:t xml:space="preserve">Cf. </w:t>
      </w:r>
      <w:r w:rsidRPr="004542B5">
        <w:rPr>
          <w:rFonts w:cs="Arial"/>
          <w:szCs w:val="16"/>
          <w:lang w:val="en-US"/>
        </w:rPr>
        <w:t xml:space="preserve">File No. 0118 (evidence file, folios </w:t>
      </w:r>
      <w:r w:rsidRPr="004542B5">
        <w:rPr>
          <w:szCs w:val="16"/>
          <w:lang w:val="en-US"/>
        </w:rPr>
        <w:t>933, 954 and 972).</w:t>
      </w:r>
    </w:p>
  </w:footnote>
  <w:footnote w:id="186">
    <w:p w14:paraId="25B306F5" w14:textId="048A236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i/>
          <w:szCs w:val="16"/>
          <w:lang w:val="en-US"/>
        </w:rPr>
        <w:t>Cf.</w:t>
      </w:r>
      <w:r w:rsidRPr="004542B5">
        <w:rPr>
          <w:rFonts w:cs="Arial"/>
          <w:szCs w:val="16"/>
          <w:lang w:val="en-US"/>
        </w:rPr>
        <w:t xml:space="preserve"> </w:t>
      </w:r>
      <w:r w:rsidRPr="004542B5">
        <w:rPr>
          <w:szCs w:val="16"/>
          <w:lang w:val="en-US"/>
        </w:rPr>
        <w:t>Transcript of the on-site inspection (evidence file, folios 974 and 977).</w:t>
      </w:r>
    </w:p>
  </w:footnote>
  <w:footnote w:id="187">
    <w:p w14:paraId="601EA058" w14:textId="2EFD8171" w:rsidR="00F87526" w:rsidRPr="004542B5" w:rsidRDefault="00F87526" w:rsidP="00BF7853">
      <w:pPr>
        <w:pStyle w:val="FootnoteText"/>
        <w:tabs>
          <w:tab w:val="left" w:pos="720"/>
        </w:tabs>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i/>
          <w:szCs w:val="16"/>
          <w:lang w:val="en-US"/>
        </w:rPr>
        <w:t>Cf.</w:t>
      </w:r>
      <w:r w:rsidRPr="004542B5">
        <w:rPr>
          <w:rFonts w:cs="Arial"/>
          <w:szCs w:val="16"/>
          <w:lang w:val="en-US"/>
        </w:rPr>
        <w:t xml:space="preserve"> </w:t>
      </w:r>
      <w:r w:rsidRPr="004542B5">
        <w:rPr>
          <w:szCs w:val="16"/>
          <w:lang w:val="en-US"/>
        </w:rPr>
        <w:t>Prosecutor’s Recommendation No. 151, XI Circuit Prosecutor of the First Judicial Circuit of Panama, May 29, 2008 (</w:t>
      </w:r>
      <w:r w:rsidRPr="004542B5">
        <w:rPr>
          <w:rFonts w:cs="Arial"/>
          <w:szCs w:val="16"/>
          <w:lang w:val="en-US"/>
        </w:rPr>
        <w:t>evidence file, folios 980 and 994</w:t>
      </w:r>
      <w:r w:rsidRPr="004542B5">
        <w:rPr>
          <w:szCs w:val="16"/>
          <w:lang w:val="en-US"/>
        </w:rPr>
        <w:t>)</w:t>
      </w:r>
      <w:r w:rsidRPr="004542B5">
        <w:rPr>
          <w:rFonts w:cs="Arial"/>
          <w:szCs w:val="16"/>
          <w:lang w:val="en-US"/>
        </w:rPr>
        <w:t>.</w:t>
      </w:r>
    </w:p>
  </w:footnote>
  <w:footnote w:id="188">
    <w:p w14:paraId="11FA4AC8" w14:textId="500860C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According to the Inter-American Commission, the two complaints (</w:t>
      </w:r>
      <w:r w:rsidRPr="004542B5">
        <w:rPr>
          <w:i/>
          <w:szCs w:val="16"/>
          <w:lang w:val="en-US"/>
        </w:rPr>
        <w:t>supra</w:t>
      </w:r>
      <w:r w:rsidRPr="004542B5">
        <w:rPr>
          <w:szCs w:val="16"/>
          <w:lang w:val="en-US"/>
        </w:rPr>
        <w:t xml:space="preserve"> paras. 96 and 97) were joindered in a single proceeding (merits file, folios 90 and 91). However, this information does not appear in the evidence file.</w:t>
      </w:r>
    </w:p>
  </w:footnote>
  <w:footnote w:id="189">
    <w:p w14:paraId="4A1382F8" w14:textId="1974356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r>
      <w:r w:rsidRPr="004542B5">
        <w:rPr>
          <w:rFonts w:cs="Arial"/>
          <w:i/>
          <w:szCs w:val="16"/>
          <w:lang w:val="en-US"/>
        </w:rPr>
        <w:t>Cf.</w:t>
      </w:r>
      <w:r w:rsidRPr="004542B5">
        <w:rPr>
          <w:rFonts w:cs="Arial"/>
          <w:szCs w:val="16"/>
          <w:lang w:val="en-US"/>
        </w:rPr>
        <w:t xml:space="preserve"> </w:t>
      </w:r>
      <w:r w:rsidRPr="004542B5">
        <w:rPr>
          <w:szCs w:val="16"/>
          <w:lang w:val="en-US"/>
        </w:rPr>
        <w:t>Complaint No. CHE-029-2007 of January 30, 2007</w:t>
      </w:r>
      <w:r w:rsidRPr="004542B5">
        <w:rPr>
          <w:rFonts w:cs="Arial"/>
          <w:szCs w:val="16"/>
          <w:lang w:val="en-US"/>
        </w:rPr>
        <w:t xml:space="preserve"> (File No. 258) (evidence file, folios 1000 and 1001, and 1003), and </w:t>
      </w:r>
      <w:r w:rsidRPr="004542B5">
        <w:rPr>
          <w:szCs w:val="16"/>
          <w:lang w:val="en-US"/>
        </w:rPr>
        <w:t xml:space="preserve">Complaint notification, Judicial Technical Police - Chepo Agency, January 30, 2007 </w:t>
      </w:r>
      <w:r w:rsidRPr="004542B5">
        <w:rPr>
          <w:rFonts w:cs="Arial"/>
          <w:szCs w:val="16"/>
          <w:lang w:val="en-US"/>
        </w:rPr>
        <w:t>(evidence file, folio 1004).</w:t>
      </w:r>
    </w:p>
  </w:footnote>
  <w:footnote w:id="190">
    <w:p w14:paraId="6994334A" w14:textId="331C0D0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rFonts w:cs="Arial"/>
          <w:szCs w:val="16"/>
          <w:lang w:val="en-US"/>
        </w:rPr>
        <w:t xml:space="preserve">Incident report, National Police – Panama Police Eastern Region, January 30, 2007 (evidence file, folios 1013 and 1014); </w:t>
      </w:r>
      <w:r w:rsidRPr="004542B5">
        <w:rPr>
          <w:szCs w:val="16"/>
          <w:lang w:val="en-US"/>
        </w:rPr>
        <w:t>Report on opening of preliminary investigation, Judicial Technical Police of the Chepo district, January 30, 2007</w:t>
      </w:r>
      <w:r w:rsidRPr="004542B5">
        <w:rPr>
          <w:rFonts w:cs="Arial"/>
          <w:szCs w:val="16"/>
          <w:lang w:val="en-US"/>
        </w:rPr>
        <w:t xml:space="preserve"> (evidence file, folio 999), and Report, </w:t>
      </w:r>
      <w:r w:rsidRPr="004542B5">
        <w:rPr>
          <w:szCs w:val="16"/>
          <w:lang w:val="en-US"/>
        </w:rPr>
        <w:t xml:space="preserve">Judicial Technical Police – Chepo Agency, January 31, 2007 </w:t>
      </w:r>
      <w:r w:rsidRPr="004542B5">
        <w:rPr>
          <w:rFonts w:cs="Arial"/>
          <w:szCs w:val="16"/>
          <w:lang w:val="en-US"/>
        </w:rPr>
        <w:t>(evidence file, folio 1026).</w:t>
      </w:r>
    </w:p>
  </w:footnote>
  <w:footnote w:id="191">
    <w:p w14:paraId="75809DDB" w14:textId="6908FEC8" w:rsidR="00F87526" w:rsidRPr="004542B5" w:rsidRDefault="00F87526" w:rsidP="00BF7853">
      <w:pPr>
        <w:pStyle w:val="FootnoteText"/>
        <w:spacing w:before="0"/>
        <w:rPr>
          <w:rStyle w:val="FootnoteReference"/>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t xml:space="preserve">Expansion of complaint (File No. PTJ. CHE-029-2007), Judicial Technical Police, January 31, 2007 (evidence file, folio 1049); Report on on-site visit and requisitions at the crime scene, Judicial Technical Police – Chepo Agency, January 31, 2007 </w:t>
      </w:r>
      <w:r w:rsidRPr="004542B5">
        <w:rPr>
          <w:rFonts w:cs="Arial"/>
          <w:szCs w:val="16"/>
          <w:lang w:val="en-US"/>
        </w:rPr>
        <w:t xml:space="preserve">(evidence file, folio 1063), and Report on closure of preliminary investigation, </w:t>
      </w:r>
      <w:r w:rsidRPr="004542B5">
        <w:rPr>
          <w:szCs w:val="16"/>
          <w:lang w:val="en-US"/>
        </w:rPr>
        <w:t>Judicial Technical Police – Chepo Agency,</w:t>
      </w:r>
      <w:r w:rsidRPr="004542B5">
        <w:rPr>
          <w:rFonts w:cs="Arial"/>
          <w:szCs w:val="16"/>
          <w:lang w:val="en-US"/>
        </w:rPr>
        <w:t xml:space="preserve"> January 31, 2007 (evidence file, folio 1066). </w:t>
      </w:r>
    </w:p>
  </w:footnote>
  <w:footnote w:id="192">
    <w:p w14:paraId="6234E40D" w14:textId="11901DCF"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File No. 258 </w:t>
      </w:r>
      <w:r w:rsidRPr="004542B5">
        <w:rPr>
          <w:rFonts w:cs="Arial"/>
          <w:szCs w:val="16"/>
          <w:lang w:val="en-US"/>
        </w:rPr>
        <w:t xml:space="preserve">(evidence file, folios 1068, 1074 to 1089 and 1130 to 1232). </w:t>
      </w:r>
    </w:p>
  </w:footnote>
  <w:footnote w:id="193">
    <w:p w14:paraId="221DAC8D" w14:textId="35B59133" w:rsidR="00F87526" w:rsidRPr="004542B5" w:rsidRDefault="00F87526" w:rsidP="00BF7853">
      <w:pPr>
        <w:pStyle w:val="FootnoteText"/>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File No. 258 </w:t>
      </w:r>
      <w:r w:rsidRPr="004542B5">
        <w:rPr>
          <w:rFonts w:cs="Arial"/>
          <w:szCs w:val="16"/>
          <w:lang w:val="en-US"/>
        </w:rPr>
        <w:t>(evidence file, folios 1068, 1074 to 1089 and 1130 to 1232). These procesdures were conducted by the said Prosecutor and by the V Special Prosecutor for environmental offenses.</w:t>
      </w:r>
    </w:p>
  </w:footnote>
  <w:footnote w:id="194">
    <w:p w14:paraId="6771714A" w14:textId="799278A0" w:rsidR="00F87526" w:rsidRPr="004542B5" w:rsidRDefault="00F87526" w:rsidP="00BF7853">
      <w:pPr>
        <w:pStyle w:val="FootnoteText"/>
        <w:tabs>
          <w:tab w:val="left" w:pos="720"/>
        </w:tabs>
        <w:spacing w:before="0"/>
        <w:rPr>
          <w:rFonts w:cs="Arial"/>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Provisional dismissal No. 436-07, </w:t>
      </w:r>
      <w:r w:rsidRPr="004542B5">
        <w:rPr>
          <w:rFonts w:cs="Tahoma"/>
          <w:szCs w:val="16"/>
          <w:lang w:val="en-US"/>
        </w:rPr>
        <w:t xml:space="preserve">X Criminal Circuit Court of the </w:t>
      </w:r>
      <w:r w:rsidRPr="004542B5">
        <w:rPr>
          <w:szCs w:val="16"/>
          <w:lang w:val="en-US"/>
        </w:rPr>
        <w:t>First Judicial Circuit of the province of Panama, December 27, 2007 (</w:t>
      </w:r>
      <w:r w:rsidRPr="004542B5">
        <w:rPr>
          <w:rFonts w:cs="Arial"/>
          <w:szCs w:val="16"/>
          <w:lang w:val="en-US"/>
        </w:rPr>
        <w:t>evidence file, folios 1234 and 1235).</w:t>
      </w:r>
    </w:p>
  </w:footnote>
  <w:footnote w:id="195">
    <w:p w14:paraId="06141C72" w14:textId="12BAAA0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t xml:space="preserve">Complaint AID-FAR-CHE-298-2011, </w:t>
      </w:r>
      <w:r w:rsidRPr="004542B5">
        <w:rPr>
          <w:rFonts w:cs="Tahoma"/>
          <w:szCs w:val="16"/>
          <w:lang w:val="en-US"/>
        </w:rPr>
        <w:t>Assistant Prosecutor of the Chepo Judicial Inquiry Subdirectorate</w:t>
      </w:r>
      <w:r w:rsidRPr="004542B5">
        <w:rPr>
          <w:szCs w:val="16"/>
          <w:lang w:val="en-US"/>
        </w:rPr>
        <w:t>, August 16, 2011 (</w:t>
      </w:r>
      <w:r w:rsidRPr="004542B5">
        <w:rPr>
          <w:rFonts w:cs="Arial"/>
          <w:szCs w:val="16"/>
          <w:lang w:val="en-US"/>
        </w:rPr>
        <w:t>evidence file, folios 1237, 1239 and 1241).</w:t>
      </w:r>
    </w:p>
  </w:footnote>
  <w:footnote w:id="196">
    <w:p w14:paraId="4C93FEDB" w14:textId="52689F7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Evidence file</w:t>
      </w:r>
      <w:r w:rsidRPr="004542B5">
        <w:rPr>
          <w:rFonts w:cs="Arial"/>
          <w:szCs w:val="16"/>
          <w:lang w:val="en-US"/>
        </w:rPr>
        <w:t xml:space="preserve">, folios </w:t>
      </w:r>
      <w:r w:rsidRPr="004542B5">
        <w:rPr>
          <w:szCs w:val="16"/>
          <w:lang w:val="en-US"/>
        </w:rPr>
        <w:t>1244, 1245, 1248, 1259, 1260, 1267, 1272 and 1281</w:t>
      </w:r>
      <w:r w:rsidRPr="004542B5">
        <w:rPr>
          <w:rFonts w:cs="Arial"/>
          <w:szCs w:val="16"/>
          <w:lang w:val="en-US"/>
        </w:rPr>
        <w:t>).</w:t>
      </w:r>
    </w:p>
  </w:footnote>
  <w:footnote w:id="197">
    <w:p w14:paraId="64A4EF4C" w14:textId="0E3EF581" w:rsidR="00F87526" w:rsidRPr="004542B5" w:rsidRDefault="00F87526" w:rsidP="00BF7853">
      <w:pPr>
        <w:pStyle w:val="Footnotes"/>
        <w:spacing w:before="0"/>
        <w:rPr>
          <w:lang w:val="en-US"/>
        </w:rPr>
      </w:pPr>
      <w:r w:rsidRPr="004542B5">
        <w:rPr>
          <w:rStyle w:val="FootnoteReference"/>
          <w:szCs w:val="16"/>
          <w:lang w:val="en-US"/>
        </w:rPr>
        <w:footnoteRef/>
      </w:r>
      <w:r w:rsidRPr="004542B5">
        <w:rPr>
          <w:lang w:val="en-US"/>
        </w:rPr>
        <w:t xml:space="preserve"> </w:t>
      </w:r>
      <w:r w:rsidRPr="004542B5">
        <w:rPr>
          <w:lang w:val="en-US"/>
        </w:rPr>
        <w:tab/>
      </w:r>
      <w:r w:rsidRPr="004542B5">
        <w:rPr>
          <w:i/>
          <w:lang w:val="en-US"/>
        </w:rPr>
        <w:t xml:space="preserve">Cf. Case of the Mayagna (Sumo) Awas Tingni Community v. Nicaragua. Merits, reparations and costs. </w:t>
      </w:r>
      <w:r w:rsidRPr="004542B5">
        <w:rPr>
          <w:lang w:val="en-US"/>
        </w:rPr>
        <w:t xml:space="preserve">Judgment of August 31, 2001. Series C. 79, paras. 148 and 148, and </w:t>
      </w:r>
      <w:r w:rsidRPr="004542B5">
        <w:rPr>
          <w:i/>
          <w:lang w:val="en-US"/>
        </w:rPr>
        <w:t xml:space="preserve">Case of the Kichwa Indigenous People of Sarayaku v. Ecuador. Merits and reparations. </w:t>
      </w:r>
      <w:r w:rsidRPr="004542B5">
        <w:rPr>
          <w:lang w:val="en-US"/>
        </w:rPr>
        <w:t>Judgment of June 17, 2012. Series C. 245, para. 145.</w:t>
      </w:r>
    </w:p>
  </w:footnote>
  <w:footnote w:id="198">
    <w:p w14:paraId="267D2B59" w14:textId="035FC46D" w:rsidR="00F87526" w:rsidRPr="004542B5" w:rsidRDefault="00F87526" w:rsidP="00BF7853">
      <w:pPr>
        <w:pStyle w:val="Footnotes"/>
        <w:spacing w:before="0"/>
        <w:rPr>
          <w:lang w:val="en-US"/>
        </w:rPr>
      </w:pPr>
      <w:r w:rsidRPr="004542B5">
        <w:rPr>
          <w:rStyle w:val="FootnoteReference"/>
          <w:rFonts w:eastAsia="Batang"/>
          <w:szCs w:val="16"/>
          <w:lang w:val="en-US"/>
        </w:rPr>
        <w:footnoteRef/>
      </w:r>
      <w:r w:rsidRPr="004542B5">
        <w:rPr>
          <w:lang w:val="en-US"/>
        </w:rPr>
        <w:t xml:space="preserve"> </w:t>
      </w:r>
      <w:r w:rsidRPr="004542B5">
        <w:rPr>
          <w:lang w:val="en-US"/>
        </w:rPr>
        <w:tab/>
      </w:r>
      <w:r w:rsidRPr="004542B5">
        <w:rPr>
          <w:i/>
          <w:lang w:val="en-US"/>
        </w:rPr>
        <w:t>Cf.</w:t>
      </w:r>
      <w:r w:rsidRPr="004542B5">
        <w:rPr>
          <w:lang w:val="en-US"/>
        </w:rPr>
        <w:t xml:space="preserve"> </w:t>
      </w:r>
      <w:r w:rsidRPr="004542B5">
        <w:rPr>
          <w:i/>
          <w:lang w:val="en-US"/>
        </w:rPr>
        <w:t>Case of the Sawhoyamaxa Indigenous Community v. Paraguay</w:t>
      </w:r>
      <w:r w:rsidRPr="004542B5">
        <w:rPr>
          <w:lang w:val="en-US"/>
        </w:rPr>
        <w:t xml:space="preserve">. </w:t>
      </w:r>
      <w:r w:rsidRPr="004542B5">
        <w:rPr>
          <w:i/>
          <w:lang w:val="en-US"/>
        </w:rPr>
        <w:t>Merits, reparations and costs.</w:t>
      </w:r>
      <w:r w:rsidRPr="004542B5">
        <w:rPr>
          <w:lang w:val="en-US"/>
        </w:rPr>
        <w:t xml:space="preserve"> Judgment of March 29, 2006. Series C. 146, para. 120, and </w:t>
      </w:r>
      <w:r w:rsidRPr="004542B5">
        <w:rPr>
          <w:i/>
          <w:lang w:val="en-US"/>
        </w:rPr>
        <w:t xml:space="preserve">Case of the Kichwa Indigenous People of Sarayaku v. Ecuador. Merits and reparations. </w:t>
      </w:r>
      <w:r w:rsidRPr="004542B5">
        <w:rPr>
          <w:lang w:val="en-US"/>
        </w:rPr>
        <w:t>Judgment of June 17, 2012. Series C. 245, para. 145.</w:t>
      </w:r>
    </w:p>
  </w:footnote>
  <w:footnote w:id="199">
    <w:p w14:paraId="2AF4CF06" w14:textId="41802E8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Case of the Yakye Axa Indigenous Community v. Paraguay. Merits, reparations and costs. </w:t>
      </w:r>
      <w:r w:rsidRPr="004542B5">
        <w:rPr>
          <w:szCs w:val="16"/>
          <w:lang w:val="en-US"/>
        </w:rPr>
        <w:t xml:space="preserve">Judgment of June 17, 2005. Series C. 125, paras. 124, 135 and 137, and </w:t>
      </w:r>
      <w:r w:rsidRPr="004542B5">
        <w:rPr>
          <w:i/>
          <w:szCs w:val="16"/>
          <w:lang w:val="en-US"/>
        </w:rPr>
        <w:t xml:space="preserve">Case of the Kichwa Indigenous People of Sarayaku v. Ecuador, </w:t>
      </w:r>
      <w:r w:rsidRPr="004542B5">
        <w:rPr>
          <w:szCs w:val="16"/>
          <w:lang w:val="en-US"/>
        </w:rPr>
        <w:t>para. 146</w:t>
      </w:r>
      <w:r w:rsidRPr="004542B5">
        <w:rPr>
          <w:i/>
          <w:szCs w:val="16"/>
          <w:lang w:val="en-US"/>
        </w:rPr>
        <w:t>.</w:t>
      </w:r>
    </w:p>
  </w:footnote>
  <w:footnote w:id="200">
    <w:p w14:paraId="0CB6DCEB" w14:textId="03F5468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ab/>
      </w:r>
      <w:r w:rsidRPr="004542B5">
        <w:rPr>
          <w:i/>
          <w:szCs w:val="16"/>
          <w:lang w:val="en-US"/>
        </w:rPr>
        <w:t>Cf.</w:t>
      </w:r>
      <w:r w:rsidRPr="004542B5">
        <w:rPr>
          <w:szCs w:val="16"/>
          <w:lang w:val="en-US"/>
        </w:rPr>
        <w:t xml:space="preserve"> </w:t>
      </w:r>
      <w:r w:rsidRPr="004542B5">
        <w:rPr>
          <w:i/>
          <w:szCs w:val="16"/>
          <w:lang w:val="en-US"/>
        </w:rPr>
        <w:t>Case of the Mayagna (Sumo) Awas Tingni Community</w:t>
      </w:r>
      <w:r w:rsidRPr="004542B5">
        <w:rPr>
          <w:szCs w:val="16"/>
          <w:lang w:val="en-US"/>
        </w:rPr>
        <w:t xml:space="preserve">, para. 148, and </w:t>
      </w:r>
      <w:r w:rsidRPr="004542B5">
        <w:rPr>
          <w:i/>
          <w:szCs w:val="16"/>
          <w:lang w:val="en-US"/>
        </w:rPr>
        <w:t>Case of the Kichwa Indigenous People of Sarayaku v. Ecuador</w:t>
      </w:r>
      <w:r w:rsidRPr="004542B5">
        <w:rPr>
          <w:szCs w:val="16"/>
          <w:lang w:val="en-US"/>
        </w:rPr>
        <w:t>, para. 161.</w:t>
      </w:r>
    </w:p>
  </w:footnote>
  <w:footnote w:id="201">
    <w:p w14:paraId="5E45DEA3" w14:textId="0F0DEEC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 Executive Decree No. 123 of May 8, 1969, “declaring some lands non-adjudicable and suspending the processing of some adjudication requests,” Official Gazette No. 16,367, May 23, 1969 (evidence file, folio 376 to 377), </w:t>
      </w:r>
      <w:r w:rsidRPr="004542B5">
        <w:rPr>
          <w:i/>
          <w:iCs/>
          <w:szCs w:val="16"/>
          <w:lang w:val="en-US"/>
        </w:rPr>
        <w:t>considerandum</w:t>
      </w:r>
      <w:r w:rsidRPr="004542B5">
        <w:rPr>
          <w:szCs w:val="16"/>
          <w:lang w:val="en-US"/>
        </w:rPr>
        <w:t>.</w:t>
      </w:r>
    </w:p>
  </w:footnote>
  <w:footnote w:id="202">
    <w:p w14:paraId="397B070E" w14:textId="3081042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Executive Decree No. 156 of July 8, 1971 “establishing a Special Compensation Fund to Assist </w:t>
      </w:r>
      <w:r w:rsidRPr="004542B5">
        <w:rPr>
          <w:rFonts w:cs="Tahoma"/>
          <w:lang w:val="en-US"/>
        </w:rPr>
        <w:t>the Indigenous Peoples of the Bayano</w:t>
      </w:r>
      <w:r w:rsidRPr="004542B5">
        <w:rPr>
          <w:szCs w:val="16"/>
          <w:lang w:val="en-US"/>
        </w:rPr>
        <w:t xml:space="preserve">,” Official Gazette No. 16,801, July 26, 1971 (evidence file, folio 379), </w:t>
      </w:r>
      <w:r w:rsidRPr="004542B5">
        <w:rPr>
          <w:i/>
          <w:iCs/>
          <w:szCs w:val="16"/>
          <w:lang w:val="en-US"/>
        </w:rPr>
        <w:t>considerandum</w:t>
      </w:r>
      <w:r w:rsidRPr="004542B5">
        <w:rPr>
          <w:szCs w:val="16"/>
          <w:lang w:val="en-US"/>
        </w:rPr>
        <w:t xml:space="preserve">. </w:t>
      </w:r>
    </w:p>
  </w:footnote>
  <w:footnote w:id="203">
    <w:p w14:paraId="3FCA76E2" w14:textId="43DDB8FA" w:rsidR="00F87526" w:rsidRPr="004542B5" w:rsidRDefault="00F87526" w:rsidP="00BF7853">
      <w:pPr>
        <w:spacing w:after="120"/>
        <w:rPr>
          <w:rStyle w:val="apple-style-span"/>
          <w:color w:val="000000"/>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rStyle w:val="apple-style-span"/>
          <w:i/>
          <w:color w:val="000000"/>
          <w:sz w:val="16"/>
          <w:szCs w:val="16"/>
          <w:lang w:val="en-US"/>
        </w:rPr>
        <w:t xml:space="preserve">Cf. </w:t>
      </w:r>
      <w:r w:rsidRPr="004542B5">
        <w:rPr>
          <w:rStyle w:val="apple-style-span"/>
          <w:i/>
          <w:iCs/>
          <w:color w:val="000000"/>
          <w:sz w:val="16"/>
          <w:szCs w:val="16"/>
          <w:lang w:val="en-US"/>
        </w:rPr>
        <w:t>Case of the Moiwana Community v. Suriname. Preliminary objections, merits, reparations and costs.</w:t>
      </w:r>
      <w:r w:rsidRPr="004542B5">
        <w:rPr>
          <w:rStyle w:val="apple-style-span"/>
          <w:color w:val="000000"/>
          <w:sz w:val="16"/>
          <w:szCs w:val="16"/>
          <w:lang w:val="en-US"/>
        </w:rPr>
        <w:t xml:space="preserve"> </w:t>
      </w:r>
      <w:r w:rsidRPr="004542B5">
        <w:rPr>
          <w:rStyle w:val="apple-style-span"/>
          <w:iCs/>
          <w:color w:val="000000"/>
          <w:sz w:val="16"/>
          <w:szCs w:val="16"/>
          <w:lang w:val="en-US"/>
        </w:rPr>
        <w:t>Judgment of June 15, 2005. Series C. 124, para.</w:t>
      </w:r>
      <w:r w:rsidRPr="004542B5">
        <w:rPr>
          <w:rStyle w:val="apple-style-span"/>
          <w:i/>
          <w:color w:val="000000"/>
          <w:sz w:val="16"/>
          <w:szCs w:val="16"/>
          <w:lang w:val="en-US"/>
        </w:rPr>
        <w:t xml:space="preserve"> 209; Case of the Mayagna (Sumo) Awas Tingni Community v. Nicaragua</w:t>
      </w:r>
      <w:r w:rsidRPr="004542B5">
        <w:rPr>
          <w:rStyle w:val="apple-style-span"/>
          <w:color w:val="000000"/>
          <w:sz w:val="16"/>
          <w:szCs w:val="16"/>
          <w:lang w:val="en-US"/>
        </w:rPr>
        <w:t xml:space="preserve">, para. 151 and 153, and </w:t>
      </w:r>
      <w:r w:rsidRPr="004542B5">
        <w:rPr>
          <w:rStyle w:val="apple-style-span"/>
          <w:i/>
          <w:color w:val="000000"/>
          <w:sz w:val="16"/>
          <w:szCs w:val="16"/>
          <w:lang w:val="en-US"/>
        </w:rPr>
        <w:t>Case of the Xákmok Kásek Indigenous Community v. Paraguay. Merits, reparations and costs.</w:t>
      </w:r>
      <w:r w:rsidRPr="004542B5">
        <w:rPr>
          <w:rStyle w:val="apple-style-span"/>
          <w:color w:val="000000"/>
          <w:sz w:val="16"/>
          <w:szCs w:val="16"/>
          <w:lang w:val="en-US"/>
        </w:rPr>
        <w:t xml:space="preserve"> Judgment of August 14, 2010. Series C. 214, para. 109. </w:t>
      </w:r>
    </w:p>
  </w:footnote>
  <w:footnote w:id="204">
    <w:p w14:paraId="553F8AED" w14:textId="233B68C3" w:rsidR="00F87526" w:rsidRPr="004542B5" w:rsidRDefault="00F87526" w:rsidP="00BF7853">
      <w:pPr>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 xml:space="preserve">Brazil: Law 6001 of 1973; Costa Rica: Indigenous Peoples Law of 1977, and Peru: Law on Native Communities and Agrarian Development of Forests and Forest Edges, </w:t>
      </w:r>
      <w:hyperlink r:id="rId3" w:history="1">
        <w:r w:rsidRPr="004542B5">
          <w:rPr>
            <w:sz w:val="16"/>
            <w:szCs w:val="16"/>
            <w:lang w:val="en-US"/>
          </w:rPr>
          <w:t>Decree Law 22175 of 1978</w:t>
        </w:r>
      </w:hyperlink>
      <w:r w:rsidRPr="004542B5">
        <w:rPr>
          <w:sz w:val="16"/>
          <w:szCs w:val="16"/>
          <w:lang w:val="en-US"/>
        </w:rPr>
        <w:t>, regulated in 1979.</w:t>
      </w:r>
    </w:p>
  </w:footnote>
  <w:footnote w:id="205">
    <w:p w14:paraId="01C1833D" w14:textId="09F995E2" w:rsidR="00F87526" w:rsidRPr="004542B5" w:rsidRDefault="00F87526" w:rsidP="00BF7853">
      <w:pPr>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 xml:space="preserve">Argentina: Law 23302 (1985) on Indigenous Policy and support for the Aboriginal Communities, known as the Comprehensive Aboriginal Law of the province of Formosa, and Decree 574 of 1985; Law 2378 of 1984 on the survey and demarcation of lands in the province of Chubut; the 1986 Law on aboriginal promotion and development of the province of Salta, and Law 2727 (1987) of the province of Misiones. Brazil: Decree No. 92470 of 1986. Paraguay: </w:t>
      </w:r>
      <w:hyperlink r:id="rId4" w:history="1">
        <w:r w:rsidRPr="004542B5">
          <w:rPr>
            <w:sz w:val="16"/>
            <w:szCs w:val="16"/>
            <w:lang w:val="en-US"/>
          </w:rPr>
          <w:t>Law No. 1372 of 1988</w:t>
        </w:r>
      </w:hyperlink>
      <w:r w:rsidRPr="004542B5">
        <w:rPr>
          <w:sz w:val="16"/>
          <w:szCs w:val="16"/>
          <w:lang w:val="en-US"/>
        </w:rPr>
        <w:t xml:space="preserve"> amended by </w:t>
      </w:r>
      <w:hyperlink r:id="rId5" w:history="1">
        <w:r w:rsidRPr="004542B5">
          <w:rPr>
            <w:sz w:val="16"/>
            <w:szCs w:val="16"/>
            <w:lang w:val="en-US"/>
          </w:rPr>
          <w:t>Law No. 43 of 1989</w:t>
        </w:r>
      </w:hyperlink>
      <w:r w:rsidRPr="004542B5">
        <w:rPr>
          <w:sz w:val="16"/>
          <w:szCs w:val="16"/>
          <w:lang w:val="en-US"/>
        </w:rPr>
        <w:t>.</w:t>
      </w:r>
    </w:p>
  </w:footnote>
  <w:footnote w:id="206">
    <w:p w14:paraId="77D4662A" w14:textId="2FC5FD8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Bolivia: Supreme Decree 22609 (1990), recognizing the villages of Iviato, Cantón San Javier, province of Cercado in the department of Beni, as indigenous territory of the Sirionó people; Supreme Decree 22611 of September 24, 1990, declaring the region of Chimanes to be an Indigenous Area and establishging the socio-economic area for the survival and development of the Chimanes, Mojeños, Yuracarés and Movimas indigenous communities and settlements that live there; Supreme Decree 23110 (1992) recognizing as Pilon-Lajas Indigenous Territory, in favor of the original communities of the Mosetenes and Chimanes peoples, their settlement area located between the departments of La Paz and Beni, in the provinces of Sud Yungas, Larecaja, Franz Tamayo and Ballivian and creating the Pilon-Lajas Biosphere Reserve; Supreme Decree 23112 (1992), recognizing as Chiquitano No. 1 Indigenous Territory the series of lands situated in the cantons of Santa Rosa del Palmar, San Pedro and Concepción in the province of Ñuflo de Chávez, department of Santa Cruz; Supreme Decree  23500 (1993), recognizing in favor of the Weenhayek (Mataco) indigenous people the legal ownership of the lands they traditionally inhabit. Brazil: Decree No. 1,775 (1996), on the administrative procedure for the demarcation of indigenous lands and other provisions. Colombia: Colombian Constitution of 1991, article 329; Law 160 of 1994, “creating the National Agrarian Reform and Rural Development System; establishing a subsidy for land acquisition; amending the Colombian Agrarian Reform Institute, and establishing other provisions”; Decree 2164 (1995), “partially regulating Chapter XIV of Law 160 (1994) with regard to the award and titling of lands to the indigenous communities for the constitution, restructuring, expansion and rehabilitation of the Indigenous Reserves in national territory.” Venezuela: 1999 Constitution of the Bolivarian Republic of Venezuela, article 119.</w:t>
      </w:r>
    </w:p>
  </w:footnote>
  <w:footnote w:id="207">
    <w:p w14:paraId="2A606381" w14:textId="10004DB4" w:rsidR="00F87526" w:rsidRPr="004542B5" w:rsidRDefault="00F87526" w:rsidP="00BF7853">
      <w:pPr>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 xml:space="preserve">Argentina: Law 25,510 (2001), “authorizing the national Executive to transfer, free of charge, to the Mapuche Cayún Group lands located in the jurisdiction of the Lanín National Reserve”; Law 26,160 (2006), “declaring an emergency concerning possession and ownership of lands traditionally occupied by the indigenous communities, the original inhabitants of the country, whose legal personality has been registered in the National Register of Indigenous Communities or the competent provincial agency or a pre-existing one,” and National Program for the Territorial Survey of Indigenous Communities. Bolivia: New Constitution of 2008, articles 30.II.6 and 31.II; Law 339 of 2013, “law on the delimitation of territorial units”; Supreme Decree 1560 of 2013, “regulation of Law 339 on delimitation of territorial units.” Ecuador: 2008 Constitution, articles 57(5) and 60; Foresty Law for the conservation of natural areas and wildlife, 2004. Honduras: Decree No. 82-2004, “Property Law” (2004). Venezuela: </w:t>
      </w:r>
      <w:hyperlink r:id="rId6" w:history="1">
        <w:r w:rsidRPr="004542B5">
          <w:rPr>
            <w:sz w:val="16"/>
            <w:szCs w:val="16"/>
            <w:lang w:val="en-US"/>
          </w:rPr>
          <w:t>Law on Demarcation and Guarantee of the Habitat and Lands of Indigenous Peoples, </w:t>
        </w:r>
      </w:hyperlink>
      <w:r w:rsidRPr="004542B5">
        <w:rPr>
          <w:sz w:val="16"/>
          <w:szCs w:val="16"/>
          <w:lang w:val="en-US"/>
        </w:rPr>
        <w:t>2001; Organic Law on Indigenous Peoples and Communities, 2005.</w:t>
      </w:r>
    </w:p>
  </w:footnote>
  <w:footnote w:id="208">
    <w:p w14:paraId="4ED61B36" w14:textId="3F358DB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A/Res/61/295, September 13, 2007, UN General Assembly Resolution. Paragraphs 2 and 3 of Article 26 of the Declaration establish: “2. </w:t>
      </w:r>
      <w:r w:rsidRPr="004542B5">
        <w:rPr>
          <w:rFonts w:cs="Arial"/>
          <w:szCs w:val="16"/>
          <w:lang w:val="en-US"/>
        </w:rPr>
        <w:t>Indigenous peoples have the right to own, use, develop and control the lands, territories and resources that they possess by reason of traditional ownership or other traditional occupation or use, as well as those which they have otherwise acquired. 3. States shall give legal recognition and protection to these lands, territories and resources. Such recognition shall be conducted with due respect to the customs, traditions and land tenure systems of the indigenous peoples concerned</w:t>
      </w:r>
      <w:r w:rsidRPr="004542B5">
        <w:rPr>
          <w:szCs w:val="16"/>
          <w:lang w:val="en-US"/>
        </w:rPr>
        <w:t>.”</w:t>
      </w:r>
    </w:p>
  </w:footnote>
  <w:footnote w:id="209">
    <w:p w14:paraId="06DECE2C" w14:textId="2F30048A" w:rsidR="00F87526" w:rsidRPr="004542B5" w:rsidRDefault="00F87526" w:rsidP="00BF7853">
      <w:pPr>
        <w:spacing w:after="120"/>
        <w:rPr>
          <w:color w:val="000000"/>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rStyle w:val="apple-style-span"/>
          <w:i/>
          <w:color w:val="000000"/>
          <w:sz w:val="16"/>
          <w:szCs w:val="16"/>
          <w:lang w:val="en-US"/>
        </w:rPr>
        <w:t>Cf. Case of the Mayagna (Sumo) Awas Tingni Community v. Nicaragua</w:t>
      </w:r>
      <w:r w:rsidRPr="004542B5">
        <w:rPr>
          <w:rStyle w:val="apple-style-span"/>
          <w:color w:val="000000"/>
          <w:sz w:val="16"/>
          <w:szCs w:val="16"/>
          <w:lang w:val="en-US"/>
        </w:rPr>
        <w:t xml:space="preserve">, para. 153 and 164, and </w:t>
      </w:r>
      <w:r w:rsidRPr="004542B5">
        <w:rPr>
          <w:rStyle w:val="apple-style-span"/>
          <w:i/>
          <w:color w:val="000000"/>
          <w:sz w:val="16"/>
          <w:szCs w:val="16"/>
          <w:lang w:val="en-US"/>
        </w:rPr>
        <w:t>Case of the Xákmok Kásek Indigenous Community v. Paraguay</w:t>
      </w:r>
      <w:r w:rsidRPr="004542B5">
        <w:rPr>
          <w:rStyle w:val="apple-style-span"/>
          <w:color w:val="000000"/>
          <w:sz w:val="16"/>
          <w:szCs w:val="16"/>
          <w:lang w:val="en-US"/>
        </w:rPr>
        <w:t>, para. 109.</w:t>
      </w:r>
    </w:p>
  </w:footnote>
  <w:footnote w:id="210">
    <w:p w14:paraId="2C982283" w14:textId="1139C47A" w:rsidR="00F87526" w:rsidRPr="004542B5" w:rsidRDefault="00F87526" w:rsidP="00BF7853">
      <w:pPr>
        <w:spacing w:after="120"/>
        <w:rPr>
          <w:color w:val="1F497D"/>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In the case of the communities of Maje Cordillera and Unión, among the evidence is an ANATI certification of March 12, 2012, referring to “the collective titling procedure in the area of Alto Bayano: Piriatí Emberá, Ipetí Emberá, Majé Emberá Drúa (Maje Cordillera and Unión Emberá), is being reviewed to continue the procedure for collective adjudication” (evidence file, folio 612).</w:t>
      </w:r>
      <w:r w:rsidRPr="004542B5">
        <w:rPr>
          <w:color w:val="1F497D"/>
          <w:sz w:val="16"/>
          <w:szCs w:val="16"/>
          <w:lang w:val="en-US"/>
        </w:rPr>
        <w:t xml:space="preserve"> </w:t>
      </w:r>
    </w:p>
  </w:footnote>
  <w:footnote w:id="211">
    <w:p w14:paraId="6370BBBA" w14:textId="251F3ED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cs="Arial"/>
          <w:szCs w:val="16"/>
          <w:lang w:val="en-US"/>
        </w:rPr>
        <w:t>Report on the Communities of the Kuna Indigenous People of Madungandí and the Emberá Indigenous People of Bayano in Panama – Current status of the request for delimitation, demarcation and titling of the Ipetí and Piriatí collective lands</w:t>
      </w:r>
      <w:r w:rsidRPr="004542B5">
        <w:rPr>
          <w:szCs w:val="16"/>
          <w:lang w:val="en-US"/>
        </w:rPr>
        <w:t>, National Land Administration Authority (ANATI), April 15, 2014 (evidence file, folio 8489).</w:t>
      </w:r>
    </w:p>
  </w:footnote>
  <w:footnote w:id="212">
    <w:p w14:paraId="76DEBAFD" w14:textId="10960FC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Law No. 72 of December 23, 2008, “establishing the specific procedure for the adjudication of collective ownership of lands of the indigenous peoples who are outside the Comarcas,” Official Gazette No. 26,193, December 30, 2008 (evidence file, folios 7475 to 7479, articles 7 and 8). </w:t>
      </w:r>
    </w:p>
  </w:footnote>
  <w:footnote w:id="213">
    <w:p w14:paraId="59B875BE" w14:textId="6233D27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Piriatí Emberá Report, October 2013 (ANATI) (evidence file, folio 8583).</w:t>
      </w:r>
    </w:p>
  </w:footnote>
  <w:footnote w:id="214">
    <w:p w14:paraId="1489E15A" w14:textId="612BBA20" w:rsidR="00F87526" w:rsidRPr="004542B5" w:rsidRDefault="00F87526" w:rsidP="00BF7853">
      <w:pPr>
        <w:autoSpaceDE w:val="0"/>
        <w:autoSpaceDN w:val="0"/>
        <w:adjustRightInd w:val="0"/>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The State observed that this agreement of November 27, 2013, reveals “a promise to annul the granting of a property title, a procedure that is only possible by filing a judicial action to annul a previously executed administrative act” and that the indigenous representatives “have available all possible remedies to request the courts to annul, review, nullify or whatever is legally admissible [with regard to] the titling of the lot of land to [C.C.M].”</w:t>
      </w:r>
    </w:p>
  </w:footnote>
  <w:footnote w:id="215">
    <w:p w14:paraId="0896FFAF" w14:textId="5EB23D3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Case of the Moiwana Community v. Suriname. Preliminary objections, merits, reparations and costs. </w:t>
      </w:r>
      <w:r w:rsidRPr="004542B5">
        <w:rPr>
          <w:szCs w:val="16"/>
          <w:lang w:val="en-US"/>
        </w:rPr>
        <w:t xml:space="preserve">Judgment of June 15, 2005. Series C. 124, para. 209, and </w:t>
      </w:r>
      <w:r w:rsidRPr="004542B5">
        <w:rPr>
          <w:i/>
          <w:szCs w:val="16"/>
          <w:lang w:val="en-US"/>
        </w:rPr>
        <w:t xml:space="preserve">Case of the Saramaka People v. Suriname. Preliminary objections, merits, reparations and costs. </w:t>
      </w:r>
      <w:r w:rsidRPr="004542B5">
        <w:rPr>
          <w:szCs w:val="16"/>
          <w:lang w:val="en-US"/>
        </w:rPr>
        <w:t>Judgment of November 28, 2007. Series C. 172, para. 116.</w:t>
      </w:r>
    </w:p>
  </w:footnote>
  <w:footnote w:id="216">
    <w:p w14:paraId="23DB82B7" w14:textId="3D892C9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Case of the Yakye Axa Indigenous Community v. Paraguay, </w:t>
      </w:r>
      <w:r w:rsidRPr="004542B5">
        <w:rPr>
          <w:szCs w:val="16"/>
          <w:lang w:val="en-US"/>
        </w:rPr>
        <w:t xml:space="preserve">para. 143, and </w:t>
      </w:r>
      <w:r w:rsidRPr="004542B5">
        <w:rPr>
          <w:i/>
          <w:szCs w:val="16"/>
          <w:lang w:val="en-US"/>
        </w:rPr>
        <w:t>Case of the Saramaka People v. Suriname,</w:t>
      </w:r>
      <w:r w:rsidRPr="004542B5">
        <w:rPr>
          <w:szCs w:val="16"/>
          <w:lang w:val="en-US"/>
        </w:rPr>
        <w:t xml:space="preserve"> para. 116.</w:t>
      </w:r>
    </w:p>
  </w:footnote>
  <w:footnote w:id="217">
    <w:p w14:paraId="37326B6A" w14:textId="459C56F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i/>
          <w:szCs w:val="16"/>
          <w:lang w:val="en-US"/>
        </w:rPr>
        <w:t xml:space="preserve">Case of the Mayagna (Sumo) Awas Tingni Community v. Nicaragua, </w:t>
      </w:r>
      <w:r w:rsidRPr="004542B5">
        <w:rPr>
          <w:szCs w:val="16"/>
          <w:lang w:val="en-US"/>
        </w:rPr>
        <w:t xml:space="preserve">para. 153, and </w:t>
      </w:r>
      <w:r w:rsidRPr="004542B5">
        <w:rPr>
          <w:i/>
          <w:szCs w:val="16"/>
          <w:lang w:val="en-US"/>
        </w:rPr>
        <w:t xml:space="preserve">Case of the Saramaka People v. Suriname, </w:t>
      </w:r>
      <w:r w:rsidRPr="004542B5">
        <w:rPr>
          <w:szCs w:val="16"/>
          <w:lang w:val="en-US"/>
        </w:rPr>
        <w:t>para. 116.</w:t>
      </w:r>
    </w:p>
  </w:footnote>
  <w:footnote w:id="218">
    <w:p w14:paraId="244F9F8B" w14:textId="45E4BD0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Action on unconstitutionality filed by the Cacique of the Kuna General Congress before the Supreme Court of Justice of the Republic of Panama, January 9, 2009 (evidence file, folios 7286 to 7287). The representatives alleged that this action has still not been decided, and the State did not contest this.</w:t>
      </w:r>
    </w:p>
  </w:footnote>
  <w:footnote w:id="219">
    <w:p w14:paraId="1DA86FC4" w14:textId="7E785BE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Article 5 of Executive Decree No. 123 established: “[t]he rights of the owners of lands duly registred in the Public Registry and that are within the areas that are declared non-adjudicable shall be recognized, with the limitations established by law” (evidence file, folio 377).</w:t>
      </w:r>
    </w:p>
  </w:footnote>
  <w:footnote w:id="220">
    <w:p w14:paraId="61D464A1" w14:textId="4FC189B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State reports estatales of June 26, and September 26, 2011, January 30 and May 14, 2012 (evidence file, folios 7656, 7664, 7674 and 7691). </w:t>
      </w:r>
    </w:p>
  </w:footnote>
  <w:footnote w:id="221">
    <w:p w14:paraId="2C2557B2" w14:textId="1A97F58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Certificate issued by the General Administrator of the National Land Administration Authority (ANATI), March 12, 2012 (evidence file, folio 612).</w:t>
      </w:r>
    </w:p>
  </w:footnote>
  <w:footnote w:id="222">
    <w:p w14:paraId="2FA20E06" w14:textId="223E836D" w:rsidR="00F87526" w:rsidRPr="004542B5" w:rsidRDefault="00F87526" w:rsidP="00BF7853">
      <w:pPr>
        <w:autoSpaceDE w:val="0"/>
        <w:autoSpaceDN w:val="0"/>
        <w:adjustRightInd w:val="0"/>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Argentina: 1994 Constitution of the Argentine Nation, article 75.17; 1994 Constitution of the province of Chaco, article 37; 1994 Constitution of the province of Chubut, article 34; 1986 Constitution of the province of Salta, article 15.I; Law No. 4086 of 1966, province of Salta; 1957 Constitution of the province of Formosa, article 79; Law 2727 of 1989, province of Misiones. Bolivia: 2008 Constitution, article 394.III; Law No. 1715 of 1996, “Law on the National Agrarian Reform Service.” Brazil: 1988 Constitution of the Federative Republic of Brazil, article 231.4. Chile: Law 19,253 of 1993 “[e]stablishing rules for the protection, promotion and development of the indigenous peoples and creating the National Indigenous Peoples Development Corporation” (amended March 25, 2014). Colombia: 1991 Constitution of Colombia, articles 63 and 329; Decree 2164 of 1995. Costa Rica: Law 6172 of 1977, “Indigenous Peoples Law.” Ecuador: 2008 Constitution, article 57.4. Honduras: Decree No. 82-2004, “Property Law” of 2004. Paraguay: 1992 Constitution of Paraguay, article 64. Peru: Legislative Decree No. 295 of 1984, “Civil Code”; Decree Law No. 22175 of 1978, “Law on Native Communities and on Agrarian Development of Forests and Forest Edges.” Venezuela: 1999 Constitution of the Republic Bolivariana of Venezuela, article 119; Organic law of indigenous peoples and communities, 2005.</w:t>
      </w:r>
    </w:p>
  </w:footnote>
  <w:footnote w:id="223">
    <w:p w14:paraId="7700C528" w14:textId="295E4DE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Case of the Yakye Axa Indigenous Community v. Paraguay, </w:t>
      </w:r>
      <w:r w:rsidRPr="004542B5">
        <w:rPr>
          <w:szCs w:val="16"/>
          <w:lang w:val="en-US"/>
        </w:rPr>
        <w:t xml:space="preserve">para. 146, and </w:t>
      </w:r>
      <w:r w:rsidRPr="004542B5">
        <w:rPr>
          <w:i/>
          <w:szCs w:val="16"/>
          <w:lang w:val="en-US"/>
        </w:rPr>
        <w:t>Case of the Kichwa Indigenous People of Sarayaku v. Ecuador</w:t>
      </w:r>
      <w:r w:rsidRPr="004542B5">
        <w:rPr>
          <w:szCs w:val="16"/>
          <w:lang w:val="en-US"/>
        </w:rPr>
        <w:t>, para. 146.</w:t>
      </w:r>
    </w:p>
  </w:footnote>
  <w:footnote w:id="224">
    <w:p w14:paraId="73988C95" w14:textId="6D0963C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i/>
          <w:szCs w:val="16"/>
          <w:lang w:val="en-US"/>
        </w:rPr>
        <w:t>Case of the Sawhoyamaxa Indigenous Community v. Paraguay</w:t>
      </w:r>
      <w:r w:rsidRPr="004542B5">
        <w:rPr>
          <w:szCs w:val="16"/>
          <w:lang w:val="en-US"/>
        </w:rPr>
        <w:t xml:space="preserve">, para. 136. See also: </w:t>
      </w:r>
      <w:r w:rsidRPr="004542B5">
        <w:rPr>
          <w:i/>
          <w:szCs w:val="16"/>
          <w:lang w:val="en-US"/>
        </w:rPr>
        <w:t xml:space="preserve">Case of the Yakye Axa Indigenous Community v. Paraguay, </w:t>
      </w:r>
      <w:r w:rsidRPr="004542B5">
        <w:rPr>
          <w:szCs w:val="16"/>
          <w:lang w:val="en-US"/>
        </w:rPr>
        <w:t>para. 146.</w:t>
      </w:r>
    </w:p>
  </w:footnote>
  <w:footnote w:id="225">
    <w:p w14:paraId="3E56367A" w14:textId="0513404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eastAsia="Calibri"/>
          <w:szCs w:val="16"/>
          <w:lang w:val="en-US"/>
        </w:rPr>
        <w:t xml:space="preserve">The representatives indicated that the said article had been the object of an action on unconstitutionality since 2009 based on discrimination compared with other forms of recognition of property, and the Supreme Court of Justice of Panama had failed to rule on the case to date. </w:t>
      </w:r>
    </w:p>
  </w:footnote>
  <w:footnote w:id="226">
    <w:p w14:paraId="0C74B406" w14:textId="2B2A5D5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Law 10 of March 7, 1997: “[t]he boundaries of this Comarca […] shall be defined, on-site, by the Agrarian Reform Directorate of the Ministry of Agricultural Development and the National Boundaries Commission, with the collaboration of the National Indigenous Policy Directorate of the Ministry of the Interior and Justice [… and other entities]. The physical definition of the boundaries of the Comarca and of the territories and communities shall be executed in no more than thirty months from the entry into force of this law and pursuant to a land ownership census conducted by the Agrarian Reform Directorate of the Ministry of Agricultural Development […]. </w:t>
      </w:r>
    </w:p>
  </w:footnote>
  <w:footnote w:id="227">
    <w:p w14:paraId="742B0B84" w14:textId="64B82930"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Law establishing the political and administrative division of the provinces of Cocle, Herrera, los Santos and Veraguas, and creating new </w:t>
      </w:r>
      <w:r w:rsidRPr="004542B5">
        <w:rPr>
          <w:i/>
          <w:iCs/>
          <w:szCs w:val="16"/>
          <w:lang w:val="en-US"/>
        </w:rPr>
        <w:t>corregimientos</w:t>
      </w:r>
      <w:r w:rsidRPr="004542B5">
        <w:rPr>
          <w:szCs w:val="16"/>
          <w:lang w:val="en-US"/>
        </w:rPr>
        <w:t>. Law cited in the evidence provided by the Commission (evidence file, folio 31).</w:t>
      </w:r>
    </w:p>
  </w:footnote>
  <w:footnote w:id="228">
    <w:p w14:paraId="3265AFC7" w14:textId="30FE4DF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Accoriding to the Final report of the National Poltical-Administrative Boundaries Commission on the physical demarcation of the Kuna Comarca of Madungandí in 2000: “The work of surveying and erecting boundary markers was executed in six field trips of 12 days each.” According to the evidence, the following procedures were carried out: (a) conversations were held with the Kuna people on the logistics to be employed by the National Boundaries Commission; (b) reference points that had already been “implanted,” but possibly destroyed by the settlers, were reconstructed; (c) roads were widened; (d) 449 border markers were placed, and (e) indigenous and state authorities met to examine conflict areas (evidence file, folios 56 to 65 and 70).</w:t>
      </w:r>
    </w:p>
  </w:footnote>
  <w:footnote w:id="229">
    <w:p w14:paraId="021543A2" w14:textId="4FF1A3D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Commission indicated that the presumed victims filed at least five criminal complaints requesting the investigation and punishment of those responsible for attacks on their territories and natural resources. In addition, it indicated that administrative actions were also filed for the protection of the natural resources located in the indigenous territories. It concluded that the prolonged and repetitive acts of invasion and illegal logging, as well as the close relationship of the natural resources present in the traditional territories of the indigenous peoples to aspects fundamental for their material and cultural survival, indicated that the proceedings undertaken were insufficient and ineffective in the presumed victims’ search to obtain protection and justice. It added that, despite the many complaints filed, the competent authorities failed to conduct a serious and effective investigation to discover the truth and to determine responsibilities that would halt the serious invasion of indigenous territory and the illegal extraction of its natural resources.</w:t>
      </w:r>
    </w:p>
  </w:footnote>
  <w:footnote w:id="230">
    <w:p w14:paraId="04D04545" w14:textId="5B593DA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rStyle w:val="FootnoteReference"/>
          <w:szCs w:val="16"/>
          <w:lang w:val="en-US"/>
        </w:rPr>
        <w:t xml:space="preserve"> </w:t>
      </w:r>
      <w:r w:rsidRPr="004542B5">
        <w:rPr>
          <w:szCs w:val="16"/>
          <w:lang w:val="en-US"/>
        </w:rPr>
        <w:tab/>
        <w:t>The representatives referred to the case of C.C.M., who, since January 2009, had attempted to obtain title to half the lands of the Piriati Emberá community. After the First Superior Court had upheld the first instance judgment that had been appealed, the issue has been at the stage of adjudication by ANATI, even though reports indicate that the 200 hectares are within the collective title. In the case of a complaint based on massive titling of lands of this same community by ANATI officials, local governments and authorities of the Chepo district, the Second Chamber of the Supreme Court of Justice decided to dismiss the case against the officials who had been charged, while in another proceeding in the same case, filed by the peasants who were unable to obtain title to their lands, charges were brought against the same defendants.</w:t>
      </w:r>
    </w:p>
  </w:footnote>
  <w:footnote w:id="231">
    <w:p w14:paraId="44FE0A03" w14:textId="4C9932AD" w:rsidR="00F87526" w:rsidRPr="004542B5" w:rsidRDefault="00F87526" w:rsidP="00BF7853">
      <w:pPr>
        <w:pStyle w:val="Footnotes"/>
        <w:spacing w:before="0"/>
        <w:rPr>
          <w:lang w:val="en-US"/>
        </w:rPr>
      </w:pPr>
      <w:r w:rsidRPr="004542B5">
        <w:rPr>
          <w:rStyle w:val="FootnoteReference"/>
          <w:szCs w:val="16"/>
          <w:lang w:val="en-US"/>
        </w:rPr>
        <w:footnoteRef/>
      </w:r>
      <w:r w:rsidRPr="004542B5">
        <w:rPr>
          <w:lang w:val="es-CR"/>
        </w:rPr>
        <w:tab/>
      </w:r>
      <w:r w:rsidRPr="004542B5">
        <w:rPr>
          <w:rFonts w:cs="Arial"/>
          <w:i/>
          <w:lang w:val="es-CR"/>
        </w:rPr>
        <w:t xml:space="preserve">Cf. </w:t>
      </w:r>
      <w:r w:rsidRPr="004542B5">
        <w:rPr>
          <w:i/>
          <w:lang w:val="es-CR"/>
        </w:rPr>
        <w:t xml:space="preserve">Case of Velásquez Rodríguez v. Honduras. </w:t>
      </w:r>
      <w:r w:rsidRPr="004542B5">
        <w:rPr>
          <w:i/>
          <w:lang w:val="en-US"/>
        </w:rPr>
        <w:t>Preliminary objections</w:t>
      </w:r>
      <w:r w:rsidRPr="004542B5">
        <w:rPr>
          <w:lang w:val="en-US"/>
        </w:rPr>
        <w:t>. Judgment of June 26, 1987. Series C No. 1, para. 91;</w:t>
      </w:r>
      <w:r w:rsidRPr="004542B5">
        <w:rPr>
          <w:rFonts w:cs="Arial"/>
          <w:i/>
          <w:lang w:val="en-US"/>
        </w:rPr>
        <w:t xml:space="preserve"> Case of the Kichwa Indigenous People of Sarayaku v. Ecuador. Merits and reparations</w:t>
      </w:r>
      <w:r w:rsidRPr="004542B5">
        <w:rPr>
          <w:rFonts w:cs="Arial"/>
          <w:lang w:val="en-US"/>
        </w:rPr>
        <w:t xml:space="preserve">. Judgment of June 27, 2012. Series C No. 245, para. 260, and </w:t>
      </w:r>
      <w:r w:rsidRPr="004542B5">
        <w:rPr>
          <w:bCs w:val="0"/>
          <w:i/>
          <w:lang w:val="en-US" w:bidi="en-US"/>
        </w:rPr>
        <w:t>Case of the Landaeta Mejías Brothers et al. v. Venezuela</w:t>
      </w:r>
      <w:r w:rsidRPr="004542B5">
        <w:rPr>
          <w:bCs w:val="0"/>
          <w:lang w:val="en-US" w:bidi="en-US"/>
        </w:rPr>
        <w:t>, para. 215.</w:t>
      </w:r>
    </w:p>
  </w:footnote>
  <w:footnote w:id="232">
    <w:p w14:paraId="60D2EA6C" w14:textId="3A5855AD" w:rsidR="00F87526" w:rsidRPr="004542B5" w:rsidRDefault="00F87526" w:rsidP="00BF7853">
      <w:pPr>
        <w:pStyle w:val="Footnotes"/>
        <w:spacing w:before="0"/>
        <w:rPr>
          <w:lang w:val="en-US"/>
        </w:rPr>
      </w:pPr>
      <w:r w:rsidRPr="004542B5">
        <w:rPr>
          <w:rStyle w:val="FootnoteRef"/>
          <w:lang w:val="en-US"/>
        </w:rPr>
        <w:footnoteRef/>
      </w:r>
      <w:r w:rsidRPr="004542B5">
        <w:rPr>
          <w:lang w:val="en-US"/>
        </w:rPr>
        <w:t xml:space="preserve"> </w:t>
      </w:r>
      <w:r w:rsidRPr="004542B5">
        <w:rPr>
          <w:lang w:val="en-US"/>
        </w:rPr>
        <w:tab/>
      </w:r>
      <w:r w:rsidRPr="004542B5">
        <w:rPr>
          <w:rFonts w:cs="Arial"/>
          <w:i/>
          <w:lang w:val="en-US"/>
        </w:rPr>
        <w:t xml:space="preserve">Case of the Saramaka People v. Suriname, Preliminary objections, merits, reparations and costs, </w:t>
      </w:r>
      <w:r w:rsidRPr="004542B5">
        <w:rPr>
          <w:rFonts w:cs="Arial"/>
          <w:lang w:val="en-US"/>
        </w:rPr>
        <w:t xml:space="preserve">para. 177, and </w:t>
      </w:r>
      <w:r w:rsidRPr="004542B5">
        <w:rPr>
          <w:i/>
          <w:lang w:val="en-US"/>
        </w:rPr>
        <w:t xml:space="preserve">Case of the Afro-descendant Communities Displaced from the Río Cacarica Basin (Operation Genesis) v. Colombia, </w:t>
      </w:r>
      <w:r w:rsidRPr="004542B5">
        <w:rPr>
          <w:lang w:val="en-US"/>
        </w:rPr>
        <w:t>para. 404.</w:t>
      </w:r>
    </w:p>
  </w:footnote>
  <w:footnote w:id="233">
    <w:p w14:paraId="16781DE2" w14:textId="3360B284" w:rsidR="00F87526" w:rsidRPr="004542B5" w:rsidRDefault="00F87526" w:rsidP="00BF7853">
      <w:pPr>
        <w:pStyle w:val="FootnoteText"/>
        <w:tabs>
          <w:tab w:val="left" w:pos="0"/>
          <w:tab w:val="left" w:pos="720"/>
        </w:tabs>
        <w:spacing w:before="0"/>
        <w:rPr>
          <w:rFonts w:cs="Arial"/>
          <w:szCs w:val="16"/>
          <w:lang w:val="en-US"/>
        </w:rPr>
      </w:pPr>
      <w:r w:rsidRPr="004542B5">
        <w:rPr>
          <w:rStyle w:val="FootnoteReference"/>
          <w:rFonts w:cs="Arial"/>
          <w:szCs w:val="16"/>
          <w:lang w:val="en-US"/>
        </w:rPr>
        <w:footnoteRef/>
      </w:r>
      <w:r w:rsidRPr="004542B5">
        <w:rPr>
          <w:rFonts w:cs="Arial"/>
          <w:szCs w:val="16"/>
          <w:lang w:val="en-US"/>
        </w:rPr>
        <w:t xml:space="preserve"> </w:t>
      </w:r>
      <w:r w:rsidRPr="004542B5">
        <w:rPr>
          <w:rFonts w:cs="Arial"/>
          <w:szCs w:val="16"/>
          <w:lang w:val="en-US"/>
        </w:rPr>
        <w:tab/>
      </w:r>
      <w:r w:rsidRPr="004542B5">
        <w:rPr>
          <w:rFonts w:cs="Arial"/>
          <w:i/>
          <w:color w:val="000000"/>
          <w:szCs w:val="16"/>
          <w:lang w:val="en-US"/>
        </w:rPr>
        <w:t>Cf.</w:t>
      </w:r>
      <w:r w:rsidRPr="004542B5">
        <w:rPr>
          <w:rFonts w:cs="Arial"/>
          <w:color w:val="000000"/>
          <w:szCs w:val="16"/>
          <w:lang w:val="en-US"/>
        </w:rPr>
        <w:t xml:space="preserve"> </w:t>
      </w:r>
      <w:r w:rsidRPr="004542B5">
        <w:rPr>
          <w:rFonts w:cs="Arial"/>
          <w:bCs/>
          <w:i/>
          <w:color w:val="000000"/>
          <w:szCs w:val="16"/>
          <w:lang w:val="en-US"/>
        </w:rPr>
        <w:t>Case of the Mayagna (Sumo) Awas Tingni Community v. Nicaragua</w:t>
      </w:r>
      <w:r w:rsidRPr="004542B5">
        <w:rPr>
          <w:rFonts w:cs="Arial"/>
          <w:bCs/>
          <w:color w:val="000000"/>
          <w:szCs w:val="16"/>
          <w:lang w:val="en-US"/>
        </w:rPr>
        <w:t xml:space="preserve">. </w:t>
      </w:r>
      <w:r w:rsidRPr="004542B5">
        <w:rPr>
          <w:rFonts w:cs="Arial"/>
          <w:color w:val="000000"/>
          <w:szCs w:val="16"/>
          <w:lang w:val="en-US"/>
        </w:rPr>
        <w:t xml:space="preserve">Merits, reparations and costs. Judgment of August 31, 2001. Series C No. 79, para. 138, and </w:t>
      </w:r>
      <w:r w:rsidRPr="004542B5">
        <w:rPr>
          <w:rFonts w:cs="Arial"/>
          <w:bCs/>
          <w:i/>
          <w:szCs w:val="16"/>
          <w:lang w:val="en-US"/>
        </w:rPr>
        <w:t>Case of the Xákmok Kásek Indigenous Community. v. Paraguay. Merits, reparations and costs.</w:t>
      </w:r>
      <w:r w:rsidRPr="004542B5">
        <w:rPr>
          <w:rFonts w:cs="Arial"/>
          <w:bCs/>
          <w:szCs w:val="16"/>
          <w:lang w:val="en-US"/>
        </w:rPr>
        <w:t xml:space="preserve"> Judgment of August 24, 2010 Series C No. 214</w:t>
      </w:r>
      <w:r w:rsidRPr="004542B5">
        <w:rPr>
          <w:rFonts w:cs="Arial"/>
          <w:szCs w:val="16"/>
          <w:lang w:val="en-US"/>
        </w:rPr>
        <w:t xml:space="preserve">, para. 109. </w:t>
      </w:r>
    </w:p>
  </w:footnote>
  <w:footnote w:id="234">
    <w:p w14:paraId="191F291E" w14:textId="42099BEC" w:rsidR="00F87526" w:rsidRPr="004542B5" w:rsidRDefault="00F87526" w:rsidP="00BF7853">
      <w:pPr>
        <w:pStyle w:val="FootnoteText"/>
        <w:tabs>
          <w:tab w:val="left" w:pos="0"/>
          <w:tab w:val="left" w:pos="360"/>
          <w:tab w:val="left" w:pos="720"/>
        </w:tabs>
        <w:spacing w:before="0"/>
        <w:rPr>
          <w:rFonts w:cs="Arial"/>
          <w:szCs w:val="16"/>
          <w:lang w:val="en-US"/>
        </w:rPr>
      </w:pPr>
      <w:r w:rsidRPr="004542B5">
        <w:rPr>
          <w:rStyle w:val="FootnoteReference"/>
          <w:rFonts w:cs="Arial"/>
          <w:szCs w:val="16"/>
          <w:lang w:val="en-US"/>
        </w:rPr>
        <w:footnoteRef/>
      </w:r>
      <w:r w:rsidRPr="004542B5">
        <w:rPr>
          <w:rFonts w:cs="Arial"/>
          <w:szCs w:val="16"/>
          <w:lang w:val="en-US"/>
        </w:rPr>
        <w:t xml:space="preserve"> </w:t>
      </w:r>
      <w:r w:rsidRPr="004542B5">
        <w:rPr>
          <w:rFonts w:cs="Arial"/>
          <w:szCs w:val="16"/>
          <w:lang w:val="en-US"/>
        </w:rPr>
        <w:tab/>
      </w:r>
      <w:r w:rsidRPr="004542B5">
        <w:rPr>
          <w:rFonts w:cs="Arial"/>
          <w:szCs w:val="16"/>
          <w:lang w:val="en-US"/>
        </w:rPr>
        <w:tab/>
      </w:r>
      <w:r w:rsidRPr="004542B5">
        <w:rPr>
          <w:rFonts w:cs="Arial"/>
          <w:i/>
          <w:color w:val="000000"/>
          <w:szCs w:val="16"/>
          <w:lang w:val="en-US"/>
        </w:rPr>
        <w:t>Cf.</w:t>
      </w:r>
      <w:r w:rsidRPr="004542B5">
        <w:rPr>
          <w:rFonts w:cs="Arial"/>
          <w:color w:val="000000"/>
          <w:szCs w:val="16"/>
          <w:lang w:val="en-US"/>
        </w:rPr>
        <w:t xml:space="preserve"> </w:t>
      </w:r>
      <w:r w:rsidRPr="004542B5">
        <w:rPr>
          <w:i/>
          <w:spacing w:val="-4"/>
          <w:szCs w:val="16"/>
          <w:lang w:val="en-US"/>
        </w:rPr>
        <w:t>Case of Godínez Cruz v. Honduras. Preliminary objections</w:t>
      </w:r>
      <w:r w:rsidRPr="004542B5">
        <w:rPr>
          <w:spacing w:val="-4"/>
          <w:szCs w:val="16"/>
          <w:lang w:val="en-US"/>
        </w:rPr>
        <w:t xml:space="preserve">. Judgment of June 26, 1987. Series C No. 3, para. 92; </w:t>
      </w:r>
      <w:r w:rsidRPr="004542B5">
        <w:rPr>
          <w:rFonts w:cs="Arial"/>
          <w:bCs/>
          <w:i/>
          <w:color w:val="000000"/>
          <w:szCs w:val="16"/>
          <w:lang w:val="en-US"/>
        </w:rPr>
        <w:t>Case of the Sawhoyamaxa Indigenous Community v. Paraguay</w:t>
      </w:r>
      <w:r w:rsidRPr="004542B5">
        <w:rPr>
          <w:rFonts w:cs="Arial"/>
          <w:bCs/>
          <w:color w:val="000000"/>
          <w:szCs w:val="16"/>
          <w:lang w:val="en-US"/>
        </w:rPr>
        <w:t xml:space="preserve">. </w:t>
      </w:r>
      <w:r w:rsidRPr="004542B5">
        <w:rPr>
          <w:rFonts w:cs="Arial"/>
          <w:color w:val="000000"/>
          <w:szCs w:val="16"/>
          <w:lang w:val="en-US"/>
        </w:rPr>
        <w:t xml:space="preserve">Merits, reparations and costs. Judgment of March 29, 2006. Series C No. 146, paras. 81 and 82, and </w:t>
      </w:r>
      <w:r w:rsidRPr="004542B5">
        <w:rPr>
          <w:i/>
          <w:szCs w:val="16"/>
          <w:lang w:val="en-US"/>
        </w:rPr>
        <w:t xml:space="preserve">Case of the Human Rights Defender et al. v. Guatemala, </w:t>
      </w:r>
      <w:r w:rsidRPr="004542B5">
        <w:rPr>
          <w:szCs w:val="16"/>
          <w:lang w:val="en-US"/>
        </w:rPr>
        <w:t>para. 199.</w:t>
      </w:r>
    </w:p>
  </w:footnote>
  <w:footnote w:id="235">
    <w:p w14:paraId="5B791859" w14:textId="75DE64AB" w:rsidR="00F87526" w:rsidRPr="004542B5" w:rsidRDefault="00F87526" w:rsidP="00BF7853">
      <w:pPr>
        <w:pStyle w:val="Footnotes"/>
        <w:spacing w:before="0"/>
        <w:rPr>
          <w:lang w:val="en-US"/>
        </w:rPr>
      </w:pPr>
      <w:r w:rsidRPr="004542B5">
        <w:rPr>
          <w:rStyle w:val="FootnoteReference"/>
          <w:szCs w:val="16"/>
          <w:lang w:val="en-US"/>
        </w:rPr>
        <w:footnoteRef/>
      </w:r>
      <w:r w:rsidRPr="004542B5">
        <w:rPr>
          <w:lang w:val="en-US"/>
        </w:rPr>
        <w:t xml:space="preserve"> </w:t>
      </w:r>
      <w:r w:rsidRPr="004542B5">
        <w:rPr>
          <w:lang w:val="en-US"/>
        </w:rPr>
        <w:tab/>
      </w:r>
      <w:r w:rsidRPr="004542B5">
        <w:rPr>
          <w:i/>
          <w:lang w:val="en-US"/>
        </w:rPr>
        <w:t xml:space="preserve">Case of Castillo Páez v. Peru. Merits. </w:t>
      </w:r>
      <w:r w:rsidRPr="004542B5">
        <w:rPr>
          <w:lang w:val="en-US"/>
        </w:rPr>
        <w:t xml:space="preserve">Judgment of November 3, 1997. Series C No. 34, para. 82, and </w:t>
      </w:r>
      <w:r w:rsidRPr="004542B5">
        <w:rPr>
          <w:i/>
          <w:lang w:val="en-US"/>
        </w:rPr>
        <w:t xml:space="preserve">Case of Liakat Ali Alibux v. Suriname. Preliminary objections, merits, reparations and costs. </w:t>
      </w:r>
      <w:r w:rsidRPr="004542B5">
        <w:rPr>
          <w:lang w:val="en-US"/>
        </w:rPr>
        <w:t>Judgment of January 30, 2014. Series C No. 276,</w:t>
      </w:r>
      <w:r w:rsidRPr="004542B5">
        <w:rPr>
          <w:i/>
          <w:lang w:val="en-US"/>
        </w:rPr>
        <w:t xml:space="preserve"> </w:t>
      </w:r>
      <w:r w:rsidRPr="004542B5">
        <w:rPr>
          <w:lang w:val="en-US"/>
        </w:rPr>
        <w:t xml:space="preserve">para. 42. </w:t>
      </w:r>
    </w:p>
  </w:footnote>
  <w:footnote w:id="236">
    <w:p w14:paraId="4FA7EDDD" w14:textId="284091C7" w:rsidR="00F87526" w:rsidRPr="004542B5" w:rsidRDefault="00F87526" w:rsidP="00BF7853">
      <w:pPr>
        <w:pStyle w:val="Footnotes"/>
        <w:spacing w:before="0"/>
        <w:rPr>
          <w:lang w:val="en-US"/>
        </w:rPr>
      </w:pPr>
      <w:r w:rsidRPr="004542B5">
        <w:rPr>
          <w:rStyle w:val="FootnoteReference"/>
          <w:szCs w:val="16"/>
          <w:lang w:val="en-US"/>
        </w:rPr>
        <w:footnoteRef/>
      </w:r>
      <w:r w:rsidRPr="004542B5">
        <w:rPr>
          <w:lang w:val="en-US"/>
        </w:rPr>
        <w:t xml:space="preserve"> </w:t>
      </w:r>
      <w:r w:rsidRPr="004542B5">
        <w:rPr>
          <w:lang w:val="en-US"/>
        </w:rPr>
        <w:tab/>
      </w:r>
      <w:r w:rsidRPr="004542B5">
        <w:rPr>
          <w:i/>
          <w:lang w:val="en-US"/>
        </w:rPr>
        <w:t xml:space="preserve">Cf. Case of the Yakye Axa Indigenous Community v. Paraguay, Merits, reparations and costs, </w:t>
      </w:r>
      <w:r w:rsidRPr="004542B5">
        <w:rPr>
          <w:lang w:val="en-US"/>
        </w:rPr>
        <w:t xml:space="preserve">para. 63, and </w:t>
      </w:r>
      <w:r w:rsidRPr="004542B5">
        <w:rPr>
          <w:rFonts w:cs="Arial"/>
          <w:i/>
          <w:spacing w:val="-4"/>
          <w:lang w:val="en-US"/>
        </w:rPr>
        <w:t>Case of the Kichwa Indigenous People of Sarayaku v. Ecuador</w:t>
      </w:r>
      <w:r w:rsidRPr="004542B5">
        <w:rPr>
          <w:lang w:val="en-US"/>
        </w:rPr>
        <w:t xml:space="preserve">, para. 264. </w:t>
      </w:r>
    </w:p>
  </w:footnote>
  <w:footnote w:id="237">
    <w:p w14:paraId="785D27D3" w14:textId="788C46E0" w:rsidR="00F87526" w:rsidRPr="004542B5" w:rsidRDefault="00F87526" w:rsidP="00BF7853">
      <w:pPr>
        <w:pStyle w:val="Footnotes"/>
        <w:spacing w:before="0"/>
        <w:rPr>
          <w:lang w:val="en-US"/>
        </w:rPr>
      </w:pPr>
      <w:r w:rsidRPr="004542B5">
        <w:rPr>
          <w:rStyle w:val="FootnoteReference"/>
          <w:szCs w:val="16"/>
          <w:lang w:val="en-US"/>
        </w:rPr>
        <w:footnoteRef/>
      </w:r>
      <w:r w:rsidRPr="004542B5">
        <w:rPr>
          <w:rStyle w:val="FootnoteReference"/>
          <w:szCs w:val="16"/>
          <w:lang w:val="en-US"/>
        </w:rPr>
        <w:tab/>
      </w:r>
      <w:r w:rsidRPr="004542B5">
        <w:rPr>
          <w:i/>
          <w:lang w:val="en-US"/>
        </w:rPr>
        <w:t xml:space="preserve">Cf. </w:t>
      </w:r>
      <w:r w:rsidRPr="004542B5">
        <w:rPr>
          <w:i/>
          <w:iCs w:val="0"/>
          <w:lang w:val="en-US"/>
        </w:rPr>
        <w:t>Case of Velásquez Rodríguez v. Honduras</w:t>
      </w:r>
      <w:r w:rsidRPr="004542B5">
        <w:rPr>
          <w:iCs w:val="0"/>
          <w:lang w:val="en-US"/>
        </w:rPr>
        <w:t xml:space="preserve">, </w:t>
      </w:r>
      <w:r w:rsidRPr="004542B5">
        <w:rPr>
          <w:i/>
          <w:iCs w:val="0"/>
          <w:lang w:val="en-US"/>
        </w:rPr>
        <w:t>Merits,</w:t>
      </w:r>
      <w:r w:rsidRPr="004542B5">
        <w:rPr>
          <w:iCs w:val="0"/>
          <w:lang w:val="en-US"/>
        </w:rPr>
        <w:t xml:space="preserve"> </w:t>
      </w:r>
      <w:r w:rsidRPr="004542B5">
        <w:rPr>
          <w:lang w:val="en-US"/>
        </w:rPr>
        <w:t xml:space="preserve">paras. 166 and 167, and </w:t>
      </w:r>
      <w:r w:rsidRPr="004542B5">
        <w:rPr>
          <w:bCs w:val="0"/>
          <w:i/>
          <w:iCs w:val="0"/>
          <w:lang w:val="en-US"/>
        </w:rPr>
        <w:t xml:space="preserve">Case of Veliz Franco et al. v. Guatemala. Preliminary objections, merits, reparations and costs. </w:t>
      </w:r>
      <w:r w:rsidRPr="004542B5">
        <w:rPr>
          <w:bCs w:val="0"/>
          <w:iCs w:val="0"/>
          <w:lang w:val="en-US"/>
        </w:rPr>
        <w:t>Judgment of May 19, 2014. Series C No. 277</w:t>
      </w:r>
      <w:r w:rsidRPr="004542B5">
        <w:rPr>
          <w:iCs w:val="0"/>
          <w:lang w:val="en-US"/>
        </w:rPr>
        <w:t>, para.</w:t>
      </w:r>
      <w:r w:rsidRPr="004542B5">
        <w:rPr>
          <w:lang w:val="en-US"/>
        </w:rPr>
        <w:t xml:space="preserve"> 183.</w:t>
      </w:r>
    </w:p>
  </w:footnote>
  <w:footnote w:id="238">
    <w:p w14:paraId="28CDC31D" w14:textId="00C58599" w:rsidR="00F87526" w:rsidRPr="004542B5" w:rsidRDefault="00F87526" w:rsidP="00BF7853">
      <w:pPr>
        <w:pStyle w:val="Footnotes"/>
        <w:spacing w:before="0"/>
        <w:rPr>
          <w:lang w:val="en-US"/>
        </w:rPr>
      </w:pPr>
      <w:r w:rsidRPr="004542B5">
        <w:rPr>
          <w:rStyle w:val="FootnoteReference"/>
          <w:szCs w:val="16"/>
          <w:lang w:val="en-US"/>
        </w:rPr>
        <w:footnoteRef/>
      </w:r>
      <w:r w:rsidRPr="004542B5">
        <w:rPr>
          <w:rStyle w:val="FootnoteReference"/>
          <w:szCs w:val="16"/>
          <w:lang w:val="en-US"/>
        </w:rPr>
        <w:tab/>
      </w:r>
      <w:r w:rsidRPr="004542B5">
        <w:rPr>
          <w:i/>
          <w:lang w:val="en-US"/>
        </w:rPr>
        <w:t>Cf. Case of Velásquez Rodríguez</w:t>
      </w:r>
      <w:r w:rsidRPr="004542B5">
        <w:rPr>
          <w:i/>
          <w:iCs w:val="0"/>
          <w:lang w:val="en-US"/>
        </w:rPr>
        <w:t xml:space="preserve"> v. Honduras</w:t>
      </w:r>
      <w:r w:rsidRPr="004542B5">
        <w:rPr>
          <w:lang w:val="en-US"/>
        </w:rPr>
        <w:t>,</w:t>
      </w:r>
      <w:r w:rsidRPr="004542B5">
        <w:rPr>
          <w:i/>
          <w:lang w:val="en-US"/>
        </w:rPr>
        <w:t xml:space="preserve"> Merits,</w:t>
      </w:r>
      <w:r w:rsidRPr="004542B5">
        <w:rPr>
          <w:lang w:val="en-US"/>
        </w:rPr>
        <w:t xml:space="preserve"> para. 177, and </w:t>
      </w:r>
      <w:r w:rsidRPr="004542B5">
        <w:rPr>
          <w:bCs w:val="0"/>
          <w:i/>
          <w:lang w:val="en-US" w:bidi="en-US"/>
        </w:rPr>
        <w:t>Case of the Landaeta Mejías Brothers et al. v. Venezuela</w:t>
      </w:r>
      <w:r w:rsidRPr="004542B5">
        <w:rPr>
          <w:bCs w:val="0"/>
          <w:lang w:val="en-US" w:bidi="en-US"/>
        </w:rPr>
        <w:t>, para. 216</w:t>
      </w:r>
      <w:r w:rsidRPr="004542B5">
        <w:rPr>
          <w:lang w:val="en-US"/>
        </w:rPr>
        <w:t>.</w:t>
      </w:r>
    </w:p>
  </w:footnote>
  <w:footnote w:id="239">
    <w:p w14:paraId="78C2F3F1" w14:textId="103A8B83" w:rsidR="00F87526" w:rsidRPr="004542B5" w:rsidRDefault="00F87526" w:rsidP="00BF7853">
      <w:pPr>
        <w:pStyle w:val="Footnotes"/>
        <w:spacing w:before="0"/>
        <w:rPr>
          <w:lang w:val="en-US"/>
        </w:rPr>
      </w:pPr>
      <w:r w:rsidRPr="004542B5">
        <w:rPr>
          <w:rStyle w:val="FootnoteReference"/>
          <w:szCs w:val="16"/>
          <w:lang w:val="en-US"/>
        </w:rPr>
        <w:footnoteRef/>
      </w:r>
      <w:r w:rsidRPr="004542B5">
        <w:rPr>
          <w:rStyle w:val="FootnoteReference"/>
          <w:szCs w:val="16"/>
          <w:lang w:val="en-US"/>
        </w:rPr>
        <w:t xml:space="preserve"> </w:t>
      </w:r>
      <w:r w:rsidRPr="004542B5">
        <w:rPr>
          <w:lang w:val="en-US"/>
        </w:rPr>
        <w:tab/>
      </w:r>
      <w:r w:rsidRPr="004542B5">
        <w:rPr>
          <w:i/>
          <w:lang w:val="en-US"/>
        </w:rPr>
        <w:t>Cf. Case of the Barrios Family v. Venezuela</w:t>
      </w:r>
      <w:r w:rsidRPr="004542B5">
        <w:rPr>
          <w:lang w:val="en-US"/>
        </w:rPr>
        <w:t xml:space="preserve">, para. 80, and </w:t>
      </w:r>
      <w:r w:rsidRPr="004542B5">
        <w:rPr>
          <w:bCs w:val="0"/>
          <w:i/>
          <w:iCs w:val="0"/>
          <w:lang w:val="en-US"/>
        </w:rPr>
        <w:t>Case of Veliz Franco et al. v. Guatemala</w:t>
      </w:r>
      <w:r w:rsidRPr="004542B5">
        <w:rPr>
          <w:bCs w:val="0"/>
          <w:iCs w:val="0"/>
          <w:lang w:val="en-US"/>
        </w:rPr>
        <w:t>, para. 184.</w:t>
      </w:r>
    </w:p>
  </w:footnote>
  <w:footnote w:id="240">
    <w:p w14:paraId="6A155E88" w14:textId="7D798DF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On June 13, 1995, the Emberá Community of Ipetí filed a request for demarcation and adjudication of collective lands asking the Cabinet Council of the President of the Republic to “approve the adjudication, free of charge, of a collective title to 3,198 hecates in favor of the Ipetí-Emberá Community” (</w:t>
      </w:r>
      <w:r w:rsidRPr="004542B5">
        <w:rPr>
          <w:i/>
          <w:szCs w:val="16"/>
          <w:lang w:val="en-US"/>
        </w:rPr>
        <w:t>supra</w:t>
      </w:r>
      <w:r w:rsidRPr="004542B5">
        <w:rPr>
          <w:szCs w:val="16"/>
          <w:lang w:val="en-US"/>
        </w:rPr>
        <w:t xml:space="preserve"> para. 93). In addition, as indicated, on January 27, 1999, a request was presented to the President of the Republic for the Cabinet Council to grant a title, free of charge, to land with a surface area of 301 hectares and 9,343 m2 to the Association for the Development of the Piriatí-Emberá Community. There is no record that any reply was received to these requests (</w:t>
      </w:r>
      <w:r w:rsidRPr="004542B5">
        <w:rPr>
          <w:i/>
          <w:szCs w:val="16"/>
          <w:lang w:val="en-US"/>
        </w:rPr>
        <w:t>supra</w:t>
      </w:r>
      <w:r w:rsidRPr="004542B5">
        <w:rPr>
          <w:szCs w:val="16"/>
          <w:lang w:val="en-US"/>
        </w:rPr>
        <w:t xml:space="preserve"> para. 94).</w:t>
      </w:r>
    </w:p>
  </w:footnote>
  <w:footnote w:id="241">
    <w:p w14:paraId="50D87C85" w14:textId="563FEBF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Case of</w:t>
      </w:r>
      <w:r w:rsidRPr="004542B5">
        <w:rPr>
          <w:bCs/>
          <w:i/>
          <w:szCs w:val="16"/>
          <w:lang w:val="en-US"/>
        </w:rPr>
        <w:t xml:space="preserve"> Barbani Duarte et al. v. Uruguay. Merits, reparations and costs</w:t>
      </w:r>
      <w:r w:rsidRPr="004542B5">
        <w:rPr>
          <w:bCs/>
          <w:szCs w:val="16"/>
          <w:lang w:val="en-US"/>
        </w:rPr>
        <w:t>. Judgment of October 13, 2011. Series C No. 234</w:t>
      </w:r>
      <w:r w:rsidRPr="004542B5">
        <w:rPr>
          <w:szCs w:val="16"/>
          <w:lang w:val="en-US"/>
        </w:rPr>
        <w:t>, para. 122.</w:t>
      </w:r>
    </w:p>
  </w:footnote>
  <w:footnote w:id="242">
    <w:p w14:paraId="1C2DD07D" w14:textId="69190789" w:rsidR="00F87526" w:rsidRPr="004542B5" w:rsidRDefault="00F87526" w:rsidP="00BF7853">
      <w:pPr>
        <w:tabs>
          <w:tab w:val="left" w:pos="720"/>
        </w:tabs>
        <w:spacing w:after="120"/>
        <w:rPr>
          <w:rStyle w:val="FootnoteReference"/>
          <w:spacing w:val="-2"/>
          <w:sz w:val="16"/>
          <w:szCs w:val="16"/>
          <w:lang w:val="es-CR"/>
        </w:rPr>
      </w:pPr>
      <w:r w:rsidRPr="004542B5">
        <w:rPr>
          <w:rStyle w:val="FootnoteReference"/>
          <w:sz w:val="16"/>
          <w:szCs w:val="16"/>
          <w:lang w:val="en-US"/>
        </w:rPr>
        <w:footnoteRef/>
      </w:r>
      <w:r w:rsidRPr="004542B5">
        <w:rPr>
          <w:rStyle w:val="FootnoteReference"/>
          <w:sz w:val="16"/>
          <w:szCs w:val="16"/>
          <w:lang w:val="en-US"/>
        </w:rPr>
        <w:t xml:space="preserve"> </w:t>
      </w:r>
      <w:r w:rsidRPr="004542B5">
        <w:rPr>
          <w:rStyle w:val="FootnoteReference"/>
          <w:sz w:val="16"/>
          <w:szCs w:val="16"/>
          <w:lang w:val="en-US"/>
        </w:rPr>
        <w:tab/>
      </w:r>
      <w:r w:rsidRPr="004542B5">
        <w:rPr>
          <w:i/>
          <w:sz w:val="16"/>
          <w:szCs w:val="16"/>
          <w:lang w:val="en-US"/>
        </w:rPr>
        <w:t>Cf.</w:t>
      </w:r>
      <w:r w:rsidRPr="004542B5">
        <w:rPr>
          <w:rStyle w:val="FootnoteReference"/>
          <w:spacing w:val="-2"/>
          <w:sz w:val="16"/>
          <w:szCs w:val="16"/>
          <w:lang w:val="en-US"/>
        </w:rPr>
        <w:t xml:space="preserve"> </w:t>
      </w:r>
      <w:r w:rsidRPr="004542B5">
        <w:rPr>
          <w:i/>
          <w:sz w:val="16"/>
          <w:szCs w:val="16"/>
          <w:lang w:val="en-US"/>
        </w:rPr>
        <w:t>Case of Valle Jaramillo et al. v. Colombia. Merits, reparations and costs</w:t>
      </w:r>
      <w:r w:rsidRPr="004542B5">
        <w:rPr>
          <w:sz w:val="16"/>
          <w:szCs w:val="16"/>
          <w:lang w:val="en-US"/>
        </w:rPr>
        <w:t>. Judgment of November 27, 2008. Series C No. 192</w:t>
      </w:r>
      <w:r w:rsidRPr="004542B5">
        <w:rPr>
          <w:i/>
          <w:sz w:val="16"/>
          <w:szCs w:val="16"/>
          <w:lang w:val="en-US"/>
        </w:rPr>
        <w:t xml:space="preserve">, </w:t>
      </w:r>
      <w:r w:rsidRPr="004542B5">
        <w:rPr>
          <w:sz w:val="16"/>
          <w:szCs w:val="16"/>
          <w:lang w:val="en-US"/>
        </w:rPr>
        <w:t>para. 155,</w:t>
      </w:r>
      <w:r w:rsidRPr="004542B5">
        <w:rPr>
          <w:i/>
          <w:spacing w:val="-2"/>
          <w:sz w:val="16"/>
          <w:szCs w:val="16"/>
          <w:lang w:val="en-US"/>
        </w:rPr>
        <w:t xml:space="preserve"> and Case of the Landaeta Mejías Brothers et al. v. Venezuela</w:t>
      </w:r>
      <w:r w:rsidRPr="004542B5">
        <w:rPr>
          <w:spacing w:val="-2"/>
          <w:sz w:val="16"/>
          <w:szCs w:val="16"/>
          <w:lang w:val="en-US"/>
        </w:rPr>
        <w:t xml:space="preserve">, para. </w:t>
      </w:r>
      <w:r w:rsidRPr="004542B5">
        <w:rPr>
          <w:spacing w:val="-2"/>
          <w:sz w:val="16"/>
          <w:szCs w:val="16"/>
          <w:lang w:val="es-CR"/>
        </w:rPr>
        <w:t>246.</w:t>
      </w:r>
    </w:p>
  </w:footnote>
  <w:footnote w:id="243">
    <w:p w14:paraId="24A3FA8B" w14:textId="721D26EF" w:rsidR="00F87526" w:rsidRPr="004542B5" w:rsidRDefault="00F87526" w:rsidP="00BF7853">
      <w:pPr>
        <w:tabs>
          <w:tab w:val="left" w:pos="720"/>
        </w:tabs>
        <w:spacing w:after="120"/>
        <w:ind w:right="-90"/>
        <w:rPr>
          <w:rFonts w:cs="Verdana"/>
          <w:bCs/>
          <w:i/>
          <w:sz w:val="16"/>
          <w:szCs w:val="16"/>
          <w:lang w:val="en-US"/>
        </w:rPr>
      </w:pPr>
      <w:r w:rsidRPr="004542B5">
        <w:rPr>
          <w:rStyle w:val="FootnoteReference"/>
          <w:sz w:val="16"/>
          <w:szCs w:val="16"/>
          <w:lang w:val="en-US"/>
        </w:rPr>
        <w:footnoteRef/>
      </w:r>
      <w:r w:rsidRPr="004542B5">
        <w:rPr>
          <w:sz w:val="16"/>
          <w:szCs w:val="16"/>
          <w:lang w:val="es-CR"/>
        </w:rPr>
        <w:t xml:space="preserve"> </w:t>
      </w:r>
      <w:r w:rsidRPr="004542B5">
        <w:rPr>
          <w:sz w:val="16"/>
          <w:szCs w:val="16"/>
          <w:lang w:val="es-CR"/>
        </w:rPr>
        <w:tab/>
      </w:r>
      <w:r w:rsidRPr="004542B5">
        <w:rPr>
          <w:i/>
          <w:sz w:val="16"/>
          <w:szCs w:val="16"/>
          <w:lang w:val="es-CR"/>
        </w:rPr>
        <w:t>Cf.</w:t>
      </w:r>
      <w:r w:rsidRPr="004542B5">
        <w:rPr>
          <w:sz w:val="16"/>
          <w:szCs w:val="16"/>
          <w:lang w:val="es-CR"/>
        </w:rPr>
        <w:t xml:space="preserve"> </w:t>
      </w:r>
      <w:r w:rsidRPr="004542B5">
        <w:rPr>
          <w:bCs/>
          <w:i/>
          <w:iCs/>
          <w:spacing w:val="-2"/>
          <w:sz w:val="16"/>
          <w:szCs w:val="16"/>
          <w:lang w:val="es-CR"/>
        </w:rPr>
        <w:t>Case of Valle Jaramillo et al. v. Colombia</w:t>
      </w:r>
      <w:r w:rsidRPr="004542B5">
        <w:rPr>
          <w:spacing w:val="-2"/>
          <w:sz w:val="16"/>
          <w:szCs w:val="16"/>
          <w:lang w:val="es-CR"/>
        </w:rPr>
        <w:t xml:space="preserve">, para. </w:t>
      </w:r>
      <w:r w:rsidRPr="004542B5">
        <w:rPr>
          <w:spacing w:val="-2"/>
          <w:sz w:val="16"/>
          <w:szCs w:val="16"/>
          <w:lang w:val="en-US"/>
        </w:rPr>
        <w:t>155</w:t>
      </w:r>
      <w:r w:rsidRPr="004542B5">
        <w:rPr>
          <w:rFonts w:cs="Verdana"/>
          <w:sz w:val="16"/>
          <w:szCs w:val="16"/>
          <w:lang w:val="en-US"/>
        </w:rPr>
        <w:t xml:space="preserve">, and </w:t>
      </w:r>
      <w:r w:rsidRPr="004542B5">
        <w:rPr>
          <w:rFonts w:cs="Verdana"/>
          <w:i/>
          <w:sz w:val="16"/>
          <w:szCs w:val="16"/>
          <w:lang w:val="en-US"/>
        </w:rPr>
        <w:t xml:space="preserve">Case of Furlan and family v. Argentina. Preliminary objections, merits, reparations and costs. </w:t>
      </w:r>
      <w:r w:rsidRPr="004542B5">
        <w:rPr>
          <w:rFonts w:cs="Verdana"/>
          <w:sz w:val="16"/>
          <w:szCs w:val="16"/>
          <w:lang w:val="en-US"/>
        </w:rPr>
        <w:t>Judgment of August 31, 2012. Series C No. 246, para. 194.</w:t>
      </w:r>
    </w:p>
  </w:footnote>
  <w:footnote w:id="244">
    <w:p w14:paraId="41CF63A3" w14:textId="3173304B" w:rsidR="00F87526" w:rsidRPr="004542B5" w:rsidRDefault="00F87526" w:rsidP="00BF7853">
      <w:pPr>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i/>
          <w:sz w:val="16"/>
          <w:szCs w:val="16"/>
          <w:lang w:val="en-US"/>
        </w:rPr>
        <w:t xml:space="preserve">Cf. </w:t>
      </w:r>
      <w:r w:rsidRPr="004542B5">
        <w:rPr>
          <w:rFonts w:cs="Verdana"/>
          <w:bCs/>
          <w:i/>
          <w:sz w:val="16"/>
          <w:szCs w:val="16"/>
          <w:lang w:val="en-US"/>
        </w:rPr>
        <w:t xml:space="preserve">Case of the Xákmok Kásek Indigenous Community. v. Paraguay. </w:t>
      </w:r>
      <w:r w:rsidRPr="004542B5">
        <w:rPr>
          <w:rFonts w:cs="Verdana"/>
          <w:i/>
          <w:sz w:val="16"/>
          <w:szCs w:val="16"/>
          <w:lang w:val="en-US"/>
        </w:rPr>
        <w:t>Merits, reparations and costs</w:t>
      </w:r>
      <w:r w:rsidRPr="004542B5">
        <w:rPr>
          <w:rFonts w:cs="Verdana"/>
          <w:sz w:val="16"/>
          <w:szCs w:val="16"/>
          <w:lang w:val="en-US"/>
        </w:rPr>
        <w:t xml:space="preserve">. Judgment of August 24, 2010 Series C No. 214, para. 136, and </w:t>
      </w:r>
      <w:r w:rsidRPr="004542B5">
        <w:rPr>
          <w:rFonts w:cs="Verdana"/>
          <w:i/>
          <w:sz w:val="16"/>
          <w:szCs w:val="16"/>
          <w:lang w:val="en-US"/>
        </w:rPr>
        <w:t>Case of Furlan and family v. Argentina</w:t>
      </w:r>
      <w:r w:rsidRPr="004542B5">
        <w:rPr>
          <w:rFonts w:cs="Verdana"/>
          <w:sz w:val="16"/>
          <w:szCs w:val="16"/>
          <w:lang w:val="en-US"/>
        </w:rPr>
        <w:t>, para. 194.</w:t>
      </w:r>
    </w:p>
  </w:footnote>
  <w:footnote w:id="245">
    <w:p w14:paraId="4C2E4672" w14:textId="29E2C8A6" w:rsidR="00F87526" w:rsidRPr="004542B5" w:rsidRDefault="00F87526" w:rsidP="00BF7853">
      <w:pPr>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i/>
          <w:sz w:val="16"/>
          <w:szCs w:val="16"/>
          <w:lang w:val="en-US"/>
        </w:rPr>
        <w:t>Cf.</w:t>
      </w:r>
      <w:r w:rsidRPr="004542B5">
        <w:rPr>
          <w:sz w:val="16"/>
          <w:szCs w:val="16"/>
          <w:lang w:val="en-US"/>
        </w:rPr>
        <w:t xml:space="preserve"> </w:t>
      </w:r>
      <w:r w:rsidRPr="004542B5">
        <w:rPr>
          <w:bCs/>
          <w:i/>
          <w:color w:val="000000"/>
          <w:sz w:val="16"/>
          <w:szCs w:val="16"/>
          <w:lang w:val="en-US"/>
        </w:rPr>
        <w:t>Case of Valle Jaramillo et al. v. Colombia</w:t>
      </w:r>
      <w:r w:rsidRPr="004542B5">
        <w:rPr>
          <w:bCs/>
          <w:color w:val="000000"/>
          <w:sz w:val="16"/>
          <w:szCs w:val="16"/>
          <w:lang w:val="en-US"/>
        </w:rPr>
        <w:t xml:space="preserve">, </w:t>
      </w:r>
      <w:r w:rsidRPr="004542B5">
        <w:rPr>
          <w:sz w:val="16"/>
          <w:szCs w:val="16"/>
          <w:lang w:val="en-US"/>
        </w:rPr>
        <w:t xml:space="preserve">para. 155, and </w:t>
      </w:r>
      <w:r w:rsidRPr="004542B5">
        <w:rPr>
          <w:rFonts w:cs="Verdana"/>
          <w:i/>
          <w:sz w:val="16"/>
          <w:szCs w:val="16"/>
          <w:lang w:val="en-US"/>
        </w:rPr>
        <w:t>Case of Furlan and family v. Argentina</w:t>
      </w:r>
      <w:r w:rsidRPr="004542B5">
        <w:rPr>
          <w:rFonts w:cs="Verdana"/>
          <w:sz w:val="16"/>
          <w:szCs w:val="16"/>
          <w:lang w:val="en-US"/>
        </w:rPr>
        <w:t>, para. 194.</w:t>
      </w:r>
    </w:p>
  </w:footnote>
  <w:footnote w:id="246">
    <w:p w14:paraId="677F8A61" w14:textId="66FE08A8" w:rsidR="00BD2C34" w:rsidRPr="004542B5" w:rsidRDefault="00BD2C34">
      <w:pPr>
        <w:pStyle w:val="FootnoteText"/>
        <w:rPr>
          <w:lang w:val="en-US"/>
        </w:rPr>
      </w:pPr>
      <w:r w:rsidRPr="004542B5">
        <w:rPr>
          <w:rStyle w:val="FootnoteReference"/>
          <w:lang w:val="en-US"/>
        </w:rPr>
        <w:footnoteRef/>
      </w:r>
    </w:p>
  </w:footnote>
  <w:footnote w:id="247">
    <w:p w14:paraId="1B33EF9F" w14:textId="1BC69693" w:rsidR="00F87526" w:rsidRPr="004542B5" w:rsidRDefault="00F87526" w:rsidP="00BF7853">
      <w:pPr>
        <w:pStyle w:val="Footnotes"/>
        <w:spacing w:before="0"/>
        <w:rPr>
          <w:spacing w:val="-8"/>
          <w:lang w:val="en-US"/>
        </w:rPr>
      </w:pPr>
      <w:r w:rsidRPr="004542B5">
        <w:rPr>
          <w:rStyle w:val="FootnoteReference"/>
          <w:spacing w:val="-8"/>
          <w:szCs w:val="16"/>
          <w:lang w:val="en-US"/>
        </w:rPr>
        <w:footnoteRef/>
      </w:r>
      <w:r w:rsidRPr="004542B5">
        <w:rPr>
          <w:spacing w:val="-8"/>
          <w:lang w:val="en-US"/>
        </w:rPr>
        <w:t xml:space="preserve"> </w:t>
      </w:r>
      <w:r w:rsidRPr="004542B5">
        <w:rPr>
          <w:spacing w:val="-8"/>
          <w:lang w:val="en-US"/>
        </w:rPr>
        <w:tab/>
      </w:r>
      <w:r w:rsidRPr="004542B5">
        <w:rPr>
          <w:i/>
          <w:spacing w:val="-8"/>
          <w:lang w:val="en-US"/>
        </w:rPr>
        <w:t>Cf. Case of Genie Lacayo v. Nicaragua. Merits, reparations and costs</w:t>
      </w:r>
      <w:r w:rsidRPr="004542B5">
        <w:rPr>
          <w:spacing w:val="-8"/>
          <w:lang w:val="en-US"/>
        </w:rPr>
        <w:t xml:space="preserve">. Judgment of January 29, 1997. Series C No. 30, para. 51, and </w:t>
      </w:r>
      <w:r w:rsidRPr="004542B5">
        <w:rPr>
          <w:i/>
          <w:spacing w:val="-8"/>
          <w:lang w:val="en-US"/>
        </w:rPr>
        <w:t>Case of the Pacheco Tineo Family v. Bolivia. Preliminary objections, merits, reparations and costs</w:t>
      </w:r>
      <w:r w:rsidRPr="004542B5">
        <w:rPr>
          <w:spacing w:val="-8"/>
          <w:lang w:val="en-US"/>
        </w:rPr>
        <w:t>. Judgment of November 25, 2013. Series C No. 272, para. 140.</w:t>
      </w:r>
    </w:p>
  </w:footnote>
  <w:footnote w:id="248">
    <w:p w14:paraId="327C7896" w14:textId="43FFE4CD" w:rsidR="00F87526" w:rsidRPr="004542B5" w:rsidRDefault="00F87526" w:rsidP="00BF7853">
      <w:pPr>
        <w:pStyle w:val="Footnotes"/>
        <w:spacing w:before="0"/>
        <w:rPr>
          <w:spacing w:val="-8"/>
          <w:lang w:val="en-US"/>
        </w:rPr>
      </w:pPr>
      <w:r w:rsidRPr="004542B5">
        <w:rPr>
          <w:rStyle w:val="FootnoteReference"/>
          <w:spacing w:val="-8"/>
          <w:szCs w:val="16"/>
          <w:lang w:val="en-US"/>
        </w:rPr>
        <w:footnoteRef/>
      </w:r>
      <w:r w:rsidRPr="004542B5">
        <w:rPr>
          <w:spacing w:val="-8"/>
          <w:lang w:val="en-US"/>
        </w:rPr>
        <w:t xml:space="preserve"> </w:t>
      </w:r>
      <w:r w:rsidRPr="004542B5">
        <w:rPr>
          <w:spacing w:val="-8"/>
          <w:lang w:val="en-US"/>
        </w:rPr>
        <w:tab/>
      </w:r>
      <w:r w:rsidRPr="004542B5">
        <w:rPr>
          <w:i/>
          <w:spacing w:val="-8"/>
          <w:lang w:val="en-US"/>
        </w:rPr>
        <w:t>Cf. Case of Chocrón</w:t>
      </w:r>
      <w:r w:rsidR="00285F7A" w:rsidRPr="004542B5">
        <w:rPr>
          <w:i/>
          <w:spacing w:val="-8"/>
          <w:lang w:val="en-US"/>
        </w:rPr>
        <w:t xml:space="preserve"> Chocrón</w:t>
      </w:r>
      <w:r w:rsidRPr="004542B5">
        <w:rPr>
          <w:i/>
          <w:spacing w:val="-8"/>
          <w:lang w:val="en-US"/>
        </w:rPr>
        <w:t xml:space="preserve"> v. Venezuela</w:t>
      </w:r>
      <w:r w:rsidRPr="004542B5">
        <w:rPr>
          <w:spacing w:val="-8"/>
          <w:lang w:val="en-US"/>
        </w:rPr>
        <w:t xml:space="preserve">, para. 140, and </w:t>
      </w:r>
      <w:r w:rsidRPr="004542B5">
        <w:rPr>
          <w:i/>
          <w:spacing w:val="-8"/>
          <w:lang w:val="en-US"/>
        </w:rPr>
        <w:t>Case of the Pacheco Tineo Family v. Bolivia</w:t>
      </w:r>
      <w:r w:rsidRPr="004542B5">
        <w:rPr>
          <w:spacing w:val="-8"/>
          <w:lang w:val="en-US"/>
        </w:rPr>
        <w:t>, para. 140.</w:t>
      </w:r>
    </w:p>
  </w:footnote>
  <w:footnote w:id="249">
    <w:p w14:paraId="6C2AD374" w14:textId="4E33AB7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 Commission indicated that the last paragraph of this article on agrarian policy establishes that this policy “shall be applicable to the indigenous communities based on scientific methods of cultural change” (merits file, folio 95).</w:t>
      </w:r>
    </w:p>
  </w:footnote>
  <w:footnote w:id="250">
    <w:p w14:paraId="41FEF57D" w14:textId="29B064D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It also indicated that education and development will necessarily result in changes in their world view and the references to their environment, which will never be violated, but there must be an adaptation that promotes a balance between protecting their culture and promoting their social development.</w:t>
      </w:r>
    </w:p>
  </w:footnote>
  <w:footnote w:id="251">
    <w:p w14:paraId="6D1C890F" w14:textId="3B96853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The State also referred to access to health care services and indicated that access to work had been widely recognized </w:t>
      </w:r>
      <w:r w:rsidR="00A9377B" w:rsidRPr="004542B5">
        <w:rPr>
          <w:szCs w:val="16"/>
          <w:lang w:val="en-US"/>
        </w:rPr>
        <w:t>to guarantee</w:t>
      </w:r>
      <w:r w:rsidRPr="004542B5">
        <w:rPr>
          <w:szCs w:val="16"/>
          <w:lang w:val="en-US"/>
        </w:rPr>
        <w:t xml:space="preserve"> without distinction based on race or creed, the same opportunties as the rest of the Panamanians.</w:t>
      </w:r>
    </w:p>
  </w:footnote>
  <w:footnote w:id="252">
    <w:p w14:paraId="7AC2FDAE" w14:textId="4AC42006" w:rsidR="00F87526" w:rsidRPr="004542B5" w:rsidRDefault="00F87526" w:rsidP="00BF7853">
      <w:pPr>
        <w:pStyle w:val="2Footnotes"/>
        <w:spacing w:before="0"/>
        <w:rPr>
          <w:szCs w:val="16"/>
          <w:lang w:val="en-US"/>
        </w:rPr>
      </w:pPr>
      <w:r w:rsidRPr="004542B5">
        <w:rPr>
          <w:rStyle w:val="FootnoteReference"/>
          <w:rFonts w:eastAsia="Batang"/>
          <w:szCs w:val="16"/>
          <w:lang w:val="en-US"/>
        </w:rPr>
        <w:footnoteRef/>
      </w:r>
      <w:r w:rsidRPr="004542B5">
        <w:rPr>
          <w:szCs w:val="16"/>
          <w:lang w:val="en-US"/>
        </w:rPr>
        <w:t xml:space="preserve"> </w:t>
      </w:r>
      <w:r w:rsidRPr="004542B5">
        <w:rPr>
          <w:szCs w:val="16"/>
          <w:lang w:val="en-US"/>
        </w:rPr>
        <w:tab/>
        <w:t>Article 63(1) of the American Convention establishes: “</w:t>
      </w:r>
      <w:r w:rsidRPr="004542B5">
        <w:rPr>
          <w:spacing w:val="-3"/>
          <w:szCs w:val="16"/>
          <w:lang w:val="en-US"/>
        </w:rPr>
        <w:t>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4542B5">
        <w:rPr>
          <w:szCs w:val="16"/>
          <w:lang w:val="en-US"/>
        </w:rPr>
        <w:t>”</w:t>
      </w:r>
    </w:p>
  </w:footnote>
  <w:footnote w:id="253">
    <w:p w14:paraId="258AF885" w14:textId="758ABA91" w:rsidR="00F87526" w:rsidRPr="004542B5" w:rsidRDefault="00F87526" w:rsidP="00BF7853">
      <w:pPr>
        <w:pStyle w:val="2Footnotes"/>
        <w:spacing w:before="0"/>
        <w:rPr>
          <w:szCs w:val="16"/>
          <w:lang w:val="en-US"/>
        </w:rPr>
      </w:pPr>
      <w:r w:rsidRPr="004542B5">
        <w:rPr>
          <w:rStyle w:val="FootnoteReference"/>
          <w:rFonts w:eastAsia="Batang"/>
          <w:szCs w:val="16"/>
          <w:lang w:val="en-US"/>
        </w:rPr>
        <w:footnoteRef/>
      </w:r>
      <w:r w:rsidRPr="004542B5">
        <w:rPr>
          <w:szCs w:val="16"/>
          <w:lang w:val="es-CR"/>
        </w:rPr>
        <w:t xml:space="preserve"> </w:t>
      </w:r>
      <w:r w:rsidRPr="004542B5">
        <w:rPr>
          <w:szCs w:val="16"/>
          <w:lang w:val="es-CR"/>
        </w:rPr>
        <w:tab/>
      </w:r>
      <w:r w:rsidRPr="004542B5">
        <w:rPr>
          <w:i/>
          <w:szCs w:val="16"/>
          <w:lang w:val="es-CR" w:bidi="en-US"/>
        </w:rPr>
        <w:t xml:space="preserve">Cf. </w:t>
      </w:r>
      <w:r w:rsidRPr="004542B5">
        <w:rPr>
          <w:rFonts w:cs="Verdana"/>
          <w:i/>
          <w:szCs w:val="16"/>
          <w:lang w:val="es-CR" w:bidi="en-US"/>
        </w:rPr>
        <w:t>Case of Velásquez Rodríguez v. Honduras.</w:t>
      </w:r>
      <w:r w:rsidRPr="004542B5">
        <w:rPr>
          <w:rFonts w:cs="Verdana"/>
          <w:szCs w:val="16"/>
          <w:lang w:val="es-CR" w:bidi="en-US"/>
        </w:rPr>
        <w:t xml:space="preserve"> </w:t>
      </w:r>
      <w:r w:rsidRPr="004542B5">
        <w:rPr>
          <w:rFonts w:cs="Verdana"/>
          <w:i/>
          <w:szCs w:val="16"/>
          <w:lang w:val="en-US" w:bidi="en-US"/>
        </w:rPr>
        <w:t>Reparations and costs</w:t>
      </w:r>
      <w:r w:rsidRPr="004542B5">
        <w:rPr>
          <w:rFonts w:cs="Verdana"/>
          <w:szCs w:val="16"/>
          <w:lang w:val="en-US" w:bidi="en-US"/>
        </w:rPr>
        <w:t xml:space="preserve">, para. 25, and </w:t>
      </w:r>
      <w:r w:rsidRPr="004542B5">
        <w:rPr>
          <w:i/>
          <w:szCs w:val="16"/>
          <w:lang w:val="en-US"/>
        </w:rPr>
        <w:t>Case of the Human Rights Defender et al. v. Guatemala</w:t>
      </w:r>
      <w:r w:rsidRPr="004542B5">
        <w:rPr>
          <w:szCs w:val="16"/>
          <w:lang w:val="en-US"/>
        </w:rPr>
        <w:t>, para. 243</w:t>
      </w:r>
      <w:r w:rsidRPr="004542B5">
        <w:rPr>
          <w:rFonts w:cs="Verdana"/>
          <w:szCs w:val="16"/>
          <w:lang w:val="en-US" w:bidi="en-US"/>
        </w:rPr>
        <w:t>.</w:t>
      </w:r>
    </w:p>
  </w:footnote>
  <w:footnote w:id="254">
    <w:p w14:paraId="5F6CC6FA" w14:textId="16AF47A1" w:rsidR="00F87526" w:rsidRPr="004542B5" w:rsidRDefault="00F87526" w:rsidP="00BF7853">
      <w:pPr>
        <w:pStyle w:val="2Footnotes"/>
        <w:spacing w:before="0"/>
        <w:rPr>
          <w:szCs w:val="16"/>
          <w:lang w:val="en-US"/>
        </w:rPr>
      </w:pPr>
      <w:r w:rsidRPr="004542B5">
        <w:rPr>
          <w:rStyle w:val="FootnoteReference"/>
          <w:rFonts w:eastAsia="Batang"/>
          <w:szCs w:val="16"/>
          <w:lang w:val="en-US"/>
        </w:rPr>
        <w:footnoteRef/>
      </w:r>
      <w:r w:rsidRPr="004542B5">
        <w:rPr>
          <w:szCs w:val="16"/>
          <w:lang w:val="en-US"/>
        </w:rPr>
        <w:tab/>
      </w:r>
      <w:r w:rsidRPr="004542B5">
        <w:rPr>
          <w:i/>
          <w:szCs w:val="16"/>
          <w:lang w:val="en-US"/>
        </w:rPr>
        <w:t xml:space="preserve">Case of Castillo Páez v. Peru. Reparations and costs, </w:t>
      </w:r>
      <w:r w:rsidRPr="004542B5">
        <w:rPr>
          <w:szCs w:val="16"/>
          <w:lang w:val="en-US"/>
        </w:rPr>
        <w:t xml:space="preserve">para. 50, and </w:t>
      </w:r>
      <w:r w:rsidRPr="004542B5">
        <w:rPr>
          <w:i/>
          <w:szCs w:val="16"/>
          <w:lang w:val="en-US"/>
        </w:rPr>
        <w:t>Case of the Human Rights Defender et al. v. Guatemala</w:t>
      </w:r>
      <w:r w:rsidRPr="004542B5">
        <w:rPr>
          <w:szCs w:val="16"/>
          <w:lang w:val="en-US"/>
        </w:rPr>
        <w:t>, para. 243</w:t>
      </w:r>
      <w:r w:rsidRPr="004542B5">
        <w:rPr>
          <w:rFonts w:cs="Verdana"/>
          <w:szCs w:val="16"/>
          <w:lang w:val="en-US" w:bidi="en-US"/>
        </w:rPr>
        <w:t>.</w:t>
      </w:r>
    </w:p>
  </w:footnote>
  <w:footnote w:id="255">
    <w:p w14:paraId="6B1A5BA7" w14:textId="21F9385B" w:rsidR="00F87526" w:rsidRPr="004542B5" w:rsidRDefault="00F87526" w:rsidP="00BF7853">
      <w:pPr>
        <w:pStyle w:val="2Footnotes"/>
        <w:spacing w:before="0"/>
        <w:rPr>
          <w:szCs w:val="16"/>
          <w:lang w:val="en-US"/>
        </w:rPr>
      </w:pPr>
      <w:r w:rsidRPr="004542B5">
        <w:rPr>
          <w:rStyle w:val="FootnoteReference"/>
          <w:rFonts w:eastAsia="Batang"/>
          <w:szCs w:val="16"/>
          <w:lang w:val="en-US"/>
        </w:rPr>
        <w:footnoteRef/>
      </w:r>
      <w:r w:rsidRPr="004542B5">
        <w:rPr>
          <w:szCs w:val="16"/>
          <w:lang w:val="en-US"/>
        </w:rPr>
        <w:tab/>
      </w:r>
      <w:r w:rsidRPr="004542B5">
        <w:rPr>
          <w:i/>
          <w:szCs w:val="16"/>
          <w:lang w:val="en-US"/>
        </w:rPr>
        <w:t>Cf. Case of Ticona Estrada et al. v. Bolivia</w:t>
      </w:r>
      <w:r w:rsidRPr="004542B5">
        <w:rPr>
          <w:szCs w:val="16"/>
          <w:lang w:val="en-US"/>
        </w:rPr>
        <w:t xml:space="preserve">. </w:t>
      </w:r>
      <w:r w:rsidRPr="004542B5">
        <w:rPr>
          <w:i/>
          <w:szCs w:val="16"/>
          <w:lang w:val="en-US"/>
        </w:rPr>
        <w:t>Merits, reparations and costs</w:t>
      </w:r>
      <w:r w:rsidRPr="004542B5">
        <w:rPr>
          <w:szCs w:val="16"/>
          <w:lang w:val="en-US"/>
        </w:rPr>
        <w:t>, para. 110</w:t>
      </w:r>
      <w:r w:rsidRPr="004542B5">
        <w:rPr>
          <w:color w:val="000000"/>
          <w:szCs w:val="16"/>
          <w:lang w:val="en-US"/>
        </w:rPr>
        <w:t xml:space="preserve">, and </w:t>
      </w:r>
      <w:r w:rsidRPr="004542B5">
        <w:rPr>
          <w:i/>
          <w:szCs w:val="16"/>
          <w:lang w:val="en-US"/>
        </w:rPr>
        <w:t>Case of the Human Rights Defender et al. v. Guatemala</w:t>
      </w:r>
      <w:r w:rsidRPr="004542B5">
        <w:rPr>
          <w:szCs w:val="16"/>
          <w:lang w:val="en-US"/>
        </w:rPr>
        <w:t>, para. 245</w:t>
      </w:r>
      <w:r w:rsidRPr="004542B5">
        <w:rPr>
          <w:rFonts w:cs="Verdana"/>
          <w:szCs w:val="16"/>
          <w:lang w:val="en-US" w:bidi="en-US"/>
        </w:rPr>
        <w:t>.</w:t>
      </w:r>
    </w:p>
  </w:footnote>
  <w:footnote w:id="256">
    <w:p w14:paraId="6D3B1904" w14:textId="341EFF8A" w:rsidR="00F87526" w:rsidRPr="004542B5" w:rsidRDefault="00F87526" w:rsidP="00BF7853">
      <w:pPr>
        <w:pStyle w:val="2Footnotes"/>
        <w:spacing w:before="0"/>
        <w:rPr>
          <w:szCs w:val="16"/>
          <w:lang w:val="en-US"/>
        </w:rPr>
      </w:pPr>
      <w:r w:rsidRPr="004542B5">
        <w:rPr>
          <w:rStyle w:val="FootnoteReference"/>
          <w:rFonts w:eastAsia="MS Mincho"/>
          <w:szCs w:val="16"/>
          <w:lang w:val="en-US"/>
        </w:rPr>
        <w:footnoteRef/>
      </w:r>
      <w:r w:rsidRPr="004542B5">
        <w:rPr>
          <w:szCs w:val="16"/>
          <w:lang w:val="en-US"/>
        </w:rPr>
        <w:t xml:space="preserve"> </w:t>
      </w:r>
      <w:r w:rsidRPr="004542B5">
        <w:rPr>
          <w:szCs w:val="16"/>
          <w:lang w:val="en-US"/>
        </w:rPr>
        <w:tab/>
      </w:r>
      <w:r w:rsidRPr="004542B5">
        <w:rPr>
          <w:i/>
          <w:szCs w:val="16"/>
          <w:lang w:val="en-US" w:bidi="en-US"/>
        </w:rPr>
        <w:t xml:space="preserve">Cf. </w:t>
      </w:r>
      <w:r w:rsidRPr="004542B5">
        <w:rPr>
          <w:rFonts w:cs="Verdana"/>
          <w:i/>
          <w:szCs w:val="16"/>
          <w:lang w:val="en-US" w:bidi="en-US"/>
        </w:rPr>
        <w:t>Case of Velásquez Rodríguez v. Honduras.</w:t>
      </w:r>
      <w:r w:rsidRPr="004542B5">
        <w:rPr>
          <w:rFonts w:cs="Verdana"/>
          <w:szCs w:val="16"/>
          <w:lang w:val="en-US" w:bidi="en-US"/>
        </w:rPr>
        <w:t xml:space="preserve"> </w:t>
      </w:r>
      <w:r w:rsidRPr="004542B5">
        <w:rPr>
          <w:rFonts w:cs="Verdana"/>
          <w:i/>
          <w:szCs w:val="16"/>
          <w:lang w:val="en-US" w:bidi="en-US"/>
        </w:rPr>
        <w:t>Reparations and costs</w:t>
      </w:r>
      <w:r w:rsidRPr="004542B5">
        <w:rPr>
          <w:rFonts w:cs="Verdana"/>
          <w:szCs w:val="16"/>
          <w:lang w:val="en-US" w:bidi="en-US"/>
        </w:rPr>
        <w:t xml:space="preserve">, para. 26, and </w:t>
      </w:r>
      <w:r w:rsidRPr="004542B5">
        <w:rPr>
          <w:i/>
          <w:szCs w:val="16"/>
          <w:lang w:val="en-US" w:bidi="en-US"/>
        </w:rPr>
        <w:t xml:space="preserve">Case of Osorio Rivera and family members v. Peru. Preliminary objections, merits, reparations and costs. </w:t>
      </w:r>
      <w:r w:rsidRPr="004542B5">
        <w:rPr>
          <w:szCs w:val="16"/>
          <w:lang w:val="en-US" w:bidi="en-US"/>
        </w:rPr>
        <w:t>Judgment of November 26, 2013. Series C No. 274, para. 236</w:t>
      </w:r>
      <w:r w:rsidRPr="004542B5">
        <w:rPr>
          <w:rFonts w:cs="Verdana"/>
          <w:szCs w:val="16"/>
          <w:lang w:val="en-US" w:bidi="en-US"/>
        </w:rPr>
        <w:t>.</w:t>
      </w:r>
    </w:p>
  </w:footnote>
  <w:footnote w:id="257">
    <w:p w14:paraId="0F3B9855" w14:textId="560C79A6" w:rsidR="00F87526" w:rsidRPr="004542B5" w:rsidRDefault="00F87526" w:rsidP="00BF7853">
      <w:pPr>
        <w:pStyle w:val="2Footnotes"/>
        <w:spacing w:before="0"/>
        <w:rPr>
          <w:szCs w:val="16"/>
          <w:lang w:val="en-US"/>
        </w:rPr>
      </w:pPr>
      <w:r w:rsidRPr="004542B5">
        <w:rPr>
          <w:rStyle w:val="FootnoteReference"/>
          <w:rFonts w:eastAsia="Batang"/>
          <w:szCs w:val="16"/>
          <w:lang w:val="en-US"/>
        </w:rPr>
        <w:footnoteRef/>
      </w:r>
      <w:r w:rsidRPr="004542B5">
        <w:rPr>
          <w:szCs w:val="16"/>
          <w:lang w:val="en-US"/>
        </w:rPr>
        <w:t xml:space="preserve"> </w:t>
      </w:r>
      <w:r w:rsidRPr="004542B5">
        <w:rPr>
          <w:szCs w:val="16"/>
          <w:lang w:val="en-US"/>
        </w:rPr>
        <w:tab/>
      </w:r>
      <w:r w:rsidRPr="004542B5">
        <w:rPr>
          <w:i/>
          <w:szCs w:val="16"/>
          <w:lang w:val="en-US" w:bidi="en-US"/>
        </w:rPr>
        <w:t>Cf.</w:t>
      </w:r>
      <w:r w:rsidRPr="004542B5">
        <w:rPr>
          <w:i/>
          <w:szCs w:val="16"/>
          <w:lang w:val="en-US"/>
        </w:rPr>
        <w:t xml:space="preserve"> </w:t>
      </w:r>
      <w:r w:rsidRPr="004542B5">
        <w:rPr>
          <w:rFonts w:cs="Verdana"/>
          <w:bCs/>
          <w:i/>
          <w:szCs w:val="16"/>
          <w:lang w:val="en-US"/>
        </w:rPr>
        <w:t xml:space="preserve">Case of the “Mapiripán Massacre” v. Colombia. </w:t>
      </w:r>
      <w:r w:rsidRPr="004542B5">
        <w:rPr>
          <w:i/>
          <w:szCs w:val="16"/>
          <w:lang w:val="en-US"/>
        </w:rPr>
        <w:t>Merits, reparations and costs</w:t>
      </w:r>
      <w:r w:rsidRPr="004542B5">
        <w:rPr>
          <w:rFonts w:cs="Verdana"/>
          <w:bCs/>
          <w:szCs w:val="16"/>
          <w:lang w:val="en-US"/>
        </w:rPr>
        <w:t xml:space="preserve">, para. 294, and </w:t>
      </w:r>
      <w:r w:rsidRPr="004542B5">
        <w:rPr>
          <w:i/>
          <w:szCs w:val="16"/>
          <w:lang w:val="en-US" w:bidi="en-US"/>
        </w:rPr>
        <w:t>Case of</w:t>
      </w:r>
      <w:r w:rsidRPr="004542B5">
        <w:rPr>
          <w:i/>
          <w:spacing w:val="-8"/>
          <w:szCs w:val="16"/>
          <w:lang w:val="en-US"/>
        </w:rPr>
        <w:t xml:space="preserve"> the Pacheco Tineo Family </w:t>
      </w:r>
      <w:r w:rsidRPr="004542B5">
        <w:rPr>
          <w:i/>
          <w:szCs w:val="16"/>
          <w:lang w:val="en-US" w:bidi="en-US"/>
        </w:rPr>
        <w:t>v. Bolivia</w:t>
      </w:r>
      <w:r w:rsidRPr="004542B5">
        <w:rPr>
          <w:szCs w:val="16"/>
          <w:lang w:val="en-US" w:bidi="en-US"/>
        </w:rPr>
        <w:t>, para. 241</w:t>
      </w:r>
      <w:r w:rsidRPr="004542B5">
        <w:rPr>
          <w:rFonts w:cs="Verdana"/>
          <w:szCs w:val="16"/>
          <w:lang w:val="en-US" w:bidi="en-US"/>
        </w:rPr>
        <w:t xml:space="preserve">. </w:t>
      </w:r>
    </w:p>
  </w:footnote>
  <w:footnote w:id="258">
    <w:p w14:paraId="7C4F9B50" w14:textId="3714CECA"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The State made no specific reference to the reparations requested by the Commission and the representatives; it </w:t>
      </w:r>
      <w:r w:rsidR="002F3FFD" w:rsidRPr="004542B5">
        <w:rPr>
          <w:szCs w:val="16"/>
          <w:lang w:val="en-US"/>
        </w:rPr>
        <w:t>only addressed</w:t>
      </w:r>
      <w:r w:rsidRPr="004542B5">
        <w:rPr>
          <w:szCs w:val="16"/>
          <w:lang w:val="en-US"/>
        </w:rPr>
        <w:t xml:space="preserve"> the failure to pay compensation, and to demarcate and protect the territories (as well as the supposed discrimination), in response to the alleged violations.</w:t>
      </w:r>
    </w:p>
  </w:footnote>
  <w:footnote w:id="259">
    <w:p w14:paraId="1506533C" w14:textId="630A1F0A" w:rsidR="00F87526" w:rsidRPr="004542B5" w:rsidRDefault="00F87526" w:rsidP="00BF7853">
      <w:pPr>
        <w:pStyle w:val="2Footnotes"/>
        <w:spacing w:before="0"/>
        <w:rPr>
          <w:rFonts w:cs="Verdana"/>
          <w:szCs w:val="16"/>
          <w:lang w:val="en-US"/>
        </w:rPr>
      </w:pPr>
      <w:r w:rsidRPr="004542B5">
        <w:rPr>
          <w:rStyle w:val="FootnoteReference"/>
          <w:rFonts w:eastAsia="Batang"/>
          <w:szCs w:val="16"/>
          <w:lang w:val="en-US"/>
        </w:rPr>
        <w:footnoteRef/>
      </w:r>
      <w:r w:rsidRPr="004542B5">
        <w:rPr>
          <w:szCs w:val="16"/>
          <w:lang w:val="es-CR"/>
        </w:rPr>
        <w:t xml:space="preserve"> </w:t>
      </w:r>
      <w:r w:rsidRPr="004542B5">
        <w:rPr>
          <w:szCs w:val="16"/>
          <w:lang w:val="es-CR"/>
        </w:rPr>
        <w:tab/>
      </w:r>
      <w:r w:rsidRPr="004542B5">
        <w:rPr>
          <w:rFonts w:cs="Verdana"/>
          <w:i/>
          <w:szCs w:val="16"/>
          <w:lang w:val="es-CR" w:bidi="en-US"/>
        </w:rPr>
        <w:t xml:space="preserve">Cf. </w:t>
      </w:r>
      <w:r w:rsidRPr="004542B5">
        <w:rPr>
          <w:i/>
          <w:szCs w:val="16"/>
          <w:lang w:val="es-CR" w:bidi="en-US"/>
        </w:rPr>
        <w:t xml:space="preserve">Case of Velásquez Rodríguez v. Honduras. </w:t>
      </w:r>
      <w:r w:rsidRPr="004542B5">
        <w:rPr>
          <w:i/>
          <w:szCs w:val="16"/>
          <w:lang w:val="en-US" w:bidi="en-US"/>
        </w:rPr>
        <w:t>Reparations and costs</w:t>
      </w:r>
      <w:r w:rsidRPr="004542B5">
        <w:rPr>
          <w:szCs w:val="16"/>
          <w:lang w:val="en-US"/>
        </w:rPr>
        <w:t xml:space="preserve">, </w:t>
      </w:r>
      <w:r w:rsidRPr="004542B5">
        <w:rPr>
          <w:szCs w:val="16"/>
          <w:lang w:val="en-US" w:bidi="en-US"/>
        </w:rPr>
        <w:t xml:space="preserve">paras. 25 to 27, and </w:t>
      </w:r>
      <w:r w:rsidRPr="004542B5">
        <w:rPr>
          <w:i/>
          <w:szCs w:val="16"/>
          <w:lang w:val="en-US"/>
        </w:rPr>
        <w:t>Case of the Afro-descendant Communities Displaced from the Río Cacarica Basin (Operation Genesis) v. Colombia</w:t>
      </w:r>
      <w:r w:rsidRPr="004542B5">
        <w:rPr>
          <w:rFonts w:cs="Verdana"/>
          <w:szCs w:val="16"/>
          <w:lang w:val="en-US" w:bidi="en-US"/>
        </w:rPr>
        <w:t>, para. 413.</w:t>
      </w:r>
    </w:p>
  </w:footnote>
  <w:footnote w:id="260">
    <w:p w14:paraId="2EB3F259" w14:textId="7799A202" w:rsidR="00F87526" w:rsidRPr="004542B5" w:rsidRDefault="00F87526" w:rsidP="00BF7853">
      <w:pPr>
        <w:spacing w:after="120"/>
        <w:rPr>
          <w:rFonts w:cs="Arial"/>
          <w:color w:val="262626"/>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i/>
          <w:sz w:val="16"/>
          <w:szCs w:val="16"/>
          <w:lang w:val="en-US"/>
        </w:rPr>
        <w:t>Cf. Case of the “Street Children” (Villagrán Morales et al.)  v. Guatemala. Reparations and costs</w:t>
      </w:r>
      <w:r w:rsidRPr="004542B5">
        <w:rPr>
          <w:sz w:val="16"/>
          <w:szCs w:val="16"/>
          <w:lang w:val="en-US"/>
        </w:rPr>
        <w:t xml:space="preserve">, para. 84, and </w:t>
      </w:r>
      <w:r w:rsidRPr="004542B5">
        <w:rPr>
          <w:i/>
          <w:sz w:val="16"/>
          <w:szCs w:val="16"/>
          <w:lang w:val="en-US"/>
        </w:rPr>
        <w:t>Case of the Afro-descendant Communities Displaced from the Río Cacarica Basin (Operation Genesis) v. Colombia</w:t>
      </w:r>
      <w:r w:rsidRPr="004542B5">
        <w:rPr>
          <w:rFonts w:cs="Verdana"/>
          <w:sz w:val="16"/>
          <w:szCs w:val="16"/>
          <w:lang w:val="en-US" w:bidi="en-US"/>
        </w:rPr>
        <w:t>, para. 441</w:t>
      </w:r>
      <w:r w:rsidRPr="004542B5">
        <w:rPr>
          <w:sz w:val="16"/>
          <w:szCs w:val="16"/>
          <w:lang w:val="en-US"/>
        </w:rPr>
        <w:t>.</w:t>
      </w:r>
    </w:p>
  </w:footnote>
  <w:footnote w:id="261">
    <w:p w14:paraId="48651A19" w14:textId="656B1854" w:rsidR="00F87526" w:rsidRPr="004542B5" w:rsidRDefault="00F87526" w:rsidP="00BF7853">
      <w:pPr>
        <w:pStyle w:val="2Footnotes"/>
        <w:spacing w:before="0"/>
        <w:rPr>
          <w:szCs w:val="16"/>
          <w:lang w:val="en-US"/>
        </w:rPr>
      </w:pPr>
      <w:r w:rsidRPr="004542B5">
        <w:rPr>
          <w:rStyle w:val="FootnoteReference"/>
          <w:rFonts w:eastAsia="Batang"/>
          <w:szCs w:val="16"/>
          <w:lang w:val="en-US"/>
        </w:rPr>
        <w:footnoteRef/>
      </w:r>
      <w:r w:rsidRPr="004542B5">
        <w:rPr>
          <w:szCs w:val="16"/>
          <w:lang w:val="en-US"/>
        </w:rPr>
        <w:t xml:space="preserve"> </w:t>
      </w:r>
      <w:r w:rsidRPr="004542B5">
        <w:rPr>
          <w:szCs w:val="16"/>
          <w:lang w:val="en-US"/>
        </w:rPr>
        <w:tab/>
      </w:r>
      <w:r w:rsidRPr="004542B5">
        <w:rPr>
          <w:i/>
          <w:szCs w:val="16"/>
          <w:lang w:val="en-US"/>
        </w:rPr>
        <w:t>Cf. Case of Neira Alegría et al. v. Peru. Reparations and costs</w:t>
      </w:r>
      <w:r w:rsidRPr="004542B5">
        <w:rPr>
          <w:szCs w:val="16"/>
          <w:lang w:val="en-US"/>
        </w:rPr>
        <w:t>, para. 56, and</w:t>
      </w:r>
      <w:r w:rsidRPr="004542B5">
        <w:rPr>
          <w:i/>
          <w:szCs w:val="16"/>
          <w:lang w:val="en-US"/>
        </w:rPr>
        <w:t xml:space="preserve"> Case of Expelled Dominicans and Haitians v. Dominican Republic. Preliminary objections, merits, reparations and costs. </w:t>
      </w:r>
      <w:r w:rsidRPr="004542B5">
        <w:rPr>
          <w:szCs w:val="16"/>
          <w:lang w:val="en-US"/>
        </w:rPr>
        <w:t>Judgment of August 28, 2014. Series C No. 282, para. 448.</w:t>
      </w:r>
    </w:p>
  </w:footnote>
  <w:footnote w:id="262">
    <w:p w14:paraId="69A6FBC9" w14:textId="3AD7B2CA" w:rsidR="00F87526" w:rsidRPr="004542B5" w:rsidRDefault="00F87526" w:rsidP="00BF7853">
      <w:pPr>
        <w:pStyle w:val="2Footnotes"/>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bCs/>
          <w:i/>
          <w:szCs w:val="16"/>
          <w:lang w:val="en-US"/>
        </w:rPr>
        <w:t xml:space="preserve">Cf. </w:t>
      </w:r>
      <w:r w:rsidRPr="004542B5">
        <w:rPr>
          <w:i/>
          <w:szCs w:val="16"/>
          <w:lang w:val="en-US"/>
        </w:rPr>
        <w:t>Case of Cantoral Benavides v. Peru</w:t>
      </w:r>
      <w:r w:rsidRPr="004542B5">
        <w:rPr>
          <w:szCs w:val="16"/>
          <w:lang w:val="en-US"/>
        </w:rPr>
        <w:t xml:space="preserve">. Reparations and costs. Judgment of December 3, 2001. Series C No. 88, </w:t>
      </w:r>
      <w:r w:rsidRPr="004542B5">
        <w:rPr>
          <w:bCs/>
          <w:szCs w:val="16"/>
          <w:lang w:val="en-US"/>
        </w:rPr>
        <w:t>para. 79,</w:t>
      </w:r>
      <w:r w:rsidRPr="004542B5">
        <w:rPr>
          <w:szCs w:val="16"/>
          <w:lang w:val="en-US"/>
        </w:rPr>
        <w:t xml:space="preserve"> and </w:t>
      </w:r>
      <w:r w:rsidRPr="004542B5">
        <w:rPr>
          <w:rFonts w:cs="Verdana"/>
          <w:i/>
          <w:szCs w:val="16"/>
          <w:lang w:val="en-US" w:bidi="en-US"/>
        </w:rPr>
        <w:t>Case of the Human Rights Defender et al. v. Guatemala</w:t>
      </w:r>
      <w:r w:rsidRPr="004542B5">
        <w:rPr>
          <w:szCs w:val="16"/>
          <w:lang w:val="en-US"/>
        </w:rPr>
        <w:t>, para. 261.</w:t>
      </w:r>
    </w:p>
  </w:footnote>
  <w:footnote w:id="263">
    <w:p w14:paraId="46162B88" w14:textId="721AE107" w:rsidR="00F87526" w:rsidRPr="004542B5" w:rsidRDefault="00F87526" w:rsidP="002F3FFD">
      <w:pPr>
        <w:spacing w:after="120"/>
        <w:ind w:right="-29"/>
        <w:rPr>
          <w:rFonts w:cs="Arial"/>
          <w:spacing w:val="-4"/>
          <w:sz w:val="16"/>
          <w:szCs w:val="16"/>
          <w:lang w:val="en-US"/>
        </w:rPr>
      </w:pPr>
      <w:r w:rsidRPr="004542B5">
        <w:rPr>
          <w:rStyle w:val="FootnoteReference"/>
          <w:rFonts w:eastAsiaTheme="majorEastAsia"/>
          <w:spacing w:val="-4"/>
          <w:sz w:val="16"/>
          <w:szCs w:val="16"/>
          <w:lang w:val="en-US"/>
        </w:rPr>
        <w:footnoteRef/>
      </w:r>
      <w:r w:rsidRPr="004542B5">
        <w:rPr>
          <w:spacing w:val="-4"/>
          <w:sz w:val="16"/>
          <w:szCs w:val="16"/>
          <w:lang w:val="en-US"/>
        </w:rPr>
        <w:t xml:space="preserve"> </w:t>
      </w:r>
      <w:r w:rsidRPr="004542B5">
        <w:rPr>
          <w:spacing w:val="-4"/>
          <w:sz w:val="16"/>
          <w:szCs w:val="16"/>
          <w:lang w:val="en-US"/>
        </w:rPr>
        <w:tab/>
      </w:r>
      <w:r w:rsidRPr="004542B5">
        <w:rPr>
          <w:rStyle w:val="sb8d990e2"/>
          <w:rFonts w:cs="Arial"/>
          <w:i/>
          <w:color w:val="000000"/>
          <w:spacing w:val="-4"/>
          <w:sz w:val="16"/>
          <w:szCs w:val="16"/>
          <w:lang w:val="en-US"/>
        </w:rPr>
        <w:t>Cf.</w:t>
      </w:r>
      <w:r w:rsidRPr="004542B5">
        <w:rPr>
          <w:rStyle w:val="sb8d990e2"/>
          <w:rFonts w:cs="Arial"/>
          <w:color w:val="000000"/>
          <w:spacing w:val="-4"/>
          <w:sz w:val="16"/>
          <w:szCs w:val="16"/>
          <w:lang w:val="en-US"/>
        </w:rPr>
        <w:t xml:space="preserve"> </w:t>
      </w:r>
      <w:r w:rsidRPr="004542B5">
        <w:rPr>
          <w:rFonts w:cs="Arial"/>
          <w:i/>
          <w:iCs/>
          <w:spacing w:val="-4"/>
          <w:sz w:val="16"/>
          <w:szCs w:val="16"/>
          <w:lang w:val="en-US"/>
        </w:rPr>
        <w:t xml:space="preserve">Case of the Yakye Axa Indigenous Community </w:t>
      </w:r>
      <w:r w:rsidRPr="004542B5">
        <w:rPr>
          <w:rFonts w:cs="Arial"/>
          <w:i/>
          <w:spacing w:val="-4"/>
          <w:sz w:val="16"/>
          <w:szCs w:val="16"/>
          <w:lang w:val="en-US"/>
        </w:rPr>
        <w:t>v. Paraguay</w:t>
      </w:r>
      <w:r w:rsidRPr="004542B5">
        <w:rPr>
          <w:rFonts w:cs="Arial"/>
          <w:spacing w:val="-4"/>
          <w:sz w:val="16"/>
          <w:szCs w:val="16"/>
          <w:lang w:val="en-US"/>
        </w:rPr>
        <w:t xml:space="preserve">, para. 227, and </w:t>
      </w:r>
      <w:r w:rsidRPr="004542B5">
        <w:rPr>
          <w:rFonts w:cs="Arial"/>
          <w:i/>
          <w:spacing w:val="-4"/>
          <w:sz w:val="16"/>
          <w:szCs w:val="16"/>
          <w:lang w:val="en-US"/>
        </w:rPr>
        <w:t>Case of the Kichwa Indigenous People of Sarayaku v. Ecuador</w:t>
      </w:r>
      <w:r w:rsidRPr="004542B5">
        <w:rPr>
          <w:rFonts w:cs="Arial"/>
          <w:spacing w:val="-4"/>
          <w:sz w:val="16"/>
          <w:szCs w:val="16"/>
          <w:lang w:val="en-US"/>
        </w:rPr>
        <w:t>, para. 308.</w:t>
      </w:r>
    </w:p>
  </w:footnote>
  <w:footnote w:id="264">
    <w:p w14:paraId="5B90CE41" w14:textId="7ED8458F" w:rsidR="00F87526" w:rsidRPr="004542B5" w:rsidRDefault="00F87526" w:rsidP="00BF7853">
      <w:pPr>
        <w:pStyle w:val="FootnoteText"/>
        <w:spacing w:before="0"/>
        <w:rPr>
          <w:rFonts w:eastAsia="Times New Roman" w:cs="Palatino-Italic"/>
          <w:iCs/>
          <w:szCs w:val="16"/>
          <w:lang w:val="en-US"/>
        </w:rPr>
      </w:pPr>
      <w:r w:rsidRPr="004542B5">
        <w:rPr>
          <w:rStyle w:val="FootnoteReference"/>
          <w:rFonts w:eastAsia="Arial Unicode MS" w:cs="Arial Unicode MS"/>
          <w:szCs w:val="16"/>
          <w:lang w:val="en-US"/>
        </w:rPr>
        <w:footnoteRef/>
      </w:r>
      <w:r w:rsidRPr="004542B5">
        <w:rPr>
          <w:rFonts w:eastAsia="Times New Roman" w:cs="Palatino-Italic"/>
          <w:iCs/>
          <w:szCs w:val="16"/>
          <w:lang w:val="en-US"/>
        </w:rPr>
        <w:t xml:space="preserve"> </w:t>
      </w:r>
      <w:r w:rsidRPr="004542B5">
        <w:rPr>
          <w:rFonts w:eastAsia="Times New Roman" w:cs="Palatino-Italic"/>
          <w:iCs/>
          <w:szCs w:val="16"/>
          <w:lang w:val="en-US"/>
        </w:rPr>
        <w:tab/>
      </w:r>
      <w:r w:rsidRPr="004542B5">
        <w:rPr>
          <w:rFonts w:eastAsia="Times New Roman" w:cs="Palatino-Italic"/>
          <w:i/>
          <w:iCs/>
          <w:szCs w:val="16"/>
          <w:lang w:val="en-US"/>
        </w:rPr>
        <w:t>Cf.</w:t>
      </w:r>
      <w:r w:rsidRPr="004542B5">
        <w:rPr>
          <w:rFonts w:eastAsia="Times New Roman" w:cs="Palatino-Italic"/>
          <w:iCs/>
          <w:szCs w:val="16"/>
          <w:lang w:val="en-US"/>
        </w:rPr>
        <w:t xml:space="preserve"> </w:t>
      </w:r>
      <w:r w:rsidRPr="004542B5">
        <w:rPr>
          <w:rFonts w:eastAsia="Times New Roman" w:cs="Palatino-Italic"/>
          <w:i/>
          <w:szCs w:val="16"/>
          <w:lang w:val="en-US"/>
        </w:rPr>
        <w:t>Case of González et al. (“Cotton Field”) v. Mexico. Preliminary objection, merits, reparations and costs.</w:t>
      </w:r>
      <w:r w:rsidRPr="004542B5">
        <w:rPr>
          <w:rFonts w:eastAsia="Times New Roman" w:cs="Palatino-Italic"/>
          <w:iCs/>
          <w:szCs w:val="16"/>
          <w:lang w:val="en-US"/>
        </w:rPr>
        <w:t xml:space="preserve"> Judgment of November 16, 2009. Series C No. 205, para. 469 (sixteenth operative paragraph), and </w:t>
      </w:r>
      <w:r w:rsidRPr="004542B5">
        <w:rPr>
          <w:bCs/>
          <w:i/>
          <w:szCs w:val="16"/>
          <w:lang w:val="en-US" w:bidi="en-US"/>
        </w:rPr>
        <w:t>Case of the Landaeta Mejías Brothers et al. v. Venezuela</w:t>
      </w:r>
      <w:r w:rsidRPr="004542B5">
        <w:rPr>
          <w:rFonts w:eastAsia="Times New Roman" w:cs="Palatino-Italic"/>
          <w:iCs/>
          <w:szCs w:val="16"/>
          <w:lang w:val="en-US"/>
        </w:rPr>
        <w:t>, para. 307.</w:t>
      </w:r>
    </w:p>
  </w:footnote>
  <w:footnote w:id="265">
    <w:p w14:paraId="4FAF3CD5" w14:textId="49F16860" w:rsidR="00F87526" w:rsidRPr="004542B5" w:rsidRDefault="00F87526" w:rsidP="00BF7853">
      <w:pPr>
        <w:pStyle w:val="FootnoteText"/>
        <w:spacing w:before="0"/>
        <w:rPr>
          <w:rFonts w:eastAsia="Times New Roman" w:cs="Palatino-Italic"/>
          <w:iCs/>
          <w:szCs w:val="16"/>
          <w:lang w:val="en-US"/>
        </w:rPr>
      </w:pPr>
      <w:r w:rsidRPr="004542B5">
        <w:rPr>
          <w:rStyle w:val="FootnoteReference"/>
          <w:rFonts w:eastAsia="Arial Unicode MS" w:cs="Arial Unicode MS"/>
          <w:szCs w:val="16"/>
          <w:lang w:val="en-US"/>
        </w:rPr>
        <w:footnoteRef/>
      </w:r>
      <w:r w:rsidRPr="004542B5">
        <w:rPr>
          <w:szCs w:val="16"/>
          <w:lang w:val="en-US"/>
        </w:rPr>
        <w:t xml:space="preserve"> </w:t>
      </w:r>
      <w:r w:rsidRPr="004542B5">
        <w:rPr>
          <w:szCs w:val="16"/>
          <w:lang w:val="en-US"/>
        </w:rPr>
        <w:tab/>
      </w:r>
      <w:r w:rsidRPr="004542B5">
        <w:rPr>
          <w:rFonts w:eastAsia="Times New Roman" w:cs="Palatino-Italic"/>
          <w:i/>
          <w:iCs/>
          <w:szCs w:val="16"/>
          <w:lang w:val="en-US"/>
        </w:rPr>
        <w:t>Cf.</w:t>
      </w:r>
      <w:r w:rsidRPr="004542B5">
        <w:rPr>
          <w:rFonts w:eastAsia="Times New Roman" w:cs="Palatino-Italic"/>
          <w:iCs/>
          <w:szCs w:val="16"/>
          <w:lang w:val="en-US"/>
        </w:rPr>
        <w:t xml:space="preserve"> </w:t>
      </w:r>
      <w:r w:rsidRPr="004542B5">
        <w:rPr>
          <w:rFonts w:eastAsia="Times New Roman" w:cs="Palatino-Italic"/>
          <w:i/>
          <w:szCs w:val="16"/>
          <w:lang w:val="en-US"/>
        </w:rPr>
        <w:t>Case of the Plan de Sánchez Massacre v. Guatemala. Reparations.</w:t>
      </w:r>
      <w:r w:rsidRPr="004542B5">
        <w:rPr>
          <w:rFonts w:eastAsia="Times New Roman" w:cs="Palatino-Italic"/>
          <w:iCs/>
          <w:szCs w:val="16"/>
          <w:lang w:val="en-US"/>
        </w:rPr>
        <w:t xml:space="preserve"> Judgment of November 19, 2004. Series C No. 116, para. 101 (third operative paragraph), and </w:t>
      </w:r>
      <w:r w:rsidRPr="004542B5">
        <w:rPr>
          <w:rFonts w:cs="Arial"/>
          <w:i/>
          <w:szCs w:val="16"/>
          <w:lang w:val="en-US"/>
        </w:rPr>
        <w:t>Case of the Kichwa Indigenous People of Sarayaku v. Ecuador</w:t>
      </w:r>
      <w:r w:rsidRPr="004542B5">
        <w:rPr>
          <w:rFonts w:eastAsia="Times New Roman" w:cs="Palatino-Italic"/>
          <w:iCs/>
          <w:szCs w:val="16"/>
          <w:lang w:val="en-US"/>
        </w:rPr>
        <w:t>, para. 305.</w:t>
      </w:r>
    </w:p>
  </w:footnote>
  <w:footnote w:id="266">
    <w:p w14:paraId="10BD9664" w14:textId="657FBAA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They added that the flooding of the ancestral territories of the Kuna and Emberá peoples as a result of the construction of the Ascanio Villalaz Hydroelectric Complex made it impossible to restitute those territories, so that the State “should award benefits of another kind.” They considered that, in this case, the Court should not analyze the pecuniary damage from the traditional perspective of indirect damage or loss of income, but derived from the failure to comply with the payment of fair compensation.</w:t>
      </w:r>
    </w:p>
  </w:footnote>
  <w:footnote w:id="267">
    <w:p w14:paraId="543F3A17" w14:textId="634EEF0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Technical and economic report on compensation and reparation in the collective and individual sphere of the consequences of violations of the human rights of the Kuna Comarca of Madungandí, April 2014 (merits file, folios 8580 and </w:t>
      </w:r>
      <w:r w:rsidRPr="004542B5">
        <w:rPr>
          <w:i/>
          <w:iCs/>
          <w:szCs w:val="16"/>
          <w:lang w:val="en-US"/>
        </w:rPr>
        <w:t>ff</w:t>
      </w:r>
      <w:r w:rsidRPr="004542B5">
        <w:rPr>
          <w:szCs w:val="16"/>
          <w:lang w:val="en-US"/>
        </w:rPr>
        <w:t>.). At the request of the representatives, technical reports had been prepared previously, in 2002, 2009, and 2013, for presentation to the inter-American system in the context of this case.</w:t>
      </w:r>
    </w:p>
  </w:footnote>
  <w:footnote w:id="268">
    <w:p w14:paraId="18A4744D" w14:textId="771BB9D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Regarding compensation, the “Technical Socio-economic Report on Compensation of the Kuna Comarca of Madungandí and of the Emberá Collective Lands of Piriatí, Ipetí and Majé Cordillera” had been prepared by the presumed victims and referred to a total compensation of B/.9,512,804.30. Technical Socio-economic Report on Compensation of the Kuna Comarca of Madungandí and of the Emberá Collective Lands of Piriatí, Ipetí and Majé Cordillera, 2009 (Annex 23 to the Merits Report, folios 450 to 489, 467). </w:t>
      </w:r>
    </w:p>
  </w:footnote>
  <w:footnote w:id="269">
    <w:p w14:paraId="780E6FAF" w14:textId="5891328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Pr="004542B5">
        <w:rPr>
          <w:i/>
          <w:szCs w:val="16"/>
          <w:lang w:val="en-US"/>
        </w:rPr>
        <w:t>Case of Bámaca Velásquez v. Guatemala. Reparations and costs</w:t>
      </w:r>
      <w:r w:rsidRPr="004542B5">
        <w:rPr>
          <w:szCs w:val="16"/>
          <w:lang w:val="en-US"/>
        </w:rPr>
        <w:t xml:space="preserve">. Judgment of February 22, 2002. Series C No. 91, para. 43, and </w:t>
      </w:r>
      <w:r w:rsidRPr="004542B5">
        <w:rPr>
          <w:i/>
          <w:szCs w:val="16"/>
          <w:lang w:val="en-US"/>
        </w:rPr>
        <w:t>Case of Expelled Dominicans and Haitians v. Dominican Republic,</w:t>
      </w:r>
      <w:r w:rsidRPr="004542B5">
        <w:rPr>
          <w:szCs w:val="16"/>
          <w:lang w:val="en-US"/>
        </w:rPr>
        <w:t xml:space="preserve"> para. 479.</w:t>
      </w:r>
    </w:p>
  </w:footnote>
  <w:footnote w:id="270">
    <w:p w14:paraId="5CDF71E0" w14:textId="6266C2C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bCs/>
          <w:i/>
          <w:szCs w:val="16"/>
          <w:lang w:val="en-US"/>
        </w:rPr>
        <w:t xml:space="preserve">Case of the “Street Children” (Villagrán Morales et al.)  v. Guatemala. </w:t>
      </w:r>
      <w:r w:rsidRPr="004542B5">
        <w:rPr>
          <w:i/>
          <w:szCs w:val="16"/>
          <w:lang w:val="en-US"/>
        </w:rPr>
        <w:t>Reparations and costs</w:t>
      </w:r>
      <w:r w:rsidRPr="004542B5">
        <w:rPr>
          <w:szCs w:val="16"/>
          <w:lang w:val="en-US"/>
        </w:rPr>
        <w:t xml:space="preserve">. Judgment of May 26, 2001. Series C No. 77, para. 84, and </w:t>
      </w:r>
      <w:r w:rsidRPr="004542B5">
        <w:rPr>
          <w:i/>
          <w:szCs w:val="16"/>
          <w:lang w:val="en-US"/>
        </w:rPr>
        <w:t>Case of Liakat Ali Alibux v. Suriname. Preliminary objections, merits, reparations and costs</w:t>
      </w:r>
      <w:r w:rsidRPr="004542B5">
        <w:rPr>
          <w:szCs w:val="16"/>
          <w:lang w:val="en-US"/>
        </w:rPr>
        <w:t>. Judgment of January 30, 2014. Series C No. 276, para. 156.</w:t>
      </w:r>
    </w:p>
  </w:footnote>
  <w:footnote w:id="271">
    <w:p w14:paraId="03208E66" w14:textId="09D6DC3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For example, Bolivar Jaripio stated that: “[t]here are no trees, so there are no animals, or medicines and our spirituality </w:t>
      </w:r>
      <w:r w:rsidR="00F32AB2" w:rsidRPr="004542B5">
        <w:rPr>
          <w:szCs w:val="16"/>
          <w:lang w:val="en-US"/>
        </w:rPr>
        <w:t>has</w:t>
      </w:r>
      <w:r w:rsidRPr="004542B5">
        <w:rPr>
          <w:szCs w:val="16"/>
          <w:lang w:val="en-US"/>
        </w:rPr>
        <w:t xml:space="preserve"> deteriorated and we feel strangers in these lands, but we have to continue living […]. Nowad</w:t>
      </w:r>
      <w:r w:rsidR="00F32AB2" w:rsidRPr="004542B5">
        <w:rPr>
          <w:szCs w:val="16"/>
          <w:lang w:val="en-US"/>
        </w:rPr>
        <w:t>a</w:t>
      </w:r>
      <w:r w:rsidRPr="004542B5">
        <w:rPr>
          <w:szCs w:val="16"/>
          <w:lang w:val="en-US"/>
        </w:rPr>
        <w:t>ys, the Emberá communities of Alto Bayano are in a very bad state, as we do not have title to the scant lands that we have, we are permanently anxious because we see how they take away our lands and some of our brother</w:t>
      </w:r>
      <w:r w:rsidR="00F32AB2" w:rsidRPr="004542B5">
        <w:rPr>
          <w:szCs w:val="16"/>
          <w:lang w:val="en-US"/>
        </w:rPr>
        <w:t>s</w:t>
      </w:r>
      <w:r w:rsidRPr="004542B5">
        <w:rPr>
          <w:szCs w:val="16"/>
          <w:lang w:val="en-US"/>
        </w:rPr>
        <w:t>, when they see this, they prefer to sell the lands to invading settlers</w:t>
      </w:r>
      <w:r w:rsidR="00F32AB2" w:rsidRPr="004542B5">
        <w:rPr>
          <w:szCs w:val="16"/>
          <w:lang w:val="en-US"/>
        </w:rPr>
        <w:t>,</w:t>
      </w:r>
      <w:r w:rsidRPr="004542B5">
        <w:rPr>
          <w:szCs w:val="16"/>
          <w:lang w:val="en-US"/>
        </w:rPr>
        <w:t xml:space="preserve"> and our community is very sad because when they take away the lands they take away our spirits.” Similarly, Fausto Valentín, speaking with regard to the Kuna people, stated that “[n]ow our social and cultural values are being lost because we are not united like before, because we have lost the communication with the other communities and also our traditional songs, owing to the change</w:t>
      </w:r>
      <w:r w:rsidR="00F32AB2" w:rsidRPr="004542B5">
        <w:rPr>
          <w:szCs w:val="16"/>
          <w:lang w:val="en-US"/>
        </w:rPr>
        <w:t>s</w:t>
      </w:r>
      <w:r w:rsidRPr="004542B5">
        <w:rPr>
          <w:szCs w:val="16"/>
          <w:lang w:val="en-US"/>
        </w:rPr>
        <w:t xml:space="preserve"> in the environment.” Affidavit of Bolivar Jaripio, presumed victim proposed by the representatives, of March 21, 2014 (evidence file, folios 8424 and 8425); Affidavit of Fausto Valentín, presumed victim proposed by the representatives, of March 18, 2014 (evidence file, folios 8416 and 8417).</w:t>
      </w:r>
    </w:p>
  </w:footnote>
  <w:footnote w:id="272">
    <w:p w14:paraId="13038160" w14:textId="24F7A4B7" w:rsidR="00F87526" w:rsidRPr="004542B5" w:rsidRDefault="00F87526" w:rsidP="00BF7853">
      <w:pPr>
        <w:pStyle w:val="2Footnotes"/>
        <w:spacing w:before="0"/>
        <w:rPr>
          <w:szCs w:val="16"/>
          <w:lang w:val="en-US"/>
        </w:rPr>
      </w:pPr>
      <w:r w:rsidRPr="004542B5">
        <w:rPr>
          <w:rStyle w:val="FootnoteReference"/>
          <w:rFonts w:eastAsia="Calibri"/>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bCs/>
          <w:i/>
          <w:szCs w:val="16"/>
          <w:lang w:val="en-US"/>
        </w:rPr>
        <w:t xml:space="preserve">Case of Garrido and Baigorria v. Argentina. </w:t>
      </w:r>
      <w:r w:rsidRPr="004542B5">
        <w:rPr>
          <w:i/>
          <w:szCs w:val="16"/>
          <w:lang w:val="en-US"/>
        </w:rPr>
        <w:t>Reparations and costs</w:t>
      </w:r>
      <w:r w:rsidRPr="004542B5">
        <w:rPr>
          <w:szCs w:val="16"/>
          <w:lang w:val="en-US"/>
        </w:rPr>
        <w:t xml:space="preserve">. Judgment of August 27, 1998. Series C No. 39, para. 79, and </w:t>
      </w:r>
      <w:r w:rsidRPr="004542B5">
        <w:rPr>
          <w:i/>
          <w:szCs w:val="16"/>
          <w:lang w:val="en-US"/>
        </w:rPr>
        <w:t>Case of J. v. Peru. Preliminary objection, merits, reparations and costs.</w:t>
      </w:r>
      <w:r w:rsidRPr="004542B5">
        <w:rPr>
          <w:szCs w:val="16"/>
          <w:lang w:val="en-US"/>
        </w:rPr>
        <w:t xml:space="preserve"> Judgment of November 27, 2013. Series C No. 275, para. 418.</w:t>
      </w:r>
      <w:r w:rsidRPr="004542B5">
        <w:rPr>
          <w:bCs/>
          <w:szCs w:val="16"/>
          <w:lang w:val="en-US"/>
        </w:rPr>
        <w:t xml:space="preserve"> </w:t>
      </w:r>
    </w:p>
  </w:footnote>
  <w:footnote w:id="273">
    <w:p w14:paraId="0886FAB3" w14:textId="2C011EB3" w:rsidR="00F87526" w:rsidRPr="004542B5" w:rsidRDefault="00F87526" w:rsidP="00BF7853">
      <w:pPr>
        <w:pStyle w:val="2Footnotes"/>
        <w:spacing w:before="0"/>
        <w:rPr>
          <w:i/>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bCs/>
          <w:i/>
          <w:szCs w:val="16"/>
          <w:lang w:val="en-US"/>
        </w:rPr>
        <w:t>Case of Garrido and Baigorria v. Argentina. Reparations and costs</w:t>
      </w:r>
      <w:r w:rsidRPr="004542B5">
        <w:rPr>
          <w:szCs w:val="16"/>
          <w:lang w:val="en-US"/>
        </w:rPr>
        <w:t xml:space="preserve">, para. 82, and </w:t>
      </w:r>
      <w:r w:rsidRPr="004542B5">
        <w:rPr>
          <w:i/>
          <w:noProof w:val="0"/>
          <w:szCs w:val="16"/>
          <w:lang w:val="en-US" w:eastAsia="es-ES"/>
        </w:rPr>
        <w:t xml:space="preserve">Case of Norín Catrimán et al. (Leaders, members and activist of the Mapuche Indigenous People) v. Chile. Merits, reparations and costs. </w:t>
      </w:r>
      <w:r w:rsidRPr="004542B5">
        <w:rPr>
          <w:noProof w:val="0"/>
          <w:szCs w:val="16"/>
          <w:lang w:val="en-US" w:eastAsia="es-ES"/>
        </w:rPr>
        <w:t>Judgment of May 29, 2014. Series C No. 279,</w:t>
      </w:r>
      <w:r w:rsidRPr="004542B5">
        <w:rPr>
          <w:rFonts w:eastAsia="Batang"/>
          <w:i/>
          <w:szCs w:val="16"/>
          <w:lang w:val="en-US"/>
        </w:rPr>
        <w:t xml:space="preserve"> </w:t>
      </w:r>
      <w:r w:rsidRPr="004542B5">
        <w:rPr>
          <w:bCs/>
          <w:szCs w:val="16"/>
          <w:lang w:val="en-US"/>
        </w:rPr>
        <w:t xml:space="preserve">para. 450. </w:t>
      </w:r>
    </w:p>
  </w:footnote>
  <w:footnote w:id="274">
    <w:p w14:paraId="3D4C5FB2" w14:textId="35ED108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 Case of Chaparro Álvarez and Lapo Íñiguez v. Ecuador. Preliminary objections, merits, reparations and costs</w:t>
      </w:r>
      <w:r w:rsidRPr="004542B5">
        <w:rPr>
          <w:szCs w:val="16"/>
          <w:lang w:val="en-US"/>
        </w:rPr>
        <w:t xml:space="preserve">. Judgment of November 21, 2007. Series C No. 170, para. 277, and </w:t>
      </w:r>
      <w:r w:rsidRPr="004542B5">
        <w:rPr>
          <w:i/>
          <w:szCs w:val="16"/>
          <w:lang w:val="en-US"/>
        </w:rPr>
        <w:t>Case of Expelled Dominicans and Haitians v. Dominican Republic</w:t>
      </w:r>
      <w:r w:rsidRPr="004542B5">
        <w:rPr>
          <w:szCs w:val="16"/>
          <w:lang w:val="en-US"/>
        </w:rPr>
        <w:t>, para. 496.</w:t>
      </w:r>
    </w:p>
  </w:footnote>
  <w:footnote w:id="275">
    <w:p w14:paraId="3600121F" w14:textId="5C2AD54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These costs refer to the “technical advisory services” related to “the socio-economc study of Alto Bayano” (B/192,925.00) and “the administrative expenes of the General Congress to negotiate this compensation […] during 36 years” (B/474,393.67).</w:t>
      </w:r>
    </w:p>
  </w:footnote>
  <w:footnote w:id="276">
    <w:p w14:paraId="3BC3FCAA" w14:textId="3D844E3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Technical Socio-economic Report on Compensation of the Kuna Comarca of Madungandí and of the Emberá Collective Lands of Piriatí, Ipetí and Majé Cordillera of July 2009 (evidence file, folios 450 and</w:t>
      </w:r>
      <w:r w:rsidRPr="004542B5">
        <w:rPr>
          <w:i/>
          <w:iCs/>
          <w:szCs w:val="16"/>
          <w:lang w:val="en-US"/>
        </w:rPr>
        <w:t xml:space="preserve"> ff</w:t>
      </w:r>
      <w:r w:rsidRPr="004542B5">
        <w:rPr>
          <w:szCs w:val="16"/>
          <w:lang w:val="en-US"/>
        </w:rPr>
        <w:t xml:space="preserve">.). The 2002 Report also refers to B/4,500 for operating costs of the Local Congress of </w:t>
      </w:r>
      <w:r w:rsidRPr="004542B5">
        <w:rPr>
          <w:rFonts w:cs="Verdana"/>
          <w:szCs w:val="16"/>
          <w:lang w:val="en-US"/>
        </w:rPr>
        <w:t>Majé</w:t>
      </w:r>
      <w:r w:rsidRPr="004542B5">
        <w:rPr>
          <w:szCs w:val="16"/>
          <w:lang w:val="en-US"/>
        </w:rPr>
        <w:t xml:space="preserve"> Cordillera. 2002 Technical Socio-economic Report on Compensation of the Kuna Comarca of Madungandí and of the Emberá Collective Lands of Piriatí, Ipetí and Majé Cordillera (evidence file, folio 266).</w:t>
      </w:r>
    </w:p>
  </w:footnote>
  <w:footnote w:id="277">
    <w:p w14:paraId="68C0D195" w14:textId="5B932917" w:rsidR="00F87526" w:rsidRPr="004542B5" w:rsidRDefault="00F87526" w:rsidP="00BF7853">
      <w:pPr>
        <w:pStyle w:val="2Footnotes"/>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 Case of Chitay Nech et al. v. Guatemala</w:t>
      </w:r>
      <w:r w:rsidRPr="004542B5">
        <w:rPr>
          <w:szCs w:val="16"/>
          <w:lang w:val="en-US"/>
        </w:rPr>
        <w:t xml:space="preserve">, para. 287, and </w:t>
      </w:r>
      <w:r w:rsidRPr="004542B5">
        <w:rPr>
          <w:i/>
          <w:szCs w:val="16"/>
          <w:lang w:val="en-US"/>
        </w:rPr>
        <w:t>Case of Luna López v. Honduras. Merits</w:t>
      </w:r>
      <w:r w:rsidR="00721B39" w:rsidRPr="004542B5">
        <w:rPr>
          <w:i/>
          <w:szCs w:val="16"/>
          <w:lang w:val="en-US"/>
        </w:rPr>
        <w:t>,</w:t>
      </w:r>
      <w:r w:rsidRPr="004542B5">
        <w:rPr>
          <w:i/>
          <w:szCs w:val="16"/>
          <w:lang w:val="en-US"/>
        </w:rPr>
        <w:t xml:space="preserve"> reparations and costs. </w:t>
      </w:r>
      <w:r w:rsidRPr="004542B5">
        <w:rPr>
          <w:szCs w:val="16"/>
          <w:lang w:val="en-US"/>
        </w:rPr>
        <w:t>Judgment of October 10, 2013. Series C No. 269, para. 219.</w:t>
      </w:r>
    </w:p>
  </w:footnote>
  <w:footnote w:id="278">
    <w:p w14:paraId="48353A70" w14:textId="74A997DF" w:rsidR="00F87526" w:rsidRPr="004542B5" w:rsidRDefault="00F87526" w:rsidP="00BF7853">
      <w:pPr>
        <w:pStyle w:val="FootnoteText"/>
        <w:spacing w:before="0" w:after="0" w:line="360" w:lineRule="auto"/>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1 of the judgment.</w:t>
      </w:r>
    </w:p>
  </w:footnote>
  <w:footnote w:id="279">
    <w:p w14:paraId="3D0FB773" w14:textId="100908C9"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the Mayagna (Sumo) Awas Tingni Community v. Nicaragua. Merits, reparations and costs.</w:t>
      </w:r>
      <w:r w:rsidRPr="004542B5">
        <w:rPr>
          <w:rStyle w:val="Strong"/>
          <w:b w:val="0"/>
          <w:color w:val="000000"/>
          <w:szCs w:val="16"/>
          <w:lang w:val="en-US"/>
        </w:rPr>
        <w:t xml:space="preserve"> Judgment of August 31, 2001. Series C No. 79,</w:t>
      </w:r>
      <w:r w:rsidRPr="004542B5">
        <w:rPr>
          <w:szCs w:val="16"/>
          <w:lang w:val="en-US"/>
        </w:rPr>
        <w:t xml:space="preserve"> para. 145. </w:t>
      </w:r>
    </w:p>
  </w:footnote>
  <w:footnote w:id="280">
    <w:p w14:paraId="1EFD8BAC" w14:textId="45A2CECD" w:rsidR="00F87526" w:rsidRPr="004542B5" w:rsidRDefault="00F87526" w:rsidP="00BF7853">
      <w:pPr>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rStyle w:val="Strong"/>
          <w:b w:val="0"/>
          <w:i/>
          <w:color w:val="000000"/>
          <w:sz w:val="16"/>
          <w:szCs w:val="16"/>
          <w:lang w:val="en-US"/>
        </w:rPr>
        <w:t xml:space="preserve">Case of Ivcher Bronstein v. Peru. Merits, reparations and costs. </w:t>
      </w:r>
      <w:r w:rsidRPr="004542B5">
        <w:rPr>
          <w:rStyle w:val="Strong"/>
          <w:b w:val="0"/>
          <w:color w:val="000000"/>
          <w:sz w:val="16"/>
          <w:szCs w:val="16"/>
          <w:lang w:val="en-US"/>
        </w:rPr>
        <w:t xml:space="preserve">Judgment of February 6, 2001. Series C No. 74, </w:t>
      </w:r>
      <w:r w:rsidRPr="004542B5">
        <w:rPr>
          <w:sz w:val="16"/>
          <w:szCs w:val="16"/>
          <w:lang w:val="en-US"/>
        </w:rPr>
        <w:t>para. 120</w:t>
      </w:r>
      <w:r w:rsidRPr="004542B5">
        <w:rPr>
          <w:color w:val="FF0000"/>
          <w:sz w:val="16"/>
          <w:szCs w:val="16"/>
          <w:lang w:val="en-US"/>
        </w:rPr>
        <w:t>.</w:t>
      </w:r>
    </w:p>
  </w:footnote>
  <w:footnote w:id="281">
    <w:p w14:paraId="0D4F36FF" w14:textId="47244C80" w:rsidR="00F87526" w:rsidRPr="004542B5" w:rsidRDefault="00F87526" w:rsidP="004A09DF">
      <w:pPr>
        <w:pStyle w:val="FootnoteText"/>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Case of</w:t>
      </w:r>
      <w:r w:rsidRPr="004542B5">
        <w:rPr>
          <w:rStyle w:val="Strong"/>
          <w:b w:val="0"/>
          <w:i/>
          <w:color w:val="000000"/>
          <w:szCs w:val="16"/>
          <w:lang w:val="en-US"/>
        </w:rPr>
        <w:t xml:space="preserve"> Mémoli v. Argentina. Preliminary objections, merits, reparations and costs.</w:t>
      </w:r>
      <w:r w:rsidRPr="004542B5">
        <w:rPr>
          <w:rStyle w:val="Strong"/>
          <w:b w:val="0"/>
          <w:iCs/>
          <w:color w:val="000000"/>
          <w:szCs w:val="16"/>
          <w:lang w:val="en-US"/>
        </w:rPr>
        <w:t xml:space="preserve"> Judgment of  August 22, 2013. Series C No. 265, para. 170</w:t>
      </w:r>
      <w:r w:rsidRPr="004542B5">
        <w:rPr>
          <w:rStyle w:val="Strong"/>
          <w:b w:val="0"/>
          <w:i/>
          <w:color w:val="000000"/>
          <w:szCs w:val="16"/>
          <w:lang w:val="en-US"/>
        </w:rPr>
        <w:t>; Case of the Santo Domingo Massacre v. Colombia. Request for interpretat</w:t>
      </w:r>
      <w:r w:rsidR="00583B9D" w:rsidRPr="004542B5">
        <w:rPr>
          <w:rStyle w:val="Strong"/>
          <w:b w:val="0"/>
          <w:i/>
          <w:color w:val="000000"/>
          <w:szCs w:val="16"/>
          <w:lang w:val="en-US"/>
        </w:rPr>
        <w:t>i</w:t>
      </w:r>
      <w:r w:rsidRPr="004542B5">
        <w:rPr>
          <w:rStyle w:val="Strong"/>
          <w:b w:val="0"/>
          <w:i/>
          <w:color w:val="000000"/>
          <w:szCs w:val="16"/>
          <w:lang w:val="en-US"/>
        </w:rPr>
        <w:t>on of the judgment on prelim</w:t>
      </w:r>
      <w:r w:rsidR="00F631FD" w:rsidRPr="004542B5">
        <w:rPr>
          <w:rStyle w:val="Strong"/>
          <w:b w:val="0"/>
          <w:i/>
          <w:color w:val="000000"/>
          <w:szCs w:val="16"/>
          <w:lang w:val="en-US"/>
        </w:rPr>
        <w:t>i</w:t>
      </w:r>
      <w:r w:rsidRPr="004542B5">
        <w:rPr>
          <w:rStyle w:val="Strong"/>
          <w:b w:val="0"/>
          <w:i/>
          <w:color w:val="000000"/>
          <w:szCs w:val="16"/>
          <w:lang w:val="en-US"/>
        </w:rPr>
        <w:t xml:space="preserve">nary objections, merits, reparations and costs. </w:t>
      </w:r>
      <w:r w:rsidRPr="004542B5">
        <w:rPr>
          <w:rStyle w:val="Strong"/>
          <w:b w:val="0"/>
          <w:iCs/>
          <w:color w:val="000000"/>
          <w:szCs w:val="16"/>
          <w:lang w:val="en-US"/>
        </w:rPr>
        <w:t>Judgment of August 19, 2013. Series C No. 263, para. 269</w:t>
      </w:r>
      <w:r w:rsidRPr="004542B5">
        <w:rPr>
          <w:rStyle w:val="Strong"/>
          <w:b w:val="0"/>
          <w:i/>
          <w:color w:val="000000"/>
          <w:szCs w:val="16"/>
          <w:lang w:val="en-US"/>
        </w:rPr>
        <w:t xml:space="preserve">; Case of Massacres of El Mozote and neighboring places v. El Salvador. Merits, reparations and costs. </w:t>
      </w:r>
      <w:r w:rsidRPr="004542B5">
        <w:rPr>
          <w:rStyle w:val="Strong"/>
          <w:b w:val="0"/>
          <w:iCs/>
          <w:color w:val="000000"/>
          <w:szCs w:val="16"/>
          <w:lang w:val="en-US"/>
        </w:rPr>
        <w:t>Judgment of October 25, 2012</w:t>
      </w:r>
      <w:r w:rsidR="00F631FD" w:rsidRPr="004542B5">
        <w:rPr>
          <w:rStyle w:val="Strong"/>
          <w:b w:val="0"/>
          <w:iCs/>
          <w:color w:val="000000"/>
          <w:szCs w:val="16"/>
          <w:lang w:val="en-US"/>
        </w:rPr>
        <w:t>.</w:t>
      </w:r>
      <w:r w:rsidRPr="004542B5">
        <w:rPr>
          <w:rStyle w:val="Strong"/>
          <w:b w:val="0"/>
          <w:iCs/>
          <w:color w:val="000000"/>
          <w:szCs w:val="16"/>
          <w:lang w:val="en-US"/>
        </w:rPr>
        <w:t xml:space="preserve"> Series C No. 252, para. 179;</w:t>
      </w:r>
      <w:r w:rsidRPr="004542B5">
        <w:rPr>
          <w:rStyle w:val="Strong"/>
          <w:b w:val="0"/>
          <w:i/>
          <w:color w:val="000000"/>
          <w:szCs w:val="16"/>
          <w:lang w:val="en-US"/>
        </w:rPr>
        <w:t xml:space="preserve"> Case of Furlan and family v. Argentina. Preliminary objections, merits, reparations and costs. </w:t>
      </w:r>
      <w:r w:rsidRPr="004542B5">
        <w:rPr>
          <w:rStyle w:val="Strong"/>
          <w:b w:val="0"/>
          <w:iCs/>
          <w:color w:val="000000"/>
          <w:szCs w:val="16"/>
          <w:lang w:val="en-US"/>
        </w:rPr>
        <w:t>Judgment of August 31, 2012. Series C No. 246, para. 220</w:t>
      </w:r>
      <w:r w:rsidRPr="004542B5">
        <w:rPr>
          <w:rStyle w:val="Strong"/>
          <w:b w:val="0"/>
          <w:i/>
          <w:color w:val="000000"/>
          <w:szCs w:val="16"/>
          <w:lang w:val="en-US"/>
        </w:rPr>
        <w:t xml:space="preserve">; Case of Barrios Family v. Venezuela. Merits, reparations and costs. </w:t>
      </w:r>
      <w:r w:rsidRPr="004542B5">
        <w:rPr>
          <w:rStyle w:val="Strong"/>
          <w:b w:val="0"/>
          <w:iCs/>
          <w:color w:val="000000"/>
          <w:szCs w:val="16"/>
          <w:lang w:val="en-US"/>
        </w:rPr>
        <w:t>Judgment of November 24, 2011. Series C No. 237, para. 148</w:t>
      </w:r>
      <w:r w:rsidRPr="004542B5">
        <w:rPr>
          <w:rStyle w:val="Strong"/>
          <w:b w:val="0"/>
          <w:i/>
          <w:color w:val="000000"/>
          <w:szCs w:val="16"/>
          <w:lang w:val="en-US"/>
        </w:rPr>
        <w:t xml:space="preserve">; Case of Barbani Duarte et al. v. Uruguay. Merits, reparations and costs. </w:t>
      </w:r>
      <w:r w:rsidRPr="004542B5">
        <w:rPr>
          <w:rStyle w:val="Strong"/>
          <w:b w:val="0"/>
          <w:iCs/>
          <w:color w:val="000000"/>
          <w:szCs w:val="16"/>
          <w:lang w:val="en-US"/>
        </w:rPr>
        <w:t>Judgment of October 13, 2011. Series C No. 234, para. 237</w:t>
      </w:r>
      <w:r w:rsidRPr="004542B5">
        <w:rPr>
          <w:rStyle w:val="Strong"/>
          <w:b w:val="0"/>
          <w:i/>
          <w:color w:val="000000"/>
          <w:szCs w:val="16"/>
          <w:lang w:val="en-US"/>
        </w:rPr>
        <w:t xml:space="preserve">; Case of Abrill Alosilla et al. v. Peru. Merits, reparations and costs. </w:t>
      </w:r>
      <w:r w:rsidRPr="004542B5">
        <w:rPr>
          <w:rStyle w:val="Strong"/>
          <w:b w:val="0"/>
          <w:iCs/>
          <w:color w:val="000000"/>
          <w:szCs w:val="16"/>
          <w:lang w:val="en-US"/>
        </w:rPr>
        <w:t>Judgment of March 4, 2011</w:t>
      </w:r>
      <w:r w:rsidR="00F631FD" w:rsidRPr="004542B5">
        <w:rPr>
          <w:rStyle w:val="Strong"/>
          <w:b w:val="0"/>
          <w:iCs/>
          <w:color w:val="000000"/>
          <w:szCs w:val="16"/>
          <w:lang w:val="en-US"/>
        </w:rPr>
        <w:t>.</w:t>
      </w:r>
      <w:r w:rsidRPr="004542B5">
        <w:rPr>
          <w:rStyle w:val="Strong"/>
          <w:b w:val="0"/>
          <w:iCs/>
          <w:color w:val="000000"/>
          <w:szCs w:val="16"/>
          <w:lang w:val="en-US"/>
        </w:rPr>
        <w:t xml:space="preserve"> Series C No. 223, para. 82;</w:t>
      </w:r>
      <w:r w:rsidRPr="004542B5">
        <w:rPr>
          <w:rStyle w:val="Strong"/>
          <w:b w:val="0"/>
          <w:i/>
          <w:color w:val="000000"/>
          <w:szCs w:val="16"/>
          <w:lang w:val="en-US"/>
        </w:rPr>
        <w:t xml:space="preserve"> Case of Acevedo Buendía et al. (“Discharged and Retired Employees of the Comptroller’s Office”) v. Peru. Preliminary objection, merits, reparations and costs. </w:t>
      </w:r>
      <w:r w:rsidRPr="004542B5">
        <w:rPr>
          <w:rStyle w:val="Strong"/>
          <w:b w:val="0"/>
          <w:iCs/>
          <w:color w:val="000000"/>
          <w:szCs w:val="16"/>
          <w:lang w:val="en-US"/>
        </w:rPr>
        <w:t>Judgment of July 1, 2009. Series C No. 198, para. 84:</w:t>
      </w:r>
      <w:r w:rsidRPr="004542B5">
        <w:rPr>
          <w:rStyle w:val="Strong"/>
          <w:b w:val="0"/>
          <w:i/>
          <w:color w:val="000000"/>
          <w:szCs w:val="16"/>
          <w:lang w:val="en-US"/>
        </w:rPr>
        <w:t xml:space="preserve"> Case of Perozo et al. v. Venezuela. Preliminary objections, merits, reparations and costs.</w:t>
      </w:r>
      <w:r w:rsidRPr="004542B5">
        <w:rPr>
          <w:rStyle w:val="Strong"/>
          <w:b w:val="0"/>
          <w:iCs/>
          <w:color w:val="000000"/>
          <w:szCs w:val="16"/>
          <w:lang w:val="en-US"/>
        </w:rPr>
        <w:t xml:space="preserve"> Judgment of January 28, 2009. Series C No. 195, para. 399;</w:t>
      </w:r>
      <w:r w:rsidRPr="004542B5">
        <w:rPr>
          <w:rStyle w:val="Strong"/>
          <w:b w:val="0"/>
          <w:i/>
          <w:color w:val="000000"/>
          <w:szCs w:val="16"/>
          <w:lang w:val="en-US"/>
        </w:rPr>
        <w:t xml:space="preserve"> Case of Salvador Chiriboga v. Ecuador. Preliminary objection and merits. </w:t>
      </w:r>
      <w:r w:rsidRPr="004542B5">
        <w:rPr>
          <w:rStyle w:val="Strong"/>
          <w:b w:val="0"/>
          <w:iCs/>
          <w:color w:val="000000"/>
          <w:szCs w:val="16"/>
          <w:lang w:val="en-US"/>
        </w:rPr>
        <w:t>Judgment of May 6, 2008. Series C No. 179, para. 55;</w:t>
      </w:r>
      <w:r w:rsidRPr="004542B5">
        <w:rPr>
          <w:rStyle w:val="Strong"/>
          <w:b w:val="0"/>
          <w:i/>
          <w:color w:val="000000"/>
          <w:szCs w:val="16"/>
          <w:lang w:val="en-US"/>
        </w:rPr>
        <w:t xml:space="preserve"> Case of Chaparro Álvarez and Lapo Íñiguez. v. Ecuador. Preliminary objections, merits, reparations and costs. </w:t>
      </w:r>
      <w:r w:rsidRPr="004542B5">
        <w:rPr>
          <w:rStyle w:val="Strong"/>
          <w:b w:val="0"/>
          <w:iCs/>
          <w:color w:val="000000"/>
          <w:szCs w:val="16"/>
          <w:lang w:val="en-US"/>
        </w:rPr>
        <w:t>Judgment of Novemb</w:t>
      </w:r>
      <w:r w:rsidR="00583B9D" w:rsidRPr="004542B5">
        <w:rPr>
          <w:rStyle w:val="Strong"/>
          <w:b w:val="0"/>
          <w:iCs/>
          <w:color w:val="000000"/>
          <w:szCs w:val="16"/>
          <w:lang w:val="en-US"/>
        </w:rPr>
        <w:t>e</w:t>
      </w:r>
      <w:r w:rsidRPr="004542B5">
        <w:rPr>
          <w:rStyle w:val="Strong"/>
          <w:b w:val="0"/>
          <w:iCs/>
          <w:color w:val="000000"/>
          <w:szCs w:val="16"/>
          <w:lang w:val="en-US"/>
        </w:rPr>
        <w:t xml:space="preserve">r 21, 2007. Series C No. 170, para. 174; </w:t>
      </w:r>
      <w:r w:rsidRPr="004542B5">
        <w:rPr>
          <w:rStyle w:val="Strong"/>
          <w:b w:val="0"/>
          <w:i/>
          <w:color w:val="000000"/>
          <w:szCs w:val="16"/>
          <w:lang w:val="en-US"/>
        </w:rPr>
        <w:t xml:space="preserve">Case of the Ituango Massacres v. Colombia. </w:t>
      </w:r>
      <w:r w:rsidRPr="004542B5">
        <w:rPr>
          <w:rStyle w:val="Strong"/>
          <w:b w:val="0"/>
          <w:iCs/>
          <w:color w:val="000000"/>
          <w:szCs w:val="16"/>
          <w:lang w:val="en-US"/>
        </w:rPr>
        <w:t>Judgment of July 1, 2006</w:t>
      </w:r>
      <w:r w:rsidR="00F631FD" w:rsidRPr="004542B5">
        <w:rPr>
          <w:rStyle w:val="Strong"/>
          <w:b w:val="0"/>
          <w:iCs/>
          <w:color w:val="000000"/>
          <w:szCs w:val="16"/>
          <w:lang w:val="en-US"/>
        </w:rPr>
        <w:t>.</w:t>
      </w:r>
      <w:r w:rsidRPr="004542B5">
        <w:rPr>
          <w:rStyle w:val="Strong"/>
          <w:b w:val="0"/>
          <w:iCs/>
          <w:color w:val="000000"/>
          <w:szCs w:val="16"/>
          <w:lang w:val="en-US"/>
        </w:rPr>
        <w:t xml:space="preserve"> Series C No. 148, para. 174; </w:t>
      </w:r>
      <w:r w:rsidRPr="004542B5">
        <w:rPr>
          <w:rStyle w:val="Strong"/>
          <w:b w:val="0"/>
          <w:i/>
          <w:color w:val="000000"/>
          <w:szCs w:val="16"/>
          <w:lang w:val="en-US"/>
        </w:rPr>
        <w:t xml:space="preserve">Case of the Sawhoyamaxa Indigenous Community v. Paraguay. Merits, reparations and costs. </w:t>
      </w:r>
      <w:r w:rsidRPr="004542B5">
        <w:rPr>
          <w:rStyle w:val="Strong"/>
          <w:b w:val="0"/>
          <w:iCs/>
          <w:color w:val="000000"/>
          <w:szCs w:val="16"/>
          <w:lang w:val="en-US"/>
        </w:rPr>
        <w:t>Judgment of March 29, 2006. Series C No. 146, para. 121;</w:t>
      </w:r>
      <w:r w:rsidRPr="004542B5">
        <w:rPr>
          <w:rStyle w:val="Strong"/>
          <w:b w:val="0"/>
          <w:i/>
          <w:color w:val="000000"/>
          <w:szCs w:val="16"/>
          <w:lang w:val="en-US"/>
        </w:rPr>
        <w:t xml:space="preserve"> Case of Palamara Iribarne v. Chile. Merits, reparations and costs. Judg</w:t>
      </w:r>
      <w:r w:rsidRPr="004542B5">
        <w:rPr>
          <w:rStyle w:val="Strong"/>
          <w:b w:val="0"/>
          <w:iCs/>
          <w:color w:val="000000"/>
          <w:szCs w:val="16"/>
          <w:lang w:val="en-US"/>
        </w:rPr>
        <w:t xml:space="preserve">ment of November 22, 2005. Series C No. 135, para. 102; </w:t>
      </w:r>
      <w:r w:rsidRPr="004542B5">
        <w:rPr>
          <w:rStyle w:val="Strong"/>
          <w:b w:val="0"/>
          <w:i/>
          <w:color w:val="000000"/>
          <w:szCs w:val="16"/>
          <w:lang w:val="en-US"/>
        </w:rPr>
        <w:t xml:space="preserve">Case of the Yakye Axa Indigenous Community v. Paraguay. Merits, reparations and costs. </w:t>
      </w:r>
      <w:r w:rsidRPr="004542B5">
        <w:rPr>
          <w:rStyle w:val="Strong"/>
          <w:b w:val="0"/>
          <w:iCs/>
          <w:color w:val="000000"/>
          <w:szCs w:val="16"/>
          <w:lang w:val="en-US"/>
        </w:rPr>
        <w:t>Judgment of June 17, 2005. Series C No. 125, para. 137</w:t>
      </w:r>
      <w:r w:rsidRPr="004542B5">
        <w:rPr>
          <w:rStyle w:val="Strong"/>
          <w:b w:val="0"/>
          <w:i/>
          <w:color w:val="000000"/>
          <w:szCs w:val="16"/>
          <w:lang w:val="en-US"/>
        </w:rPr>
        <w:t xml:space="preserve">; Case of the Mayagna (Sumo) Awas Tingni Community v. Nicaragua. Merits, reparations and costs. </w:t>
      </w:r>
      <w:r w:rsidRPr="004542B5">
        <w:rPr>
          <w:rStyle w:val="Strong"/>
          <w:b w:val="0"/>
          <w:iCs/>
          <w:color w:val="000000"/>
          <w:szCs w:val="16"/>
          <w:lang w:val="en-US"/>
        </w:rPr>
        <w:t>Judgment of August 31, 2001. Series C No. 79, para. 144,</w:t>
      </w:r>
      <w:r w:rsidRPr="004542B5">
        <w:rPr>
          <w:rStyle w:val="Strong"/>
          <w:b w:val="0"/>
          <w:i/>
          <w:color w:val="000000"/>
          <w:szCs w:val="16"/>
          <w:lang w:val="en-US"/>
        </w:rPr>
        <w:t xml:space="preserve"> and Case of Ivcher Bronstein v. Peru. Merits, reparations and costs. </w:t>
      </w:r>
      <w:r w:rsidRPr="004542B5">
        <w:rPr>
          <w:rStyle w:val="Strong"/>
          <w:b w:val="0"/>
          <w:iCs/>
          <w:color w:val="000000"/>
          <w:szCs w:val="16"/>
          <w:lang w:val="en-US"/>
        </w:rPr>
        <w:t>Judgment of February 6, 2001. Series C No. 74,  para. 122.</w:t>
      </w:r>
    </w:p>
  </w:footnote>
  <w:footnote w:id="282">
    <w:p w14:paraId="6C6A7224" w14:textId="5F1B0FB6" w:rsidR="00F87526" w:rsidRPr="004542B5" w:rsidRDefault="00F87526" w:rsidP="00BF7853">
      <w:pPr>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rStyle w:val="Strong"/>
          <w:b w:val="0"/>
          <w:i/>
          <w:color w:val="000000"/>
          <w:sz w:val="16"/>
          <w:szCs w:val="16"/>
          <w:lang w:val="en-US"/>
        </w:rPr>
        <w:t>Case of the “Five Pensioners” v. Peru. Merits, reparations and costs.</w:t>
      </w:r>
      <w:r w:rsidRPr="004542B5">
        <w:rPr>
          <w:rStyle w:val="Strong"/>
          <w:b w:val="0"/>
          <w:color w:val="000000"/>
          <w:sz w:val="16"/>
          <w:szCs w:val="16"/>
          <w:lang w:val="en-US"/>
        </w:rPr>
        <w:t xml:space="preserve"> Judgment of February 28, 2003. Series C No. 98, and </w:t>
      </w:r>
      <w:r w:rsidRPr="004542B5">
        <w:rPr>
          <w:rStyle w:val="Strong"/>
          <w:b w:val="0"/>
          <w:i/>
          <w:color w:val="000000"/>
          <w:sz w:val="16"/>
          <w:szCs w:val="16"/>
          <w:lang w:val="en-US"/>
        </w:rPr>
        <w:t>Case of Acevedo Buendía et al. (“Dismissed and Retired Employees of the Comptroller’s Office”) v. Peru. Preliminary objection, merits, reparations and costs.</w:t>
      </w:r>
      <w:r w:rsidRPr="004542B5">
        <w:rPr>
          <w:rStyle w:val="Strong"/>
          <w:b w:val="0"/>
          <w:color w:val="000000"/>
          <w:sz w:val="16"/>
          <w:szCs w:val="16"/>
          <w:lang w:val="en-US"/>
        </w:rPr>
        <w:t xml:space="preserve"> Judgment of July 1, 2009 Series C No. 198.</w:t>
      </w:r>
    </w:p>
  </w:footnote>
  <w:footnote w:id="283">
    <w:p w14:paraId="4AA9D161" w14:textId="451AEDE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Tibi v. Ecuador. Preliminary objections, merits, reparations and costs</w:t>
      </w:r>
      <w:r w:rsidRPr="004542B5">
        <w:rPr>
          <w:rStyle w:val="Strong"/>
          <w:b w:val="0"/>
          <w:color w:val="000000"/>
          <w:szCs w:val="16"/>
          <w:lang w:val="en-US"/>
        </w:rPr>
        <w:t xml:space="preserve">. Judgment of September 7, 2004. Series C No. 114. </w:t>
      </w:r>
    </w:p>
  </w:footnote>
  <w:footnote w:id="284">
    <w:p w14:paraId="6FD24B48" w14:textId="6C0419E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Palamara Iribarne v. Chile. Merits, reparations and costs</w:t>
      </w:r>
      <w:r w:rsidRPr="004542B5">
        <w:rPr>
          <w:rStyle w:val="Strong"/>
          <w:b w:val="0"/>
          <w:color w:val="000000"/>
          <w:szCs w:val="16"/>
          <w:lang w:val="en-US"/>
        </w:rPr>
        <w:t xml:space="preserve">. Judgment of November 22, 2005. Series C No. 135. </w:t>
      </w:r>
    </w:p>
  </w:footnote>
  <w:footnote w:id="285">
    <w:p w14:paraId="719EE936" w14:textId="6E1B995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i/>
          <w:szCs w:val="16"/>
          <w:lang w:val="en-US"/>
        </w:rPr>
        <w:t xml:space="preserve"> </w:t>
      </w:r>
      <w:r w:rsidRPr="004542B5">
        <w:rPr>
          <w:i/>
          <w:szCs w:val="16"/>
          <w:lang w:val="en-US"/>
        </w:rPr>
        <w:tab/>
      </w:r>
      <w:r w:rsidRPr="004542B5">
        <w:rPr>
          <w:rStyle w:val="Strong"/>
          <w:b w:val="0"/>
          <w:i/>
          <w:color w:val="000000"/>
          <w:szCs w:val="16"/>
          <w:lang w:val="en-US"/>
        </w:rPr>
        <w:t>Case of</w:t>
      </w:r>
      <w:r w:rsidRPr="004542B5">
        <w:rPr>
          <w:rStyle w:val="Strong"/>
          <w:b w:val="0"/>
          <w:color w:val="000000"/>
          <w:szCs w:val="16"/>
          <w:lang w:val="en-US"/>
        </w:rPr>
        <w:t xml:space="preserve"> </w:t>
      </w:r>
      <w:r w:rsidRPr="004542B5">
        <w:rPr>
          <w:rStyle w:val="Strong"/>
          <w:b w:val="0"/>
          <w:i/>
          <w:color w:val="000000"/>
          <w:szCs w:val="16"/>
          <w:lang w:val="en-US"/>
        </w:rPr>
        <w:t>Chaparro Álvarez and Lapo Íñiguez. v. Ecuador. Preliminary objections, merits, reparations and costs.</w:t>
      </w:r>
      <w:r w:rsidRPr="004542B5">
        <w:rPr>
          <w:rStyle w:val="Strong"/>
          <w:b w:val="0"/>
          <w:color w:val="000000"/>
          <w:szCs w:val="16"/>
          <w:lang w:val="en-US"/>
        </w:rPr>
        <w:t xml:space="preserve"> Judgment of November 21, 2007. Series C No. 170.</w:t>
      </w:r>
    </w:p>
  </w:footnote>
  <w:footnote w:id="286">
    <w:p w14:paraId="7865B7B9" w14:textId="628AB49A"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 xml:space="preserve">Case of Salvador Chiriboga v. Ecuador. Preliminary objection and merits. </w:t>
      </w:r>
      <w:r w:rsidRPr="004542B5">
        <w:rPr>
          <w:rStyle w:val="Strong"/>
          <w:b w:val="0"/>
          <w:color w:val="000000"/>
          <w:szCs w:val="16"/>
          <w:lang w:val="en-US"/>
        </w:rPr>
        <w:t>Judgment of May 6, 2008. Series C No. 179.</w:t>
      </w:r>
    </w:p>
  </w:footnote>
  <w:footnote w:id="287">
    <w:p w14:paraId="71461ED4" w14:textId="0C85715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Abrill Alosilla et al. v. Peru. Merits, reparations and costs.</w:t>
      </w:r>
      <w:r w:rsidRPr="004542B5">
        <w:rPr>
          <w:rStyle w:val="Strong"/>
          <w:b w:val="0"/>
          <w:color w:val="000000"/>
          <w:szCs w:val="16"/>
          <w:lang w:val="en-US"/>
        </w:rPr>
        <w:t xml:space="preserve"> Judgment of March 4, 2011. Series C No. 223.</w:t>
      </w:r>
    </w:p>
  </w:footnote>
  <w:footnote w:id="288">
    <w:p w14:paraId="2A199724" w14:textId="33EFAB2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the Barrios Family v. Venezuela. Merits, reparations and costs.</w:t>
      </w:r>
      <w:r w:rsidRPr="004542B5">
        <w:rPr>
          <w:rStyle w:val="Strong"/>
          <w:b w:val="0"/>
          <w:color w:val="000000"/>
          <w:szCs w:val="16"/>
          <w:lang w:val="en-US"/>
        </w:rPr>
        <w:t xml:space="preserve"> Judgment of November 24, 2011. Series C No. 237,</w:t>
      </w:r>
      <w:r w:rsidRPr="004542B5">
        <w:rPr>
          <w:szCs w:val="16"/>
          <w:lang w:val="en-US"/>
        </w:rPr>
        <w:t xml:space="preserve"> and </w:t>
      </w:r>
      <w:r w:rsidRPr="004542B5">
        <w:rPr>
          <w:rStyle w:val="Strong"/>
          <w:b w:val="0"/>
          <w:i/>
          <w:color w:val="000000"/>
          <w:szCs w:val="16"/>
          <w:lang w:val="en-US"/>
        </w:rPr>
        <w:t>Case of Uzcátegui et al. v. Venezuela. Merits and reparations.</w:t>
      </w:r>
      <w:r w:rsidRPr="004542B5">
        <w:rPr>
          <w:rStyle w:val="Strong"/>
          <w:b w:val="0"/>
          <w:color w:val="000000"/>
          <w:szCs w:val="16"/>
          <w:lang w:val="en-US"/>
        </w:rPr>
        <w:t xml:space="preserve"> Judgment of September 3, 2012. Series C No. 249</w:t>
      </w:r>
      <w:r w:rsidRPr="004542B5">
        <w:rPr>
          <w:szCs w:val="16"/>
          <w:lang w:val="en-US"/>
        </w:rPr>
        <w:t xml:space="preserve">. </w:t>
      </w:r>
    </w:p>
  </w:footnote>
  <w:footnote w:id="289">
    <w:p w14:paraId="32C7F7C0" w14:textId="2111A33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Furlan and family v. Argentina. Preliminary objections, merits, reparations and costs.</w:t>
      </w:r>
      <w:r w:rsidRPr="004542B5">
        <w:rPr>
          <w:rStyle w:val="Strong"/>
          <w:b w:val="0"/>
          <w:color w:val="000000"/>
          <w:szCs w:val="16"/>
          <w:lang w:val="en-US"/>
        </w:rPr>
        <w:t xml:space="preserve"> Judgment of August 31, 2012. Series C No. 246. </w:t>
      </w:r>
    </w:p>
  </w:footnote>
  <w:footnote w:id="290">
    <w:p w14:paraId="3C785904" w14:textId="7659508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the Massacres of El Mozote and neighboring places v. El Salvador. Merits, reparations and costs.</w:t>
      </w:r>
      <w:r w:rsidRPr="004542B5">
        <w:rPr>
          <w:rStyle w:val="Strong"/>
          <w:b w:val="0"/>
          <w:color w:val="000000"/>
          <w:szCs w:val="16"/>
          <w:lang w:val="en-US"/>
        </w:rPr>
        <w:t xml:space="preserve"> Judgment of October 25, 2012. Series C No. 252</w:t>
      </w:r>
      <w:r w:rsidRPr="004542B5">
        <w:rPr>
          <w:szCs w:val="16"/>
          <w:lang w:val="en-US"/>
        </w:rPr>
        <w:t xml:space="preserve">; </w:t>
      </w:r>
      <w:r w:rsidRPr="004542B5">
        <w:rPr>
          <w:rStyle w:val="Strong"/>
          <w:b w:val="0"/>
          <w:i/>
          <w:iCs/>
          <w:color w:val="000000"/>
          <w:szCs w:val="16"/>
          <w:lang w:val="en-US"/>
        </w:rPr>
        <w:t>Case of the Santo Domingo Massacre</w:t>
      </w:r>
      <w:r w:rsidRPr="004542B5">
        <w:rPr>
          <w:rStyle w:val="Strong"/>
          <w:b w:val="0"/>
          <w:i/>
          <w:color w:val="000000"/>
          <w:szCs w:val="16"/>
          <w:lang w:val="en-US"/>
        </w:rPr>
        <w:t xml:space="preserve"> v. Colombia. Preliminary objections, merits and reparations. </w:t>
      </w:r>
      <w:r w:rsidRPr="004542B5">
        <w:rPr>
          <w:rStyle w:val="Strong"/>
          <w:b w:val="0"/>
          <w:color w:val="000000"/>
          <w:szCs w:val="16"/>
          <w:lang w:val="en-US"/>
        </w:rPr>
        <w:t xml:space="preserve">Judgment of November 30, 2012. Series C No. 259, and </w:t>
      </w:r>
      <w:r w:rsidRPr="004542B5">
        <w:rPr>
          <w:rStyle w:val="Strong"/>
          <w:b w:val="0"/>
          <w:i/>
          <w:color w:val="000000"/>
          <w:szCs w:val="16"/>
          <w:lang w:val="en-US"/>
        </w:rPr>
        <w:t>Case of the Afro-descendant Communities Displaced from the Río Cacarica Basin (Operation Genesis) v. Colombia. Preliminary objections, merits, reparations and costs.</w:t>
      </w:r>
      <w:r w:rsidRPr="004542B5">
        <w:rPr>
          <w:rStyle w:val="Strong"/>
          <w:b w:val="0"/>
          <w:color w:val="000000"/>
          <w:szCs w:val="16"/>
          <w:lang w:val="en-US"/>
        </w:rPr>
        <w:t xml:space="preserve"> Judgment of November 20, 2013. Series C No. 270.</w:t>
      </w:r>
    </w:p>
  </w:footnote>
  <w:footnote w:id="291">
    <w:p w14:paraId="6FFBC73E" w14:textId="6C6B4D0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Mémoli v. Argentina. Preliminary objections, merits, reparations and costs.</w:t>
      </w:r>
      <w:r w:rsidRPr="004542B5">
        <w:rPr>
          <w:rStyle w:val="Strong"/>
          <w:b w:val="0"/>
          <w:color w:val="000000"/>
          <w:szCs w:val="16"/>
          <w:lang w:val="en-US"/>
        </w:rPr>
        <w:t xml:space="preserve"> Judgment of August 22, 2013. Series C No. 265.</w:t>
      </w:r>
    </w:p>
  </w:footnote>
  <w:footnote w:id="292">
    <w:p w14:paraId="291778BB" w14:textId="5697B5F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rStyle w:val="apple-converted-space"/>
          <w:bCs/>
          <w:color w:val="000000"/>
          <w:szCs w:val="16"/>
          <w:lang w:val="en-US"/>
        </w:rPr>
        <w:t> </w:t>
      </w:r>
      <w:r w:rsidRPr="004542B5">
        <w:rPr>
          <w:rStyle w:val="apple-converted-space"/>
          <w:bCs/>
          <w:color w:val="000000"/>
          <w:szCs w:val="16"/>
          <w:lang w:val="en-US"/>
        </w:rPr>
        <w:tab/>
      </w:r>
      <w:r w:rsidRPr="004542B5">
        <w:rPr>
          <w:rStyle w:val="apple-converted-space"/>
          <w:bCs/>
          <w:i/>
          <w:color w:val="000000"/>
          <w:szCs w:val="16"/>
          <w:lang w:val="en-US"/>
        </w:rPr>
        <w:t xml:space="preserve">Case of </w:t>
      </w:r>
      <w:r w:rsidRPr="004542B5">
        <w:rPr>
          <w:rStyle w:val="Strong"/>
          <w:b w:val="0"/>
          <w:i/>
          <w:color w:val="000000"/>
          <w:szCs w:val="16"/>
          <w:lang w:val="en-US"/>
        </w:rPr>
        <w:t>the Mayagna (Sumo) Awas Tingni Community v. Nicaragua. Merits, reparations and costs.</w:t>
      </w:r>
      <w:r w:rsidRPr="004542B5">
        <w:rPr>
          <w:rStyle w:val="Strong"/>
          <w:b w:val="0"/>
          <w:color w:val="000000"/>
          <w:szCs w:val="16"/>
          <w:lang w:val="en-US"/>
        </w:rPr>
        <w:t xml:space="preserve"> Judgment of August 31, 2001. Series C No. 79; </w:t>
      </w:r>
      <w:r w:rsidRPr="004542B5">
        <w:rPr>
          <w:rStyle w:val="Strong"/>
          <w:b w:val="0"/>
          <w:i/>
          <w:color w:val="000000"/>
          <w:szCs w:val="16"/>
          <w:lang w:val="en-US"/>
        </w:rPr>
        <w:t xml:space="preserve">Case of the Yakye Axa Indigenous Community v. Paraguay. Merits, reparations and costs. </w:t>
      </w:r>
      <w:r w:rsidRPr="004542B5">
        <w:rPr>
          <w:rStyle w:val="Strong"/>
          <w:b w:val="0"/>
          <w:color w:val="000000"/>
          <w:szCs w:val="16"/>
          <w:lang w:val="en-US"/>
        </w:rPr>
        <w:t xml:space="preserve">Judgment of June 17, 2005. Series C No. 125; </w:t>
      </w:r>
      <w:r w:rsidRPr="004542B5">
        <w:rPr>
          <w:rStyle w:val="Strong"/>
          <w:b w:val="0"/>
          <w:i/>
          <w:color w:val="000000"/>
          <w:szCs w:val="16"/>
          <w:lang w:val="en-US"/>
        </w:rPr>
        <w:t>Case of the Sawhoyamaxa Indigenous Community v. Paraguay. Merits, reparations and costs.</w:t>
      </w:r>
      <w:r w:rsidRPr="004542B5">
        <w:rPr>
          <w:rStyle w:val="Strong"/>
          <w:b w:val="0"/>
          <w:color w:val="000000"/>
          <w:szCs w:val="16"/>
          <w:lang w:val="en-US"/>
        </w:rPr>
        <w:t xml:space="preserve"> Judgment of March 29, 2006. Series C No. 146;</w:t>
      </w:r>
      <w:r w:rsidRPr="004542B5">
        <w:rPr>
          <w:rStyle w:val="Strong"/>
          <w:b w:val="0"/>
          <w:i/>
          <w:color w:val="000000"/>
          <w:szCs w:val="16"/>
          <w:lang w:val="en-US"/>
        </w:rPr>
        <w:t xml:space="preserve"> Case of</w:t>
      </w:r>
      <w:r w:rsidRPr="004542B5">
        <w:rPr>
          <w:rStyle w:val="Strong"/>
          <w:b w:val="0"/>
          <w:color w:val="000000"/>
          <w:szCs w:val="16"/>
          <w:lang w:val="en-US"/>
        </w:rPr>
        <w:t xml:space="preserve"> </w:t>
      </w:r>
      <w:r w:rsidRPr="004542B5">
        <w:rPr>
          <w:rStyle w:val="Strong"/>
          <w:b w:val="0"/>
          <w:i/>
          <w:color w:val="000000"/>
          <w:szCs w:val="16"/>
          <w:lang w:val="en-US"/>
        </w:rPr>
        <w:t>the Saramaka People v. Suriname. Preliminary objections, merits, reparations and costs.</w:t>
      </w:r>
      <w:r w:rsidRPr="004542B5">
        <w:rPr>
          <w:rStyle w:val="Strong"/>
          <w:b w:val="0"/>
          <w:color w:val="000000"/>
          <w:szCs w:val="16"/>
          <w:lang w:val="en-US"/>
        </w:rPr>
        <w:t xml:space="preserve"> Judgment of November 28, 2007. Series C No. 172; </w:t>
      </w:r>
      <w:r w:rsidRPr="004542B5">
        <w:rPr>
          <w:rStyle w:val="Strong"/>
          <w:b w:val="0"/>
          <w:i/>
          <w:color w:val="000000"/>
          <w:szCs w:val="16"/>
          <w:lang w:val="en-US"/>
        </w:rPr>
        <w:t>Case of the Xákmok Kásek Indigenous Community. v. Paraguay. Merits, reparations and costs.</w:t>
      </w:r>
      <w:r w:rsidRPr="004542B5">
        <w:rPr>
          <w:rStyle w:val="Strong"/>
          <w:b w:val="0"/>
          <w:color w:val="000000"/>
          <w:szCs w:val="16"/>
          <w:lang w:val="en-US"/>
        </w:rPr>
        <w:t xml:space="preserve"> Judgment of August 24, 2010</w:t>
      </w:r>
      <w:r w:rsidR="00F631FD" w:rsidRPr="004542B5">
        <w:rPr>
          <w:rStyle w:val="Strong"/>
          <w:b w:val="0"/>
          <w:color w:val="000000"/>
          <w:szCs w:val="16"/>
          <w:lang w:val="en-US"/>
        </w:rPr>
        <w:t>.</w:t>
      </w:r>
      <w:r w:rsidRPr="004542B5">
        <w:rPr>
          <w:rStyle w:val="Strong"/>
          <w:b w:val="0"/>
          <w:color w:val="000000"/>
          <w:szCs w:val="16"/>
          <w:lang w:val="en-US"/>
        </w:rPr>
        <w:t xml:space="preserve"> Series C No. 214; </w:t>
      </w:r>
      <w:r w:rsidRPr="004542B5">
        <w:rPr>
          <w:rStyle w:val="Strong"/>
          <w:b w:val="0"/>
          <w:i/>
          <w:color w:val="000000"/>
          <w:szCs w:val="16"/>
          <w:lang w:val="en-US"/>
        </w:rPr>
        <w:t xml:space="preserve">Case of the Kichwa Indigenous People of Sarayaku v. Ecuador. Merits and reparations. </w:t>
      </w:r>
      <w:r w:rsidRPr="004542B5">
        <w:rPr>
          <w:rStyle w:val="Strong"/>
          <w:b w:val="0"/>
          <w:color w:val="000000"/>
          <w:szCs w:val="16"/>
          <w:lang w:val="en-US"/>
        </w:rPr>
        <w:t xml:space="preserve">Judgment of June 27, 2012. Series C No. 245, and </w:t>
      </w:r>
      <w:r w:rsidRPr="004542B5">
        <w:rPr>
          <w:rStyle w:val="Strong"/>
          <w:b w:val="0"/>
          <w:i/>
          <w:color w:val="000000"/>
          <w:szCs w:val="16"/>
          <w:lang w:val="en-US"/>
        </w:rPr>
        <w:t>Case of the Afro-descendant Communities Displaced from the Río Cacarica Basin (Operation Genesis) v. Colombia. Preliminary objections, merits, reparations and costs.</w:t>
      </w:r>
      <w:r w:rsidRPr="004542B5">
        <w:rPr>
          <w:rStyle w:val="Strong"/>
          <w:b w:val="0"/>
          <w:color w:val="000000"/>
          <w:szCs w:val="16"/>
          <w:lang w:val="en-US"/>
        </w:rPr>
        <w:t xml:space="preserve"> Judgment of November 20, 2013. Series C No. 270. </w:t>
      </w:r>
    </w:p>
  </w:footnote>
  <w:footnote w:id="293">
    <w:p w14:paraId="047F644C" w14:textId="5F54EFDE" w:rsidR="00F87526" w:rsidRPr="004542B5" w:rsidRDefault="00F87526" w:rsidP="00BF7853">
      <w:pPr>
        <w:spacing w:after="120"/>
        <w:rPr>
          <w:bCs/>
          <w:color w:val="000000"/>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rStyle w:val="Strong"/>
          <w:b w:val="0"/>
          <w:i/>
          <w:color w:val="000000"/>
          <w:sz w:val="16"/>
          <w:szCs w:val="16"/>
          <w:lang w:val="en-US"/>
        </w:rPr>
        <w:t xml:space="preserve">Case of the Kichwa Indigenous People of Sarayaku v. Ecuador. Merits and reparations. </w:t>
      </w:r>
      <w:r w:rsidRPr="004542B5">
        <w:rPr>
          <w:rStyle w:val="Strong"/>
          <w:b w:val="0"/>
          <w:color w:val="000000"/>
          <w:sz w:val="16"/>
          <w:szCs w:val="16"/>
          <w:lang w:val="en-US"/>
        </w:rPr>
        <w:t>Judgment of June 27, 2012. Series C No. 245</w:t>
      </w:r>
      <w:r w:rsidRPr="004542B5">
        <w:rPr>
          <w:sz w:val="16"/>
          <w:szCs w:val="16"/>
          <w:lang w:val="en-US"/>
        </w:rPr>
        <w:t xml:space="preserve">, para. 145; </w:t>
      </w:r>
      <w:r w:rsidRPr="004542B5">
        <w:rPr>
          <w:rStyle w:val="Strong"/>
          <w:b w:val="0"/>
          <w:i/>
          <w:color w:val="000000"/>
          <w:sz w:val="16"/>
          <w:szCs w:val="16"/>
          <w:lang w:val="en-US"/>
        </w:rPr>
        <w:t>Case of the Xákmok Kásek Indigenous Community. v. Paraguay. Merits, reparations and costs.</w:t>
      </w:r>
      <w:r w:rsidRPr="004542B5">
        <w:rPr>
          <w:rStyle w:val="Strong"/>
          <w:b w:val="0"/>
          <w:color w:val="000000"/>
          <w:sz w:val="16"/>
          <w:szCs w:val="16"/>
          <w:lang w:val="en-US"/>
        </w:rPr>
        <w:t xml:space="preserve"> Judgment of August 24, 2010. Series C No. 214</w:t>
      </w:r>
      <w:r w:rsidRPr="004542B5">
        <w:rPr>
          <w:sz w:val="16"/>
          <w:szCs w:val="16"/>
          <w:lang w:val="en-US"/>
        </w:rPr>
        <w:t xml:space="preserve">, para. 86, and </w:t>
      </w:r>
      <w:r w:rsidRPr="004542B5">
        <w:rPr>
          <w:rStyle w:val="apple-converted-space"/>
          <w:bCs/>
          <w:i/>
          <w:color w:val="000000"/>
          <w:sz w:val="16"/>
          <w:szCs w:val="16"/>
          <w:lang w:val="en-US"/>
        </w:rPr>
        <w:t xml:space="preserve">Case of </w:t>
      </w:r>
      <w:r w:rsidRPr="004542B5">
        <w:rPr>
          <w:rStyle w:val="Strong"/>
          <w:b w:val="0"/>
          <w:i/>
          <w:color w:val="000000"/>
          <w:sz w:val="16"/>
          <w:szCs w:val="16"/>
          <w:lang w:val="en-US"/>
        </w:rPr>
        <w:t>the Mayagna (Sumo) Awas Tingni Community v. Nicaragua. Merits, reparations and costs.</w:t>
      </w:r>
      <w:r w:rsidRPr="004542B5">
        <w:rPr>
          <w:rStyle w:val="Strong"/>
          <w:b w:val="0"/>
          <w:color w:val="000000"/>
          <w:sz w:val="16"/>
          <w:szCs w:val="16"/>
          <w:lang w:val="en-US"/>
        </w:rPr>
        <w:t xml:space="preserve"> Judgment of August 31, 2001. Series C No. 79, </w:t>
      </w:r>
      <w:r w:rsidRPr="004542B5">
        <w:rPr>
          <w:sz w:val="16"/>
          <w:szCs w:val="16"/>
          <w:lang w:val="en-US"/>
        </w:rPr>
        <w:t xml:space="preserve">para. 149. </w:t>
      </w:r>
    </w:p>
  </w:footnote>
  <w:footnote w:id="294">
    <w:p w14:paraId="26375A3A" w14:textId="356DF7F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The Right to Information on Consular Assistance within the Framework of the Guarantees of Due Process of Law. </w:t>
      </w:r>
      <w:r w:rsidRPr="004542B5">
        <w:rPr>
          <w:szCs w:val="16"/>
          <w:lang w:val="en-US"/>
        </w:rPr>
        <w:t>Advisory Opinion OC-16/99 of October 1, 1999. Series A No. 16, para. 114.</w:t>
      </w:r>
    </w:p>
  </w:footnote>
  <w:footnote w:id="295">
    <w:p w14:paraId="348D39C3" w14:textId="01585108" w:rsidR="00F87526" w:rsidRPr="004542B5" w:rsidRDefault="00F87526" w:rsidP="00BF7853">
      <w:pPr>
        <w:spacing w:after="120"/>
        <w:rPr>
          <w:bCs/>
          <w:color w:val="000000"/>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rStyle w:val="Strong"/>
          <w:b w:val="0"/>
          <w:i/>
          <w:color w:val="000000"/>
          <w:sz w:val="16"/>
          <w:szCs w:val="16"/>
          <w:lang w:val="en-US"/>
        </w:rPr>
        <w:t xml:space="preserve">Case of the Kichwa Indigenous People of Sarayaku v. Ecuador. Merits and reparations. </w:t>
      </w:r>
      <w:r w:rsidRPr="004542B5">
        <w:rPr>
          <w:rStyle w:val="Strong"/>
          <w:b w:val="0"/>
          <w:color w:val="000000"/>
          <w:sz w:val="16"/>
          <w:szCs w:val="16"/>
          <w:lang w:val="en-US"/>
        </w:rPr>
        <w:t xml:space="preserve">Judgment of June 27, 2012. Series C No. 245, para. </w:t>
      </w:r>
      <w:r w:rsidRPr="004542B5">
        <w:rPr>
          <w:sz w:val="16"/>
          <w:szCs w:val="16"/>
          <w:lang w:val="en-US"/>
        </w:rPr>
        <w:t xml:space="preserve">171, and </w:t>
      </w:r>
      <w:r w:rsidRPr="004542B5">
        <w:rPr>
          <w:rStyle w:val="apple-converted-space"/>
          <w:bCs/>
          <w:i/>
          <w:color w:val="000000"/>
          <w:sz w:val="16"/>
          <w:szCs w:val="16"/>
          <w:lang w:val="en-US"/>
        </w:rPr>
        <w:t xml:space="preserve">Case of </w:t>
      </w:r>
      <w:r w:rsidRPr="004542B5">
        <w:rPr>
          <w:rStyle w:val="Strong"/>
          <w:b w:val="0"/>
          <w:i/>
          <w:color w:val="000000"/>
          <w:sz w:val="16"/>
          <w:szCs w:val="16"/>
          <w:lang w:val="en-US"/>
        </w:rPr>
        <w:t>the Mayagna (Sumo) Awas Tingni Community v. Nicaragua. Merits, reparations and costs.</w:t>
      </w:r>
      <w:r w:rsidRPr="004542B5">
        <w:rPr>
          <w:rStyle w:val="Strong"/>
          <w:b w:val="0"/>
          <w:color w:val="000000"/>
          <w:sz w:val="16"/>
          <w:szCs w:val="16"/>
          <w:lang w:val="en-US"/>
        </w:rPr>
        <w:t xml:space="preserve"> Judgment of August 31, 2001. Series C No. 79, </w:t>
      </w:r>
      <w:r w:rsidRPr="004542B5">
        <w:rPr>
          <w:sz w:val="16"/>
          <w:szCs w:val="16"/>
          <w:lang w:val="en-US"/>
        </w:rPr>
        <w:t xml:space="preserve">para. 147. </w:t>
      </w:r>
    </w:p>
  </w:footnote>
  <w:footnote w:id="296">
    <w:p w14:paraId="28EDCDC0" w14:textId="74F3905D"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i/>
          <w:szCs w:val="16"/>
          <w:lang w:val="en-US"/>
        </w:rPr>
        <w:t xml:space="preserve"> </w:t>
      </w:r>
      <w:r w:rsidRPr="004542B5">
        <w:rPr>
          <w:i/>
          <w:szCs w:val="16"/>
          <w:lang w:val="en-US"/>
        </w:rPr>
        <w:tab/>
        <w:t>Cf.</w:t>
      </w:r>
      <w:r w:rsidRPr="004542B5">
        <w:rPr>
          <w:szCs w:val="16"/>
          <w:lang w:val="en-US"/>
        </w:rPr>
        <w:t xml:space="preserve">  </w:t>
      </w:r>
      <w:r w:rsidRPr="004542B5">
        <w:rPr>
          <w:rStyle w:val="Strong"/>
          <w:b w:val="0"/>
          <w:i/>
          <w:color w:val="000000"/>
          <w:szCs w:val="16"/>
          <w:lang w:val="en-US"/>
        </w:rPr>
        <w:t xml:space="preserve">Case of the Kichwa Indigenous People of Sarayaku v. Ecuador. Merits and reparations. </w:t>
      </w:r>
      <w:r w:rsidRPr="004542B5">
        <w:rPr>
          <w:rStyle w:val="Strong"/>
          <w:b w:val="0"/>
          <w:color w:val="000000"/>
          <w:szCs w:val="16"/>
          <w:lang w:val="en-US"/>
        </w:rPr>
        <w:t xml:space="preserve">Judgment of June 27, 2012. Series C No. 245, para. </w:t>
      </w:r>
      <w:r w:rsidRPr="004542B5">
        <w:rPr>
          <w:szCs w:val="16"/>
          <w:lang w:val="en-US"/>
        </w:rPr>
        <w:t xml:space="preserve">171, and </w:t>
      </w:r>
      <w:r w:rsidRPr="004542B5">
        <w:rPr>
          <w:rStyle w:val="apple-converted-space"/>
          <w:bCs/>
          <w:i/>
          <w:color w:val="000000"/>
          <w:szCs w:val="16"/>
          <w:lang w:val="en-US"/>
        </w:rPr>
        <w:t xml:space="preserve">Case of </w:t>
      </w:r>
      <w:r w:rsidRPr="004542B5">
        <w:rPr>
          <w:rStyle w:val="Strong"/>
          <w:b w:val="0"/>
          <w:i/>
          <w:color w:val="000000"/>
          <w:szCs w:val="16"/>
          <w:lang w:val="en-US"/>
        </w:rPr>
        <w:t>the Mayagna (Sumo) Awas Tingni Community v. Nicaragua. Merits, reparations and costs.</w:t>
      </w:r>
      <w:r w:rsidRPr="004542B5">
        <w:rPr>
          <w:rStyle w:val="Strong"/>
          <w:b w:val="0"/>
          <w:color w:val="000000"/>
          <w:szCs w:val="16"/>
          <w:lang w:val="en-US"/>
        </w:rPr>
        <w:t xml:space="preserve"> Judgment of August 31, 2001. Series C No. 79, </w:t>
      </w:r>
      <w:r w:rsidRPr="004542B5">
        <w:rPr>
          <w:szCs w:val="16"/>
          <w:lang w:val="en-US"/>
        </w:rPr>
        <w:t>para. 148</w:t>
      </w:r>
    </w:p>
  </w:footnote>
  <w:footnote w:id="297">
    <w:p w14:paraId="45FB0568" w14:textId="2A928811" w:rsidR="00F87526" w:rsidRPr="004542B5" w:rsidRDefault="00F87526" w:rsidP="00BF7853">
      <w:pPr>
        <w:pStyle w:val="FootnoteText"/>
        <w:spacing w:before="0"/>
        <w:rPr>
          <w:color w:val="FF0000"/>
          <w:szCs w:val="16"/>
          <w:lang w:val="en-US"/>
        </w:rPr>
      </w:pPr>
      <w:r w:rsidRPr="004542B5">
        <w:rPr>
          <w:rStyle w:val="FootnoteReference"/>
          <w:szCs w:val="16"/>
          <w:lang w:val="en-US"/>
        </w:rPr>
        <w:footnoteRef/>
      </w:r>
      <w:r w:rsidRPr="004542B5">
        <w:rPr>
          <w:szCs w:val="16"/>
          <w:lang w:val="en-US"/>
        </w:rPr>
        <w:t xml:space="preserve"> </w:t>
      </w:r>
      <w:r w:rsidRPr="004542B5">
        <w:rPr>
          <w:color w:val="FF0000"/>
          <w:szCs w:val="16"/>
          <w:lang w:val="en-US"/>
        </w:rPr>
        <w:tab/>
      </w:r>
      <w:r w:rsidRPr="004542B5">
        <w:rPr>
          <w:rStyle w:val="apple-converted-space"/>
          <w:bCs/>
          <w:i/>
          <w:color w:val="000000"/>
          <w:szCs w:val="16"/>
          <w:lang w:val="en-US"/>
        </w:rPr>
        <w:t xml:space="preserve">Case of </w:t>
      </w:r>
      <w:r w:rsidRPr="004542B5">
        <w:rPr>
          <w:rStyle w:val="Strong"/>
          <w:b w:val="0"/>
          <w:i/>
          <w:color w:val="000000"/>
          <w:szCs w:val="16"/>
          <w:lang w:val="en-US"/>
        </w:rPr>
        <w:t>the Mayagna (Sumo) Awas Tingni Community v. Nicaragua. Merits, reparations and costs.</w:t>
      </w:r>
      <w:r w:rsidRPr="004542B5">
        <w:rPr>
          <w:rStyle w:val="Strong"/>
          <w:b w:val="0"/>
          <w:color w:val="000000"/>
          <w:szCs w:val="16"/>
          <w:lang w:val="en-US"/>
        </w:rPr>
        <w:t xml:space="preserve"> Judgment of August 31, 2001. Series C No. 79; </w:t>
      </w:r>
      <w:r w:rsidRPr="004542B5">
        <w:rPr>
          <w:rStyle w:val="Strong"/>
          <w:b w:val="0"/>
          <w:i/>
          <w:color w:val="000000"/>
          <w:szCs w:val="16"/>
          <w:lang w:val="en-US"/>
        </w:rPr>
        <w:t>Case of the Yakye Axa Indigenous Community v. Paraguay. Merits, reparations and costs.</w:t>
      </w:r>
      <w:r w:rsidRPr="004542B5">
        <w:rPr>
          <w:rStyle w:val="Strong"/>
          <w:b w:val="0"/>
          <w:color w:val="000000"/>
          <w:szCs w:val="16"/>
          <w:lang w:val="en-US"/>
        </w:rPr>
        <w:t xml:space="preserve"> Judgment of June 17, 2005. Series C No. 125; </w:t>
      </w:r>
      <w:r w:rsidRPr="004542B5">
        <w:rPr>
          <w:rStyle w:val="Strong"/>
          <w:b w:val="0"/>
          <w:i/>
          <w:color w:val="000000"/>
          <w:szCs w:val="16"/>
          <w:lang w:val="en-US"/>
        </w:rPr>
        <w:t>Case of the Sawhoyamaxa Indigenous Community v. Paraguay. Merits, reparations and costs.</w:t>
      </w:r>
      <w:r w:rsidRPr="004542B5">
        <w:rPr>
          <w:rStyle w:val="Strong"/>
          <w:b w:val="0"/>
          <w:color w:val="000000"/>
          <w:szCs w:val="16"/>
          <w:lang w:val="en-US"/>
        </w:rPr>
        <w:t xml:space="preserve"> Judgment of March 29, 2006. Series C No. 146; </w:t>
      </w:r>
      <w:r w:rsidRPr="004542B5">
        <w:rPr>
          <w:rStyle w:val="Strong"/>
          <w:b w:val="0"/>
          <w:i/>
          <w:color w:val="000000"/>
          <w:szCs w:val="16"/>
          <w:lang w:val="en-US"/>
        </w:rPr>
        <w:t>Case of the Xákmok Kásek Indigenous Community. v. Paraguay. Merits, reparations and costs.</w:t>
      </w:r>
      <w:r w:rsidRPr="004542B5">
        <w:rPr>
          <w:rStyle w:val="Strong"/>
          <w:b w:val="0"/>
          <w:color w:val="000000"/>
          <w:szCs w:val="16"/>
          <w:lang w:val="en-US"/>
        </w:rPr>
        <w:t xml:space="preserve"> Judgment of August 24, 2010</w:t>
      </w:r>
      <w:r w:rsidR="00F631FD" w:rsidRPr="004542B5">
        <w:rPr>
          <w:rStyle w:val="Strong"/>
          <w:b w:val="0"/>
          <w:color w:val="000000"/>
          <w:szCs w:val="16"/>
          <w:lang w:val="en-US"/>
        </w:rPr>
        <w:t>.</w:t>
      </w:r>
      <w:r w:rsidRPr="004542B5">
        <w:rPr>
          <w:rStyle w:val="Strong"/>
          <w:b w:val="0"/>
          <w:color w:val="000000"/>
          <w:szCs w:val="16"/>
          <w:lang w:val="en-US"/>
        </w:rPr>
        <w:t xml:space="preserve"> Series C No. 214, and </w:t>
      </w:r>
      <w:r w:rsidRPr="004542B5">
        <w:rPr>
          <w:rStyle w:val="Strong"/>
          <w:b w:val="0"/>
          <w:i/>
          <w:color w:val="000000"/>
          <w:szCs w:val="16"/>
          <w:lang w:val="en-US"/>
        </w:rPr>
        <w:t xml:space="preserve">Case of the Kichwa Indigenous People of Sarayaku v. Ecuador. Merits and reparations. </w:t>
      </w:r>
      <w:r w:rsidRPr="004542B5">
        <w:rPr>
          <w:rStyle w:val="Strong"/>
          <w:b w:val="0"/>
          <w:color w:val="000000"/>
          <w:szCs w:val="16"/>
          <w:lang w:val="en-US"/>
        </w:rPr>
        <w:t>Judgment of June 27, 2012. Series C No. 245.</w:t>
      </w:r>
    </w:p>
  </w:footnote>
  <w:footnote w:id="298">
    <w:p w14:paraId="4A0B4BA2" w14:textId="3E82942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color w:val="FF0000"/>
          <w:szCs w:val="16"/>
          <w:lang w:val="en-US"/>
        </w:rPr>
        <w:tab/>
      </w:r>
      <w:r w:rsidRPr="004542B5">
        <w:rPr>
          <w:rStyle w:val="Strong"/>
          <w:b w:val="0"/>
          <w:i/>
          <w:color w:val="000000"/>
          <w:szCs w:val="16"/>
          <w:lang w:val="en-US"/>
        </w:rPr>
        <w:t>Case of</w:t>
      </w:r>
      <w:r w:rsidRPr="004542B5">
        <w:rPr>
          <w:rStyle w:val="Strong"/>
          <w:b w:val="0"/>
          <w:color w:val="000000"/>
          <w:szCs w:val="16"/>
          <w:lang w:val="en-US"/>
        </w:rPr>
        <w:t xml:space="preserve"> </w:t>
      </w:r>
      <w:r w:rsidRPr="004542B5">
        <w:rPr>
          <w:rStyle w:val="Strong"/>
          <w:b w:val="0"/>
          <w:i/>
          <w:color w:val="000000"/>
          <w:szCs w:val="16"/>
          <w:lang w:val="en-US"/>
        </w:rPr>
        <w:t>the Saramaka People v. Suriname. Preliminary objections, merits, reparations and costs.</w:t>
      </w:r>
      <w:r w:rsidRPr="004542B5">
        <w:rPr>
          <w:rStyle w:val="Strong"/>
          <w:b w:val="0"/>
          <w:color w:val="000000"/>
          <w:szCs w:val="16"/>
          <w:lang w:val="en-US"/>
        </w:rPr>
        <w:t xml:space="preserve"> Judgment of November 28, 2007. Series C No. 172.</w:t>
      </w:r>
    </w:p>
  </w:footnote>
  <w:footnote w:id="299">
    <w:p w14:paraId="2E61726D" w14:textId="23C9273B" w:rsidR="00F87526" w:rsidRPr="004542B5" w:rsidRDefault="00F87526" w:rsidP="00BF7853">
      <w:pPr>
        <w:spacing w:after="120"/>
        <w:rPr>
          <w:bCs/>
          <w:color w:val="000000"/>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rStyle w:val="Strong"/>
          <w:b w:val="0"/>
          <w:i/>
          <w:color w:val="000000"/>
          <w:sz w:val="16"/>
          <w:szCs w:val="16"/>
          <w:lang w:val="en-US"/>
        </w:rPr>
        <w:t>Case of the Xákmok Kásek Indigenous Community v. Paraguay. Merits, reparations and costs.</w:t>
      </w:r>
      <w:r w:rsidRPr="004542B5">
        <w:rPr>
          <w:rStyle w:val="Strong"/>
          <w:b w:val="0"/>
          <w:color w:val="000000"/>
          <w:sz w:val="16"/>
          <w:szCs w:val="16"/>
          <w:lang w:val="en-US"/>
        </w:rPr>
        <w:t xml:space="preserve"> Judgment of August 24, 2010. Series C No. 214</w:t>
      </w:r>
      <w:r w:rsidRPr="004542B5">
        <w:rPr>
          <w:sz w:val="16"/>
          <w:szCs w:val="16"/>
          <w:lang w:val="en-US"/>
        </w:rPr>
        <w:t xml:space="preserve">, para. 87; </w:t>
      </w:r>
      <w:r w:rsidRPr="004542B5">
        <w:rPr>
          <w:rStyle w:val="Strong"/>
          <w:b w:val="0"/>
          <w:i/>
          <w:color w:val="000000"/>
          <w:sz w:val="16"/>
          <w:szCs w:val="16"/>
          <w:lang w:val="en-US"/>
        </w:rPr>
        <w:t>Case of</w:t>
      </w:r>
      <w:r w:rsidRPr="004542B5">
        <w:rPr>
          <w:rStyle w:val="Strong"/>
          <w:b w:val="0"/>
          <w:color w:val="000000"/>
          <w:sz w:val="16"/>
          <w:szCs w:val="16"/>
          <w:lang w:val="en-US"/>
        </w:rPr>
        <w:t xml:space="preserve"> </w:t>
      </w:r>
      <w:r w:rsidRPr="004542B5">
        <w:rPr>
          <w:rStyle w:val="Strong"/>
          <w:b w:val="0"/>
          <w:i/>
          <w:color w:val="000000"/>
          <w:sz w:val="16"/>
          <w:szCs w:val="16"/>
          <w:lang w:val="en-US"/>
        </w:rPr>
        <w:t>the Saramaka People v. Suriname. Preliminary objections, merits, reparations and costs.</w:t>
      </w:r>
      <w:r w:rsidRPr="004542B5">
        <w:rPr>
          <w:rStyle w:val="Strong"/>
          <w:b w:val="0"/>
          <w:color w:val="000000"/>
          <w:sz w:val="16"/>
          <w:szCs w:val="16"/>
          <w:lang w:val="en-US"/>
        </w:rPr>
        <w:t xml:space="preserve"> Judgment of November 28, 2007. Series C No. 172</w:t>
      </w:r>
      <w:r w:rsidRPr="004542B5">
        <w:rPr>
          <w:rStyle w:val="Strong"/>
          <w:b w:val="0"/>
          <w:i/>
          <w:color w:val="000000"/>
          <w:sz w:val="16"/>
          <w:szCs w:val="16"/>
          <w:lang w:val="en-US"/>
        </w:rPr>
        <w:t xml:space="preserve">, </w:t>
      </w:r>
      <w:r w:rsidRPr="004542B5">
        <w:rPr>
          <w:rStyle w:val="Strong"/>
          <w:b w:val="0"/>
          <w:color w:val="000000"/>
          <w:sz w:val="16"/>
          <w:szCs w:val="16"/>
          <w:lang w:val="en-US"/>
        </w:rPr>
        <w:t xml:space="preserve">para. 89, and </w:t>
      </w:r>
      <w:r w:rsidRPr="004542B5">
        <w:rPr>
          <w:rStyle w:val="Strong"/>
          <w:b w:val="0"/>
          <w:i/>
          <w:color w:val="000000"/>
          <w:sz w:val="16"/>
          <w:szCs w:val="16"/>
          <w:lang w:val="en-US"/>
        </w:rPr>
        <w:t>Case of the Sawhoyamaxa Indigenous Community v. Paraguay. Merits, reparations and costs.</w:t>
      </w:r>
      <w:r w:rsidRPr="004542B5">
        <w:rPr>
          <w:rStyle w:val="Strong"/>
          <w:b w:val="0"/>
          <w:color w:val="000000"/>
          <w:sz w:val="16"/>
          <w:szCs w:val="16"/>
          <w:lang w:val="en-US"/>
        </w:rPr>
        <w:t xml:space="preserve"> Judgment of March 29, 2006. Series C No. 146, </w:t>
      </w:r>
      <w:r w:rsidRPr="004542B5">
        <w:rPr>
          <w:sz w:val="16"/>
          <w:szCs w:val="16"/>
          <w:lang w:val="en-US"/>
        </w:rPr>
        <w:t>para. 120.</w:t>
      </w:r>
    </w:p>
  </w:footnote>
  <w:footnote w:id="300">
    <w:p w14:paraId="6B6F7AA4" w14:textId="58D1D67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Case of the Yakye Axa Indigenous Community</w:t>
      </w:r>
      <w:r w:rsidRPr="004542B5">
        <w:rPr>
          <w:rStyle w:val="Strong"/>
          <w:b w:val="0"/>
          <w:i/>
          <w:color w:val="000000"/>
          <w:szCs w:val="16"/>
          <w:lang w:val="en-US"/>
        </w:rPr>
        <w:t xml:space="preserve"> v. Paraguay. Merits, reparations and costs.</w:t>
      </w:r>
      <w:r w:rsidRPr="004542B5">
        <w:rPr>
          <w:rStyle w:val="Strong"/>
          <w:b w:val="0"/>
          <w:color w:val="000000"/>
          <w:szCs w:val="16"/>
          <w:lang w:val="en-US"/>
        </w:rPr>
        <w:t xml:space="preserve"> Judgment of June 17, 2005. Series C No. 125, </w:t>
      </w:r>
      <w:r w:rsidRPr="004542B5">
        <w:rPr>
          <w:szCs w:val="16"/>
          <w:lang w:val="en-US"/>
        </w:rPr>
        <w:t>para. 143.</w:t>
      </w:r>
    </w:p>
  </w:footnote>
  <w:footnote w:id="301">
    <w:p w14:paraId="2EC0C483" w14:textId="2D05FF90" w:rsidR="00F87526" w:rsidRPr="004542B5" w:rsidRDefault="00F87526" w:rsidP="00BF7853">
      <w:pPr>
        <w:pStyle w:val="FootnoteText"/>
        <w:spacing w:before="0"/>
        <w:rPr>
          <w:bCs/>
          <w:color w:val="000000"/>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rStyle w:val="Strong"/>
          <w:b w:val="0"/>
          <w:i/>
          <w:color w:val="000000"/>
          <w:szCs w:val="16"/>
          <w:lang w:val="en-US"/>
        </w:rPr>
        <w:t>Case of the Sawhoyamaxa Indigenous Community v. Paraguay. Merits, reparations and costs.</w:t>
      </w:r>
      <w:r w:rsidRPr="004542B5">
        <w:rPr>
          <w:rStyle w:val="Strong"/>
          <w:b w:val="0"/>
          <w:color w:val="000000"/>
          <w:szCs w:val="16"/>
          <w:lang w:val="en-US"/>
        </w:rPr>
        <w:t xml:space="preserve"> Judgment of March 29, 2006. Series C No. 146, </w:t>
      </w:r>
      <w:r w:rsidRPr="004542B5">
        <w:rPr>
          <w:szCs w:val="16"/>
          <w:lang w:val="en-US"/>
        </w:rPr>
        <w:t xml:space="preserve">para. 120; </w:t>
      </w:r>
      <w:r w:rsidRPr="004542B5">
        <w:rPr>
          <w:rStyle w:val="Strong"/>
          <w:b w:val="0"/>
          <w:i/>
          <w:color w:val="000000"/>
          <w:szCs w:val="16"/>
          <w:lang w:val="en-US"/>
        </w:rPr>
        <w:t>Case of the Xákmok Kásek Indigenous Community. v. Paraguay. Merits, reparations and costs.</w:t>
      </w:r>
      <w:r w:rsidRPr="004542B5">
        <w:rPr>
          <w:rStyle w:val="Strong"/>
          <w:b w:val="0"/>
          <w:color w:val="000000"/>
          <w:szCs w:val="16"/>
          <w:lang w:val="en-US"/>
        </w:rPr>
        <w:t xml:space="preserve"> Judgment of August 24, 2010</w:t>
      </w:r>
      <w:r w:rsidR="005C548B" w:rsidRPr="004542B5">
        <w:rPr>
          <w:rStyle w:val="Strong"/>
          <w:b w:val="0"/>
          <w:color w:val="000000"/>
          <w:szCs w:val="16"/>
          <w:lang w:val="en-US"/>
        </w:rPr>
        <w:t>.</w:t>
      </w:r>
      <w:r w:rsidRPr="004542B5">
        <w:rPr>
          <w:rStyle w:val="Strong"/>
          <w:b w:val="0"/>
          <w:color w:val="000000"/>
          <w:szCs w:val="16"/>
          <w:lang w:val="en-US"/>
        </w:rPr>
        <w:t xml:space="preserve"> Series C No. 214, </w:t>
      </w:r>
      <w:r w:rsidRPr="004542B5">
        <w:rPr>
          <w:szCs w:val="16"/>
          <w:lang w:val="en-US"/>
        </w:rPr>
        <w:t xml:space="preserve"> para. 87, and </w:t>
      </w:r>
      <w:r w:rsidRPr="004542B5">
        <w:rPr>
          <w:rStyle w:val="Strong"/>
          <w:b w:val="0"/>
          <w:i/>
          <w:color w:val="000000"/>
          <w:szCs w:val="16"/>
          <w:lang w:val="en-US"/>
        </w:rPr>
        <w:t xml:space="preserve">Case of the Kichwa Indigenous People of Sarayaku v. Ecuador. Merits and reparations. </w:t>
      </w:r>
      <w:r w:rsidRPr="004542B5">
        <w:rPr>
          <w:rStyle w:val="Strong"/>
          <w:b w:val="0"/>
          <w:color w:val="000000"/>
          <w:szCs w:val="16"/>
          <w:lang w:val="en-US"/>
        </w:rPr>
        <w:t xml:space="preserve">Judgment of June 27, 2012. Series C No. 245, </w:t>
      </w:r>
      <w:r w:rsidRPr="004542B5">
        <w:rPr>
          <w:szCs w:val="16"/>
          <w:lang w:val="en-US"/>
        </w:rPr>
        <w:t xml:space="preserve">para. 145 </w:t>
      </w:r>
    </w:p>
  </w:footnote>
  <w:footnote w:id="302">
    <w:p w14:paraId="343FB4D3" w14:textId="6807BC01" w:rsidR="00F87526" w:rsidRPr="004542B5" w:rsidRDefault="00F87526" w:rsidP="00BF78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sz w:val="16"/>
          <w:szCs w:val="16"/>
          <w:lang w:val="en-US"/>
        </w:rPr>
      </w:pPr>
      <w:r w:rsidRPr="004542B5">
        <w:rPr>
          <w:rStyle w:val="FootnoteReference"/>
          <w:sz w:val="16"/>
          <w:szCs w:val="16"/>
          <w:lang w:val="en-US"/>
        </w:rPr>
        <w:footnoteRef/>
      </w:r>
      <w:r w:rsidRPr="004542B5">
        <w:rPr>
          <w:sz w:val="16"/>
          <w:szCs w:val="16"/>
          <w:lang w:val="en-US"/>
        </w:rPr>
        <w:tab/>
      </w:r>
      <w:r w:rsidRPr="004542B5">
        <w:rPr>
          <w:i/>
          <w:sz w:val="16"/>
          <w:szCs w:val="16"/>
          <w:lang w:val="en-US"/>
        </w:rPr>
        <w:t>Cf. Case of the Plan de Sánchez Massacre</w:t>
      </w:r>
      <w:r w:rsidRPr="004542B5">
        <w:rPr>
          <w:sz w:val="16"/>
          <w:szCs w:val="16"/>
          <w:lang w:val="en-US"/>
        </w:rPr>
        <w:t xml:space="preserve">. </w:t>
      </w:r>
      <w:r w:rsidRPr="004542B5">
        <w:rPr>
          <w:i/>
          <w:sz w:val="16"/>
          <w:szCs w:val="16"/>
          <w:lang w:val="en-US"/>
        </w:rPr>
        <w:t>Reparations</w:t>
      </w:r>
      <w:r w:rsidRPr="004542B5">
        <w:rPr>
          <w:sz w:val="16"/>
          <w:szCs w:val="16"/>
          <w:lang w:val="en-US"/>
        </w:rPr>
        <w:t xml:space="preserve"> (Art. 63(1) American Convention on Human Rights).</w:t>
      </w:r>
      <w:r w:rsidRPr="004542B5">
        <w:rPr>
          <w:i/>
          <w:sz w:val="16"/>
          <w:szCs w:val="16"/>
          <w:lang w:val="en-US"/>
        </w:rPr>
        <w:t xml:space="preserve"> </w:t>
      </w:r>
      <w:r w:rsidRPr="004542B5">
        <w:rPr>
          <w:sz w:val="16"/>
          <w:szCs w:val="16"/>
          <w:lang w:val="en-US"/>
        </w:rPr>
        <w:t xml:space="preserve">Judgment of November 19, 2004. Series C No. 116, para. 85; </w:t>
      </w:r>
      <w:r w:rsidRPr="004542B5">
        <w:rPr>
          <w:rStyle w:val="apple-converted-space"/>
          <w:bCs/>
          <w:i/>
          <w:color w:val="000000"/>
          <w:sz w:val="16"/>
          <w:szCs w:val="16"/>
          <w:lang w:val="en-US"/>
        </w:rPr>
        <w:t xml:space="preserve">Case of </w:t>
      </w:r>
      <w:r w:rsidRPr="004542B5">
        <w:rPr>
          <w:rStyle w:val="Strong"/>
          <w:b w:val="0"/>
          <w:i/>
          <w:color w:val="000000"/>
          <w:sz w:val="16"/>
          <w:szCs w:val="16"/>
          <w:lang w:val="en-US"/>
        </w:rPr>
        <w:t>the Mayagna (Sumo) Awas Tingni Community v. Nicaragua. Merits, reparations and costs.</w:t>
      </w:r>
      <w:r w:rsidRPr="004542B5">
        <w:rPr>
          <w:rStyle w:val="Strong"/>
          <w:b w:val="0"/>
          <w:color w:val="000000"/>
          <w:sz w:val="16"/>
          <w:szCs w:val="16"/>
          <w:lang w:val="en-US"/>
        </w:rPr>
        <w:t xml:space="preserve"> Judgment of August 31, 2001. Series C No. 79</w:t>
      </w:r>
      <w:r w:rsidRPr="004542B5">
        <w:rPr>
          <w:sz w:val="16"/>
          <w:szCs w:val="16"/>
          <w:lang w:val="en-US"/>
        </w:rPr>
        <w:t xml:space="preserve">, para. 149, and </w:t>
      </w:r>
      <w:r w:rsidRPr="004542B5">
        <w:rPr>
          <w:rStyle w:val="Strong"/>
          <w:b w:val="0"/>
          <w:i/>
          <w:color w:val="000000"/>
          <w:sz w:val="16"/>
          <w:szCs w:val="16"/>
          <w:lang w:val="en-US"/>
        </w:rPr>
        <w:t>Case of the Yakye Axa Indigenous Community v. Paraguay. Merits, reparations and costs.</w:t>
      </w:r>
      <w:r w:rsidRPr="004542B5">
        <w:rPr>
          <w:rStyle w:val="Strong"/>
          <w:b w:val="0"/>
          <w:color w:val="000000"/>
          <w:sz w:val="16"/>
          <w:szCs w:val="16"/>
          <w:lang w:val="en-US"/>
        </w:rPr>
        <w:t xml:space="preserve"> Judgment of June 17, 2005. Series C No. 125, </w:t>
      </w:r>
      <w:r w:rsidRPr="004542B5">
        <w:rPr>
          <w:sz w:val="16"/>
          <w:szCs w:val="16"/>
          <w:lang w:val="en-US"/>
        </w:rPr>
        <w:t xml:space="preserve">para. 131. </w:t>
      </w:r>
    </w:p>
  </w:footnote>
  <w:footnote w:id="303">
    <w:p w14:paraId="0B08D753" w14:textId="4292DC57" w:rsidR="00F87526" w:rsidRPr="004542B5" w:rsidRDefault="00F87526" w:rsidP="00BF7853">
      <w:pPr>
        <w:spacing w:after="120"/>
        <w:rPr>
          <w:bCs/>
          <w:i/>
          <w:color w:val="000000"/>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rStyle w:val="Strong"/>
          <w:b w:val="0"/>
          <w:i/>
          <w:color w:val="000000"/>
          <w:sz w:val="16"/>
          <w:szCs w:val="16"/>
          <w:lang w:val="en-US"/>
        </w:rPr>
        <w:t xml:space="preserve">Case of the Sawhoyamaxa Indigenous Community v. Paraguay. Merits, reparations and costs. </w:t>
      </w:r>
      <w:r w:rsidRPr="004542B5">
        <w:rPr>
          <w:rStyle w:val="Strong"/>
          <w:b w:val="0"/>
          <w:color w:val="000000"/>
          <w:sz w:val="16"/>
          <w:szCs w:val="16"/>
          <w:lang w:val="en-US"/>
        </w:rPr>
        <w:t xml:space="preserve">Judgment of March 29, 2006. Series C No. 146, para. 119, and </w:t>
      </w:r>
      <w:r w:rsidRPr="004542B5">
        <w:rPr>
          <w:rStyle w:val="Strong"/>
          <w:b w:val="0"/>
          <w:i/>
          <w:color w:val="000000"/>
          <w:sz w:val="16"/>
          <w:szCs w:val="16"/>
          <w:lang w:val="en-US"/>
        </w:rPr>
        <w:t>Case of the Yakye Axa Indigenous Community v. Paraguay. Merits, reparations and costs.</w:t>
      </w:r>
      <w:r w:rsidRPr="004542B5">
        <w:rPr>
          <w:rStyle w:val="Strong"/>
          <w:b w:val="0"/>
          <w:color w:val="000000"/>
          <w:sz w:val="16"/>
          <w:szCs w:val="16"/>
          <w:lang w:val="en-US"/>
        </w:rPr>
        <w:t xml:space="preserve"> Judgment of June 17, 2005. Series C No. 125, </w:t>
      </w:r>
      <w:r w:rsidRPr="004542B5">
        <w:rPr>
          <w:sz w:val="16"/>
          <w:szCs w:val="16"/>
          <w:lang w:val="en-US"/>
        </w:rPr>
        <w:t>para. 136.</w:t>
      </w:r>
    </w:p>
  </w:footnote>
  <w:footnote w:id="304">
    <w:p w14:paraId="6D39485E" w14:textId="1A638DD0" w:rsidR="00F87526" w:rsidRPr="004542B5" w:rsidRDefault="00F87526" w:rsidP="00BF7853">
      <w:pPr>
        <w:pStyle w:val="FootnoteText"/>
        <w:spacing w:before="0"/>
        <w:rPr>
          <w:szCs w:val="16"/>
          <w:lang w:val="en-US"/>
        </w:rPr>
      </w:pPr>
      <w:r w:rsidRPr="004542B5">
        <w:rPr>
          <w:rStyle w:val="FootnoteReference"/>
          <w:rFonts w:cs="Arial"/>
          <w:szCs w:val="16"/>
          <w:lang w:val="en-US"/>
        </w:rPr>
        <w:footnoteRef/>
      </w:r>
      <w:r w:rsidRPr="004542B5">
        <w:rPr>
          <w:rFonts w:cs="Arial"/>
          <w:szCs w:val="16"/>
          <w:lang w:val="en-US"/>
        </w:rPr>
        <w:t xml:space="preserve"> </w:t>
      </w:r>
      <w:r w:rsidRPr="004542B5">
        <w:rPr>
          <w:rFonts w:cs="Arial"/>
          <w:szCs w:val="16"/>
          <w:lang w:val="en-US"/>
        </w:rPr>
        <w:tab/>
      </w:r>
      <w:r w:rsidRPr="004542B5">
        <w:rPr>
          <w:i/>
          <w:szCs w:val="16"/>
          <w:lang w:val="en-US"/>
        </w:rPr>
        <w:t xml:space="preserve">Cf. </w:t>
      </w:r>
      <w:r w:rsidRPr="004542B5">
        <w:rPr>
          <w:rStyle w:val="Strong"/>
          <w:b w:val="0"/>
          <w:i/>
          <w:color w:val="000000"/>
          <w:szCs w:val="16"/>
          <w:lang w:val="en-US"/>
        </w:rPr>
        <w:t>Case of the Moiwana Community v. Suriname. Preliminary objections, merits, reparations and costs.</w:t>
      </w:r>
      <w:r w:rsidRPr="004542B5">
        <w:rPr>
          <w:rStyle w:val="Strong"/>
          <w:b w:val="0"/>
          <w:color w:val="000000"/>
          <w:szCs w:val="16"/>
          <w:lang w:val="en-US"/>
        </w:rPr>
        <w:t xml:space="preserve"> Judgment of June 15, 2005. Series C No. 124, </w:t>
      </w:r>
      <w:r w:rsidRPr="004542B5">
        <w:rPr>
          <w:szCs w:val="16"/>
          <w:lang w:val="en-US"/>
        </w:rPr>
        <w:t xml:space="preserve">para. 209, and </w:t>
      </w:r>
      <w:r w:rsidRPr="004542B5">
        <w:rPr>
          <w:rStyle w:val="Strong"/>
          <w:b w:val="0"/>
          <w:i/>
          <w:color w:val="000000"/>
          <w:szCs w:val="16"/>
          <w:lang w:val="en-US"/>
        </w:rPr>
        <w:t>Case of</w:t>
      </w:r>
      <w:r w:rsidRPr="004542B5">
        <w:rPr>
          <w:rStyle w:val="Strong"/>
          <w:b w:val="0"/>
          <w:color w:val="000000"/>
          <w:szCs w:val="16"/>
          <w:lang w:val="en-US"/>
        </w:rPr>
        <w:t xml:space="preserve"> </w:t>
      </w:r>
      <w:r w:rsidRPr="004542B5">
        <w:rPr>
          <w:rStyle w:val="Strong"/>
          <w:b w:val="0"/>
          <w:i/>
          <w:color w:val="000000"/>
          <w:szCs w:val="16"/>
          <w:lang w:val="en-US"/>
        </w:rPr>
        <w:t>the Saramaka People v. Suriname. Preliminary objections, merits, reparations and costs.</w:t>
      </w:r>
      <w:r w:rsidRPr="004542B5">
        <w:rPr>
          <w:rStyle w:val="Strong"/>
          <w:b w:val="0"/>
          <w:color w:val="000000"/>
          <w:szCs w:val="16"/>
          <w:lang w:val="en-US"/>
        </w:rPr>
        <w:t xml:space="preserve"> Judgment of November 28, 2007. Series C No. 172, para. </w:t>
      </w:r>
      <w:r w:rsidRPr="004542B5">
        <w:rPr>
          <w:szCs w:val="16"/>
          <w:lang w:val="en-US"/>
        </w:rPr>
        <w:t xml:space="preserve">116 </w:t>
      </w:r>
    </w:p>
  </w:footnote>
  <w:footnote w:id="305">
    <w:p w14:paraId="499A2759" w14:textId="2995C85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Cf. </w:t>
      </w:r>
      <w:r w:rsidRPr="004542B5">
        <w:rPr>
          <w:rStyle w:val="apple-converted-space"/>
          <w:bCs/>
          <w:i/>
          <w:color w:val="000000"/>
          <w:szCs w:val="16"/>
          <w:lang w:val="en-US"/>
        </w:rPr>
        <w:t xml:space="preserve">Case of </w:t>
      </w:r>
      <w:r w:rsidRPr="004542B5">
        <w:rPr>
          <w:rStyle w:val="Strong"/>
          <w:b w:val="0"/>
          <w:i/>
          <w:color w:val="000000"/>
          <w:szCs w:val="16"/>
          <w:lang w:val="en-US"/>
        </w:rPr>
        <w:t>the Mayagna (Sumo) Awas Tingni Community v. Nicaragua. Merits, reparations and costs.</w:t>
      </w:r>
      <w:r w:rsidRPr="004542B5">
        <w:rPr>
          <w:rStyle w:val="Strong"/>
          <w:b w:val="0"/>
          <w:color w:val="000000"/>
          <w:szCs w:val="16"/>
          <w:lang w:val="en-US"/>
        </w:rPr>
        <w:t xml:space="preserve"> Judgment of August 31, 2001. Series C No. 79, </w:t>
      </w:r>
      <w:r w:rsidRPr="004542B5">
        <w:rPr>
          <w:szCs w:val="16"/>
          <w:lang w:val="en-US"/>
        </w:rPr>
        <w:t>para. 153;</w:t>
      </w:r>
      <w:r w:rsidRPr="004542B5">
        <w:rPr>
          <w:i/>
          <w:szCs w:val="16"/>
          <w:lang w:val="en-US"/>
        </w:rPr>
        <w:t xml:space="preserve"> </w:t>
      </w:r>
      <w:r w:rsidRPr="004542B5">
        <w:rPr>
          <w:rStyle w:val="Strong"/>
          <w:b w:val="0"/>
          <w:i/>
          <w:color w:val="000000"/>
          <w:szCs w:val="16"/>
          <w:lang w:val="en-US"/>
        </w:rPr>
        <w:t>Case of the Yakye Axa Indigenous Community v. Paraguay. Merits, reparations and costs.</w:t>
      </w:r>
      <w:r w:rsidRPr="004542B5">
        <w:rPr>
          <w:rStyle w:val="Strong"/>
          <w:b w:val="0"/>
          <w:color w:val="000000"/>
          <w:szCs w:val="16"/>
          <w:lang w:val="en-US"/>
        </w:rPr>
        <w:t xml:space="preserve"> Judgment of June 17, 2005. Series C No. 125, </w:t>
      </w:r>
      <w:r w:rsidRPr="004542B5">
        <w:rPr>
          <w:szCs w:val="16"/>
          <w:lang w:val="en-US"/>
        </w:rPr>
        <w:t xml:space="preserve">para. 215; </w:t>
      </w:r>
      <w:r w:rsidRPr="004542B5">
        <w:rPr>
          <w:rStyle w:val="Strong"/>
          <w:b w:val="0"/>
          <w:i/>
          <w:color w:val="000000"/>
          <w:szCs w:val="16"/>
          <w:lang w:val="en-US"/>
        </w:rPr>
        <w:t xml:space="preserve">Case of the Moiwana Community v. Suriname. Preliminary objections, merits, reparations and costs. </w:t>
      </w:r>
      <w:r w:rsidRPr="004542B5">
        <w:rPr>
          <w:rStyle w:val="Strong"/>
          <w:b w:val="0"/>
          <w:color w:val="000000"/>
          <w:szCs w:val="16"/>
          <w:lang w:val="en-US"/>
        </w:rPr>
        <w:t xml:space="preserve">Judgment of June 15, 2005. Series C No. 124, </w:t>
      </w:r>
      <w:r w:rsidRPr="004542B5">
        <w:rPr>
          <w:szCs w:val="16"/>
          <w:lang w:val="en-US"/>
        </w:rPr>
        <w:t xml:space="preserve">para. 209, and </w:t>
      </w:r>
      <w:r w:rsidRPr="004542B5">
        <w:rPr>
          <w:rStyle w:val="Strong"/>
          <w:b w:val="0"/>
          <w:i/>
          <w:color w:val="000000"/>
          <w:szCs w:val="16"/>
          <w:lang w:val="en-US"/>
        </w:rPr>
        <w:t>Case of</w:t>
      </w:r>
      <w:r w:rsidRPr="004542B5">
        <w:rPr>
          <w:rStyle w:val="Strong"/>
          <w:b w:val="0"/>
          <w:color w:val="000000"/>
          <w:szCs w:val="16"/>
          <w:lang w:val="en-US"/>
        </w:rPr>
        <w:t xml:space="preserve"> </w:t>
      </w:r>
      <w:r w:rsidRPr="004542B5">
        <w:rPr>
          <w:rStyle w:val="Strong"/>
          <w:b w:val="0"/>
          <w:i/>
          <w:color w:val="000000"/>
          <w:szCs w:val="16"/>
          <w:lang w:val="en-US"/>
        </w:rPr>
        <w:t>the Saramaka People v. Suriname. Preliminary objections, merits, reparations and costs.</w:t>
      </w:r>
      <w:r w:rsidRPr="004542B5">
        <w:rPr>
          <w:rStyle w:val="Strong"/>
          <w:b w:val="0"/>
          <w:color w:val="000000"/>
          <w:szCs w:val="16"/>
          <w:lang w:val="en-US"/>
        </w:rPr>
        <w:t xml:space="preserve"> Judgment of November 28, 2007. Series C No. 172, para. </w:t>
      </w:r>
      <w:r w:rsidRPr="004542B5">
        <w:rPr>
          <w:szCs w:val="16"/>
          <w:lang w:val="en-US"/>
        </w:rPr>
        <w:t xml:space="preserve">116. </w:t>
      </w:r>
    </w:p>
  </w:footnote>
  <w:footnote w:id="306">
    <w:p w14:paraId="39E45C12" w14:textId="36BE02E1" w:rsidR="00F87526" w:rsidRPr="004542B5" w:rsidRDefault="00F87526" w:rsidP="00BF7853">
      <w:pPr>
        <w:spacing w:after="120"/>
        <w:rPr>
          <w:bCs/>
          <w:color w:val="000000"/>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rStyle w:val="Strong"/>
          <w:b w:val="0"/>
          <w:i/>
          <w:color w:val="000000"/>
          <w:sz w:val="16"/>
          <w:szCs w:val="16"/>
          <w:lang w:val="en-US"/>
        </w:rPr>
        <w:t xml:space="preserve">Case of the Sawhoyamaxa Indigenous Community v. Paraguay. Merits, reparations and costs. </w:t>
      </w:r>
      <w:r w:rsidRPr="004542B5">
        <w:rPr>
          <w:rStyle w:val="Strong"/>
          <w:b w:val="0"/>
          <w:color w:val="000000"/>
          <w:sz w:val="16"/>
          <w:szCs w:val="16"/>
          <w:lang w:val="en-US"/>
        </w:rPr>
        <w:t>Judgment of March 29, 2006. Series C No. 146,</w:t>
      </w:r>
      <w:r w:rsidRPr="004542B5">
        <w:rPr>
          <w:rStyle w:val="Strong"/>
          <w:b w:val="0"/>
          <w:i/>
          <w:color w:val="000000"/>
          <w:sz w:val="16"/>
          <w:szCs w:val="16"/>
          <w:lang w:val="en-US"/>
        </w:rPr>
        <w:t xml:space="preserve"> </w:t>
      </w:r>
      <w:r w:rsidRPr="004542B5">
        <w:rPr>
          <w:rStyle w:val="Strong"/>
          <w:b w:val="0"/>
          <w:color w:val="000000"/>
          <w:sz w:val="16"/>
          <w:szCs w:val="16"/>
          <w:lang w:val="en-US"/>
        </w:rPr>
        <w:t xml:space="preserve">para. 118; </w:t>
      </w:r>
      <w:r w:rsidRPr="004542B5">
        <w:rPr>
          <w:rStyle w:val="Strong"/>
          <w:b w:val="0"/>
          <w:i/>
          <w:iCs/>
          <w:color w:val="000000"/>
          <w:sz w:val="16"/>
          <w:szCs w:val="16"/>
          <w:lang w:val="en-US"/>
        </w:rPr>
        <w:t>Case of the Río Negro Massacres</w:t>
      </w:r>
      <w:r w:rsidRPr="004542B5">
        <w:rPr>
          <w:rStyle w:val="Strong"/>
          <w:b w:val="0"/>
          <w:i/>
          <w:color w:val="000000"/>
          <w:sz w:val="16"/>
          <w:szCs w:val="16"/>
          <w:lang w:val="en-US"/>
        </w:rPr>
        <w:t xml:space="preserve"> v. Guatemala. Preliminary objection, merits, reparations and costs.</w:t>
      </w:r>
      <w:r w:rsidRPr="004542B5">
        <w:rPr>
          <w:rStyle w:val="Strong"/>
          <w:b w:val="0"/>
          <w:color w:val="000000"/>
          <w:sz w:val="16"/>
          <w:szCs w:val="16"/>
          <w:lang w:val="en-US"/>
        </w:rPr>
        <w:t xml:space="preserve"> Judgment of September 4, 2012. Series C No. 250, para. 266, and </w:t>
      </w:r>
      <w:r w:rsidRPr="004542B5">
        <w:rPr>
          <w:rStyle w:val="Strong"/>
          <w:b w:val="0"/>
          <w:i/>
          <w:color w:val="000000"/>
          <w:sz w:val="16"/>
          <w:szCs w:val="16"/>
          <w:lang w:val="en-US"/>
        </w:rPr>
        <w:t>Case of the Yakye Axa Indigenous Community v. Paraguay. Merits, reparations and costs.</w:t>
      </w:r>
      <w:r w:rsidRPr="004542B5">
        <w:rPr>
          <w:rStyle w:val="Strong"/>
          <w:b w:val="0"/>
          <w:color w:val="000000"/>
          <w:sz w:val="16"/>
          <w:szCs w:val="16"/>
          <w:lang w:val="en-US"/>
        </w:rPr>
        <w:t xml:space="preserve"> Judgment of June 17, 2005. Series C No. 125, </w:t>
      </w:r>
      <w:r w:rsidRPr="004542B5">
        <w:rPr>
          <w:sz w:val="16"/>
          <w:szCs w:val="16"/>
          <w:lang w:val="en-US"/>
        </w:rPr>
        <w:t xml:space="preserve">para. 135. </w:t>
      </w:r>
    </w:p>
  </w:footnote>
  <w:footnote w:id="307">
    <w:p w14:paraId="08ACF71C" w14:textId="251C858A" w:rsidR="00F87526" w:rsidRPr="004542B5" w:rsidRDefault="00F87526" w:rsidP="00BF7853">
      <w:pPr>
        <w:spacing w:after="120"/>
        <w:rPr>
          <w:bCs/>
          <w:color w:val="000000"/>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i/>
          <w:sz w:val="16"/>
          <w:szCs w:val="16"/>
          <w:lang w:val="en-US"/>
        </w:rPr>
        <w:t xml:space="preserve"> </w:t>
      </w:r>
      <w:r w:rsidRPr="004542B5">
        <w:rPr>
          <w:i/>
          <w:sz w:val="16"/>
          <w:szCs w:val="16"/>
          <w:lang w:val="en-US"/>
        </w:rPr>
        <w:tab/>
      </w:r>
      <w:r w:rsidRPr="004542B5">
        <w:rPr>
          <w:rStyle w:val="Strong"/>
          <w:b w:val="0"/>
          <w:i/>
          <w:color w:val="000000"/>
          <w:sz w:val="16"/>
          <w:szCs w:val="16"/>
          <w:lang w:val="en-US"/>
        </w:rPr>
        <w:t>Case of</w:t>
      </w:r>
      <w:r w:rsidRPr="004542B5">
        <w:rPr>
          <w:rStyle w:val="Strong"/>
          <w:b w:val="0"/>
          <w:color w:val="000000"/>
          <w:sz w:val="16"/>
          <w:szCs w:val="16"/>
          <w:lang w:val="en-US"/>
        </w:rPr>
        <w:t xml:space="preserve"> </w:t>
      </w:r>
      <w:r w:rsidRPr="004542B5">
        <w:rPr>
          <w:rStyle w:val="Strong"/>
          <w:b w:val="0"/>
          <w:i/>
          <w:color w:val="000000"/>
          <w:sz w:val="16"/>
          <w:szCs w:val="16"/>
          <w:lang w:val="en-US"/>
        </w:rPr>
        <w:t>the Saramaka People v. Suriname. Preliminary objections, merits, reparations and costs.</w:t>
      </w:r>
      <w:r w:rsidRPr="004542B5">
        <w:rPr>
          <w:rStyle w:val="Strong"/>
          <w:b w:val="0"/>
          <w:color w:val="000000"/>
          <w:sz w:val="16"/>
          <w:szCs w:val="16"/>
          <w:lang w:val="en-US"/>
        </w:rPr>
        <w:t xml:space="preserve"> Judgment of November 28, 2007. Series C No. 172, para. 88; </w:t>
      </w:r>
      <w:r w:rsidRPr="004542B5">
        <w:rPr>
          <w:rStyle w:val="Strong"/>
          <w:b w:val="0"/>
          <w:i/>
          <w:color w:val="000000"/>
          <w:sz w:val="16"/>
          <w:szCs w:val="16"/>
          <w:lang w:val="en-US"/>
        </w:rPr>
        <w:t>Case of the Sawhoyamaxa Indigenous Community v. Paraguay. Merits, reparations and costs.</w:t>
      </w:r>
      <w:r w:rsidRPr="004542B5">
        <w:rPr>
          <w:rStyle w:val="Strong"/>
          <w:b w:val="0"/>
          <w:color w:val="000000"/>
          <w:sz w:val="16"/>
          <w:szCs w:val="16"/>
          <w:lang w:val="en-US"/>
        </w:rPr>
        <w:t xml:space="preserve"> Judgment of March 29, 2006. Series C No. 146, para. 118, and </w:t>
      </w:r>
      <w:r w:rsidRPr="004542B5">
        <w:rPr>
          <w:rStyle w:val="Strong"/>
          <w:b w:val="0"/>
          <w:i/>
          <w:color w:val="000000"/>
          <w:sz w:val="16"/>
          <w:szCs w:val="16"/>
          <w:lang w:val="en-US"/>
        </w:rPr>
        <w:t>Case of the Yakye Axa Indigenous Community v. Paraguay. Merits, reparations and costs.</w:t>
      </w:r>
      <w:r w:rsidRPr="004542B5">
        <w:rPr>
          <w:rStyle w:val="Strong"/>
          <w:b w:val="0"/>
          <w:color w:val="000000"/>
          <w:sz w:val="16"/>
          <w:szCs w:val="16"/>
          <w:lang w:val="en-US"/>
        </w:rPr>
        <w:t xml:space="preserve"> Judgment of June 17, 2005. Series C No. 125, </w:t>
      </w:r>
      <w:r w:rsidRPr="004542B5">
        <w:rPr>
          <w:sz w:val="16"/>
          <w:szCs w:val="16"/>
          <w:lang w:val="en-US"/>
        </w:rPr>
        <w:t xml:space="preserve">para. 137. </w:t>
      </w:r>
    </w:p>
  </w:footnote>
  <w:footnote w:id="308">
    <w:p w14:paraId="6E90951B" w14:textId="57C4166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 xml:space="preserve"> </w:t>
      </w:r>
      <w:r w:rsidRPr="004542B5">
        <w:rPr>
          <w:rStyle w:val="Strong"/>
          <w:b w:val="0"/>
          <w:i/>
          <w:color w:val="000000"/>
          <w:szCs w:val="16"/>
          <w:lang w:val="en-US"/>
        </w:rPr>
        <w:t>Case of the Yakye Axa Indigenous Community v. Paraguay. Merits, reparations and costs.</w:t>
      </w:r>
      <w:r w:rsidRPr="004542B5">
        <w:rPr>
          <w:rStyle w:val="Strong"/>
          <w:b w:val="0"/>
          <w:color w:val="000000"/>
          <w:szCs w:val="16"/>
          <w:lang w:val="en-US"/>
        </w:rPr>
        <w:t xml:space="preserve"> Judgment of June 17, 2005. Series C No. 125, para. </w:t>
      </w:r>
      <w:r w:rsidRPr="004542B5">
        <w:rPr>
          <w:szCs w:val="16"/>
          <w:lang w:val="en-US"/>
        </w:rPr>
        <w:t>147.</w:t>
      </w:r>
    </w:p>
  </w:footnote>
  <w:footnote w:id="309">
    <w:p w14:paraId="3BB525E5" w14:textId="332C01FA"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apple-converted-space"/>
          <w:bCs/>
          <w:i/>
          <w:color w:val="000000"/>
          <w:szCs w:val="16"/>
          <w:lang w:val="en-US"/>
        </w:rPr>
        <w:t xml:space="preserve">Case of </w:t>
      </w:r>
      <w:r w:rsidRPr="004542B5">
        <w:rPr>
          <w:rStyle w:val="Strong"/>
          <w:b w:val="0"/>
          <w:i/>
          <w:color w:val="000000"/>
          <w:szCs w:val="16"/>
          <w:lang w:val="en-US"/>
        </w:rPr>
        <w:t>the Mayagna (Sumo) Awas Tingni Community v. Nicaragua. Merits, reparations and costs.</w:t>
      </w:r>
      <w:r w:rsidRPr="004542B5">
        <w:rPr>
          <w:rStyle w:val="Strong"/>
          <w:b w:val="0"/>
          <w:color w:val="000000"/>
          <w:szCs w:val="16"/>
          <w:lang w:val="en-US"/>
        </w:rPr>
        <w:t xml:space="preserve"> Judgment of August 31, 2001. Series C No. 79, </w:t>
      </w:r>
      <w:r w:rsidRPr="004542B5">
        <w:rPr>
          <w:szCs w:val="16"/>
          <w:lang w:val="en-US"/>
        </w:rPr>
        <w:t xml:space="preserve"> para. 149</w:t>
      </w:r>
    </w:p>
  </w:footnote>
  <w:footnote w:id="310">
    <w:p w14:paraId="2F7B8A0D" w14:textId="40D1088D" w:rsidR="00F87526" w:rsidRPr="004542B5" w:rsidRDefault="00F87526" w:rsidP="00BF7853">
      <w:pPr>
        <w:pStyle w:val="Default"/>
        <w:spacing w:after="120"/>
        <w:jc w:val="both"/>
        <w:rPr>
          <w:rFonts w:eastAsiaTheme="minorHAnsi"/>
          <w:sz w:val="16"/>
          <w:szCs w:val="16"/>
        </w:rPr>
      </w:pPr>
      <w:r w:rsidRPr="004542B5">
        <w:rPr>
          <w:rStyle w:val="FootnoteReference"/>
          <w:sz w:val="16"/>
          <w:szCs w:val="16"/>
        </w:rPr>
        <w:footnoteRef/>
      </w:r>
      <w:r w:rsidRPr="004542B5">
        <w:rPr>
          <w:sz w:val="16"/>
          <w:szCs w:val="16"/>
        </w:rPr>
        <w:t xml:space="preserve"> </w:t>
      </w:r>
      <w:r w:rsidRPr="004542B5">
        <w:rPr>
          <w:sz w:val="16"/>
          <w:szCs w:val="16"/>
        </w:rPr>
        <w:tab/>
      </w:r>
      <w:r w:rsidRPr="004542B5">
        <w:rPr>
          <w:rStyle w:val="Strong"/>
          <w:b w:val="0"/>
          <w:i/>
          <w:sz w:val="16"/>
          <w:szCs w:val="16"/>
        </w:rPr>
        <w:t xml:space="preserve">Case of the Kichwa Indigenous People of Sarayaku v. Ecuador. Merits and reparations. </w:t>
      </w:r>
      <w:r w:rsidRPr="004542B5">
        <w:rPr>
          <w:rStyle w:val="Strong"/>
          <w:b w:val="0"/>
          <w:sz w:val="16"/>
          <w:szCs w:val="16"/>
        </w:rPr>
        <w:t xml:space="preserve">Judgment of June 27, 2012. Series C No. 245, para. 156; </w:t>
      </w:r>
      <w:r w:rsidRPr="004542B5">
        <w:rPr>
          <w:rStyle w:val="Strong"/>
          <w:b w:val="0"/>
          <w:i/>
          <w:sz w:val="16"/>
          <w:szCs w:val="16"/>
        </w:rPr>
        <w:t>Case of</w:t>
      </w:r>
      <w:r w:rsidRPr="004542B5">
        <w:rPr>
          <w:rStyle w:val="Strong"/>
          <w:b w:val="0"/>
          <w:sz w:val="16"/>
          <w:szCs w:val="16"/>
        </w:rPr>
        <w:t xml:space="preserve"> </w:t>
      </w:r>
      <w:r w:rsidRPr="004542B5">
        <w:rPr>
          <w:rStyle w:val="Strong"/>
          <w:b w:val="0"/>
          <w:i/>
          <w:sz w:val="16"/>
          <w:szCs w:val="16"/>
        </w:rPr>
        <w:t>the Saramaka People v. Suriname. Preliminary objections, merits, reparations and costs.</w:t>
      </w:r>
      <w:r w:rsidRPr="004542B5">
        <w:rPr>
          <w:rStyle w:val="Strong"/>
          <w:b w:val="0"/>
          <w:sz w:val="16"/>
          <w:szCs w:val="16"/>
        </w:rPr>
        <w:t xml:space="preserve"> Judgment of November 28, 2007. Series C No. 172, para. 128, and </w:t>
      </w:r>
      <w:r w:rsidRPr="004542B5">
        <w:rPr>
          <w:rStyle w:val="Strong"/>
          <w:b w:val="0"/>
          <w:i/>
          <w:sz w:val="16"/>
          <w:szCs w:val="16"/>
        </w:rPr>
        <w:t>Case of the Yakye Axa Indigenous Community v. Paraguay. Merits, reparations and costs.</w:t>
      </w:r>
      <w:r w:rsidRPr="004542B5">
        <w:rPr>
          <w:rStyle w:val="Strong"/>
          <w:b w:val="0"/>
          <w:sz w:val="16"/>
          <w:szCs w:val="16"/>
        </w:rPr>
        <w:t xml:space="preserve"> Judgment of June 17, 2005. Series C No. 125, para. 144. Regarding the issue of proportionality, see the following: </w:t>
      </w:r>
      <w:r w:rsidRPr="004542B5">
        <w:rPr>
          <w:sz w:val="16"/>
          <w:szCs w:val="16"/>
        </w:rPr>
        <w:t>Case of</w:t>
      </w:r>
      <w:r w:rsidRPr="004542B5">
        <w:rPr>
          <w:rStyle w:val="Strong"/>
          <w:b w:val="0"/>
          <w:i/>
          <w:sz w:val="16"/>
          <w:szCs w:val="16"/>
        </w:rPr>
        <w:t xml:space="preserve"> Mémoli v. Argentina. Preliminary objections, merits, reparations and costs</w:t>
      </w:r>
      <w:r w:rsidRPr="004542B5">
        <w:rPr>
          <w:rStyle w:val="Strong"/>
          <w:b w:val="0"/>
          <w:sz w:val="16"/>
          <w:szCs w:val="16"/>
        </w:rPr>
        <w:t xml:space="preserve">. Judgment of August 22, 2013. Series C No. 265, para. 170, para. 127, and </w:t>
      </w:r>
      <w:r w:rsidRPr="004542B5">
        <w:rPr>
          <w:rFonts w:eastAsiaTheme="minorHAnsi"/>
          <w:i/>
          <w:iCs/>
          <w:sz w:val="16"/>
          <w:szCs w:val="16"/>
        </w:rPr>
        <w:t xml:space="preserve">Case of Kimel v. Argentina. Merits, reparations and costs. </w:t>
      </w:r>
      <w:r w:rsidRPr="004542B5">
        <w:rPr>
          <w:rFonts w:eastAsiaTheme="minorHAnsi"/>
          <w:sz w:val="16"/>
          <w:szCs w:val="16"/>
        </w:rPr>
        <w:t xml:space="preserve">Judgment of May 2, 2008. Series C No. 177, para. 51. </w:t>
      </w:r>
    </w:p>
  </w:footnote>
  <w:footnote w:id="311">
    <w:p w14:paraId="316BCF9E" w14:textId="2AEF8FD8" w:rsidR="00F87526" w:rsidRPr="004542B5" w:rsidRDefault="00F87526" w:rsidP="00BF7853">
      <w:pPr>
        <w:pStyle w:val="FootnoteText"/>
        <w:spacing w:before="0"/>
        <w:rPr>
          <w:i/>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the Yakye Axa Indigenous Community v. Paraguay. Merits, reparations and costs.</w:t>
      </w:r>
      <w:r w:rsidRPr="004542B5">
        <w:rPr>
          <w:rStyle w:val="Strong"/>
          <w:b w:val="0"/>
          <w:color w:val="000000"/>
          <w:szCs w:val="16"/>
          <w:lang w:val="en-US"/>
        </w:rPr>
        <w:t xml:space="preserve"> Judgment of June 17, 2005. Series C No. 125, para.</w:t>
      </w:r>
      <w:r w:rsidRPr="004542B5">
        <w:rPr>
          <w:szCs w:val="16"/>
          <w:lang w:val="en-US"/>
        </w:rPr>
        <w:t xml:space="preserve"> 145 </w:t>
      </w:r>
      <w:r w:rsidRPr="004542B5">
        <w:rPr>
          <w:i/>
          <w:szCs w:val="16"/>
          <w:lang w:val="en-US"/>
        </w:rPr>
        <w:t>Cf.</w:t>
      </w:r>
      <w:r w:rsidRPr="004542B5">
        <w:rPr>
          <w:szCs w:val="16"/>
          <w:lang w:val="en-US"/>
        </w:rPr>
        <w:t xml:space="preserve"> (</w:t>
      </w:r>
      <w:r w:rsidRPr="004542B5">
        <w:rPr>
          <w:i/>
          <w:szCs w:val="16"/>
          <w:lang w:val="en-US"/>
        </w:rPr>
        <w:t>mutatis mutandi</w:t>
      </w:r>
      <w:r w:rsidRPr="004542B5">
        <w:rPr>
          <w:szCs w:val="16"/>
          <w:lang w:val="en-US"/>
        </w:rPr>
        <w:t xml:space="preserve">) </w:t>
      </w:r>
      <w:r w:rsidRPr="004542B5">
        <w:rPr>
          <w:rStyle w:val="Strong"/>
          <w:b w:val="0"/>
          <w:i/>
          <w:color w:val="000000"/>
          <w:szCs w:val="16"/>
          <w:lang w:val="en-US"/>
        </w:rPr>
        <w:t>Case of Ricardo Canese v. Paraguay. Merits, reparations and costs.</w:t>
      </w:r>
      <w:r w:rsidRPr="004542B5">
        <w:rPr>
          <w:rStyle w:val="Strong"/>
          <w:b w:val="0"/>
          <w:color w:val="000000"/>
          <w:szCs w:val="16"/>
          <w:lang w:val="en-US"/>
        </w:rPr>
        <w:t xml:space="preserve"> Judgment of August 31, 2004. Series C No. 111, </w:t>
      </w:r>
      <w:r w:rsidRPr="004542B5">
        <w:rPr>
          <w:szCs w:val="16"/>
          <w:lang w:val="en-US"/>
        </w:rPr>
        <w:t xml:space="preserve">para. 96, and </w:t>
      </w:r>
      <w:r w:rsidRPr="004542B5">
        <w:rPr>
          <w:rStyle w:val="Strong"/>
          <w:b w:val="0"/>
          <w:i/>
          <w:color w:val="000000"/>
          <w:szCs w:val="16"/>
          <w:lang w:val="en-US"/>
        </w:rPr>
        <w:t>Case of Herrera Ulloa v. Costa Rica. Preliminary objections, merits, reparations and costs.</w:t>
      </w:r>
      <w:r w:rsidRPr="004542B5">
        <w:rPr>
          <w:rStyle w:val="Strong"/>
          <w:b w:val="0"/>
          <w:color w:val="000000"/>
          <w:szCs w:val="16"/>
          <w:lang w:val="en-US"/>
        </w:rPr>
        <w:t xml:space="preserve"> Judgment of July 2, 2004. Series C No. 107</w:t>
      </w:r>
      <w:r w:rsidRPr="004542B5">
        <w:rPr>
          <w:szCs w:val="16"/>
          <w:lang w:val="en-US"/>
        </w:rPr>
        <w:t xml:space="preserve">, para. 127. </w:t>
      </w:r>
    </w:p>
  </w:footnote>
  <w:footnote w:id="312">
    <w:p w14:paraId="1008B166" w14:textId="2E816B3F" w:rsidR="00F87526" w:rsidRPr="004542B5" w:rsidRDefault="00F87526" w:rsidP="00BF7853">
      <w:pPr>
        <w:autoSpaceDE w:val="0"/>
        <w:autoSpaceDN w:val="0"/>
        <w:adjustRightInd w:val="0"/>
        <w:spacing w:after="120"/>
        <w:rPr>
          <w:rFonts w:eastAsiaTheme="minorHAnsi" w:cs="Verdana"/>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t>Case of</w:t>
      </w:r>
      <w:r w:rsidRPr="004542B5">
        <w:rPr>
          <w:rStyle w:val="Strong"/>
          <w:b w:val="0"/>
          <w:i/>
          <w:color w:val="000000"/>
          <w:sz w:val="16"/>
          <w:szCs w:val="16"/>
          <w:lang w:val="en-US"/>
        </w:rPr>
        <w:t xml:space="preserve"> Mémoli v. Argentina. Preliminary objections, merits, reparations and costs. </w:t>
      </w:r>
      <w:r w:rsidRPr="004542B5">
        <w:rPr>
          <w:rStyle w:val="Strong"/>
          <w:b w:val="0"/>
          <w:iCs/>
          <w:color w:val="000000"/>
          <w:sz w:val="16"/>
          <w:szCs w:val="16"/>
          <w:lang w:val="en-US"/>
        </w:rPr>
        <w:t>Judgment of August 22, 2013. Series C No. 265, para. 170</w:t>
      </w:r>
      <w:r w:rsidRPr="004542B5">
        <w:rPr>
          <w:rStyle w:val="Strong"/>
          <w:b w:val="0"/>
          <w:i/>
          <w:color w:val="000000"/>
          <w:sz w:val="16"/>
          <w:szCs w:val="16"/>
          <w:lang w:val="en-US"/>
        </w:rPr>
        <w:t xml:space="preserve">; Case of Ivcher Bronstein v. Peru. Merits, reparations and costs. </w:t>
      </w:r>
      <w:r w:rsidRPr="004542B5">
        <w:rPr>
          <w:rStyle w:val="Strong"/>
          <w:b w:val="0"/>
          <w:color w:val="000000"/>
          <w:sz w:val="16"/>
          <w:szCs w:val="16"/>
          <w:lang w:val="en-US"/>
        </w:rPr>
        <w:t xml:space="preserve">Judgment of February 6, 2001. Series C No. 74, </w:t>
      </w:r>
      <w:r w:rsidRPr="004542B5">
        <w:rPr>
          <w:sz w:val="16"/>
          <w:szCs w:val="16"/>
          <w:lang w:val="en-US"/>
        </w:rPr>
        <w:t xml:space="preserve">para. </w:t>
      </w:r>
      <w:r w:rsidRPr="004542B5">
        <w:rPr>
          <w:rFonts w:eastAsiaTheme="minorHAnsi" w:cs="Verdana"/>
          <w:sz w:val="16"/>
          <w:szCs w:val="16"/>
          <w:lang w:val="en-US"/>
        </w:rPr>
        <w:t xml:space="preserve">128, and </w:t>
      </w:r>
      <w:r w:rsidRPr="004542B5">
        <w:rPr>
          <w:rStyle w:val="Strong"/>
          <w:b w:val="0"/>
          <w:i/>
          <w:color w:val="000000"/>
          <w:sz w:val="16"/>
          <w:szCs w:val="16"/>
          <w:lang w:val="en-US"/>
        </w:rPr>
        <w:t xml:space="preserve">Case of Furlan and family v. Argentina. Preliminary objections, merits, reparations and costs. </w:t>
      </w:r>
      <w:r w:rsidRPr="004542B5">
        <w:rPr>
          <w:rStyle w:val="Strong"/>
          <w:b w:val="0"/>
          <w:color w:val="000000"/>
          <w:sz w:val="16"/>
          <w:szCs w:val="16"/>
          <w:lang w:val="en-US"/>
        </w:rPr>
        <w:t xml:space="preserve">Judgment of August 31, 2012. Series C No. 246, para. </w:t>
      </w:r>
      <w:r w:rsidRPr="004542B5">
        <w:rPr>
          <w:rFonts w:eastAsiaTheme="minorHAnsi" w:cs="Verdana"/>
          <w:sz w:val="16"/>
          <w:szCs w:val="16"/>
          <w:lang w:val="en-US"/>
        </w:rPr>
        <w:t>220.</w:t>
      </w:r>
    </w:p>
  </w:footnote>
  <w:footnote w:id="313">
    <w:p w14:paraId="388A5718" w14:textId="16B48850" w:rsidR="00F87526" w:rsidRPr="004542B5" w:rsidRDefault="00F87526" w:rsidP="00BF7853">
      <w:pPr>
        <w:autoSpaceDE w:val="0"/>
        <w:autoSpaceDN w:val="0"/>
        <w:adjustRightInd w:val="0"/>
        <w:spacing w:after="120"/>
        <w:rPr>
          <w:rFonts w:eastAsiaTheme="minorHAnsi" w:cs="Verdana"/>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rFonts w:eastAsiaTheme="minorHAnsi" w:cs="Verdana,Italic"/>
          <w:i/>
          <w:iCs/>
          <w:sz w:val="16"/>
          <w:szCs w:val="16"/>
          <w:lang w:val="en-US"/>
        </w:rPr>
        <w:t xml:space="preserve">Cf. </w:t>
      </w:r>
      <w:r w:rsidRPr="004542B5">
        <w:rPr>
          <w:sz w:val="16"/>
          <w:szCs w:val="16"/>
          <w:lang w:val="en-US"/>
        </w:rPr>
        <w:t>Case of</w:t>
      </w:r>
      <w:r w:rsidRPr="004542B5">
        <w:rPr>
          <w:rStyle w:val="Strong"/>
          <w:b w:val="0"/>
          <w:i/>
          <w:color w:val="000000"/>
          <w:sz w:val="16"/>
          <w:szCs w:val="16"/>
          <w:lang w:val="en-US"/>
        </w:rPr>
        <w:t xml:space="preserve"> Mémoli v. Argentina. Preliminary objections, merits, reparations and costs. </w:t>
      </w:r>
      <w:r w:rsidRPr="004542B5">
        <w:rPr>
          <w:rStyle w:val="Strong"/>
          <w:b w:val="0"/>
          <w:iCs/>
          <w:color w:val="000000"/>
          <w:sz w:val="16"/>
          <w:szCs w:val="16"/>
          <w:lang w:val="en-US"/>
        </w:rPr>
        <w:t>Judgment of August 22, 2013. Series C No. 265, para.  170</w:t>
      </w:r>
      <w:r w:rsidRPr="004542B5">
        <w:rPr>
          <w:rStyle w:val="Strong"/>
          <w:b w:val="0"/>
          <w:i/>
          <w:color w:val="000000"/>
          <w:sz w:val="16"/>
          <w:szCs w:val="16"/>
          <w:lang w:val="en-US"/>
        </w:rPr>
        <w:t xml:space="preserve">; </w:t>
      </w:r>
      <w:r w:rsidRPr="004542B5">
        <w:rPr>
          <w:rFonts w:eastAsiaTheme="minorHAnsi" w:cs="Verdana,Italic"/>
          <w:i/>
          <w:iCs/>
          <w:sz w:val="16"/>
          <w:szCs w:val="16"/>
          <w:lang w:val="en-US"/>
        </w:rPr>
        <w:t xml:space="preserve">Case of Salvador Chiriboga v. Ecuador. Preliminary objection and merits. </w:t>
      </w:r>
      <w:r w:rsidRPr="004542B5">
        <w:rPr>
          <w:rFonts w:eastAsiaTheme="minorHAnsi" w:cs="Verdana"/>
          <w:sz w:val="16"/>
          <w:szCs w:val="16"/>
          <w:lang w:val="en-US"/>
        </w:rPr>
        <w:t xml:space="preserve">Judgment of May 6, 2008. Series C No. 179, para. 54, and </w:t>
      </w:r>
      <w:r w:rsidRPr="004542B5">
        <w:rPr>
          <w:rStyle w:val="Strong"/>
          <w:b w:val="0"/>
          <w:i/>
          <w:color w:val="000000"/>
          <w:sz w:val="16"/>
          <w:szCs w:val="16"/>
          <w:lang w:val="en-US"/>
        </w:rPr>
        <w:t xml:space="preserve">Case of Furlan and family v. Argentina. Preliminary objections, merits, reparations and costs. </w:t>
      </w:r>
      <w:r w:rsidRPr="004542B5">
        <w:rPr>
          <w:rStyle w:val="Strong"/>
          <w:b w:val="0"/>
          <w:iCs/>
          <w:color w:val="000000"/>
          <w:sz w:val="16"/>
          <w:szCs w:val="16"/>
          <w:lang w:val="en-US"/>
        </w:rPr>
        <w:t xml:space="preserve">Judgment of August 31, 2012. Series C No. 246, para. </w:t>
      </w:r>
      <w:r w:rsidRPr="004542B5">
        <w:rPr>
          <w:rFonts w:eastAsiaTheme="minorHAnsi" w:cs="Verdana"/>
          <w:iCs/>
          <w:sz w:val="16"/>
          <w:szCs w:val="16"/>
          <w:lang w:val="en-US"/>
        </w:rPr>
        <w:t xml:space="preserve"> 220.</w:t>
      </w:r>
    </w:p>
  </w:footnote>
  <w:footnote w:id="314">
    <w:p w14:paraId="2E3C00AC" w14:textId="57C7194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eastAsiaTheme="minorHAnsi" w:cs="Verdana,Italic"/>
          <w:i/>
          <w:iCs/>
          <w:szCs w:val="16"/>
          <w:lang w:val="en-US"/>
        </w:rPr>
        <w:t xml:space="preserve">Cf. </w:t>
      </w:r>
      <w:r w:rsidRPr="004542B5">
        <w:rPr>
          <w:szCs w:val="16"/>
          <w:lang w:val="en-US"/>
        </w:rPr>
        <w:t>Case of</w:t>
      </w:r>
      <w:r w:rsidRPr="004542B5">
        <w:rPr>
          <w:rStyle w:val="Strong"/>
          <w:b w:val="0"/>
          <w:i/>
          <w:color w:val="000000"/>
          <w:szCs w:val="16"/>
          <w:lang w:val="en-US"/>
        </w:rPr>
        <w:t xml:space="preserve"> Mémoli v. Argentina. Preliminary objections, merits, reparations and costs. </w:t>
      </w:r>
      <w:r w:rsidRPr="004542B5">
        <w:rPr>
          <w:rStyle w:val="Strong"/>
          <w:b w:val="0"/>
          <w:iCs/>
          <w:color w:val="000000"/>
          <w:szCs w:val="16"/>
          <w:lang w:val="en-US"/>
        </w:rPr>
        <w:t>Judgment of August 22, 2013. Series C No. 265, para. 170,</w:t>
      </w:r>
      <w:r w:rsidRPr="004542B5">
        <w:rPr>
          <w:rStyle w:val="Strong"/>
          <w:b w:val="0"/>
          <w:color w:val="000000"/>
          <w:szCs w:val="16"/>
          <w:lang w:val="en-US"/>
        </w:rPr>
        <w:t xml:space="preserve"> and </w:t>
      </w:r>
      <w:r w:rsidRPr="004542B5">
        <w:rPr>
          <w:rStyle w:val="Strong"/>
          <w:b w:val="0"/>
          <w:i/>
          <w:color w:val="000000"/>
          <w:szCs w:val="16"/>
          <w:lang w:val="en-US"/>
        </w:rPr>
        <w:t xml:space="preserve">Case of Ivcher Bronstein v. Peru. Merits, reparations and costs. </w:t>
      </w:r>
      <w:r w:rsidRPr="004542B5">
        <w:rPr>
          <w:rStyle w:val="Strong"/>
          <w:b w:val="0"/>
          <w:color w:val="000000"/>
          <w:szCs w:val="16"/>
          <w:lang w:val="en-US"/>
        </w:rPr>
        <w:t xml:space="preserve">Judgment of February 6, 2001. Series C No. 74, </w:t>
      </w:r>
      <w:r w:rsidRPr="004542B5">
        <w:rPr>
          <w:rFonts w:eastAsiaTheme="minorHAnsi" w:cs="Verdana"/>
          <w:szCs w:val="16"/>
          <w:lang w:val="en-US"/>
        </w:rPr>
        <w:t>para. 124.</w:t>
      </w:r>
    </w:p>
  </w:footnote>
  <w:footnote w:id="315">
    <w:p w14:paraId="4EF28EDD" w14:textId="0B1CDE9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 </w:t>
      </w:r>
      <w:r w:rsidRPr="004542B5">
        <w:rPr>
          <w:rStyle w:val="Strong"/>
          <w:b w:val="0"/>
          <w:i/>
          <w:color w:val="000000"/>
          <w:szCs w:val="16"/>
          <w:lang w:val="en-US"/>
        </w:rPr>
        <w:t>Case of Palamara Iribarne v. Chile. Merits, reparations and costs</w:t>
      </w:r>
      <w:r w:rsidRPr="004542B5">
        <w:rPr>
          <w:rStyle w:val="Strong"/>
          <w:b w:val="0"/>
          <w:color w:val="000000"/>
          <w:szCs w:val="16"/>
          <w:lang w:val="en-US"/>
        </w:rPr>
        <w:t xml:space="preserve">. Judgment of November 22, 2005. Series C No. 135, </w:t>
      </w:r>
      <w:r w:rsidRPr="004542B5">
        <w:rPr>
          <w:szCs w:val="16"/>
          <w:lang w:val="en-US"/>
        </w:rPr>
        <w:t xml:space="preserve">para. 108. </w:t>
      </w:r>
    </w:p>
  </w:footnote>
  <w:footnote w:id="316">
    <w:p w14:paraId="4A5F9FF5" w14:textId="4A5D04E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the Yakye Axa Indigenous Community v. Paraguay. Merits, reparations and costs.</w:t>
      </w:r>
      <w:r w:rsidRPr="004542B5">
        <w:rPr>
          <w:rStyle w:val="Strong"/>
          <w:b w:val="0"/>
          <w:color w:val="000000"/>
          <w:szCs w:val="16"/>
          <w:lang w:val="en-US"/>
        </w:rPr>
        <w:t xml:space="preserve"> Judgment of June 17, 2005. Series C No. 125, para.</w:t>
      </w:r>
      <w:r w:rsidRPr="004542B5">
        <w:rPr>
          <w:szCs w:val="16"/>
          <w:lang w:val="en-US"/>
        </w:rPr>
        <w:t xml:space="preserve"> 148.</w:t>
      </w:r>
    </w:p>
  </w:footnote>
  <w:footnote w:id="317">
    <w:p w14:paraId="51885484" w14:textId="1C7E969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the Yakye Axa Indigenous Community v. Paraguay. Merits, reparations and costs.</w:t>
      </w:r>
      <w:r w:rsidRPr="004542B5">
        <w:rPr>
          <w:rStyle w:val="Strong"/>
          <w:b w:val="0"/>
          <w:color w:val="000000"/>
          <w:szCs w:val="16"/>
          <w:lang w:val="en-US"/>
        </w:rPr>
        <w:t xml:space="preserve"> Judgment of June 17, 2005. Series C No. 125, para.</w:t>
      </w:r>
      <w:r w:rsidRPr="004542B5">
        <w:rPr>
          <w:szCs w:val="16"/>
          <w:lang w:val="en-US"/>
        </w:rPr>
        <w:t xml:space="preserve"> 149. </w:t>
      </w:r>
    </w:p>
  </w:footnote>
  <w:footnote w:id="318">
    <w:p w14:paraId="761F35F9" w14:textId="453DE01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w:t>
      </w:r>
      <w:r w:rsidRPr="004542B5">
        <w:rPr>
          <w:rStyle w:val="Strong"/>
          <w:b w:val="0"/>
          <w:color w:val="000000"/>
          <w:szCs w:val="16"/>
          <w:lang w:val="en-US"/>
        </w:rPr>
        <w:t xml:space="preserve"> </w:t>
      </w:r>
      <w:r w:rsidRPr="004542B5">
        <w:rPr>
          <w:rStyle w:val="Strong"/>
          <w:b w:val="0"/>
          <w:i/>
          <w:color w:val="000000"/>
          <w:szCs w:val="16"/>
          <w:lang w:val="en-US"/>
        </w:rPr>
        <w:t>the Saramaka People v. Suriname. Preliminary objections, merits, reparations and costs.</w:t>
      </w:r>
      <w:r w:rsidRPr="004542B5">
        <w:rPr>
          <w:rStyle w:val="Strong"/>
          <w:b w:val="0"/>
          <w:color w:val="000000"/>
          <w:szCs w:val="16"/>
          <w:lang w:val="en-US"/>
        </w:rPr>
        <w:t xml:space="preserve"> Judgment of November 28, 2007. Series C No. 172, para. </w:t>
      </w:r>
      <w:r w:rsidRPr="004542B5">
        <w:rPr>
          <w:szCs w:val="16"/>
          <w:lang w:val="en-US"/>
        </w:rPr>
        <w:t xml:space="preserve">130, and </w:t>
      </w:r>
      <w:r w:rsidRPr="004542B5">
        <w:rPr>
          <w:rStyle w:val="Strong"/>
          <w:b w:val="0"/>
          <w:i/>
          <w:color w:val="000000"/>
          <w:szCs w:val="16"/>
          <w:lang w:val="en-US"/>
        </w:rPr>
        <w:t xml:space="preserve">Case of the Kichwa Indigenous People of Sarayaku v. Ecuador. Merits and reparations. </w:t>
      </w:r>
      <w:r w:rsidRPr="004542B5">
        <w:rPr>
          <w:rStyle w:val="Strong"/>
          <w:b w:val="0"/>
          <w:color w:val="000000"/>
          <w:szCs w:val="16"/>
          <w:lang w:val="en-US"/>
        </w:rPr>
        <w:t xml:space="preserve">Judgment of June 27, 2012. Series C No. 245, </w:t>
      </w:r>
      <w:r w:rsidRPr="004542B5">
        <w:rPr>
          <w:szCs w:val="16"/>
          <w:lang w:val="en-US"/>
        </w:rPr>
        <w:t xml:space="preserve">para. 157. </w:t>
      </w:r>
    </w:p>
  </w:footnote>
  <w:footnote w:id="319">
    <w:p w14:paraId="2666927C" w14:textId="314F874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the Yakye Axa Indigenous Community v. Paraguay. Merits, reparations and costs.</w:t>
      </w:r>
      <w:r w:rsidRPr="004542B5">
        <w:rPr>
          <w:rStyle w:val="Strong"/>
          <w:b w:val="0"/>
          <w:color w:val="000000"/>
          <w:szCs w:val="16"/>
          <w:lang w:val="en-US"/>
        </w:rPr>
        <w:t xml:space="preserve"> Judgment of June 17, 2005. Series C No. 125, para.</w:t>
      </w:r>
      <w:r w:rsidRPr="004542B5">
        <w:rPr>
          <w:szCs w:val="16"/>
          <w:lang w:val="en-US"/>
        </w:rPr>
        <w:t xml:space="preserve"> 146</w:t>
      </w:r>
    </w:p>
  </w:footnote>
  <w:footnote w:id="320">
    <w:p w14:paraId="480E70CB" w14:textId="70DC703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the Yakye Axa Indigenous Community v. Paraguay. Merits, reparations and costs.</w:t>
      </w:r>
      <w:r w:rsidRPr="004542B5">
        <w:rPr>
          <w:rStyle w:val="Strong"/>
          <w:b w:val="0"/>
          <w:color w:val="000000"/>
          <w:szCs w:val="16"/>
          <w:lang w:val="en-US"/>
        </w:rPr>
        <w:t xml:space="preserve"> Judgment of June 17, 2005. Series C No. 125, para.</w:t>
      </w:r>
      <w:r w:rsidRPr="004542B5">
        <w:rPr>
          <w:szCs w:val="16"/>
          <w:lang w:val="en-US"/>
        </w:rPr>
        <w:t xml:space="preserve"> 150</w:t>
      </w:r>
    </w:p>
  </w:footnote>
  <w:footnote w:id="321">
    <w:p w14:paraId="6D09FC1A" w14:textId="7C7FB200"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the Yakye Axa Indigenous Community v. Paraguay. Merits, reparations and costs.</w:t>
      </w:r>
      <w:r w:rsidRPr="004542B5">
        <w:rPr>
          <w:rStyle w:val="Strong"/>
          <w:b w:val="0"/>
          <w:color w:val="000000"/>
          <w:szCs w:val="16"/>
          <w:lang w:val="en-US"/>
        </w:rPr>
        <w:t xml:space="preserve"> Judgment of June 17, 2005. Series C No. 125, para.</w:t>
      </w:r>
      <w:r w:rsidRPr="004542B5">
        <w:rPr>
          <w:szCs w:val="16"/>
          <w:lang w:val="en-US"/>
        </w:rPr>
        <w:t xml:space="preserve">  151 </w:t>
      </w:r>
    </w:p>
  </w:footnote>
  <w:footnote w:id="322">
    <w:p w14:paraId="331961EA" w14:textId="601322E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ab/>
      </w:r>
      <w:r w:rsidRPr="004542B5">
        <w:rPr>
          <w:i/>
          <w:iCs/>
          <w:szCs w:val="16"/>
          <w:lang w:val="en-US"/>
        </w:rPr>
        <w:t>Cf. Case of</w:t>
      </w:r>
      <w:r w:rsidRPr="004542B5">
        <w:rPr>
          <w:rStyle w:val="Strong"/>
          <w:b w:val="0"/>
          <w:i/>
          <w:iCs/>
          <w:color w:val="000000"/>
          <w:szCs w:val="16"/>
          <w:lang w:val="en-US"/>
        </w:rPr>
        <w:t xml:space="preserve"> Juan Humberto Sánchez v. Honduras. Preliminary objection, merits, reparations and costs. </w:t>
      </w:r>
      <w:r w:rsidRPr="004542B5">
        <w:rPr>
          <w:rStyle w:val="Strong"/>
          <w:b w:val="0"/>
          <w:color w:val="000000"/>
          <w:szCs w:val="16"/>
          <w:lang w:val="en-US"/>
        </w:rPr>
        <w:t>Judgment of June 7, 2003. Series C No. 99</w:t>
      </w:r>
      <w:r w:rsidRPr="004542B5">
        <w:rPr>
          <w:szCs w:val="16"/>
          <w:lang w:val="en-US"/>
        </w:rPr>
        <w:t xml:space="preserve"> para. 142, and </w:t>
      </w:r>
      <w:r w:rsidRPr="004542B5">
        <w:rPr>
          <w:rStyle w:val="Strong"/>
          <w:b w:val="0"/>
          <w:i/>
          <w:color w:val="000000"/>
          <w:szCs w:val="16"/>
          <w:lang w:val="en-US"/>
        </w:rPr>
        <w:t>Case of the Constitutional Court v. Peru. Merits, reparations and costs</w:t>
      </w:r>
      <w:r w:rsidRPr="004542B5">
        <w:rPr>
          <w:rStyle w:val="Strong"/>
          <w:b w:val="0"/>
          <w:color w:val="000000"/>
          <w:szCs w:val="16"/>
          <w:lang w:val="en-US"/>
        </w:rPr>
        <w:t xml:space="preserve">. Judgment of January 31, 2001. Series C No. 71, </w:t>
      </w:r>
      <w:r w:rsidRPr="004542B5">
        <w:rPr>
          <w:szCs w:val="16"/>
          <w:lang w:val="en-US"/>
        </w:rPr>
        <w:t xml:space="preserve">para. 109. </w:t>
      </w:r>
    </w:p>
  </w:footnote>
  <w:footnote w:id="323">
    <w:p w14:paraId="6FCE1A35" w14:textId="63C68B3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the Yakye Axa Indigenous Community v. Paraguay. Merits, reparations and costs.</w:t>
      </w:r>
      <w:r w:rsidRPr="004542B5">
        <w:rPr>
          <w:rStyle w:val="Strong"/>
          <w:b w:val="0"/>
          <w:color w:val="000000"/>
          <w:szCs w:val="16"/>
          <w:lang w:val="en-US"/>
        </w:rPr>
        <w:t xml:space="preserve"> Judgment of June 17, 2005. Series C No. 125, para.</w:t>
      </w:r>
      <w:r w:rsidRPr="004542B5">
        <w:rPr>
          <w:szCs w:val="16"/>
          <w:lang w:val="en-US"/>
        </w:rPr>
        <w:t xml:space="preserve"> 154. </w:t>
      </w:r>
    </w:p>
  </w:footnote>
  <w:footnote w:id="324">
    <w:p w14:paraId="50D0590A" w14:textId="3BADDA8A"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1 of the judgment.</w:t>
      </w:r>
    </w:p>
  </w:footnote>
  <w:footnote w:id="325">
    <w:p w14:paraId="63F4C326" w14:textId="0AF71CD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See paragraphs 24 to 40 of the judgment.</w:t>
      </w:r>
    </w:p>
  </w:footnote>
  <w:footnote w:id="326">
    <w:p w14:paraId="3FEF85EF" w14:textId="77777777" w:rsidR="00F87526" w:rsidRPr="004542B5" w:rsidRDefault="00F87526" w:rsidP="00BF7853">
      <w:pPr>
        <w:pStyle w:val="FootnoteText"/>
        <w:spacing w:before="0"/>
        <w:contextualSpacing/>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Joost Pauwelyn, ‘The Concept of a ‘Continuing Violation’ of an International Obligation: Selected Problems' [1996] 66:1 BYIL 415, 415.</w:t>
      </w:r>
    </w:p>
  </w:footnote>
  <w:footnote w:id="327">
    <w:p w14:paraId="62F208B3" w14:textId="77777777" w:rsidR="00F87526" w:rsidRPr="004542B5" w:rsidRDefault="00F87526" w:rsidP="00BF7853">
      <w:pPr>
        <w:pStyle w:val="FootnoteText"/>
        <w:spacing w:before="0"/>
        <w:contextualSpacing/>
        <w:rPr>
          <w:szCs w:val="16"/>
          <w:lang w:val="en-US"/>
        </w:rPr>
      </w:pPr>
    </w:p>
    <w:p w14:paraId="7A44A3EC" w14:textId="77777777" w:rsidR="00F87526" w:rsidRPr="004542B5" w:rsidRDefault="00F87526" w:rsidP="00BF7853">
      <w:pPr>
        <w:pStyle w:val="FootnoteText"/>
        <w:spacing w:before="0"/>
        <w:contextualSpacing/>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Joost Pauwelyn, ‘The Concept of a ‘Continuing Violation’ of an International Obligation: Selected Problems' [1996] 66:1 BYIL 415, 421.</w:t>
      </w:r>
    </w:p>
  </w:footnote>
  <w:footnote w:id="328">
    <w:p w14:paraId="3651A054" w14:textId="77777777" w:rsidR="00F87526" w:rsidRPr="004542B5" w:rsidRDefault="00F87526" w:rsidP="00BF7853">
      <w:pPr>
        <w:pStyle w:val="FootnoteText"/>
        <w:spacing w:before="0"/>
        <w:contextualSpacing/>
        <w:rPr>
          <w:szCs w:val="16"/>
          <w:lang w:val="en-US"/>
        </w:rPr>
      </w:pPr>
    </w:p>
    <w:p w14:paraId="74807946" w14:textId="77777777" w:rsidR="00F87526" w:rsidRPr="004542B5" w:rsidRDefault="00F87526" w:rsidP="00BF7853">
      <w:pPr>
        <w:pStyle w:val="FootnoteText"/>
        <w:spacing w:before="0"/>
        <w:contextualSpacing/>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Loukis G. Loucaides, </w:t>
      </w:r>
      <w:r w:rsidRPr="004542B5">
        <w:rPr>
          <w:i/>
          <w:szCs w:val="16"/>
          <w:lang w:val="en-US"/>
        </w:rPr>
        <w:t>The European Convention on Human Rights: Collected Essays</w:t>
      </w:r>
      <w:r w:rsidRPr="004542B5">
        <w:rPr>
          <w:szCs w:val="16"/>
          <w:lang w:val="en-US"/>
        </w:rPr>
        <w:t xml:space="preserve"> (Brill Academic Publishers 2007) 21.</w:t>
      </w:r>
    </w:p>
  </w:footnote>
  <w:footnote w:id="329">
    <w:p w14:paraId="7FB96C8F" w14:textId="77777777" w:rsidR="00F87526" w:rsidRPr="004542B5" w:rsidRDefault="00F87526" w:rsidP="00BF7853">
      <w:pPr>
        <w:pStyle w:val="FootnoteText"/>
        <w:spacing w:before="0"/>
        <w:contextualSpacing/>
        <w:rPr>
          <w:szCs w:val="16"/>
          <w:lang w:val="en-US"/>
        </w:rPr>
      </w:pPr>
    </w:p>
    <w:p w14:paraId="0786AD27" w14:textId="77777777" w:rsidR="00F87526" w:rsidRPr="004542B5" w:rsidRDefault="00F87526" w:rsidP="00BF7853">
      <w:pPr>
        <w:pStyle w:val="FootnoteText"/>
        <w:spacing w:before="0"/>
        <w:contextualSpacing/>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Loukis G. Loucaides, </w:t>
      </w:r>
      <w:r w:rsidRPr="004542B5">
        <w:rPr>
          <w:i/>
          <w:szCs w:val="16"/>
          <w:lang w:val="en-US"/>
        </w:rPr>
        <w:t>The European Convention on Human Rights: Collected Essays</w:t>
      </w:r>
      <w:r w:rsidRPr="004542B5">
        <w:rPr>
          <w:szCs w:val="16"/>
          <w:lang w:val="en-US"/>
        </w:rPr>
        <w:t xml:space="preserve"> (Brill Academic Publishers 2007) 21.</w:t>
      </w:r>
    </w:p>
  </w:footnote>
  <w:footnote w:id="330">
    <w:p w14:paraId="54AD66BE" w14:textId="28FA8572" w:rsidR="00F87526" w:rsidRPr="004542B5" w:rsidRDefault="00F87526" w:rsidP="00BF7853">
      <w:pPr>
        <w:pStyle w:val="FootnoteText"/>
        <w:spacing w:before="0"/>
        <w:contextualSpacing/>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ILC, ‘Report of the International Law Commission on the Work of its 30th Session’ (8 May–28 July 1978) UN Doc A/33/10, p. 226.</w:t>
      </w:r>
    </w:p>
  </w:footnote>
  <w:footnote w:id="331">
    <w:p w14:paraId="1B4B5BFF" w14:textId="77777777" w:rsidR="00F87526" w:rsidRPr="004542B5" w:rsidRDefault="00F87526" w:rsidP="00BF7853">
      <w:pPr>
        <w:pStyle w:val="FootnoteText"/>
        <w:spacing w:before="0"/>
        <w:contextualSpacing/>
        <w:rPr>
          <w:szCs w:val="16"/>
          <w:lang w:val="en-US"/>
        </w:rPr>
      </w:pPr>
    </w:p>
    <w:p w14:paraId="3514F85D" w14:textId="43CA43E5" w:rsidR="00F87526" w:rsidRPr="004542B5" w:rsidRDefault="00F87526" w:rsidP="00BF7853">
      <w:pPr>
        <w:pStyle w:val="FootnoteText"/>
        <w:spacing w:before="0"/>
        <w:contextualSpacing/>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ILC, ‘Report of the Commission to the General Assembly on the work of its 30th session’ (1978) YB of the ILC, 1978, II, part 2, UN Doc A/CN.4/SER.A/1978/Add.l (Part 2), p. 93.</w:t>
      </w:r>
    </w:p>
    <w:p w14:paraId="0088E081" w14:textId="77777777" w:rsidR="00F87526" w:rsidRPr="004542B5" w:rsidRDefault="00F87526" w:rsidP="00BF7853">
      <w:pPr>
        <w:pStyle w:val="FootnoteText"/>
        <w:spacing w:before="0"/>
        <w:contextualSpacing/>
        <w:rPr>
          <w:szCs w:val="16"/>
          <w:lang w:val="en-US"/>
        </w:rPr>
      </w:pPr>
    </w:p>
  </w:footnote>
  <w:footnote w:id="332">
    <w:p w14:paraId="1E196ABD" w14:textId="68223737" w:rsidR="00F87526" w:rsidRPr="004542B5" w:rsidRDefault="00F87526" w:rsidP="00BF7853">
      <w:pPr>
        <w:pStyle w:val="FootnoteText"/>
        <w:spacing w:before="0"/>
        <w:contextualSpacing/>
        <w:rPr>
          <w:szCs w:val="16"/>
          <w:lang w:val="en-US"/>
        </w:rPr>
      </w:pPr>
      <w:r w:rsidRPr="004542B5">
        <w:rPr>
          <w:rStyle w:val="FootnoteReference"/>
          <w:szCs w:val="16"/>
          <w:lang w:val="en-US"/>
        </w:rPr>
        <w:footnoteRef/>
      </w:r>
      <w:r w:rsidRPr="004542B5">
        <w:rPr>
          <w:i/>
          <w:szCs w:val="16"/>
          <w:lang w:val="en-US"/>
        </w:rPr>
        <w:t xml:space="preserve"> </w:t>
      </w:r>
      <w:r w:rsidRPr="004542B5">
        <w:rPr>
          <w:i/>
          <w:szCs w:val="16"/>
          <w:lang w:val="en-US"/>
        </w:rPr>
        <w:tab/>
      </w:r>
      <w:r w:rsidRPr="004542B5">
        <w:rPr>
          <w:szCs w:val="16"/>
          <w:lang w:val="en-US"/>
        </w:rPr>
        <w:t xml:space="preserve">See: </w:t>
      </w:r>
      <w:r w:rsidRPr="004542B5">
        <w:rPr>
          <w:i/>
          <w:szCs w:val="16"/>
          <w:lang w:val="en-US"/>
        </w:rPr>
        <w:t>McDaid and Others v. The United Kingdom</w:t>
      </w:r>
      <w:r w:rsidRPr="004542B5">
        <w:rPr>
          <w:szCs w:val="16"/>
          <w:lang w:val="en-US"/>
        </w:rPr>
        <w:t xml:space="preserve">, no. 25681/94, p. 5, Commission decision of 9 April 1996. The European Court of Human Rights has used this definition in recent decisions: </w:t>
      </w:r>
      <w:r w:rsidRPr="004542B5">
        <w:rPr>
          <w:i/>
          <w:szCs w:val="16"/>
          <w:lang w:val="en-US"/>
        </w:rPr>
        <w:t>Posti and Rahko v. Finland</w:t>
      </w:r>
      <w:r w:rsidRPr="004542B5">
        <w:rPr>
          <w:szCs w:val="16"/>
          <w:lang w:val="en-US"/>
        </w:rPr>
        <w:t xml:space="preserve">, no. </w:t>
      </w:r>
      <w:hyperlink r:id="rId7" w:anchor="%7B%22appno%22:%5B%2227824/95%22%5D%7D" w:history="1">
        <w:r w:rsidRPr="004542B5">
          <w:rPr>
            <w:szCs w:val="16"/>
            <w:lang w:val="en-US"/>
          </w:rPr>
          <w:t>27824/95</w:t>
        </w:r>
      </w:hyperlink>
      <w:r w:rsidRPr="004542B5">
        <w:rPr>
          <w:szCs w:val="16"/>
          <w:lang w:val="en-US"/>
        </w:rPr>
        <w:t xml:space="preserve">, § 39, ECHR 2002-VII; </w:t>
      </w:r>
      <w:r w:rsidRPr="004542B5">
        <w:rPr>
          <w:i/>
          <w:szCs w:val="16"/>
          <w:lang w:val="en-US"/>
        </w:rPr>
        <w:t>Ananyev and Others v. Russia</w:t>
      </w:r>
      <w:r w:rsidRPr="004542B5">
        <w:rPr>
          <w:szCs w:val="16"/>
          <w:lang w:val="en-US"/>
        </w:rPr>
        <w:t xml:space="preserve">, nos. </w:t>
      </w:r>
      <w:hyperlink r:id="rId8" w:anchor="%7B%22appno%22:%5B%2242525/07%22%5D%7D" w:history="1">
        <w:r w:rsidRPr="004542B5">
          <w:rPr>
            <w:szCs w:val="16"/>
            <w:lang w:val="en-US"/>
          </w:rPr>
          <w:t>42525/07</w:t>
        </w:r>
      </w:hyperlink>
      <w:r w:rsidRPr="004542B5">
        <w:rPr>
          <w:szCs w:val="16"/>
          <w:lang w:val="en-US"/>
        </w:rPr>
        <w:t xml:space="preserve"> and </w:t>
      </w:r>
      <w:hyperlink r:id="rId9" w:anchor="%7B%22appno%22:%5B%2260800/08%22%5D%7D" w:history="1">
        <w:r w:rsidRPr="004542B5">
          <w:rPr>
            <w:szCs w:val="16"/>
            <w:lang w:val="en-US"/>
          </w:rPr>
          <w:t>60800/08</w:t>
        </w:r>
      </w:hyperlink>
      <w:r w:rsidRPr="004542B5">
        <w:rPr>
          <w:szCs w:val="16"/>
          <w:lang w:val="en-US"/>
        </w:rPr>
        <w:t xml:space="preserve">, § 75, 10 January 2012, and </w:t>
      </w:r>
      <w:r w:rsidRPr="004542B5">
        <w:rPr>
          <w:i/>
          <w:szCs w:val="16"/>
          <w:lang w:val="en-US"/>
        </w:rPr>
        <w:t>Hadzhigeorgievi v. Bulgaria</w:t>
      </w:r>
      <w:r w:rsidRPr="004542B5">
        <w:rPr>
          <w:szCs w:val="16"/>
          <w:lang w:val="en-US"/>
        </w:rPr>
        <w:t>, no. 41064/05, § 56, 16 July 2013.</w:t>
      </w:r>
    </w:p>
    <w:p w14:paraId="50209F24" w14:textId="14C65D35" w:rsidR="00F87526" w:rsidRPr="004542B5" w:rsidRDefault="00F87526" w:rsidP="00BF7853">
      <w:pPr>
        <w:pStyle w:val="FootnoteText"/>
        <w:spacing w:before="0"/>
        <w:contextualSpacing/>
        <w:rPr>
          <w:szCs w:val="16"/>
          <w:lang w:val="en-US"/>
        </w:rPr>
      </w:pPr>
    </w:p>
  </w:footnote>
  <w:footnote w:id="333">
    <w:p w14:paraId="0E85FC30" w14:textId="77777777" w:rsidR="00F87526" w:rsidRPr="004542B5" w:rsidRDefault="00F87526" w:rsidP="00BF7853">
      <w:pPr>
        <w:pStyle w:val="FootnoteText"/>
        <w:spacing w:before="0"/>
        <w:contextualSpacing/>
        <w:rPr>
          <w:szCs w:val="16"/>
          <w:lang w:val="en-US"/>
        </w:rPr>
      </w:pPr>
      <w:r w:rsidRPr="004542B5">
        <w:rPr>
          <w:rStyle w:val="FootnoteReference"/>
          <w:szCs w:val="16"/>
          <w:lang w:val="en-US"/>
        </w:rPr>
        <w:footnoteRef/>
      </w:r>
      <w:r w:rsidRPr="004542B5">
        <w:rPr>
          <w:i/>
          <w:szCs w:val="16"/>
          <w:lang w:val="en-US"/>
        </w:rPr>
        <w:tab/>
        <w:t>Loizidou v. Turkey</w:t>
      </w:r>
      <w:r w:rsidRPr="004542B5">
        <w:rPr>
          <w:szCs w:val="16"/>
          <w:lang w:val="en-US"/>
        </w:rPr>
        <w:t>, no. 15389/89, §§ 40-11, 8 December 1996 (judgment).</w:t>
      </w:r>
    </w:p>
    <w:p w14:paraId="45287FF9" w14:textId="77777777" w:rsidR="00F87526" w:rsidRPr="004542B5" w:rsidRDefault="00F87526" w:rsidP="00BF7853">
      <w:pPr>
        <w:pStyle w:val="FootnoteText"/>
        <w:spacing w:before="0"/>
        <w:contextualSpacing/>
        <w:rPr>
          <w:szCs w:val="16"/>
          <w:lang w:val="en-US"/>
        </w:rPr>
      </w:pPr>
    </w:p>
  </w:footnote>
  <w:footnote w:id="334">
    <w:p w14:paraId="3DC258B0" w14:textId="049A169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s-CR"/>
        </w:rPr>
        <w:t xml:space="preserve"> </w:t>
      </w:r>
      <w:r w:rsidRPr="004542B5">
        <w:rPr>
          <w:szCs w:val="16"/>
          <w:lang w:val="es-CR"/>
        </w:rPr>
        <w:tab/>
      </w:r>
      <w:r w:rsidRPr="004542B5">
        <w:rPr>
          <w:i/>
          <w:szCs w:val="16"/>
          <w:lang w:val="es-CR"/>
        </w:rPr>
        <w:t xml:space="preserve">Case of Velásquez Rodríguez v. Honduras. </w:t>
      </w:r>
      <w:r w:rsidRPr="004542B5">
        <w:rPr>
          <w:i/>
          <w:szCs w:val="16"/>
          <w:lang w:val="en-US"/>
        </w:rPr>
        <w:t>Merits</w:t>
      </w:r>
      <w:r w:rsidRPr="004542B5">
        <w:rPr>
          <w:szCs w:val="16"/>
          <w:lang w:val="en-US"/>
        </w:rPr>
        <w:t>. Judgment of July 29, 1988. Series C No. 4, para. 155.</w:t>
      </w:r>
    </w:p>
  </w:footnote>
  <w:footnote w:id="335">
    <w:p w14:paraId="63D11A9F" w14:textId="561083E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i/>
          <w:szCs w:val="16"/>
          <w:lang w:val="en-US"/>
        </w:rPr>
        <w:t xml:space="preserve"> </w:t>
      </w:r>
      <w:r w:rsidRPr="004542B5">
        <w:rPr>
          <w:i/>
          <w:szCs w:val="16"/>
          <w:lang w:val="en-US"/>
        </w:rPr>
        <w:tab/>
        <w:t>Case of Las Dos Erres Massacre v. Guatemala</w:t>
      </w:r>
      <w:r w:rsidRPr="004542B5">
        <w:rPr>
          <w:szCs w:val="16"/>
          <w:lang w:val="en-US"/>
        </w:rPr>
        <w:t>. Preliminary objection, merits, reparations and costs. Judgment of November 24, 2009. Series C No. 211.</w:t>
      </w:r>
    </w:p>
  </w:footnote>
  <w:footnote w:id="336">
    <w:p w14:paraId="67F738ED" w14:textId="531A620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See, </w:t>
      </w:r>
      <w:r w:rsidRPr="004542B5">
        <w:rPr>
          <w:i/>
          <w:szCs w:val="16"/>
          <w:lang w:val="en-US"/>
        </w:rPr>
        <w:t>Case of the Las Dos Erres Massacre v. Guatemala</w:t>
      </w:r>
      <w:r w:rsidRPr="004542B5">
        <w:rPr>
          <w:szCs w:val="16"/>
          <w:lang w:val="en-US"/>
        </w:rPr>
        <w:t xml:space="preserve">. </w:t>
      </w:r>
      <w:r w:rsidRPr="004542B5">
        <w:rPr>
          <w:i/>
          <w:szCs w:val="16"/>
          <w:lang w:val="en-US"/>
        </w:rPr>
        <w:t>Preliminary objection, merits, reparations and costs.</w:t>
      </w:r>
      <w:r w:rsidRPr="004542B5">
        <w:rPr>
          <w:szCs w:val="16"/>
          <w:lang w:val="en-US"/>
        </w:rPr>
        <w:t xml:space="preserve"> Judgment of November 24, 2009. Series C No. 211, and </w:t>
      </w:r>
      <w:r w:rsidRPr="004542B5">
        <w:rPr>
          <w:i/>
          <w:szCs w:val="16"/>
          <w:lang w:val="en-US"/>
        </w:rPr>
        <w:t>Case of Chitay Nech et al. v. Guatemala. Preliminary objections, merits, reparations and costs</w:t>
      </w:r>
      <w:r w:rsidRPr="004542B5">
        <w:rPr>
          <w:szCs w:val="16"/>
          <w:lang w:val="en-US"/>
        </w:rPr>
        <w:t>. Judgment of May 25, 2010. Series C No. 212.</w:t>
      </w:r>
    </w:p>
  </w:footnote>
  <w:footnote w:id="337">
    <w:p w14:paraId="124FBCE8" w14:textId="426372D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Case of García Lucero et al. v. Chile</w:t>
      </w:r>
      <w:r w:rsidRPr="004542B5">
        <w:rPr>
          <w:szCs w:val="16"/>
          <w:lang w:val="en-US"/>
        </w:rPr>
        <w:t xml:space="preserve">. </w:t>
      </w:r>
      <w:r w:rsidRPr="004542B5">
        <w:rPr>
          <w:i/>
          <w:szCs w:val="16"/>
          <w:lang w:val="en-US"/>
        </w:rPr>
        <w:t>Preliminary objection, merits and reparations</w:t>
      </w:r>
      <w:r w:rsidRPr="004542B5">
        <w:rPr>
          <w:szCs w:val="16"/>
          <w:lang w:val="en-US"/>
        </w:rPr>
        <w:t>. Judgment of August 28, 2013. Series C No. 267, para. 37.</w:t>
      </w:r>
    </w:p>
  </w:footnote>
  <w:footnote w:id="338">
    <w:p w14:paraId="180EDDD6" w14:textId="595412B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Case of García Lucero et al. v. Chile</w:t>
      </w:r>
      <w:r w:rsidRPr="004542B5">
        <w:rPr>
          <w:szCs w:val="16"/>
          <w:lang w:val="en-US"/>
        </w:rPr>
        <w:t xml:space="preserve">. </w:t>
      </w:r>
      <w:r w:rsidRPr="004542B5">
        <w:rPr>
          <w:i/>
          <w:szCs w:val="16"/>
          <w:lang w:val="en-US"/>
        </w:rPr>
        <w:t>Preliminary objection, merits and reparations</w:t>
      </w:r>
      <w:r w:rsidRPr="004542B5">
        <w:rPr>
          <w:szCs w:val="16"/>
          <w:lang w:val="en-US"/>
        </w:rPr>
        <w:t>. Judgment of August 28, 2013. Series C No. 267, para. 38.</w:t>
      </w:r>
    </w:p>
  </w:footnote>
  <w:footnote w:id="339">
    <w:p w14:paraId="0D610E25" w14:textId="46E78F2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ECHR, </w:t>
      </w:r>
      <w:r w:rsidRPr="004542B5">
        <w:rPr>
          <w:i/>
          <w:szCs w:val="16"/>
          <w:lang w:val="en-US"/>
        </w:rPr>
        <w:t>Case of Almeida Garrett, Mascarenhas Falcão and Others v. Portugal</w:t>
      </w:r>
      <w:r w:rsidRPr="004542B5">
        <w:rPr>
          <w:szCs w:val="16"/>
          <w:lang w:val="en-US"/>
        </w:rPr>
        <w:t xml:space="preserve"> (Applications nos. 29813/96 and 30229/96), 11 January 2000, para. 43; ECHR, </w:t>
      </w:r>
      <w:r w:rsidRPr="004542B5">
        <w:rPr>
          <w:i/>
          <w:szCs w:val="16"/>
          <w:lang w:val="en-US"/>
        </w:rPr>
        <w:t>Case of Blečić v. Croatia</w:t>
      </w:r>
      <w:r w:rsidRPr="004542B5">
        <w:rPr>
          <w:szCs w:val="16"/>
          <w:lang w:val="en-US"/>
        </w:rPr>
        <w:t xml:space="preserve">, GC (Application no. 59532/00), 8 March 2006, para. 86 (“As to the applicant’s argument that the termination of her tenancy resulted in a continuing situation […], the Court reiterates that the deprivation of an individual’s home or property is in principle an instantaneous act and does not produce a continuing situation of “deprivation” in respect of the rights concerned. […] Therefore, the termination of the applicant’s tenancy did not create a continuing situation”), see also, ECHR, </w:t>
      </w:r>
      <w:r w:rsidRPr="004542B5">
        <w:rPr>
          <w:i/>
          <w:szCs w:val="16"/>
          <w:lang w:val="en-US"/>
        </w:rPr>
        <w:t>Case of Malhous v. The Czech Republic</w:t>
      </w:r>
      <w:r w:rsidRPr="004542B5">
        <w:rPr>
          <w:szCs w:val="16"/>
          <w:lang w:val="en-US"/>
        </w:rPr>
        <w:t xml:space="preserve">, GC (Application no. 33071/96), 13 December 2000; mutatis mutandis, ECHR, </w:t>
      </w:r>
      <w:r w:rsidRPr="004542B5">
        <w:rPr>
          <w:i/>
          <w:szCs w:val="16"/>
          <w:lang w:val="en-US"/>
        </w:rPr>
        <w:t>Case of Ostojić v. Croatia</w:t>
      </w:r>
      <w:r w:rsidRPr="004542B5">
        <w:rPr>
          <w:szCs w:val="16"/>
          <w:lang w:val="en-US"/>
        </w:rPr>
        <w:t xml:space="preserve"> (Application no. 16837/02), 26 September 2009. </w:t>
      </w:r>
    </w:p>
  </w:footnote>
  <w:footnote w:id="340">
    <w:p w14:paraId="5F686C25" w14:textId="77777777" w:rsidR="00F87526" w:rsidRPr="004542B5" w:rsidRDefault="00F87526" w:rsidP="00BF7853">
      <w:pPr>
        <w:pStyle w:val="FootnoteText"/>
        <w:spacing w:before="0"/>
        <w:rPr>
          <w:szCs w:val="16"/>
          <w:lang w:val="es-CR"/>
        </w:rPr>
      </w:pPr>
      <w:r w:rsidRPr="004542B5">
        <w:rPr>
          <w:rStyle w:val="FootnoteReference"/>
          <w:szCs w:val="16"/>
          <w:lang w:val="en-US"/>
        </w:rPr>
        <w:footnoteRef/>
      </w:r>
      <w:r w:rsidRPr="004542B5">
        <w:rPr>
          <w:szCs w:val="16"/>
          <w:lang w:val="es-CR"/>
        </w:rPr>
        <w:t xml:space="preserve"> </w:t>
      </w:r>
      <w:r w:rsidRPr="004542B5">
        <w:rPr>
          <w:szCs w:val="16"/>
          <w:lang w:val="es-CR"/>
        </w:rPr>
        <w:tab/>
        <w:t xml:space="preserve">ECHR, </w:t>
      </w:r>
      <w:r w:rsidRPr="004542B5">
        <w:rPr>
          <w:i/>
          <w:szCs w:val="16"/>
          <w:lang w:val="es-CR"/>
        </w:rPr>
        <w:t>Vasilescu v. Romania</w:t>
      </w:r>
      <w:r w:rsidRPr="004542B5">
        <w:rPr>
          <w:szCs w:val="16"/>
          <w:lang w:val="es-CR"/>
        </w:rPr>
        <w:t>, no. 27053/95, §§ 48-59, 22 May 1998</w:t>
      </w:r>
    </w:p>
  </w:footnote>
  <w:footnote w:id="341">
    <w:p w14:paraId="4409A4F4"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i/>
          <w:szCs w:val="16"/>
          <w:lang w:val="en-US"/>
        </w:rPr>
        <w:t xml:space="preserve"> </w:t>
      </w:r>
      <w:r w:rsidRPr="004542B5">
        <w:rPr>
          <w:i/>
          <w:szCs w:val="16"/>
          <w:lang w:val="en-US"/>
        </w:rPr>
        <w:tab/>
      </w:r>
      <w:r w:rsidRPr="004542B5">
        <w:rPr>
          <w:szCs w:val="16"/>
          <w:lang w:val="en-US"/>
        </w:rPr>
        <w:t xml:space="preserve">ECHR, </w:t>
      </w:r>
      <w:r w:rsidRPr="004542B5">
        <w:rPr>
          <w:i/>
          <w:szCs w:val="16"/>
          <w:lang w:val="en-US"/>
        </w:rPr>
        <w:t>Loizidou v. Turkey</w:t>
      </w:r>
      <w:r w:rsidRPr="004542B5">
        <w:rPr>
          <w:szCs w:val="16"/>
          <w:lang w:val="en-US"/>
        </w:rPr>
        <w:t>, no. 15389/89, 8 December 1996,</w:t>
      </w:r>
    </w:p>
  </w:footnote>
  <w:footnote w:id="342">
    <w:p w14:paraId="4109F27E"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i/>
          <w:szCs w:val="16"/>
          <w:lang w:val="en-US"/>
        </w:rPr>
        <w:t xml:space="preserve"> </w:t>
      </w:r>
      <w:r w:rsidRPr="004542B5">
        <w:rPr>
          <w:i/>
          <w:szCs w:val="16"/>
          <w:lang w:val="en-US"/>
        </w:rPr>
        <w:tab/>
      </w:r>
      <w:r w:rsidRPr="004542B5">
        <w:rPr>
          <w:szCs w:val="16"/>
          <w:lang w:val="en-US"/>
        </w:rPr>
        <w:t xml:space="preserve">ECHR, </w:t>
      </w:r>
      <w:r w:rsidRPr="004542B5">
        <w:rPr>
          <w:i/>
          <w:szCs w:val="16"/>
          <w:lang w:val="en-US"/>
        </w:rPr>
        <w:t>Guiso-Gallisay v. Italy</w:t>
      </w:r>
      <w:r w:rsidRPr="004542B5">
        <w:rPr>
          <w:szCs w:val="16"/>
          <w:lang w:val="en-US"/>
        </w:rPr>
        <w:t>, no. 58858/00, 8 December 2005</w:t>
      </w:r>
    </w:p>
  </w:footnote>
  <w:footnote w:id="343">
    <w:p w14:paraId="35A89B0C"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i/>
          <w:szCs w:val="16"/>
          <w:lang w:val="en-US"/>
        </w:rPr>
        <w:t xml:space="preserve"> </w:t>
      </w:r>
      <w:r w:rsidRPr="004542B5">
        <w:rPr>
          <w:i/>
          <w:szCs w:val="16"/>
          <w:lang w:val="en-US"/>
        </w:rPr>
        <w:tab/>
      </w:r>
      <w:r w:rsidRPr="004542B5">
        <w:rPr>
          <w:szCs w:val="16"/>
          <w:lang w:val="en-US"/>
        </w:rPr>
        <w:t xml:space="preserve">ECHR, </w:t>
      </w:r>
      <w:r w:rsidRPr="004542B5">
        <w:rPr>
          <w:i/>
          <w:szCs w:val="16"/>
          <w:lang w:val="en-US"/>
        </w:rPr>
        <w:t>Broniowski v. Poland</w:t>
      </w:r>
      <w:r w:rsidRPr="004542B5">
        <w:rPr>
          <w:szCs w:val="16"/>
          <w:lang w:val="en-US"/>
        </w:rPr>
        <w:t>, no. 31443/96 [GC], 22 June 2004</w:t>
      </w:r>
    </w:p>
  </w:footnote>
  <w:footnote w:id="344">
    <w:p w14:paraId="2050FBF2"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i/>
          <w:szCs w:val="16"/>
          <w:lang w:val="en-US"/>
        </w:rPr>
        <w:t xml:space="preserve"> </w:t>
      </w:r>
      <w:r w:rsidRPr="004542B5">
        <w:rPr>
          <w:i/>
          <w:szCs w:val="16"/>
          <w:lang w:val="en-US"/>
        </w:rPr>
        <w:tab/>
      </w:r>
      <w:r w:rsidRPr="004542B5">
        <w:rPr>
          <w:szCs w:val="16"/>
          <w:lang w:val="en-US"/>
        </w:rPr>
        <w:t xml:space="preserve">ECHR, </w:t>
      </w:r>
      <w:r w:rsidRPr="004542B5">
        <w:rPr>
          <w:i/>
          <w:szCs w:val="16"/>
          <w:lang w:val="en-US"/>
        </w:rPr>
        <w:t>Ostojic v. Croatia</w:t>
      </w:r>
      <w:r w:rsidRPr="004542B5">
        <w:rPr>
          <w:szCs w:val="16"/>
          <w:lang w:val="en-US"/>
        </w:rPr>
        <w:t>, no.16837/02 (dec.), 26 September 2002</w:t>
      </w:r>
    </w:p>
  </w:footnote>
  <w:footnote w:id="345">
    <w:p w14:paraId="5DDE2B8F" w14:textId="5478C378" w:rsidR="00F87526" w:rsidRPr="004542B5" w:rsidRDefault="00F87526" w:rsidP="00BF7853">
      <w:pPr>
        <w:pStyle w:val="FootnoteText"/>
        <w:spacing w:before="0"/>
        <w:rPr>
          <w:i/>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See cases of </w:t>
      </w:r>
      <w:r w:rsidRPr="004542B5">
        <w:rPr>
          <w:i/>
          <w:szCs w:val="16"/>
          <w:lang w:val="en-US"/>
        </w:rPr>
        <w:t>Almeida Aarrett, Aascarenhas Falcao and Others v. Portugal</w:t>
      </w:r>
      <w:r w:rsidRPr="004542B5">
        <w:rPr>
          <w:szCs w:val="16"/>
          <w:lang w:val="en-US"/>
        </w:rPr>
        <w:t xml:space="preserve"> and </w:t>
      </w:r>
      <w:r w:rsidRPr="004542B5">
        <w:rPr>
          <w:i/>
          <w:szCs w:val="16"/>
          <w:lang w:val="en-US"/>
        </w:rPr>
        <w:t>Broniowki v. Poland.</w:t>
      </w:r>
    </w:p>
  </w:footnote>
  <w:footnote w:id="346">
    <w:p w14:paraId="2F39F314"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Case of Loizidou v. Turkey</w:t>
      </w:r>
      <w:r w:rsidRPr="004542B5">
        <w:rPr>
          <w:szCs w:val="16"/>
          <w:lang w:val="en-US"/>
        </w:rPr>
        <w:t xml:space="preserve">, GC (Application no. </w:t>
      </w:r>
      <w:hyperlink r:id="rId10" w:anchor="%7B%22appno%22:[%2215318/89%22]%7D" w:tgtFrame="_blank" w:history="1">
        <w:r w:rsidRPr="004542B5">
          <w:rPr>
            <w:rStyle w:val="Hyperlink"/>
            <w:szCs w:val="16"/>
            <w:lang w:val="en-US"/>
          </w:rPr>
          <w:t>15318/89</w:t>
        </w:r>
      </w:hyperlink>
      <w:r w:rsidRPr="004542B5">
        <w:rPr>
          <w:szCs w:val="16"/>
          <w:lang w:val="en-US"/>
        </w:rPr>
        <w:t>), 18 December 1996.</w:t>
      </w:r>
    </w:p>
  </w:footnote>
  <w:footnote w:id="347">
    <w:p w14:paraId="5D2F0FD8" w14:textId="2CEB472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Case of Loizidou v. Turkey</w:t>
      </w:r>
      <w:r w:rsidRPr="004542B5">
        <w:rPr>
          <w:szCs w:val="16"/>
          <w:lang w:val="en-US"/>
        </w:rPr>
        <w:t>, GC (Application no. 15318/89), 18 December 1996, para. 35.</w:t>
      </w:r>
    </w:p>
  </w:footnote>
  <w:footnote w:id="348">
    <w:p w14:paraId="717FB98B" w14:textId="03D0B21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Case of Loizidou v. Turkey</w:t>
      </w:r>
      <w:r w:rsidRPr="004542B5">
        <w:rPr>
          <w:szCs w:val="16"/>
          <w:lang w:val="en-US"/>
        </w:rPr>
        <w:t>, GC (Application no. 15318/89), 18 December 1996, paras. 42 and 44.</w:t>
      </w:r>
    </w:p>
  </w:footnote>
  <w:footnote w:id="349">
    <w:p w14:paraId="4BFDEECC" w14:textId="17DE88D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Case of Loizidou v. Turkey</w:t>
      </w:r>
      <w:r w:rsidRPr="004542B5">
        <w:rPr>
          <w:szCs w:val="16"/>
          <w:lang w:val="en-US"/>
        </w:rPr>
        <w:t>, GC (Application no. 15318/89), 18 December 1996, paras. 46 and 47.</w:t>
      </w:r>
    </w:p>
  </w:footnote>
  <w:footnote w:id="350">
    <w:p w14:paraId="67BEF820"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Case of Papamichalopoulos and Others v. Greece</w:t>
      </w:r>
      <w:r w:rsidRPr="004542B5">
        <w:rPr>
          <w:szCs w:val="16"/>
          <w:lang w:val="en-US"/>
        </w:rPr>
        <w:t xml:space="preserve"> (Application no. </w:t>
      </w:r>
      <w:hyperlink r:id="rId11" w:anchor="%7B%22appno%22:[%2214556/89%22]%7D" w:tgtFrame="_blank" w:history="1">
        <w:r w:rsidRPr="004542B5">
          <w:rPr>
            <w:rStyle w:val="Hyperlink"/>
            <w:szCs w:val="16"/>
            <w:lang w:val="en-US"/>
          </w:rPr>
          <w:t>14556/89</w:t>
        </w:r>
      </w:hyperlink>
      <w:r w:rsidRPr="004542B5">
        <w:rPr>
          <w:szCs w:val="16"/>
          <w:lang w:val="en-US"/>
        </w:rPr>
        <w:t>), 24 June 1993.</w:t>
      </w:r>
    </w:p>
  </w:footnote>
  <w:footnote w:id="351">
    <w:p w14:paraId="2441D2AC"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Case of  Papamichalopoulos and Others v. Greece</w:t>
      </w:r>
      <w:r w:rsidRPr="004542B5">
        <w:rPr>
          <w:szCs w:val="16"/>
          <w:lang w:val="en-US"/>
        </w:rPr>
        <w:t xml:space="preserve"> (Application no. 14556/89), 24 June 1993, para. 42.</w:t>
      </w:r>
    </w:p>
  </w:footnote>
  <w:footnote w:id="352">
    <w:p w14:paraId="0C3BCB4E" w14:textId="310C27D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Case of Papamichalopoulos and Others v. Greece</w:t>
      </w:r>
      <w:r w:rsidRPr="004542B5">
        <w:rPr>
          <w:szCs w:val="16"/>
          <w:lang w:val="en-US"/>
        </w:rPr>
        <w:t xml:space="preserve"> (Application no. </w:t>
      </w:r>
      <w:hyperlink r:id="rId12" w:anchor="%7B%22appno%22:[%2214556/89%22]%7D" w:tgtFrame="_blank" w:history="1">
        <w:r w:rsidRPr="004542B5">
          <w:rPr>
            <w:rStyle w:val="Hyperlink"/>
            <w:szCs w:val="16"/>
            <w:lang w:val="en-US"/>
          </w:rPr>
          <w:t>14556/89</w:t>
        </w:r>
      </w:hyperlink>
      <w:r w:rsidRPr="004542B5">
        <w:rPr>
          <w:szCs w:val="16"/>
          <w:lang w:val="en-US"/>
        </w:rPr>
        <w:t>), 24 June 1993, paras. 45 and 46.</w:t>
      </w:r>
    </w:p>
  </w:footnote>
  <w:footnote w:id="353">
    <w:p w14:paraId="6CF3395D" w14:textId="37FDCF3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 xml:space="preserve">Case of Almeida Garrett, Mascarenhas Falcão and </w:t>
      </w:r>
      <w:r w:rsidR="004542B5" w:rsidRPr="004542B5">
        <w:rPr>
          <w:i/>
          <w:szCs w:val="16"/>
          <w:lang w:val="en-US"/>
        </w:rPr>
        <w:t>O</w:t>
      </w:r>
      <w:r w:rsidRPr="004542B5">
        <w:rPr>
          <w:i/>
          <w:szCs w:val="16"/>
          <w:lang w:val="en-US"/>
        </w:rPr>
        <w:t>thers V. Portugal</w:t>
      </w:r>
      <w:r w:rsidRPr="004542B5">
        <w:rPr>
          <w:szCs w:val="16"/>
          <w:lang w:val="en-US"/>
        </w:rPr>
        <w:t xml:space="preserve"> (Applications nos. 29813/96 and 30229/96), 11 January 2000.</w:t>
      </w:r>
    </w:p>
  </w:footnote>
  <w:footnote w:id="354">
    <w:p w14:paraId="49EC904F" w14:textId="5502408A"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 xml:space="preserve">Case of Almeida Garrett, Mascarenhas Falcão and </w:t>
      </w:r>
      <w:r w:rsidR="004542B5" w:rsidRPr="004542B5">
        <w:rPr>
          <w:i/>
          <w:szCs w:val="16"/>
          <w:lang w:val="en-US"/>
        </w:rPr>
        <w:t>O</w:t>
      </w:r>
      <w:r w:rsidRPr="004542B5">
        <w:rPr>
          <w:i/>
          <w:szCs w:val="16"/>
          <w:lang w:val="en-US"/>
        </w:rPr>
        <w:t>thers V. Portugal</w:t>
      </w:r>
      <w:r w:rsidRPr="004542B5">
        <w:rPr>
          <w:szCs w:val="16"/>
          <w:lang w:val="en-US"/>
        </w:rPr>
        <w:t xml:space="preserve"> (Applications nos. 29813/96 and 30229/96), 11 January 2000, para. 43.</w:t>
      </w:r>
    </w:p>
  </w:footnote>
  <w:footnote w:id="355">
    <w:p w14:paraId="1368F35B"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Broniowski v. Poland</w:t>
      </w:r>
      <w:r w:rsidRPr="004542B5">
        <w:rPr>
          <w:szCs w:val="16"/>
          <w:lang w:val="en-US"/>
        </w:rPr>
        <w:t xml:space="preserve">, no. 31443/96 (dec.), § 75, 19 December 2002; </w:t>
      </w:r>
      <w:r w:rsidRPr="004542B5">
        <w:rPr>
          <w:i/>
          <w:szCs w:val="16"/>
          <w:lang w:val="en-US"/>
        </w:rPr>
        <w:t>Broniowski v. Poland</w:t>
      </w:r>
      <w:r w:rsidRPr="004542B5">
        <w:rPr>
          <w:szCs w:val="16"/>
          <w:lang w:val="en-US"/>
        </w:rPr>
        <w:t>, no. 31443/96 [GC], § 122, 22 June 2004.</w:t>
      </w:r>
    </w:p>
  </w:footnote>
  <w:footnote w:id="356">
    <w:p w14:paraId="3C4C9691"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ab/>
        <w:t xml:space="preserve">ECHR, </w:t>
      </w:r>
      <w:r w:rsidRPr="004542B5">
        <w:rPr>
          <w:i/>
          <w:szCs w:val="16"/>
          <w:lang w:val="en-US"/>
        </w:rPr>
        <w:t>Hutton-Czapska v. Poland</w:t>
      </w:r>
      <w:r w:rsidRPr="004542B5">
        <w:rPr>
          <w:szCs w:val="16"/>
          <w:lang w:val="en-US"/>
        </w:rPr>
        <w:t xml:space="preserve">, no. 35014/97 (dec.), 16 March 2003 and </w:t>
      </w:r>
      <w:r w:rsidRPr="004542B5">
        <w:rPr>
          <w:i/>
          <w:szCs w:val="16"/>
          <w:lang w:val="en-US"/>
        </w:rPr>
        <w:t>Hutton-Czapska v. Poland</w:t>
      </w:r>
      <w:r w:rsidRPr="004542B5">
        <w:rPr>
          <w:szCs w:val="16"/>
          <w:lang w:val="en-US"/>
        </w:rPr>
        <w:t>, no. 35014/97 [GC], §§ 152-153, 19 June 2006.</w:t>
      </w:r>
    </w:p>
  </w:footnote>
  <w:footnote w:id="357">
    <w:p w14:paraId="61390E78"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Phocas v. France</w:t>
      </w:r>
      <w:r w:rsidRPr="004542B5">
        <w:rPr>
          <w:szCs w:val="16"/>
          <w:lang w:val="en-US"/>
        </w:rPr>
        <w:t>, no. 17869/91, § 45-9, 23 April 1996.</w:t>
      </w:r>
    </w:p>
  </w:footnote>
  <w:footnote w:id="358">
    <w:p w14:paraId="64ECEA9B"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Cvijetic v. Croatia</w:t>
      </w:r>
      <w:r w:rsidRPr="004542B5">
        <w:rPr>
          <w:szCs w:val="16"/>
          <w:lang w:val="en-US"/>
        </w:rPr>
        <w:t xml:space="preserve">, no. 71549/01 (dec.), 3 April 2003. </w:t>
      </w:r>
    </w:p>
  </w:footnote>
  <w:footnote w:id="359">
    <w:p w14:paraId="6FF1346B" w14:textId="7777777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ECHR, </w:t>
      </w:r>
      <w:r w:rsidRPr="004542B5">
        <w:rPr>
          <w:i/>
          <w:szCs w:val="16"/>
          <w:lang w:val="en-US"/>
        </w:rPr>
        <w:t>Crnojevic v. Croatia</w:t>
      </w:r>
      <w:r w:rsidRPr="004542B5">
        <w:rPr>
          <w:szCs w:val="16"/>
          <w:lang w:val="en-US"/>
        </w:rPr>
        <w:t>, no. 71614/01 (dec.), 29 April 2003.</w:t>
      </w:r>
    </w:p>
  </w:footnote>
  <w:footnote w:id="360">
    <w:p w14:paraId="1374CD3B" w14:textId="5729380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Paras. 34 and 35 of the judgment.</w:t>
      </w:r>
    </w:p>
  </w:footnote>
  <w:footnote w:id="361">
    <w:p w14:paraId="02F21AB1" w14:textId="3B98BB3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Case of the Moiwana Community v. Suriname.</w:t>
      </w:r>
      <w:r w:rsidRPr="004542B5">
        <w:rPr>
          <w:szCs w:val="16"/>
          <w:lang w:val="en-US"/>
        </w:rPr>
        <w:t xml:space="preserve"> </w:t>
      </w:r>
      <w:r w:rsidRPr="004542B5">
        <w:rPr>
          <w:i/>
          <w:szCs w:val="16"/>
          <w:lang w:val="en-US"/>
        </w:rPr>
        <w:t>Preliminary objections, merits, reparations and costs</w:t>
      </w:r>
      <w:r w:rsidRPr="004542B5">
        <w:rPr>
          <w:szCs w:val="16"/>
          <w:lang w:val="en-US"/>
        </w:rPr>
        <w:t>. Judgment of June 15, 2005. Series C No. 124, paras. 43 and 108.</w:t>
      </w:r>
    </w:p>
  </w:footnote>
  <w:footnote w:id="362">
    <w:p w14:paraId="1CF6AC01" w14:textId="31BFC66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Human Rights Committee, Communication No. </w:t>
      </w:r>
      <w:r w:rsidRPr="004542B5">
        <w:rPr>
          <w:bCs/>
          <w:szCs w:val="16"/>
          <w:lang w:val="en-US"/>
        </w:rPr>
        <w:t>24/1977</w:t>
      </w:r>
      <w:r w:rsidRPr="004542B5">
        <w:rPr>
          <w:szCs w:val="16"/>
          <w:lang w:val="en-US"/>
        </w:rPr>
        <w:t xml:space="preserve">, </w:t>
      </w:r>
      <w:r w:rsidRPr="004542B5">
        <w:rPr>
          <w:i/>
          <w:szCs w:val="16"/>
          <w:lang w:val="en-US"/>
        </w:rPr>
        <w:t>Lovelace v. Canada</w:t>
      </w:r>
      <w:r w:rsidRPr="004542B5">
        <w:rPr>
          <w:szCs w:val="16"/>
          <w:lang w:val="en-US"/>
        </w:rPr>
        <w:t xml:space="preserve">, Views adopted on July 30, 1981, para.7.3 Human Rights Committee, Communication No. 1367/2005, </w:t>
      </w:r>
      <w:r w:rsidRPr="004542B5">
        <w:rPr>
          <w:i/>
          <w:szCs w:val="16"/>
          <w:lang w:val="en-US"/>
        </w:rPr>
        <w:t>Anderson v. Australia</w:t>
      </w:r>
      <w:r w:rsidRPr="004542B5">
        <w:rPr>
          <w:szCs w:val="16"/>
          <w:lang w:val="en-US"/>
        </w:rPr>
        <w:t xml:space="preserve">, decision on admissibility adopted on October 31, 2006, para. 7.3. Human Rights Committee, Communication No. 1424/2005, </w:t>
      </w:r>
      <w:r w:rsidRPr="004542B5">
        <w:rPr>
          <w:i/>
          <w:szCs w:val="16"/>
          <w:lang w:val="en-US"/>
        </w:rPr>
        <w:t>Armand Anton v. Algeria</w:t>
      </w:r>
      <w:r w:rsidRPr="004542B5">
        <w:rPr>
          <w:szCs w:val="16"/>
          <w:lang w:val="en-US"/>
        </w:rPr>
        <w:t>, decision on admissibility adopted on November 1, 2004, para. 8.3.</w:t>
      </w:r>
    </w:p>
  </w:footnote>
  <w:footnote w:id="363">
    <w:p w14:paraId="3E316294" w14:textId="37A3C8A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 xml:space="preserve">Case of Salvador Chiriboga v. Ecuador. Preliminary objection and merits. </w:t>
      </w:r>
      <w:r w:rsidRPr="004542B5">
        <w:rPr>
          <w:rStyle w:val="Strong"/>
          <w:b w:val="0"/>
          <w:color w:val="000000"/>
          <w:szCs w:val="16"/>
          <w:lang w:val="en-US"/>
        </w:rPr>
        <w:t>Judgment of May 6, 2008. ,Series C No. 179.</w:t>
      </w:r>
      <w:r w:rsidRPr="004542B5">
        <w:rPr>
          <w:szCs w:val="16"/>
          <w:lang w:val="en-US"/>
        </w:rPr>
        <w:t xml:space="preserve"> para. 95. </w:t>
      </w:r>
    </w:p>
  </w:footnote>
  <w:footnote w:id="364">
    <w:p w14:paraId="079FABCC" w14:textId="0C1ABDE4" w:rsidR="00F87526" w:rsidRPr="004542B5" w:rsidRDefault="00F87526" w:rsidP="00BF7853">
      <w:pPr>
        <w:widowControl w:val="0"/>
        <w:autoSpaceDE w:val="0"/>
        <w:autoSpaceDN w:val="0"/>
        <w:adjustRightInd w:val="0"/>
        <w:spacing w:after="120"/>
        <w:rPr>
          <w:color w:val="0000FF"/>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rStyle w:val="Strong"/>
          <w:b w:val="0"/>
          <w:i/>
          <w:color w:val="000000"/>
          <w:sz w:val="16"/>
          <w:szCs w:val="16"/>
          <w:lang w:val="en-US"/>
        </w:rPr>
        <w:t xml:space="preserve">Case of Salvador Chiriboga v. Ecuador. Preliminary objection and merits. </w:t>
      </w:r>
      <w:r w:rsidRPr="004542B5">
        <w:rPr>
          <w:rStyle w:val="Strong"/>
          <w:b w:val="0"/>
          <w:color w:val="000000"/>
          <w:sz w:val="16"/>
          <w:szCs w:val="16"/>
          <w:lang w:val="en-US"/>
        </w:rPr>
        <w:t>Judgment of May 6, 2008. Series C No. 179.</w:t>
      </w:r>
      <w:r w:rsidRPr="004542B5">
        <w:rPr>
          <w:sz w:val="16"/>
          <w:szCs w:val="16"/>
          <w:lang w:val="en-US"/>
        </w:rPr>
        <w:t xml:space="preserve"> para. 96; </w:t>
      </w:r>
      <w:r w:rsidRPr="004542B5">
        <w:rPr>
          <w:i/>
          <w:sz w:val="16"/>
          <w:szCs w:val="16"/>
          <w:lang w:val="en-US"/>
        </w:rPr>
        <w:t xml:space="preserve">Cf. </w:t>
      </w:r>
      <w:r w:rsidRPr="004542B5">
        <w:rPr>
          <w:sz w:val="16"/>
          <w:szCs w:val="16"/>
          <w:lang w:val="en-US"/>
        </w:rPr>
        <w:t xml:space="preserve">Article 1 of Protocol No. 1 of the European Court; and P.C.I.J </w:t>
      </w:r>
      <w:r w:rsidRPr="004542B5">
        <w:rPr>
          <w:i/>
          <w:sz w:val="16"/>
          <w:szCs w:val="16"/>
          <w:lang w:val="en-US"/>
        </w:rPr>
        <w:t xml:space="preserve">The Factory </w:t>
      </w:r>
      <w:r w:rsidR="00E13F56" w:rsidRPr="004542B5">
        <w:rPr>
          <w:i/>
          <w:sz w:val="16"/>
          <w:szCs w:val="16"/>
          <w:lang w:val="en-US"/>
        </w:rPr>
        <w:t>a</w:t>
      </w:r>
      <w:r w:rsidRPr="004542B5">
        <w:rPr>
          <w:i/>
          <w:sz w:val="16"/>
          <w:szCs w:val="16"/>
          <w:lang w:val="en-US"/>
        </w:rPr>
        <w:t xml:space="preserve">t Chorzów (Claim for Indemnity) (The Merits) </w:t>
      </w:r>
      <w:r w:rsidRPr="004542B5">
        <w:rPr>
          <w:sz w:val="16"/>
          <w:szCs w:val="16"/>
          <w:lang w:val="en-US"/>
        </w:rPr>
        <w:t>Judgment No. 13, p. 40  and 41.</w:t>
      </w:r>
      <w:r w:rsidRPr="004542B5">
        <w:rPr>
          <w:color w:val="0000FF"/>
          <w:sz w:val="16"/>
          <w:szCs w:val="16"/>
          <w:lang w:val="en-US"/>
        </w:rPr>
        <w:t xml:space="preserve"> </w:t>
      </w:r>
    </w:p>
  </w:footnote>
  <w:footnote w:id="365">
    <w:p w14:paraId="138E7765" w14:textId="2B197821" w:rsidR="00F87526" w:rsidRPr="004542B5" w:rsidRDefault="00F87526" w:rsidP="00BF7853">
      <w:pPr>
        <w:spacing w:after="120"/>
        <w:rPr>
          <w:sz w:val="16"/>
          <w:szCs w:val="16"/>
          <w:lang w:val="en-US"/>
        </w:rPr>
      </w:pPr>
      <w:r w:rsidRPr="004542B5">
        <w:rPr>
          <w:rStyle w:val="FootnoteReference"/>
          <w:sz w:val="16"/>
          <w:szCs w:val="16"/>
          <w:lang w:val="en-US"/>
        </w:rPr>
        <w:footnoteRef/>
      </w:r>
      <w:r w:rsidRPr="004542B5">
        <w:rPr>
          <w:sz w:val="16"/>
          <w:szCs w:val="16"/>
          <w:lang w:val="es-CR"/>
        </w:rPr>
        <w:t xml:space="preserve"> </w:t>
      </w:r>
      <w:r w:rsidRPr="004542B5">
        <w:rPr>
          <w:sz w:val="16"/>
          <w:szCs w:val="16"/>
          <w:lang w:val="es-CR"/>
        </w:rPr>
        <w:tab/>
      </w:r>
      <w:r w:rsidRPr="004542B5">
        <w:rPr>
          <w:rStyle w:val="Strong"/>
          <w:b w:val="0"/>
          <w:i/>
          <w:color w:val="000000"/>
          <w:sz w:val="16"/>
          <w:szCs w:val="16"/>
          <w:lang w:val="es-CR"/>
        </w:rPr>
        <w:t xml:space="preserve">Case of Salvador Chiriboga v. Ecuador. </w:t>
      </w:r>
      <w:r w:rsidRPr="004542B5">
        <w:rPr>
          <w:rStyle w:val="Strong"/>
          <w:b w:val="0"/>
          <w:i/>
          <w:color w:val="000000"/>
          <w:sz w:val="16"/>
          <w:szCs w:val="16"/>
          <w:lang w:val="en-US"/>
        </w:rPr>
        <w:t xml:space="preserve">Preliminary objection and merits. </w:t>
      </w:r>
      <w:r w:rsidRPr="004542B5">
        <w:rPr>
          <w:rStyle w:val="Strong"/>
          <w:b w:val="0"/>
          <w:color w:val="000000"/>
          <w:sz w:val="16"/>
          <w:szCs w:val="16"/>
          <w:lang w:val="en-US"/>
        </w:rPr>
        <w:t>Judgment of May 6, 2008. Series C No. 179</w:t>
      </w:r>
      <w:r w:rsidRPr="004542B5">
        <w:rPr>
          <w:sz w:val="16"/>
          <w:szCs w:val="16"/>
          <w:lang w:val="en-US"/>
        </w:rPr>
        <w:t xml:space="preserve">, para. 97 </w:t>
      </w:r>
      <w:r w:rsidRPr="004542B5">
        <w:rPr>
          <w:i/>
          <w:sz w:val="16"/>
          <w:szCs w:val="16"/>
          <w:lang w:val="en-US"/>
        </w:rPr>
        <w:t>Cf.</w:t>
      </w:r>
      <w:r w:rsidRPr="004542B5">
        <w:rPr>
          <w:sz w:val="16"/>
          <w:szCs w:val="16"/>
          <w:lang w:val="en-US"/>
        </w:rPr>
        <w:t xml:space="preserve"> </w:t>
      </w:r>
      <w:r w:rsidRPr="004542B5">
        <w:rPr>
          <w:i/>
          <w:sz w:val="16"/>
          <w:szCs w:val="16"/>
          <w:lang w:val="en-US"/>
        </w:rPr>
        <w:t>INA Corporation v. The Islamic Republic of Iran</w:t>
      </w:r>
      <w:r w:rsidRPr="004542B5">
        <w:rPr>
          <w:sz w:val="16"/>
          <w:szCs w:val="16"/>
          <w:lang w:val="en-US"/>
        </w:rPr>
        <w:t>, 8 Iran US CTR, p.373; 75 ILR, p. 595; and Principles 15 and 18 of the “</w:t>
      </w:r>
      <w:r w:rsidRPr="004542B5">
        <w:rPr>
          <w:i/>
          <w:sz w:val="16"/>
          <w:szCs w:val="16"/>
          <w:lang w:val="en-US"/>
        </w:rPr>
        <w:t xml:space="preserve">Basic Principles and Guidelines on the Right to a Remedy and Reparation for Victims of Gross Violations of International Human Rights Law and Serioius Violations of International Humanitarian Law,” </w:t>
      </w:r>
      <w:r w:rsidRPr="004542B5">
        <w:rPr>
          <w:sz w:val="16"/>
          <w:szCs w:val="16"/>
          <w:lang w:val="en-US"/>
        </w:rPr>
        <w:t xml:space="preserve">Resolution G.A. Res. 60/147, Preamble, UN Doc. A/RES/60/147 (Dec. 16, 2006).  </w:t>
      </w:r>
      <w:r w:rsidRPr="004542B5">
        <w:rPr>
          <w:i/>
          <w:sz w:val="16"/>
          <w:szCs w:val="16"/>
          <w:lang w:val="en-US"/>
        </w:rPr>
        <w:t>Cf.</w:t>
      </w:r>
      <w:r w:rsidRPr="004542B5">
        <w:rPr>
          <w:sz w:val="16"/>
          <w:szCs w:val="16"/>
          <w:lang w:val="en-US"/>
        </w:rPr>
        <w:t xml:space="preserve"> The World Bank, Guidelines on the Treatment of Forei</w:t>
      </w:r>
      <w:r w:rsidR="00E13F56" w:rsidRPr="004542B5">
        <w:rPr>
          <w:sz w:val="16"/>
          <w:szCs w:val="16"/>
          <w:lang w:val="en-US"/>
        </w:rPr>
        <w:t>gn</w:t>
      </w:r>
      <w:r w:rsidRPr="004542B5">
        <w:rPr>
          <w:sz w:val="16"/>
          <w:szCs w:val="16"/>
          <w:lang w:val="en-US"/>
        </w:rPr>
        <w:t xml:space="preserve"> Direct Investment, 1962. </w:t>
      </w:r>
      <w:r w:rsidRPr="004542B5">
        <w:rPr>
          <w:i/>
          <w:sz w:val="16"/>
          <w:szCs w:val="16"/>
          <w:lang w:val="en-US"/>
        </w:rPr>
        <w:t xml:space="preserve">Texaco </w:t>
      </w:r>
      <w:r w:rsidRPr="004542B5">
        <w:rPr>
          <w:sz w:val="16"/>
          <w:szCs w:val="16"/>
          <w:lang w:val="en-US"/>
        </w:rPr>
        <w:t xml:space="preserve">case 17 ILM, 1978, pp. 3, 29; 53 ILR, pp. 389, 489; </w:t>
      </w:r>
      <w:r w:rsidRPr="004542B5">
        <w:rPr>
          <w:i/>
          <w:sz w:val="16"/>
          <w:szCs w:val="16"/>
          <w:lang w:val="en-US"/>
        </w:rPr>
        <w:t>Aminoil</w:t>
      </w:r>
      <w:r w:rsidRPr="004542B5">
        <w:rPr>
          <w:sz w:val="16"/>
          <w:szCs w:val="16"/>
          <w:lang w:val="en-US"/>
        </w:rPr>
        <w:t xml:space="preserve"> case 21 ILM, 1982, p. 1032; 66 ILR, p. 601, and Permanent Sovereignty Resolution; 1974 Charter of Economic Rights and Duties of States.</w:t>
      </w:r>
    </w:p>
  </w:footnote>
  <w:footnote w:id="366">
    <w:p w14:paraId="5B871FB4" w14:textId="7ECFB9E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ECHR,</w:t>
      </w:r>
      <w:r w:rsidRPr="004542B5">
        <w:rPr>
          <w:i/>
          <w:szCs w:val="16"/>
          <w:lang w:val="en-US"/>
        </w:rPr>
        <w:t xml:space="preserve"> James v. The United Kingdom, </w:t>
      </w:r>
      <w:r w:rsidRPr="004542B5">
        <w:rPr>
          <w:szCs w:val="16"/>
          <w:lang w:val="en-US"/>
        </w:rPr>
        <w:t xml:space="preserve">Judgment of February 1985, </w:t>
      </w:r>
      <w:r w:rsidRPr="004542B5">
        <w:rPr>
          <w:iCs/>
          <w:szCs w:val="16"/>
          <w:lang w:val="en-US"/>
        </w:rPr>
        <w:t xml:space="preserve">Application no. </w:t>
      </w:r>
      <w:r w:rsidRPr="004542B5">
        <w:rPr>
          <w:szCs w:val="16"/>
          <w:lang w:val="en-US"/>
        </w:rPr>
        <w:t>8793/79, para. 54; and ECHR,</w:t>
      </w:r>
      <w:r w:rsidRPr="004542B5">
        <w:rPr>
          <w:i/>
          <w:szCs w:val="16"/>
          <w:lang w:val="en-US"/>
        </w:rPr>
        <w:t xml:space="preserve"> Lithgow and Others v. The United Kingdom, </w:t>
      </w:r>
      <w:r w:rsidRPr="004542B5">
        <w:rPr>
          <w:szCs w:val="16"/>
          <w:lang w:val="en-US"/>
        </w:rPr>
        <w:t xml:space="preserve">Judgment of July 1986, </w:t>
      </w:r>
      <w:r w:rsidRPr="004542B5">
        <w:rPr>
          <w:iCs/>
          <w:szCs w:val="16"/>
          <w:lang w:val="en-US"/>
        </w:rPr>
        <w:t>Application no. 9006/80; 9262/81; 9263/81;</w:t>
      </w:r>
      <w:r w:rsidRPr="004542B5">
        <w:rPr>
          <w:szCs w:val="16"/>
          <w:lang w:val="en-US"/>
        </w:rPr>
        <w:t xml:space="preserve"> </w:t>
      </w:r>
      <w:r w:rsidRPr="004542B5">
        <w:rPr>
          <w:iCs/>
          <w:szCs w:val="16"/>
          <w:lang w:val="en-US"/>
        </w:rPr>
        <w:t>9265/81; 9266/81; 9313/81; 9405/8</w:t>
      </w:r>
      <w:r w:rsidRPr="004542B5">
        <w:rPr>
          <w:szCs w:val="16"/>
          <w:lang w:val="en-US"/>
        </w:rPr>
        <w:t>, paras. 114 and 120.</w:t>
      </w:r>
    </w:p>
  </w:footnote>
  <w:footnote w:id="367">
    <w:p w14:paraId="69D81734" w14:textId="24A3489A"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Cf.</w:t>
      </w:r>
      <w:r w:rsidRPr="004542B5">
        <w:rPr>
          <w:szCs w:val="16"/>
          <w:lang w:val="en-US"/>
        </w:rPr>
        <w:t xml:space="preserve"> </w:t>
      </w:r>
      <w:r w:rsidR="00E13F56" w:rsidRPr="004542B5">
        <w:rPr>
          <w:szCs w:val="16"/>
          <w:lang w:val="en-US"/>
        </w:rPr>
        <w:t xml:space="preserve">General Assemby </w:t>
      </w:r>
      <w:r w:rsidRPr="004542B5">
        <w:rPr>
          <w:szCs w:val="16"/>
          <w:lang w:val="en-US"/>
        </w:rPr>
        <w:t>Resolution 1803 (XVII) of December 14, 1962, entitled “Permanent sovereignty over natural resources” (1962).</w:t>
      </w:r>
    </w:p>
  </w:footnote>
  <w:footnote w:id="368">
    <w:p w14:paraId="21FF056D" w14:textId="06D4B22E" w:rsidR="00F87526" w:rsidRPr="004542B5" w:rsidRDefault="00F87526" w:rsidP="00BF7853">
      <w:pPr>
        <w:widowControl w:val="0"/>
        <w:autoSpaceDE w:val="0"/>
        <w:autoSpaceDN w:val="0"/>
        <w:adjustRightInd w:val="0"/>
        <w:spacing w:after="12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Pr="004542B5">
        <w:rPr>
          <w:i/>
          <w:sz w:val="16"/>
          <w:szCs w:val="16"/>
          <w:lang w:val="en-US"/>
        </w:rPr>
        <w:t>Cf.</w:t>
      </w:r>
      <w:r w:rsidRPr="004542B5">
        <w:rPr>
          <w:sz w:val="16"/>
          <w:szCs w:val="16"/>
          <w:lang w:val="en-US"/>
        </w:rPr>
        <w:t xml:space="preserve"> International Centre for Settlement of Investment Disputes, Arbitration between </w:t>
      </w:r>
      <w:r w:rsidRPr="004542B5">
        <w:rPr>
          <w:i/>
          <w:sz w:val="16"/>
          <w:szCs w:val="16"/>
          <w:lang w:val="en-US"/>
        </w:rPr>
        <w:t>Compañía del Desarrollo de Santa Elena, S.A. and The Republic of Costa Rica,</w:t>
      </w:r>
      <w:r w:rsidRPr="004542B5">
        <w:rPr>
          <w:sz w:val="16"/>
          <w:szCs w:val="16"/>
          <w:lang w:val="en-US"/>
        </w:rPr>
        <w:t xml:space="preserve"> Case No. ARB/96/1; </w:t>
      </w:r>
      <w:r w:rsidRPr="004542B5">
        <w:rPr>
          <w:i/>
          <w:iCs/>
          <w:sz w:val="16"/>
          <w:szCs w:val="16"/>
          <w:lang w:val="en-US"/>
        </w:rPr>
        <w:t>Matter BP (British Petroleum Exploration Co. v. Libyan Arab Republic</w:t>
      </w:r>
      <w:r w:rsidRPr="004542B5">
        <w:rPr>
          <w:sz w:val="16"/>
          <w:szCs w:val="16"/>
          <w:lang w:val="en-US"/>
        </w:rPr>
        <w:t xml:space="preserve">, October 10, 1973, and August 1, 1974; </w:t>
      </w:r>
      <w:r w:rsidRPr="004542B5">
        <w:rPr>
          <w:i/>
          <w:iCs/>
          <w:sz w:val="16"/>
          <w:szCs w:val="16"/>
          <w:lang w:val="en-US"/>
        </w:rPr>
        <w:t>Matter Liamco</w:t>
      </w:r>
      <w:r w:rsidRPr="004542B5">
        <w:rPr>
          <w:sz w:val="16"/>
          <w:szCs w:val="16"/>
          <w:lang w:val="en-US"/>
        </w:rPr>
        <w:t xml:space="preserve">, and P.C.I.J </w:t>
      </w:r>
      <w:r w:rsidRPr="004542B5">
        <w:rPr>
          <w:i/>
          <w:sz w:val="16"/>
          <w:szCs w:val="16"/>
          <w:lang w:val="en-US"/>
        </w:rPr>
        <w:t xml:space="preserve">The Factory </w:t>
      </w:r>
      <w:r w:rsidR="00E13F56" w:rsidRPr="004542B5">
        <w:rPr>
          <w:i/>
          <w:sz w:val="16"/>
          <w:szCs w:val="16"/>
          <w:lang w:val="en-US"/>
        </w:rPr>
        <w:t>a</w:t>
      </w:r>
      <w:r w:rsidRPr="004542B5">
        <w:rPr>
          <w:i/>
          <w:sz w:val="16"/>
          <w:szCs w:val="16"/>
          <w:lang w:val="en-US"/>
        </w:rPr>
        <w:t xml:space="preserve">t Chorzów, </w:t>
      </w:r>
      <w:r w:rsidRPr="004542B5">
        <w:rPr>
          <w:sz w:val="16"/>
          <w:szCs w:val="16"/>
          <w:lang w:val="en-US"/>
        </w:rPr>
        <w:t>Judgment No. 7 (May 25, 1926).</w:t>
      </w:r>
      <w:r w:rsidRPr="004542B5">
        <w:rPr>
          <w:color w:val="0000FF"/>
          <w:sz w:val="16"/>
          <w:szCs w:val="16"/>
          <w:lang w:val="en-US"/>
        </w:rPr>
        <w:t xml:space="preserve"> </w:t>
      </w:r>
    </w:p>
  </w:footnote>
  <w:footnote w:id="369">
    <w:p w14:paraId="4F7FF0C7" w14:textId="70EC08A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w:t>
      </w:r>
      <w:r w:rsidRPr="004542B5">
        <w:rPr>
          <w:rStyle w:val="Strong"/>
          <w:b w:val="0"/>
          <w:color w:val="000000"/>
          <w:szCs w:val="16"/>
          <w:lang w:val="en-US"/>
        </w:rPr>
        <w:t xml:space="preserve"> </w:t>
      </w:r>
      <w:r w:rsidRPr="004542B5">
        <w:rPr>
          <w:rStyle w:val="Strong"/>
          <w:b w:val="0"/>
          <w:i/>
          <w:color w:val="000000"/>
          <w:szCs w:val="16"/>
          <w:lang w:val="en-US"/>
        </w:rPr>
        <w:t>the Saramaka People v. Suriname. Preliminary objections, merits, reparations and costs.</w:t>
      </w:r>
      <w:r w:rsidRPr="004542B5">
        <w:rPr>
          <w:rStyle w:val="Strong"/>
          <w:b w:val="0"/>
          <w:color w:val="000000"/>
          <w:szCs w:val="16"/>
          <w:lang w:val="en-US"/>
        </w:rPr>
        <w:t xml:space="preserve"> Judgment of November 28, 2007. Series C No. 172, para.</w:t>
      </w:r>
      <w:r w:rsidRPr="004542B5">
        <w:rPr>
          <w:rStyle w:val="Strong"/>
          <w:color w:val="000000"/>
          <w:szCs w:val="16"/>
          <w:lang w:val="en-US"/>
        </w:rPr>
        <w:t xml:space="preserve"> </w:t>
      </w:r>
      <w:r w:rsidRPr="004542B5">
        <w:rPr>
          <w:szCs w:val="16"/>
          <w:lang w:val="en-US"/>
        </w:rPr>
        <w:t xml:space="preserve"> 140.</w:t>
      </w:r>
    </w:p>
  </w:footnote>
  <w:footnote w:id="370">
    <w:p w14:paraId="7A44D563" w14:textId="77777777" w:rsidR="00F87526" w:rsidRPr="004542B5" w:rsidRDefault="00F87526" w:rsidP="00BF7853">
      <w:pPr>
        <w:pStyle w:val="FootnoteText"/>
        <w:spacing w:before="0"/>
        <w:rPr>
          <w:szCs w:val="16"/>
          <w:lang w:val="en-US"/>
        </w:rPr>
      </w:pPr>
    </w:p>
    <w:p w14:paraId="3DBB21AA" w14:textId="7C373F8E"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 xml:space="preserve">Case of Salvador Chiriboga v. Ecuador. Preliminary objection and merits. </w:t>
      </w:r>
      <w:r w:rsidRPr="004542B5">
        <w:rPr>
          <w:rStyle w:val="Strong"/>
          <w:b w:val="0"/>
          <w:color w:val="000000"/>
          <w:szCs w:val="16"/>
          <w:lang w:val="en-US"/>
        </w:rPr>
        <w:t xml:space="preserve">Judgment of May 6, 2008. Series C No. 179, Concurring opinion of Judge Manuel Ventura Robles, p. 2. </w:t>
      </w:r>
    </w:p>
  </w:footnote>
  <w:footnote w:id="371">
    <w:p w14:paraId="4F074369" w14:textId="66ADE09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Style w:val="Strong"/>
          <w:b w:val="0"/>
          <w:i/>
          <w:color w:val="000000"/>
          <w:szCs w:val="16"/>
          <w:lang w:val="en-US"/>
        </w:rPr>
        <w:t>Case of the Xákmok Kásek Indigenous Community. v. Paraguay. Merits, reparations and costs.</w:t>
      </w:r>
      <w:r w:rsidRPr="004542B5">
        <w:rPr>
          <w:rStyle w:val="Strong"/>
          <w:b w:val="0"/>
          <w:color w:val="000000"/>
          <w:szCs w:val="16"/>
          <w:lang w:val="en-US"/>
        </w:rPr>
        <w:t xml:space="preserve"> Judgment of August 24, 2010 Series C No. 214,</w:t>
      </w:r>
      <w:r w:rsidRPr="004542B5">
        <w:rPr>
          <w:szCs w:val="16"/>
          <w:lang w:val="en-US"/>
        </w:rPr>
        <w:t xml:space="preserve"> para. 112, and </w:t>
      </w:r>
      <w:r w:rsidRPr="004542B5">
        <w:rPr>
          <w:rStyle w:val="Strong"/>
          <w:b w:val="0"/>
          <w:i/>
          <w:color w:val="000000"/>
          <w:szCs w:val="16"/>
          <w:lang w:val="en-US"/>
        </w:rPr>
        <w:t xml:space="preserve"> Case of the Sawhoyamaxa Indigenous Community v. Paraguay. Merits, reparations and costs.</w:t>
      </w:r>
      <w:r w:rsidRPr="004542B5">
        <w:rPr>
          <w:rStyle w:val="Strong"/>
          <w:b w:val="0"/>
          <w:color w:val="000000"/>
          <w:szCs w:val="16"/>
          <w:lang w:val="en-US"/>
        </w:rPr>
        <w:t xml:space="preserve"> Judgment of March 29, 2006. Series C No. 146,</w:t>
      </w:r>
      <w:r w:rsidRPr="004542B5">
        <w:rPr>
          <w:szCs w:val="16"/>
          <w:lang w:val="en-US"/>
        </w:rPr>
        <w:t xml:space="preserve"> para. 131</w:t>
      </w:r>
    </w:p>
  </w:footnote>
  <w:footnote w:id="372">
    <w:p w14:paraId="64B1E603" w14:textId="5DA1F9C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ab/>
      </w:r>
      <w:r w:rsidRPr="004542B5">
        <w:rPr>
          <w:i/>
          <w:szCs w:val="16"/>
          <w:lang w:val="en-US"/>
        </w:rPr>
        <w:t>Cf.</w:t>
      </w:r>
      <w:r w:rsidRPr="004542B5">
        <w:rPr>
          <w:szCs w:val="16"/>
          <w:lang w:val="en-US"/>
        </w:rPr>
        <w:t xml:space="preserve"> </w:t>
      </w:r>
      <w:r w:rsidRPr="004542B5">
        <w:rPr>
          <w:rStyle w:val="Strong"/>
          <w:b w:val="0"/>
          <w:i/>
          <w:color w:val="000000"/>
          <w:szCs w:val="16"/>
          <w:lang w:val="en-US"/>
        </w:rPr>
        <w:t xml:space="preserve">Case of the Yakye Axa Indigenous Community v. Paraguay. Merits, reparations and costs. </w:t>
      </w:r>
      <w:r w:rsidRPr="004542B5">
        <w:rPr>
          <w:rStyle w:val="Strong"/>
          <w:b w:val="0"/>
          <w:color w:val="000000"/>
          <w:szCs w:val="16"/>
          <w:lang w:val="en-US"/>
        </w:rPr>
        <w:t>Judgment of June 17, 2005. Series C No. 125,</w:t>
      </w:r>
      <w:r w:rsidRPr="004542B5">
        <w:rPr>
          <w:color w:val="000000"/>
          <w:szCs w:val="16"/>
          <w:lang w:val="en-US"/>
        </w:rPr>
        <w:t xml:space="preserve"> para. 154, and </w:t>
      </w:r>
      <w:r w:rsidRPr="004542B5">
        <w:rPr>
          <w:rStyle w:val="Strong"/>
          <w:b w:val="0"/>
          <w:i/>
          <w:color w:val="000000"/>
          <w:szCs w:val="16"/>
          <w:lang w:val="en-US"/>
        </w:rPr>
        <w:t>Case of the Sawhoyamaxa Indigenous Community v. Paraguay. Merits, reparations and costs.</w:t>
      </w:r>
      <w:r w:rsidRPr="004542B5">
        <w:rPr>
          <w:rStyle w:val="Strong"/>
          <w:b w:val="0"/>
          <w:color w:val="000000"/>
          <w:szCs w:val="16"/>
          <w:lang w:val="en-US"/>
        </w:rPr>
        <w:t xml:space="preserve"> Judgment of March 29, 2006. Series C No. 146,</w:t>
      </w:r>
      <w:r w:rsidRPr="004542B5">
        <w:rPr>
          <w:szCs w:val="16"/>
          <w:lang w:val="en-US"/>
        </w:rPr>
        <w:t xml:space="preserve"> para. 131</w:t>
      </w:r>
    </w:p>
  </w:footnote>
  <w:footnote w:id="373">
    <w:p w14:paraId="17D1FD40" w14:textId="46D73650" w:rsidR="00F87526" w:rsidRPr="004542B5" w:rsidRDefault="00F87526" w:rsidP="00BF7853">
      <w:pPr>
        <w:pStyle w:val="FootnoteText"/>
        <w:spacing w:before="0"/>
        <w:rPr>
          <w:color w:val="000000"/>
          <w:szCs w:val="16"/>
          <w:lang w:val="en-US"/>
        </w:rPr>
      </w:pPr>
      <w:r w:rsidRPr="004542B5">
        <w:rPr>
          <w:rStyle w:val="FootnoteReference"/>
          <w:szCs w:val="16"/>
          <w:lang w:val="en-US"/>
        </w:rPr>
        <w:footnoteRef/>
      </w:r>
      <w:r w:rsidRPr="004542B5">
        <w:rPr>
          <w:szCs w:val="16"/>
          <w:lang w:val="en-US"/>
        </w:rPr>
        <w:tab/>
      </w:r>
      <w:r w:rsidRPr="004542B5">
        <w:rPr>
          <w:i/>
          <w:szCs w:val="16"/>
          <w:lang w:val="en-US"/>
        </w:rPr>
        <w:t>Cf.</w:t>
      </w:r>
      <w:r w:rsidRPr="004542B5">
        <w:rPr>
          <w:szCs w:val="16"/>
          <w:lang w:val="en-US"/>
        </w:rPr>
        <w:t xml:space="preserve"> </w:t>
      </w:r>
      <w:r w:rsidRPr="004542B5">
        <w:rPr>
          <w:rStyle w:val="Strong"/>
          <w:b w:val="0"/>
          <w:i/>
          <w:color w:val="000000"/>
          <w:szCs w:val="16"/>
          <w:lang w:val="en-US"/>
        </w:rPr>
        <w:t xml:space="preserve">Case of the Yakye Axa Indigenous Community v. Paraguay. Merits, reparations and costs. </w:t>
      </w:r>
      <w:r w:rsidRPr="004542B5">
        <w:rPr>
          <w:rStyle w:val="Strong"/>
          <w:b w:val="0"/>
          <w:color w:val="000000"/>
          <w:szCs w:val="16"/>
          <w:lang w:val="en-US"/>
        </w:rPr>
        <w:t>Judgment of June 17, 2005. Series C No. 125</w:t>
      </w:r>
      <w:r w:rsidRPr="004542B5">
        <w:rPr>
          <w:color w:val="000000"/>
          <w:szCs w:val="16"/>
          <w:lang w:val="en-US"/>
        </w:rPr>
        <w:t xml:space="preserve">, para. 154, and </w:t>
      </w:r>
      <w:r w:rsidRPr="004542B5">
        <w:rPr>
          <w:rStyle w:val="Strong"/>
          <w:b w:val="0"/>
          <w:i/>
          <w:color w:val="000000"/>
          <w:szCs w:val="16"/>
          <w:lang w:val="en-US"/>
        </w:rPr>
        <w:t>Case of the Sawhoyamaxa Indigenous Community v. Paraguay. Merits, reparations and costs.</w:t>
      </w:r>
      <w:r w:rsidRPr="004542B5">
        <w:rPr>
          <w:rStyle w:val="Strong"/>
          <w:b w:val="0"/>
          <w:color w:val="000000"/>
          <w:szCs w:val="16"/>
          <w:lang w:val="en-US"/>
        </w:rPr>
        <w:t xml:space="preserve"> Judgment of March 29, 2006. Series C No. 146,</w:t>
      </w:r>
      <w:r w:rsidRPr="004542B5">
        <w:rPr>
          <w:szCs w:val="16"/>
          <w:lang w:val="en-US"/>
        </w:rPr>
        <w:t xml:space="preserve"> paras. 131 and 132, and </w:t>
      </w:r>
      <w:r w:rsidRPr="004542B5">
        <w:rPr>
          <w:rStyle w:val="Strong"/>
          <w:b w:val="0"/>
          <w:i/>
          <w:color w:val="000000"/>
          <w:szCs w:val="16"/>
          <w:lang w:val="en-US"/>
        </w:rPr>
        <w:t>Case of the Xákmok Kásek Indigenous Community v. Paraguay. Merits, reparations and costs.</w:t>
      </w:r>
      <w:r w:rsidRPr="004542B5">
        <w:rPr>
          <w:rStyle w:val="Strong"/>
          <w:b w:val="0"/>
          <w:color w:val="000000"/>
          <w:szCs w:val="16"/>
          <w:lang w:val="en-US"/>
        </w:rPr>
        <w:t xml:space="preserve"> Judgment of August 24, 2010. Series C No. 214,</w:t>
      </w:r>
      <w:r w:rsidRPr="004542B5">
        <w:rPr>
          <w:szCs w:val="16"/>
          <w:lang w:val="en-US"/>
        </w:rPr>
        <w:t xml:space="preserve"> para. 113</w:t>
      </w:r>
    </w:p>
  </w:footnote>
  <w:footnote w:id="374">
    <w:p w14:paraId="6DED32E6" w14:textId="622B0A2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ab/>
      </w:r>
      <w:r w:rsidRPr="004542B5">
        <w:rPr>
          <w:i/>
          <w:szCs w:val="16"/>
          <w:lang w:val="en-US"/>
        </w:rPr>
        <w:t>Cf.</w:t>
      </w:r>
      <w:r w:rsidRPr="004542B5">
        <w:rPr>
          <w:rStyle w:val="Strong"/>
          <w:b w:val="0"/>
          <w:i/>
          <w:color w:val="000000"/>
          <w:szCs w:val="16"/>
          <w:lang w:val="en-US"/>
        </w:rPr>
        <w:t xml:space="preserve"> Case of the Sawhoyamaxa Indigenous Community v. Paraguay. Merits, reparations and costs.</w:t>
      </w:r>
      <w:r w:rsidRPr="004542B5">
        <w:rPr>
          <w:rStyle w:val="Strong"/>
          <w:b w:val="0"/>
          <w:color w:val="000000"/>
          <w:szCs w:val="16"/>
          <w:lang w:val="en-US"/>
        </w:rPr>
        <w:t xml:space="preserve"> Judgment of March 29, 2006. Series C No. 146,</w:t>
      </w:r>
      <w:r w:rsidRPr="004542B5">
        <w:rPr>
          <w:szCs w:val="16"/>
          <w:lang w:val="en-US"/>
        </w:rPr>
        <w:t xml:space="preserve"> para. 132, and </w:t>
      </w:r>
      <w:r w:rsidRPr="004542B5">
        <w:rPr>
          <w:rStyle w:val="Strong"/>
          <w:b w:val="0"/>
          <w:i/>
          <w:color w:val="000000"/>
          <w:szCs w:val="16"/>
          <w:lang w:val="en-US"/>
        </w:rPr>
        <w:t>Case of the Yakye Axa Indigenous Community v. Paraguay. Merits, reparations and costs.</w:t>
      </w:r>
      <w:r w:rsidRPr="004542B5">
        <w:rPr>
          <w:rStyle w:val="Strong"/>
          <w:b w:val="0"/>
          <w:color w:val="000000"/>
          <w:szCs w:val="16"/>
          <w:lang w:val="en-US"/>
        </w:rPr>
        <w:t xml:space="preserve"> Judgment of August 24, 2010. Series C No. 214,</w:t>
      </w:r>
      <w:r w:rsidRPr="004542B5">
        <w:rPr>
          <w:szCs w:val="16"/>
          <w:lang w:val="en-US"/>
        </w:rPr>
        <w:t xml:space="preserve"> para. 113.</w:t>
      </w:r>
    </w:p>
  </w:footnote>
  <w:footnote w:id="375">
    <w:p w14:paraId="3FC699AA" w14:textId="3D1F717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60 of the judgment.</w:t>
      </w:r>
    </w:p>
  </w:footnote>
  <w:footnote w:id="376">
    <w:p w14:paraId="4101EF31" w14:textId="1EB4F70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61 of the judgment.</w:t>
      </w:r>
    </w:p>
  </w:footnote>
  <w:footnote w:id="377">
    <w:p w14:paraId="0241FBE1" w14:textId="299610C5"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63 of the judgment.</w:t>
      </w:r>
    </w:p>
  </w:footnote>
  <w:footnote w:id="378">
    <w:p w14:paraId="38688862" w14:textId="1EDF784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64 of the judgment.</w:t>
      </w:r>
    </w:p>
  </w:footnote>
  <w:footnote w:id="379">
    <w:p w14:paraId="1D44E070" w14:textId="26B7A7B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65 of the judgment.</w:t>
      </w:r>
    </w:p>
  </w:footnote>
  <w:footnote w:id="380">
    <w:p w14:paraId="7662E214" w14:textId="00130AC1"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66 of the judgment.</w:t>
      </w:r>
    </w:p>
  </w:footnote>
  <w:footnote w:id="381">
    <w:p w14:paraId="4A881EB6" w14:textId="3814A7D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67 of the judgment.</w:t>
      </w:r>
    </w:p>
  </w:footnote>
  <w:footnote w:id="382">
    <w:p w14:paraId="630F1949" w14:textId="0EB77DA3"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68 of the judgment.</w:t>
      </w:r>
    </w:p>
  </w:footnote>
  <w:footnote w:id="383">
    <w:p w14:paraId="5549F84F" w14:textId="437614B2"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69 of the judgment.</w:t>
      </w:r>
    </w:p>
  </w:footnote>
  <w:footnote w:id="384">
    <w:p w14:paraId="11C7D308" w14:textId="6780410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 70 of the judgment.</w:t>
      </w:r>
    </w:p>
  </w:footnote>
  <w:footnote w:id="385">
    <w:p w14:paraId="39F795B3" w14:textId="7C1723E0"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Para. 71 of the judgment. </w:t>
      </w:r>
    </w:p>
  </w:footnote>
  <w:footnote w:id="386">
    <w:p w14:paraId="6A36CBEA" w14:textId="08C819E6"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Paras. 72 to 75 of the judgment.</w:t>
      </w:r>
    </w:p>
  </w:footnote>
  <w:footnote w:id="387">
    <w:p w14:paraId="5339D2AF" w14:textId="2226306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Paras. 76 and 77 of the judgment.</w:t>
      </w:r>
    </w:p>
  </w:footnote>
  <w:footnote w:id="388">
    <w:p w14:paraId="6C545505" w14:textId="740E8DE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Paras. 78 to 84 of the judgment.</w:t>
      </w:r>
    </w:p>
  </w:footnote>
  <w:footnote w:id="389">
    <w:p w14:paraId="7A4E8BA9" w14:textId="77777777" w:rsidR="00F87526" w:rsidRPr="004542B5" w:rsidRDefault="00F87526" w:rsidP="00BF7853">
      <w:pPr>
        <w:pStyle w:val="FootnoteText"/>
        <w:spacing w:before="0"/>
        <w:contextualSpacing/>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Joost Pauwelyn, ‘The Concept of a ‘Continuing Violation’ of an International Obligation: Selected Problems' [1996] 66:1 BYIL 415, 415.</w:t>
      </w:r>
    </w:p>
    <w:p w14:paraId="3250D37F" w14:textId="77777777" w:rsidR="00F87526" w:rsidRPr="004542B5" w:rsidRDefault="00F87526" w:rsidP="00BF7853">
      <w:pPr>
        <w:pStyle w:val="FootnoteText"/>
        <w:spacing w:before="0"/>
        <w:contextualSpacing/>
        <w:rPr>
          <w:szCs w:val="16"/>
          <w:lang w:val="en-US"/>
        </w:rPr>
      </w:pPr>
    </w:p>
  </w:footnote>
  <w:footnote w:id="390">
    <w:p w14:paraId="61CE87C6" w14:textId="765A70BB"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eastAsiaTheme="minorHAnsi" w:cs="Verdana"/>
          <w:szCs w:val="16"/>
          <w:lang w:val="en-US"/>
        </w:rPr>
        <w:t>Article 14(2) of the Articles on Responsibility of States for Internationally Wrongful Acts of the International Law Commission.</w:t>
      </w:r>
    </w:p>
  </w:footnote>
  <w:footnote w:id="391">
    <w:p w14:paraId="4B3BB290" w14:textId="506AEEC0"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rFonts w:eastAsiaTheme="minorHAnsi" w:cs="Verdana"/>
          <w:szCs w:val="16"/>
          <w:lang w:val="en-US"/>
        </w:rPr>
        <w:t>Article 14(3) of the Articles on Responsibility of States for Internationally Wrongful Acts of the International Law Commission.</w:t>
      </w:r>
    </w:p>
  </w:footnote>
  <w:footnote w:id="392">
    <w:p w14:paraId="4C3E0CE9" w14:textId="07C40717"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Article 15(1) of the Articles on Responsibility of States for Internationally Wrongful Acts of the International Law Commission.</w:t>
      </w:r>
    </w:p>
  </w:footnote>
  <w:footnote w:id="393">
    <w:p w14:paraId="0382353E" w14:textId="79948A5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Article 15(2) of the Articles on Responsibility of States for Internationally Wrongful Acts of the International Law Commission.</w:t>
      </w:r>
    </w:p>
  </w:footnote>
  <w:footnote w:id="394">
    <w:p w14:paraId="354142E5" w14:textId="77777777" w:rsidR="00F87526" w:rsidRPr="004542B5" w:rsidRDefault="00F87526" w:rsidP="00BF7853">
      <w:pPr>
        <w:pStyle w:val="FootnoteText"/>
        <w:spacing w:before="0"/>
        <w:contextualSpacing/>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ILC, ‘Report of the International Law Commission on the Work of its 30th Session’ (8 May–28 July 1978) UN Doc A/33/10, 226.</w:t>
      </w:r>
    </w:p>
  </w:footnote>
  <w:footnote w:id="395">
    <w:p w14:paraId="23B02DF3" w14:textId="77777777" w:rsidR="00F87526" w:rsidRPr="004542B5" w:rsidRDefault="00F87526" w:rsidP="00BF7853">
      <w:pPr>
        <w:pStyle w:val="FootnoteText"/>
        <w:spacing w:before="0"/>
        <w:contextualSpacing/>
        <w:rPr>
          <w:szCs w:val="16"/>
          <w:lang w:val="en-US"/>
        </w:rPr>
      </w:pPr>
    </w:p>
    <w:p w14:paraId="38DF8630" w14:textId="77777777" w:rsidR="00F87526" w:rsidRPr="004542B5" w:rsidRDefault="00F87526" w:rsidP="00BF7853">
      <w:pPr>
        <w:pStyle w:val="FootnoteText"/>
        <w:spacing w:before="0"/>
        <w:contextualSpacing/>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ILC, ‘Report of the Commission to the General Assembly on the work of its 30th session’ (1978) YB of the ILC, 1978, II, part 2, UN Doc A/CN.4/SER.A/1978/Add.l (Part 2), 93.</w:t>
      </w:r>
    </w:p>
    <w:p w14:paraId="722BC124" w14:textId="77777777" w:rsidR="00F87526" w:rsidRPr="004542B5" w:rsidRDefault="00F87526" w:rsidP="00BF7853">
      <w:pPr>
        <w:pStyle w:val="FootnoteText"/>
        <w:spacing w:before="0"/>
        <w:contextualSpacing/>
        <w:rPr>
          <w:szCs w:val="16"/>
          <w:lang w:val="en-US"/>
        </w:rPr>
      </w:pPr>
    </w:p>
  </w:footnote>
  <w:footnote w:id="396">
    <w:p w14:paraId="139D7CE3" w14:textId="07D92DD4"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Paras. 107 to 146 of the judgment.</w:t>
      </w:r>
    </w:p>
    <w:p w14:paraId="1BCCDF38" w14:textId="77777777" w:rsidR="00F87526" w:rsidRPr="004542B5" w:rsidRDefault="00F87526" w:rsidP="00BF7853">
      <w:pPr>
        <w:pStyle w:val="FootnoteText"/>
        <w:spacing w:before="0"/>
        <w:rPr>
          <w:szCs w:val="16"/>
          <w:lang w:val="en-US"/>
        </w:rPr>
      </w:pPr>
    </w:p>
  </w:footnote>
  <w:footnote w:id="397">
    <w:p w14:paraId="1D9C1727" w14:textId="0F55677C"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r>
      <w:r w:rsidRPr="004542B5">
        <w:rPr>
          <w:i/>
          <w:szCs w:val="16"/>
          <w:lang w:val="en-US"/>
        </w:rPr>
        <w:t>Case of García Lucero et al. v. Chile</w:t>
      </w:r>
      <w:r w:rsidRPr="004542B5">
        <w:rPr>
          <w:szCs w:val="16"/>
          <w:lang w:val="en-US"/>
        </w:rPr>
        <w:t xml:space="preserve">. </w:t>
      </w:r>
      <w:r w:rsidRPr="004542B5">
        <w:rPr>
          <w:i/>
          <w:szCs w:val="16"/>
          <w:lang w:val="en-US"/>
        </w:rPr>
        <w:t>Preliminary objection, merits and reparations</w:t>
      </w:r>
      <w:r w:rsidRPr="004542B5">
        <w:rPr>
          <w:szCs w:val="16"/>
          <w:lang w:val="en-US"/>
        </w:rPr>
        <w:t>. Judgment of August 28, 2013. Series C No. 267, para. 37.</w:t>
      </w:r>
    </w:p>
  </w:footnote>
  <w:footnote w:id="398">
    <w:p w14:paraId="7D830ECB" w14:textId="189B01E9" w:rsidR="00CB5F6A" w:rsidRPr="004542B5" w:rsidRDefault="00F87526" w:rsidP="000F3C39">
      <w:pPr>
        <w:pStyle w:val="ListParagraph"/>
        <w:spacing w:after="120"/>
        <w:ind w:left="0"/>
        <w:rPr>
          <w:sz w:val="16"/>
          <w:szCs w:val="16"/>
          <w:lang w:val="en-US"/>
        </w:rPr>
      </w:pPr>
      <w:r w:rsidRPr="004542B5">
        <w:rPr>
          <w:rStyle w:val="FootnoteReference"/>
          <w:sz w:val="16"/>
          <w:szCs w:val="16"/>
          <w:lang w:val="en-US"/>
        </w:rPr>
        <w:footnoteRef/>
      </w:r>
      <w:r w:rsidRPr="004542B5">
        <w:rPr>
          <w:sz w:val="16"/>
          <w:szCs w:val="16"/>
          <w:lang w:val="en-US"/>
        </w:rPr>
        <w:t xml:space="preserve"> </w:t>
      </w:r>
      <w:r w:rsidRPr="004542B5">
        <w:rPr>
          <w:sz w:val="16"/>
          <w:szCs w:val="16"/>
          <w:lang w:val="en-US"/>
        </w:rPr>
        <w:tab/>
      </w:r>
      <w:r w:rsidR="00CB5F6A" w:rsidRPr="004542B5">
        <w:rPr>
          <w:sz w:val="16"/>
          <w:szCs w:val="16"/>
          <w:lang w:val="en-US"/>
        </w:rPr>
        <w:t>This</w:t>
      </w:r>
      <w:r w:rsidRPr="004542B5">
        <w:rPr>
          <w:sz w:val="16"/>
          <w:szCs w:val="16"/>
          <w:lang w:val="en-US"/>
        </w:rPr>
        <w:t xml:space="preserve"> precedent is correct because it </w:t>
      </w:r>
      <w:r w:rsidR="00860BD0" w:rsidRPr="004542B5">
        <w:rPr>
          <w:sz w:val="16"/>
          <w:szCs w:val="16"/>
          <w:lang w:val="en-US"/>
        </w:rPr>
        <w:t>even accords</w:t>
      </w:r>
      <w:r w:rsidRPr="004542B5">
        <w:rPr>
          <w:sz w:val="16"/>
          <w:szCs w:val="16"/>
          <w:lang w:val="en-US"/>
        </w:rPr>
        <w:t xml:space="preserve"> with </w:t>
      </w:r>
      <w:r w:rsidR="00860BD0" w:rsidRPr="004542B5">
        <w:rPr>
          <w:sz w:val="16"/>
          <w:szCs w:val="16"/>
          <w:lang w:val="en-US"/>
        </w:rPr>
        <w:t>the findings of</w:t>
      </w:r>
      <w:r w:rsidRPr="004542B5">
        <w:rPr>
          <w:sz w:val="16"/>
          <w:szCs w:val="16"/>
          <w:lang w:val="en-US"/>
        </w:rPr>
        <w:t xml:space="preserve"> the International Law Commission in</w:t>
      </w:r>
      <w:r w:rsidR="00CB5F6A" w:rsidRPr="004542B5">
        <w:rPr>
          <w:sz w:val="16"/>
          <w:szCs w:val="16"/>
          <w:lang w:val="en-US"/>
        </w:rPr>
        <w:t xml:space="preserve"> Article 14(1) of</w:t>
      </w:r>
      <w:r w:rsidRPr="004542B5">
        <w:rPr>
          <w:sz w:val="16"/>
          <w:szCs w:val="16"/>
          <w:lang w:val="en-US"/>
        </w:rPr>
        <w:t xml:space="preserve"> the Articles on Responsibility of States for Internationally Wrongful </w:t>
      </w:r>
      <w:r w:rsidR="00860BD0" w:rsidRPr="004542B5">
        <w:rPr>
          <w:sz w:val="16"/>
          <w:szCs w:val="16"/>
          <w:lang w:val="en-US"/>
        </w:rPr>
        <w:t>Acts</w:t>
      </w:r>
      <w:r w:rsidRPr="004542B5">
        <w:rPr>
          <w:sz w:val="16"/>
          <w:szCs w:val="16"/>
          <w:lang w:val="en-US"/>
        </w:rPr>
        <w:t xml:space="preserve"> that: “The breach of an international obligation by an act of a State not having a continuing character occurs at the moment when the act is performed, even if its effects continue.” However, th</w:t>
      </w:r>
      <w:r w:rsidR="00CB5F6A" w:rsidRPr="004542B5">
        <w:rPr>
          <w:sz w:val="16"/>
          <w:szCs w:val="16"/>
          <w:lang w:val="en-US"/>
        </w:rPr>
        <w:t>e instant</w:t>
      </w:r>
      <w:r w:rsidRPr="004542B5">
        <w:rPr>
          <w:sz w:val="16"/>
          <w:szCs w:val="16"/>
          <w:lang w:val="en-US"/>
        </w:rPr>
        <w:t xml:space="preserve"> case does not involve </w:t>
      </w:r>
      <w:r w:rsidR="00CB5F6A" w:rsidRPr="004542B5">
        <w:rPr>
          <w:sz w:val="16"/>
          <w:szCs w:val="16"/>
          <w:lang w:val="en-US"/>
        </w:rPr>
        <w:t>“</w:t>
      </w:r>
      <w:r w:rsidRPr="004542B5">
        <w:rPr>
          <w:sz w:val="16"/>
          <w:szCs w:val="16"/>
          <w:lang w:val="en-US"/>
        </w:rPr>
        <w:t xml:space="preserve">isolated </w:t>
      </w:r>
      <w:r w:rsidR="00CB5F6A" w:rsidRPr="004542B5">
        <w:rPr>
          <w:sz w:val="16"/>
          <w:szCs w:val="16"/>
          <w:lang w:val="en-US"/>
        </w:rPr>
        <w:t>f</w:t>
      </w:r>
      <w:r w:rsidRPr="004542B5">
        <w:rPr>
          <w:sz w:val="16"/>
          <w:szCs w:val="16"/>
          <w:lang w:val="en-US"/>
        </w:rPr>
        <w:t xml:space="preserve">acts </w:t>
      </w:r>
      <w:r w:rsidR="00CB5F6A" w:rsidRPr="004542B5">
        <w:rPr>
          <w:sz w:val="16"/>
          <w:szCs w:val="16"/>
          <w:lang w:val="en-US"/>
        </w:rPr>
        <w:t>that happene</w:t>
      </w:r>
      <w:r w:rsidRPr="004542B5">
        <w:rPr>
          <w:sz w:val="16"/>
          <w:szCs w:val="16"/>
          <w:lang w:val="en-US"/>
        </w:rPr>
        <w:t>d instantaneously,</w:t>
      </w:r>
      <w:r w:rsidR="00CB5F6A" w:rsidRPr="004542B5">
        <w:rPr>
          <w:sz w:val="16"/>
          <w:szCs w:val="16"/>
          <w:lang w:val="en-US"/>
        </w:rPr>
        <w:t>”</w:t>
      </w:r>
      <w:r w:rsidRPr="004542B5">
        <w:rPr>
          <w:sz w:val="16"/>
          <w:szCs w:val="16"/>
          <w:lang w:val="en-US"/>
        </w:rPr>
        <w:t xml:space="preserve"> but rather a continuing situation</w:t>
      </w:r>
      <w:r w:rsidR="00CB5F6A" w:rsidRPr="004542B5">
        <w:rPr>
          <w:sz w:val="16"/>
          <w:szCs w:val="16"/>
          <w:lang w:val="en-US"/>
        </w:rPr>
        <w:t>.</w:t>
      </w:r>
    </w:p>
  </w:footnote>
  <w:footnote w:id="399">
    <w:p w14:paraId="5666611D" w14:textId="14A404E8"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The Inter-American Commission submitted this case to the Court, </w:t>
      </w:r>
      <w:r w:rsidRPr="004542B5">
        <w:rPr>
          <w:i/>
          <w:szCs w:val="16"/>
          <w:lang w:val="en-US"/>
        </w:rPr>
        <w:t>inter alia</w:t>
      </w:r>
      <w:r w:rsidRPr="004542B5">
        <w:rPr>
          <w:szCs w:val="16"/>
          <w:lang w:val="en-US"/>
        </w:rPr>
        <w:t xml:space="preserve">, owing to the continuing violation of the right to property, precisely </w:t>
      </w:r>
      <w:r w:rsidR="00CB5F6A" w:rsidRPr="004542B5">
        <w:rPr>
          <w:szCs w:val="16"/>
          <w:lang w:val="en-US"/>
        </w:rPr>
        <w:t>due to</w:t>
      </w:r>
      <w:r w:rsidRPr="004542B5">
        <w:rPr>
          <w:szCs w:val="16"/>
          <w:lang w:val="en-US"/>
        </w:rPr>
        <w:t xml:space="preserve"> the failure to pay compensation for the dispossession of ancestral lands. See para. 1 of the judgment.</w:t>
      </w:r>
    </w:p>
  </w:footnote>
  <w:footnote w:id="400">
    <w:p w14:paraId="30A877C4" w14:textId="4EE3C8DF" w:rsidR="00F87526" w:rsidRPr="004542B5"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In this regard, the </w:t>
      </w:r>
      <w:r w:rsidRPr="004542B5">
        <w:rPr>
          <w:i/>
          <w:szCs w:val="16"/>
          <w:lang w:val="en-US"/>
        </w:rPr>
        <w:t>Moiwana</w:t>
      </w:r>
      <w:r w:rsidRPr="004542B5">
        <w:rPr>
          <w:szCs w:val="16"/>
          <w:lang w:val="en-US"/>
        </w:rPr>
        <w:t xml:space="preserve"> case is more </w:t>
      </w:r>
      <w:r w:rsidR="00CB5F6A" w:rsidRPr="004542B5">
        <w:rPr>
          <w:szCs w:val="16"/>
          <w:lang w:val="en-US"/>
        </w:rPr>
        <w:t>like</w:t>
      </w:r>
      <w:r w:rsidRPr="004542B5">
        <w:rPr>
          <w:szCs w:val="16"/>
          <w:lang w:val="en-US"/>
        </w:rPr>
        <w:t xml:space="preserve"> other precedents of the European Court of Human Rights such as the cases of</w:t>
      </w:r>
      <w:r w:rsidRPr="004542B5">
        <w:rPr>
          <w:rFonts w:cs="Arial"/>
          <w:szCs w:val="16"/>
          <w:lang w:val="en-US" w:eastAsia="de-DE"/>
        </w:rPr>
        <w:t xml:space="preserve"> </w:t>
      </w:r>
      <w:r w:rsidRPr="004542B5">
        <w:rPr>
          <w:rFonts w:cs="Arial"/>
          <w:i/>
          <w:szCs w:val="16"/>
          <w:lang w:val="en-US" w:eastAsia="de-DE"/>
        </w:rPr>
        <w:t>Loizidou v. Turkey</w:t>
      </w:r>
      <w:r w:rsidRPr="004542B5">
        <w:rPr>
          <w:rFonts w:cs="Arial"/>
          <w:szCs w:val="16"/>
          <w:lang w:val="en-US" w:eastAsia="de-DE"/>
        </w:rPr>
        <w:t xml:space="preserve"> and </w:t>
      </w:r>
      <w:r w:rsidRPr="004542B5">
        <w:rPr>
          <w:rFonts w:cs="Arial"/>
          <w:i/>
          <w:szCs w:val="16"/>
          <w:lang w:val="en-US" w:eastAsia="de-DE"/>
        </w:rPr>
        <w:t xml:space="preserve">Cyprus v. Turkey </w:t>
      </w:r>
      <w:r w:rsidRPr="004542B5">
        <w:rPr>
          <w:rFonts w:cs="Arial"/>
          <w:szCs w:val="16"/>
          <w:lang w:val="en-US" w:eastAsia="de-DE"/>
        </w:rPr>
        <w:t xml:space="preserve">(see </w:t>
      </w:r>
      <w:r w:rsidRPr="004542B5">
        <w:rPr>
          <w:rFonts w:cs="Arial"/>
          <w:i/>
          <w:szCs w:val="16"/>
          <w:lang w:val="en-US" w:eastAsia="de-DE"/>
        </w:rPr>
        <w:t>supra</w:t>
      </w:r>
      <w:r w:rsidRPr="004542B5">
        <w:rPr>
          <w:rFonts w:cs="Arial"/>
          <w:szCs w:val="16"/>
          <w:lang w:val="en-US" w:eastAsia="de-DE"/>
        </w:rPr>
        <w:t xml:space="preserve"> para. 43 of this opinion), than cases that are mainly related to the failure to pay compensation.</w:t>
      </w:r>
    </w:p>
  </w:footnote>
  <w:footnote w:id="401">
    <w:p w14:paraId="4A077910" w14:textId="1FA4D5E2" w:rsidR="00F87526" w:rsidRPr="00C043DE" w:rsidRDefault="00F87526" w:rsidP="00BF7853">
      <w:pPr>
        <w:pStyle w:val="FootnoteText"/>
        <w:spacing w:before="0"/>
        <w:rPr>
          <w:szCs w:val="16"/>
          <w:lang w:val="en-US"/>
        </w:rPr>
      </w:pPr>
      <w:r w:rsidRPr="004542B5">
        <w:rPr>
          <w:rStyle w:val="FootnoteReference"/>
          <w:szCs w:val="16"/>
          <w:lang w:val="en-US"/>
        </w:rPr>
        <w:footnoteRef/>
      </w:r>
      <w:r w:rsidRPr="004542B5">
        <w:rPr>
          <w:szCs w:val="16"/>
          <w:lang w:val="en-US"/>
        </w:rPr>
        <w:t xml:space="preserve"> </w:t>
      </w:r>
      <w:r w:rsidRPr="004542B5">
        <w:rPr>
          <w:szCs w:val="16"/>
          <w:lang w:val="en-US"/>
        </w:rPr>
        <w:tab/>
        <w:t xml:space="preserve">In para. 45 of the judgment “the Court finds it unnecessary to rule on the said objection, because it has admitted the objection of lack of </w:t>
      </w:r>
      <w:r w:rsidR="00511F9F" w:rsidRPr="004542B5">
        <w:rPr>
          <w:noProof w:val="0"/>
          <w:lang w:val="en-US"/>
        </w:rPr>
        <w:t>jurisdiction</w:t>
      </w:r>
      <w:r w:rsidRPr="004542B5">
        <w:rPr>
          <w:szCs w:val="16"/>
          <w:lang w:val="en-US"/>
        </w:rPr>
        <w:t xml:space="preserve"> </w:t>
      </w:r>
      <w:r w:rsidRPr="004542B5">
        <w:rPr>
          <w:i/>
          <w:szCs w:val="16"/>
          <w:lang w:val="en-US"/>
        </w:rPr>
        <w:t>ratione temporis</w:t>
      </w:r>
      <w:r w:rsidRPr="004542B5">
        <w:rPr>
          <w:szCs w:val="16"/>
          <w:lang w:val="en-US"/>
        </w:rPr>
        <w:t>, in relation to compensation,” and this is reflected in the second operative paragraph of the judgment.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3AC0" w14:textId="77777777" w:rsidR="00F87526" w:rsidRDefault="00F87526" w:rsidP="00A8481B">
    <w:pPr>
      <w:pStyle w:val="Footer"/>
      <w:ind w:left="720"/>
      <w:jc w:val="center"/>
    </w:pPr>
    <w:r>
      <w:t>-</w:t>
    </w:r>
    <w:sdt>
      <w:sdtPr>
        <w:id w:val="-2027166242"/>
        <w:docPartObj>
          <w:docPartGallery w:val="Page Numbers (Bottom of Page)"/>
          <w:docPartUnique/>
        </w:docPartObj>
      </w:sdtPr>
      <w:sdtEndPr/>
      <w:sdtContent>
        <w:r>
          <w:fldChar w:fldCharType="begin"/>
        </w:r>
        <w:r>
          <w:instrText xml:space="preserve"> PAGE   \* MERGEFORMAT </w:instrText>
        </w:r>
        <w:r>
          <w:fldChar w:fldCharType="separate"/>
        </w:r>
        <w:r>
          <w:t>11</w:t>
        </w:r>
        <w:r>
          <w:fldChar w:fldCharType="end"/>
        </w:r>
        <w: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CBA37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57E47"/>
    <w:multiLevelType w:val="hybridMultilevel"/>
    <w:tmpl w:val="D730EB0C"/>
    <w:lvl w:ilvl="0" w:tplc="CF325398">
      <w:start w:val="1"/>
      <w:numFmt w:val="decimal"/>
      <w:pStyle w:val="Titre1"/>
      <w:lvlText w:val="%1."/>
      <w:lvlJc w:val="left"/>
      <w:pPr>
        <w:tabs>
          <w:tab w:val="num" w:pos="720"/>
        </w:tabs>
        <w:ind w:firstLine="720"/>
      </w:pPr>
      <w:rPr>
        <w:rFonts w:ascii="Verdana" w:hAnsi="Verdana" w:cs="Times New Roman" w:hint="default"/>
        <w:b w:val="0"/>
        <w:i w:val="0"/>
        <w:caps w:val="0"/>
        <w:strike w:val="0"/>
        <w:dstrike w:val="0"/>
        <w:vanish w:val="0"/>
        <w:sz w:val="22"/>
        <w:szCs w:val="22"/>
        <w:vertAlign w:val="baseline"/>
      </w:rPr>
    </w:lvl>
    <w:lvl w:ilvl="1" w:tplc="04090019">
      <w:start w:val="1"/>
      <w:numFmt w:val="lowerLetter"/>
      <w:lvlText w:val="%2."/>
      <w:lvlJc w:val="left"/>
      <w:pPr>
        <w:tabs>
          <w:tab w:val="num" w:pos="1440"/>
        </w:tabs>
        <w:ind w:left="1440" w:hanging="360"/>
      </w:pPr>
      <w:rPr>
        <w:rFonts w:cs="Times New Roman" w:hint="default"/>
        <w:b w:val="0"/>
        <w:i w:val="0"/>
        <w:caps w:val="0"/>
        <w:strike w:val="0"/>
        <w:dstrike w:val="0"/>
        <w:vanish w:val="0"/>
        <w:sz w:val="22"/>
        <w:szCs w:val="22"/>
        <w:vertAlign w:val="baseline"/>
      </w:rPr>
    </w:lvl>
    <w:lvl w:ilvl="2" w:tplc="77C654AA">
      <w:start w:val="1"/>
      <w:numFmt w:val="decimal"/>
      <w:lvlText w:val="%3."/>
      <w:lvlJc w:val="left"/>
      <w:pPr>
        <w:tabs>
          <w:tab w:val="num" w:pos="2340"/>
        </w:tabs>
        <w:ind w:left="2340" w:hanging="360"/>
      </w:pPr>
      <w:rPr>
        <w:rFonts w:cs="Times New Roman" w:hint="default"/>
        <w:b/>
        <w:i w:val="0"/>
        <w:sz w:val="22"/>
        <w:szCs w:val="22"/>
      </w:rPr>
    </w:lvl>
    <w:lvl w:ilvl="3" w:tplc="00170409">
      <w:start w:val="1"/>
      <w:numFmt w:val="lowerLetter"/>
      <w:lvlText w:val="%4)"/>
      <w:lvlJc w:val="left"/>
      <w:pPr>
        <w:tabs>
          <w:tab w:val="num" w:pos="2880"/>
        </w:tabs>
        <w:ind w:left="2880" w:hanging="360"/>
      </w:pPr>
      <w:rPr>
        <w:rFonts w:cs="Times New Roman" w:hint="default"/>
        <w:b w:val="0"/>
        <w:i w:val="0"/>
        <w:caps w:val="0"/>
        <w:strike w:val="0"/>
        <w:dstrike w:val="0"/>
        <w:vanish w:val="0"/>
        <w:sz w:val="22"/>
        <w:szCs w:val="22"/>
        <w:vertAlign w:val="baseli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F26CF1"/>
    <w:multiLevelType w:val="hybridMultilevel"/>
    <w:tmpl w:val="2EFABB2C"/>
    <w:lvl w:ilvl="0" w:tplc="4EEAB610">
      <w:start w:val="1"/>
      <w:numFmt w:val="upperLetter"/>
      <w:lvlText w:val="%1."/>
      <w:lvlJc w:val="left"/>
      <w:pPr>
        <w:ind w:left="1798" w:hanging="360"/>
      </w:pPr>
      <w:rPr>
        <w:rFonts w:hint="default"/>
      </w:rPr>
    </w:lvl>
    <w:lvl w:ilvl="1" w:tplc="140A0019" w:tentative="1">
      <w:start w:val="1"/>
      <w:numFmt w:val="lowerLetter"/>
      <w:lvlText w:val="%2."/>
      <w:lvlJc w:val="left"/>
      <w:pPr>
        <w:ind w:left="2518" w:hanging="360"/>
      </w:pPr>
    </w:lvl>
    <w:lvl w:ilvl="2" w:tplc="140A001B" w:tentative="1">
      <w:start w:val="1"/>
      <w:numFmt w:val="lowerRoman"/>
      <w:lvlText w:val="%3."/>
      <w:lvlJc w:val="right"/>
      <w:pPr>
        <w:ind w:left="3238" w:hanging="180"/>
      </w:pPr>
    </w:lvl>
    <w:lvl w:ilvl="3" w:tplc="140A000F" w:tentative="1">
      <w:start w:val="1"/>
      <w:numFmt w:val="decimal"/>
      <w:lvlText w:val="%4."/>
      <w:lvlJc w:val="left"/>
      <w:pPr>
        <w:ind w:left="3958" w:hanging="360"/>
      </w:pPr>
    </w:lvl>
    <w:lvl w:ilvl="4" w:tplc="140A0019" w:tentative="1">
      <w:start w:val="1"/>
      <w:numFmt w:val="lowerLetter"/>
      <w:lvlText w:val="%5."/>
      <w:lvlJc w:val="left"/>
      <w:pPr>
        <w:ind w:left="4678" w:hanging="360"/>
      </w:pPr>
    </w:lvl>
    <w:lvl w:ilvl="5" w:tplc="140A001B" w:tentative="1">
      <w:start w:val="1"/>
      <w:numFmt w:val="lowerRoman"/>
      <w:lvlText w:val="%6."/>
      <w:lvlJc w:val="right"/>
      <w:pPr>
        <w:ind w:left="5398" w:hanging="180"/>
      </w:pPr>
    </w:lvl>
    <w:lvl w:ilvl="6" w:tplc="140A000F" w:tentative="1">
      <w:start w:val="1"/>
      <w:numFmt w:val="decimal"/>
      <w:lvlText w:val="%7."/>
      <w:lvlJc w:val="left"/>
      <w:pPr>
        <w:ind w:left="6118" w:hanging="360"/>
      </w:pPr>
    </w:lvl>
    <w:lvl w:ilvl="7" w:tplc="140A0019" w:tentative="1">
      <w:start w:val="1"/>
      <w:numFmt w:val="lowerLetter"/>
      <w:lvlText w:val="%8."/>
      <w:lvlJc w:val="left"/>
      <w:pPr>
        <w:ind w:left="6838" w:hanging="360"/>
      </w:pPr>
    </w:lvl>
    <w:lvl w:ilvl="8" w:tplc="140A001B" w:tentative="1">
      <w:start w:val="1"/>
      <w:numFmt w:val="lowerRoman"/>
      <w:lvlText w:val="%9."/>
      <w:lvlJc w:val="right"/>
      <w:pPr>
        <w:ind w:left="7558" w:hanging="180"/>
      </w:pPr>
    </w:lvl>
  </w:abstractNum>
  <w:abstractNum w:abstractNumId="3" w15:restartNumberingAfterBreak="0">
    <w:nsid w:val="11661CFA"/>
    <w:multiLevelType w:val="hybridMultilevel"/>
    <w:tmpl w:val="3C82B41C"/>
    <w:lvl w:ilvl="0" w:tplc="783ABA1C">
      <w:start w:val="1"/>
      <w:numFmt w:val="upperLetter"/>
      <w:lvlText w:val="%1."/>
      <w:lvlJc w:val="left"/>
      <w:pPr>
        <w:ind w:left="720" w:hanging="360"/>
      </w:pPr>
      <w:rPr>
        <w:rFonts w:hint="default"/>
        <w:b/>
        <w:i/>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CC6166"/>
    <w:multiLevelType w:val="hybridMultilevel"/>
    <w:tmpl w:val="0A3AB654"/>
    <w:lvl w:ilvl="0" w:tplc="5F78F660">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68365B"/>
    <w:multiLevelType w:val="hybridMultilevel"/>
    <w:tmpl w:val="47A26680"/>
    <w:lvl w:ilvl="0" w:tplc="B75CF160">
      <w:start w:val="1"/>
      <w:numFmt w:val="lowerLetter"/>
      <w:pStyle w:val="Heading5"/>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B623CCD"/>
    <w:multiLevelType w:val="hybridMultilevel"/>
    <w:tmpl w:val="9F02B294"/>
    <w:lvl w:ilvl="0" w:tplc="8CE4B1F6">
      <w:start w:val="1"/>
      <w:numFmt w:val="upperLetter"/>
      <w:lvlText w:val="%1."/>
      <w:lvlJc w:val="left"/>
      <w:pPr>
        <w:ind w:left="720" w:hanging="360"/>
      </w:pPr>
      <w:rPr>
        <w:rFonts w:hint="default"/>
        <w:lang w:val="es-ES_tradnl"/>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C1B5B85"/>
    <w:multiLevelType w:val="hybridMultilevel"/>
    <w:tmpl w:val="CFA68EB6"/>
    <w:lvl w:ilvl="0" w:tplc="2BC8FEE8">
      <w:start w:val="1"/>
      <w:numFmt w:val="lowerRoman"/>
      <w:lvlText w:val="%1)"/>
      <w:lvlJc w:val="left"/>
      <w:pPr>
        <w:ind w:left="1440" w:hanging="720"/>
      </w:pPr>
      <w:rPr>
        <w:rFonts w:hint="default"/>
        <w:i/>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208F3593"/>
    <w:multiLevelType w:val="hybridMultilevel"/>
    <w:tmpl w:val="8222EC3A"/>
    <w:lvl w:ilvl="0" w:tplc="E42ADE22">
      <w:start w:val="2"/>
      <w:numFmt w:val="bullet"/>
      <w:lvlText w:val="-"/>
      <w:lvlJc w:val="left"/>
      <w:pPr>
        <w:ind w:left="720" w:hanging="360"/>
      </w:pPr>
      <w:rPr>
        <w:rFonts w:ascii="Verdana" w:eastAsia="Batang" w:hAnsi="Verdana" w:cs="Time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23173FD"/>
    <w:multiLevelType w:val="hybridMultilevel"/>
    <w:tmpl w:val="24ECCB6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B1368A"/>
    <w:multiLevelType w:val="hybridMultilevel"/>
    <w:tmpl w:val="F41C9FD0"/>
    <w:lvl w:ilvl="0" w:tplc="6AD042B4">
      <w:start w:val="1"/>
      <w:numFmt w:val="upperLetter"/>
      <w:lvlText w:val="%1."/>
      <w:lvlJc w:val="lef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73C5589"/>
    <w:multiLevelType w:val="hybridMultilevel"/>
    <w:tmpl w:val="4998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F0621"/>
    <w:multiLevelType w:val="hybridMultilevel"/>
    <w:tmpl w:val="26DC26FA"/>
    <w:lvl w:ilvl="0" w:tplc="09F2E420">
      <w:start w:val="1"/>
      <w:numFmt w:val="upperLetter"/>
      <w:pStyle w:val="Heading2"/>
      <w:lvlText w:val="%1."/>
      <w:lvlJc w:val="left"/>
      <w:pPr>
        <w:ind w:left="928" w:hanging="360"/>
      </w:pPr>
      <w:rPr>
        <w:rFonts w:ascii="Verdana" w:hAnsi="Verdana" w:hint="default"/>
        <w:b/>
        <w:i/>
        <w:strike w:val="0"/>
        <w:color w:val="auto"/>
        <w:sz w:val="20"/>
      </w:rPr>
    </w:lvl>
    <w:lvl w:ilvl="1" w:tplc="2C0A0019" w:tentative="1">
      <w:start w:val="1"/>
      <w:numFmt w:val="lowerLetter"/>
      <w:lvlText w:val="%2."/>
      <w:lvlJc w:val="left"/>
      <w:pPr>
        <w:ind w:left="1440" w:hanging="360"/>
      </w:p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BB750D4"/>
    <w:multiLevelType w:val="hybridMultilevel"/>
    <w:tmpl w:val="9B1AAE56"/>
    <w:lvl w:ilvl="0" w:tplc="D1388696">
      <w:start w:val="1"/>
      <w:numFmt w:val="upperLetter"/>
      <w:pStyle w:val="Heading9"/>
      <w:lvlText w:val="%1)"/>
      <w:lvlJc w:val="left"/>
      <w:pPr>
        <w:tabs>
          <w:tab w:val="num" w:pos="1080"/>
        </w:tabs>
        <w:ind w:left="1080" w:hanging="360"/>
      </w:pPr>
      <w:rPr>
        <w:rFonts w:ascii="Garamond" w:hAnsi="Garamond" w:hint="default"/>
        <w:b w:val="0"/>
        <w:i/>
        <w:sz w:val="24"/>
      </w:rPr>
    </w:lvl>
    <w:lvl w:ilvl="1" w:tplc="00190409">
      <w:numFmt w:val="none"/>
      <w:lvlText w:val=""/>
      <w:lvlJc w:val="left"/>
      <w:pPr>
        <w:tabs>
          <w:tab w:val="num" w:pos="360"/>
        </w:tabs>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15:restartNumberingAfterBreak="0">
    <w:nsid w:val="33963AC2"/>
    <w:multiLevelType w:val="hybridMultilevel"/>
    <w:tmpl w:val="ED72AB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A39DF"/>
    <w:multiLevelType w:val="hybridMultilevel"/>
    <w:tmpl w:val="D2187AD4"/>
    <w:lvl w:ilvl="0" w:tplc="B4A80A84">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399E2296"/>
    <w:multiLevelType w:val="hybridMultilevel"/>
    <w:tmpl w:val="60146A8A"/>
    <w:lvl w:ilvl="0" w:tplc="BF76AC0E">
      <w:start w:val="1"/>
      <w:numFmt w:val="decimal"/>
      <w:lvlText w:val="%1."/>
      <w:lvlJc w:val="left"/>
      <w:pPr>
        <w:ind w:left="1080" w:hanging="360"/>
      </w:pPr>
      <w:rPr>
        <w:rFonts w:hint="default"/>
        <w:b w:val="0"/>
        <w:i/>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3D076FF1"/>
    <w:multiLevelType w:val="hybridMultilevel"/>
    <w:tmpl w:val="F9921050"/>
    <w:lvl w:ilvl="0" w:tplc="8B62B700">
      <w:start w:val="1"/>
      <w:numFmt w:val="lowerLetter"/>
      <w:lvlText w:val="%1."/>
      <w:lvlJc w:val="left"/>
      <w:pPr>
        <w:ind w:left="107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8" w15:restartNumberingAfterBreak="0">
    <w:nsid w:val="3E447DAF"/>
    <w:multiLevelType w:val="hybridMultilevel"/>
    <w:tmpl w:val="668C7DD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9B713D"/>
    <w:multiLevelType w:val="hybridMultilevel"/>
    <w:tmpl w:val="40B0ECDA"/>
    <w:lvl w:ilvl="0" w:tplc="996A088A">
      <w:start w:val="1"/>
      <w:numFmt w:val="decimal"/>
      <w:lvlText w:val="%1."/>
      <w:lvlJc w:val="left"/>
      <w:pPr>
        <w:ind w:left="720" w:hanging="720"/>
      </w:pPr>
      <w:rPr>
        <w:rFonts w:ascii="Verdana" w:hAnsi="Verdana" w:cs="Times New Roman" w:hint="default"/>
        <w:b w:val="0"/>
        <w:i w:val="0"/>
        <w:strike w:val="0"/>
        <w:color w:val="auto"/>
        <w:sz w:val="20"/>
        <w:szCs w:val="20"/>
      </w:rPr>
    </w:lvl>
    <w:lvl w:ilvl="1" w:tplc="2C0A0019">
      <w:start w:val="1"/>
      <w:numFmt w:val="lowerLetter"/>
      <w:lvlText w:val="%2."/>
      <w:lvlJc w:val="left"/>
      <w:pPr>
        <w:ind w:left="1080" w:hanging="360"/>
      </w:pPr>
      <w:rPr>
        <w:rFonts w:cs="Times New Roman" w:hint="default"/>
      </w:rPr>
    </w:lvl>
    <w:lvl w:ilvl="2" w:tplc="4202A1AC">
      <w:start w:val="1"/>
      <w:numFmt w:val="lowerRoman"/>
      <w:lvlText w:val="%3."/>
      <w:lvlJc w:val="right"/>
      <w:pPr>
        <w:ind w:left="1800" w:hanging="180"/>
      </w:pPr>
      <w:rPr>
        <w:rFonts w:cs="Times New Roman"/>
      </w:rPr>
    </w:lvl>
    <w:lvl w:ilvl="3" w:tplc="3F0893E6">
      <w:start w:val="1"/>
      <w:numFmt w:val="upperLetter"/>
      <w:lvlText w:val="%4."/>
      <w:lvlJc w:val="left"/>
      <w:pPr>
        <w:ind w:left="2520" w:hanging="360"/>
      </w:pPr>
      <w:rPr>
        <w:rFonts w:hint="default"/>
      </w:rPr>
    </w:lvl>
    <w:lvl w:ilvl="4" w:tplc="E7BA4BB6">
      <w:start w:val="1"/>
      <w:numFmt w:val="lowerLetter"/>
      <w:lvlText w:val="%5)"/>
      <w:lvlJc w:val="left"/>
      <w:pPr>
        <w:ind w:left="3240" w:hanging="360"/>
      </w:pPr>
      <w:rPr>
        <w:rFonts w:hint="default"/>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20" w15:restartNumberingAfterBreak="0">
    <w:nsid w:val="48DC5BCB"/>
    <w:multiLevelType w:val="hybridMultilevel"/>
    <w:tmpl w:val="9CB69220"/>
    <w:lvl w:ilvl="0" w:tplc="C4F4487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Symbol" w:hAnsi="Symbol"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B954CF7"/>
    <w:multiLevelType w:val="hybridMultilevel"/>
    <w:tmpl w:val="F01E4E52"/>
    <w:lvl w:ilvl="0" w:tplc="2F067952">
      <w:start w:val="1"/>
      <w:numFmt w:val="decimal"/>
      <w:lvlText w:val="%1."/>
      <w:lvlJc w:val="left"/>
      <w:pPr>
        <w:ind w:left="8441" w:hanging="360"/>
      </w:pPr>
      <w:rPr>
        <w:b w:val="0"/>
        <w:i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8A7E78"/>
    <w:multiLevelType w:val="hybridMultilevel"/>
    <w:tmpl w:val="0666CFE2"/>
    <w:lvl w:ilvl="0" w:tplc="140A0015">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15:restartNumberingAfterBreak="0">
    <w:nsid w:val="51EE5764"/>
    <w:multiLevelType w:val="hybridMultilevel"/>
    <w:tmpl w:val="8638B7DE"/>
    <w:lvl w:ilvl="0" w:tplc="01AA1B3A">
      <w:start w:val="1"/>
      <w:numFmt w:val="decimal"/>
      <w:lvlText w:val="%1."/>
      <w:lvlJc w:val="left"/>
      <w:pPr>
        <w:ind w:left="360" w:hanging="360"/>
      </w:pPr>
      <w:rPr>
        <w:rFonts w:cs="Tahoma"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3CD22D3"/>
    <w:multiLevelType w:val="hybridMultilevel"/>
    <w:tmpl w:val="5FE673A6"/>
    <w:lvl w:ilvl="0" w:tplc="3F0893E6">
      <w:start w:val="1"/>
      <w:numFmt w:val="upperLetter"/>
      <w:lvlText w:val="%1."/>
      <w:lvlJc w:val="left"/>
      <w:pPr>
        <w:ind w:left="25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AA830E7"/>
    <w:multiLevelType w:val="hybridMultilevel"/>
    <w:tmpl w:val="9B42D0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396822"/>
    <w:multiLevelType w:val="hybridMultilevel"/>
    <w:tmpl w:val="0A60573C"/>
    <w:lvl w:ilvl="0" w:tplc="4FE69590">
      <w:start w:val="1"/>
      <w:numFmt w:val="lowerLetter"/>
      <w:lvlText w:val="%1."/>
      <w:lvlJc w:val="left"/>
      <w:pPr>
        <w:ind w:left="2529" w:hanging="360"/>
      </w:pPr>
      <w:rPr>
        <w:rFonts w:hint="default"/>
      </w:rPr>
    </w:lvl>
    <w:lvl w:ilvl="1" w:tplc="140A0019" w:tentative="1">
      <w:start w:val="1"/>
      <w:numFmt w:val="lowerLetter"/>
      <w:lvlText w:val="%2."/>
      <w:lvlJc w:val="left"/>
      <w:pPr>
        <w:ind w:left="3249" w:hanging="360"/>
      </w:pPr>
    </w:lvl>
    <w:lvl w:ilvl="2" w:tplc="140A001B" w:tentative="1">
      <w:start w:val="1"/>
      <w:numFmt w:val="lowerRoman"/>
      <w:lvlText w:val="%3."/>
      <w:lvlJc w:val="right"/>
      <w:pPr>
        <w:ind w:left="3969" w:hanging="180"/>
      </w:pPr>
    </w:lvl>
    <w:lvl w:ilvl="3" w:tplc="140A000F" w:tentative="1">
      <w:start w:val="1"/>
      <w:numFmt w:val="decimal"/>
      <w:lvlText w:val="%4."/>
      <w:lvlJc w:val="left"/>
      <w:pPr>
        <w:ind w:left="4689" w:hanging="360"/>
      </w:pPr>
    </w:lvl>
    <w:lvl w:ilvl="4" w:tplc="140A0019" w:tentative="1">
      <w:start w:val="1"/>
      <w:numFmt w:val="lowerLetter"/>
      <w:lvlText w:val="%5."/>
      <w:lvlJc w:val="left"/>
      <w:pPr>
        <w:ind w:left="5409" w:hanging="360"/>
      </w:pPr>
    </w:lvl>
    <w:lvl w:ilvl="5" w:tplc="140A001B" w:tentative="1">
      <w:start w:val="1"/>
      <w:numFmt w:val="lowerRoman"/>
      <w:lvlText w:val="%6."/>
      <w:lvlJc w:val="right"/>
      <w:pPr>
        <w:ind w:left="6129" w:hanging="180"/>
      </w:pPr>
    </w:lvl>
    <w:lvl w:ilvl="6" w:tplc="140A000F" w:tentative="1">
      <w:start w:val="1"/>
      <w:numFmt w:val="decimal"/>
      <w:lvlText w:val="%7."/>
      <w:lvlJc w:val="left"/>
      <w:pPr>
        <w:ind w:left="6849" w:hanging="360"/>
      </w:pPr>
    </w:lvl>
    <w:lvl w:ilvl="7" w:tplc="140A0019" w:tentative="1">
      <w:start w:val="1"/>
      <w:numFmt w:val="lowerLetter"/>
      <w:lvlText w:val="%8."/>
      <w:lvlJc w:val="left"/>
      <w:pPr>
        <w:ind w:left="7569" w:hanging="360"/>
      </w:pPr>
    </w:lvl>
    <w:lvl w:ilvl="8" w:tplc="140A001B" w:tentative="1">
      <w:start w:val="1"/>
      <w:numFmt w:val="lowerRoman"/>
      <w:lvlText w:val="%9."/>
      <w:lvlJc w:val="right"/>
      <w:pPr>
        <w:ind w:left="8289" w:hanging="180"/>
      </w:pPr>
    </w:lvl>
  </w:abstractNum>
  <w:abstractNum w:abstractNumId="27" w15:restartNumberingAfterBreak="0">
    <w:nsid w:val="69B101FB"/>
    <w:multiLevelType w:val="hybridMultilevel"/>
    <w:tmpl w:val="AD16C2DC"/>
    <w:lvl w:ilvl="0" w:tplc="8B62B700">
      <w:start w:val="1"/>
      <w:numFmt w:val="upperRoman"/>
      <w:lvlText w:val="%1."/>
      <w:lvlJc w:val="righ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rPr>
        <w:rFonts w:hint="default"/>
      </w:rPr>
    </w:lvl>
    <w:lvl w:ilvl="4" w:tplc="140A0019">
      <w:start w:val="1"/>
      <w:numFmt w:val="decimal"/>
      <w:pStyle w:val="PrrafodeSentencia"/>
      <w:lvlText w:val="%5."/>
      <w:lvlJc w:val="left"/>
      <w:pPr>
        <w:ind w:left="3600" w:hanging="360"/>
      </w:pPr>
      <w:rPr>
        <w:rFonts w:hint="default"/>
      </w:r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A4824B4"/>
    <w:multiLevelType w:val="hybridMultilevel"/>
    <w:tmpl w:val="792C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056AB"/>
    <w:multiLevelType w:val="hybridMultilevel"/>
    <w:tmpl w:val="8D7414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40C4330"/>
    <w:multiLevelType w:val="hybridMultilevel"/>
    <w:tmpl w:val="0A2CB7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857657"/>
    <w:multiLevelType w:val="hybridMultilevel"/>
    <w:tmpl w:val="ACBA05CC"/>
    <w:lvl w:ilvl="0" w:tplc="CA16635C">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2" w15:restartNumberingAfterBreak="0">
    <w:nsid w:val="751B6362"/>
    <w:multiLevelType w:val="hybridMultilevel"/>
    <w:tmpl w:val="631A7876"/>
    <w:lvl w:ilvl="0" w:tplc="A906D892">
      <w:start w:val="4"/>
      <w:numFmt w:val="decimal"/>
      <w:lvlText w:val="%1."/>
      <w:lvlJc w:val="left"/>
      <w:pPr>
        <w:ind w:left="1068" w:hanging="360"/>
      </w:pPr>
      <w:rPr>
        <w:rFonts w:hint="default"/>
        <w:b w:val="0"/>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76753A80"/>
    <w:multiLevelType w:val="hybridMultilevel"/>
    <w:tmpl w:val="EE70ECB4"/>
    <w:lvl w:ilvl="0" w:tplc="7644A008">
      <w:start w:val="1"/>
      <w:numFmt w:val="decimal"/>
      <w:lvlText w:val="%1."/>
      <w:lvlJc w:val="left"/>
      <w:pPr>
        <w:ind w:left="0" w:firstLine="0"/>
      </w:pPr>
      <w:rPr>
        <w:rFonts w:ascii="Verdana" w:hAnsi="Verdana" w:hint="default"/>
        <w:b w:val="0"/>
        <w:i w:val="0"/>
        <w:strike w:val="0"/>
        <w:sz w:val="20"/>
        <w:szCs w:val="20"/>
        <w:lang w:val="en-US"/>
      </w:rPr>
    </w:lvl>
    <w:lvl w:ilvl="1" w:tplc="140A0019">
      <w:start w:val="1"/>
      <w:numFmt w:val="lowerLetter"/>
      <w:lvlText w:val="%2."/>
      <w:lvlJc w:val="left"/>
      <w:pPr>
        <w:ind w:left="1298" w:hanging="360"/>
      </w:pPr>
      <w:rPr>
        <w:rFonts w:hint="default"/>
        <w:lang w:val="es-CR"/>
      </w:rPr>
    </w:lvl>
    <w:lvl w:ilvl="2" w:tplc="140A001B">
      <w:start w:val="1"/>
      <w:numFmt w:val="lowerRoman"/>
      <w:lvlText w:val="%3."/>
      <w:lvlJc w:val="right"/>
      <w:pPr>
        <w:ind w:left="2018" w:hanging="180"/>
      </w:pPr>
      <w:rPr>
        <w:i/>
      </w:rPr>
    </w:lvl>
    <w:lvl w:ilvl="3" w:tplc="140A000F" w:tentative="1">
      <w:start w:val="1"/>
      <w:numFmt w:val="decimal"/>
      <w:lvlText w:val="%4."/>
      <w:lvlJc w:val="left"/>
      <w:pPr>
        <w:ind w:left="2738" w:hanging="360"/>
      </w:pPr>
    </w:lvl>
    <w:lvl w:ilvl="4" w:tplc="140A0019" w:tentative="1">
      <w:start w:val="1"/>
      <w:numFmt w:val="lowerLetter"/>
      <w:lvlText w:val="%5."/>
      <w:lvlJc w:val="left"/>
      <w:pPr>
        <w:ind w:left="3458" w:hanging="360"/>
      </w:pPr>
    </w:lvl>
    <w:lvl w:ilvl="5" w:tplc="140A001B" w:tentative="1">
      <w:start w:val="1"/>
      <w:numFmt w:val="lowerRoman"/>
      <w:lvlText w:val="%6."/>
      <w:lvlJc w:val="right"/>
      <w:pPr>
        <w:ind w:left="4178" w:hanging="180"/>
      </w:pPr>
    </w:lvl>
    <w:lvl w:ilvl="6" w:tplc="140A000F" w:tentative="1">
      <w:start w:val="1"/>
      <w:numFmt w:val="decimal"/>
      <w:lvlText w:val="%7."/>
      <w:lvlJc w:val="left"/>
      <w:pPr>
        <w:ind w:left="4898" w:hanging="360"/>
      </w:pPr>
    </w:lvl>
    <w:lvl w:ilvl="7" w:tplc="140A0019" w:tentative="1">
      <w:start w:val="1"/>
      <w:numFmt w:val="lowerLetter"/>
      <w:lvlText w:val="%8."/>
      <w:lvlJc w:val="left"/>
      <w:pPr>
        <w:ind w:left="5618" w:hanging="360"/>
      </w:pPr>
    </w:lvl>
    <w:lvl w:ilvl="8" w:tplc="140A001B" w:tentative="1">
      <w:start w:val="1"/>
      <w:numFmt w:val="lowerRoman"/>
      <w:lvlText w:val="%9."/>
      <w:lvlJc w:val="right"/>
      <w:pPr>
        <w:ind w:left="6338" w:hanging="180"/>
      </w:pPr>
    </w:lvl>
  </w:abstractNum>
  <w:abstractNum w:abstractNumId="34" w15:restartNumberingAfterBreak="0">
    <w:nsid w:val="7A7D511C"/>
    <w:multiLevelType w:val="hybridMultilevel"/>
    <w:tmpl w:val="894C8EE4"/>
    <w:lvl w:ilvl="0" w:tplc="3E6070D0">
      <w:start w:val="1"/>
      <w:numFmt w:val="decimal"/>
      <w:lvlText w:val="%1."/>
      <w:lvlJc w:val="left"/>
      <w:pPr>
        <w:ind w:left="720" w:hanging="360"/>
      </w:pPr>
      <w:rPr>
        <w:rFonts w:ascii="Verdana" w:hAnsi="Verdana" w:hint="default"/>
        <w:b w:val="0"/>
      </w:rPr>
    </w:lvl>
    <w:lvl w:ilvl="1" w:tplc="04090019">
      <w:start w:val="1"/>
      <w:numFmt w:val="lowerLetter"/>
      <w:lvlText w:val="%2."/>
      <w:lvlJc w:val="left"/>
      <w:pPr>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CE64D32"/>
    <w:multiLevelType w:val="hybridMultilevel"/>
    <w:tmpl w:val="9F8AF72C"/>
    <w:lvl w:ilvl="0" w:tplc="F6DE5912">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879AC64A">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B3400C60">
      <w:start w:val="1"/>
      <w:numFmt w:val="lowerRoman"/>
      <w:pStyle w:val="Estilo7"/>
      <w:lvlText w:val="%3."/>
      <w:lvlJc w:val="right"/>
      <w:pPr>
        <w:tabs>
          <w:tab w:val="num" w:pos="2160"/>
        </w:tabs>
        <w:ind w:left="2160" w:hanging="180"/>
      </w:pPr>
      <w:rPr>
        <w:rFonts w:cs="Times New Roman"/>
      </w:rPr>
    </w:lvl>
    <w:lvl w:ilvl="3" w:tplc="255C868A">
      <w:start w:val="1"/>
      <w:numFmt w:val="decimal"/>
      <w:lvlText w:val="%4."/>
      <w:lvlJc w:val="left"/>
      <w:pPr>
        <w:tabs>
          <w:tab w:val="num" w:pos="2880"/>
        </w:tabs>
        <w:ind w:left="2880" w:hanging="360"/>
      </w:pPr>
      <w:rPr>
        <w:rFonts w:cs="Times New Roman"/>
      </w:rPr>
    </w:lvl>
    <w:lvl w:ilvl="4" w:tplc="E12286D2">
      <w:start w:val="1"/>
      <w:numFmt w:val="lowerLetter"/>
      <w:lvlText w:val="%5."/>
      <w:lvlJc w:val="left"/>
      <w:pPr>
        <w:tabs>
          <w:tab w:val="num" w:pos="3600"/>
        </w:tabs>
        <w:ind w:left="3600" w:hanging="360"/>
      </w:pPr>
      <w:rPr>
        <w:rFonts w:cs="Times New Roman"/>
      </w:rPr>
    </w:lvl>
    <w:lvl w:ilvl="5" w:tplc="96C23854">
      <w:start w:val="1"/>
      <w:numFmt w:val="lowerRoman"/>
      <w:lvlText w:val="%6."/>
      <w:lvlJc w:val="right"/>
      <w:pPr>
        <w:tabs>
          <w:tab w:val="num" w:pos="4320"/>
        </w:tabs>
        <w:ind w:left="4320" w:hanging="180"/>
      </w:pPr>
      <w:rPr>
        <w:rFonts w:cs="Times New Roman"/>
      </w:rPr>
    </w:lvl>
    <w:lvl w:ilvl="6" w:tplc="55F0657A">
      <w:start w:val="1"/>
      <w:numFmt w:val="decimal"/>
      <w:lvlText w:val="%7."/>
      <w:lvlJc w:val="left"/>
      <w:pPr>
        <w:tabs>
          <w:tab w:val="num" w:pos="5040"/>
        </w:tabs>
        <w:ind w:left="5040" w:hanging="360"/>
      </w:pPr>
      <w:rPr>
        <w:rFonts w:cs="Times New Roman"/>
      </w:rPr>
    </w:lvl>
    <w:lvl w:ilvl="7" w:tplc="64965F6E">
      <w:start w:val="1"/>
      <w:numFmt w:val="lowerLetter"/>
      <w:lvlText w:val="%8."/>
      <w:lvlJc w:val="left"/>
      <w:pPr>
        <w:tabs>
          <w:tab w:val="num" w:pos="5760"/>
        </w:tabs>
        <w:ind w:left="5760" w:hanging="360"/>
      </w:pPr>
      <w:rPr>
        <w:rFonts w:cs="Times New Roman"/>
      </w:rPr>
    </w:lvl>
    <w:lvl w:ilvl="8" w:tplc="8EEA2F1E">
      <w:start w:val="1"/>
      <w:numFmt w:val="lowerRoman"/>
      <w:lvlText w:val="%9."/>
      <w:lvlJc w:val="right"/>
      <w:pPr>
        <w:tabs>
          <w:tab w:val="num" w:pos="6480"/>
        </w:tabs>
        <w:ind w:left="6480" w:hanging="180"/>
      </w:pPr>
      <w:rPr>
        <w:rFonts w:cs="Times New Roman"/>
      </w:rPr>
    </w:lvl>
  </w:abstractNum>
  <w:num w:numId="1">
    <w:abstractNumId w:val="19"/>
  </w:num>
  <w:num w:numId="2">
    <w:abstractNumId w:val="33"/>
  </w:num>
  <w:num w:numId="3">
    <w:abstractNumId w:val="35"/>
  </w:num>
  <w:num w:numId="4">
    <w:abstractNumId w:val="12"/>
  </w:num>
  <w:num w:numId="5">
    <w:abstractNumId w:val="12"/>
  </w:num>
  <w:num w:numId="6">
    <w:abstractNumId w:val="27"/>
  </w:num>
  <w:num w:numId="7">
    <w:abstractNumId w:val="5"/>
  </w:num>
  <w:num w:numId="8">
    <w:abstractNumId w:val="20"/>
  </w:num>
  <w:num w:numId="9">
    <w:abstractNumId w:val="0"/>
  </w:num>
  <w:num w:numId="10">
    <w:abstractNumId w:val="28"/>
  </w:num>
  <w:num w:numId="11">
    <w:abstractNumId w:val="1"/>
  </w:num>
  <w:num w:numId="12">
    <w:abstractNumId w:val="14"/>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9"/>
  </w:num>
  <w:num w:numId="18">
    <w:abstractNumId w:val="23"/>
  </w:num>
  <w:num w:numId="19">
    <w:abstractNumId w:val="3"/>
  </w:num>
  <w:num w:numId="20">
    <w:abstractNumId w:val="22"/>
  </w:num>
  <w:num w:numId="21">
    <w:abstractNumId w:val="26"/>
  </w:num>
  <w:num w:numId="22">
    <w:abstractNumId w:val="17"/>
  </w:num>
  <w:num w:numId="23">
    <w:abstractNumId w:val="15"/>
  </w:num>
  <w:num w:numId="24">
    <w:abstractNumId w:val="16"/>
  </w:num>
  <w:num w:numId="25">
    <w:abstractNumId w:val="7"/>
  </w:num>
  <w:num w:numId="26">
    <w:abstractNumId w:val="12"/>
  </w:num>
  <w:num w:numId="27">
    <w:abstractNumId w:val="12"/>
    <w:lvlOverride w:ilvl="0">
      <w:startOverride w:val="1"/>
    </w:lvlOverride>
  </w:num>
  <w:num w:numId="28">
    <w:abstractNumId w:val="12"/>
  </w:num>
  <w:num w:numId="29">
    <w:abstractNumId w:val="12"/>
  </w:num>
  <w:num w:numId="30">
    <w:abstractNumId w:val="12"/>
  </w:num>
  <w:num w:numId="31">
    <w:abstractNumId w:val="12"/>
  </w:num>
  <w:num w:numId="32">
    <w:abstractNumId w:val="31"/>
  </w:num>
  <w:num w:numId="33">
    <w:abstractNumId w:val="12"/>
    <w:lvlOverride w:ilvl="0">
      <w:startOverride w:val="1"/>
    </w:lvlOverride>
  </w:num>
  <w:num w:numId="34">
    <w:abstractNumId w:val="29"/>
  </w:num>
  <w:num w:numId="35">
    <w:abstractNumId w:val="8"/>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lvlOverride w:ilvl="0">
      <w:startOverride w:val="1"/>
    </w:lvlOverride>
  </w:num>
  <w:num w:numId="44">
    <w:abstractNumId w:val="12"/>
    <w:lvlOverride w:ilvl="0">
      <w:startOverride w:val="2"/>
    </w:lvlOverride>
  </w:num>
  <w:num w:numId="45">
    <w:abstractNumId w:val="12"/>
    <w:lvlOverride w:ilvl="0">
      <w:startOverride w:val="2"/>
    </w:lvlOverride>
  </w:num>
  <w:num w:numId="46">
    <w:abstractNumId w:val="12"/>
    <w:lvlOverride w:ilvl="0">
      <w:startOverride w:val="2"/>
    </w:lvlOverride>
  </w:num>
  <w:num w:numId="47">
    <w:abstractNumId w:val="2"/>
  </w:num>
  <w:num w:numId="48">
    <w:abstractNumId w:val="12"/>
  </w:num>
  <w:num w:numId="49">
    <w:abstractNumId w:val="12"/>
    <w:lvlOverride w:ilvl="0">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12"/>
  </w:num>
  <w:num w:numId="53">
    <w:abstractNumId w:val="12"/>
  </w:num>
  <w:num w:numId="54">
    <w:abstractNumId w:val="33"/>
  </w:num>
  <w:num w:numId="55">
    <w:abstractNumId w:val="21"/>
  </w:num>
  <w:num w:numId="56">
    <w:abstractNumId w:val="25"/>
  </w:num>
  <w:num w:numId="57">
    <w:abstractNumId w:val="30"/>
  </w:num>
  <w:num w:numId="58">
    <w:abstractNumId w:val="18"/>
  </w:num>
  <w:num w:numId="59">
    <w:abstractNumId w:val="4"/>
  </w:num>
  <w:num w:numId="60">
    <w:abstractNumId w:val="32"/>
  </w:num>
  <w:num w:numId="61">
    <w:abstractNumId w:val="12"/>
  </w:num>
  <w:num w:numId="62">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F8B"/>
    <w:rsid w:val="00004F10"/>
    <w:rsid w:val="0000543B"/>
    <w:rsid w:val="0000638B"/>
    <w:rsid w:val="000075BB"/>
    <w:rsid w:val="000101F0"/>
    <w:rsid w:val="0001199A"/>
    <w:rsid w:val="0001227F"/>
    <w:rsid w:val="00012F14"/>
    <w:rsid w:val="000130E5"/>
    <w:rsid w:val="000137EF"/>
    <w:rsid w:val="0001465E"/>
    <w:rsid w:val="00016236"/>
    <w:rsid w:val="000171B9"/>
    <w:rsid w:val="00017BE2"/>
    <w:rsid w:val="0002174D"/>
    <w:rsid w:val="00022CD8"/>
    <w:rsid w:val="00023218"/>
    <w:rsid w:val="00023348"/>
    <w:rsid w:val="000242EF"/>
    <w:rsid w:val="0002511F"/>
    <w:rsid w:val="00031E49"/>
    <w:rsid w:val="000377AA"/>
    <w:rsid w:val="00037E8A"/>
    <w:rsid w:val="00037EEA"/>
    <w:rsid w:val="000404B8"/>
    <w:rsid w:val="000426DA"/>
    <w:rsid w:val="00042F4B"/>
    <w:rsid w:val="00043535"/>
    <w:rsid w:val="00043B04"/>
    <w:rsid w:val="00044BAC"/>
    <w:rsid w:val="00045DC1"/>
    <w:rsid w:val="000537BC"/>
    <w:rsid w:val="00053C14"/>
    <w:rsid w:val="000558A2"/>
    <w:rsid w:val="00055C5C"/>
    <w:rsid w:val="00056484"/>
    <w:rsid w:val="0005661E"/>
    <w:rsid w:val="000574CE"/>
    <w:rsid w:val="000579EB"/>
    <w:rsid w:val="00057AA3"/>
    <w:rsid w:val="00062479"/>
    <w:rsid w:val="00065325"/>
    <w:rsid w:val="00065D93"/>
    <w:rsid w:val="00067935"/>
    <w:rsid w:val="000701F3"/>
    <w:rsid w:val="00070696"/>
    <w:rsid w:val="000729B2"/>
    <w:rsid w:val="000736BE"/>
    <w:rsid w:val="00074195"/>
    <w:rsid w:val="000759E3"/>
    <w:rsid w:val="0008016B"/>
    <w:rsid w:val="00080E61"/>
    <w:rsid w:val="00082E23"/>
    <w:rsid w:val="0008421F"/>
    <w:rsid w:val="00084FF8"/>
    <w:rsid w:val="00085300"/>
    <w:rsid w:val="00085BE7"/>
    <w:rsid w:val="0009265B"/>
    <w:rsid w:val="00093510"/>
    <w:rsid w:val="0009412D"/>
    <w:rsid w:val="000A03ED"/>
    <w:rsid w:val="000A0755"/>
    <w:rsid w:val="000A16F8"/>
    <w:rsid w:val="000A33EE"/>
    <w:rsid w:val="000A3A71"/>
    <w:rsid w:val="000A6353"/>
    <w:rsid w:val="000A700A"/>
    <w:rsid w:val="000B44DC"/>
    <w:rsid w:val="000B629C"/>
    <w:rsid w:val="000C011D"/>
    <w:rsid w:val="000C013C"/>
    <w:rsid w:val="000C0267"/>
    <w:rsid w:val="000C06AD"/>
    <w:rsid w:val="000C07D0"/>
    <w:rsid w:val="000C21E3"/>
    <w:rsid w:val="000C3734"/>
    <w:rsid w:val="000C3861"/>
    <w:rsid w:val="000C5757"/>
    <w:rsid w:val="000C584B"/>
    <w:rsid w:val="000D3D59"/>
    <w:rsid w:val="000D4A4F"/>
    <w:rsid w:val="000D4D18"/>
    <w:rsid w:val="000D65AC"/>
    <w:rsid w:val="000D7382"/>
    <w:rsid w:val="000D7731"/>
    <w:rsid w:val="000E0E13"/>
    <w:rsid w:val="000E39C6"/>
    <w:rsid w:val="000F2E69"/>
    <w:rsid w:val="000F3C39"/>
    <w:rsid w:val="000F41EE"/>
    <w:rsid w:val="000F4B67"/>
    <w:rsid w:val="000F4FAD"/>
    <w:rsid w:val="000F6E5B"/>
    <w:rsid w:val="000F70A2"/>
    <w:rsid w:val="001025CF"/>
    <w:rsid w:val="00106595"/>
    <w:rsid w:val="00107793"/>
    <w:rsid w:val="00111DA7"/>
    <w:rsid w:val="00112A29"/>
    <w:rsid w:val="00116E16"/>
    <w:rsid w:val="001214A4"/>
    <w:rsid w:val="001216A8"/>
    <w:rsid w:val="001221D2"/>
    <w:rsid w:val="00122D2B"/>
    <w:rsid w:val="00124218"/>
    <w:rsid w:val="00125982"/>
    <w:rsid w:val="00125BA1"/>
    <w:rsid w:val="001279F1"/>
    <w:rsid w:val="00131C20"/>
    <w:rsid w:val="00133200"/>
    <w:rsid w:val="00133CC2"/>
    <w:rsid w:val="00136816"/>
    <w:rsid w:val="00137843"/>
    <w:rsid w:val="00140786"/>
    <w:rsid w:val="001407F4"/>
    <w:rsid w:val="0014455B"/>
    <w:rsid w:val="0014589E"/>
    <w:rsid w:val="001500AB"/>
    <w:rsid w:val="0015407C"/>
    <w:rsid w:val="001541FC"/>
    <w:rsid w:val="00160F6E"/>
    <w:rsid w:val="00161F35"/>
    <w:rsid w:val="00164137"/>
    <w:rsid w:val="00164373"/>
    <w:rsid w:val="0016453D"/>
    <w:rsid w:val="001668E2"/>
    <w:rsid w:val="001669C2"/>
    <w:rsid w:val="00170351"/>
    <w:rsid w:val="00170891"/>
    <w:rsid w:val="0017203C"/>
    <w:rsid w:val="00173A18"/>
    <w:rsid w:val="00174DA6"/>
    <w:rsid w:val="0017773C"/>
    <w:rsid w:val="00181E3A"/>
    <w:rsid w:val="00181E54"/>
    <w:rsid w:val="001856BB"/>
    <w:rsid w:val="00187675"/>
    <w:rsid w:val="00187A78"/>
    <w:rsid w:val="0019131F"/>
    <w:rsid w:val="00192663"/>
    <w:rsid w:val="001937A4"/>
    <w:rsid w:val="001A122F"/>
    <w:rsid w:val="001A3088"/>
    <w:rsid w:val="001A50F2"/>
    <w:rsid w:val="001A60C9"/>
    <w:rsid w:val="001A72F8"/>
    <w:rsid w:val="001A7422"/>
    <w:rsid w:val="001B1582"/>
    <w:rsid w:val="001B6C35"/>
    <w:rsid w:val="001B75D9"/>
    <w:rsid w:val="001C0EB6"/>
    <w:rsid w:val="001C1A19"/>
    <w:rsid w:val="001C24D0"/>
    <w:rsid w:val="001C3C3E"/>
    <w:rsid w:val="001C5785"/>
    <w:rsid w:val="001C6960"/>
    <w:rsid w:val="001C74AD"/>
    <w:rsid w:val="001D33DC"/>
    <w:rsid w:val="001D402B"/>
    <w:rsid w:val="001E2A5A"/>
    <w:rsid w:val="001E41E9"/>
    <w:rsid w:val="001E54C1"/>
    <w:rsid w:val="001E6774"/>
    <w:rsid w:val="001E6D67"/>
    <w:rsid w:val="001F0B59"/>
    <w:rsid w:val="001F0B9C"/>
    <w:rsid w:val="001F271F"/>
    <w:rsid w:val="001F2D35"/>
    <w:rsid w:val="001F3136"/>
    <w:rsid w:val="001F44E0"/>
    <w:rsid w:val="001F4F25"/>
    <w:rsid w:val="001F57ED"/>
    <w:rsid w:val="001F6430"/>
    <w:rsid w:val="001F7A81"/>
    <w:rsid w:val="00200768"/>
    <w:rsid w:val="00201460"/>
    <w:rsid w:val="00203069"/>
    <w:rsid w:val="002036B0"/>
    <w:rsid w:val="0020681C"/>
    <w:rsid w:val="002104F0"/>
    <w:rsid w:val="00210545"/>
    <w:rsid w:val="00210888"/>
    <w:rsid w:val="00210C02"/>
    <w:rsid w:val="00211256"/>
    <w:rsid w:val="00214814"/>
    <w:rsid w:val="0021518C"/>
    <w:rsid w:val="00216D0B"/>
    <w:rsid w:val="00216D0E"/>
    <w:rsid w:val="002202C4"/>
    <w:rsid w:val="002214A2"/>
    <w:rsid w:val="0022233F"/>
    <w:rsid w:val="00224388"/>
    <w:rsid w:val="002253D3"/>
    <w:rsid w:val="002264AE"/>
    <w:rsid w:val="0022788B"/>
    <w:rsid w:val="002304B1"/>
    <w:rsid w:val="00230936"/>
    <w:rsid w:val="00230C0E"/>
    <w:rsid w:val="002320EE"/>
    <w:rsid w:val="00232E28"/>
    <w:rsid w:val="00233048"/>
    <w:rsid w:val="00235A52"/>
    <w:rsid w:val="002364E3"/>
    <w:rsid w:val="00242077"/>
    <w:rsid w:val="0024272D"/>
    <w:rsid w:val="00242D59"/>
    <w:rsid w:val="00245555"/>
    <w:rsid w:val="00246AF1"/>
    <w:rsid w:val="002473E2"/>
    <w:rsid w:val="00247AA5"/>
    <w:rsid w:val="00250E57"/>
    <w:rsid w:val="00250FCB"/>
    <w:rsid w:val="002510DA"/>
    <w:rsid w:val="002510F5"/>
    <w:rsid w:val="002514F1"/>
    <w:rsid w:val="00254E9A"/>
    <w:rsid w:val="00255418"/>
    <w:rsid w:val="002569B7"/>
    <w:rsid w:val="0026012E"/>
    <w:rsid w:val="00265D21"/>
    <w:rsid w:val="002663FF"/>
    <w:rsid w:val="002672C7"/>
    <w:rsid w:val="002717E1"/>
    <w:rsid w:val="0027531E"/>
    <w:rsid w:val="00276339"/>
    <w:rsid w:val="002775E3"/>
    <w:rsid w:val="00282164"/>
    <w:rsid w:val="00282920"/>
    <w:rsid w:val="00284A01"/>
    <w:rsid w:val="00284EC2"/>
    <w:rsid w:val="00285F7A"/>
    <w:rsid w:val="00290A73"/>
    <w:rsid w:val="00290CBC"/>
    <w:rsid w:val="002921FA"/>
    <w:rsid w:val="00294813"/>
    <w:rsid w:val="00294C78"/>
    <w:rsid w:val="00296A9C"/>
    <w:rsid w:val="002A1830"/>
    <w:rsid w:val="002A2752"/>
    <w:rsid w:val="002A2C74"/>
    <w:rsid w:val="002A342D"/>
    <w:rsid w:val="002A4200"/>
    <w:rsid w:val="002A46E4"/>
    <w:rsid w:val="002A723F"/>
    <w:rsid w:val="002B1944"/>
    <w:rsid w:val="002B1A21"/>
    <w:rsid w:val="002B1B3B"/>
    <w:rsid w:val="002B2B19"/>
    <w:rsid w:val="002B366C"/>
    <w:rsid w:val="002C190B"/>
    <w:rsid w:val="002C2D12"/>
    <w:rsid w:val="002C3048"/>
    <w:rsid w:val="002C4845"/>
    <w:rsid w:val="002C4847"/>
    <w:rsid w:val="002C6357"/>
    <w:rsid w:val="002D1132"/>
    <w:rsid w:val="002D29AE"/>
    <w:rsid w:val="002D3FA0"/>
    <w:rsid w:val="002D470B"/>
    <w:rsid w:val="002E084B"/>
    <w:rsid w:val="002E1BBB"/>
    <w:rsid w:val="002E2501"/>
    <w:rsid w:val="002E2608"/>
    <w:rsid w:val="002E32FB"/>
    <w:rsid w:val="002E4BA2"/>
    <w:rsid w:val="002E6C8B"/>
    <w:rsid w:val="002F0537"/>
    <w:rsid w:val="002F1D09"/>
    <w:rsid w:val="002F35D1"/>
    <w:rsid w:val="002F3FFD"/>
    <w:rsid w:val="002F4E1C"/>
    <w:rsid w:val="002F5CC2"/>
    <w:rsid w:val="002F5E22"/>
    <w:rsid w:val="002F6712"/>
    <w:rsid w:val="003039A4"/>
    <w:rsid w:val="0030624F"/>
    <w:rsid w:val="003111ED"/>
    <w:rsid w:val="0031184C"/>
    <w:rsid w:val="00311926"/>
    <w:rsid w:val="00312056"/>
    <w:rsid w:val="00312760"/>
    <w:rsid w:val="00312811"/>
    <w:rsid w:val="0031540D"/>
    <w:rsid w:val="00316160"/>
    <w:rsid w:val="00316931"/>
    <w:rsid w:val="00317B81"/>
    <w:rsid w:val="00320402"/>
    <w:rsid w:val="003234E7"/>
    <w:rsid w:val="00323D52"/>
    <w:rsid w:val="00324D43"/>
    <w:rsid w:val="0032528A"/>
    <w:rsid w:val="003252C0"/>
    <w:rsid w:val="00326295"/>
    <w:rsid w:val="003269A4"/>
    <w:rsid w:val="00327FA3"/>
    <w:rsid w:val="00330F50"/>
    <w:rsid w:val="00332E22"/>
    <w:rsid w:val="00333639"/>
    <w:rsid w:val="00334E32"/>
    <w:rsid w:val="003352B1"/>
    <w:rsid w:val="0033742B"/>
    <w:rsid w:val="0033788F"/>
    <w:rsid w:val="00340B36"/>
    <w:rsid w:val="00342278"/>
    <w:rsid w:val="00342385"/>
    <w:rsid w:val="0034450B"/>
    <w:rsid w:val="0034587F"/>
    <w:rsid w:val="003467AB"/>
    <w:rsid w:val="00347AEC"/>
    <w:rsid w:val="00347FDF"/>
    <w:rsid w:val="00351247"/>
    <w:rsid w:val="00353311"/>
    <w:rsid w:val="00354274"/>
    <w:rsid w:val="003565AA"/>
    <w:rsid w:val="00356620"/>
    <w:rsid w:val="00356A71"/>
    <w:rsid w:val="00357358"/>
    <w:rsid w:val="00357D08"/>
    <w:rsid w:val="0036225B"/>
    <w:rsid w:val="003630A4"/>
    <w:rsid w:val="003655D2"/>
    <w:rsid w:val="0036564E"/>
    <w:rsid w:val="00365767"/>
    <w:rsid w:val="003706F9"/>
    <w:rsid w:val="00370AC9"/>
    <w:rsid w:val="00372741"/>
    <w:rsid w:val="00372C74"/>
    <w:rsid w:val="00375836"/>
    <w:rsid w:val="00376406"/>
    <w:rsid w:val="00376C0D"/>
    <w:rsid w:val="003779B6"/>
    <w:rsid w:val="00380259"/>
    <w:rsid w:val="00380F4B"/>
    <w:rsid w:val="00380F91"/>
    <w:rsid w:val="003814C8"/>
    <w:rsid w:val="0038227F"/>
    <w:rsid w:val="003855DF"/>
    <w:rsid w:val="00387D18"/>
    <w:rsid w:val="0039066B"/>
    <w:rsid w:val="00390962"/>
    <w:rsid w:val="00396FF9"/>
    <w:rsid w:val="003A0F33"/>
    <w:rsid w:val="003A7D03"/>
    <w:rsid w:val="003B05F4"/>
    <w:rsid w:val="003B164F"/>
    <w:rsid w:val="003B4505"/>
    <w:rsid w:val="003B4C69"/>
    <w:rsid w:val="003B5202"/>
    <w:rsid w:val="003B7977"/>
    <w:rsid w:val="003C0723"/>
    <w:rsid w:val="003C260D"/>
    <w:rsid w:val="003C263D"/>
    <w:rsid w:val="003C263F"/>
    <w:rsid w:val="003C2B5D"/>
    <w:rsid w:val="003D0AE6"/>
    <w:rsid w:val="003D1480"/>
    <w:rsid w:val="003D21B0"/>
    <w:rsid w:val="003D3475"/>
    <w:rsid w:val="003E2392"/>
    <w:rsid w:val="003E2AA7"/>
    <w:rsid w:val="003E2B49"/>
    <w:rsid w:val="003E4F50"/>
    <w:rsid w:val="003E5CE3"/>
    <w:rsid w:val="003E7725"/>
    <w:rsid w:val="003F3128"/>
    <w:rsid w:val="003F33F4"/>
    <w:rsid w:val="003F5BCE"/>
    <w:rsid w:val="003F6439"/>
    <w:rsid w:val="003F6CBD"/>
    <w:rsid w:val="004008C4"/>
    <w:rsid w:val="0040488D"/>
    <w:rsid w:val="00405589"/>
    <w:rsid w:val="00405CD7"/>
    <w:rsid w:val="00411683"/>
    <w:rsid w:val="004129DE"/>
    <w:rsid w:val="00414357"/>
    <w:rsid w:val="00414D94"/>
    <w:rsid w:val="00415014"/>
    <w:rsid w:val="0041507B"/>
    <w:rsid w:val="004150D2"/>
    <w:rsid w:val="00415F3D"/>
    <w:rsid w:val="004223D9"/>
    <w:rsid w:val="004235F3"/>
    <w:rsid w:val="00426F4E"/>
    <w:rsid w:val="00427297"/>
    <w:rsid w:val="004300E8"/>
    <w:rsid w:val="004307FA"/>
    <w:rsid w:val="00431A52"/>
    <w:rsid w:val="00434C59"/>
    <w:rsid w:val="0043641A"/>
    <w:rsid w:val="004367BC"/>
    <w:rsid w:val="00437C0C"/>
    <w:rsid w:val="00440729"/>
    <w:rsid w:val="004412CF"/>
    <w:rsid w:val="00442127"/>
    <w:rsid w:val="00443079"/>
    <w:rsid w:val="004441CA"/>
    <w:rsid w:val="00445122"/>
    <w:rsid w:val="00445A16"/>
    <w:rsid w:val="00447676"/>
    <w:rsid w:val="004521D4"/>
    <w:rsid w:val="00453A12"/>
    <w:rsid w:val="004542B5"/>
    <w:rsid w:val="00455A8C"/>
    <w:rsid w:val="004611C3"/>
    <w:rsid w:val="00463B9D"/>
    <w:rsid w:val="004658AA"/>
    <w:rsid w:val="00465A9B"/>
    <w:rsid w:val="00466DB0"/>
    <w:rsid w:val="0047119C"/>
    <w:rsid w:val="00473BB4"/>
    <w:rsid w:val="0048010C"/>
    <w:rsid w:val="00481909"/>
    <w:rsid w:val="00483AFD"/>
    <w:rsid w:val="00484878"/>
    <w:rsid w:val="004856EA"/>
    <w:rsid w:val="0048610A"/>
    <w:rsid w:val="00486496"/>
    <w:rsid w:val="00486963"/>
    <w:rsid w:val="00486D3F"/>
    <w:rsid w:val="00487904"/>
    <w:rsid w:val="00487DFF"/>
    <w:rsid w:val="00490A75"/>
    <w:rsid w:val="00490D63"/>
    <w:rsid w:val="00490EEC"/>
    <w:rsid w:val="0049337B"/>
    <w:rsid w:val="004934EB"/>
    <w:rsid w:val="00493F1E"/>
    <w:rsid w:val="00497103"/>
    <w:rsid w:val="004A09DF"/>
    <w:rsid w:val="004A110E"/>
    <w:rsid w:val="004A19C3"/>
    <w:rsid w:val="004A3044"/>
    <w:rsid w:val="004A6415"/>
    <w:rsid w:val="004A6D96"/>
    <w:rsid w:val="004A7682"/>
    <w:rsid w:val="004A7E2D"/>
    <w:rsid w:val="004B056F"/>
    <w:rsid w:val="004B0B57"/>
    <w:rsid w:val="004B2CE9"/>
    <w:rsid w:val="004B46FC"/>
    <w:rsid w:val="004B70E5"/>
    <w:rsid w:val="004B7412"/>
    <w:rsid w:val="004B7BF6"/>
    <w:rsid w:val="004C0D39"/>
    <w:rsid w:val="004C0FEA"/>
    <w:rsid w:val="004C1AC4"/>
    <w:rsid w:val="004C4E74"/>
    <w:rsid w:val="004C5196"/>
    <w:rsid w:val="004C57D4"/>
    <w:rsid w:val="004C5E1B"/>
    <w:rsid w:val="004C6141"/>
    <w:rsid w:val="004D0B27"/>
    <w:rsid w:val="004D2910"/>
    <w:rsid w:val="004D5627"/>
    <w:rsid w:val="004D788A"/>
    <w:rsid w:val="004D7B7A"/>
    <w:rsid w:val="004E2F42"/>
    <w:rsid w:val="004E3466"/>
    <w:rsid w:val="004E44D1"/>
    <w:rsid w:val="004E4FB1"/>
    <w:rsid w:val="004E6120"/>
    <w:rsid w:val="004E71E1"/>
    <w:rsid w:val="004F0D5C"/>
    <w:rsid w:val="004F193B"/>
    <w:rsid w:val="004F1BC3"/>
    <w:rsid w:val="004F2AA4"/>
    <w:rsid w:val="004F35E9"/>
    <w:rsid w:val="004F4190"/>
    <w:rsid w:val="004F6C35"/>
    <w:rsid w:val="005004F1"/>
    <w:rsid w:val="00501AC2"/>
    <w:rsid w:val="00501CCE"/>
    <w:rsid w:val="0050399B"/>
    <w:rsid w:val="00503C8B"/>
    <w:rsid w:val="00503E8F"/>
    <w:rsid w:val="005048A0"/>
    <w:rsid w:val="0050496A"/>
    <w:rsid w:val="00510829"/>
    <w:rsid w:val="005115A6"/>
    <w:rsid w:val="00511F9F"/>
    <w:rsid w:val="005120DA"/>
    <w:rsid w:val="00513352"/>
    <w:rsid w:val="00513E10"/>
    <w:rsid w:val="00517C7D"/>
    <w:rsid w:val="00520C91"/>
    <w:rsid w:val="005215E0"/>
    <w:rsid w:val="00521C8A"/>
    <w:rsid w:val="00522308"/>
    <w:rsid w:val="00522D7C"/>
    <w:rsid w:val="00523BA0"/>
    <w:rsid w:val="00523FA4"/>
    <w:rsid w:val="00523FDC"/>
    <w:rsid w:val="00524A44"/>
    <w:rsid w:val="0052636A"/>
    <w:rsid w:val="00526461"/>
    <w:rsid w:val="005332A5"/>
    <w:rsid w:val="005334A6"/>
    <w:rsid w:val="00533819"/>
    <w:rsid w:val="005369F7"/>
    <w:rsid w:val="005403F5"/>
    <w:rsid w:val="00542926"/>
    <w:rsid w:val="00543656"/>
    <w:rsid w:val="00546A01"/>
    <w:rsid w:val="00547F1A"/>
    <w:rsid w:val="00552148"/>
    <w:rsid w:val="00554FA9"/>
    <w:rsid w:val="005603EF"/>
    <w:rsid w:val="00560D2C"/>
    <w:rsid w:val="00561841"/>
    <w:rsid w:val="005623DD"/>
    <w:rsid w:val="00562CBB"/>
    <w:rsid w:val="0056382B"/>
    <w:rsid w:val="00563BFA"/>
    <w:rsid w:val="00564DCC"/>
    <w:rsid w:val="0056637B"/>
    <w:rsid w:val="005669A8"/>
    <w:rsid w:val="00570686"/>
    <w:rsid w:val="005711E4"/>
    <w:rsid w:val="005726D3"/>
    <w:rsid w:val="0057368B"/>
    <w:rsid w:val="00573745"/>
    <w:rsid w:val="00573A5F"/>
    <w:rsid w:val="005759BC"/>
    <w:rsid w:val="00575C9F"/>
    <w:rsid w:val="00576187"/>
    <w:rsid w:val="005761EA"/>
    <w:rsid w:val="00577768"/>
    <w:rsid w:val="005802EE"/>
    <w:rsid w:val="00580A77"/>
    <w:rsid w:val="00580CE1"/>
    <w:rsid w:val="00581ADF"/>
    <w:rsid w:val="00583B9D"/>
    <w:rsid w:val="0058459C"/>
    <w:rsid w:val="00585270"/>
    <w:rsid w:val="00586E0D"/>
    <w:rsid w:val="0058743C"/>
    <w:rsid w:val="005876C0"/>
    <w:rsid w:val="00590926"/>
    <w:rsid w:val="00592D79"/>
    <w:rsid w:val="005968F1"/>
    <w:rsid w:val="005979FE"/>
    <w:rsid w:val="005A0369"/>
    <w:rsid w:val="005A2100"/>
    <w:rsid w:val="005A32C0"/>
    <w:rsid w:val="005A3B1C"/>
    <w:rsid w:val="005A520F"/>
    <w:rsid w:val="005A5825"/>
    <w:rsid w:val="005A69F5"/>
    <w:rsid w:val="005A6C01"/>
    <w:rsid w:val="005B2B50"/>
    <w:rsid w:val="005B3F0E"/>
    <w:rsid w:val="005B4469"/>
    <w:rsid w:val="005B4556"/>
    <w:rsid w:val="005B6366"/>
    <w:rsid w:val="005B67E9"/>
    <w:rsid w:val="005B7167"/>
    <w:rsid w:val="005C12CE"/>
    <w:rsid w:val="005C4158"/>
    <w:rsid w:val="005C4449"/>
    <w:rsid w:val="005C548B"/>
    <w:rsid w:val="005C5B3A"/>
    <w:rsid w:val="005D0493"/>
    <w:rsid w:val="005D4AA1"/>
    <w:rsid w:val="005D55B0"/>
    <w:rsid w:val="005D6B83"/>
    <w:rsid w:val="005E19B3"/>
    <w:rsid w:val="005E1CD6"/>
    <w:rsid w:val="005E36D6"/>
    <w:rsid w:val="005E5C28"/>
    <w:rsid w:val="005E7B05"/>
    <w:rsid w:val="005F1137"/>
    <w:rsid w:val="005F2A81"/>
    <w:rsid w:val="00601060"/>
    <w:rsid w:val="006017EC"/>
    <w:rsid w:val="00603062"/>
    <w:rsid w:val="00606F6A"/>
    <w:rsid w:val="006110CB"/>
    <w:rsid w:val="006140CD"/>
    <w:rsid w:val="00614B9C"/>
    <w:rsid w:val="0061505C"/>
    <w:rsid w:val="00615A34"/>
    <w:rsid w:val="00616A28"/>
    <w:rsid w:val="00616B95"/>
    <w:rsid w:val="00621032"/>
    <w:rsid w:val="00622714"/>
    <w:rsid w:val="006227C1"/>
    <w:rsid w:val="006253A4"/>
    <w:rsid w:val="00625963"/>
    <w:rsid w:val="0063222F"/>
    <w:rsid w:val="00633E4F"/>
    <w:rsid w:val="0063510B"/>
    <w:rsid w:val="006355A8"/>
    <w:rsid w:val="006360A8"/>
    <w:rsid w:val="00636A8B"/>
    <w:rsid w:val="006373B7"/>
    <w:rsid w:val="00642967"/>
    <w:rsid w:val="006437DC"/>
    <w:rsid w:val="006448E3"/>
    <w:rsid w:val="00647A84"/>
    <w:rsid w:val="00650E2B"/>
    <w:rsid w:val="00651104"/>
    <w:rsid w:val="006511C7"/>
    <w:rsid w:val="00653E04"/>
    <w:rsid w:val="00653E19"/>
    <w:rsid w:val="006545EA"/>
    <w:rsid w:val="0065531F"/>
    <w:rsid w:val="00656287"/>
    <w:rsid w:val="00656AF2"/>
    <w:rsid w:val="00657DDA"/>
    <w:rsid w:val="00660592"/>
    <w:rsid w:val="0066094C"/>
    <w:rsid w:val="006617E1"/>
    <w:rsid w:val="006621BA"/>
    <w:rsid w:val="00662F3B"/>
    <w:rsid w:val="0066427B"/>
    <w:rsid w:val="00664DC0"/>
    <w:rsid w:val="00667A9D"/>
    <w:rsid w:val="00667E89"/>
    <w:rsid w:val="00671611"/>
    <w:rsid w:val="00671B0F"/>
    <w:rsid w:val="00671F15"/>
    <w:rsid w:val="00672957"/>
    <w:rsid w:val="00673288"/>
    <w:rsid w:val="00673935"/>
    <w:rsid w:val="0067432E"/>
    <w:rsid w:val="006769CB"/>
    <w:rsid w:val="00676F11"/>
    <w:rsid w:val="00677D75"/>
    <w:rsid w:val="00682166"/>
    <w:rsid w:val="00682CE7"/>
    <w:rsid w:val="00683309"/>
    <w:rsid w:val="00684B61"/>
    <w:rsid w:val="006923D4"/>
    <w:rsid w:val="00692D07"/>
    <w:rsid w:val="006A0A15"/>
    <w:rsid w:val="006A29CA"/>
    <w:rsid w:val="006A32F9"/>
    <w:rsid w:val="006A4208"/>
    <w:rsid w:val="006A4268"/>
    <w:rsid w:val="006A57FD"/>
    <w:rsid w:val="006A7587"/>
    <w:rsid w:val="006A7CE0"/>
    <w:rsid w:val="006A7DC6"/>
    <w:rsid w:val="006B09FD"/>
    <w:rsid w:val="006B1704"/>
    <w:rsid w:val="006B233F"/>
    <w:rsid w:val="006B2E94"/>
    <w:rsid w:val="006B3506"/>
    <w:rsid w:val="006B3518"/>
    <w:rsid w:val="006B4845"/>
    <w:rsid w:val="006B51DE"/>
    <w:rsid w:val="006B55FD"/>
    <w:rsid w:val="006B5FD6"/>
    <w:rsid w:val="006B7486"/>
    <w:rsid w:val="006B7552"/>
    <w:rsid w:val="006C3727"/>
    <w:rsid w:val="006C372C"/>
    <w:rsid w:val="006C5E82"/>
    <w:rsid w:val="006C69BA"/>
    <w:rsid w:val="006C69D8"/>
    <w:rsid w:val="006C721A"/>
    <w:rsid w:val="006D15E9"/>
    <w:rsid w:val="006D1D00"/>
    <w:rsid w:val="006D1F82"/>
    <w:rsid w:val="006D3157"/>
    <w:rsid w:val="006D3B48"/>
    <w:rsid w:val="006D3C3D"/>
    <w:rsid w:val="006D4ABA"/>
    <w:rsid w:val="006D5261"/>
    <w:rsid w:val="006D58A2"/>
    <w:rsid w:val="006D5AB9"/>
    <w:rsid w:val="006E0D22"/>
    <w:rsid w:val="006E16F8"/>
    <w:rsid w:val="006E193D"/>
    <w:rsid w:val="006E20D0"/>
    <w:rsid w:val="006E2A8A"/>
    <w:rsid w:val="006E2BBF"/>
    <w:rsid w:val="006E3503"/>
    <w:rsid w:val="006E67D9"/>
    <w:rsid w:val="006E73B0"/>
    <w:rsid w:val="006F1AED"/>
    <w:rsid w:val="006F20B6"/>
    <w:rsid w:val="006F3917"/>
    <w:rsid w:val="006F3C2D"/>
    <w:rsid w:val="006F4260"/>
    <w:rsid w:val="006F43E1"/>
    <w:rsid w:val="006F61DD"/>
    <w:rsid w:val="006F7D5F"/>
    <w:rsid w:val="007001D1"/>
    <w:rsid w:val="007009BE"/>
    <w:rsid w:val="007012A7"/>
    <w:rsid w:val="00702A0C"/>
    <w:rsid w:val="00703CA7"/>
    <w:rsid w:val="007066F1"/>
    <w:rsid w:val="00706A06"/>
    <w:rsid w:val="00706B18"/>
    <w:rsid w:val="00707075"/>
    <w:rsid w:val="00710702"/>
    <w:rsid w:val="00712BCF"/>
    <w:rsid w:val="00713770"/>
    <w:rsid w:val="00713D69"/>
    <w:rsid w:val="0071498E"/>
    <w:rsid w:val="00715FC9"/>
    <w:rsid w:val="00716650"/>
    <w:rsid w:val="00716A43"/>
    <w:rsid w:val="00717A5D"/>
    <w:rsid w:val="007204A8"/>
    <w:rsid w:val="00721B39"/>
    <w:rsid w:val="00721D7C"/>
    <w:rsid w:val="007232D7"/>
    <w:rsid w:val="00725E2C"/>
    <w:rsid w:val="0073030C"/>
    <w:rsid w:val="00730361"/>
    <w:rsid w:val="007334C7"/>
    <w:rsid w:val="00734FCC"/>
    <w:rsid w:val="00735390"/>
    <w:rsid w:val="00736D2C"/>
    <w:rsid w:val="00737C86"/>
    <w:rsid w:val="00740567"/>
    <w:rsid w:val="00740EF4"/>
    <w:rsid w:val="00741D0C"/>
    <w:rsid w:val="00743BC3"/>
    <w:rsid w:val="0074410E"/>
    <w:rsid w:val="0074515B"/>
    <w:rsid w:val="00745F20"/>
    <w:rsid w:val="00747C95"/>
    <w:rsid w:val="00747EAF"/>
    <w:rsid w:val="00750AC1"/>
    <w:rsid w:val="00752277"/>
    <w:rsid w:val="00752E35"/>
    <w:rsid w:val="0075466A"/>
    <w:rsid w:val="00754EFC"/>
    <w:rsid w:val="00755B6C"/>
    <w:rsid w:val="00760EB0"/>
    <w:rsid w:val="007613F8"/>
    <w:rsid w:val="00761DDB"/>
    <w:rsid w:val="007623E0"/>
    <w:rsid w:val="007639CC"/>
    <w:rsid w:val="007663E3"/>
    <w:rsid w:val="007663F4"/>
    <w:rsid w:val="007674BA"/>
    <w:rsid w:val="00767D7E"/>
    <w:rsid w:val="0077142F"/>
    <w:rsid w:val="00772D2B"/>
    <w:rsid w:val="0077491B"/>
    <w:rsid w:val="007763CD"/>
    <w:rsid w:val="00776712"/>
    <w:rsid w:val="00776ED4"/>
    <w:rsid w:val="00776FF0"/>
    <w:rsid w:val="007771F6"/>
    <w:rsid w:val="00780997"/>
    <w:rsid w:val="0078336E"/>
    <w:rsid w:val="007860D4"/>
    <w:rsid w:val="00786ACF"/>
    <w:rsid w:val="00786CF3"/>
    <w:rsid w:val="007907BE"/>
    <w:rsid w:val="0079196E"/>
    <w:rsid w:val="007919AD"/>
    <w:rsid w:val="00793D89"/>
    <w:rsid w:val="007964B8"/>
    <w:rsid w:val="00796525"/>
    <w:rsid w:val="00796B87"/>
    <w:rsid w:val="007A08DE"/>
    <w:rsid w:val="007A18E9"/>
    <w:rsid w:val="007A5374"/>
    <w:rsid w:val="007A6F21"/>
    <w:rsid w:val="007A6F3F"/>
    <w:rsid w:val="007B1656"/>
    <w:rsid w:val="007B2473"/>
    <w:rsid w:val="007B37C0"/>
    <w:rsid w:val="007B3C89"/>
    <w:rsid w:val="007B3F7F"/>
    <w:rsid w:val="007B47B1"/>
    <w:rsid w:val="007B5139"/>
    <w:rsid w:val="007B79C3"/>
    <w:rsid w:val="007C4245"/>
    <w:rsid w:val="007C730C"/>
    <w:rsid w:val="007C7435"/>
    <w:rsid w:val="007C7817"/>
    <w:rsid w:val="007C7B04"/>
    <w:rsid w:val="007D02CF"/>
    <w:rsid w:val="007D5BC8"/>
    <w:rsid w:val="007E2549"/>
    <w:rsid w:val="007E34F6"/>
    <w:rsid w:val="007E4137"/>
    <w:rsid w:val="007E4B58"/>
    <w:rsid w:val="007E4DEF"/>
    <w:rsid w:val="007E571B"/>
    <w:rsid w:val="007E5FDE"/>
    <w:rsid w:val="007E735D"/>
    <w:rsid w:val="007E7A76"/>
    <w:rsid w:val="007F1922"/>
    <w:rsid w:val="007F3C2B"/>
    <w:rsid w:val="007F4005"/>
    <w:rsid w:val="007F4F2B"/>
    <w:rsid w:val="007F5E7C"/>
    <w:rsid w:val="007F62EE"/>
    <w:rsid w:val="00800195"/>
    <w:rsid w:val="00800906"/>
    <w:rsid w:val="00804796"/>
    <w:rsid w:val="00805E5E"/>
    <w:rsid w:val="00806357"/>
    <w:rsid w:val="008065E1"/>
    <w:rsid w:val="00807016"/>
    <w:rsid w:val="00807290"/>
    <w:rsid w:val="008079DE"/>
    <w:rsid w:val="0081224D"/>
    <w:rsid w:val="00812646"/>
    <w:rsid w:val="00816749"/>
    <w:rsid w:val="00816C04"/>
    <w:rsid w:val="00820DA6"/>
    <w:rsid w:val="008213A4"/>
    <w:rsid w:val="00824202"/>
    <w:rsid w:val="00824476"/>
    <w:rsid w:val="00824691"/>
    <w:rsid w:val="00827C85"/>
    <w:rsid w:val="00830EF1"/>
    <w:rsid w:val="00832CA7"/>
    <w:rsid w:val="008332AA"/>
    <w:rsid w:val="008352E6"/>
    <w:rsid w:val="00835A77"/>
    <w:rsid w:val="00843925"/>
    <w:rsid w:val="00844797"/>
    <w:rsid w:val="008452F7"/>
    <w:rsid w:val="0084553D"/>
    <w:rsid w:val="00845B56"/>
    <w:rsid w:val="00847626"/>
    <w:rsid w:val="00847807"/>
    <w:rsid w:val="008479CE"/>
    <w:rsid w:val="00850468"/>
    <w:rsid w:val="00852875"/>
    <w:rsid w:val="008528FC"/>
    <w:rsid w:val="00852E07"/>
    <w:rsid w:val="00857F5D"/>
    <w:rsid w:val="00860BD0"/>
    <w:rsid w:val="008618BB"/>
    <w:rsid w:val="00861F86"/>
    <w:rsid w:val="00864157"/>
    <w:rsid w:val="00865F97"/>
    <w:rsid w:val="00873D12"/>
    <w:rsid w:val="00876457"/>
    <w:rsid w:val="00881680"/>
    <w:rsid w:val="00884880"/>
    <w:rsid w:val="008874F6"/>
    <w:rsid w:val="00887F04"/>
    <w:rsid w:val="00890FFB"/>
    <w:rsid w:val="008920D1"/>
    <w:rsid w:val="00892351"/>
    <w:rsid w:val="00893304"/>
    <w:rsid w:val="008934B2"/>
    <w:rsid w:val="00893FA2"/>
    <w:rsid w:val="0089489A"/>
    <w:rsid w:val="00895264"/>
    <w:rsid w:val="00895587"/>
    <w:rsid w:val="00895A60"/>
    <w:rsid w:val="00896DBD"/>
    <w:rsid w:val="0089703A"/>
    <w:rsid w:val="008A0F15"/>
    <w:rsid w:val="008A2E0B"/>
    <w:rsid w:val="008A4C26"/>
    <w:rsid w:val="008A56D7"/>
    <w:rsid w:val="008A6110"/>
    <w:rsid w:val="008A6DC1"/>
    <w:rsid w:val="008A705C"/>
    <w:rsid w:val="008A7834"/>
    <w:rsid w:val="008B3891"/>
    <w:rsid w:val="008B4E3C"/>
    <w:rsid w:val="008B4FEC"/>
    <w:rsid w:val="008B7859"/>
    <w:rsid w:val="008B7C72"/>
    <w:rsid w:val="008C00BE"/>
    <w:rsid w:val="008C0769"/>
    <w:rsid w:val="008C0C7D"/>
    <w:rsid w:val="008C2CB8"/>
    <w:rsid w:val="008C30AF"/>
    <w:rsid w:val="008C48C6"/>
    <w:rsid w:val="008C4E08"/>
    <w:rsid w:val="008C5471"/>
    <w:rsid w:val="008D226A"/>
    <w:rsid w:val="008D3BEB"/>
    <w:rsid w:val="008D3FF6"/>
    <w:rsid w:val="008D5878"/>
    <w:rsid w:val="008D7E93"/>
    <w:rsid w:val="008E02A3"/>
    <w:rsid w:val="008E1043"/>
    <w:rsid w:val="008E2435"/>
    <w:rsid w:val="008E3BBB"/>
    <w:rsid w:val="008E5239"/>
    <w:rsid w:val="008E62B9"/>
    <w:rsid w:val="008E66DE"/>
    <w:rsid w:val="008E6D31"/>
    <w:rsid w:val="008F036F"/>
    <w:rsid w:val="008F0649"/>
    <w:rsid w:val="008F1101"/>
    <w:rsid w:val="008F2493"/>
    <w:rsid w:val="008F2F5A"/>
    <w:rsid w:val="008F65CB"/>
    <w:rsid w:val="008F782F"/>
    <w:rsid w:val="0090279D"/>
    <w:rsid w:val="00904947"/>
    <w:rsid w:val="00904D86"/>
    <w:rsid w:val="00906171"/>
    <w:rsid w:val="0091139A"/>
    <w:rsid w:val="00912494"/>
    <w:rsid w:val="0091287C"/>
    <w:rsid w:val="00913D76"/>
    <w:rsid w:val="009206AE"/>
    <w:rsid w:val="00922EB6"/>
    <w:rsid w:val="00923094"/>
    <w:rsid w:val="00924884"/>
    <w:rsid w:val="009255B1"/>
    <w:rsid w:val="00925D3C"/>
    <w:rsid w:val="0092663E"/>
    <w:rsid w:val="00926E69"/>
    <w:rsid w:val="009278ED"/>
    <w:rsid w:val="00930201"/>
    <w:rsid w:val="00931DA4"/>
    <w:rsid w:val="009320B2"/>
    <w:rsid w:val="00937325"/>
    <w:rsid w:val="0093764D"/>
    <w:rsid w:val="00937739"/>
    <w:rsid w:val="00943AED"/>
    <w:rsid w:val="00943DAC"/>
    <w:rsid w:val="009448F4"/>
    <w:rsid w:val="009506FC"/>
    <w:rsid w:val="00950DF6"/>
    <w:rsid w:val="00950F71"/>
    <w:rsid w:val="00950F90"/>
    <w:rsid w:val="00951669"/>
    <w:rsid w:val="009517B8"/>
    <w:rsid w:val="00951E11"/>
    <w:rsid w:val="00952630"/>
    <w:rsid w:val="009538CA"/>
    <w:rsid w:val="00954DC4"/>
    <w:rsid w:val="00955524"/>
    <w:rsid w:val="00955D7F"/>
    <w:rsid w:val="009567A9"/>
    <w:rsid w:val="009622F8"/>
    <w:rsid w:val="0096248F"/>
    <w:rsid w:val="00966344"/>
    <w:rsid w:val="00970065"/>
    <w:rsid w:val="009700A5"/>
    <w:rsid w:val="00970B0F"/>
    <w:rsid w:val="00971D41"/>
    <w:rsid w:val="00972791"/>
    <w:rsid w:val="00974607"/>
    <w:rsid w:val="0097617A"/>
    <w:rsid w:val="00976AC3"/>
    <w:rsid w:val="00980239"/>
    <w:rsid w:val="009813CB"/>
    <w:rsid w:val="00982EC9"/>
    <w:rsid w:val="009850DF"/>
    <w:rsid w:val="00986DB8"/>
    <w:rsid w:val="00990D93"/>
    <w:rsid w:val="00995889"/>
    <w:rsid w:val="00995FCB"/>
    <w:rsid w:val="0099789F"/>
    <w:rsid w:val="009A0C8D"/>
    <w:rsid w:val="009A4DF9"/>
    <w:rsid w:val="009A64E9"/>
    <w:rsid w:val="009A6720"/>
    <w:rsid w:val="009A70A9"/>
    <w:rsid w:val="009A7849"/>
    <w:rsid w:val="009B1F83"/>
    <w:rsid w:val="009B2685"/>
    <w:rsid w:val="009B325C"/>
    <w:rsid w:val="009B3EC1"/>
    <w:rsid w:val="009B51C8"/>
    <w:rsid w:val="009B5595"/>
    <w:rsid w:val="009B7DC6"/>
    <w:rsid w:val="009B7DCC"/>
    <w:rsid w:val="009C0C4D"/>
    <w:rsid w:val="009C56D9"/>
    <w:rsid w:val="009C7884"/>
    <w:rsid w:val="009C7B80"/>
    <w:rsid w:val="009C7D00"/>
    <w:rsid w:val="009D0A0B"/>
    <w:rsid w:val="009D1962"/>
    <w:rsid w:val="009D235F"/>
    <w:rsid w:val="009D2F54"/>
    <w:rsid w:val="009D3CE6"/>
    <w:rsid w:val="009D6100"/>
    <w:rsid w:val="009E1B7E"/>
    <w:rsid w:val="009E4CC5"/>
    <w:rsid w:val="009E5A92"/>
    <w:rsid w:val="009E716D"/>
    <w:rsid w:val="009F0DCB"/>
    <w:rsid w:val="009F31B8"/>
    <w:rsid w:val="009F3464"/>
    <w:rsid w:val="009F3492"/>
    <w:rsid w:val="009F4168"/>
    <w:rsid w:val="009F4D60"/>
    <w:rsid w:val="009F4DB6"/>
    <w:rsid w:val="009F60FD"/>
    <w:rsid w:val="009F694B"/>
    <w:rsid w:val="00A0187B"/>
    <w:rsid w:val="00A02C6C"/>
    <w:rsid w:val="00A0394E"/>
    <w:rsid w:val="00A0593D"/>
    <w:rsid w:val="00A06B70"/>
    <w:rsid w:val="00A10ABE"/>
    <w:rsid w:val="00A14190"/>
    <w:rsid w:val="00A14589"/>
    <w:rsid w:val="00A214C3"/>
    <w:rsid w:val="00A22E2D"/>
    <w:rsid w:val="00A322EF"/>
    <w:rsid w:val="00A410D0"/>
    <w:rsid w:val="00A41A72"/>
    <w:rsid w:val="00A42290"/>
    <w:rsid w:val="00A436EE"/>
    <w:rsid w:val="00A44416"/>
    <w:rsid w:val="00A4779D"/>
    <w:rsid w:val="00A47D5B"/>
    <w:rsid w:val="00A500FA"/>
    <w:rsid w:val="00A5066C"/>
    <w:rsid w:val="00A5277A"/>
    <w:rsid w:val="00A54CF3"/>
    <w:rsid w:val="00A57996"/>
    <w:rsid w:val="00A6007E"/>
    <w:rsid w:val="00A60B2D"/>
    <w:rsid w:val="00A625F6"/>
    <w:rsid w:val="00A628EA"/>
    <w:rsid w:val="00A6292F"/>
    <w:rsid w:val="00A63C1B"/>
    <w:rsid w:val="00A640DA"/>
    <w:rsid w:val="00A65143"/>
    <w:rsid w:val="00A67D19"/>
    <w:rsid w:val="00A70457"/>
    <w:rsid w:val="00A70780"/>
    <w:rsid w:val="00A710E9"/>
    <w:rsid w:val="00A712E2"/>
    <w:rsid w:val="00A743D5"/>
    <w:rsid w:val="00A766E9"/>
    <w:rsid w:val="00A80DAC"/>
    <w:rsid w:val="00A810F0"/>
    <w:rsid w:val="00A8481B"/>
    <w:rsid w:val="00A85990"/>
    <w:rsid w:val="00A86E2E"/>
    <w:rsid w:val="00A912C5"/>
    <w:rsid w:val="00A9377B"/>
    <w:rsid w:val="00A95E42"/>
    <w:rsid w:val="00AA0849"/>
    <w:rsid w:val="00AA0930"/>
    <w:rsid w:val="00AA0DFC"/>
    <w:rsid w:val="00AA0FD4"/>
    <w:rsid w:val="00AA16E1"/>
    <w:rsid w:val="00AA1B22"/>
    <w:rsid w:val="00AA22A9"/>
    <w:rsid w:val="00AA242E"/>
    <w:rsid w:val="00AA2F2B"/>
    <w:rsid w:val="00AA3C03"/>
    <w:rsid w:val="00AA4887"/>
    <w:rsid w:val="00AA7A16"/>
    <w:rsid w:val="00AA7EF4"/>
    <w:rsid w:val="00AB0011"/>
    <w:rsid w:val="00AB091B"/>
    <w:rsid w:val="00AB2D8C"/>
    <w:rsid w:val="00AB5486"/>
    <w:rsid w:val="00AB5571"/>
    <w:rsid w:val="00AC026A"/>
    <w:rsid w:val="00AC0CF3"/>
    <w:rsid w:val="00AC16B5"/>
    <w:rsid w:val="00AC2AFF"/>
    <w:rsid w:val="00AC2BFB"/>
    <w:rsid w:val="00AC4198"/>
    <w:rsid w:val="00AC6BE0"/>
    <w:rsid w:val="00AC771F"/>
    <w:rsid w:val="00AD1D71"/>
    <w:rsid w:val="00AD23CB"/>
    <w:rsid w:val="00AD34D8"/>
    <w:rsid w:val="00AD4303"/>
    <w:rsid w:val="00AD511C"/>
    <w:rsid w:val="00AD6A8C"/>
    <w:rsid w:val="00AD6FDC"/>
    <w:rsid w:val="00AE3786"/>
    <w:rsid w:val="00AE507A"/>
    <w:rsid w:val="00AE7562"/>
    <w:rsid w:val="00AF2650"/>
    <w:rsid w:val="00AF401F"/>
    <w:rsid w:val="00AF51BE"/>
    <w:rsid w:val="00AF7420"/>
    <w:rsid w:val="00B02592"/>
    <w:rsid w:val="00B066BA"/>
    <w:rsid w:val="00B07C65"/>
    <w:rsid w:val="00B07F32"/>
    <w:rsid w:val="00B10EE1"/>
    <w:rsid w:val="00B1153B"/>
    <w:rsid w:val="00B12390"/>
    <w:rsid w:val="00B125C2"/>
    <w:rsid w:val="00B128C3"/>
    <w:rsid w:val="00B136EC"/>
    <w:rsid w:val="00B14642"/>
    <w:rsid w:val="00B146D2"/>
    <w:rsid w:val="00B17F8B"/>
    <w:rsid w:val="00B201CC"/>
    <w:rsid w:val="00B211EF"/>
    <w:rsid w:val="00B22387"/>
    <w:rsid w:val="00B248E8"/>
    <w:rsid w:val="00B24E3D"/>
    <w:rsid w:val="00B256DF"/>
    <w:rsid w:val="00B259A4"/>
    <w:rsid w:val="00B26336"/>
    <w:rsid w:val="00B26D70"/>
    <w:rsid w:val="00B322A7"/>
    <w:rsid w:val="00B32C20"/>
    <w:rsid w:val="00B32F1B"/>
    <w:rsid w:val="00B3427E"/>
    <w:rsid w:val="00B3481A"/>
    <w:rsid w:val="00B34CA2"/>
    <w:rsid w:val="00B35420"/>
    <w:rsid w:val="00B35C55"/>
    <w:rsid w:val="00B36C22"/>
    <w:rsid w:val="00B376AA"/>
    <w:rsid w:val="00B40A67"/>
    <w:rsid w:val="00B412D5"/>
    <w:rsid w:val="00B41981"/>
    <w:rsid w:val="00B439A0"/>
    <w:rsid w:val="00B43C3E"/>
    <w:rsid w:val="00B46E3B"/>
    <w:rsid w:val="00B47CEA"/>
    <w:rsid w:val="00B5332E"/>
    <w:rsid w:val="00B53D78"/>
    <w:rsid w:val="00B57BA2"/>
    <w:rsid w:val="00B633AD"/>
    <w:rsid w:val="00B636EB"/>
    <w:rsid w:val="00B64161"/>
    <w:rsid w:val="00B6435D"/>
    <w:rsid w:val="00B664AA"/>
    <w:rsid w:val="00B674DD"/>
    <w:rsid w:val="00B67E7F"/>
    <w:rsid w:val="00B7228D"/>
    <w:rsid w:val="00B72A71"/>
    <w:rsid w:val="00B7387C"/>
    <w:rsid w:val="00B75559"/>
    <w:rsid w:val="00B76DB9"/>
    <w:rsid w:val="00B7701D"/>
    <w:rsid w:val="00B8006F"/>
    <w:rsid w:val="00B82216"/>
    <w:rsid w:val="00B84783"/>
    <w:rsid w:val="00B85F3E"/>
    <w:rsid w:val="00B86495"/>
    <w:rsid w:val="00B9001E"/>
    <w:rsid w:val="00B902E7"/>
    <w:rsid w:val="00B91004"/>
    <w:rsid w:val="00B92E9D"/>
    <w:rsid w:val="00B932A4"/>
    <w:rsid w:val="00B93D12"/>
    <w:rsid w:val="00B93EDB"/>
    <w:rsid w:val="00B953EF"/>
    <w:rsid w:val="00B96857"/>
    <w:rsid w:val="00BA0461"/>
    <w:rsid w:val="00BA584C"/>
    <w:rsid w:val="00BA6243"/>
    <w:rsid w:val="00BB02EF"/>
    <w:rsid w:val="00BB181F"/>
    <w:rsid w:val="00BB3E31"/>
    <w:rsid w:val="00BB65CF"/>
    <w:rsid w:val="00BB7F4E"/>
    <w:rsid w:val="00BC21B1"/>
    <w:rsid w:val="00BC55AF"/>
    <w:rsid w:val="00BC5835"/>
    <w:rsid w:val="00BC62F4"/>
    <w:rsid w:val="00BD0C8B"/>
    <w:rsid w:val="00BD2C34"/>
    <w:rsid w:val="00BD3488"/>
    <w:rsid w:val="00BD4F47"/>
    <w:rsid w:val="00BD5730"/>
    <w:rsid w:val="00BE102C"/>
    <w:rsid w:val="00BE1A30"/>
    <w:rsid w:val="00BE29AB"/>
    <w:rsid w:val="00BE3B5B"/>
    <w:rsid w:val="00BE3E9C"/>
    <w:rsid w:val="00BE6B9D"/>
    <w:rsid w:val="00BE7D8B"/>
    <w:rsid w:val="00BF1055"/>
    <w:rsid w:val="00BF16D1"/>
    <w:rsid w:val="00BF1F56"/>
    <w:rsid w:val="00BF2109"/>
    <w:rsid w:val="00BF29D6"/>
    <w:rsid w:val="00BF2A06"/>
    <w:rsid w:val="00BF3D11"/>
    <w:rsid w:val="00BF4151"/>
    <w:rsid w:val="00BF6519"/>
    <w:rsid w:val="00BF6E5C"/>
    <w:rsid w:val="00BF7853"/>
    <w:rsid w:val="00C00009"/>
    <w:rsid w:val="00C00107"/>
    <w:rsid w:val="00C03487"/>
    <w:rsid w:val="00C03E92"/>
    <w:rsid w:val="00C043DE"/>
    <w:rsid w:val="00C04A26"/>
    <w:rsid w:val="00C05580"/>
    <w:rsid w:val="00C0609C"/>
    <w:rsid w:val="00C063A7"/>
    <w:rsid w:val="00C06402"/>
    <w:rsid w:val="00C06462"/>
    <w:rsid w:val="00C06694"/>
    <w:rsid w:val="00C06FA0"/>
    <w:rsid w:val="00C10E14"/>
    <w:rsid w:val="00C10E5C"/>
    <w:rsid w:val="00C11ABD"/>
    <w:rsid w:val="00C122B3"/>
    <w:rsid w:val="00C1267A"/>
    <w:rsid w:val="00C12D16"/>
    <w:rsid w:val="00C1486E"/>
    <w:rsid w:val="00C16BE4"/>
    <w:rsid w:val="00C17535"/>
    <w:rsid w:val="00C17B5C"/>
    <w:rsid w:val="00C20C98"/>
    <w:rsid w:val="00C20EEB"/>
    <w:rsid w:val="00C22DA4"/>
    <w:rsid w:val="00C233B6"/>
    <w:rsid w:val="00C24351"/>
    <w:rsid w:val="00C24D73"/>
    <w:rsid w:val="00C25A65"/>
    <w:rsid w:val="00C267EF"/>
    <w:rsid w:val="00C26F85"/>
    <w:rsid w:val="00C27302"/>
    <w:rsid w:val="00C30729"/>
    <w:rsid w:val="00C30770"/>
    <w:rsid w:val="00C31C66"/>
    <w:rsid w:val="00C32CED"/>
    <w:rsid w:val="00C33E90"/>
    <w:rsid w:val="00C34666"/>
    <w:rsid w:val="00C3500A"/>
    <w:rsid w:val="00C35015"/>
    <w:rsid w:val="00C365A8"/>
    <w:rsid w:val="00C40126"/>
    <w:rsid w:val="00C417B3"/>
    <w:rsid w:val="00C437DD"/>
    <w:rsid w:val="00C458E9"/>
    <w:rsid w:val="00C46B5B"/>
    <w:rsid w:val="00C47135"/>
    <w:rsid w:val="00C47677"/>
    <w:rsid w:val="00C47E67"/>
    <w:rsid w:val="00C51F67"/>
    <w:rsid w:val="00C53D25"/>
    <w:rsid w:val="00C53E79"/>
    <w:rsid w:val="00C557B0"/>
    <w:rsid w:val="00C5686B"/>
    <w:rsid w:val="00C56C98"/>
    <w:rsid w:val="00C57812"/>
    <w:rsid w:val="00C57BC7"/>
    <w:rsid w:val="00C60359"/>
    <w:rsid w:val="00C6048C"/>
    <w:rsid w:val="00C61703"/>
    <w:rsid w:val="00C61CA8"/>
    <w:rsid w:val="00C6332D"/>
    <w:rsid w:val="00C661DD"/>
    <w:rsid w:val="00C6639F"/>
    <w:rsid w:val="00C71362"/>
    <w:rsid w:val="00C73217"/>
    <w:rsid w:val="00C76212"/>
    <w:rsid w:val="00C767C7"/>
    <w:rsid w:val="00C80CCB"/>
    <w:rsid w:val="00C8165D"/>
    <w:rsid w:val="00C84070"/>
    <w:rsid w:val="00C840D4"/>
    <w:rsid w:val="00C84513"/>
    <w:rsid w:val="00C847AF"/>
    <w:rsid w:val="00C84AA5"/>
    <w:rsid w:val="00C8657D"/>
    <w:rsid w:val="00C87946"/>
    <w:rsid w:val="00C91BDC"/>
    <w:rsid w:val="00C93F29"/>
    <w:rsid w:val="00C946F0"/>
    <w:rsid w:val="00C94C5A"/>
    <w:rsid w:val="00C9536B"/>
    <w:rsid w:val="00C95A24"/>
    <w:rsid w:val="00CA0580"/>
    <w:rsid w:val="00CA0830"/>
    <w:rsid w:val="00CA208E"/>
    <w:rsid w:val="00CA356B"/>
    <w:rsid w:val="00CA3B40"/>
    <w:rsid w:val="00CA5063"/>
    <w:rsid w:val="00CA64BB"/>
    <w:rsid w:val="00CA65C1"/>
    <w:rsid w:val="00CA7270"/>
    <w:rsid w:val="00CB0F37"/>
    <w:rsid w:val="00CB2C8C"/>
    <w:rsid w:val="00CB3AE9"/>
    <w:rsid w:val="00CB5672"/>
    <w:rsid w:val="00CB5D1E"/>
    <w:rsid w:val="00CB5F6A"/>
    <w:rsid w:val="00CC1CEC"/>
    <w:rsid w:val="00CC2619"/>
    <w:rsid w:val="00CC2C02"/>
    <w:rsid w:val="00CC3134"/>
    <w:rsid w:val="00CC3EF8"/>
    <w:rsid w:val="00CC49B2"/>
    <w:rsid w:val="00CC4DD0"/>
    <w:rsid w:val="00CC6EB2"/>
    <w:rsid w:val="00CC753E"/>
    <w:rsid w:val="00CD0193"/>
    <w:rsid w:val="00CD2B90"/>
    <w:rsid w:val="00CD34A3"/>
    <w:rsid w:val="00CD470F"/>
    <w:rsid w:val="00CD5C27"/>
    <w:rsid w:val="00CE10AB"/>
    <w:rsid w:val="00CE1D9E"/>
    <w:rsid w:val="00CE29E9"/>
    <w:rsid w:val="00CE629C"/>
    <w:rsid w:val="00CE718C"/>
    <w:rsid w:val="00CE772C"/>
    <w:rsid w:val="00CF19FA"/>
    <w:rsid w:val="00CF265B"/>
    <w:rsid w:val="00CF4D0E"/>
    <w:rsid w:val="00CF4D66"/>
    <w:rsid w:val="00CF51BB"/>
    <w:rsid w:val="00CF549A"/>
    <w:rsid w:val="00CF6348"/>
    <w:rsid w:val="00CF67AE"/>
    <w:rsid w:val="00CF7057"/>
    <w:rsid w:val="00D01341"/>
    <w:rsid w:val="00D01FD5"/>
    <w:rsid w:val="00D02DDD"/>
    <w:rsid w:val="00D040FC"/>
    <w:rsid w:val="00D04931"/>
    <w:rsid w:val="00D06B9E"/>
    <w:rsid w:val="00D07EC1"/>
    <w:rsid w:val="00D100F8"/>
    <w:rsid w:val="00D10BA8"/>
    <w:rsid w:val="00D11EC4"/>
    <w:rsid w:val="00D12BF2"/>
    <w:rsid w:val="00D12D34"/>
    <w:rsid w:val="00D13722"/>
    <w:rsid w:val="00D1557B"/>
    <w:rsid w:val="00D173A6"/>
    <w:rsid w:val="00D1760E"/>
    <w:rsid w:val="00D17811"/>
    <w:rsid w:val="00D21423"/>
    <w:rsid w:val="00D21946"/>
    <w:rsid w:val="00D21F9E"/>
    <w:rsid w:val="00D21FD9"/>
    <w:rsid w:val="00D23391"/>
    <w:rsid w:val="00D23968"/>
    <w:rsid w:val="00D2507C"/>
    <w:rsid w:val="00D25D8A"/>
    <w:rsid w:val="00D308D2"/>
    <w:rsid w:val="00D31197"/>
    <w:rsid w:val="00D32BA9"/>
    <w:rsid w:val="00D340FA"/>
    <w:rsid w:val="00D34E1B"/>
    <w:rsid w:val="00D40B1E"/>
    <w:rsid w:val="00D41291"/>
    <w:rsid w:val="00D42893"/>
    <w:rsid w:val="00D42CB8"/>
    <w:rsid w:val="00D43FC5"/>
    <w:rsid w:val="00D45B58"/>
    <w:rsid w:val="00D47151"/>
    <w:rsid w:val="00D47BDC"/>
    <w:rsid w:val="00D50191"/>
    <w:rsid w:val="00D50381"/>
    <w:rsid w:val="00D50D7A"/>
    <w:rsid w:val="00D511A8"/>
    <w:rsid w:val="00D526A9"/>
    <w:rsid w:val="00D532FD"/>
    <w:rsid w:val="00D5368D"/>
    <w:rsid w:val="00D54F7D"/>
    <w:rsid w:val="00D5509B"/>
    <w:rsid w:val="00D555D4"/>
    <w:rsid w:val="00D56F1A"/>
    <w:rsid w:val="00D5767A"/>
    <w:rsid w:val="00D57D3F"/>
    <w:rsid w:val="00D650FD"/>
    <w:rsid w:val="00D652FF"/>
    <w:rsid w:val="00D6662E"/>
    <w:rsid w:val="00D66A1A"/>
    <w:rsid w:val="00D67739"/>
    <w:rsid w:val="00D71D7F"/>
    <w:rsid w:val="00D72794"/>
    <w:rsid w:val="00D72EB6"/>
    <w:rsid w:val="00D73EAF"/>
    <w:rsid w:val="00D7464A"/>
    <w:rsid w:val="00D74F04"/>
    <w:rsid w:val="00D770EA"/>
    <w:rsid w:val="00D80AD1"/>
    <w:rsid w:val="00D831B4"/>
    <w:rsid w:val="00D85CCE"/>
    <w:rsid w:val="00D9349A"/>
    <w:rsid w:val="00D954EA"/>
    <w:rsid w:val="00D95E29"/>
    <w:rsid w:val="00D961C3"/>
    <w:rsid w:val="00D97130"/>
    <w:rsid w:val="00DA0E0A"/>
    <w:rsid w:val="00DA2652"/>
    <w:rsid w:val="00DA5CA4"/>
    <w:rsid w:val="00DB0285"/>
    <w:rsid w:val="00DB0394"/>
    <w:rsid w:val="00DB28BE"/>
    <w:rsid w:val="00DB3D6B"/>
    <w:rsid w:val="00DB4BFF"/>
    <w:rsid w:val="00DB4C82"/>
    <w:rsid w:val="00DB4F97"/>
    <w:rsid w:val="00DC01FA"/>
    <w:rsid w:val="00DC28E4"/>
    <w:rsid w:val="00DC4373"/>
    <w:rsid w:val="00DC58C4"/>
    <w:rsid w:val="00DC5DDA"/>
    <w:rsid w:val="00DC681F"/>
    <w:rsid w:val="00DC6EEC"/>
    <w:rsid w:val="00DD11CE"/>
    <w:rsid w:val="00DD2C60"/>
    <w:rsid w:val="00DD49C6"/>
    <w:rsid w:val="00DD5E3F"/>
    <w:rsid w:val="00DD5F6E"/>
    <w:rsid w:val="00DE0EC0"/>
    <w:rsid w:val="00DE280B"/>
    <w:rsid w:val="00DE3305"/>
    <w:rsid w:val="00DE3979"/>
    <w:rsid w:val="00DE497A"/>
    <w:rsid w:val="00DE5805"/>
    <w:rsid w:val="00DE5819"/>
    <w:rsid w:val="00DE59B9"/>
    <w:rsid w:val="00DE6766"/>
    <w:rsid w:val="00DE6E7F"/>
    <w:rsid w:val="00DE77D0"/>
    <w:rsid w:val="00DF1A47"/>
    <w:rsid w:val="00DF2243"/>
    <w:rsid w:val="00DF2676"/>
    <w:rsid w:val="00DF2858"/>
    <w:rsid w:val="00DF2D9E"/>
    <w:rsid w:val="00DF4CFB"/>
    <w:rsid w:val="00DF4D00"/>
    <w:rsid w:val="00DF5720"/>
    <w:rsid w:val="00DF5DEB"/>
    <w:rsid w:val="00DF6581"/>
    <w:rsid w:val="00DF66B4"/>
    <w:rsid w:val="00DF6B5D"/>
    <w:rsid w:val="00E00FA3"/>
    <w:rsid w:val="00E01664"/>
    <w:rsid w:val="00E03F69"/>
    <w:rsid w:val="00E04132"/>
    <w:rsid w:val="00E04AE9"/>
    <w:rsid w:val="00E070F4"/>
    <w:rsid w:val="00E0736F"/>
    <w:rsid w:val="00E12821"/>
    <w:rsid w:val="00E13A08"/>
    <w:rsid w:val="00E13F56"/>
    <w:rsid w:val="00E1405F"/>
    <w:rsid w:val="00E1470B"/>
    <w:rsid w:val="00E15D78"/>
    <w:rsid w:val="00E15EC0"/>
    <w:rsid w:val="00E201DD"/>
    <w:rsid w:val="00E212A3"/>
    <w:rsid w:val="00E21949"/>
    <w:rsid w:val="00E229CE"/>
    <w:rsid w:val="00E237F6"/>
    <w:rsid w:val="00E245D2"/>
    <w:rsid w:val="00E25A98"/>
    <w:rsid w:val="00E26703"/>
    <w:rsid w:val="00E27335"/>
    <w:rsid w:val="00E30186"/>
    <w:rsid w:val="00E30A95"/>
    <w:rsid w:val="00E31E65"/>
    <w:rsid w:val="00E324EF"/>
    <w:rsid w:val="00E32B69"/>
    <w:rsid w:val="00E3422E"/>
    <w:rsid w:val="00E40E96"/>
    <w:rsid w:val="00E4138E"/>
    <w:rsid w:val="00E43A87"/>
    <w:rsid w:val="00E459B7"/>
    <w:rsid w:val="00E45F66"/>
    <w:rsid w:val="00E4693E"/>
    <w:rsid w:val="00E51798"/>
    <w:rsid w:val="00E52353"/>
    <w:rsid w:val="00E531FE"/>
    <w:rsid w:val="00E535CE"/>
    <w:rsid w:val="00E53915"/>
    <w:rsid w:val="00E55FB5"/>
    <w:rsid w:val="00E565FE"/>
    <w:rsid w:val="00E576EA"/>
    <w:rsid w:val="00E60A95"/>
    <w:rsid w:val="00E6138C"/>
    <w:rsid w:val="00E6200C"/>
    <w:rsid w:val="00E64EC3"/>
    <w:rsid w:val="00E67B14"/>
    <w:rsid w:val="00E705D2"/>
    <w:rsid w:val="00E72147"/>
    <w:rsid w:val="00E74A3B"/>
    <w:rsid w:val="00E75FF1"/>
    <w:rsid w:val="00E76010"/>
    <w:rsid w:val="00E76171"/>
    <w:rsid w:val="00E76B2D"/>
    <w:rsid w:val="00E7719C"/>
    <w:rsid w:val="00E77F05"/>
    <w:rsid w:val="00E83EF0"/>
    <w:rsid w:val="00E8448B"/>
    <w:rsid w:val="00E8618B"/>
    <w:rsid w:val="00E922D3"/>
    <w:rsid w:val="00E922EC"/>
    <w:rsid w:val="00E92C33"/>
    <w:rsid w:val="00E9351C"/>
    <w:rsid w:val="00E93920"/>
    <w:rsid w:val="00E93F52"/>
    <w:rsid w:val="00E94B7F"/>
    <w:rsid w:val="00E97F3F"/>
    <w:rsid w:val="00EA1421"/>
    <w:rsid w:val="00EA1F10"/>
    <w:rsid w:val="00EA1F38"/>
    <w:rsid w:val="00EA268A"/>
    <w:rsid w:val="00EA343D"/>
    <w:rsid w:val="00EA34DE"/>
    <w:rsid w:val="00EA37C7"/>
    <w:rsid w:val="00EA52A7"/>
    <w:rsid w:val="00EA5A5F"/>
    <w:rsid w:val="00EA6D35"/>
    <w:rsid w:val="00EA7350"/>
    <w:rsid w:val="00EA7993"/>
    <w:rsid w:val="00EA7E63"/>
    <w:rsid w:val="00EB157D"/>
    <w:rsid w:val="00EB4906"/>
    <w:rsid w:val="00EB726F"/>
    <w:rsid w:val="00EB7DAB"/>
    <w:rsid w:val="00EC0198"/>
    <w:rsid w:val="00EC0DE7"/>
    <w:rsid w:val="00EC152F"/>
    <w:rsid w:val="00EC278C"/>
    <w:rsid w:val="00EC3440"/>
    <w:rsid w:val="00EC434E"/>
    <w:rsid w:val="00EC49EF"/>
    <w:rsid w:val="00EC5389"/>
    <w:rsid w:val="00EC75CA"/>
    <w:rsid w:val="00EC79C4"/>
    <w:rsid w:val="00ED162F"/>
    <w:rsid w:val="00ED1A09"/>
    <w:rsid w:val="00ED1AB7"/>
    <w:rsid w:val="00ED503E"/>
    <w:rsid w:val="00ED657E"/>
    <w:rsid w:val="00EE2386"/>
    <w:rsid w:val="00EE3092"/>
    <w:rsid w:val="00EE3737"/>
    <w:rsid w:val="00EE3CA8"/>
    <w:rsid w:val="00EE4211"/>
    <w:rsid w:val="00EE47BF"/>
    <w:rsid w:val="00EE5823"/>
    <w:rsid w:val="00EE5E64"/>
    <w:rsid w:val="00EF0CFC"/>
    <w:rsid w:val="00EF0D05"/>
    <w:rsid w:val="00EF10A5"/>
    <w:rsid w:val="00EF1420"/>
    <w:rsid w:val="00EF71F7"/>
    <w:rsid w:val="00F00EF6"/>
    <w:rsid w:val="00F04045"/>
    <w:rsid w:val="00F041B7"/>
    <w:rsid w:val="00F04B38"/>
    <w:rsid w:val="00F05A92"/>
    <w:rsid w:val="00F06E7B"/>
    <w:rsid w:val="00F06EC0"/>
    <w:rsid w:val="00F07B30"/>
    <w:rsid w:val="00F1018C"/>
    <w:rsid w:val="00F10752"/>
    <w:rsid w:val="00F10CAE"/>
    <w:rsid w:val="00F11F26"/>
    <w:rsid w:val="00F1259F"/>
    <w:rsid w:val="00F12D1B"/>
    <w:rsid w:val="00F13869"/>
    <w:rsid w:val="00F14C44"/>
    <w:rsid w:val="00F17528"/>
    <w:rsid w:val="00F17DB5"/>
    <w:rsid w:val="00F2007C"/>
    <w:rsid w:val="00F209B1"/>
    <w:rsid w:val="00F211D0"/>
    <w:rsid w:val="00F21DDB"/>
    <w:rsid w:val="00F2239D"/>
    <w:rsid w:val="00F22918"/>
    <w:rsid w:val="00F24257"/>
    <w:rsid w:val="00F24386"/>
    <w:rsid w:val="00F24FEA"/>
    <w:rsid w:val="00F2703E"/>
    <w:rsid w:val="00F27287"/>
    <w:rsid w:val="00F2794C"/>
    <w:rsid w:val="00F27D52"/>
    <w:rsid w:val="00F31605"/>
    <w:rsid w:val="00F32AB2"/>
    <w:rsid w:val="00F3300A"/>
    <w:rsid w:val="00F34012"/>
    <w:rsid w:val="00F36813"/>
    <w:rsid w:val="00F413BC"/>
    <w:rsid w:val="00F41572"/>
    <w:rsid w:val="00F43BC1"/>
    <w:rsid w:val="00F44D4C"/>
    <w:rsid w:val="00F50013"/>
    <w:rsid w:val="00F52984"/>
    <w:rsid w:val="00F536A8"/>
    <w:rsid w:val="00F54968"/>
    <w:rsid w:val="00F54D07"/>
    <w:rsid w:val="00F56548"/>
    <w:rsid w:val="00F57176"/>
    <w:rsid w:val="00F60748"/>
    <w:rsid w:val="00F61BB4"/>
    <w:rsid w:val="00F631FD"/>
    <w:rsid w:val="00F63928"/>
    <w:rsid w:val="00F654D5"/>
    <w:rsid w:val="00F66131"/>
    <w:rsid w:val="00F6661D"/>
    <w:rsid w:val="00F66B76"/>
    <w:rsid w:val="00F72A28"/>
    <w:rsid w:val="00F74AD5"/>
    <w:rsid w:val="00F74B1D"/>
    <w:rsid w:val="00F74D05"/>
    <w:rsid w:val="00F752D9"/>
    <w:rsid w:val="00F758E1"/>
    <w:rsid w:val="00F75D4E"/>
    <w:rsid w:val="00F76C1E"/>
    <w:rsid w:val="00F77153"/>
    <w:rsid w:val="00F771E5"/>
    <w:rsid w:val="00F7765E"/>
    <w:rsid w:val="00F80470"/>
    <w:rsid w:val="00F86431"/>
    <w:rsid w:val="00F8691C"/>
    <w:rsid w:val="00F86D3B"/>
    <w:rsid w:val="00F87526"/>
    <w:rsid w:val="00F87F12"/>
    <w:rsid w:val="00F9047D"/>
    <w:rsid w:val="00F90B7C"/>
    <w:rsid w:val="00F922BC"/>
    <w:rsid w:val="00F940DD"/>
    <w:rsid w:val="00F947BD"/>
    <w:rsid w:val="00F95CBA"/>
    <w:rsid w:val="00FA0C14"/>
    <w:rsid w:val="00FA15D2"/>
    <w:rsid w:val="00FA1A9E"/>
    <w:rsid w:val="00FA237B"/>
    <w:rsid w:val="00FA2FFB"/>
    <w:rsid w:val="00FA74E1"/>
    <w:rsid w:val="00FB0384"/>
    <w:rsid w:val="00FB34BA"/>
    <w:rsid w:val="00FB5B27"/>
    <w:rsid w:val="00FB5EF9"/>
    <w:rsid w:val="00FB68DE"/>
    <w:rsid w:val="00FB6A21"/>
    <w:rsid w:val="00FB7E0F"/>
    <w:rsid w:val="00FB7F32"/>
    <w:rsid w:val="00FC0CC7"/>
    <w:rsid w:val="00FC1475"/>
    <w:rsid w:val="00FC1C56"/>
    <w:rsid w:val="00FC32F2"/>
    <w:rsid w:val="00FC3DA1"/>
    <w:rsid w:val="00FC5080"/>
    <w:rsid w:val="00FC5265"/>
    <w:rsid w:val="00FC604C"/>
    <w:rsid w:val="00FC658C"/>
    <w:rsid w:val="00FC6725"/>
    <w:rsid w:val="00FD06E2"/>
    <w:rsid w:val="00FD22C3"/>
    <w:rsid w:val="00FD2AC9"/>
    <w:rsid w:val="00FD2D6B"/>
    <w:rsid w:val="00FD30D0"/>
    <w:rsid w:val="00FD378E"/>
    <w:rsid w:val="00FD545A"/>
    <w:rsid w:val="00FD5536"/>
    <w:rsid w:val="00FE0BF3"/>
    <w:rsid w:val="00FE406E"/>
    <w:rsid w:val="00FE4095"/>
    <w:rsid w:val="00FE7B1F"/>
    <w:rsid w:val="00FF001F"/>
    <w:rsid w:val="00FF0188"/>
    <w:rsid w:val="00FF027D"/>
    <w:rsid w:val="00FF2A40"/>
    <w:rsid w:val="00FF3E22"/>
    <w:rsid w:val="00FF543D"/>
    <w:rsid w:val="00FF6B92"/>
    <w:rsid w:val="00FF734F"/>
    <w:rsid w:val="00FF73C4"/>
    <w:rsid w:val="00FF76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51567"/>
  <w15:docId w15:val="{4F32111E-758C-49EB-B9CF-97E9CD22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F8B"/>
    <w:pPr>
      <w:spacing w:after="0" w:line="240" w:lineRule="auto"/>
      <w:jc w:val="both"/>
    </w:pPr>
    <w:rPr>
      <w:rFonts w:ascii="Verdana" w:eastAsia="Batang" w:hAnsi="Verdana" w:cs="Times"/>
      <w:noProof/>
      <w:sz w:val="20"/>
      <w:szCs w:val="24"/>
      <w:lang w:val="es-ES_tradnl"/>
    </w:rPr>
  </w:style>
  <w:style w:type="paragraph" w:styleId="Heading1">
    <w:name w:val="heading 1"/>
    <w:basedOn w:val="Normal"/>
    <w:next w:val="Normal"/>
    <w:link w:val="Heading1Char"/>
    <w:qFormat/>
    <w:rsid w:val="00B17F8B"/>
    <w:pPr>
      <w:keepNext/>
      <w:keepLines/>
      <w:spacing w:before="360" w:after="360"/>
      <w:jc w:val="center"/>
      <w:outlineLvl w:val="0"/>
    </w:pPr>
    <w:rPr>
      <w:rFonts w:eastAsia="Times New Roman" w:cs="Verdana"/>
      <w:b/>
      <w:bCs/>
      <w:caps/>
      <w:snapToGrid w:val="0"/>
      <w:szCs w:val="20"/>
      <w:lang w:val="es-CR" w:eastAsia="es-ES"/>
    </w:rPr>
  </w:style>
  <w:style w:type="paragraph" w:styleId="Heading2">
    <w:name w:val="heading 2"/>
    <w:basedOn w:val="Normal"/>
    <w:next w:val="Normal"/>
    <w:link w:val="Heading2Char"/>
    <w:unhideWhenUsed/>
    <w:qFormat/>
    <w:rsid w:val="00B17F8B"/>
    <w:pPr>
      <w:keepNext/>
      <w:keepLines/>
      <w:numPr>
        <w:numId w:val="5"/>
      </w:numPr>
      <w:spacing w:before="240" w:after="240"/>
      <w:outlineLvl w:val="1"/>
    </w:pPr>
    <w:rPr>
      <w:rFonts w:eastAsia="Times New Roman" w:cs="Times New Roman"/>
      <w:b/>
      <w:bCs/>
      <w:i/>
      <w:szCs w:val="20"/>
    </w:rPr>
  </w:style>
  <w:style w:type="paragraph" w:styleId="Heading3">
    <w:name w:val="heading 3"/>
    <w:basedOn w:val="Normal"/>
    <w:next w:val="Normal"/>
    <w:link w:val="Heading3Char"/>
    <w:unhideWhenUsed/>
    <w:qFormat/>
    <w:rsid w:val="00B17F8B"/>
    <w:pPr>
      <w:keepNext/>
      <w:spacing w:before="240" w:after="240"/>
      <w:ind w:left="1068"/>
      <w:outlineLvl w:val="2"/>
    </w:pPr>
    <w:rPr>
      <w:rFonts w:eastAsia="Times New Roman" w:cs="Times New Roman"/>
      <w:bCs/>
      <w:i/>
      <w:szCs w:val="20"/>
    </w:rPr>
  </w:style>
  <w:style w:type="paragraph" w:styleId="Heading4">
    <w:name w:val="heading 4"/>
    <w:basedOn w:val="Normal"/>
    <w:next w:val="Normal"/>
    <w:link w:val="Heading4Char"/>
    <w:unhideWhenUsed/>
    <w:qFormat/>
    <w:rsid w:val="00B17F8B"/>
    <w:pPr>
      <w:keepNext/>
      <w:keepLines/>
      <w:spacing w:before="240" w:after="240"/>
      <w:ind w:left="1418" w:firstLine="709"/>
      <w:outlineLvl w:val="3"/>
    </w:pPr>
    <w:rPr>
      <w:rFonts w:eastAsia="Times New Roman" w:cs="Times New Roman"/>
      <w:bCs/>
      <w:i/>
      <w:iCs/>
    </w:rPr>
  </w:style>
  <w:style w:type="paragraph" w:styleId="Heading5">
    <w:name w:val="heading 5"/>
    <w:basedOn w:val="Normal"/>
    <w:next w:val="Normal"/>
    <w:link w:val="Heading5Char"/>
    <w:unhideWhenUsed/>
    <w:qFormat/>
    <w:rsid w:val="00B17F8B"/>
    <w:pPr>
      <w:keepNext/>
      <w:keepLines/>
      <w:numPr>
        <w:numId w:val="7"/>
      </w:numPr>
      <w:spacing w:before="240" w:after="240"/>
      <w:outlineLvl w:val="4"/>
    </w:pPr>
    <w:rPr>
      <w:rFonts w:eastAsia="Times New Roman" w:cs="Times New Roman"/>
      <w:i/>
    </w:rPr>
  </w:style>
  <w:style w:type="paragraph" w:styleId="Heading7">
    <w:name w:val="heading 7"/>
    <w:basedOn w:val="Normal"/>
    <w:next w:val="Normal"/>
    <w:link w:val="Heading7Char"/>
    <w:uiPriority w:val="9"/>
    <w:semiHidden/>
    <w:unhideWhenUsed/>
    <w:qFormat/>
    <w:rsid w:val="00B17F8B"/>
    <w:pPr>
      <w:keepNext/>
      <w:keepLines/>
      <w:spacing w:before="200"/>
      <w:outlineLvl w:val="6"/>
    </w:pPr>
    <w:rPr>
      <w:rFonts w:ascii="Cambria" w:eastAsia="Times New Roman" w:hAnsi="Cambria" w:cs="Times New Roman"/>
      <w:i/>
      <w:iCs/>
      <w:color w:val="404040"/>
    </w:rPr>
  </w:style>
  <w:style w:type="paragraph" w:styleId="Heading9">
    <w:name w:val="heading 9"/>
    <w:basedOn w:val="Normal"/>
    <w:next w:val="Normal"/>
    <w:link w:val="Heading9Char"/>
    <w:qFormat/>
    <w:rsid w:val="002E6C8B"/>
    <w:pPr>
      <w:keepNext/>
      <w:numPr>
        <w:numId w:val="15"/>
      </w:numPr>
      <w:jc w:val="left"/>
      <w:outlineLvl w:val="8"/>
    </w:pPr>
    <w:rPr>
      <w:rFonts w:ascii="Garamond" w:eastAsia="Times" w:hAnsi="Garamond" w:cs="Times New Roman"/>
      <w:i/>
      <w:noProof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F8B"/>
    <w:rPr>
      <w:rFonts w:ascii="Verdana" w:eastAsia="Times New Roman" w:hAnsi="Verdana" w:cs="Verdana"/>
      <w:b/>
      <w:bCs/>
      <w:caps/>
      <w:noProof/>
      <w:snapToGrid w:val="0"/>
      <w:sz w:val="20"/>
      <w:szCs w:val="20"/>
      <w:lang w:val="es-CR" w:eastAsia="es-ES"/>
    </w:rPr>
  </w:style>
  <w:style w:type="character" w:customStyle="1" w:styleId="Heading2Char">
    <w:name w:val="Heading 2 Char"/>
    <w:basedOn w:val="DefaultParagraphFont"/>
    <w:link w:val="Heading2"/>
    <w:rsid w:val="00B17F8B"/>
    <w:rPr>
      <w:rFonts w:ascii="Verdana" w:eastAsia="Times New Roman" w:hAnsi="Verdana" w:cs="Times New Roman"/>
      <w:b/>
      <w:bCs/>
      <w:i/>
      <w:noProof/>
      <w:sz w:val="20"/>
      <w:szCs w:val="20"/>
      <w:lang w:val="es-ES_tradnl"/>
    </w:rPr>
  </w:style>
  <w:style w:type="character" w:customStyle="1" w:styleId="Heading3Char">
    <w:name w:val="Heading 3 Char"/>
    <w:basedOn w:val="DefaultParagraphFont"/>
    <w:link w:val="Heading3"/>
    <w:rsid w:val="00B17F8B"/>
    <w:rPr>
      <w:rFonts w:ascii="Verdana" w:eastAsia="Times New Roman" w:hAnsi="Verdana" w:cs="Times New Roman"/>
      <w:bCs/>
      <w:i/>
      <w:noProof/>
      <w:sz w:val="20"/>
      <w:szCs w:val="20"/>
      <w:lang w:val="es-ES_tradnl"/>
    </w:rPr>
  </w:style>
  <w:style w:type="character" w:customStyle="1" w:styleId="Heading4Char">
    <w:name w:val="Heading 4 Char"/>
    <w:basedOn w:val="DefaultParagraphFont"/>
    <w:link w:val="Heading4"/>
    <w:uiPriority w:val="9"/>
    <w:rsid w:val="00B17F8B"/>
    <w:rPr>
      <w:rFonts w:ascii="Verdana" w:eastAsia="Times New Roman" w:hAnsi="Verdana" w:cs="Times New Roman"/>
      <w:bCs/>
      <w:i/>
      <w:iCs/>
      <w:noProof/>
      <w:sz w:val="20"/>
      <w:szCs w:val="24"/>
      <w:lang w:val="es-ES_tradnl"/>
    </w:rPr>
  </w:style>
  <w:style w:type="character" w:customStyle="1" w:styleId="Heading5Char">
    <w:name w:val="Heading 5 Char"/>
    <w:basedOn w:val="DefaultParagraphFont"/>
    <w:link w:val="Heading5"/>
    <w:uiPriority w:val="9"/>
    <w:rsid w:val="00B17F8B"/>
    <w:rPr>
      <w:rFonts w:ascii="Verdana" w:eastAsia="Times New Roman" w:hAnsi="Verdana" w:cs="Times New Roman"/>
      <w:i/>
      <w:noProof/>
      <w:sz w:val="20"/>
      <w:szCs w:val="24"/>
      <w:lang w:val="es-ES_tradnl"/>
    </w:rPr>
  </w:style>
  <w:style w:type="character" w:customStyle="1" w:styleId="Heading7Char">
    <w:name w:val="Heading 7 Char"/>
    <w:basedOn w:val="DefaultParagraphFont"/>
    <w:link w:val="Heading7"/>
    <w:uiPriority w:val="9"/>
    <w:semiHidden/>
    <w:rsid w:val="00B17F8B"/>
    <w:rPr>
      <w:rFonts w:ascii="Cambria" w:eastAsia="Times New Roman" w:hAnsi="Cambria" w:cs="Times New Roman"/>
      <w:i/>
      <w:iCs/>
      <w:noProof/>
      <w:color w:val="404040"/>
      <w:sz w:val="20"/>
      <w:szCs w:val="24"/>
      <w:lang w:val="es-ES_tradnl"/>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qFormat/>
    <w:rsid w:val="00B17F8B"/>
    <w:rPr>
      <w:rFonts w:cs="Times New Roman"/>
      <w:szCs w:val="20"/>
      <w:vertAlign w:val="superscript"/>
    </w:rPr>
  </w:style>
  <w:style w:type="paragraph" w:styleId="Title">
    <w:name w:val="Title"/>
    <w:basedOn w:val="Normal"/>
    <w:link w:val="TitleChar"/>
    <w:qFormat/>
    <w:rsid w:val="00B17F8B"/>
    <w:pPr>
      <w:jc w:val="center"/>
    </w:pPr>
    <w:rPr>
      <w:rFonts w:eastAsia="Times New Roman" w:cs="Times New Roman"/>
      <w:b/>
      <w:szCs w:val="20"/>
    </w:rPr>
  </w:style>
  <w:style w:type="character" w:customStyle="1" w:styleId="TitleChar">
    <w:name w:val="Title Char"/>
    <w:basedOn w:val="DefaultParagraphFont"/>
    <w:link w:val="Title"/>
    <w:uiPriority w:val="99"/>
    <w:rsid w:val="00B17F8B"/>
    <w:rPr>
      <w:rFonts w:ascii="Verdana" w:eastAsia="Times New Roman" w:hAnsi="Verdana" w:cs="Times New Roman"/>
      <w:b/>
      <w:noProof/>
      <w:sz w:val="20"/>
      <w:szCs w:val="20"/>
      <w:lang w:val="es-ES_tradnl"/>
    </w:rPr>
  </w:style>
  <w:style w:type="paragraph" w:styleId="Subtitle">
    <w:name w:val="Subtitle"/>
    <w:basedOn w:val="Normal"/>
    <w:next w:val="Normal"/>
    <w:link w:val="SubtitleChar"/>
    <w:qFormat/>
    <w:rsid w:val="00B17F8B"/>
    <w:pPr>
      <w:numPr>
        <w:ilvl w:val="1"/>
      </w:numPr>
      <w:jc w:val="center"/>
    </w:pPr>
    <w:rPr>
      <w:rFonts w:eastAsia="Times New Roman" w:cs="Times New Roman"/>
      <w:b/>
      <w:i/>
      <w:iCs/>
      <w:spacing w:val="15"/>
    </w:rPr>
  </w:style>
  <w:style w:type="character" w:customStyle="1" w:styleId="SubtitleChar">
    <w:name w:val="Subtitle Char"/>
    <w:basedOn w:val="DefaultParagraphFont"/>
    <w:link w:val="Subtitle"/>
    <w:rsid w:val="00B17F8B"/>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rsid w:val="00B17F8B"/>
    <w:pPr>
      <w:ind w:left="708"/>
    </w:pPr>
    <w:rPr>
      <w:rFonts w:eastAsia="Times New Roman" w:cs="Times New Roman"/>
      <w:szCs w:val="20"/>
    </w:rPr>
  </w:style>
  <w:style w:type="paragraph" w:styleId="ListParagraph">
    <w:name w:val="List Paragraph"/>
    <w:aliases w:val="Footnote,List Paragraph1,Colorful List - Accent 11"/>
    <w:basedOn w:val="Normal"/>
    <w:link w:val="ListParagraphChar"/>
    <w:uiPriority w:val="34"/>
    <w:qFormat/>
    <w:rsid w:val="00B17F8B"/>
    <w:pPr>
      <w:ind w:left="720"/>
      <w:contextualSpacing/>
    </w:pPr>
  </w:style>
  <w:style w:type="character" w:customStyle="1" w:styleId="ListParagraphChar">
    <w:name w:val="List Paragraph Char"/>
    <w:aliases w:val="Footnote Char,List Paragraph1 Char,Colorful List - Accent 11 Char"/>
    <w:basedOn w:val="DefaultParagraphFont"/>
    <w:link w:val="ListParagraph"/>
    <w:uiPriority w:val="99"/>
    <w:locked/>
    <w:rsid w:val="00B17F8B"/>
    <w:rPr>
      <w:rFonts w:ascii="Verdana" w:eastAsia="Batang" w:hAnsi="Verdana" w:cs="Times"/>
      <w:noProof/>
      <w:sz w:val="20"/>
      <w:szCs w:val="24"/>
      <w:lang w:val="es-ES_tradnl"/>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Texto nota pie Car,Ca,C,ft"/>
    <w:basedOn w:val="Normal"/>
    <w:link w:val="FootnoteTextChar1"/>
    <w:uiPriority w:val="99"/>
    <w:unhideWhenUsed/>
    <w:qFormat/>
    <w:rsid w:val="00B17F8B"/>
    <w:pPr>
      <w:spacing w:before="120" w:after="120"/>
    </w:pPr>
    <w:rPr>
      <w:sz w:val="16"/>
      <w:szCs w:val="20"/>
    </w:rPr>
  </w:style>
  <w:style w:type="character" w:customStyle="1" w:styleId="FootnoteTextChar">
    <w:name w:val="Footnote Text Char"/>
    <w:aliases w:val="FA Fußnotentext Char,FA Fuﬂnotentext Char,C Char,ft Char,Texto nota pie Car Char,FA Fu Car Char,FA Fu Car Car Char,2. Footnote Text Char1,Footnote Tesina Char1,FA Fu Char1,Footnote Text Char Char Char Char Char Char1,Ca Char1"/>
    <w:basedOn w:val="DefaultParagraphFont"/>
    <w:uiPriority w:val="99"/>
    <w:rsid w:val="00B17F8B"/>
    <w:rPr>
      <w:rFonts w:ascii="Verdana" w:eastAsia="Batang" w:hAnsi="Verdana" w:cs="Times"/>
      <w:noProof/>
      <w:sz w:val="20"/>
      <w:szCs w:val="20"/>
      <w:lang w:val="es-ES_tradnl"/>
    </w:rPr>
  </w:style>
  <w:style w:type="character" w:customStyle="1" w:styleId="FootnoteTextChar1">
    <w:name w:val="Footnote Text Char1"/>
    <w:aliases w:val="2. Footnote Text Char,Footnote Tesina Char,FA Fu Char,Footnote Text Char Char Char Char Char Char,Footnote Text Char Char Char Char Char1,Footnote reference Char,Footnote Text Char Char Char Char1,Footnote Text Cha Char,Ca Char"/>
    <w:basedOn w:val="DefaultParagraphFont"/>
    <w:link w:val="FootnoteText"/>
    <w:rsid w:val="00B17F8B"/>
    <w:rPr>
      <w:rFonts w:ascii="Verdana" w:eastAsia="Batang" w:hAnsi="Verdana" w:cs="Times"/>
      <w:noProof/>
      <w:sz w:val="16"/>
      <w:szCs w:val="20"/>
      <w:lang w:val="es-ES_tradnl"/>
    </w:rPr>
  </w:style>
  <w:style w:type="paragraph" w:customStyle="1" w:styleId="Estilo1">
    <w:name w:val="Estilo1"/>
    <w:basedOn w:val="Normal"/>
    <w:link w:val="Estilo1Car"/>
    <w:qFormat/>
    <w:rsid w:val="00B17F8B"/>
    <w:pPr>
      <w:spacing w:after="120"/>
      <w:ind w:left="2018" w:right="6" w:hanging="180"/>
    </w:pPr>
    <w:rPr>
      <w:i/>
    </w:rPr>
  </w:style>
  <w:style w:type="character" w:customStyle="1" w:styleId="Estilo1Car">
    <w:name w:val="Estilo1 Car"/>
    <w:basedOn w:val="DefaultParagraphFont"/>
    <w:link w:val="Estilo1"/>
    <w:rsid w:val="00B17F8B"/>
    <w:rPr>
      <w:rFonts w:ascii="Verdana" w:eastAsia="Batang" w:hAnsi="Verdana" w:cs="Times"/>
      <w:i/>
      <w:noProof/>
      <w:sz w:val="20"/>
      <w:szCs w:val="24"/>
      <w:lang w:val="es-ES_tradnl"/>
    </w:rPr>
  </w:style>
  <w:style w:type="paragraph" w:customStyle="1" w:styleId="Style1">
    <w:name w:val="Style1"/>
    <w:basedOn w:val="Heading1"/>
    <w:link w:val="Style1Char"/>
    <w:qFormat/>
    <w:rsid w:val="00B17F8B"/>
    <w:pPr>
      <w:spacing w:before="0"/>
    </w:pPr>
    <w:rPr>
      <w:lang w:val="es-ES"/>
    </w:rPr>
  </w:style>
  <w:style w:type="character" w:customStyle="1" w:styleId="Style1Char">
    <w:name w:val="Style1 Char"/>
    <w:basedOn w:val="Heading1Char"/>
    <w:link w:val="Style1"/>
    <w:rsid w:val="00B17F8B"/>
    <w:rPr>
      <w:rFonts w:ascii="Verdana" w:eastAsia="Times New Roman" w:hAnsi="Verdana" w:cs="Verdana"/>
      <w:b/>
      <w:bCs/>
      <w:caps/>
      <w:noProof/>
      <w:snapToGrid w:val="0"/>
      <w:sz w:val="20"/>
      <w:szCs w:val="20"/>
      <w:lang w:val="es-ES" w:eastAsia="es-ES"/>
    </w:rPr>
  </w:style>
  <w:style w:type="paragraph" w:customStyle="1" w:styleId="Estilo7">
    <w:name w:val="Estilo7"/>
    <w:basedOn w:val="Normal"/>
    <w:qFormat/>
    <w:rsid w:val="00B17F8B"/>
    <w:pPr>
      <w:numPr>
        <w:ilvl w:val="2"/>
        <w:numId w:val="3"/>
      </w:numPr>
      <w:tabs>
        <w:tab w:val="left" w:pos="567"/>
        <w:tab w:val="left" w:pos="851"/>
      </w:tabs>
      <w:spacing w:before="120" w:after="120"/>
    </w:pPr>
    <w:rPr>
      <w:rFonts w:cs="Times New Roman"/>
      <w:b/>
      <w:i/>
      <w:szCs w:val="20"/>
      <w:lang w:eastAsia="es-MX"/>
    </w:rPr>
  </w:style>
  <w:style w:type="paragraph" w:customStyle="1" w:styleId="Footnotes">
    <w:name w:val="**. Footnotes"/>
    <w:basedOn w:val="FootnoteText"/>
    <w:link w:val="FootnotesChar"/>
    <w:autoRedefine/>
    <w:qFormat/>
    <w:rsid w:val="00B17F8B"/>
    <w:rPr>
      <w:rFonts w:eastAsia="Times New Roman" w:cs="Times New Roman"/>
      <w:bCs/>
      <w:iCs/>
      <w:noProof w:val="0"/>
      <w:szCs w:val="16"/>
      <w:lang w:val="es-ES"/>
    </w:rPr>
  </w:style>
  <w:style w:type="character" w:customStyle="1" w:styleId="FootnotesChar">
    <w:name w:val="**. Footnotes Char"/>
    <w:link w:val="Footnotes"/>
    <w:rsid w:val="00B17F8B"/>
    <w:rPr>
      <w:rFonts w:ascii="Verdana" w:eastAsia="Times New Roman" w:hAnsi="Verdana" w:cs="Times New Roman"/>
      <w:bCs/>
      <w:iCs/>
      <w:sz w:val="16"/>
      <w:szCs w:val="16"/>
      <w:lang w:val="es-ES"/>
    </w:rPr>
  </w:style>
  <w:style w:type="character" w:styleId="Hyperlink">
    <w:name w:val="Hyperlink"/>
    <w:basedOn w:val="DefaultParagraphFont"/>
    <w:uiPriority w:val="99"/>
    <w:unhideWhenUsed/>
    <w:rsid w:val="00B17F8B"/>
    <w:rPr>
      <w:color w:val="0000FF"/>
      <w:u w:val="single"/>
    </w:rPr>
  </w:style>
  <w:style w:type="paragraph" w:customStyle="1" w:styleId="Style2">
    <w:name w:val="Style2"/>
    <w:basedOn w:val="Heading2"/>
    <w:link w:val="Style2Char"/>
    <w:autoRedefine/>
    <w:qFormat/>
    <w:rsid w:val="00B17F8B"/>
    <w:pPr>
      <w:numPr>
        <w:numId w:val="0"/>
      </w:numPr>
      <w:spacing w:before="360"/>
    </w:pPr>
    <w:rPr>
      <w:lang w:val="es-CR"/>
    </w:rPr>
  </w:style>
  <w:style w:type="paragraph" w:customStyle="1" w:styleId="Default">
    <w:name w:val="Default"/>
    <w:rsid w:val="00B17F8B"/>
    <w:pPr>
      <w:autoSpaceDE w:val="0"/>
      <w:autoSpaceDN w:val="0"/>
      <w:adjustRightInd w:val="0"/>
      <w:spacing w:after="0" w:line="240" w:lineRule="auto"/>
    </w:pPr>
    <w:rPr>
      <w:rFonts w:ascii="Verdana" w:eastAsia="Calibri" w:hAnsi="Verdana" w:cs="Verdana"/>
      <w:color w:val="000000"/>
      <w:sz w:val="24"/>
      <w:szCs w:val="24"/>
    </w:rPr>
  </w:style>
  <w:style w:type="character" w:customStyle="1" w:styleId="Style2Char">
    <w:name w:val="Style2 Char"/>
    <w:basedOn w:val="Heading2Char"/>
    <w:link w:val="Style2"/>
    <w:rsid w:val="00B17F8B"/>
    <w:rPr>
      <w:rFonts w:ascii="Verdana" w:eastAsia="Times New Roman" w:hAnsi="Verdana" w:cs="Times New Roman"/>
      <w:b/>
      <w:bCs/>
      <w:i/>
      <w:noProof/>
      <w:sz w:val="20"/>
      <w:szCs w:val="20"/>
      <w:lang w:val="es-CR"/>
    </w:rPr>
  </w:style>
  <w:style w:type="paragraph" w:styleId="TOC1">
    <w:name w:val="toc 1"/>
    <w:basedOn w:val="Normal"/>
    <w:next w:val="Normal"/>
    <w:autoRedefine/>
    <w:uiPriority w:val="39"/>
    <w:unhideWhenUsed/>
    <w:rsid w:val="00D95E29"/>
    <w:pPr>
      <w:tabs>
        <w:tab w:val="right" w:leader="dot" w:pos="9356"/>
      </w:tabs>
      <w:spacing w:before="60" w:after="60"/>
      <w:ind w:right="425"/>
    </w:pPr>
    <w:rPr>
      <w:b/>
      <w:sz w:val="18"/>
    </w:rPr>
  </w:style>
  <w:style w:type="paragraph" w:styleId="TOC2">
    <w:name w:val="toc 2"/>
    <w:basedOn w:val="Normal"/>
    <w:next w:val="Normal"/>
    <w:autoRedefine/>
    <w:uiPriority w:val="39"/>
    <w:unhideWhenUsed/>
    <w:rsid w:val="00D95E29"/>
    <w:pPr>
      <w:tabs>
        <w:tab w:val="left" w:pos="426"/>
        <w:tab w:val="right" w:leader="dot" w:pos="9356"/>
      </w:tabs>
      <w:spacing w:before="60" w:after="60"/>
      <w:ind w:left="142" w:right="425"/>
      <w:contextualSpacing/>
    </w:pPr>
    <w:rPr>
      <w:b/>
      <w:i/>
      <w:noProof w:val="0"/>
    </w:rPr>
  </w:style>
  <w:style w:type="paragraph" w:styleId="TOC3">
    <w:name w:val="toc 3"/>
    <w:basedOn w:val="Normal"/>
    <w:next w:val="Normal"/>
    <w:autoRedefine/>
    <w:uiPriority w:val="39"/>
    <w:unhideWhenUsed/>
    <w:rsid w:val="00D95E29"/>
    <w:pPr>
      <w:tabs>
        <w:tab w:val="left" w:pos="851"/>
        <w:tab w:val="right" w:leader="dot" w:pos="9356"/>
      </w:tabs>
      <w:spacing w:before="60" w:after="60"/>
      <w:ind w:left="426" w:right="425"/>
      <w:contextualSpacing/>
    </w:pPr>
    <w:rPr>
      <w:sz w:val="18"/>
    </w:rPr>
  </w:style>
  <w:style w:type="paragraph" w:styleId="TOC4">
    <w:name w:val="toc 4"/>
    <w:basedOn w:val="Normal"/>
    <w:next w:val="Normal"/>
    <w:autoRedefine/>
    <w:uiPriority w:val="39"/>
    <w:unhideWhenUsed/>
    <w:rsid w:val="00B17F8B"/>
    <w:pPr>
      <w:spacing w:before="60" w:after="60"/>
      <w:ind w:left="601"/>
      <w:contextualSpacing/>
    </w:pPr>
    <w:rPr>
      <w:sz w:val="18"/>
    </w:rPr>
  </w:style>
  <w:style w:type="paragraph" w:styleId="TOC5">
    <w:name w:val="toc 5"/>
    <w:basedOn w:val="Normal"/>
    <w:next w:val="Normal"/>
    <w:autoRedefine/>
    <w:uiPriority w:val="39"/>
    <w:unhideWhenUsed/>
    <w:rsid w:val="00B17F8B"/>
    <w:pPr>
      <w:spacing w:before="60" w:after="60"/>
      <w:ind w:left="799"/>
      <w:contextualSpacing/>
    </w:pPr>
    <w:rPr>
      <w:sz w:val="18"/>
    </w:rPr>
  </w:style>
  <w:style w:type="paragraph" w:styleId="TOCHeading">
    <w:name w:val="TOC Heading"/>
    <w:basedOn w:val="Heading1"/>
    <w:next w:val="Normal"/>
    <w:uiPriority w:val="39"/>
    <w:semiHidden/>
    <w:unhideWhenUsed/>
    <w:qFormat/>
    <w:rsid w:val="00B17F8B"/>
    <w:pPr>
      <w:spacing w:before="480" w:after="0" w:line="276" w:lineRule="auto"/>
      <w:jc w:val="left"/>
      <w:outlineLvl w:val="9"/>
    </w:pPr>
    <w:rPr>
      <w:rFonts w:ascii="Cambria" w:hAnsi="Cambria" w:cs="Times New Roman"/>
      <w:caps w:val="0"/>
      <w:snapToGrid/>
      <w:color w:val="365F91"/>
      <w:sz w:val="28"/>
      <w:szCs w:val="28"/>
      <w:lang w:val="en-US" w:eastAsia="en-US"/>
    </w:rPr>
  </w:style>
  <w:style w:type="paragraph" w:styleId="BalloonText">
    <w:name w:val="Balloon Text"/>
    <w:basedOn w:val="Normal"/>
    <w:link w:val="BalloonTextChar"/>
    <w:semiHidden/>
    <w:unhideWhenUsed/>
    <w:rsid w:val="00B17F8B"/>
    <w:rPr>
      <w:rFonts w:ascii="Tahoma" w:hAnsi="Tahoma" w:cs="Tahoma"/>
      <w:sz w:val="16"/>
      <w:szCs w:val="16"/>
    </w:rPr>
  </w:style>
  <w:style w:type="character" w:customStyle="1" w:styleId="BalloonTextChar">
    <w:name w:val="Balloon Text Char"/>
    <w:basedOn w:val="DefaultParagraphFont"/>
    <w:link w:val="BalloonText"/>
    <w:uiPriority w:val="99"/>
    <w:semiHidden/>
    <w:rsid w:val="00B17F8B"/>
    <w:rPr>
      <w:rFonts w:ascii="Tahoma" w:eastAsia="Batang" w:hAnsi="Tahoma" w:cs="Tahoma"/>
      <w:noProof/>
      <w:sz w:val="16"/>
      <w:szCs w:val="16"/>
      <w:lang w:val="es-ES_tradnl"/>
    </w:rPr>
  </w:style>
  <w:style w:type="paragraph" w:customStyle="1" w:styleId="PrrafodeSentencia0">
    <w:name w:val="*. Párrafo de Sentencia"/>
    <w:basedOn w:val="FootnoteText"/>
    <w:link w:val="PrrafodeSentenciaChar"/>
    <w:autoRedefine/>
    <w:qFormat/>
    <w:rsid w:val="005F2A81"/>
    <w:pPr>
      <w:spacing w:before="240" w:after="240"/>
      <w:ind w:left="720"/>
    </w:pPr>
    <w:rPr>
      <w:rFonts w:cs="Tahoma"/>
      <w:i/>
      <w:noProof w:val="0"/>
      <w:sz w:val="20"/>
      <w:lang w:val="es-ES" w:eastAsia="es-MX"/>
    </w:rPr>
  </w:style>
  <w:style w:type="paragraph" w:customStyle="1" w:styleId="Estilo2">
    <w:name w:val="Estilo2"/>
    <w:basedOn w:val="Normal"/>
    <w:qFormat/>
    <w:rsid w:val="00B17F8B"/>
    <w:pPr>
      <w:tabs>
        <w:tab w:val="left" w:pos="567"/>
        <w:tab w:val="left" w:pos="1134"/>
        <w:tab w:val="num" w:pos="4767"/>
      </w:tabs>
      <w:spacing w:after="120"/>
      <w:ind w:firstLine="357"/>
    </w:pPr>
    <w:rPr>
      <w:rFonts w:eastAsia="Calibri" w:cs="Times New Roman"/>
      <w:szCs w:val="20"/>
    </w:rPr>
  </w:style>
  <w:style w:type="table" w:styleId="ColorfulList-Accent1">
    <w:name w:val="Colorful List Accent 1"/>
    <w:basedOn w:val="TableNormal"/>
    <w:uiPriority w:val="72"/>
    <w:rsid w:val="00B17F8B"/>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basedOn w:val="DefaultParagraphFont"/>
    <w:rsid w:val="00B17F8B"/>
    <w:rPr>
      <w:rFonts w:cs="Times New Roman"/>
    </w:rPr>
  </w:style>
  <w:style w:type="paragraph" w:styleId="BodyText">
    <w:name w:val="Body Text"/>
    <w:basedOn w:val="Normal"/>
    <w:link w:val="BodyTextChar"/>
    <w:unhideWhenUsed/>
    <w:rsid w:val="00B17F8B"/>
    <w:rPr>
      <w:rFonts w:ascii="Garamond" w:eastAsia="Times" w:hAnsi="Garamond" w:cs="Times New Roman"/>
      <w:sz w:val="22"/>
      <w:szCs w:val="20"/>
    </w:rPr>
  </w:style>
  <w:style w:type="character" w:customStyle="1" w:styleId="BodyTextChar">
    <w:name w:val="Body Text Char"/>
    <w:basedOn w:val="DefaultParagraphFont"/>
    <w:link w:val="BodyText"/>
    <w:rsid w:val="00B17F8B"/>
    <w:rPr>
      <w:rFonts w:ascii="Garamond" w:eastAsia="Times" w:hAnsi="Garamond" w:cs="Times New Roman"/>
      <w:noProof/>
      <w:szCs w:val="20"/>
      <w:lang w:val="es-ES_tradnl"/>
    </w:rPr>
  </w:style>
  <w:style w:type="paragraph" w:styleId="NoSpacing">
    <w:name w:val="No Spacing"/>
    <w:uiPriority w:val="1"/>
    <w:qFormat/>
    <w:rsid w:val="00B17F8B"/>
    <w:pPr>
      <w:spacing w:after="0" w:line="240" w:lineRule="auto"/>
    </w:pPr>
    <w:rPr>
      <w:rFonts w:ascii="Calibri" w:eastAsia="Calibri" w:hAnsi="Calibri" w:cs="Times New Roman"/>
    </w:rPr>
  </w:style>
  <w:style w:type="paragraph" w:styleId="Header">
    <w:name w:val="header"/>
    <w:basedOn w:val="Normal"/>
    <w:link w:val="HeaderChar"/>
    <w:unhideWhenUsed/>
    <w:rsid w:val="00B17F8B"/>
    <w:pPr>
      <w:tabs>
        <w:tab w:val="center" w:pos="4419"/>
        <w:tab w:val="right" w:pos="8838"/>
      </w:tabs>
    </w:pPr>
  </w:style>
  <w:style w:type="character" w:customStyle="1" w:styleId="HeaderChar">
    <w:name w:val="Header Char"/>
    <w:basedOn w:val="DefaultParagraphFont"/>
    <w:link w:val="Header"/>
    <w:uiPriority w:val="99"/>
    <w:rsid w:val="00B17F8B"/>
    <w:rPr>
      <w:rFonts w:ascii="Verdana" w:eastAsia="Batang" w:hAnsi="Verdana" w:cs="Times"/>
      <w:noProof/>
      <w:sz w:val="20"/>
      <w:szCs w:val="24"/>
      <w:lang w:val="es-ES_tradnl"/>
    </w:rPr>
  </w:style>
  <w:style w:type="paragraph" w:styleId="Footer">
    <w:name w:val="footer"/>
    <w:basedOn w:val="Normal"/>
    <w:link w:val="FooterChar"/>
    <w:uiPriority w:val="99"/>
    <w:unhideWhenUsed/>
    <w:rsid w:val="00B17F8B"/>
    <w:pPr>
      <w:tabs>
        <w:tab w:val="center" w:pos="4419"/>
        <w:tab w:val="right" w:pos="8838"/>
      </w:tabs>
    </w:pPr>
  </w:style>
  <w:style w:type="character" w:customStyle="1" w:styleId="FooterChar">
    <w:name w:val="Footer Char"/>
    <w:basedOn w:val="DefaultParagraphFont"/>
    <w:link w:val="Footer"/>
    <w:uiPriority w:val="99"/>
    <w:rsid w:val="00B17F8B"/>
    <w:rPr>
      <w:rFonts w:ascii="Verdana" w:eastAsia="Batang" w:hAnsi="Verdana" w:cs="Times"/>
      <w:noProof/>
      <w:sz w:val="20"/>
      <w:szCs w:val="24"/>
      <w:lang w:val="es-ES_tradnl"/>
    </w:rPr>
  </w:style>
  <w:style w:type="paragraph" w:customStyle="1" w:styleId="NotasProyectos">
    <w:name w:val="Notas Proyectos"/>
    <w:basedOn w:val="Normal"/>
    <w:link w:val="NotasProyectosChar"/>
    <w:autoRedefine/>
    <w:qFormat/>
    <w:rsid w:val="00B17F8B"/>
    <w:pPr>
      <w:spacing w:before="120"/>
      <w:ind w:left="720"/>
    </w:pPr>
    <w:rPr>
      <w:rFonts w:eastAsia="Times New Roman" w:cs="Times New Roman"/>
      <w:szCs w:val="20"/>
      <w:lang w:eastAsia="es-ES"/>
    </w:rPr>
  </w:style>
  <w:style w:type="character" w:customStyle="1" w:styleId="NotasProyectosChar">
    <w:name w:val="Notas Proyectos Char"/>
    <w:basedOn w:val="DefaultParagraphFont"/>
    <w:link w:val="NotasProyectos"/>
    <w:rsid w:val="00B17F8B"/>
    <w:rPr>
      <w:rFonts w:ascii="Verdana" w:eastAsia="Times New Roman" w:hAnsi="Verdana" w:cs="Times New Roman"/>
      <w:noProof/>
      <w:sz w:val="20"/>
      <w:szCs w:val="20"/>
      <w:lang w:val="es-ES_tradnl" w:eastAsia="es-ES"/>
    </w:rPr>
  </w:style>
  <w:style w:type="paragraph" w:styleId="CommentText">
    <w:name w:val="annotation text"/>
    <w:basedOn w:val="Normal"/>
    <w:link w:val="CommentTextChar"/>
    <w:uiPriority w:val="99"/>
    <w:unhideWhenUsed/>
    <w:rsid w:val="00B17F8B"/>
    <w:pPr>
      <w:jc w:val="left"/>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B17F8B"/>
    <w:rPr>
      <w:rFonts w:ascii="Times New Roman" w:eastAsia="Times New Roman" w:hAnsi="Times New Roman" w:cs="Times New Roman"/>
      <w:noProof/>
      <w:sz w:val="20"/>
      <w:szCs w:val="20"/>
      <w:lang w:val="es-ES_tradnl"/>
    </w:rPr>
  </w:style>
  <w:style w:type="paragraph" w:customStyle="1" w:styleId="1Prrafosentencia">
    <w:name w:val="1. Párrafo sentencia"/>
    <w:basedOn w:val="ListParagraph"/>
    <w:autoRedefine/>
    <w:qFormat/>
    <w:rsid w:val="00B17F8B"/>
    <w:pPr>
      <w:spacing w:before="120" w:after="120"/>
      <w:ind w:left="1440" w:hanging="360"/>
      <w:contextualSpacing w:val="0"/>
    </w:pPr>
    <w:rPr>
      <w:rFonts w:eastAsia="Times New Roman" w:cs="Univers"/>
      <w:color w:val="000000"/>
      <w:sz w:val="24"/>
    </w:rPr>
  </w:style>
  <w:style w:type="character" w:styleId="CommentReference">
    <w:name w:val="annotation reference"/>
    <w:basedOn w:val="DefaultParagraphFont"/>
    <w:semiHidden/>
    <w:unhideWhenUsed/>
    <w:rsid w:val="00B17F8B"/>
    <w:rPr>
      <w:sz w:val="16"/>
      <w:szCs w:val="16"/>
    </w:rPr>
  </w:style>
  <w:style w:type="paragraph" w:styleId="BodyTextIndent">
    <w:name w:val="Body Text Indent"/>
    <w:basedOn w:val="Normal"/>
    <w:link w:val="BodyTextIndentChar"/>
    <w:unhideWhenUsed/>
    <w:rsid w:val="00B17F8B"/>
    <w:pPr>
      <w:tabs>
        <w:tab w:val="left" w:pos="1276"/>
      </w:tabs>
      <w:spacing w:before="120" w:after="120"/>
      <w:ind w:left="1996" w:firstLine="164"/>
    </w:pPr>
    <w:rPr>
      <w:rFonts w:cs="Arial"/>
      <w:i/>
      <w:szCs w:val="20"/>
    </w:rPr>
  </w:style>
  <w:style w:type="character" w:customStyle="1" w:styleId="BodyTextIndentChar">
    <w:name w:val="Body Text Indent Char"/>
    <w:basedOn w:val="DefaultParagraphFont"/>
    <w:link w:val="BodyTextIndent"/>
    <w:rsid w:val="00B17F8B"/>
    <w:rPr>
      <w:rFonts w:ascii="Verdana" w:eastAsia="Batang" w:hAnsi="Verdana" w:cs="Arial"/>
      <w:i/>
      <w:noProof/>
      <w:sz w:val="20"/>
      <w:szCs w:val="20"/>
      <w:lang w:val="es-ES_tradnl"/>
    </w:rPr>
  </w:style>
  <w:style w:type="character" w:styleId="Emphasis">
    <w:name w:val="Emphasis"/>
    <w:basedOn w:val="DefaultParagraphFont"/>
    <w:qFormat/>
    <w:rsid w:val="00B17F8B"/>
    <w:rPr>
      <w:i/>
      <w:iCs/>
    </w:rPr>
  </w:style>
  <w:style w:type="paragraph" w:customStyle="1" w:styleId="Prrafonumerado">
    <w:name w:val="Párrafo numerado"/>
    <w:basedOn w:val="Normal"/>
    <w:autoRedefine/>
    <w:rsid w:val="00B17F8B"/>
    <w:pPr>
      <w:spacing w:before="120" w:after="120"/>
      <w:ind w:left="567" w:right="855"/>
    </w:pPr>
    <w:rPr>
      <w:rFonts w:eastAsia="Times New Roman" w:cs="Times New Roman"/>
      <w:sz w:val="16"/>
      <w:szCs w:val="16"/>
      <w:lang w:val="es-CO" w:eastAsia="es-ES"/>
    </w:rPr>
  </w:style>
  <w:style w:type="paragraph" w:customStyle="1" w:styleId="2Footnotes">
    <w:name w:val="2. Footnotes"/>
    <w:basedOn w:val="FootnoteText"/>
    <w:link w:val="2FootnotesChar"/>
    <w:autoRedefine/>
    <w:qFormat/>
    <w:rsid w:val="00B17F8B"/>
    <w:rPr>
      <w:rFonts w:eastAsia="Times New Roman" w:cs="Palatino-Italic"/>
      <w:iCs/>
      <w:szCs w:val="18"/>
      <w:lang w:val="es-ES"/>
    </w:rPr>
  </w:style>
  <w:style w:type="character" w:customStyle="1" w:styleId="2FootnotesChar">
    <w:name w:val="2. Footnotes Char"/>
    <w:basedOn w:val="DefaultParagraphFont"/>
    <w:link w:val="2Footnotes"/>
    <w:rsid w:val="00B17F8B"/>
    <w:rPr>
      <w:rFonts w:ascii="Verdana" w:eastAsia="Times New Roman" w:hAnsi="Verdana" w:cs="Palatino-Italic"/>
      <w:iCs/>
      <w:noProof/>
      <w:sz w:val="16"/>
      <w:szCs w:val="18"/>
      <w:lang w:val="es-ES"/>
    </w:rPr>
  </w:style>
  <w:style w:type="paragraph" w:styleId="DocumentMap">
    <w:name w:val="Document Map"/>
    <w:basedOn w:val="Normal"/>
    <w:link w:val="DocumentMapChar"/>
    <w:unhideWhenUsed/>
    <w:rsid w:val="00B17F8B"/>
    <w:rPr>
      <w:rFonts w:ascii="Tahoma" w:hAnsi="Tahoma" w:cs="Tahoma"/>
      <w:sz w:val="16"/>
      <w:szCs w:val="16"/>
    </w:rPr>
  </w:style>
  <w:style w:type="character" w:customStyle="1" w:styleId="DocumentMapChar">
    <w:name w:val="Document Map Char"/>
    <w:basedOn w:val="DefaultParagraphFont"/>
    <w:link w:val="DocumentMap"/>
    <w:rsid w:val="00B17F8B"/>
    <w:rPr>
      <w:rFonts w:ascii="Tahoma" w:eastAsia="Batang" w:hAnsi="Tahoma" w:cs="Tahoma"/>
      <w:noProof/>
      <w:sz w:val="16"/>
      <w:szCs w:val="16"/>
      <w:lang w:val="es-ES_tradnl"/>
    </w:rPr>
  </w:style>
  <w:style w:type="paragraph" w:styleId="EndnoteText">
    <w:name w:val="endnote text"/>
    <w:basedOn w:val="Normal"/>
    <w:link w:val="EndnoteTextChar"/>
    <w:semiHidden/>
    <w:unhideWhenUsed/>
    <w:rsid w:val="00B17F8B"/>
    <w:rPr>
      <w:szCs w:val="20"/>
    </w:rPr>
  </w:style>
  <w:style w:type="character" w:customStyle="1" w:styleId="EndnoteTextChar">
    <w:name w:val="Endnote Text Char"/>
    <w:basedOn w:val="DefaultParagraphFont"/>
    <w:link w:val="EndnoteText"/>
    <w:uiPriority w:val="99"/>
    <w:semiHidden/>
    <w:rsid w:val="00B17F8B"/>
    <w:rPr>
      <w:rFonts w:ascii="Verdana" w:eastAsia="Batang" w:hAnsi="Verdana" w:cs="Times"/>
      <w:noProof/>
      <w:sz w:val="20"/>
      <w:szCs w:val="20"/>
      <w:lang w:val="es-ES_tradnl"/>
    </w:rPr>
  </w:style>
  <w:style w:type="character" w:styleId="EndnoteReference">
    <w:name w:val="endnote reference"/>
    <w:basedOn w:val="DefaultParagraphFont"/>
    <w:uiPriority w:val="99"/>
    <w:semiHidden/>
    <w:unhideWhenUsed/>
    <w:rsid w:val="00B17F8B"/>
    <w:rPr>
      <w:vertAlign w:val="superscript"/>
    </w:rPr>
  </w:style>
  <w:style w:type="paragraph" w:customStyle="1" w:styleId="PrrafodeSentencia">
    <w:name w:val="Párrafo de Sentencia"/>
    <w:basedOn w:val="ListParagraph"/>
    <w:autoRedefine/>
    <w:qFormat/>
    <w:rsid w:val="00B17F8B"/>
    <w:pPr>
      <w:numPr>
        <w:ilvl w:val="4"/>
        <w:numId w:val="6"/>
      </w:numPr>
      <w:tabs>
        <w:tab w:val="num" w:pos="360"/>
      </w:tabs>
      <w:ind w:left="720" w:firstLine="0"/>
    </w:pPr>
    <w:rPr>
      <w:rFonts w:eastAsia="Times New Roman" w:cs="Times New Roman"/>
      <w:szCs w:val="20"/>
      <w:lang w:eastAsia="es-ES"/>
    </w:rPr>
  </w:style>
  <w:style w:type="paragraph" w:customStyle="1" w:styleId="Textonotapie1">
    <w:name w:val="Texto nota pie1"/>
    <w:basedOn w:val="Normal"/>
    <w:semiHidden/>
    <w:rsid w:val="00B17F8B"/>
    <w:pPr>
      <w:jc w:val="left"/>
    </w:pPr>
    <w:rPr>
      <w:rFonts w:ascii="Times New Roman" w:eastAsia="Times New Roman" w:hAnsi="Times New Roman" w:cs="Times New Roman"/>
      <w:szCs w:val="20"/>
      <w:lang w:eastAsia="es-ES"/>
    </w:rPr>
  </w:style>
  <w:style w:type="paragraph" w:styleId="TOC6">
    <w:name w:val="toc 6"/>
    <w:basedOn w:val="Normal"/>
    <w:next w:val="Normal"/>
    <w:autoRedefine/>
    <w:uiPriority w:val="39"/>
    <w:unhideWhenUsed/>
    <w:rsid w:val="00B17F8B"/>
    <w:pPr>
      <w:spacing w:after="100" w:line="276" w:lineRule="auto"/>
      <w:ind w:left="1100"/>
      <w:jc w:val="left"/>
    </w:pPr>
    <w:rPr>
      <w:rFonts w:ascii="Calibri" w:eastAsia="Times New Roman" w:hAnsi="Calibri" w:cs="Times New Roman"/>
      <w:sz w:val="22"/>
      <w:szCs w:val="22"/>
      <w:lang w:val="es-CR" w:eastAsia="es-CR"/>
    </w:rPr>
  </w:style>
  <w:style w:type="paragraph" w:styleId="TOC7">
    <w:name w:val="toc 7"/>
    <w:basedOn w:val="Normal"/>
    <w:next w:val="Normal"/>
    <w:autoRedefine/>
    <w:uiPriority w:val="39"/>
    <w:unhideWhenUsed/>
    <w:rsid w:val="00B17F8B"/>
    <w:pPr>
      <w:spacing w:after="100" w:line="276" w:lineRule="auto"/>
      <w:ind w:left="1320"/>
      <w:jc w:val="left"/>
    </w:pPr>
    <w:rPr>
      <w:rFonts w:ascii="Calibri" w:eastAsia="Times New Roman" w:hAnsi="Calibri" w:cs="Times New Roman"/>
      <w:sz w:val="22"/>
      <w:szCs w:val="22"/>
      <w:lang w:val="es-CR" w:eastAsia="es-CR"/>
    </w:rPr>
  </w:style>
  <w:style w:type="paragraph" w:styleId="TOC8">
    <w:name w:val="toc 8"/>
    <w:basedOn w:val="Normal"/>
    <w:next w:val="Normal"/>
    <w:autoRedefine/>
    <w:uiPriority w:val="39"/>
    <w:unhideWhenUsed/>
    <w:rsid w:val="00B17F8B"/>
    <w:pPr>
      <w:spacing w:after="100" w:line="276" w:lineRule="auto"/>
      <w:ind w:left="1540"/>
      <w:jc w:val="left"/>
    </w:pPr>
    <w:rPr>
      <w:rFonts w:ascii="Calibri" w:eastAsia="Times New Roman" w:hAnsi="Calibri" w:cs="Times New Roman"/>
      <w:sz w:val="22"/>
      <w:szCs w:val="22"/>
      <w:lang w:val="es-CR" w:eastAsia="es-CR"/>
    </w:rPr>
  </w:style>
  <w:style w:type="paragraph" w:styleId="TOC9">
    <w:name w:val="toc 9"/>
    <w:basedOn w:val="Normal"/>
    <w:next w:val="Normal"/>
    <w:autoRedefine/>
    <w:uiPriority w:val="39"/>
    <w:unhideWhenUsed/>
    <w:rsid w:val="00B17F8B"/>
    <w:pPr>
      <w:spacing w:after="100" w:line="276" w:lineRule="auto"/>
      <w:ind w:left="1760"/>
      <w:jc w:val="left"/>
    </w:pPr>
    <w:rPr>
      <w:rFonts w:ascii="Calibri" w:eastAsia="Times New Roman" w:hAnsi="Calibri" w:cs="Times New Roman"/>
      <w:sz w:val="22"/>
      <w:szCs w:val="22"/>
      <w:lang w:val="es-CR" w:eastAsia="es-CR"/>
    </w:rPr>
  </w:style>
  <w:style w:type="character" w:customStyle="1" w:styleId="normalchar">
    <w:name w:val="normal__char"/>
    <w:basedOn w:val="DefaultParagraphFont"/>
    <w:rsid w:val="00B17F8B"/>
  </w:style>
  <w:style w:type="character" w:customStyle="1" w:styleId="apple-converted-space">
    <w:name w:val="apple-converted-space"/>
    <w:basedOn w:val="DefaultParagraphFont"/>
    <w:rsid w:val="00B17F8B"/>
  </w:style>
  <w:style w:type="paragraph" w:styleId="NormalWeb">
    <w:name w:val="Normal (Web)"/>
    <w:aliases w:val="Normal (Web) Char1,Normal (Web) Char Char,Normal (Web) Char1 Char,Normal (Web) Char Char Char"/>
    <w:basedOn w:val="Normal"/>
    <w:uiPriority w:val="99"/>
    <w:unhideWhenUsed/>
    <w:rsid w:val="00B17F8B"/>
    <w:pPr>
      <w:spacing w:before="100" w:beforeAutospacing="1" w:after="100" w:afterAutospacing="1"/>
      <w:jc w:val="left"/>
    </w:pPr>
    <w:rPr>
      <w:rFonts w:ascii="Times New Roman" w:eastAsia="Times New Roman" w:hAnsi="Times New Roman" w:cs="Times New Roman"/>
      <w:sz w:val="24"/>
      <w:lang w:val="es-CR" w:eastAsia="es-CR"/>
    </w:rPr>
  </w:style>
  <w:style w:type="character" w:styleId="LineNumber">
    <w:name w:val="line number"/>
    <w:basedOn w:val="DefaultParagraphFont"/>
    <w:uiPriority w:val="99"/>
    <w:semiHidden/>
    <w:unhideWhenUsed/>
    <w:rsid w:val="00B17F8B"/>
  </w:style>
  <w:style w:type="character" w:customStyle="1" w:styleId="PrrafodeSentenciaChar">
    <w:name w:val="*. Párrafo de Sentencia Char"/>
    <w:link w:val="PrrafodeSentencia0"/>
    <w:rsid w:val="005F2A81"/>
    <w:rPr>
      <w:rFonts w:ascii="Verdana" w:eastAsia="Batang" w:hAnsi="Verdana" w:cs="Tahoma"/>
      <w:i/>
      <w:sz w:val="20"/>
      <w:szCs w:val="20"/>
      <w:lang w:val="es-ES" w:eastAsia="es-MX"/>
    </w:rPr>
  </w:style>
  <w:style w:type="character" w:customStyle="1" w:styleId="Caracteresdenotafinal">
    <w:name w:val="Caracteres de nota final"/>
    <w:basedOn w:val="DefaultParagraphFont"/>
    <w:rsid w:val="00B17F8B"/>
    <w:rPr>
      <w:vertAlign w:val="superscript"/>
    </w:rPr>
  </w:style>
  <w:style w:type="character" w:customStyle="1" w:styleId="FootnoteRef">
    <w:name w:val="Footnote Ref"/>
    <w:rsid w:val="00B17F8B"/>
    <w:rPr>
      <w:rFonts w:cs="Times New Roman"/>
      <w:vertAlign w:val="superscript"/>
    </w:rPr>
  </w:style>
  <w:style w:type="paragraph" w:styleId="PlainText">
    <w:name w:val="Plain Text"/>
    <w:basedOn w:val="Normal"/>
    <w:link w:val="PlainTextChar"/>
    <w:uiPriority w:val="99"/>
    <w:unhideWhenUsed/>
    <w:rsid w:val="00B17F8B"/>
    <w:pPr>
      <w:jc w:val="left"/>
    </w:pPr>
    <w:rPr>
      <w:rFonts w:ascii="Consolas" w:eastAsia="Calibri" w:hAnsi="Consolas" w:cs="Consolas"/>
      <w:sz w:val="21"/>
      <w:szCs w:val="21"/>
      <w:lang w:val="es-CR" w:eastAsia="es-CR"/>
    </w:rPr>
  </w:style>
  <w:style w:type="character" w:customStyle="1" w:styleId="PlainTextChar">
    <w:name w:val="Plain Text Char"/>
    <w:basedOn w:val="DefaultParagraphFont"/>
    <w:link w:val="PlainText"/>
    <w:uiPriority w:val="99"/>
    <w:rsid w:val="00B17F8B"/>
    <w:rPr>
      <w:rFonts w:ascii="Consolas" w:eastAsia="Calibri" w:hAnsi="Consolas" w:cs="Consolas"/>
      <w:noProof/>
      <w:sz w:val="21"/>
      <w:szCs w:val="21"/>
      <w:lang w:val="es-CR" w:eastAsia="es-CR"/>
    </w:rPr>
  </w:style>
  <w:style w:type="paragraph" w:styleId="CommentSubject">
    <w:name w:val="annotation subject"/>
    <w:basedOn w:val="CommentText"/>
    <w:next w:val="CommentText"/>
    <w:link w:val="CommentSubjectChar"/>
    <w:semiHidden/>
    <w:unhideWhenUsed/>
    <w:rsid w:val="00B17F8B"/>
    <w:pPr>
      <w:jc w:val="both"/>
    </w:pPr>
    <w:rPr>
      <w:rFonts w:ascii="Verdana" w:eastAsia="Batang" w:hAnsi="Verdana" w:cs="Times"/>
      <w:b/>
      <w:bCs/>
    </w:rPr>
  </w:style>
  <w:style w:type="character" w:customStyle="1" w:styleId="CommentSubjectChar">
    <w:name w:val="Comment Subject Char"/>
    <w:basedOn w:val="CommentTextChar"/>
    <w:link w:val="CommentSubject"/>
    <w:uiPriority w:val="99"/>
    <w:semiHidden/>
    <w:rsid w:val="00B17F8B"/>
    <w:rPr>
      <w:rFonts w:ascii="Verdana" w:eastAsia="Batang" w:hAnsi="Verdana" w:cs="Times"/>
      <w:b/>
      <w:bCs/>
      <w:noProof/>
      <w:sz w:val="20"/>
      <w:szCs w:val="20"/>
      <w:lang w:val="es-ES_tradnl"/>
    </w:rPr>
  </w:style>
  <w:style w:type="character" w:styleId="FollowedHyperlink">
    <w:name w:val="FollowedHyperlink"/>
    <w:basedOn w:val="DefaultParagraphFont"/>
    <w:unhideWhenUsed/>
    <w:rsid w:val="00B17F8B"/>
    <w:rPr>
      <w:color w:val="800080"/>
      <w:u w:val="single"/>
    </w:rPr>
  </w:style>
  <w:style w:type="paragraph" w:customStyle="1" w:styleId="CM15">
    <w:name w:val="CM15"/>
    <w:basedOn w:val="Default"/>
    <w:next w:val="Default"/>
    <w:uiPriority w:val="99"/>
    <w:rsid w:val="00B17F8B"/>
    <w:pPr>
      <w:spacing w:line="276" w:lineRule="atLeast"/>
    </w:pPr>
    <w:rPr>
      <w:rFonts w:ascii="Arial" w:hAnsi="Arial" w:cs="Arial"/>
      <w:color w:val="auto"/>
    </w:rPr>
  </w:style>
  <w:style w:type="character" w:customStyle="1" w:styleId="longtext1">
    <w:name w:val="long_text1"/>
    <w:basedOn w:val="DefaultParagraphFont"/>
    <w:rsid w:val="00B17F8B"/>
    <w:rPr>
      <w:sz w:val="14"/>
      <w:szCs w:val="14"/>
    </w:rPr>
  </w:style>
  <w:style w:type="character" w:customStyle="1" w:styleId="ListParagraphChar1">
    <w:name w:val="List Paragraph Char1"/>
    <w:basedOn w:val="DefaultParagraphFont"/>
    <w:uiPriority w:val="99"/>
    <w:rsid w:val="00B17F8B"/>
    <w:rPr>
      <w:rFonts w:ascii="Verdana" w:eastAsia="Times New Roman" w:hAnsi="Verdana"/>
      <w:lang w:val="es-ES_tradnl" w:eastAsia="en-US"/>
    </w:rPr>
  </w:style>
  <w:style w:type="character" w:customStyle="1" w:styleId="apple-style-span">
    <w:name w:val="apple-style-span"/>
    <w:basedOn w:val="DefaultParagraphFont"/>
    <w:rsid w:val="00B17F8B"/>
  </w:style>
  <w:style w:type="character" w:customStyle="1" w:styleId="Refdenotaalpie2">
    <w:name w:val="Ref. de nota al pie2"/>
    <w:rsid w:val="00B17F8B"/>
    <w:rPr>
      <w:vertAlign w:val="superscript"/>
    </w:rPr>
  </w:style>
  <w:style w:type="paragraph" w:styleId="Revision">
    <w:name w:val="Revision"/>
    <w:hidden/>
    <w:rsid w:val="00B17F8B"/>
    <w:pPr>
      <w:spacing w:after="0" w:line="240" w:lineRule="auto"/>
    </w:pPr>
    <w:rPr>
      <w:rFonts w:ascii="Verdana" w:eastAsia="Batang" w:hAnsi="Verdana" w:cs="Times"/>
      <w:noProof/>
      <w:sz w:val="20"/>
      <w:szCs w:val="24"/>
      <w:lang w:val="es-ES_tradnl"/>
    </w:rPr>
  </w:style>
  <w:style w:type="paragraph" w:customStyle="1" w:styleId="xl66">
    <w:name w:val="xl66"/>
    <w:basedOn w:val="Normal"/>
    <w:rsid w:val="00B17F8B"/>
    <w:pPr>
      <w:pBdr>
        <w:top w:val="single" w:sz="8" w:space="0" w:color="auto"/>
        <w:lef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7">
    <w:name w:val="xl67"/>
    <w:basedOn w:val="Normal"/>
    <w:rsid w:val="00B17F8B"/>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68">
    <w:name w:val="xl68"/>
    <w:basedOn w:val="Normal"/>
    <w:rsid w:val="00B17F8B"/>
    <w:pPr>
      <w:pBdr>
        <w:top w:val="single" w:sz="8"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0">
    <w:name w:val="xl70"/>
    <w:basedOn w:val="Normal"/>
    <w:rsid w:val="00B17F8B"/>
    <w:pPr>
      <w:pBdr>
        <w:top w:val="single" w:sz="4" w:space="0" w:color="auto"/>
        <w:left w:val="single" w:sz="8" w:space="0" w:color="auto"/>
        <w:bottom w:val="single" w:sz="4" w:space="0" w:color="auto"/>
      </w:pBdr>
      <w:spacing w:before="100" w:beforeAutospacing="1" w:after="100" w:afterAutospacing="1"/>
      <w:jc w:val="center"/>
      <w:textAlignment w:val="center"/>
    </w:pPr>
    <w:rPr>
      <w:rFonts w:ascii="Book Antiqua" w:eastAsia="Times New Roman" w:hAnsi="Book Antiqua" w:cs="Times New Roman"/>
      <w:b/>
      <w:bCs/>
      <w:noProof w:val="0"/>
      <w:color w:val="000000"/>
      <w:sz w:val="24"/>
      <w:lang w:val="es-CR" w:eastAsia="es-CR"/>
    </w:rPr>
  </w:style>
  <w:style w:type="paragraph" w:customStyle="1" w:styleId="xl71">
    <w:name w:val="xl71"/>
    <w:basedOn w:val="Normal"/>
    <w:rsid w:val="00B17F8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2">
    <w:name w:val="xl72"/>
    <w:basedOn w:val="Normal"/>
    <w:rsid w:val="00B17F8B"/>
    <w:pPr>
      <w:pBdr>
        <w:top w:val="single" w:sz="4" w:space="0" w:color="auto"/>
        <w:bottom w:val="single" w:sz="4"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3">
    <w:name w:val="xl73"/>
    <w:basedOn w:val="Normal"/>
    <w:rsid w:val="00B17F8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4">
    <w:name w:val="xl74"/>
    <w:basedOn w:val="Normal"/>
    <w:rsid w:val="00B17F8B"/>
    <w:pPr>
      <w:pBdr>
        <w:top w:val="single" w:sz="4" w:space="0" w:color="auto"/>
        <w:left w:val="single" w:sz="8" w:space="0" w:color="auto"/>
        <w:right w:val="single" w:sz="8" w:space="0" w:color="auto"/>
      </w:pBdr>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5">
    <w:name w:val="xl75"/>
    <w:basedOn w:val="Normal"/>
    <w:rsid w:val="00B17F8B"/>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6">
    <w:name w:val="xl76"/>
    <w:basedOn w:val="Normal"/>
    <w:rsid w:val="00B17F8B"/>
    <w:pPr>
      <w:pBdr>
        <w:top w:val="single" w:sz="4" w:space="0" w:color="auto"/>
        <w:bottom w:val="single" w:sz="4"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77">
    <w:name w:val="xl77"/>
    <w:basedOn w:val="Normal"/>
    <w:rsid w:val="00B17F8B"/>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jc w:val="left"/>
      <w:textAlignment w:val="center"/>
    </w:pPr>
    <w:rPr>
      <w:rFonts w:ascii="Book Antiqua" w:eastAsia="Times New Roman" w:hAnsi="Book Antiqua" w:cs="Times New Roman"/>
      <w:noProof w:val="0"/>
      <w:color w:val="000000"/>
      <w:sz w:val="24"/>
      <w:lang w:val="es-CR" w:eastAsia="es-CR"/>
    </w:rPr>
  </w:style>
  <w:style w:type="paragraph" w:customStyle="1" w:styleId="xl69">
    <w:name w:val="xl69"/>
    <w:basedOn w:val="Normal"/>
    <w:rsid w:val="00B17F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noProof w:val="0"/>
      <w:sz w:val="24"/>
      <w:lang w:val="es-CR" w:eastAsia="es-CR"/>
    </w:rPr>
  </w:style>
  <w:style w:type="paragraph" w:styleId="BodyTextIndent2">
    <w:name w:val="Body Text Indent 2"/>
    <w:basedOn w:val="Normal"/>
    <w:link w:val="BodyTextIndent2Char"/>
    <w:unhideWhenUsed/>
    <w:rsid w:val="000C07D0"/>
    <w:pPr>
      <w:spacing w:after="120" w:line="480" w:lineRule="auto"/>
      <w:ind w:left="283"/>
    </w:pPr>
  </w:style>
  <w:style w:type="character" w:customStyle="1" w:styleId="BodyTextIndent2Char">
    <w:name w:val="Body Text Indent 2 Char"/>
    <w:basedOn w:val="DefaultParagraphFont"/>
    <w:link w:val="BodyTextIndent2"/>
    <w:uiPriority w:val="99"/>
    <w:semiHidden/>
    <w:rsid w:val="000C07D0"/>
    <w:rPr>
      <w:rFonts w:ascii="Verdana" w:eastAsia="Batang" w:hAnsi="Verdana" w:cs="Times"/>
      <w:noProof/>
      <w:sz w:val="20"/>
      <w:szCs w:val="24"/>
      <w:lang w:val="es-ES_tradnl"/>
    </w:rPr>
  </w:style>
  <w:style w:type="paragraph" w:styleId="ListBullet">
    <w:name w:val="List Bullet"/>
    <w:basedOn w:val="Normal"/>
    <w:rsid w:val="000C07D0"/>
    <w:pPr>
      <w:numPr>
        <w:numId w:val="9"/>
      </w:numPr>
      <w:jc w:val="left"/>
    </w:pPr>
    <w:rPr>
      <w:rFonts w:ascii="Times New Roman" w:eastAsia="Times New Roman" w:hAnsi="Times New Roman" w:cs="Times New Roman"/>
      <w:noProof w:val="0"/>
      <w:sz w:val="24"/>
      <w:lang w:val="es-ES"/>
    </w:rPr>
  </w:style>
  <w:style w:type="paragraph" w:customStyle="1" w:styleId="Titre1">
    <w:name w:val="Titre 1"/>
    <w:basedOn w:val="Normal"/>
    <w:rsid w:val="000C011D"/>
    <w:pPr>
      <w:numPr>
        <w:numId w:val="11"/>
      </w:numPr>
      <w:tabs>
        <w:tab w:val="num" w:pos="1080"/>
      </w:tabs>
      <w:ind w:left="1080" w:hanging="720"/>
      <w:jc w:val="center"/>
    </w:pPr>
    <w:rPr>
      <w:rFonts w:eastAsia="Times New Roman" w:cs="Times New Roman"/>
      <w:b/>
      <w:caps/>
      <w:noProof w:val="0"/>
      <w:szCs w:val="20"/>
      <w:lang w:val="es-ES" w:eastAsia="es-ES"/>
    </w:rPr>
  </w:style>
  <w:style w:type="paragraph" w:styleId="List2">
    <w:name w:val="List 2"/>
    <w:basedOn w:val="Normal"/>
    <w:rsid w:val="000C011D"/>
    <w:pPr>
      <w:ind w:left="566" w:hanging="283"/>
      <w:jc w:val="left"/>
    </w:pPr>
    <w:rPr>
      <w:rFonts w:ascii="Times New Roman" w:eastAsia="Times New Roman" w:hAnsi="Times New Roman" w:cs="Times New Roman"/>
      <w:noProof w:val="0"/>
      <w:sz w:val="28"/>
      <w:szCs w:val="28"/>
      <w:lang w:val="es-ES" w:eastAsia="es-ES"/>
    </w:rPr>
  </w:style>
  <w:style w:type="character" w:customStyle="1" w:styleId="Smbolodenotaalpie">
    <w:name w:val="Símbolo de nota al pie"/>
    <w:rsid w:val="00065D93"/>
    <w:rPr>
      <w:vertAlign w:val="superscript"/>
    </w:rPr>
  </w:style>
  <w:style w:type="paragraph" w:customStyle="1" w:styleId="NotasProyectos0">
    <w:name w:val="***. Notas Proyectos"/>
    <w:basedOn w:val="FootnoteText"/>
    <w:link w:val="NotasProyectosChar0"/>
    <w:autoRedefine/>
    <w:qFormat/>
    <w:rsid w:val="008920D1"/>
    <w:pPr>
      <w:widowControl w:val="0"/>
      <w:tabs>
        <w:tab w:val="left" w:pos="567"/>
      </w:tabs>
      <w:adjustRightInd w:val="0"/>
      <w:spacing w:before="0" w:after="0"/>
      <w:textAlignment w:val="baseline"/>
    </w:pPr>
    <w:rPr>
      <w:rFonts w:eastAsia="Times New Roman" w:cs="Verdana"/>
      <w:noProof w:val="0"/>
      <w:szCs w:val="16"/>
      <w:lang w:eastAsia="es-CR"/>
    </w:rPr>
  </w:style>
  <w:style w:type="character" w:customStyle="1" w:styleId="NotasProyectosChar0">
    <w:name w:val="***. Notas Proyectos Char"/>
    <w:basedOn w:val="DefaultParagraphFont"/>
    <w:link w:val="NotasProyectos0"/>
    <w:rsid w:val="008920D1"/>
    <w:rPr>
      <w:rFonts w:ascii="Verdana" w:eastAsia="Times New Roman" w:hAnsi="Verdana" w:cs="Verdana"/>
      <w:sz w:val="16"/>
      <w:szCs w:val="16"/>
      <w:lang w:val="es-ES_tradnl" w:eastAsia="es-CR"/>
    </w:rPr>
  </w:style>
  <w:style w:type="character" w:customStyle="1" w:styleId="Heading9Char">
    <w:name w:val="Heading 9 Char"/>
    <w:basedOn w:val="DefaultParagraphFont"/>
    <w:link w:val="Heading9"/>
    <w:rsid w:val="002E6C8B"/>
    <w:rPr>
      <w:rFonts w:ascii="Garamond" w:eastAsia="Times" w:hAnsi="Garamond" w:cs="Times New Roman"/>
      <w:i/>
      <w:sz w:val="24"/>
      <w:szCs w:val="20"/>
      <w:lang w:val="es-ES_tradnl"/>
    </w:rPr>
  </w:style>
  <w:style w:type="paragraph" w:customStyle="1" w:styleId="BodyText23">
    <w:name w:val="Body Text 23"/>
    <w:basedOn w:val="Normal"/>
    <w:rsid w:val="002E6C8B"/>
    <w:pPr>
      <w:overflowPunct w:val="0"/>
      <w:autoSpaceDE w:val="0"/>
      <w:autoSpaceDN w:val="0"/>
      <w:adjustRightInd w:val="0"/>
      <w:ind w:right="-720"/>
      <w:textAlignment w:val="baseline"/>
    </w:pPr>
    <w:rPr>
      <w:rFonts w:ascii="Palatino" w:eastAsia="Times New Roman" w:hAnsi="Palatino" w:cs="Times New Roman"/>
      <w:noProof w:val="0"/>
      <w:sz w:val="24"/>
      <w:szCs w:val="20"/>
      <w:lang w:val="en-US" w:eastAsia="es-ES"/>
    </w:rPr>
  </w:style>
  <w:style w:type="paragraph" w:customStyle="1" w:styleId="negritamayuscula">
    <w:name w:val="negrita mayuscula"/>
    <w:basedOn w:val="Normal"/>
    <w:rsid w:val="002E6C8B"/>
    <w:pPr>
      <w:widowControl w:val="0"/>
      <w:tabs>
        <w:tab w:val="left" w:pos="1120"/>
      </w:tabs>
      <w:overflowPunct w:val="0"/>
      <w:autoSpaceDE w:val="0"/>
      <w:autoSpaceDN w:val="0"/>
      <w:adjustRightInd w:val="0"/>
      <w:spacing w:line="360" w:lineRule="atLeast"/>
      <w:textAlignment w:val="baseline"/>
    </w:pPr>
    <w:rPr>
      <w:rFonts w:ascii="Garamond" w:eastAsia="Times New Roman" w:hAnsi="Garamond" w:cs="Times New Roman"/>
      <w:noProof w:val="0"/>
      <w:sz w:val="24"/>
      <w:szCs w:val="20"/>
      <w:lang w:eastAsia="es-ES"/>
    </w:rPr>
  </w:style>
  <w:style w:type="paragraph" w:customStyle="1" w:styleId="id5">
    <w:name w:val="id5"/>
    <w:basedOn w:val="Normal"/>
    <w:rsid w:val="002E6C8B"/>
    <w:pPr>
      <w:spacing w:after="115"/>
      <w:jc w:val="left"/>
    </w:pPr>
    <w:rPr>
      <w:rFonts w:ascii="Times New Roman" w:eastAsia="Times New Roman" w:hAnsi="Times New Roman" w:cs="Times New Roman"/>
      <w:noProof w:val="0"/>
      <w:sz w:val="24"/>
      <w:lang w:val="es-CR" w:eastAsia="es-CR"/>
    </w:rPr>
  </w:style>
  <w:style w:type="paragraph" w:customStyle="1" w:styleId="id4">
    <w:name w:val="id4"/>
    <w:basedOn w:val="Normal"/>
    <w:rsid w:val="002E6C8B"/>
    <w:pPr>
      <w:spacing w:after="115"/>
      <w:jc w:val="left"/>
    </w:pPr>
    <w:rPr>
      <w:rFonts w:ascii="Times New Roman" w:eastAsia="Times New Roman" w:hAnsi="Times New Roman" w:cs="Times New Roman"/>
      <w:noProof w:val="0"/>
      <w:sz w:val="24"/>
      <w:lang w:val="es-CR" w:eastAsia="es-CR"/>
    </w:rPr>
  </w:style>
  <w:style w:type="character" w:customStyle="1" w:styleId="user-highlighted-active">
    <w:name w:val="user-highlighted-active"/>
    <w:basedOn w:val="DefaultParagraphFont"/>
    <w:rsid w:val="002E6C8B"/>
  </w:style>
  <w:style w:type="character" w:customStyle="1" w:styleId="highlight">
    <w:name w:val="highlight"/>
    <w:basedOn w:val="DefaultParagraphFont"/>
    <w:rsid w:val="002E6C8B"/>
  </w:style>
  <w:style w:type="paragraph" w:customStyle="1" w:styleId="Style4">
    <w:name w:val="Style4"/>
    <w:basedOn w:val="Heading2"/>
    <w:next w:val="FootnoteText"/>
    <w:rsid w:val="002E6C8B"/>
    <w:pPr>
      <w:keepLines w:val="0"/>
      <w:widowControl w:val="0"/>
      <w:numPr>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cs="Garamond"/>
      <w:i w:val="0"/>
      <w:smallCaps/>
      <w:noProof w:val="0"/>
    </w:rPr>
  </w:style>
  <w:style w:type="table" w:styleId="TableGrid">
    <w:name w:val="Table Grid"/>
    <w:basedOn w:val="TableNormal"/>
    <w:rsid w:val="00DC5DDA"/>
    <w:pPr>
      <w:spacing w:after="0" w:line="240" w:lineRule="auto"/>
    </w:pPr>
    <w:rPr>
      <w:rFonts w:ascii="Times New Roman" w:eastAsia="Times New Roman" w:hAnsi="Times New Roman"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C5DDA"/>
    <w:rPr>
      <w:rFonts w:cs="Times New Roman"/>
    </w:rPr>
  </w:style>
  <w:style w:type="paragraph" w:styleId="BodyText2">
    <w:name w:val="Body Text 2"/>
    <w:basedOn w:val="Normal"/>
    <w:link w:val="BodyText2Char"/>
    <w:rsid w:val="00DC5DDA"/>
    <w:pPr>
      <w:spacing w:after="120" w:line="480" w:lineRule="auto"/>
      <w:jc w:val="left"/>
    </w:pPr>
    <w:rPr>
      <w:rFonts w:ascii="Times New Roman" w:eastAsia="Times New Roman" w:hAnsi="Times New Roman" w:cs="Times New Roman"/>
      <w:noProof w:val="0"/>
      <w:sz w:val="24"/>
    </w:rPr>
  </w:style>
  <w:style w:type="character" w:customStyle="1" w:styleId="BodyText2Char">
    <w:name w:val="Body Text 2 Char"/>
    <w:basedOn w:val="DefaultParagraphFont"/>
    <w:link w:val="BodyText2"/>
    <w:rsid w:val="00DC5DDA"/>
    <w:rPr>
      <w:rFonts w:ascii="Times New Roman" w:eastAsia="Times New Roman" w:hAnsi="Times New Roman" w:cs="Times New Roman"/>
      <w:sz w:val="24"/>
      <w:szCs w:val="24"/>
      <w:lang w:val="es-ES_tradnl"/>
    </w:rPr>
  </w:style>
  <w:style w:type="paragraph" w:styleId="BodyTextIndent3">
    <w:name w:val="Body Text Indent 3"/>
    <w:basedOn w:val="Normal"/>
    <w:link w:val="BodyTextIndent3Char"/>
    <w:rsid w:val="00DC5DDA"/>
    <w:pPr>
      <w:spacing w:after="120"/>
      <w:ind w:left="283"/>
      <w:jc w:val="left"/>
    </w:pPr>
    <w:rPr>
      <w:rFonts w:ascii="Times New Roman" w:eastAsia="Times New Roman" w:hAnsi="Times New Roman" w:cs="Times New Roman"/>
      <w:noProof w:val="0"/>
      <w:sz w:val="16"/>
      <w:szCs w:val="16"/>
      <w:lang w:val="es-ES"/>
    </w:rPr>
  </w:style>
  <w:style w:type="character" w:customStyle="1" w:styleId="BodyTextIndent3Char">
    <w:name w:val="Body Text Indent 3 Char"/>
    <w:basedOn w:val="DefaultParagraphFont"/>
    <w:link w:val="BodyTextIndent3"/>
    <w:rsid w:val="00DC5DDA"/>
    <w:rPr>
      <w:rFonts w:ascii="Times New Roman" w:eastAsia="Times New Roman" w:hAnsi="Times New Roman" w:cs="Times New Roman"/>
      <w:sz w:val="16"/>
      <w:szCs w:val="16"/>
      <w:lang w:val="es-ES"/>
    </w:rPr>
  </w:style>
  <w:style w:type="paragraph" w:styleId="BodyText3">
    <w:name w:val="Body Text 3"/>
    <w:basedOn w:val="Normal"/>
    <w:link w:val="BodyText3Char"/>
    <w:rsid w:val="00DC5DDA"/>
    <w:pPr>
      <w:spacing w:after="120"/>
      <w:jc w:val="left"/>
    </w:pPr>
    <w:rPr>
      <w:rFonts w:ascii="Times New Roman" w:eastAsia="Times New Roman" w:hAnsi="Times New Roman" w:cs="Times New Roman"/>
      <w:noProof w:val="0"/>
      <w:sz w:val="16"/>
      <w:szCs w:val="16"/>
      <w:lang w:val="es-ES"/>
    </w:rPr>
  </w:style>
  <w:style w:type="character" w:customStyle="1" w:styleId="BodyText3Char">
    <w:name w:val="Body Text 3 Char"/>
    <w:basedOn w:val="DefaultParagraphFont"/>
    <w:link w:val="BodyText3"/>
    <w:rsid w:val="00DC5DDA"/>
    <w:rPr>
      <w:rFonts w:ascii="Times New Roman" w:eastAsia="Times New Roman" w:hAnsi="Times New Roman" w:cs="Times New Roman"/>
      <w:sz w:val="16"/>
      <w:szCs w:val="16"/>
      <w:lang w:val="es-ES"/>
    </w:rPr>
  </w:style>
  <w:style w:type="character" w:customStyle="1" w:styleId="FootnoteCharacters">
    <w:name w:val="Footnote Characters"/>
    <w:basedOn w:val="DefaultParagraphFont"/>
    <w:rsid w:val="00DC5DDA"/>
    <w:rPr>
      <w:rFonts w:cs="Times New Roman"/>
      <w:vertAlign w:val="superscript"/>
    </w:rPr>
  </w:style>
  <w:style w:type="paragraph" w:customStyle="1" w:styleId="newsbody">
    <w:name w:val="news_body"/>
    <w:basedOn w:val="Normal"/>
    <w:rsid w:val="00DC5DDA"/>
    <w:pPr>
      <w:spacing w:before="100" w:beforeAutospacing="1" w:after="100" w:afterAutospacing="1"/>
      <w:jc w:val="left"/>
    </w:pPr>
    <w:rPr>
      <w:rFonts w:eastAsia="Times New Roman" w:cs="Times New Roman"/>
      <w:noProof w:val="0"/>
      <w:color w:val="000000"/>
      <w:spacing w:val="3"/>
      <w:sz w:val="18"/>
      <w:szCs w:val="18"/>
      <w:lang w:val="es-ES" w:eastAsia="es-ES"/>
    </w:rPr>
  </w:style>
  <w:style w:type="character" w:customStyle="1" w:styleId="CarCar">
    <w:name w:val="Car Car"/>
    <w:basedOn w:val="DefaultParagraphFont"/>
    <w:rsid w:val="00DC5DDA"/>
    <w:rPr>
      <w:rFonts w:cs="Times New Roman"/>
      <w:sz w:val="24"/>
      <w:szCs w:val="24"/>
      <w:lang w:val="es-ES" w:eastAsia="en-US" w:bidi="ar-SA"/>
    </w:rPr>
  </w:style>
  <w:style w:type="paragraph" w:styleId="BlockText">
    <w:name w:val="Block Text"/>
    <w:basedOn w:val="Normal"/>
    <w:rsid w:val="00DC5DDA"/>
    <w:pPr>
      <w:spacing w:line="360" w:lineRule="auto"/>
      <w:ind w:left="1259" w:right="919"/>
    </w:pPr>
    <w:rPr>
      <w:rFonts w:ascii="Times New Roman" w:eastAsia="Times New Roman" w:hAnsi="Times New Roman" w:cs="Times New Roman"/>
      <w:noProof w:val="0"/>
      <w:sz w:val="28"/>
      <w:lang w:val="es-ES" w:eastAsia="es-ES"/>
    </w:rPr>
  </w:style>
  <w:style w:type="paragraph" w:customStyle="1" w:styleId="textoparrafo">
    <w:name w:val="textoparrafo"/>
    <w:basedOn w:val="Normal"/>
    <w:rsid w:val="00DC5DDA"/>
    <w:pPr>
      <w:spacing w:before="100" w:beforeAutospacing="1" w:after="100" w:afterAutospacing="1"/>
      <w:jc w:val="left"/>
    </w:pPr>
    <w:rPr>
      <w:rFonts w:ascii="Times New Roman" w:eastAsia="Times New Roman" w:hAnsi="Times New Roman" w:cs="Times New Roman"/>
      <w:noProof w:val="0"/>
      <w:sz w:val="24"/>
      <w:lang w:val="es-ES" w:eastAsia="es-ES"/>
    </w:rPr>
  </w:style>
  <w:style w:type="character" w:customStyle="1" w:styleId="Heading1CharCharCharCharCharChar">
    <w:name w:val="Heading 1 Char Char Char Char Char Char"/>
    <w:basedOn w:val="DefaultParagraphFont"/>
    <w:rsid w:val="00DC5DDA"/>
    <w:rPr>
      <w:rFonts w:ascii="Univers" w:hAnsi="Univers" w:cs="Arial"/>
      <w:kern w:val="36"/>
      <w:sz w:val="22"/>
      <w:szCs w:val="22"/>
      <w:lang w:val="en-US" w:eastAsia="en-US" w:bidi="ar-SA"/>
    </w:rPr>
  </w:style>
  <w:style w:type="paragraph" w:customStyle="1" w:styleId="ColorfulList-Accent12">
    <w:name w:val="Colorful List - Accent 12"/>
    <w:basedOn w:val="Normal"/>
    <w:qFormat/>
    <w:rsid w:val="00DC5DDA"/>
    <w:pPr>
      <w:ind w:left="708"/>
      <w:jc w:val="left"/>
    </w:pPr>
    <w:rPr>
      <w:rFonts w:ascii="Times New Roman" w:eastAsia="Times New Roman" w:hAnsi="Times New Roman" w:cs="Times New Roman"/>
      <w:noProof w:val="0"/>
      <w:sz w:val="24"/>
    </w:rPr>
  </w:style>
  <w:style w:type="character" w:customStyle="1" w:styleId="sb8d990e2">
    <w:name w:val="sb8d990e2"/>
    <w:basedOn w:val="DefaultParagraphFont"/>
    <w:rsid w:val="0077491B"/>
  </w:style>
  <w:style w:type="character" w:styleId="Strong">
    <w:name w:val="Strong"/>
    <w:basedOn w:val="DefaultParagraphFont"/>
    <w:uiPriority w:val="22"/>
    <w:qFormat/>
    <w:rsid w:val="005332A5"/>
    <w:rPr>
      <w:b/>
      <w:bCs/>
    </w:rPr>
  </w:style>
  <w:style w:type="paragraph" w:customStyle="1" w:styleId="ju-005fpara">
    <w:name w:val="ju-005fpara"/>
    <w:basedOn w:val="Normal"/>
    <w:rsid w:val="00254E9A"/>
    <w:pPr>
      <w:spacing w:before="100" w:beforeAutospacing="1" w:after="100" w:afterAutospacing="1"/>
      <w:jc w:val="left"/>
    </w:pPr>
    <w:rPr>
      <w:rFonts w:ascii="Times New Roman" w:eastAsia="Times New Roman" w:hAnsi="Times New Roman" w:cs="Times New Roman"/>
      <w:noProof w:val="0"/>
      <w:sz w:val="24"/>
      <w:lang w:val="de-DE" w:eastAsia="de-DE"/>
    </w:rPr>
  </w:style>
  <w:style w:type="character" w:styleId="UnresolvedMention">
    <w:name w:val="Unresolved Mention"/>
    <w:basedOn w:val="DefaultParagraphFont"/>
    <w:uiPriority w:val="99"/>
    <w:semiHidden/>
    <w:unhideWhenUsed/>
    <w:rsid w:val="003B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047574">
      <w:bodyDiv w:val="1"/>
      <w:marLeft w:val="0"/>
      <w:marRight w:val="0"/>
      <w:marTop w:val="0"/>
      <w:marBottom w:val="0"/>
      <w:divBdr>
        <w:top w:val="none" w:sz="0" w:space="0" w:color="auto"/>
        <w:left w:val="none" w:sz="0" w:space="0" w:color="auto"/>
        <w:bottom w:val="none" w:sz="0" w:space="0" w:color="auto"/>
        <w:right w:val="none" w:sz="0" w:space="0" w:color="auto"/>
      </w:divBdr>
    </w:div>
    <w:div w:id="800924335">
      <w:bodyDiv w:val="1"/>
      <w:marLeft w:val="0"/>
      <w:marRight w:val="0"/>
      <w:marTop w:val="0"/>
      <w:marBottom w:val="0"/>
      <w:divBdr>
        <w:top w:val="none" w:sz="0" w:space="0" w:color="auto"/>
        <w:left w:val="none" w:sz="0" w:space="0" w:color="auto"/>
        <w:bottom w:val="none" w:sz="0" w:space="0" w:color="auto"/>
        <w:right w:val="none" w:sz="0" w:space="0" w:color="auto"/>
      </w:divBdr>
    </w:div>
    <w:div w:id="939949190">
      <w:bodyDiv w:val="1"/>
      <w:marLeft w:val="0"/>
      <w:marRight w:val="0"/>
      <w:marTop w:val="0"/>
      <w:marBottom w:val="0"/>
      <w:divBdr>
        <w:top w:val="none" w:sz="0" w:space="0" w:color="auto"/>
        <w:left w:val="none" w:sz="0" w:space="0" w:color="auto"/>
        <w:bottom w:val="none" w:sz="0" w:space="0" w:color="auto"/>
        <w:right w:val="none" w:sz="0" w:space="0" w:color="auto"/>
      </w:divBdr>
    </w:div>
    <w:div w:id="1049066171">
      <w:bodyDiv w:val="1"/>
      <w:marLeft w:val="0"/>
      <w:marRight w:val="0"/>
      <w:marTop w:val="0"/>
      <w:marBottom w:val="0"/>
      <w:divBdr>
        <w:top w:val="none" w:sz="0" w:space="0" w:color="auto"/>
        <w:left w:val="none" w:sz="0" w:space="0" w:color="auto"/>
        <w:bottom w:val="none" w:sz="0" w:space="0" w:color="auto"/>
        <w:right w:val="none" w:sz="0" w:space="0" w:color="auto"/>
      </w:divBdr>
    </w:div>
    <w:div w:id="1878392992">
      <w:bodyDiv w:val="1"/>
      <w:marLeft w:val="0"/>
      <w:marRight w:val="0"/>
      <w:marTop w:val="0"/>
      <w:marBottom w:val="0"/>
      <w:divBdr>
        <w:top w:val="none" w:sz="0" w:space="0" w:color="auto"/>
        <w:left w:val="none" w:sz="0" w:space="0" w:color="auto"/>
        <w:bottom w:val="none" w:sz="0" w:space="0" w:color="auto"/>
        <w:right w:val="none" w:sz="0" w:space="0" w:color="auto"/>
      </w:divBdr>
    </w:div>
    <w:div w:id="1997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sites/eng/Pages/search.aspx" TargetMode="External"/><Relationship Id="rId3" Type="http://schemas.openxmlformats.org/officeDocument/2006/relationships/hyperlink" Target="http://www.iadb.org/Research/legislacionindigena/leyn/docs/PERU-Decreto-Ley-22175-78-ley-Comunidades-Nativas-.pdf" TargetMode="External"/><Relationship Id="rId7" Type="http://schemas.openxmlformats.org/officeDocument/2006/relationships/hyperlink" Target="http://hudoc.echr.coe.int/sites/eng/Pages/search.aspx" TargetMode="External"/><Relationship Id="rId12" Type="http://schemas.openxmlformats.org/officeDocument/2006/relationships/hyperlink" Target="http://hudoc.echr.coe.int/sites/eng/pages/search.aspx" TargetMode="External"/><Relationship Id="rId2" Type="http://schemas.openxmlformats.org/officeDocument/2006/relationships/hyperlink" Target="http://www.asamblea.gob.pa/APPS/LEGISPAN/PDF_GACETAS/2000/%202009/26238_2009.PDF.%20%20This%20(referenced%20in%20the%20Merits%20Report,%20merits%20file,%20folio%2047)" TargetMode="External"/><Relationship Id="rId1" Type="http://schemas.openxmlformats.org/officeDocument/2006/relationships/hyperlink" Target="http://www.asamblea.gob.pa/APPS/LEGISPAN/%20PDF_NORMAS/1970/1973/1973_026_2085.PDF" TargetMode="External"/><Relationship Id="rId6" Type="http://schemas.openxmlformats.org/officeDocument/2006/relationships/hyperlink" Target="http://www.iadb.org/Research/legislacionindigena/leyn/docs/VEN-Ley-Demarcacion-Habitat-Pueblos-Indigenas-.pdf" TargetMode="External"/><Relationship Id="rId11" Type="http://schemas.openxmlformats.org/officeDocument/2006/relationships/hyperlink" Target="http://hudoc.echr.coe.int/sites/eng/pages/search.aspx" TargetMode="External"/><Relationship Id="rId5" Type="http://schemas.openxmlformats.org/officeDocument/2006/relationships/hyperlink" Target="http://www.iadb.org/Research/legislacionindigena/leyn/docs/Para-Para-Ley-43-89-Modifica-Ley-1372-88_regulacion-Asentamientos-.doc" TargetMode="External"/><Relationship Id="rId10" Type="http://schemas.openxmlformats.org/officeDocument/2006/relationships/hyperlink" Target="http://hudoc.echr.coe.int/sites/eng/Pages/search.aspx" TargetMode="External"/><Relationship Id="rId4" Type="http://schemas.openxmlformats.org/officeDocument/2006/relationships/hyperlink" Target="http://www.iadb.org/Research/legislacionindigena/leyn/docs/Para-Para-Ley-1372-88-Regularizacion-Asentamientos-.doc" TargetMode="External"/><Relationship Id="rId9"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DCECC-77B7-44C4-B741-3314EEF5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93</Pages>
  <Words>41796</Words>
  <Characters>217763</Characters>
  <Application>Microsoft Office Word</Application>
  <DocSecurity>0</DocSecurity>
  <Lines>3350</Lines>
  <Paragraphs>699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Penny Houghton</cp:lastModifiedBy>
  <cp:revision>5</cp:revision>
  <cp:lastPrinted>2014-12-17T17:00:00Z</cp:lastPrinted>
  <dcterms:created xsi:type="dcterms:W3CDTF">2020-07-09T21:26:00Z</dcterms:created>
  <dcterms:modified xsi:type="dcterms:W3CDTF">2020-07-10T22:22:00Z</dcterms:modified>
</cp:coreProperties>
</file>